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BAE5D" w14:textId="77777777" w:rsidR="000D3769" w:rsidRPr="000D3769" w:rsidRDefault="000D3769" w:rsidP="000D3769">
      <w:pPr>
        <w:pStyle w:val="Author"/>
        <w:spacing w:after="240"/>
        <w:jc w:val="both"/>
        <w:rPr>
          <w:rFonts w:ascii="Arial" w:hAnsi="Arial" w:cs="Arial"/>
          <w:bCs/>
          <w:i/>
          <w:iCs/>
          <w:kern w:val="28"/>
          <w:sz w:val="28"/>
          <w:szCs w:val="16"/>
          <w:u w:val="single"/>
        </w:rPr>
      </w:pPr>
      <w:r w:rsidRPr="000D3769">
        <w:rPr>
          <w:rFonts w:ascii="Arial" w:hAnsi="Arial" w:cs="Arial"/>
          <w:bCs/>
          <w:i/>
          <w:iCs/>
          <w:kern w:val="28"/>
          <w:sz w:val="28"/>
          <w:szCs w:val="16"/>
          <w:u w:val="single"/>
        </w:rPr>
        <w:t>Original Research Article</w:t>
      </w:r>
    </w:p>
    <w:p w14:paraId="5B00D0B8" w14:textId="77777777" w:rsidR="000D3769" w:rsidRDefault="000D3769" w:rsidP="00AC67BB">
      <w:pPr>
        <w:pStyle w:val="Author"/>
        <w:spacing w:after="240" w:line="240" w:lineRule="auto"/>
        <w:jc w:val="both"/>
        <w:rPr>
          <w:rFonts w:ascii="Arial" w:hAnsi="Arial" w:cs="Arial"/>
          <w:bCs/>
          <w:iCs/>
          <w:kern w:val="28"/>
          <w:sz w:val="36"/>
        </w:rPr>
      </w:pPr>
    </w:p>
    <w:p w14:paraId="4A2CAE5A" w14:textId="18CE3AAE" w:rsidR="002A6ECF" w:rsidRPr="002A6ECF" w:rsidRDefault="002A6ECF" w:rsidP="00AC67BB">
      <w:pPr>
        <w:pStyle w:val="Author"/>
        <w:spacing w:after="240" w:line="240" w:lineRule="auto"/>
        <w:jc w:val="both"/>
        <w:rPr>
          <w:rFonts w:ascii="Arial" w:hAnsi="Arial" w:cs="Arial"/>
          <w:bCs/>
          <w:iCs/>
          <w:kern w:val="28"/>
          <w:sz w:val="36"/>
        </w:rPr>
      </w:pPr>
      <w:r w:rsidRPr="002A6ECF">
        <w:rPr>
          <w:rFonts w:ascii="Arial" w:hAnsi="Arial" w:cs="Arial"/>
          <w:bCs/>
          <w:iCs/>
          <w:kern w:val="28"/>
          <w:sz w:val="36"/>
          <w:highlight w:val="yellow"/>
        </w:rPr>
        <w:t xml:space="preserve">Phytochemical profiling and anti-MRSA activity of extracts from </w:t>
      </w:r>
      <w:r w:rsidRPr="002A6ECF">
        <w:rPr>
          <w:rFonts w:ascii="Arial" w:hAnsi="Arial" w:cs="Arial"/>
          <w:bCs/>
          <w:i/>
          <w:iCs/>
          <w:kern w:val="28"/>
          <w:sz w:val="36"/>
          <w:highlight w:val="yellow"/>
        </w:rPr>
        <w:t>Moringa oleifera</w:t>
      </w:r>
      <w:r w:rsidR="006D6683">
        <w:rPr>
          <w:rFonts w:ascii="Arial" w:hAnsi="Arial" w:cs="Arial"/>
          <w:bCs/>
          <w:i/>
          <w:iCs/>
          <w:kern w:val="28"/>
          <w:sz w:val="36"/>
          <w:highlight w:val="yellow"/>
        </w:rPr>
        <w:t xml:space="preserve"> </w:t>
      </w:r>
      <w:r w:rsidR="006D6683">
        <w:rPr>
          <w:rFonts w:ascii="Arial" w:hAnsi="Arial" w:cs="Arial"/>
          <w:bCs/>
          <w:iCs/>
          <w:kern w:val="28"/>
          <w:sz w:val="36"/>
          <w:highlight w:val="yellow"/>
        </w:rPr>
        <w:t>Lam.</w:t>
      </w:r>
      <w:r w:rsidRPr="002A6ECF">
        <w:rPr>
          <w:rFonts w:ascii="Arial" w:hAnsi="Arial" w:cs="Arial"/>
          <w:bCs/>
          <w:iCs/>
          <w:kern w:val="28"/>
          <w:sz w:val="36"/>
          <w:highlight w:val="yellow"/>
        </w:rPr>
        <w:t xml:space="preserve"> and </w:t>
      </w:r>
      <w:r w:rsidRPr="002A6ECF">
        <w:rPr>
          <w:rFonts w:ascii="Arial" w:hAnsi="Arial" w:cs="Arial"/>
          <w:bCs/>
          <w:i/>
          <w:iCs/>
          <w:kern w:val="28"/>
          <w:sz w:val="36"/>
          <w:highlight w:val="yellow"/>
        </w:rPr>
        <w:t>Senna occidentalis</w:t>
      </w:r>
      <w:r w:rsidRPr="002A6ECF">
        <w:rPr>
          <w:rFonts w:ascii="Arial" w:hAnsi="Arial" w:cs="Arial"/>
          <w:bCs/>
          <w:iCs/>
          <w:kern w:val="28"/>
          <w:sz w:val="36"/>
          <w:highlight w:val="yellow"/>
        </w:rPr>
        <w:t xml:space="preserve"> </w:t>
      </w:r>
      <w:r w:rsidR="006D6683" w:rsidRPr="006D6683">
        <w:rPr>
          <w:rFonts w:ascii="Arial" w:hAnsi="Arial" w:cs="Arial"/>
          <w:bCs/>
          <w:iCs/>
          <w:kern w:val="28"/>
          <w:sz w:val="36"/>
          <w:highlight w:val="yellow"/>
        </w:rPr>
        <w:t xml:space="preserve">(L.) Link </w:t>
      </w:r>
      <w:r w:rsidRPr="002A6ECF">
        <w:rPr>
          <w:rFonts w:ascii="Arial" w:hAnsi="Arial" w:cs="Arial"/>
          <w:bCs/>
          <w:iCs/>
          <w:kern w:val="28"/>
          <w:sz w:val="36"/>
          <w:highlight w:val="yellow"/>
        </w:rPr>
        <w:t>cultivated under organic conditions</w:t>
      </w:r>
    </w:p>
    <w:p w14:paraId="68E35FB6" w14:textId="77777777" w:rsidR="001504BE" w:rsidRPr="00EC0BAD" w:rsidRDefault="001504BE" w:rsidP="00EC0BAD">
      <w:pPr>
        <w:pStyle w:val="Affiliation"/>
        <w:spacing w:after="0"/>
        <w:rPr>
          <w:rFonts w:ascii="Arial" w:hAnsi="Arial" w:cs="Arial"/>
          <w:i/>
        </w:rPr>
      </w:pPr>
    </w:p>
    <w:p w14:paraId="1F9186C7" w14:textId="77777777" w:rsidR="00790ADA" w:rsidRDefault="00790ADA" w:rsidP="00441B6F">
      <w:pPr>
        <w:pStyle w:val="Affiliation"/>
        <w:spacing w:after="0" w:line="240" w:lineRule="auto"/>
        <w:jc w:val="both"/>
        <w:rPr>
          <w:rFonts w:ascii="Arial" w:hAnsi="Arial" w:cs="Arial"/>
        </w:rPr>
      </w:pPr>
    </w:p>
    <w:p w14:paraId="2CEC52F1" w14:textId="77777777" w:rsidR="002C57D2" w:rsidRPr="00FB3A86" w:rsidRDefault="002C57D2" w:rsidP="00441B6F">
      <w:pPr>
        <w:pStyle w:val="Affiliation"/>
        <w:spacing w:after="0" w:line="240" w:lineRule="auto"/>
        <w:jc w:val="both"/>
        <w:rPr>
          <w:rFonts w:ascii="Arial" w:hAnsi="Arial" w:cs="Arial"/>
        </w:rPr>
      </w:pPr>
    </w:p>
    <w:p w14:paraId="0136A871" w14:textId="77777777" w:rsidR="00B01FCD" w:rsidRPr="00FB3A86" w:rsidRDefault="00131EFB" w:rsidP="00441B6F">
      <w:pPr>
        <w:pStyle w:val="Copyright"/>
        <w:spacing w:after="0" w:line="240" w:lineRule="auto"/>
        <w:jc w:val="both"/>
        <w:rPr>
          <w:rFonts w:ascii="Arial" w:hAnsi="Arial" w:cs="Arial"/>
        </w:rPr>
        <w:sectPr w:rsidR="00B01FCD" w:rsidRPr="00FB3A86" w:rsidSect="006373C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fr-FR" w:eastAsia="fr-FR"/>
        </w:rPr>
        <mc:AlternateContent>
          <mc:Choice Requires="wps">
            <w:drawing>
              <wp:inline distT="0" distB="0" distL="0" distR="0" wp14:anchorId="25F50C51" wp14:editId="44E63D3E">
                <wp:extent cx="5303520" cy="0"/>
                <wp:effectExtent l="17145" t="16510" r="13335" b="120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type w14:anchorId="188FE6B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28E8B611"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029D7AC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6D8839D" w14:textId="77777777" w:rsidTr="001E44FE">
        <w:tc>
          <w:tcPr>
            <w:tcW w:w="9576" w:type="dxa"/>
            <w:shd w:val="clear" w:color="auto" w:fill="F2F2F2"/>
          </w:tcPr>
          <w:p w14:paraId="6E7CDA88" w14:textId="1E45BF70" w:rsidR="00505F06" w:rsidRPr="00BA1B01" w:rsidRDefault="00967F59" w:rsidP="00D67309">
            <w:pPr>
              <w:pStyle w:val="Body"/>
              <w:spacing w:after="0"/>
              <w:rPr>
                <w:rFonts w:ascii="Arial" w:eastAsia="Calibri" w:hAnsi="Arial" w:cs="Arial"/>
                <w:szCs w:val="22"/>
              </w:rPr>
            </w:pPr>
            <w:r w:rsidRPr="00504DBB">
              <w:rPr>
                <w:rFonts w:ascii="Arial" w:eastAsia="Calibri" w:hAnsi="Arial" w:cs="Arial"/>
                <w:szCs w:val="22"/>
              </w:rPr>
              <w:t xml:space="preserve">The emergence of antibiotic-resistant bacterial strains, particularly </w:t>
            </w:r>
            <w:r w:rsidR="001F0F66">
              <w:rPr>
                <w:rFonts w:ascii="Arial" w:eastAsia="Calibri" w:hAnsi="Arial" w:cs="Arial"/>
                <w:szCs w:val="22"/>
              </w:rPr>
              <w:t>M</w:t>
            </w:r>
            <w:r w:rsidRPr="00504DBB">
              <w:rPr>
                <w:rFonts w:ascii="Arial" w:eastAsia="Calibri" w:hAnsi="Arial" w:cs="Arial"/>
                <w:szCs w:val="22"/>
              </w:rPr>
              <w:t>ethicillin-</w:t>
            </w:r>
            <w:r w:rsidR="001F0F66">
              <w:rPr>
                <w:rFonts w:ascii="Arial" w:eastAsia="Calibri" w:hAnsi="Arial" w:cs="Arial"/>
                <w:szCs w:val="22"/>
              </w:rPr>
              <w:t>R</w:t>
            </w:r>
            <w:r w:rsidRPr="00504DBB">
              <w:rPr>
                <w:rFonts w:ascii="Arial" w:eastAsia="Calibri" w:hAnsi="Arial" w:cs="Arial"/>
                <w:szCs w:val="22"/>
              </w:rPr>
              <w:t xml:space="preserve">esistant </w:t>
            </w:r>
            <w:r w:rsidRPr="00504DBB">
              <w:rPr>
                <w:rFonts w:ascii="Arial" w:eastAsia="Calibri" w:hAnsi="Arial" w:cs="Arial"/>
                <w:i/>
                <w:iCs/>
                <w:szCs w:val="22"/>
              </w:rPr>
              <w:t xml:space="preserve">Staphylococcus aureus </w:t>
            </w:r>
            <w:r w:rsidRPr="00504DBB">
              <w:rPr>
                <w:rFonts w:ascii="Arial" w:eastAsia="Calibri" w:hAnsi="Arial" w:cs="Arial"/>
                <w:szCs w:val="22"/>
              </w:rPr>
              <w:t>(MRSA), is a major threat to global public health. In this context, medicinal plants represent a promising alternative for the discovery of new antimicrobial agents. The aim of this study was to explore the phytochemical profile and assess the antibacterial activity of extracts</w:t>
            </w:r>
            <w:r w:rsidR="007E7174">
              <w:rPr>
                <w:rFonts w:ascii="Arial" w:eastAsia="Calibri" w:hAnsi="Arial" w:cs="Arial"/>
                <w:szCs w:val="22"/>
              </w:rPr>
              <w:t xml:space="preserve"> </w:t>
            </w:r>
            <w:r w:rsidR="007E7174" w:rsidRPr="007E7174">
              <w:rPr>
                <w:rFonts w:ascii="Arial" w:eastAsia="Calibri" w:hAnsi="Arial" w:cs="Arial"/>
                <w:szCs w:val="22"/>
                <w:highlight w:val="yellow"/>
              </w:rPr>
              <w:t>in solvents of different polarity from</w:t>
            </w:r>
            <w:r w:rsidRPr="00504DBB">
              <w:rPr>
                <w:rFonts w:ascii="Arial" w:eastAsia="Calibri" w:hAnsi="Arial" w:cs="Arial"/>
                <w:szCs w:val="22"/>
              </w:rPr>
              <w:t xml:space="preserve"> </w:t>
            </w:r>
            <w:r w:rsidRPr="00504DBB">
              <w:rPr>
                <w:rFonts w:ascii="Arial" w:eastAsia="Calibri" w:hAnsi="Arial" w:cs="Arial"/>
                <w:i/>
                <w:szCs w:val="22"/>
              </w:rPr>
              <w:t xml:space="preserve">Moringa oleifera </w:t>
            </w:r>
            <w:r w:rsidRPr="00504DBB">
              <w:rPr>
                <w:rFonts w:ascii="Arial" w:eastAsia="Calibri" w:hAnsi="Arial" w:cs="Arial"/>
                <w:szCs w:val="22"/>
              </w:rPr>
              <w:t>(</w:t>
            </w:r>
            <w:r w:rsidR="007E7174" w:rsidRPr="007E7174">
              <w:rPr>
                <w:rFonts w:ascii="Arial" w:eastAsia="Calibri" w:hAnsi="Arial" w:cs="Arial"/>
                <w:szCs w:val="22"/>
                <w:highlight w:val="yellow"/>
              </w:rPr>
              <w:t>leaves, bark, flowers</w:t>
            </w:r>
            <w:r w:rsidRPr="00504DBB">
              <w:rPr>
                <w:rFonts w:ascii="Arial" w:eastAsia="Calibri" w:hAnsi="Arial" w:cs="Arial"/>
                <w:szCs w:val="22"/>
              </w:rPr>
              <w:t xml:space="preserve">) and </w:t>
            </w:r>
            <w:r w:rsidRPr="00504DBB">
              <w:rPr>
                <w:rFonts w:ascii="Arial" w:eastAsia="Calibri" w:hAnsi="Arial" w:cs="Arial"/>
                <w:i/>
                <w:szCs w:val="22"/>
              </w:rPr>
              <w:t xml:space="preserve">Senna occidentalis </w:t>
            </w:r>
            <w:r w:rsidRPr="00504DBB">
              <w:rPr>
                <w:rFonts w:ascii="Arial" w:eastAsia="Calibri" w:hAnsi="Arial" w:cs="Arial"/>
                <w:szCs w:val="22"/>
              </w:rPr>
              <w:t>(</w:t>
            </w:r>
            <w:r w:rsidR="007E7174" w:rsidRPr="007E7174">
              <w:rPr>
                <w:rFonts w:ascii="Arial" w:eastAsia="Calibri" w:hAnsi="Arial" w:cs="Arial"/>
                <w:szCs w:val="22"/>
                <w:highlight w:val="yellow"/>
              </w:rPr>
              <w:t>leaves, bark, seeds, pods</w:t>
            </w:r>
            <w:r w:rsidRPr="00504DBB">
              <w:rPr>
                <w:rFonts w:ascii="Arial" w:eastAsia="Calibri" w:hAnsi="Arial" w:cs="Arial"/>
                <w:szCs w:val="22"/>
              </w:rPr>
              <w:t xml:space="preserve">) </w:t>
            </w:r>
            <w:r w:rsidR="00452CF7">
              <w:rPr>
                <w:rFonts w:ascii="Arial" w:eastAsia="Calibri" w:hAnsi="Arial" w:cs="Arial"/>
                <w:szCs w:val="22"/>
              </w:rPr>
              <w:t>against clinical strains</w:t>
            </w:r>
            <w:r w:rsidR="00452CF7" w:rsidRPr="00452CF7">
              <w:rPr>
                <w:rFonts w:ascii="Arial" w:eastAsia="Calibri" w:hAnsi="Arial" w:cs="Arial"/>
                <w:szCs w:val="22"/>
                <w:highlight w:val="yellow"/>
              </w:rPr>
              <w:t xml:space="preserve">, including 10 MRSA strains, 4 methicillin-sensitive </w:t>
            </w:r>
            <w:r w:rsidR="00452CF7" w:rsidRPr="002B6439">
              <w:rPr>
                <w:rFonts w:ascii="Arial" w:eastAsia="Calibri" w:hAnsi="Arial" w:cs="Arial"/>
                <w:i/>
                <w:szCs w:val="22"/>
                <w:highlight w:val="yellow"/>
              </w:rPr>
              <w:t>Staphylococcus aureus</w:t>
            </w:r>
            <w:r w:rsidR="00452CF7" w:rsidRPr="00452CF7">
              <w:rPr>
                <w:rFonts w:ascii="Arial" w:eastAsia="Calibri" w:hAnsi="Arial" w:cs="Arial"/>
                <w:szCs w:val="22"/>
                <w:highlight w:val="yellow"/>
              </w:rPr>
              <w:t xml:space="preserve"> (MSSA) strains, and an ATCC 25923 strain for quality control</w:t>
            </w:r>
            <w:r w:rsidRPr="00504DBB">
              <w:rPr>
                <w:rFonts w:ascii="Arial" w:eastAsia="Calibri" w:hAnsi="Arial" w:cs="Arial"/>
                <w:szCs w:val="22"/>
              </w:rPr>
              <w:t xml:space="preserve"> The extracts were obtained by maceration </w:t>
            </w:r>
            <w:r w:rsidR="00D67309" w:rsidRPr="00572F1D">
              <w:rPr>
                <w:rFonts w:ascii="Arial" w:eastAsia="Calibri" w:hAnsi="Arial" w:cs="Arial"/>
                <w:szCs w:val="22"/>
                <w:highlight w:val="yellow"/>
              </w:rPr>
              <w:t>in water, ethanol (70</w:t>
            </w:r>
            <w:r w:rsidR="00572F1D">
              <w:rPr>
                <w:rFonts w:ascii="Arial" w:eastAsia="Calibri" w:hAnsi="Arial" w:cs="Arial"/>
                <w:szCs w:val="22"/>
                <w:highlight w:val="yellow"/>
              </w:rPr>
              <w:t xml:space="preserve"> </w:t>
            </w:r>
            <w:r w:rsidR="00D67309" w:rsidRPr="00572F1D">
              <w:rPr>
                <w:rFonts w:ascii="Arial" w:eastAsia="Calibri" w:hAnsi="Arial" w:cs="Arial"/>
                <w:szCs w:val="22"/>
                <w:highlight w:val="yellow"/>
              </w:rPr>
              <w:t>%) and dichloromethane</w:t>
            </w:r>
            <w:r w:rsidRPr="00504DBB">
              <w:rPr>
                <w:rFonts w:ascii="Arial" w:eastAsia="Calibri" w:hAnsi="Arial" w:cs="Arial"/>
                <w:szCs w:val="22"/>
              </w:rPr>
              <w:t xml:space="preserve">, followed by concentration in a rotary evaporator. Phytochemical screening was carried out using conventional chemical reactions in a tube, enabling the presence of secondary metabolites such as flavonoids, tannins, alkaloids, saponins, sterols, triterpenes, </w:t>
            </w:r>
            <w:proofErr w:type="spellStart"/>
            <w:r w:rsidRPr="00504DBB">
              <w:rPr>
                <w:rFonts w:ascii="Arial" w:eastAsia="Calibri" w:hAnsi="Arial" w:cs="Arial"/>
                <w:szCs w:val="22"/>
              </w:rPr>
              <w:t>anthocyanosides</w:t>
            </w:r>
            <w:proofErr w:type="spellEnd"/>
            <w:r w:rsidRPr="00504DBB">
              <w:rPr>
                <w:rFonts w:ascii="Arial" w:eastAsia="Calibri" w:hAnsi="Arial" w:cs="Arial"/>
                <w:szCs w:val="22"/>
              </w:rPr>
              <w:t xml:space="preserve">, coumarins and reducing compounds to be identified. Assessment of the antimicrobial activity, using disk diffusion and broth dilution methods, revealed that </w:t>
            </w:r>
            <w:r w:rsidRPr="00504DBB">
              <w:rPr>
                <w:rFonts w:ascii="Arial" w:eastAsia="Calibri" w:hAnsi="Arial" w:cs="Arial"/>
                <w:i/>
                <w:szCs w:val="22"/>
              </w:rPr>
              <w:t xml:space="preserve">M. oleifera </w:t>
            </w:r>
            <w:r w:rsidRPr="00504DBB">
              <w:rPr>
                <w:rFonts w:ascii="Arial" w:eastAsia="Calibri" w:hAnsi="Arial" w:cs="Arial"/>
                <w:szCs w:val="22"/>
              </w:rPr>
              <w:t xml:space="preserve">flower extract exhibited marked antibacterial activity, </w:t>
            </w:r>
            <w:r w:rsidR="00095D32" w:rsidRPr="00095D32">
              <w:rPr>
                <w:rFonts w:ascii="Arial" w:eastAsia="Calibri" w:hAnsi="Arial" w:cs="Arial"/>
                <w:szCs w:val="22"/>
                <w:highlight w:val="yellow"/>
              </w:rPr>
              <w:t>with an inhibition zone of more than 10 mm an</w:t>
            </w:r>
            <w:r w:rsidR="00095D32">
              <w:rPr>
                <w:rFonts w:ascii="Arial" w:eastAsia="Calibri" w:hAnsi="Arial" w:cs="Arial"/>
                <w:szCs w:val="22"/>
                <w:highlight w:val="yellow"/>
              </w:rPr>
              <w:t xml:space="preserve">d a bactericidal effect with a </w:t>
            </w:r>
            <w:r w:rsidR="00095D32" w:rsidRPr="00095D32">
              <w:rPr>
                <w:rFonts w:ascii="Arial" w:eastAsia="Calibri" w:hAnsi="Arial" w:cs="Arial"/>
                <w:szCs w:val="22"/>
                <w:highlight w:val="yellow"/>
              </w:rPr>
              <w:t>MB</w:t>
            </w:r>
            <w:r w:rsidR="00095D32">
              <w:rPr>
                <w:rFonts w:ascii="Arial" w:eastAsia="Calibri" w:hAnsi="Arial" w:cs="Arial"/>
                <w:szCs w:val="22"/>
                <w:highlight w:val="yellow"/>
              </w:rPr>
              <w:t>C/</w:t>
            </w:r>
            <w:r w:rsidR="00095D32" w:rsidRPr="00095D32">
              <w:rPr>
                <w:rFonts w:ascii="Arial" w:eastAsia="Calibri" w:hAnsi="Arial" w:cs="Arial"/>
                <w:szCs w:val="22"/>
                <w:highlight w:val="yellow"/>
              </w:rPr>
              <w:t>MI</w:t>
            </w:r>
            <w:r w:rsidR="00095D32">
              <w:rPr>
                <w:rFonts w:ascii="Arial" w:eastAsia="Calibri" w:hAnsi="Arial" w:cs="Arial"/>
                <w:szCs w:val="22"/>
                <w:highlight w:val="yellow"/>
              </w:rPr>
              <w:t>C</w:t>
            </w:r>
            <w:r w:rsidR="00095D32" w:rsidRPr="00095D32">
              <w:rPr>
                <w:rFonts w:ascii="Arial" w:eastAsia="Calibri" w:hAnsi="Arial" w:cs="Arial"/>
                <w:szCs w:val="22"/>
                <w:highlight w:val="yellow"/>
              </w:rPr>
              <w:t xml:space="preserve"> ratio ≤ 4</w:t>
            </w:r>
            <w:r w:rsidRPr="00504DBB">
              <w:rPr>
                <w:rFonts w:ascii="Arial" w:eastAsia="Calibri" w:hAnsi="Arial" w:cs="Arial"/>
                <w:szCs w:val="22"/>
              </w:rPr>
              <w:t xml:space="preserve">. </w:t>
            </w:r>
            <w:r w:rsidRPr="002829E9">
              <w:rPr>
                <w:rFonts w:ascii="Arial" w:eastAsia="Calibri" w:hAnsi="Arial" w:cs="Arial"/>
                <w:szCs w:val="22"/>
              </w:rPr>
              <w:t xml:space="preserve">In comparison, </w:t>
            </w:r>
            <w:r w:rsidRPr="002829E9">
              <w:rPr>
                <w:rFonts w:ascii="Arial" w:eastAsia="Calibri" w:hAnsi="Arial" w:cs="Arial"/>
                <w:i/>
                <w:szCs w:val="22"/>
              </w:rPr>
              <w:t xml:space="preserve">S. occidentalis </w:t>
            </w:r>
            <w:r w:rsidRPr="002829E9">
              <w:rPr>
                <w:rFonts w:ascii="Arial" w:eastAsia="Calibri" w:hAnsi="Arial" w:cs="Arial"/>
                <w:szCs w:val="22"/>
              </w:rPr>
              <w:t xml:space="preserve">showed more modest activity. These results suggest that </w:t>
            </w:r>
            <w:r w:rsidRPr="002829E9">
              <w:rPr>
                <w:rFonts w:ascii="Arial" w:eastAsia="Calibri" w:hAnsi="Arial" w:cs="Arial"/>
                <w:i/>
                <w:szCs w:val="22"/>
              </w:rPr>
              <w:t xml:space="preserve">M. oleifera </w:t>
            </w:r>
            <w:r w:rsidRPr="002829E9">
              <w:rPr>
                <w:rFonts w:ascii="Arial" w:eastAsia="Calibri" w:hAnsi="Arial" w:cs="Arial"/>
                <w:szCs w:val="22"/>
              </w:rPr>
              <w:t xml:space="preserve">extracts could be an effective natural alternative in the treatment of infections caused by resistant strains </w:t>
            </w:r>
            <w:r w:rsidRPr="002829E9">
              <w:rPr>
                <w:rFonts w:ascii="Arial" w:eastAsia="Calibri" w:hAnsi="Arial" w:cs="Arial"/>
                <w:iCs/>
                <w:szCs w:val="22"/>
              </w:rPr>
              <w:t>of staphylococci</w:t>
            </w:r>
            <w:r w:rsidRPr="002829E9">
              <w:rPr>
                <w:rFonts w:ascii="Arial" w:eastAsia="Calibri" w:hAnsi="Arial" w:cs="Arial"/>
                <w:i/>
                <w:iCs/>
                <w:szCs w:val="22"/>
              </w:rPr>
              <w:t>.</w:t>
            </w:r>
          </w:p>
        </w:tc>
      </w:tr>
    </w:tbl>
    <w:p w14:paraId="7B3DFC11" w14:textId="77777777" w:rsidR="00636EB2" w:rsidRDefault="00636EB2" w:rsidP="00441B6F">
      <w:pPr>
        <w:pStyle w:val="Body"/>
        <w:spacing w:after="0"/>
        <w:rPr>
          <w:rFonts w:ascii="Arial" w:hAnsi="Arial" w:cs="Arial"/>
          <w:i/>
        </w:rPr>
      </w:pPr>
    </w:p>
    <w:p w14:paraId="13FC16CF" w14:textId="77777777" w:rsidR="00A24E7E" w:rsidRDefault="00A24E7E" w:rsidP="00441B6F">
      <w:pPr>
        <w:pStyle w:val="Body"/>
        <w:spacing w:after="0"/>
        <w:rPr>
          <w:rFonts w:ascii="Arial" w:hAnsi="Arial" w:cs="Arial"/>
          <w:i/>
        </w:rPr>
      </w:pPr>
      <w:r>
        <w:rPr>
          <w:rFonts w:ascii="Arial" w:hAnsi="Arial" w:cs="Arial"/>
          <w:i/>
        </w:rPr>
        <w:t xml:space="preserve">Keywords: </w:t>
      </w:r>
      <w:r w:rsidR="00C73B98" w:rsidRPr="00C73B98">
        <w:rPr>
          <w:rFonts w:ascii="Arial" w:hAnsi="Arial" w:cs="Arial"/>
          <w:i/>
        </w:rPr>
        <w:t>Moringa oleifera, Senna occidentalis, MRSA, antibacterial activity, phytochemical screening, secondary metabolites.</w:t>
      </w:r>
    </w:p>
    <w:p w14:paraId="4903B5C7" w14:textId="77777777" w:rsidR="00790ADA" w:rsidRDefault="00790ADA" w:rsidP="00441B6F">
      <w:pPr>
        <w:pStyle w:val="Body"/>
        <w:spacing w:after="0"/>
        <w:rPr>
          <w:rFonts w:ascii="Arial" w:hAnsi="Arial" w:cs="Arial"/>
          <w:i/>
        </w:rPr>
      </w:pPr>
    </w:p>
    <w:p w14:paraId="2E615E13"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862BD04" w14:textId="77777777" w:rsidR="00790ADA" w:rsidRPr="00E5719A" w:rsidRDefault="00790ADA" w:rsidP="00441B6F">
      <w:pPr>
        <w:pStyle w:val="AbstHead"/>
        <w:spacing w:after="0"/>
        <w:jc w:val="both"/>
        <w:rPr>
          <w:rFonts w:ascii="Arial" w:hAnsi="Arial" w:cs="Arial"/>
          <w:b w:val="0"/>
        </w:rPr>
      </w:pPr>
    </w:p>
    <w:p w14:paraId="2EFA328C" w14:textId="213E2C47" w:rsidR="00E5719A" w:rsidRDefault="00E5719A" w:rsidP="00441B6F">
      <w:pPr>
        <w:pStyle w:val="Body"/>
        <w:spacing w:after="0"/>
        <w:rPr>
          <w:rFonts w:ascii="Arial" w:hAnsi="Arial" w:cs="Arial"/>
        </w:rPr>
      </w:pPr>
      <w:r w:rsidRPr="00504DBB">
        <w:rPr>
          <w:rFonts w:ascii="Arial" w:hAnsi="Arial" w:cs="Arial"/>
        </w:rPr>
        <w:t>For several decades, antibiotics have been a fundamental pillar in the fight</w:t>
      </w:r>
      <w:r w:rsidR="00DC5E8B">
        <w:rPr>
          <w:rFonts w:ascii="Arial" w:hAnsi="Arial" w:cs="Arial"/>
        </w:rPr>
        <w:t>ing</w:t>
      </w:r>
      <w:r w:rsidRPr="00504DBB">
        <w:rPr>
          <w:rFonts w:ascii="Arial" w:hAnsi="Arial" w:cs="Arial"/>
        </w:rPr>
        <w:t xml:space="preserve"> against bacterial infections. However, the excessive, inappropriate and unregulated use of these molecules has led to an alarming increase in bacterial resistance, particularly in strains such as methicillin-resistant </w:t>
      </w:r>
      <w:r w:rsidRPr="00504DBB">
        <w:rPr>
          <w:rFonts w:ascii="Arial" w:hAnsi="Arial" w:cs="Arial"/>
          <w:i/>
        </w:rPr>
        <w:t xml:space="preserve">Staphylococcus aureus </w:t>
      </w:r>
      <w:r w:rsidRPr="00504DBB">
        <w:rPr>
          <w:rFonts w:ascii="Arial" w:hAnsi="Arial" w:cs="Arial"/>
        </w:rPr>
        <w:t xml:space="preserve">(MRSA), which is now </w:t>
      </w:r>
      <w:proofErr w:type="spellStart"/>
      <w:r w:rsidRPr="00504DBB">
        <w:rPr>
          <w:rFonts w:ascii="Arial" w:hAnsi="Arial" w:cs="Arial"/>
        </w:rPr>
        <w:t>recognised</w:t>
      </w:r>
      <w:proofErr w:type="spellEnd"/>
      <w:r w:rsidRPr="00504DBB">
        <w:rPr>
          <w:rFonts w:ascii="Arial" w:hAnsi="Arial" w:cs="Arial"/>
        </w:rPr>
        <w:t xml:space="preserve"> as a global public health problem </w:t>
      </w:r>
      <w:r w:rsidR="00CB3CAC" w:rsidRPr="00CB3CAC">
        <w:rPr>
          <w:rFonts w:ascii="Arial" w:hAnsi="Arial" w:cs="Arial"/>
          <w:lang w:val="fr-FR"/>
        </w:rPr>
        <w:fldChar w:fldCharType="begin" w:fldLock="1"/>
      </w:r>
      <w:r w:rsidR="00CB3CAC" w:rsidRPr="00BC36F4">
        <w:rPr>
          <w:rFonts w:ascii="Arial" w:hAnsi="Arial" w:cs="Arial"/>
        </w:rPr>
        <w:instrText xml:space="preserve">ADDIN CSL_CITATION {"citationItems":[{"id":"ITEM-1","itemData":{"DOI":"10.1007/s40203-024-00297-y","abstract":"The increasing prevalence of Methicillin-resistant Staphylococcus aureus (MRSA) has posed significant challenges in clinical and environmental settings. MRSA's resistance is attributed to the mecA gene, which encodes the penicillin-binding protein 2a (PBP2a), conferring resistance to </w:instrText>
      </w:r>
      <w:r w:rsidR="00CB3CAC">
        <w:rPr>
          <w:rFonts w:ascii="Arial" w:hAnsi="Arial" w:cs="Arial"/>
          <w:lang w:val="fr-FR"/>
        </w:rPr>
        <w:instrText>β</w:instrText>
      </w:r>
      <w:r w:rsidR="00CB3CAC" w:rsidRPr="00BC36F4">
        <w:rPr>
          <w:rFonts w:ascii="Arial" w:hAnsi="Arial" w:cs="Arial"/>
        </w:rPr>
        <w:instrText>-lactam antibiotics. This study aimed to molecularly detect the mecA gene in MRSA isolates from clinical and environmental samples and identify potential inhibitors of PBP2a using in vitro and in silico approaches. A total of 180 samples were collected, isolating 64 Staphylococcus aureus strains, of which 10 (37%) were confirmed as MRSA. Molecular detection confirmed the presence of the mecA gene in these isolates. Phytochemical analysis of Acacia nilotica and Mangifera indica extracts revealed bioactive compounds with antimicrobial properties. In vitro antimicrobial testing showed the plant extracts demonstrated significant inhibitory effects against MRSA, with minimum inhibitory concentrations (MIC) ranging from 0 to 6.20 mg/mL. Molecular docking and molecular dynamics simulation analyses identified three compounds (CID_628694, CID_546930, and CID_620007) with strong binding affinities and stable interactions with PBP2a, suggesting their potential as novel inhibitors. These findings highlight the therapeutic potential of phytochemicals in combating MRSA and provide a basis for future experimental validations.","author":[{"dropping-particle":"","family":"Mohammed","given":"Mohammed M","non-dropping-particle":"","parse-names":false,"suffix":""},{"dropping-particle":"","family":"Isa","given":"Mustafa Alhaji","non-dropping-particle":"","parse-names":false,"suffix":""},{"dropping-particle":"","family":"Abubakar","given":"Mustapha B.","non-dropping-particle":"","parse-names":false,"suffix":""},{"dropping-particle":"","family":"Dikwa","given":"Abubakar Sadiq Baba","non-dropping-particle":"","parse-names":false,"suffix":""},{"dropping-particle":"","family":"Kappo","given":"Abidemi Paul","non-dropping-particle":"","parse-names":false,"suffix":""}],"container-title":"In Silico Pharmacology","id":"ITEM-1","issue":"1","issued":{"date-parts":[["2025"]]},"page":"1-25","title":"Molecular detection of mecA gene from methicillin-resistant Staphylococcus aureus isolated from clinical and environmental samples and its potential inhibition by phytochemicals using in vitro and in silico approach","type":"article-journal","volume":"13"},"uris":["http://www.mendeley.com/documents/?uuid=f597a1b3-b933-49c2-a9d6-dd3f0fd4aa05"]}],"mendeley":{"formattedCitation":"(Mohammed et al., 2025)","manualFormatting":"(WHO, 2023 ; Mohammed et al., 2025)","plainTextFormattedCitation":"(Mohammed et al., 2025)"},"properties":{"noteIndex":0},"schema":"https://github.com/citation-style-language/schema/raw/master/csl-citation.json"}</w:instrText>
      </w:r>
      <w:r w:rsidR="00CB3CAC" w:rsidRPr="00CB3CAC">
        <w:rPr>
          <w:rFonts w:ascii="Arial" w:hAnsi="Arial" w:cs="Arial"/>
          <w:lang w:val="fr-FR"/>
        </w:rPr>
        <w:fldChar w:fldCharType="separate"/>
      </w:r>
      <w:r w:rsidR="00CB3CAC" w:rsidRPr="00BC36F4">
        <w:rPr>
          <w:rFonts w:ascii="Arial" w:hAnsi="Arial" w:cs="Arial"/>
        </w:rPr>
        <w:t xml:space="preserve">(WHO, 2023 ; Mohammed </w:t>
      </w:r>
      <w:r w:rsidR="00CB3CAC" w:rsidRPr="00BC36F4">
        <w:rPr>
          <w:rFonts w:ascii="Arial" w:hAnsi="Arial" w:cs="Arial"/>
          <w:i/>
        </w:rPr>
        <w:t>et a</w:t>
      </w:r>
      <w:r w:rsidR="00CB3CAC" w:rsidRPr="00BC36F4">
        <w:rPr>
          <w:rFonts w:ascii="Arial" w:hAnsi="Arial" w:cs="Arial"/>
        </w:rPr>
        <w:t>l., 2025)</w:t>
      </w:r>
      <w:r w:rsidR="00CB3CAC" w:rsidRPr="00CB3CAC">
        <w:rPr>
          <w:rFonts w:ascii="Arial" w:hAnsi="Arial" w:cs="Arial"/>
        </w:rPr>
        <w:fldChar w:fldCharType="end"/>
      </w:r>
      <w:r w:rsidRPr="00504DBB">
        <w:rPr>
          <w:rFonts w:ascii="Arial" w:hAnsi="Arial" w:cs="Arial"/>
        </w:rPr>
        <w:t>. Bacterial multi-resistance considerably limits the available therapeutic options, putting many conventional treatment strategies at risk (</w:t>
      </w:r>
      <w:proofErr w:type="spellStart"/>
      <w:r w:rsidRPr="00504DBB">
        <w:rPr>
          <w:rFonts w:ascii="Arial" w:hAnsi="Arial" w:cs="Arial"/>
        </w:rPr>
        <w:t>Ejikeugwu</w:t>
      </w:r>
      <w:proofErr w:type="spellEnd"/>
      <w:r w:rsidRPr="00504DBB">
        <w:rPr>
          <w:rFonts w:ascii="Arial" w:hAnsi="Arial" w:cs="Arial"/>
        </w:rPr>
        <w:t xml:space="preserve"> </w:t>
      </w:r>
      <w:r w:rsidRPr="00504DBB">
        <w:rPr>
          <w:rFonts w:ascii="Arial" w:hAnsi="Arial" w:cs="Arial"/>
          <w:i/>
          <w:iCs/>
        </w:rPr>
        <w:t xml:space="preserve">et al., </w:t>
      </w:r>
      <w:r w:rsidRPr="00504DBB">
        <w:rPr>
          <w:rFonts w:ascii="Arial" w:hAnsi="Arial" w:cs="Arial"/>
        </w:rPr>
        <w:t xml:space="preserve">2023). Faced with this impasse, the search for new sources of antimicrobial molecules is intensifying, and medicinal plants are emerging as a promising alternative. Rich in secondary metabolites (alkaloids, flavonoids, tannins, saponins, etc.), these natural </w:t>
      </w:r>
      <w:r w:rsidRPr="00504DBB">
        <w:rPr>
          <w:rFonts w:ascii="Arial" w:hAnsi="Arial" w:cs="Arial"/>
        </w:rPr>
        <w:lastRenderedPageBreak/>
        <w:t>resources have demonstrated significant antimicrobial activity, including against resistant bacteria (</w:t>
      </w:r>
      <w:proofErr w:type="spellStart"/>
      <w:r w:rsidRPr="00504DBB">
        <w:rPr>
          <w:rFonts w:ascii="Arial" w:hAnsi="Arial" w:cs="Arial"/>
        </w:rPr>
        <w:t>Alqahtani</w:t>
      </w:r>
      <w:proofErr w:type="spellEnd"/>
      <w:r w:rsidRPr="00504DBB">
        <w:rPr>
          <w:rFonts w:ascii="Arial" w:hAnsi="Arial" w:cs="Arial"/>
        </w:rPr>
        <w:t xml:space="preserve"> </w:t>
      </w:r>
      <w:r w:rsidRPr="00504DBB">
        <w:rPr>
          <w:rFonts w:ascii="Arial" w:hAnsi="Arial" w:cs="Arial"/>
          <w:i/>
          <w:iCs/>
        </w:rPr>
        <w:t xml:space="preserve">et al., </w:t>
      </w:r>
      <w:r w:rsidRPr="00504DBB">
        <w:rPr>
          <w:rFonts w:ascii="Arial" w:hAnsi="Arial" w:cs="Arial"/>
        </w:rPr>
        <w:t xml:space="preserve">2022; </w:t>
      </w:r>
      <w:proofErr w:type="spellStart"/>
      <w:r w:rsidRPr="00504DBB">
        <w:rPr>
          <w:rFonts w:ascii="Arial" w:hAnsi="Arial" w:cs="Arial"/>
        </w:rPr>
        <w:t>Batiha</w:t>
      </w:r>
      <w:proofErr w:type="spellEnd"/>
      <w:r w:rsidRPr="00504DBB">
        <w:rPr>
          <w:rFonts w:ascii="Arial" w:hAnsi="Arial" w:cs="Arial"/>
        </w:rPr>
        <w:t xml:space="preserve"> </w:t>
      </w:r>
      <w:r w:rsidRPr="00504DBB">
        <w:rPr>
          <w:rFonts w:ascii="Arial" w:hAnsi="Arial" w:cs="Arial"/>
          <w:i/>
          <w:iCs/>
        </w:rPr>
        <w:t xml:space="preserve">et al., </w:t>
      </w:r>
      <w:r w:rsidRPr="00504DBB">
        <w:rPr>
          <w:rFonts w:ascii="Arial" w:hAnsi="Arial" w:cs="Arial"/>
        </w:rPr>
        <w:t>2020). Their accessibility, low cost and traditional use make them ideal candidates, particularly in resource-limited settings where modern healthcare is not widely available. In traditional African pharmacopoeia, plants play a central role in the treatment of many ailments. However, their scientific exploitation often remains limited by empirical methods and extraction focused solely on water-soluble compounds (</w:t>
      </w:r>
      <w:proofErr w:type="spellStart"/>
      <w:r w:rsidRPr="00504DBB">
        <w:rPr>
          <w:rFonts w:ascii="Arial" w:hAnsi="Arial" w:cs="Arial"/>
        </w:rPr>
        <w:t>Kamagaté</w:t>
      </w:r>
      <w:proofErr w:type="spellEnd"/>
      <w:r w:rsidRPr="00504DBB">
        <w:rPr>
          <w:rFonts w:ascii="Arial" w:hAnsi="Arial" w:cs="Arial"/>
        </w:rPr>
        <w:t xml:space="preserve"> </w:t>
      </w:r>
      <w:r w:rsidRPr="00504DBB">
        <w:rPr>
          <w:rFonts w:ascii="Arial" w:hAnsi="Arial" w:cs="Arial"/>
          <w:i/>
          <w:iCs/>
        </w:rPr>
        <w:t xml:space="preserve">et al., </w:t>
      </w:r>
      <w:r w:rsidRPr="00504DBB">
        <w:rPr>
          <w:rFonts w:ascii="Arial" w:hAnsi="Arial" w:cs="Arial"/>
        </w:rPr>
        <w:t xml:space="preserve">2014). Yet the polarity of solvents strongly influences the chemical profile of extracts and, consequently, their biological activity. By integrating modern tools for extraction, phytochemical screening and microbiological evaluation, their therapeutic potential can be fully exploited </w:t>
      </w:r>
      <w:r w:rsidR="006A5738" w:rsidRPr="006A5738">
        <w:rPr>
          <w:rFonts w:ascii="Arial" w:hAnsi="Arial" w:cs="Arial"/>
          <w:lang w:val="fr-FR"/>
        </w:rPr>
        <w:fldChar w:fldCharType="begin" w:fldLock="1"/>
      </w:r>
      <w:r w:rsidR="006A5738" w:rsidRPr="00504DBB">
        <w:rPr>
          <w:rFonts w:ascii="Arial" w:hAnsi="Arial" w:cs="Arial"/>
        </w:rPr>
        <w:instrText>ADDIN CSL_CITATION {"citationItems":[{"id":"ITEM-1","itemData":{"DOI":"10.1021/acs.chemrestox.5b00056","ISSN":"15205010","PMID":"25915165","abstract":"Our prior studies have shown an association between the deaths of children and consumption of Cassia occidentalis (CO) seeds. However, the chemicals responsible for the CO poisoning are not known. Therefore, the present study was designed to identify the key moieties in CO seeds and their cytotoxicity in rat primary hepatocytes and HepG2 cells. Activity-guided sequential extraction and fractionation of the seeds followed by GC-MS analysis identified the toxic compounds in the CO seeds. These identified compounds were subsequently detected and quantified in blood and urine samples from CO-exposed rats and CO poisoning human study cases. GC-MS analysis of different fractions of methanol extracts of CO seeds revealed the presence of five anthraquinones (AQs), viz. physcion, emodin, rhein, aloe-emodin, and chrysophanol. Interestingly, these AQs were detected in serum and urine samples from the study cases and CO-exposed rats. Cytotoxicity analysis of the above AQs in rat primary hepatocytes and HepG2 cells revealed that rhein is the most toxic moiety, followed by emodin, aloe-emodin, physcion, and chrysophanol. These studies indicate that AQ aglycones are responsible for producing t</w:instrText>
      </w:r>
      <w:r w:rsidR="006A5738" w:rsidRPr="006A5738">
        <w:rPr>
          <w:rFonts w:ascii="Arial" w:hAnsi="Arial" w:cs="Arial"/>
          <w:lang w:val="fr-FR"/>
        </w:rPr>
        <w:instrText>oxicity, which may be associated with symptoms of hepatomyoencep</w:instrText>
      </w:r>
      <w:r w:rsidR="006A5738" w:rsidRPr="00EF6944">
        <w:rPr>
          <w:rFonts w:ascii="Arial" w:hAnsi="Arial" w:cs="Arial"/>
        </w:rPr>
        <w:instrText>halopathy in CO poisoning cases.","author":[{"dropping-particle":"","family":"Panigrahi","given":"Gati Krushna","non-dropping-particle":"","parse-names":false,"suffix":""},{"dropping-particle":"","family":"Ch","given":"Ratnasekhar","non-dropping-particle":"","parse-names":false,"suffix":""},{"dropping-particle":"","family":"Mudiam","given":"Mohana K.R.","non-dropping-particle":"","parse-names":false,"suffix":""},{"dropping-particle":"","family":"Vashishtha","given":"Vipin M","non-dropping-particle":"","parse-names":false,"suffix":""},{"dropping-particle":"","family":"Raisuddin","given":"S","non-dropping-particle":"","parse-names":false,"suffix":""},{"dropping-particle":"","family":"Das","given":"Mukul","non-dropping-particle":"","parse-names":false,"suffix":""}],"container-title":"Chemical Research in Toxicology","id":"ITEM-1","issue":"6","issued":{"date-parts":[["2015"]]},"page":"1120-1132","title":"Activity-Guided Chemo Toxic Profiling of Cassia occidentalis (CO) seeds: Detection of Toxic Compounds in Body Fluids of CO-Exposed Patients and Experimental Rats","type":"article-journal","volume":"28"},"uris":["http://www.mendeley.com/documents/?uuid=1ff20f76-7a9d-428e-b864-d9bc74ac14d6"]}],"mendeley":{"formattedCitation":"(Panigrahi et al., 2015)","plainTextFormattedCitation":"(Panigrahi et al., 2015)","previouslyFormattedCitation":"(Panigrahi et al., 2015)"},"properties":{"noteIndex":0},"schema":"https://github.com/citation-style-language/schema/raw/master/csl-citation.json"}</w:instrText>
      </w:r>
      <w:r w:rsidR="006A5738" w:rsidRPr="006A5738">
        <w:rPr>
          <w:rFonts w:ascii="Arial" w:hAnsi="Arial" w:cs="Arial"/>
          <w:lang w:val="fr-FR"/>
        </w:rPr>
        <w:fldChar w:fldCharType="separate"/>
      </w:r>
      <w:r w:rsidR="006A5738" w:rsidRPr="00EF6944">
        <w:rPr>
          <w:rFonts w:ascii="Arial" w:hAnsi="Arial" w:cs="Arial"/>
        </w:rPr>
        <w:t xml:space="preserve">(Panigrahi </w:t>
      </w:r>
      <w:r w:rsidR="00AC67BB" w:rsidRPr="00EF6944">
        <w:rPr>
          <w:rFonts w:ascii="Arial" w:hAnsi="Arial" w:cs="Arial"/>
          <w:i/>
        </w:rPr>
        <w:t>et al.</w:t>
      </w:r>
      <w:r w:rsidR="006A5738" w:rsidRPr="00EF6944">
        <w:rPr>
          <w:rFonts w:ascii="Arial" w:hAnsi="Arial" w:cs="Arial"/>
        </w:rPr>
        <w:t>, 2015)</w:t>
      </w:r>
      <w:r w:rsidR="006A5738" w:rsidRPr="006A5738">
        <w:rPr>
          <w:rFonts w:ascii="Arial" w:hAnsi="Arial" w:cs="Arial"/>
          <w:lang w:val="fr-FR"/>
        </w:rPr>
        <w:fldChar w:fldCharType="end"/>
      </w:r>
      <w:r w:rsidRPr="00EF6944">
        <w:rPr>
          <w:rFonts w:ascii="Arial" w:hAnsi="Arial" w:cs="Arial"/>
        </w:rPr>
        <w:t xml:space="preserve">. </w:t>
      </w:r>
      <w:r w:rsidRPr="00504DBB">
        <w:rPr>
          <w:rFonts w:ascii="Arial" w:hAnsi="Arial" w:cs="Arial"/>
        </w:rPr>
        <w:t xml:space="preserve">In this context, </w:t>
      </w:r>
      <w:r w:rsidRPr="00504DBB">
        <w:rPr>
          <w:rFonts w:ascii="Arial" w:hAnsi="Arial" w:cs="Arial"/>
          <w:i/>
        </w:rPr>
        <w:t xml:space="preserve">Moringa oleifera </w:t>
      </w:r>
      <w:r w:rsidRPr="00504DBB">
        <w:rPr>
          <w:rFonts w:ascii="Arial" w:hAnsi="Arial" w:cs="Arial"/>
        </w:rPr>
        <w:t xml:space="preserve">and </w:t>
      </w:r>
      <w:r w:rsidRPr="00504DBB">
        <w:rPr>
          <w:rFonts w:ascii="Arial" w:hAnsi="Arial" w:cs="Arial"/>
          <w:i/>
        </w:rPr>
        <w:t xml:space="preserve">Senna occidentalis </w:t>
      </w:r>
      <w:r w:rsidRPr="00504DBB">
        <w:rPr>
          <w:rFonts w:ascii="Arial" w:hAnsi="Arial" w:cs="Arial"/>
        </w:rPr>
        <w:t xml:space="preserve">stand out as two plant species of major interest. </w:t>
      </w:r>
      <w:r w:rsidRPr="00504DBB">
        <w:rPr>
          <w:rFonts w:ascii="Arial" w:hAnsi="Arial" w:cs="Arial"/>
          <w:i/>
        </w:rPr>
        <w:t>M. oleifera</w:t>
      </w:r>
      <w:r w:rsidRPr="00504DBB">
        <w:rPr>
          <w:rFonts w:ascii="Arial" w:hAnsi="Arial" w:cs="Arial"/>
        </w:rPr>
        <w:t xml:space="preserve">, nicknamed the 'miracle tree', is </w:t>
      </w:r>
      <w:proofErr w:type="spellStart"/>
      <w:r w:rsidRPr="00504DBB">
        <w:rPr>
          <w:rFonts w:ascii="Arial" w:hAnsi="Arial" w:cs="Arial"/>
        </w:rPr>
        <w:t>recognised</w:t>
      </w:r>
      <w:proofErr w:type="spellEnd"/>
      <w:r w:rsidRPr="00504DBB">
        <w:rPr>
          <w:rFonts w:ascii="Arial" w:hAnsi="Arial" w:cs="Arial"/>
        </w:rPr>
        <w:t xml:space="preserve"> for its nutritional, antioxidant, anti-inflammatory and antimicrobial properties, which have been widely documented in the scientific literature (</w:t>
      </w:r>
      <w:proofErr w:type="spellStart"/>
      <w:r w:rsidRPr="00504DBB">
        <w:rPr>
          <w:rFonts w:ascii="Arial" w:hAnsi="Arial" w:cs="Arial"/>
        </w:rPr>
        <w:t>Batiha</w:t>
      </w:r>
      <w:proofErr w:type="spellEnd"/>
      <w:r w:rsidRPr="00504DBB">
        <w:rPr>
          <w:rFonts w:ascii="Arial" w:hAnsi="Arial" w:cs="Arial"/>
        </w:rPr>
        <w:t xml:space="preserve"> </w:t>
      </w:r>
      <w:r w:rsidRPr="00504DBB">
        <w:rPr>
          <w:rFonts w:ascii="Arial" w:hAnsi="Arial" w:cs="Arial"/>
          <w:i/>
          <w:iCs/>
        </w:rPr>
        <w:t xml:space="preserve">et al., </w:t>
      </w:r>
      <w:r w:rsidRPr="00504DBB">
        <w:rPr>
          <w:rFonts w:ascii="Arial" w:hAnsi="Arial" w:cs="Arial"/>
        </w:rPr>
        <w:t xml:space="preserve">2020). </w:t>
      </w:r>
      <w:r w:rsidRPr="002829E9">
        <w:rPr>
          <w:rFonts w:ascii="Arial" w:hAnsi="Arial" w:cs="Arial"/>
        </w:rPr>
        <w:t xml:space="preserve">It is used for both the prevention and treatment of various diseases. For its part, </w:t>
      </w:r>
      <w:r w:rsidRPr="002829E9">
        <w:rPr>
          <w:rFonts w:ascii="Arial" w:hAnsi="Arial" w:cs="Arial"/>
          <w:i/>
        </w:rPr>
        <w:t>S. occidentalis</w:t>
      </w:r>
      <w:r w:rsidRPr="002829E9">
        <w:rPr>
          <w:rFonts w:ascii="Arial" w:hAnsi="Arial" w:cs="Arial"/>
        </w:rPr>
        <w:t xml:space="preserve">, a perennial plant in the Fabaceae family, is used in traditional African medicine to treat skin, digestive and respiratory infections, due to the diversity of its bioactive compounds </w:t>
      </w:r>
      <w:r w:rsidR="006A5738" w:rsidRPr="006A5738">
        <w:rPr>
          <w:rFonts w:ascii="Arial" w:hAnsi="Arial" w:cs="Arial"/>
          <w:lang w:val="fr-FR"/>
        </w:rPr>
        <w:fldChar w:fldCharType="begin" w:fldLock="1"/>
      </w:r>
      <w:r w:rsidR="006A5738" w:rsidRPr="002829E9">
        <w:rPr>
          <w:rFonts w:ascii="Arial" w:hAnsi="Arial" w:cs="Arial"/>
        </w:rPr>
        <w:instrText>ADDIN CSL_CITATION {"citationItems":[{"id":"ITEM-1","itemData":{"DOI":"10.1021/acs.chemrestox.5b00056","ISSN":"15205010","PMID":"25915165","abstract":"Our prior studies have shown an association between the deaths of children and consumption of Cassia occidentalis (CO) seeds. However, the chemicals responsible for the CO poisoning are not known. Therefore, the present study was designed to identify the key moieties in CO seeds and their cytotoxicity in rat primary hepatocytes and HepG2 cells. Activity-guided sequential extraction and fractionation of the seeds followed by GC-MS analysis identified the toxic compounds in the CO seeds. These identified compounds were subsequently detected and quantified in blood and urine samples from CO-exposed rats and CO poisoning human study cases. GC-MS analysis of different fractions of methanol extracts of CO seeds revealed the presence of five anthraquinones (AQs), viz. physcion, emodin, rhein, aloe-emodin, and chrysophanol. Interestingly, these AQs were detected in serum and urine samples from the study cases and CO-exposed rats. Cytotoxicity analysis of the above AQs in rat primary hepatocytes and HepG2 cells revealed that rhein is the most toxic moiety, followed by emodin, aloe-emodin, physcion, and chrysophanol. These stu</w:instrText>
      </w:r>
      <w:r w:rsidR="006A5738" w:rsidRPr="006A5738">
        <w:rPr>
          <w:rFonts w:ascii="Arial" w:hAnsi="Arial" w:cs="Arial"/>
          <w:lang w:val="fr-FR"/>
        </w:rPr>
        <w:instrText>dies indicate that AQ aglycones are responsible for producing toxicity, which may be associated with symptoms of hepatomyoencep</w:instrText>
      </w:r>
      <w:r w:rsidR="006A5738" w:rsidRPr="002829E9">
        <w:rPr>
          <w:rFonts w:ascii="Arial" w:hAnsi="Arial" w:cs="Arial"/>
        </w:rPr>
        <w:instrText>halopathy in CO poisoning cases.","author":[{"dropping-particle":"","family":"Panigrahi","given":"Gati Krushna","non-dropping-particle":"","parse-names":false,"suffix":""},{"dropping-particle":"","family":"Ch","given":"Ratnasekhar","non-dropping-particle":"","parse-names":false,"suffix":""},{"dropping-particle":"","family":"Mudiam","given":"Mohana K.R.","non-dropping-particle":"","parse-names":false,"suffix":""},{"dropping-particle":"","family":"Vashishtha","given":"Vipin M","non-dropping-particle":"","parse-names":false,"suffix":""},{"dropping-particle":"","family":"Raisuddin","given":"S","non-dropping-particle":"","parse-names":false,"suffix":""},{"dropping-particle":"","family":"Das","given":"Mukul","non-dropping-particle":"","parse-names":false,"suffix":""}],"container-title":"Chemical Research in Toxicology","id":"ITEM-1","issue":"6","issued":{"date-parts":[["2015"]]},"page":"1120-1132","title":"Activity-Guided Chemo Toxic Profiling of Cassia occidentalis (CO) seeds: Detection of Toxic Compounds in Body Fluids of CO-Exposed Patients and Experimental Rats","type":"article-journal","volume":"28"},"uris":["http://www.mendeley.com/documents/?uuid=1ff20f76-7a9d-428e-b864-d9bc74ac14d6"]}],"mendeley":{"formattedCitation":"(Panigrahi et al., 2015)","plainTextFormattedCitation":"(Panigrahi et al., 2015)","previouslyFormattedCitation":"(Panigrahi et al., 2015)"},"properties":{"noteIndex":0},"schema":"https://github.com/citation-style-language/schema/raw/master/csl-citation.json"}</w:instrText>
      </w:r>
      <w:r w:rsidR="006A5738" w:rsidRPr="006A5738">
        <w:rPr>
          <w:rFonts w:ascii="Arial" w:hAnsi="Arial" w:cs="Arial"/>
          <w:lang w:val="fr-FR"/>
        </w:rPr>
        <w:fldChar w:fldCharType="separate"/>
      </w:r>
      <w:r w:rsidR="006A5738" w:rsidRPr="002829E9">
        <w:rPr>
          <w:rFonts w:ascii="Arial" w:hAnsi="Arial" w:cs="Arial"/>
        </w:rPr>
        <w:t xml:space="preserve">(Panigrahi </w:t>
      </w:r>
      <w:r w:rsidR="00AC67BB" w:rsidRPr="002829E9">
        <w:rPr>
          <w:rFonts w:ascii="Arial" w:hAnsi="Arial" w:cs="Arial"/>
          <w:i/>
        </w:rPr>
        <w:t>et al.</w:t>
      </w:r>
      <w:r w:rsidR="006A5738" w:rsidRPr="002829E9">
        <w:rPr>
          <w:rFonts w:ascii="Arial" w:hAnsi="Arial" w:cs="Arial"/>
        </w:rPr>
        <w:t>, 2015)</w:t>
      </w:r>
      <w:r w:rsidR="006A5738" w:rsidRPr="006A5738">
        <w:rPr>
          <w:rFonts w:ascii="Arial" w:hAnsi="Arial" w:cs="Arial"/>
          <w:lang w:val="fr-FR"/>
        </w:rPr>
        <w:fldChar w:fldCharType="end"/>
      </w:r>
      <w:r w:rsidRPr="002829E9">
        <w:rPr>
          <w:rFonts w:ascii="Arial" w:hAnsi="Arial" w:cs="Arial"/>
        </w:rPr>
        <w:t xml:space="preserve">. Both plants are locally available and can be grown under organic conditions, reinforcing their value as sustainable and environmentally friendly alternatives to conventional antibiotics. </w:t>
      </w:r>
      <w:r w:rsidR="00DC5E8B">
        <w:rPr>
          <w:rFonts w:ascii="Arial" w:hAnsi="Arial" w:cs="Arial"/>
        </w:rPr>
        <w:t>T</w:t>
      </w:r>
      <w:r w:rsidR="00DC5E8B" w:rsidRPr="002829E9">
        <w:rPr>
          <w:rFonts w:ascii="Arial" w:hAnsi="Arial" w:cs="Arial"/>
        </w:rPr>
        <w:t>herefore</w:t>
      </w:r>
      <w:r w:rsidR="00DC5E8B">
        <w:rPr>
          <w:rFonts w:ascii="Arial" w:hAnsi="Arial" w:cs="Arial"/>
        </w:rPr>
        <w:t>,</w:t>
      </w:r>
      <w:r w:rsidR="00DC5E8B" w:rsidRPr="002829E9">
        <w:rPr>
          <w:rFonts w:ascii="Arial" w:hAnsi="Arial" w:cs="Arial"/>
        </w:rPr>
        <w:t xml:space="preserve"> </w:t>
      </w:r>
      <w:r w:rsidR="00DC5E8B">
        <w:rPr>
          <w:rFonts w:ascii="Arial" w:hAnsi="Arial" w:cs="Arial"/>
        </w:rPr>
        <w:t>i</w:t>
      </w:r>
      <w:r w:rsidRPr="002829E9">
        <w:rPr>
          <w:rFonts w:ascii="Arial" w:hAnsi="Arial" w:cs="Arial"/>
        </w:rPr>
        <w:t xml:space="preserve">n the present study, we undertook an in-depth investigation of the phytochemical profile and antibacterial potential of </w:t>
      </w:r>
      <w:r w:rsidRPr="002829E9">
        <w:rPr>
          <w:rFonts w:ascii="Arial" w:hAnsi="Arial" w:cs="Arial"/>
          <w:i/>
        </w:rPr>
        <w:t xml:space="preserve">M. oleifera </w:t>
      </w:r>
      <w:r w:rsidRPr="002829E9">
        <w:rPr>
          <w:rFonts w:ascii="Arial" w:hAnsi="Arial" w:cs="Arial"/>
        </w:rPr>
        <w:t xml:space="preserve">and </w:t>
      </w:r>
      <w:r w:rsidRPr="002829E9">
        <w:rPr>
          <w:rFonts w:ascii="Arial" w:hAnsi="Arial" w:cs="Arial"/>
          <w:i/>
        </w:rPr>
        <w:t xml:space="preserve">S. occidentalis </w:t>
      </w:r>
      <w:r w:rsidRPr="002829E9">
        <w:rPr>
          <w:rFonts w:ascii="Arial" w:hAnsi="Arial" w:cs="Arial"/>
        </w:rPr>
        <w:t xml:space="preserve">against multidrug-resistant strains </w:t>
      </w:r>
      <w:r w:rsidRPr="002829E9">
        <w:rPr>
          <w:rFonts w:ascii="Arial" w:hAnsi="Arial" w:cs="Arial"/>
          <w:i/>
          <w:iCs/>
        </w:rPr>
        <w:t xml:space="preserve">of Staphylococcus aureus, </w:t>
      </w:r>
      <w:r w:rsidRPr="002829E9">
        <w:rPr>
          <w:rFonts w:ascii="Arial" w:hAnsi="Arial" w:cs="Arial"/>
        </w:rPr>
        <w:t>focusing on extracts obtained with solvents of different polarities. The aim of this work is to contribute to the identification of new therapeutic approaches based on local plant biodiversity.</w:t>
      </w:r>
    </w:p>
    <w:p w14:paraId="4F71F482" w14:textId="77777777" w:rsidR="00790ADA" w:rsidRPr="00FB3A86" w:rsidRDefault="00790ADA" w:rsidP="00441B6F">
      <w:pPr>
        <w:pStyle w:val="Body"/>
        <w:spacing w:after="0"/>
        <w:rPr>
          <w:rFonts w:ascii="Arial" w:hAnsi="Arial" w:cs="Arial"/>
        </w:rPr>
      </w:pPr>
    </w:p>
    <w:p w14:paraId="61BDFC49"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0846D49" w14:textId="77777777" w:rsidR="00790ADA" w:rsidRPr="00FB3A86" w:rsidRDefault="00790ADA" w:rsidP="00441B6F">
      <w:pPr>
        <w:pStyle w:val="AbstHead"/>
        <w:spacing w:after="0"/>
        <w:jc w:val="both"/>
        <w:rPr>
          <w:rFonts w:ascii="Arial" w:hAnsi="Arial" w:cs="Arial"/>
        </w:rPr>
      </w:pPr>
    </w:p>
    <w:p w14:paraId="03617186" w14:textId="77777777" w:rsidR="00E5719A" w:rsidRPr="002829E9" w:rsidRDefault="00E5719A" w:rsidP="00E5719A">
      <w:pPr>
        <w:pStyle w:val="Body"/>
        <w:rPr>
          <w:rFonts w:ascii="Arial" w:hAnsi="Arial" w:cs="Arial"/>
          <w:b/>
          <w:bCs/>
          <w:sz w:val="22"/>
        </w:rPr>
      </w:pPr>
      <w:r w:rsidRPr="002829E9">
        <w:rPr>
          <w:rFonts w:ascii="Arial" w:hAnsi="Arial" w:cs="Arial"/>
          <w:b/>
          <w:bCs/>
          <w:sz w:val="22"/>
        </w:rPr>
        <w:t>2.1. Plant material</w:t>
      </w:r>
    </w:p>
    <w:p w14:paraId="4C4CD9A7" w14:textId="67F427DF" w:rsidR="00E5719A" w:rsidRPr="002829E9" w:rsidRDefault="00E5719A" w:rsidP="00E5719A">
      <w:pPr>
        <w:pStyle w:val="Body"/>
        <w:spacing w:after="0"/>
        <w:rPr>
          <w:rFonts w:ascii="Arial" w:hAnsi="Arial" w:cs="Arial"/>
        </w:rPr>
      </w:pPr>
      <w:r w:rsidRPr="002829E9">
        <w:rPr>
          <w:rFonts w:ascii="Arial" w:hAnsi="Arial" w:cs="Arial"/>
          <w:i/>
        </w:rPr>
        <w:t xml:space="preserve">Moringa oleifera </w:t>
      </w:r>
      <w:r w:rsidRPr="002829E9">
        <w:rPr>
          <w:rFonts w:ascii="Arial" w:hAnsi="Arial" w:cs="Arial"/>
        </w:rPr>
        <w:t xml:space="preserve">and </w:t>
      </w:r>
      <w:r w:rsidRPr="002829E9">
        <w:rPr>
          <w:rFonts w:ascii="Arial" w:hAnsi="Arial" w:cs="Arial"/>
          <w:i/>
        </w:rPr>
        <w:t xml:space="preserve">Senna occidentalis </w:t>
      </w:r>
      <w:r w:rsidRPr="002829E9">
        <w:rPr>
          <w:rFonts w:ascii="Arial" w:hAnsi="Arial" w:cs="Arial"/>
        </w:rPr>
        <w:t xml:space="preserve">plants used in this study were harvested at </w:t>
      </w:r>
      <w:proofErr w:type="spellStart"/>
      <w:r w:rsidRPr="002829E9">
        <w:rPr>
          <w:rFonts w:ascii="Arial" w:hAnsi="Arial" w:cs="Arial"/>
        </w:rPr>
        <w:t>Bissiri</w:t>
      </w:r>
      <w:proofErr w:type="spellEnd"/>
      <w:r w:rsidR="00EF6944">
        <w:rPr>
          <w:rFonts w:ascii="Arial" w:hAnsi="Arial" w:cs="Arial"/>
        </w:rPr>
        <w:t xml:space="preserve">, </w:t>
      </w:r>
      <w:r w:rsidR="00EF6944" w:rsidRPr="00EF6944">
        <w:rPr>
          <w:rFonts w:ascii="Arial" w:hAnsi="Arial" w:cs="Arial"/>
        </w:rPr>
        <w:t>and the various analyses were carried out in Ouagadougou</w:t>
      </w:r>
      <w:r w:rsidRPr="002829E9">
        <w:rPr>
          <w:rFonts w:ascii="Arial" w:hAnsi="Arial" w:cs="Arial"/>
        </w:rPr>
        <w:t xml:space="preserve"> (Figure 1). Both plants (Figure 2) were grown using organic methods, guaranteeing the absence of pesticides and chemical </w:t>
      </w:r>
      <w:r w:rsidR="0020475D" w:rsidRPr="002829E9">
        <w:rPr>
          <w:rFonts w:ascii="Arial" w:hAnsi="Arial" w:cs="Arial"/>
        </w:rPr>
        <w:t>fertili</w:t>
      </w:r>
      <w:r w:rsidR="0020475D">
        <w:rPr>
          <w:rFonts w:ascii="Arial" w:hAnsi="Arial" w:cs="Arial"/>
        </w:rPr>
        <w:t>z</w:t>
      </w:r>
      <w:r w:rsidR="0020475D" w:rsidRPr="002829E9">
        <w:rPr>
          <w:rFonts w:ascii="Arial" w:hAnsi="Arial" w:cs="Arial"/>
        </w:rPr>
        <w:t>ers</w:t>
      </w:r>
      <w:r w:rsidRPr="002829E9">
        <w:rPr>
          <w:rFonts w:ascii="Arial" w:hAnsi="Arial" w:cs="Arial"/>
        </w:rPr>
        <w:t>, which is crucial for preserving the quality and purity of the active compounds</w:t>
      </w:r>
      <w:r w:rsidR="00052D12" w:rsidRPr="002829E9">
        <w:rPr>
          <w:rFonts w:ascii="Arial" w:hAnsi="Arial" w:cs="Arial"/>
        </w:rPr>
        <w:t xml:space="preserve"> </w:t>
      </w:r>
      <w:r w:rsidR="00052D12" w:rsidRPr="00052D12">
        <w:rPr>
          <w:rFonts w:ascii="Arial" w:hAnsi="Arial" w:cs="Arial"/>
          <w:lang w:val="fr-FR"/>
        </w:rPr>
        <w:fldChar w:fldCharType="begin" w:fldLock="1"/>
      </w:r>
      <w:r w:rsidR="00052D12" w:rsidRPr="002829E9">
        <w:rPr>
          <w:rFonts w:ascii="Arial" w:hAnsi="Arial" w:cs="Arial"/>
        </w:rPr>
        <w:instrText>ADDIN CSL_CITATION {"citationItems":[{"id":"ITEM-1","itemData":{"abstract":"Aim: The study is aimed at evaluating the antibacterial activity of Moringa oleifera root bark extract against pathogenic organisms. Method: The antibacterial activity of methanolic and aqueous extracts of Moringa oleifera root bark was investigated against test organisms (Staphylococcus aureus and Escherichia coli) using agar well diffusion method. Different extracts were prepared at different concentrations (200 mg/ml, 100 mg/ml, 50 mg/ml, 25 mg/ml, 12.5 mg/ml and 6.25 mg/ml). Results: The methanol extracts showed a higher zone of inhibition than the aqueous extracts at all the extract concentrations and on both test organisms. Also, the observed antibacterial activity was dose-dependent for both extract methods. Conclusion: The present work showed that Moringa oleifera root bark has antibacterial activity against Staphylococcus aureus and Escherichia coli suggesting its potential as an antibacterial agent against infections caused by the organisms. Original Research Article Amanze et al.; AJI, 4(3): 21-27, 2020; Article no.AJI.60290 22","author":[{"dropping-particle":"","family":"Amanze","given":"Emmanuel K","non-dropping-particle":"","parse-names":false,"suffix":""},{"dropping-particle":"","family":"Nwankpa","given":"Ugonna D","non-dropping-particle":"","parse-names":false,"suffix":""},{"dropping-particle":"","family":"Udekwu","given":"C","non-dropping-particle":"","parse-names":false,"suffix":""},{"dropping-particle":"","family":"Ogbonna","given":"Henry N","non-dropping-particle":"","parse-names":false,"suffix":""},{"dropping-particle":"V","family":"Nwokafor","given":"Chibuzo","non-dropping-particle":"","parse-names":false,"suffix":""},{"dropping-particle":"","family":"Udensi","given":"C","non-dropping-particle":"","parse-names":false,"suffix":""}],"container-title":"Asian Journal of Immunology","id":"ITEM-1","issue":"3","issued":{"date-parts":[["2020"]]},"page":"21-27","title":"Antibacterial Activity of Moringa oleifera Root Bark Extract against Some Pathogenic Organisms","type":"article-journal","volume":"4"},"uris":["http://www.mendeley.com/documents/?uuid=bb039ef9-551c-4a50-bdd3-8879ebca0a3d"]}],"mendeley":{"formattedCitation":"(Amanze et al., 2020)","plainTextFormattedCitation":"(Amanze et al., 2020)","previouslyFormattedCitation":"(Amanze et al., 2020)"},"properties":{"noteIndex":0},"schema":"https://github.com/citation-style-language/schema/raw/master/csl-citation.json"}</w:instrText>
      </w:r>
      <w:r w:rsidR="00052D12" w:rsidRPr="00052D12">
        <w:rPr>
          <w:rFonts w:ascii="Arial" w:hAnsi="Arial" w:cs="Arial"/>
          <w:lang w:val="fr-FR"/>
        </w:rPr>
        <w:fldChar w:fldCharType="separate"/>
      </w:r>
      <w:r w:rsidR="00052D12" w:rsidRPr="002829E9">
        <w:rPr>
          <w:rFonts w:ascii="Arial" w:hAnsi="Arial" w:cs="Arial"/>
        </w:rPr>
        <w:t xml:space="preserve">(Amanze </w:t>
      </w:r>
      <w:r w:rsidR="00AC67BB" w:rsidRPr="002829E9">
        <w:rPr>
          <w:rFonts w:ascii="Arial" w:hAnsi="Arial" w:cs="Arial"/>
          <w:i/>
        </w:rPr>
        <w:t>et al.</w:t>
      </w:r>
      <w:r w:rsidR="00052D12" w:rsidRPr="002829E9">
        <w:rPr>
          <w:rFonts w:ascii="Arial" w:hAnsi="Arial" w:cs="Arial"/>
        </w:rPr>
        <w:t>, 2020)</w:t>
      </w:r>
      <w:r w:rsidR="00052D12" w:rsidRPr="00052D12">
        <w:rPr>
          <w:rFonts w:ascii="Arial" w:hAnsi="Arial" w:cs="Arial"/>
          <w:lang w:val="fr-FR"/>
        </w:rPr>
        <w:fldChar w:fldCharType="end"/>
      </w:r>
      <w:r w:rsidRPr="002829E9">
        <w:rPr>
          <w:rFonts w:ascii="Arial" w:hAnsi="Arial" w:cs="Arial"/>
        </w:rPr>
        <w:t xml:space="preserve">. The organs harvested for </w:t>
      </w:r>
      <w:r w:rsidRPr="002829E9">
        <w:rPr>
          <w:rFonts w:ascii="Arial" w:hAnsi="Arial" w:cs="Arial"/>
          <w:i/>
        </w:rPr>
        <w:t xml:space="preserve">M. oleifera </w:t>
      </w:r>
      <w:r w:rsidRPr="002829E9">
        <w:rPr>
          <w:rFonts w:ascii="Arial" w:hAnsi="Arial" w:cs="Arial"/>
        </w:rPr>
        <w:t xml:space="preserve">included leaves, stem bark and flowers, while for </w:t>
      </w:r>
      <w:r w:rsidRPr="002829E9">
        <w:rPr>
          <w:rFonts w:ascii="Arial" w:hAnsi="Arial" w:cs="Arial"/>
          <w:i/>
        </w:rPr>
        <w:t>S. occidentalis</w:t>
      </w:r>
      <w:r w:rsidRPr="002829E9">
        <w:rPr>
          <w:rFonts w:ascii="Arial" w:hAnsi="Arial" w:cs="Arial"/>
        </w:rPr>
        <w:t>, leaves, stem bark, seeds and seed capsules were collected.</w:t>
      </w:r>
      <w:r w:rsidR="00B76237">
        <w:rPr>
          <w:rFonts w:ascii="Arial" w:hAnsi="Arial" w:cs="Arial"/>
        </w:rPr>
        <w:t xml:space="preserve"> </w:t>
      </w:r>
      <w:r w:rsidR="00B76237" w:rsidRPr="00B76237">
        <w:rPr>
          <w:rFonts w:ascii="Arial" w:hAnsi="Arial" w:cs="Arial"/>
        </w:rPr>
        <w:t>After harvesting, the plant parts were carefully cleaned, dried in the shade (at room temperature for one week) to preserve heat-sensitive compounds, then ground into a fine powder using a mechanical grinder.</w:t>
      </w:r>
      <w:r w:rsidRPr="002829E9">
        <w:rPr>
          <w:rFonts w:ascii="Arial" w:hAnsi="Arial" w:cs="Arial"/>
        </w:rPr>
        <w:t xml:space="preserve"> The powder obtained was stored in airtight containers at room temperature, protected from light and humidity, until use.</w:t>
      </w:r>
    </w:p>
    <w:p w14:paraId="3B46A972" w14:textId="77777777" w:rsidR="00E5719A" w:rsidRDefault="000F1D59" w:rsidP="000F1D59">
      <w:pPr>
        <w:pStyle w:val="Body"/>
        <w:jc w:val="center"/>
        <w:rPr>
          <w:rFonts w:ascii="Arial" w:hAnsi="Arial" w:cs="Arial"/>
          <w:lang w:val="fr-FR"/>
        </w:rPr>
      </w:pPr>
      <w:r>
        <w:rPr>
          <w:rFonts w:ascii="Arial" w:hAnsi="Arial" w:cs="Arial"/>
          <w:noProof/>
          <w:lang w:val="fr-FR" w:eastAsia="fr-FR"/>
        </w:rPr>
        <w:lastRenderedPageBreak/>
        <w:drawing>
          <wp:inline distT="0" distB="0" distL="0" distR="0" wp14:anchorId="4FC847BE" wp14:editId="51752428">
            <wp:extent cx="5212080" cy="40087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TE KONE anglai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4008755"/>
                    </a:xfrm>
                    <a:prstGeom prst="rect">
                      <a:avLst/>
                    </a:prstGeom>
                  </pic:spPr>
                </pic:pic>
              </a:graphicData>
            </a:graphic>
          </wp:inline>
        </w:drawing>
      </w:r>
    </w:p>
    <w:p w14:paraId="20DF42B9" w14:textId="442D5335" w:rsidR="00E5719A" w:rsidRPr="002829E9" w:rsidRDefault="00052D12" w:rsidP="00E5719A">
      <w:pPr>
        <w:pStyle w:val="Body"/>
        <w:jc w:val="center"/>
        <w:rPr>
          <w:rFonts w:ascii="Arial" w:hAnsi="Arial" w:cs="Arial"/>
          <w:b/>
        </w:rPr>
      </w:pPr>
      <w:r w:rsidRPr="002829E9">
        <w:rPr>
          <w:rFonts w:ascii="Arial" w:hAnsi="Arial" w:cs="Arial"/>
          <w:b/>
        </w:rPr>
        <w:t xml:space="preserve">Fig. </w:t>
      </w:r>
      <w:r w:rsidR="00E5719A" w:rsidRPr="00863B9E">
        <w:rPr>
          <w:rFonts w:ascii="Arial" w:hAnsi="Arial" w:cs="Arial"/>
          <w:b/>
          <w:iCs/>
          <w:lang w:val="fr-FR"/>
        </w:rPr>
        <w:fldChar w:fldCharType="begin"/>
      </w:r>
      <w:r w:rsidR="00E5719A" w:rsidRPr="002829E9">
        <w:rPr>
          <w:rFonts w:ascii="Arial" w:hAnsi="Arial" w:cs="Arial"/>
          <w:b/>
        </w:rPr>
        <w:instrText xml:space="preserve"> SEQ Figure \* ARABIC </w:instrText>
      </w:r>
      <w:r w:rsidR="00E5719A" w:rsidRPr="00863B9E">
        <w:rPr>
          <w:rFonts w:ascii="Arial" w:hAnsi="Arial" w:cs="Arial"/>
          <w:b/>
          <w:iCs/>
          <w:lang w:val="fr-FR"/>
        </w:rPr>
        <w:fldChar w:fldCharType="separate"/>
      </w:r>
      <w:r w:rsidR="00857943">
        <w:rPr>
          <w:rFonts w:ascii="Arial" w:hAnsi="Arial" w:cs="Arial"/>
          <w:b/>
          <w:noProof/>
        </w:rPr>
        <w:t>1</w:t>
      </w:r>
      <w:r w:rsidR="00E5719A" w:rsidRPr="00863B9E">
        <w:rPr>
          <w:rFonts w:ascii="Arial" w:hAnsi="Arial" w:cs="Arial"/>
          <w:b/>
          <w:lang w:val="fr-FR"/>
        </w:rPr>
        <w:fldChar w:fldCharType="end"/>
      </w:r>
      <w:r w:rsidR="00E5719A" w:rsidRPr="002829E9">
        <w:rPr>
          <w:rFonts w:ascii="Arial" w:hAnsi="Arial" w:cs="Arial"/>
          <w:b/>
        </w:rPr>
        <w:t xml:space="preserve"> : Harvesting site</w:t>
      </w:r>
      <w:r w:rsidR="0095429F" w:rsidRPr="002829E9">
        <w:rPr>
          <w:rFonts w:ascii="Arial" w:hAnsi="Arial" w:cs="Arial"/>
          <w:b/>
        </w:rPr>
        <w:t xml:space="preserve"> and study area </w:t>
      </w:r>
      <w:r w:rsidR="00E5719A" w:rsidRPr="002829E9">
        <w:rPr>
          <w:rFonts w:ascii="Arial" w:hAnsi="Arial" w:cs="Arial"/>
          <w:b/>
        </w:rPr>
        <w:t xml:space="preserve">for </w:t>
      </w:r>
      <w:r w:rsidR="00E5719A" w:rsidRPr="002829E9">
        <w:rPr>
          <w:rFonts w:ascii="Arial" w:hAnsi="Arial" w:cs="Arial"/>
          <w:b/>
          <w:i/>
        </w:rPr>
        <w:t xml:space="preserve">M. oleifera </w:t>
      </w:r>
      <w:r w:rsidR="00E5719A" w:rsidRPr="002829E9">
        <w:rPr>
          <w:rFonts w:ascii="Arial" w:hAnsi="Arial" w:cs="Arial"/>
          <w:b/>
        </w:rPr>
        <w:t xml:space="preserve">and </w:t>
      </w:r>
      <w:r w:rsidR="00E5719A" w:rsidRPr="002829E9">
        <w:rPr>
          <w:rFonts w:ascii="Arial" w:hAnsi="Arial" w:cs="Arial"/>
          <w:b/>
          <w:i/>
        </w:rPr>
        <w:t xml:space="preserve">S. occidentalis </w:t>
      </w:r>
      <w:r w:rsidR="00E5719A" w:rsidRPr="002829E9">
        <w:rPr>
          <w:rFonts w:ascii="Arial" w:hAnsi="Arial" w:cs="Arial"/>
          <w:b/>
        </w:rPr>
        <w:t>samples</w:t>
      </w:r>
    </w:p>
    <w:p w14:paraId="300F718C" w14:textId="77777777" w:rsidR="00E5719A" w:rsidRPr="00E5719A" w:rsidRDefault="00E5719A" w:rsidP="000F1D59">
      <w:pPr>
        <w:pStyle w:val="Body"/>
        <w:jc w:val="center"/>
        <w:rPr>
          <w:rFonts w:ascii="Arial" w:hAnsi="Arial" w:cs="Arial"/>
          <w:lang w:val="en-CA"/>
        </w:rPr>
      </w:pPr>
      <w:r w:rsidRPr="00E5719A">
        <w:rPr>
          <w:rFonts w:ascii="Arial" w:hAnsi="Arial" w:cs="Arial"/>
          <w:noProof/>
          <w:lang w:val="fr-FR" w:eastAsia="fr-FR"/>
        </w:rPr>
        <w:drawing>
          <wp:inline distT="0" distB="0" distL="0" distR="0" wp14:anchorId="15F8EE19" wp14:editId="09D2E736">
            <wp:extent cx="5839910" cy="2927890"/>
            <wp:effectExtent l="0" t="0" r="889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L.JPG"/>
                    <pic:cNvPicPr/>
                  </pic:nvPicPr>
                  <pic:blipFill>
                    <a:blip r:embed="rId15">
                      <a:extLst>
                        <a:ext uri="{28A0092B-C50C-407E-A947-70E740481C1C}">
                          <a14:useLocalDpi xmlns:a14="http://schemas.microsoft.com/office/drawing/2010/main" val="0"/>
                        </a:ext>
                      </a:extLst>
                    </a:blip>
                    <a:stretch>
                      <a:fillRect/>
                    </a:stretch>
                  </pic:blipFill>
                  <pic:spPr>
                    <a:xfrm>
                      <a:off x="0" y="0"/>
                      <a:ext cx="5839910" cy="2927890"/>
                    </a:xfrm>
                    <a:prstGeom prst="rect">
                      <a:avLst/>
                    </a:prstGeom>
                  </pic:spPr>
                </pic:pic>
              </a:graphicData>
            </a:graphic>
          </wp:inline>
        </w:drawing>
      </w:r>
    </w:p>
    <w:p w14:paraId="5B83E67E" w14:textId="0E2CB13E" w:rsidR="00E5719A" w:rsidRPr="00863B9E" w:rsidRDefault="00052D12" w:rsidP="00863B9E">
      <w:pPr>
        <w:pStyle w:val="Body"/>
        <w:jc w:val="center"/>
        <w:rPr>
          <w:rFonts w:ascii="Arial" w:hAnsi="Arial" w:cs="Arial"/>
          <w:b/>
          <w:lang w:val="en-CA"/>
        </w:rPr>
      </w:pPr>
      <w:r w:rsidRPr="002829E9">
        <w:rPr>
          <w:rFonts w:ascii="Arial" w:hAnsi="Arial" w:cs="Arial"/>
          <w:b/>
        </w:rPr>
        <w:t xml:space="preserve">Fig. </w:t>
      </w:r>
      <w:r w:rsidR="00E5719A" w:rsidRPr="00863B9E">
        <w:rPr>
          <w:rFonts w:ascii="Arial" w:hAnsi="Arial" w:cs="Arial"/>
          <w:b/>
          <w:iCs/>
          <w:lang w:val="fr-FR"/>
        </w:rPr>
        <w:fldChar w:fldCharType="begin"/>
      </w:r>
      <w:r w:rsidR="00E5719A" w:rsidRPr="002829E9">
        <w:rPr>
          <w:rFonts w:ascii="Arial" w:hAnsi="Arial" w:cs="Arial"/>
          <w:b/>
        </w:rPr>
        <w:instrText xml:space="preserve"> SEQ Figure \* ARABIC </w:instrText>
      </w:r>
      <w:r w:rsidR="00E5719A" w:rsidRPr="00863B9E">
        <w:rPr>
          <w:rFonts w:ascii="Arial" w:hAnsi="Arial" w:cs="Arial"/>
          <w:b/>
          <w:iCs/>
          <w:lang w:val="fr-FR"/>
        </w:rPr>
        <w:fldChar w:fldCharType="separate"/>
      </w:r>
      <w:r w:rsidR="00857943">
        <w:rPr>
          <w:rFonts w:ascii="Arial" w:hAnsi="Arial" w:cs="Arial"/>
          <w:b/>
          <w:noProof/>
        </w:rPr>
        <w:t>2</w:t>
      </w:r>
      <w:r w:rsidR="00E5719A" w:rsidRPr="00863B9E">
        <w:rPr>
          <w:rFonts w:ascii="Arial" w:hAnsi="Arial" w:cs="Arial"/>
          <w:b/>
        </w:rPr>
        <w:fldChar w:fldCharType="end"/>
      </w:r>
      <w:r w:rsidR="00E5719A" w:rsidRPr="00863B9E">
        <w:rPr>
          <w:rFonts w:ascii="Arial" w:hAnsi="Arial" w:cs="Arial"/>
          <w:b/>
          <w:i/>
          <w:iCs/>
          <w:lang w:val="en-CA"/>
        </w:rPr>
        <w:t xml:space="preserve"> : Moringa oleifera </w:t>
      </w:r>
      <w:r w:rsidR="00E5719A" w:rsidRPr="00863B9E">
        <w:rPr>
          <w:rFonts w:ascii="Arial" w:hAnsi="Arial" w:cs="Arial"/>
          <w:b/>
          <w:lang w:val="en-CA"/>
        </w:rPr>
        <w:t xml:space="preserve">(a) and </w:t>
      </w:r>
      <w:r w:rsidR="00E5719A" w:rsidRPr="00863B9E">
        <w:rPr>
          <w:rFonts w:ascii="Arial" w:hAnsi="Arial" w:cs="Arial"/>
          <w:b/>
          <w:i/>
          <w:iCs/>
          <w:lang w:val="en-CA"/>
        </w:rPr>
        <w:t xml:space="preserve">Senna occidentalis </w:t>
      </w:r>
      <w:r w:rsidR="00E5719A" w:rsidRPr="00863B9E">
        <w:rPr>
          <w:rFonts w:ascii="Arial" w:hAnsi="Arial" w:cs="Arial"/>
          <w:b/>
          <w:lang w:val="en-CA"/>
        </w:rPr>
        <w:t>(b)</w:t>
      </w:r>
    </w:p>
    <w:p w14:paraId="7671972C" w14:textId="4ED0358E" w:rsidR="00AA5A85" w:rsidRPr="00954480" w:rsidRDefault="00AA5A85" w:rsidP="00AA5A85">
      <w:pPr>
        <w:pStyle w:val="Body"/>
        <w:spacing w:before="240"/>
        <w:rPr>
          <w:rFonts w:ascii="Arial" w:hAnsi="Arial" w:cs="Arial"/>
          <w:b/>
          <w:bCs/>
          <w:u w:val="single"/>
        </w:rPr>
      </w:pPr>
      <w:r w:rsidRPr="00954480">
        <w:rPr>
          <w:rFonts w:ascii="Arial" w:hAnsi="Arial" w:cs="Arial"/>
          <w:b/>
          <w:bCs/>
          <w:u w:val="single"/>
        </w:rPr>
        <w:lastRenderedPageBreak/>
        <w:t>2.</w:t>
      </w:r>
      <w:r w:rsidR="002C549B">
        <w:rPr>
          <w:rFonts w:ascii="Arial" w:hAnsi="Arial" w:cs="Arial"/>
          <w:b/>
          <w:bCs/>
          <w:u w:val="single"/>
        </w:rPr>
        <w:t>1</w:t>
      </w:r>
      <w:r w:rsidRPr="00954480">
        <w:rPr>
          <w:rFonts w:ascii="Arial" w:hAnsi="Arial" w:cs="Arial"/>
          <w:b/>
          <w:bCs/>
          <w:u w:val="single"/>
        </w:rPr>
        <w:t xml:space="preserve">.1. Preparation of crude extracts </w:t>
      </w:r>
    </w:p>
    <w:p w14:paraId="7EC15DD4" w14:textId="675640A2" w:rsidR="00AA5A85" w:rsidRPr="002829E9" w:rsidRDefault="00AA5A85" w:rsidP="00AA5A85">
      <w:pPr>
        <w:pStyle w:val="Body"/>
        <w:rPr>
          <w:rFonts w:ascii="Arial" w:hAnsi="Arial" w:cs="Arial"/>
        </w:rPr>
      </w:pPr>
      <w:r w:rsidRPr="00504DBB">
        <w:rPr>
          <w:rFonts w:ascii="Arial" w:hAnsi="Arial" w:cs="Arial"/>
        </w:rPr>
        <w:t xml:space="preserve">To </w:t>
      </w:r>
      <w:proofErr w:type="spellStart"/>
      <w:r w:rsidRPr="00504DBB">
        <w:rPr>
          <w:rFonts w:ascii="Arial" w:hAnsi="Arial" w:cs="Arial"/>
        </w:rPr>
        <w:t>maximise</w:t>
      </w:r>
      <w:proofErr w:type="spellEnd"/>
      <w:r w:rsidRPr="00504DBB">
        <w:rPr>
          <w:rFonts w:ascii="Arial" w:hAnsi="Arial" w:cs="Arial"/>
        </w:rPr>
        <w:t xml:space="preserve"> extraction of the active compounds, three solvents of different polarity were used: water, ethanol and dichloromethane. </w:t>
      </w:r>
      <w:r w:rsidRPr="002829E9">
        <w:rPr>
          <w:rFonts w:ascii="Arial" w:hAnsi="Arial" w:cs="Arial"/>
        </w:rPr>
        <w:t>For each solvent, 2.5 g of powder was macerated in 25 mL of solvent for 24 hours in a cool place. The extracts were filtered on cotton wool and then on 3 mm Whatman paper. The ethanolic and dichloromethane extracts were concentrated in the oven, while the aqueous extracts were freeze-dried to preserve the heat-sensitive compounds. All extracts were stored at 4°C prior to microbiological testing</w:t>
      </w:r>
      <w:r w:rsidR="004732E5">
        <w:rPr>
          <w:rFonts w:ascii="Arial" w:hAnsi="Arial" w:cs="Arial"/>
        </w:rPr>
        <w:t xml:space="preserve"> </w:t>
      </w:r>
      <w:r w:rsidR="004732E5" w:rsidRPr="004732E5">
        <w:rPr>
          <w:highlight w:val="yellow"/>
        </w:rPr>
        <w:fldChar w:fldCharType="begin" w:fldLock="1"/>
      </w:r>
      <w:r w:rsidR="004732E5" w:rsidRPr="004732E5">
        <w:rPr>
          <w:highlight w:val="yellow"/>
        </w:rPr>
        <w:instrText>ADDIN CSL_CITATION {"citationItems":[{"id":"ITEM-1","itemData":{"DOI":"10.1016/j.bioorg.2020.103922","ISSN":"10902120","PMID":"32559577","abstract":"The discovery of novel antibacterial molecules plays a key role in solving the current antibiotic crisis issue. Natural products have long been an important source of drug discovery. Herein, we reviewed 256 natural products from 11 structural classes in the period of 2016–01/2020, which were selected by SciFinder with new compounds or new structures and MICs lower than 10 μg/mL or 10 μM as criterions. This review will provide some effective antibacterial lead compounds for medicinal chemists, which will promote the antibiotics research based on natural products to the next level.","author":[{"dropping-particle":"","family":"Dai","given":"Jiangkun","non-dropping-particle":"","parse-names":false,"suffix":""},{"dropping-particle":"","family":"Han","given":"Rui","non-dropping-particle":"","parse-names":false,"suffix":""},{"dropping-particle":"","family":"Xu","given":"Yujie","non-dropping-particle":"","parse-names":false,"suffix":""},{"dropping-particle":"","family":"Li","given":"Na","non-dropping-particle":"","parse-names":false,"suffix":""},{"dropping-particle":"","family":"Wang","given":"Junru","non-dropping-particle":"","parse-names":false,"suffix":""},{"dropping-particle":"","family":"Dan","given":"Wenjia","non-dropping-particle":"","parse-names":false,"suffix":""}],"container-title":"Bioorganic Chemistry","id":"ITEM-1","issued":{"date-parts":[["2020"]]},"title":"Recent progress of antibacterial natural products: Future antibiotics candidates","type":"article-journal","volume":"101"},"uris":["http://www.mendeley.com/documents/?uuid=ad0b8a76-6e95-4aad-afcc-adadc28d5a72"]}],"mendeley":{"formattedCitation":"(Dai et al., 2020)","plainTextFormattedCitation":"(Dai et al., 2020)"},"properties":{"noteIndex":0},"schema":"https://github.com/citation-style-language/schema/raw/master/csl-citation.json"}</w:instrText>
      </w:r>
      <w:r w:rsidR="004732E5" w:rsidRPr="004732E5">
        <w:rPr>
          <w:highlight w:val="yellow"/>
        </w:rPr>
        <w:fldChar w:fldCharType="separate"/>
      </w:r>
      <w:r w:rsidR="004732E5" w:rsidRPr="004732E5">
        <w:rPr>
          <w:noProof/>
          <w:highlight w:val="yellow"/>
        </w:rPr>
        <w:t>(Dai et al., 2020)</w:t>
      </w:r>
      <w:r w:rsidR="004732E5" w:rsidRPr="004732E5">
        <w:rPr>
          <w:highlight w:val="yellow"/>
        </w:rPr>
        <w:fldChar w:fldCharType="end"/>
      </w:r>
      <w:r w:rsidRPr="002829E9">
        <w:rPr>
          <w:rFonts w:ascii="Arial" w:hAnsi="Arial" w:cs="Arial"/>
        </w:rPr>
        <w:t>.</w:t>
      </w:r>
    </w:p>
    <w:p w14:paraId="65B18925" w14:textId="48FC33B8" w:rsidR="00A645E6" w:rsidRPr="002C549B" w:rsidRDefault="00A645E6" w:rsidP="00A645E6">
      <w:pPr>
        <w:pStyle w:val="Body"/>
        <w:rPr>
          <w:rFonts w:ascii="Arial" w:hAnsi="Arial" w:cs="Arial"/>
          <w:b/>
          <w:bCs/>
          <w:u w:val="single"/>
        </w:rPr>
      </w:pPr>
      <w:r w:rsidRPr="002C549B">
        <w:rPr>
          <w:rFonts w:ascii="Arial" w:hAnsi="Arial" w:cs="Arial"/>
          <w:b/>
          <w:bCs/>
          <w:u w:val="single"/>
        </w:rPr>
        <w:t>2.</w:t>
      </w:r>
      <w:r w:rsidR="002C549B">
        <w:rPr>
          <w:rFonts w:ascii="Arial" w:hAnsi="Arial" w:cs="Arial"/>
          <w:b/>
          <w:bCs/>
          <w:u w:val="single"/>
        </w:rPr>
        <w:t>1</w:t>
      </w:r>
      <w:r w:rsidR="002C549B" w:rsidRPr="002C549B">
        <w:rPr>
          <w:rFonts w:ascii="Arial" w:hAnsi="Arial" w:cs="Arial"/>
          <w:b/>
          <w:bCs/>
          <w:u w:val="single"/>
        </w:rPr>
        <w:t>.2</w:t>
      </w:r>
      <w:r w:rsidRPr="002C549B">
        <w:rPr>
          <w:rFonts w:ascii="Arial" w:hAnsi="Arial" w:cs="Arial"/>
          <w:b/>
          <w:bCs/>
          <w:u w:val="single"/>
        </w:rPr>
        <w:t xml:space="preserve">. Qualitative phytochemical screening </w:t>
      </w:r>
    </w:p>
    <w:p w14:paraId="66E74E52" w14:textId="52A978D3" w:rsidR="00A645E6" w:rsidRPr="002829E9" w:rsidRDefault="00A645E6" w:rsidP="00A645E6">
      <w:pPr>
        <w:pStyle w:val="Body"/>
        <w:rPr>
          <w:rFonts w:ascii="Arial" w:hAnsi="Arial" w:cs="Arial"/>
        </w:rPr>
      </w:pPr>
      <w:r w:rsidRPr="002829E9">
        <w:rPr>
          <w:rFonts w:ascii="Arial" w:hAnsi="Arial" w:cs="Arial"/>
        </w:rPr>
        <w:t>The concentrated extracts were subjected to a series of specific chemical tests in tubes, enabling the qualitative detection of different classes of secondary compounds, according to protocols validated and updated by several recent studies</w:t>
      </w:r>
      <w:r w:rsidR="00052D12" w:rsidRPr="002829E9">
        <w:rPr>
          <w:rFonts w:ascii="Arial" w:hAnsi="Arial" w:cs="Arial"/>
        </w:rPr>
        <w:t xml:space="preserve"> </w:t>
      </w:r>
      <w:r w:rsidR="00052D12" w:rsidRPr="00052D12">
        <w:rPr>
          <w:rFonts w:ascii="Arial" w:hAnsi="Arial" w:cs="Arial"/>
          <w:lang w:val="fr-FR"/>
        </w:rPr>
        <w:fldChar w:fldCharType="begin" w:fldLock="1"/>
      </w:r>
      <w:r w:rsidR="00052D12" w:rsidRPr="002829E9">
        <w:rPr>
          <w:rFonts w:ascii="Arial" w:hAnsi="Arial" w:cs="Arial"/>
        </w:rPr>
        <w:instrText>ADDIN CSL_CITATION {"citationItems":[{"id":"ITEM-1","itemData":{"DOI":"10.4025/actascibiolsci.v42i1.51881","ISSN":"1807863X","abstract":"Spiranthera odoratissima A. St.-Hil (Rutaceae), a shrub whose common name is manacá do Cerrado in Brazilian Portuguese, is about 1-m high and has been used by folk medicine to treat stomachache, kidney and liver infections, headache, rheumatism and as a blood purifier. This study aimed at preparing hexane, ethyl acetate, methanolic, hydroethanolic and aqueous extracts from S. odoratissima leaves, at carrying out preliminary phytochemical screening and at evaluating their in vitro antioxidant and anti-Listeria monocytogenes activities. Antioxidant activity was evaluated by the DPPH (2,2-diphenyl-1-picrylhydrazyl), ABTS (2,2-azinobis-3-ethybenzothiazoline-6-sulfonate) and FRAP (ferric reducing antioxidant power) methods. Antibacterial activity was investigated against L. monocytogenes and Minimum Inhibitory Concentration (MIC) values of plant extracts were calculated by the broth microdilution method with the use of 96-well plates. In aqueous, methanolic, hydroethanolic, ethyl acetate and hexane extracts from S. odoratissima leaves, the following classes of compounds were investigated: organic acids, reducing sugars, flavonoids, saponin compounds, coumarin compounds, phenolics, tannins, purine compounds, catechins, flavonol derivatives, sesquiterpene lactones and anthraquinones. All plant extracts, except the hexane one, exhibited high antioxidant activity. Regarding antibacterial activity, the most polar extracts showed high activity against L. monocytogenes; their MIC values ranged between 12.5 and 62.5 µg mL-1, while the hexane one exhibited low activity (MIC = 1000 µg mL-1). In short, extracts from S. odoratissima leaves may be considered promising sources of secondary metabolites with relevant antioxidant and antibacterial activities.","author":[{"dropping-particle":"","family":"Souza","given":"Amanda De Oliveira","non-dropping-particle":"","parse-names":false,"suffix":""},{"dropping-particle":"","family":"Bessa","given":"Dâmaris Hadassa Rangel Fonseca","non-dropping-particle":"","parse-names":false,"suffix":""},{"dropping-particle":"","family":"Fernandes","given":"Cassia Cristina","non-dropping-particle":"","parse-names":false,"suffix":""},{"dropping-particle":"","family":"Pereira","given":"Paulo Sérgio","non-dropping-particle":"","parse-names":false,"suffix":""},{"dropping-particle":"","family":"Martins","given":"Carlos Henrique Gomes","non-dropping-particle":"","parse-names":false,"suffix":""},{"dropping-particle":"","family":"Miranda","given":"Mayker Lazaro Dantas","non-dropping-particle":"","parse-names":false,"suffix":""}],"container-title":"Acta Scientiarum - Biological Sciences","id":"ITEM-1","issued":{"date-parts":[["2020"]]},"page":"1-10","title":"Phytochemical screening of extracts from spiranthera odoratissima a. St.-hil. (rutaceae) leaves and their in vitro antioxidant and anti-listeria monocytogenes activities","type":"article-journal","volume":"42"},"uris":["http://www.mendeley.com/documents/?uuid=7dbe3c36-3424-4b18-b486-8f2db9f665b5"]}],"mendeley":{"formattedCitation":"(Souza et al., 2020)","manualFormatting":"(Harborne, 1998 ; Souza et al., 2020)","plainTextFormattedCitation":"(Souza et al., 2020)","previouslyFormattedCitation":"(Souza et al., 2020)"},"properties":{"noteIndex":0},"schema":"https://github.com/citation-style-language/schema/raw/master/csl-citation.json"}</w:instrText>
      </w:r>
      <w:r w:rsidR="00052D12" w:rsidRPr="00052D12">
        <w:rPr>
          <w:rFonts w:ascii="Arial" w:hAnsi="Arial" w:cs="Arial"/>
          <w:lang w:val="fr-FR"/>
        </w:rPr>
        <w:fldChar w:fldCharType="separate"/>
      </w:r>
      <w:r w:rsidR="00052D12" w:rsidRPr="002829E9">
        <w:rPr>
          <w:rFonts w:ascii="Arial" w:hAnsi="Arial" w:cs="Arial"/>
        </w:rPr>
        <w:t>(Harborne, 1998 ;</w:t>
      </w:r>
      <w:r w:rsidR="00204152" w:rsidRPr="00204152">
        <w:rPr>
          <w:rFonts w:asciiTheme="minorHAnsi" w:eastAsiaTheme="minorEastAsia" w:hAnsiTheme="minorHAnsi" w:cstheme="minorBidi"/>
          <w:kern w:val="2"/>
          <w:sz w:val="24"/>
          <w:szCs w:val="24"/>
          <w:lang w:val="fr-FR" w:eastAsia="fr-FR"/>
          <w14:ligatures w14:val="standardContextual"/>
        </w:rPr>
        <w:t xml:space="preserve"> </w:t>
      </w:r>
      <w:r w:rsidR="00204152" w:rsidRPr="00204152">
        <w:rPr>
          <w:rFonts w:ascii="Arial" w:hAnsi="Arial" w:cs="Arial"/>
          <w:lang w:val="fr-FR"/>
        </w:rPr>
        <w:fldChar w:fldCharType="begin" w:fldLock="1"/>
      </w:r>
      <w:r w:rsidR="00204152">
        <w:rPr>
          <w:rFonts w:ascii="Arial" w:hAnsi="Arial" w:cs="Arial"/>
          <w:lang w:val="fr-FR"/>
        </w:rPr>
        <w:instrText>ADDIN CSL_CITATION {"citationItems":[{"id":"ITEM-1","itemData":{"DOI":"10.1016/S2222-1808(12)60045-0","ISSN":"22221808","abstract":"Objective: To evaluate the antimicrobial activity of hexane, ethyl acetate and methanol extracts of seeds and fruits of Illicium griffithii (I. griffithii)(Family: Schisandraceae). Methods: The antimicrobial activity of the organic extracts were determined using disc diffusion assay against Gram-positive bacterial strains (three reference cultures and three clinical isolates), Gram-negative bacterial strains (nine reference cultures and six clinical isolates), and six fungi. The primary phytochemical and chemical compositions were analyzed using qualitative chemical analysis and gas chromatography-mass spectrometry respectively. Results: Ethyl acetate extract of fruits was effective against most of the tested reference cultures such as Staphylococcus aureus, Yersinia enterocolitica, Vibrio parahaemolyticus, Bacillus subtilis, Salmonella paratyphi, Enterococcus feacalis, Xanthomonas oryzae and Pseudomonas aerugenosa, whereas methanol extract showed activity only against Staphylococcus aureus, Bacillus subtilis and Xanthomonas oryzae. The hexane and ethyl acetate extracts of fruits were more effective against most of the clinical isolates, whereas methanol extract was effective only against Klebsiella pneumoniae ESBL. The extracts of fruits and seeds did not show any significant antifungal activity against tested fungi. The presence of phenols, tannins, flavonoids, triterpenoids, steroids, alkaloids, saponis and carbohydrates in the different extracts was established. Gas chromatography-mass spectrometry studies on hexane and ethyl acetate extract of fruits resulted in the identification of 31 and 39 compounds respectively. Conclusions: Potent antibacterial phytochemicals are present in ethyl acetate extract of I. griffithii fruits. Further studies are needed to investigate activities of I. griffithii against multidrug resistant bacteria. © 2012 Asian Pacific Tr</w:instrText>
      </w:r>
      <w:r w:rsidR="00204152" w:rsidRPr="00BC36F4">
        <w:rPr>
          <w:rFonts w:ascii="Arial" w:hAnsi="Arial" w:cs="Arial"/>
        </w:rPr>
        <w:instrText>opical Medicine Press.","author":[{"dropping-particle":"","family":"Vijayakumar","given":"A.","non-dropping-particle":"","parse-names":false,"suffix":""},{"dropping-particle":"","family":"Duraipandiyan","given":"V.","non-dropping-particle":"","parse-names":false,"suffix":""},{"dropping-particle":"","family":"Jeyaraj","given":"B.","non-dropping-particle":"","parse-names":false,"suffix":""},{"dropping-particle":"","family":"Agastian","given":"P.","non-dropping-particle":"","parse-names":false,"suffix":""},{"dropping-particle":"","family":"Raj","given":"M. Karunai","non-dropping-particle":"","parse-names":false,"suffix":""},{"dropping-particle":"","family":"Ignacimuthu","given":"S.","non-dropping-particle":"","parse-names":false,"suffix":""}],"container-title":"Asian Pacific Journal of Tropical Disease","id":"ITEM-1","issue":"3","issued":{"date-parts":[["2012"]]},"page":"190-199","publisher":"Asian Pacific Tropical Medicine Press","title":"Phytochemical analysis and in vitro antimicrobial activity of Illicium griffithii Hook. f. &amp; Thoms extracts","type":"article-journal","volume":"2"},"uris":["http://www.mendeley.com/documents/?uuid=ef425877-d040-4e6b-8708-dace4b66da22"]}],"mendeley":{"formattedCitation":"(Vijayakumar et al., 2012)","manualFormatting":"Vijayakumar et al., 2012","plainTextFormattedCitation":"(Vijayakumar et al., 2012)"},"properties":{"noteIndex":0},"schema":"https://github.com/citation-style-language/schema/raw/master/csl-citation.json"}</w:instrText>
      </w:r>
      <w:r w:rsidR="00204152" w:rsidRPr="00204152">
        <w:rPr>
          <w:rFonts w:ascii="Arial" w:hAnsi="Arial" w:cs="Arial"/>
          <w:lang w:val="fr-FR"/>
        </w:rPr>
        <w:fldChar w:fldCharType="separate"/>
      </w:r>
      <w:r w:rsidR="00204152" w:rsidRPr="00BC36F4">
        <w:rPr>
          <w:rFonts w:ascii="Arial" w:hAnsi="Arial" w:cs="Arial"/>
        </w:rPr>
        <w:t xml:space="preserve">Vijayakumar </w:t>
      </w:r>
      <w:r w:rsidR="00204152" w:rsidRPr="00BC36F4">
        <w:rPr>
          <w:rFonts w:ascii="Arial" w:hAnsi="Arial" w:cs="Arial"/>
          <w:i/>
        </w:rPr>
        <w:t>et</w:t>
      </w:r>
      <w:r w:rsidR="00204152" w:rsidRPr="00BC36F4">
        <w:rPr>
          <w:rFonts w:ascii="Arial" w:hAnsi="Arial" w:cs="Arial"/>
        </w:rPr>
        <w:t xml:space="preserve"> </w:t>
      </w:r>
      <w:r w:rsidR="00204152" w:rsidRPr="00BC36F4">
        <w:rPr>
          <w:rFonts w:ascii="Arial" w:hAnsi="Arial" w:cs="Arial"/>
          <w:i/>
        </w:rPr>
        <w:t>al.</w:t>
      </w:r>
      <w:r w:rsidR="00204152" w:rsidRPr="00BC36F4">
        <w:rPr>
          <w:rFonts w:ascii="Arial" w:hAnsi="Arial" w:cs="Arial"/>
        </w:rPr>
        <w:t>, 2012</w:t>
      </w:r>
      <w:r w:rsidR="00204152" w:rsidRPr="00204152">
        <w:rPr>
          <w:rFonts w:ascii="Arial" w:hAnsi="Arial" w:cs="Arial"/>
        </w:rPr>
        <w:fldChar w:fldCharType="end"/>
      </w:r>
      <w:r w:rsidR="00204152">
        <w:rPr>
          <w:rFonts w:ascii="Arial" w:hAnsi="Arial" w:cs="Arial"/>
        </w:rPr>
        <w:t xml:space="preserve"> ;</w:t>
      </w:r>
      <w:r w:rsidR="00052D12" w:rsidRPr="002829E9">
        <w:rPr>
          <w:rFonts w:ascii="Arial" w:hAnsi="Arial" w:cs="Arial"/>
        </w:rPr>
        <w:t xml:space="preserve"> Souza </w:t>
      </w:r>
      <w:r w:rsidR="00052D12" w:rsidRPr="002829E9">
        <w:rPr>
          <w:rFonts w:ascii="Arial" w:hAnsi="Arial" w:cs="Arial"/>
          <w:i/>
        </w:rPr>
        <w:t>et al</w:t>
      </w:r>
      <w:r w:rsidR="00052D12" w:rsidRPr="002829E9">
        <w:rPr>
          <w:rFonts w:ascii="Arial" w:hAnsi="Arial" w:cs="Arial"/>
        </w:rPr>
        <w:t>., 2020)</w:t>
      </w:r>
      <w:r w:rsidR="00052D12" w:rsidRPr="00052D12">
        <w:rPr>
          <w:rFonts w:ascii="Arial" w:hAnsi="Arial" w:cs="Arial"/>
          <w:lang w:val="fr-FR"/>
        </w:rPr>
        <w:fldChar w:fldCharType="end"/>
      </w:r>
      <w:r w:rsidRPr="002829E9">
        <w:rPr>
          <w:rFonts w:ascii="Arial" w:hAnsi="Arial" w:cs="Arial"/>
        </w:rPr>
        <w:t xml:space="preserve">. These tests are based on the ability of phytochemical compounds to react with specific reagents, producing characteristic </w:t>
      </w:r>
      <w:proofErr w:type="spellStart"/>
      <w:r w:rsidRPr="002829E9">
        <w:rPr>
          <w:rFonts w:ascii="Arial" w:hAnsi="Arial" w:cs="Arial"/>
        </w:rPr>
        <w:t>colourations</w:t>
      </w:r>
      <w:proofErr w:type="spellEnd"/>
      <w:r w:rsidRPr="002829E9">
        <w:rPr>
          <w:rFonts w:ascii="Arial" w:hAnsi="Arial" w:cs="Arial"/>
        </w:rPr>
        <w:t xml:space="preserve"> or precipitates.</w:t>
      </w:r>
    </w:p>
    <w:p w14:paraId="52B496A0" w14:textId="77777777" w:rsidR="00A645E6" w:rsidRPr="002829E9" w:rsidRDefault="00A645E6" w:rsidP="00A645E6">
      <w:pPr>
        <w:pStyle w:val="Body"/>
        <w:rPr>
          <w:rFonts w:ascii="Arial" w:hAnsi="Arial" w:cs="Arial"/>
        </w:rPr>
      </w:pPr>
      <w:r w:rsidRPr="002829E9">
        <w:rPr>
          <w:rFonts w:ascii="Arial" w:hAnsi="Arial" w:cs="Arial"/>
          <w:b/>
          <w:bCs/>
        </w:rPr>
        <w:t xml:space="preserve">Sterols and triterpenes: </w:t>
      </w:r>
      <w:r w:rsidRPr="002829E9">
        <w:rPr>
          <w:rFonts w:ascii="Arial" w:hAnsi="Arial" w:cs="Arial"/>
        </w:rPr>
        <w:t>Detected by the Liebermann-Burchard reaction, which produces a reddish-brown or purplish ring at the interface and a green or violet coloration in the upper layer, indicating the presence of these lipophilic compounds.</w:t>
      </w:r>
    </w:p>
    <w:p w14:paraId="7503551C" w14:textId="77777777" w:rsidR="00A645E6" w:rsidRPr="002829E9" w:rsidRDefault="00A645E6" w:rsidP="00A645E6">
      <w:pPr>
        <w:pStyle w:val="Body"/>
        <w:rPr>
          <w:rFonts w:ascii="Arial" w:hAnsi="Arial" w:cs="Arial"/>
        </w:rPr>
      </w:pPr>
      <w:r w:rsidRPr="002829E9">
        <w:rPr>
          <w:rFonts w:ascii="Arial" w:hAnsi="Arial" w:cs="Arial"/>
          <w:b/>
          <w:bCs/>
        </w:rPr>
        <w:t>Cardenolides</w:t>
      </w:r>
      <w:r w:rsidRPr="002829E9">
        <w:rPr>
          <w:rFonts w:ascii="Arial" w:hAnsi="Arial" w:cs="Arial"/>
        </w:rPr>
        <w:t xml:space="preserve">: Revealed by a red coloration after the addition of </w:t>
      </w:r>
      <w:proofErr w:type="spellStart"/>
      <w:r w:rsidRPr="002829E9">
        <w:rPr>
          <w:rFonts w:ascii="Arial" w:hAnsi="Arial" w:cs="Arial"/>
        </w:rPr>
        <w:t>dinitrobenzoic</w:t>
      </w:r>
      <w:proofErr w:type="spellEnd"/>
      <w:r w:rsidRPr="002829E9">
        <w:rPr>
          <w:rFonts w:ascii="Arial" w:hAnsi="Arial" w:cs="Arial"/>
        </w:rPr>
        <w:t xml:space="preserve"> acid and 1N KOH, a test used to detect cardiotonic glycosides.</w:t>
      </w:r>
    </w:p>
    <w:p w14:paraId="1BE4FCF9" w14:textId="77777777" w:rsidR="00A645E6" w:rsidRPr="002829E9" w:rsidRDefault="00A645E6" w:rsidP="00A645E6">
      <w:pPr>
        <w:pStyle w:val="Body"/>
        <w:rPr>
          <w:rFonts w:ascii="Arial" w:hAnsi="Arial" w:cs="Arial"/>
        </w:rPr>
      </w:pPr>
      <w:r w:rsidRPr="002829E9">
        <w:rPr>
          <w:rFonts w:ascii="Arial" w:hAnsi="Arial" w:cs="Arial"/>
          <w:b/>
          <w:bCs/>
        </w:rPr>
        <w:t>Anthracenes</w:t>
      </w:r>
      <w:r w:rsidRPr="002829E9">
        <w:rPr>
          <w:rFonts w:ascii="Arial" w:hAnsi="Arial" w:cs="Arial"/>
        </w:rPr>
        <w:t xml:space="preserve">: Revealed by the </w:t>
      </w:r>
      <w:proofErr w:type="spellStart"/>
      <w:r w:rsidRPr="002829E9">
        <w:rPr>
          <w:rFonts w:ascii="Arial" w:hAnsi="Arial" w:cs="Arial"/>
        </w:rPr>
        <w:t>Borntrager</w:t>
      </w:r>
      <w:proofErr w:type="spellEnd"/>
      <w:r w:rsidRPr="002829E9">
        <w:rPr>
          <w:rFonts w:ascii="Arial" w:hAnsi="Arial" w:cs="Arial"/>
        </w:rPr>
        <w:t xml:space="preserve"> reaction, detected by the appearance of a red supernatant in the presence of 5% KOH, characteristic of </w:t>
      </w:r>
      <w:proofErr w:type="spellStart"/>
      <w:r w:rsidRPr="002829E9">
        <w:rPr>
          <w:rFonts w:ascii="Arial" w:hAnsi="Arial" w:cs="Arial"/>
        </w:rPr>
        <w:t>anthracenosides</w:t>
      </w:r>
      <w:proofErr w:type="spellEnd"/>
      <w:r w:rsidRPr="002829E9">
        <w:rPr>
          <w:rFonts w:ascii="Arial" w:hAnsi="Arial" w:cs="Arial"/>
        </w:rPr>
        <w:t>.</w:t>
      </w:r>
    </w:p>
    <w:p w14:paraId="3AC9A237" w14:textId="77777777" w:rsidR="00A645E6" w:rsidRPr="002829E9" w:rsidRDefault="00A645E6" w:rsidP="00A645E6">
      <w:pPr>
        <w:pStyle w:val="Body"/>
        <w:rPr>
          <w:rFonts w:ascii="Arial" w:hAnsi="Arial" w:cs="Arial"/>
        </w:rPr>
      </w:pPr>
      <w:r w:rsidRPr="002829E9">
        <w:rPr>
          <w:rFonts w:ascii="Arial" w:hAnsi="Arial" w:cs="Arial"/>
          <w:b/>
          <w:bCs/>
        </w:rPr>
        <w:t>Coumarins</w:t>
      </w:r>
      <w:r w:rsidRPr="002829E9">
        <w:rPr>
          <w:rFonts w:ascii="Arial" w:hAnsi="Arial" w:cs="Arial"/>
        </w:rPr>
        <w:t>: Detected by blue or green fluorescence under UV light at 254 and 366 nm after addition of ammonia, the classic method for identifying these phenolic compounds.</w:t>
      </w:r>
    </w:p>
    <w:p w14:paraId="6460F5F0" w14:textId="77777777" w:rsidR="00A645E6" w:rsidRPr="002829E9" w:rsidRDefault="00A645E6" w:rsidP="00A645E6">
      <w:pPr>
        <w:pStyle w:val="Body"/>
        <w:rPr>
          <w:rFonts w:ascii="Arial" w:hAnsi="Arial" w:cs="Arial"/>
        </w:rPr>
      </w:pPr>
      <w:r w:rsidRPr="002829E9">
        <w:rPr>
          <w:rFonts w:ascii="Arial" w:hAnsi="Arial" w:cs="Arial"/>
          <w:b/>
          <w:bCs/>
        </w:rPr>
        <w:t xml:space="preserve">Flavonoids: </w:t>
      </w:r>
      <w:r w:rsidRPr="002829E9">
        <w:rPr>
          <w:rFonts w:ascii="Arial" w:hAnsi="Arial" w:cs="Arial"/>
        </w:rPr>
        <w:t>Identified by the cyanidin test (Shibata reaction), where the formation of a red or orange coloration after the addition of magnesium and concentrated hydrochloric acid indicates the presence of flavonoids.</w:t>
      </w:r>
    </w:p>
    <w:p w14:paraId="76C7EFD8" w14:textId="77777777" w:rsidR="00A645E6" w:rsidRPr="002829E9" w:rsidRDefault="00A645E6" w:rsidP="00A645E6">
      <w:pPr>
        <w:pStyle w:val="Body"/>
        <w:rPr>
          <w:rFonts w:ascii="Arial" w:hAnsi="Arial" w:cs="Arial"/>
        </w:rPr>
      </w:pPr>
      <w:r w:rsidRPr="002829E9">
        <w:rPr>
          <w:rFonts w:ascii="Arial" w:hAnsi="Arial" w:cs="Arial"/>
          <w:b/>
          <w:bCs/>
        </w:rPr>
        <w:t>Anthocyanosides</w:t>
      </w:r>
      <w:r w:rsidRPr="002829E9">
        <w:rPr>
          <w:rFonts w:ascii="Arial" w:hAnsi="Arial" w:cs="Arial"/>
        </w:rPr>
        <w:t xml:space="preserve">: Revealed by the red </w:t>
      </w:r>
      <w:proofErr w:type="spellStart"/>
      <w:r w:rsidRPr="002829E9">
        <w:rPr>
          <w:rFonts w:ascii="Arial" w:hAnsi="Arial" w:cs="Arial"/>
        </w:rPr>
        <w:t>colour</w:t>
      </w:r>
      <w:proofErr w:type="spellEnd"/>
      <w:r w:rsidRPr="002829E9">
        <w:rPr>
          <w:rFonts w:ascii="Arial" w:hAnsi="Arial" w:cs="Arial"/>
        </w:rPr>
        <w:t xml:space="preserve"> obtained after heating acidified ethanolic extracts in n-butanol, indicating the presence of </w:t>
      </w:r>
      <w:proofErr w:type="spellStart"/>
      <w:r w:rsidRPr="002829E9">
        <w:rPr>
          <w:rFonts w:ascii="Arial" w:hAnsi="Arial" w:cs="Arial"/>
        </w:rPr>
        <w:t>anthocyanic</w:t>
      </w:r>
      <w:proofErr w:type="spellEnd"/>
      <w:r w:rsidRPr="002829E9">
        <w:rPr>
          <w:rFonts w:ascii="Arial" w:hAnsi="Arial" w:cs="Arial"/>
        </w:rPr>
        <w:t xml:space="preserve"> pigments.</w:t>
      </w:r>
    </w:p>
    <w:p w14:paraId="6F4934BE" w14:textId="77777777" w:rsidR="00A645E6" w:rsidRPr="00504DBB" w:rsidRDefault="00A645E6" w:rsidP="00A645E6">
      <w:pPr>
        <w:pStyle w:val="Body"/>
        <w:rPr>
          <w:rFonts w:ascii="Arial" w:hAnsi="Arial" w:cs="Arial"/>
        </w:rPr>
      </w:pPr>
      <w:r w:rsidRPr="00504DBB">
        <w:rPr>
          <w:rFonts w:ascii="Arial" w:hAnsi="Arial" w:cs="Arial"/>
          <w:b/>
          <w:bCs/>
        </w:rPr>
        <w:t xml:space="preserve">Phenolic compounds (tannins): </w:t>
      </w:r>
      <w:r w:rsidRPr="00504DBB">
        <w:rPr>
          <w:rFonts w:ascii="Arial" w:hAnsi="Arial" w:cs="Arial"/>
        </w:rPr>
        <w:t xml:space="preserve">Indicated by a green (catechol-type tannins) or intense blue (pyrogallol-type tannins) </w:t>
      </w:r>
      <w:proofErr w:type="spellStart"/>
      <w:r w:rsidRPr="00504DBB">
        <w:rPr>
          <w:rFonts w:ascii="Arial" w:hAnsi="Arial" w:cs="Arial"/>
        </w:rPr>
        <w:t>colouration</w:t>
      </w:r>
      <w:proofErr w:type="spellEnd"/>
      <w:r w:rsidRPr="00504DBB">
        <w:rPr>
          <w:rFonts w:ascii="Arial" w:hAnsi="Arial" w:cs="Arial"/>
        </w:rPr>
        <w:t xml:space="preserve"> after addition of ferric chloride, a well-known reaction in phytochemistry.</w:t>
      </w:r>
    </w:p>
    <w:p w14:paraId="66793FDA" w14:textId="77777777" w:rsidR="00A645E6" w:rsidRPr="002829E9" w:rsidRDefault="00A645E6" w:rsidP="00A645E6">
      <w:pPr>
        <w:pStyle w:val="Body"/>
        <w:rPr>
          <w:rFonts w:ascii="Arial" w:hAnsi="Arial" w:cs="Arial"/>
        </w:rPr>
      </w:pPr>
      <w:r w:rsidRPr="002829E9">
        <w:rPr>
          <w:rFonts w:ascii="Arial" w:hAnsi="Arial" w:cs="Arial"/>
          <w:b/>
          <w:bCs/>
        </w:rPr>
        <w:t>Saponins</w:t>
      </w:r>
      <w:r w:rsidRPr="002829E9">
        <w:rPr>
          <w:rFonts w:ascii="Arial" w:hAnsi="Arial" w:cs="Arial"/>
        </w:rPr>
        <w:t>: Detected by the formation of a persistent foam of at least 1 cm after vigorous shaking, characteristic of these amphiphilic glycosides.</w:t>
      </w:r>
    </w:p>
    <w:p w14:paraId="54937E83" w14:textId="77777777" w:rsidR="00A645E6" w:rsidRPr="002829E9" w:rsidRDefault="00A645E6" w:rsidP="00A645E6">
      <w:pPr>
        <w:pStyle w:val="Body"/>
        <w:rPr>
          <w:rFonts w:ascii="Arial" w:hAnsi="Arial" w:cs="Arial"/>
        </w:rPr>
      </w:pPr>
      <w:r w:rsidRPr="002829E9">
        <w:rPr>
          <w:rFonts w:ascii="Arial" w:hAnsi="Arial" w:cs="Arial"/>
          <w:b/>
          <w:bCs/>
        </w:rPr>
        <w:t xml:space="preserve">Alkaloids: </w:t>
      </w:r>
      <w:r w:rsidRPr="002829E9">
        <w:rPr>
          <w:rFonts w:ascii="Arial" w:hAnsi="Arial" w:cs="Arial"/>
        </w:rPr>
        <w:t xml:space="preserve">Detected by the </w:t>
      </w:r>
      <w:proofErr w:type="spellStart"/>
      <w:r w:rsidRPr="002829E9">
        <w:rPr>
          <w:rFonts w:ascii="Arial" w:hAnsi="Arial" w:cs="Arial"/>
        </w:rPr>
        <w:t>Dragendorff</w:t>
      </w:r>
      <w:proofErr w:type="spellEnd"/>
      <w:r w:rsidRPr="002829E9">
        <w:rPr>
          <w:rFonts w:ascii="Arial" w:hAnsi="Arial" w:cs="Arial"/>
        </w:rPr>
        <w:t xml:space="preserve"> and Mayer-</w:t>
      </w:r>
      <w:proofErr w:type="spellStart"/>
      <w:r w:rsidRPr="002829E9">
        <w:rPr>
          <w:rFonts w:ascii="Arial" w:hAnsi="Arial" w:cs="Arial"/>
        </w:rPr>
        <w:t>Valser</w:t>
      </w:r>
      <w:proofErr w:type="spellEnd"/>
      <w:r w:rsidRPr="002829E9">
        <w:rPr>
          <w:rFonts w:ascii="Arial" w:hAnsi="Arial" w:cs="Arial"/>
        </w:rPr>
        <w:t xml:space="preserve"> reactions, which lead to the formation of </w:t>
      </w:r>
      <w:proofErr w:type="spellStart"/>
      <w:r w:rsidRPr="002829E9">
        <w:rPr>
          <w:rFonts w:ascii="Arial" w:hAnsi="Arial" w:cs="Arial"/>
        </w:rPr>
        <w:t>coloured</w:t>
      </w:r>
      <w:proofErr w:type="spellEnd"/>
      <w:r w:rsidRPr="002829E9">
        <w:rPr>
          <w:rFonts w:ascii="Arial" w:hAnsi="Arial" w:cs="Arial"/>
        </w:rPr>
        <w:t xml:space="preserve"> precipitates (orange-yellow or opalescent), indicating the presence of basic alkaloids.</w:t>
      </w:r>
    </w:p>
    <w:p w14:paraId="39694C25" w14:textId="77777777" w:rsidR="00A645E6" w:rsidRPr="002829E9" w:rsidRDefault="00A645E6" w:rsidP="00A645E6">
      <w:pPr>
        <w:pStyle w:val="Body"/>
        <w:rPr>
          <w:rFonts w:ascii="Arial" w:hAnsi="Arial" w:cs="Arial"/>
        </w:rPr>
      </w:pPr>
      <w:r w:rsidRPr="002829E9">
        <w:rPr>
          <w:rFonts w:ascii="Arial" w:hAnsi="Arial" w:cs="Arial"/>
          <w:b/>
          <w:bCs/>
        </w:rPr>
        <w:t xml:space="preserve">Reducing compounds: </w:t>
      </w:r>
      <w:r w:rsidRPr="002829E9">
        <w:rPr>
          <w:rFonts w:ascii="Arial" w:hAnsi="Arial" w:cs="Arial"/>
        </w:rPr>
        <w:t>Revealed by a brick-red precipitate after reaction with Fehling's reagent, indicating the presence of reducing sugars and other compounds with reducing functional groups.</w:t>
      </w:r>
    </w:p>
    <w:p w14:paraId="179AF824" w14:textId="77777777" w:rsidR="00A645E6" w:rsidRPr="002829E9" w:rsidRDefault="00A645E6" w:rsidP="00A645E6">
      <w:pPr>
        <w:pStyle w:val="Body"/>
        <w:rPr>
          <w:rFonts w:ascii="Arial" w:hAnsi="Arial" w:cs="Arial"/>
        </w:rPr>
      </w:pPr>
      <w:r w:rsidRPr="002829E9">
        <w:rPr>
          <w:rFonts w:ascii="Arial" w:hAnsi="Arial" w:cs="Arial"/>
        </w:rPr>
        <w:lastRenderedPageBreak/>
        <w:t>These qualitative tests are an essential step in guiding subsequent biochemical and pharmacological analyses, by identifying the major classes of secondary metabolites likely to explain the biological activity observed.</w:t>
      </w:r>
    </w:p>
    <w:p w14:paraId="2F2E489B" w14:textId="0F212DC1" w:rsidR="00A645E6" w:rsidRPr="002829E9" w:rsidRDefault="00E25649" w:rsidP="002C549B">
      <w:pPr>
        <w:pStyle w:val="Body"/>
        <w:rPr>
          <w:rFonts w:ascii="Arial" w:hAnsi="Arial" w:cs="Arial"/>
          <w:b/>
          <w:bCs/>
          <w:sz w:val="22"/>
        </w:rPr>
      </w:pPr>
      <w:r w:rsidRPr="002829E9">
        <w:rPr>
          <w:rFonts w:ascii="Arial" w:hAnsi="Arial" w:cs="Arial"/>
          <w:b/>
          <w:bCs/>
          <w:sz w:val="22"/>
        </w:rPr>
        <w:t>2.</w:t>
      </w:r>
      <w:r w:rsidR="002C549B">
        <w:rPr>
          <w:rFonts w:ascii="Arial" w:hAnsi="Arial" w:cs="Arial"/>
          <w:b/>
          <w:bCs/>
          <w:sz w:val="22"/>
        </w:rPr>
        <w:t>2</w:t>
      </w:r>
      <w:r w:rsidRPr="002829E9">
        <w:rPr>
          <w:rFonts w:ascii="Arial" w:hAnsi="Arial" w:cs="Arial"/>
          <w:b/>
          <w:bCs/>
          <w:sz w:val="22"/>
        </w:rPr>
        <w:t xml:space="preserve">. </w:t>
      </w:r>
      <w:r w:rsidR="00A645E6" w:rsidRPr="002829E9">
        <w:rPr>
          <w:rFonts w:ascii="Arial" w:hAnsi="Arial" w:cs="Arial"/>
          <w:b/>
          <w:bCs/>
          <w:sz w:val="22"/>
        </w:rPr>
        <w:t>Evalu</w:t>
      </w:r>
      <w:r w:rsidR="00D50526">
        <w:rPr>
          <w:rFonts w:ascii="Arial" w:hAnsi="Arial" w:cs="Arial"/>
          <w:b/>
          <w:bCs/>
          <w:sz w:val="22"/>
        </w:rPr>
        <w:t>ation of antibacterial activity</w:t>
      </w:r>
    </w:p>
    <w:p w14:paraId="7B40DE43" w14:textId="1DA8E214" w:rsidR="00AA5A85" w:rsidRPr="0003304E" w:rsidRDefault="00AA5A85" w:rsidP="00AA5A85">
      <w:pPr>
        <w:pStyle w:val="Body"/>
        <w:rPr>
          <w:rFonts w:ascii="Arial" w:hAnsi="Arial" w:cs="Arial"/>
          <w:b/>
          <w:bCs/>
          <w:u w:val="single"/>
        </w:rPr>
      </w:pPr>
      <w:r w:rsidRPr="0003304E">
        <w:rPr>
          <w:rFonts w:ascii="Arial" w:hAnsi="Arial" w:cs="Arial"/>
          <w:b/>
          <w:bCs/>
          <w:u w:val="single"/>
        </w:rPr>
        <w:t>2.2</w:t>
      </w:r>
      <w:r w:rsidR="002C549B" w:rsidRPr="0003304E">
        <w:rPr>
          <w:rFonts w:ascii="Arial" w:hAnsi="Arial" w:cs="Arial"/>
          <w:b/>
          <w:bCs/>
          <w:u w:val="single"/>
        </w:rPr>
        <w:t>.1</w:t>
      </w:r>
      <w:r w:rsidRPr="0003304E">
        <w:rPr>
          <w:rFonts w:ascii="Arial" w:hAnsi="Arial" w:cs="Arial"/>
          <w:b/>
          <w:bCs/>
          <w:u w:val="single"/>
        </w:rPr>
        <w:t xml:space="preserve">. Bacteriological material </w:t>
      </w:r>
    </w:p>
    <w:p w14:paraId="029B99FE" w14:textId="77777777" w:rsidR="00AA5A85" w:rsidRDefault="00AA5A85" w:rsidP="00AA5A85">
      <w:pPr>
        <w:pStyle w:val="Body"/>
        <w:rPr>
          <w:rFonts w:ascii="Arial" w:hAnsi="Arial" w:cs="Arial"/>
        </w:rPr>
      </w:pPr>
      <w:r>
        <w:rPr>
          <w:rFonts w:ascii="Arial" w:hAnsi="Arial" w:cs="Arial"/>
        </w:rPr>
        <w:t>M</w:t>
      </w:r>
      <w:r w:rsidRPr="002829E9">
        <w:rPr>
          <w:rFonts w:ascii="Arial" w:hAnsi="Arial" w:cs="Arial"/>
        </w:rPr>
        <w:t xml:space="preserve">ethicillin-resistant </w:t>
      </w:r>
      <w:r w:rsidRPr="002829E9">
        <w:rPr>
          <w:rFonts w:ascii="Arial" w:hAnsi="Arial" w:cs="Arial"/>
          <w:i/>
          <w:iCs/>
        </w:rPr>
        <w:t xml:space="preserve">Staphylococcus aureus </w:t>
      </w:r>
      <w:r w:rsidRPr="002829E9">
        <w:rPr>
          <w:rFonts w:ascii="Arial" w:hAnsi="Arial" w:cs="Arial"/>
        </w:rPr>
        <w:t>(MRSA) w</w:t>
      </w:r>
      <w:r>
        <w:rPr>
          <w:rFonts w:ascii="Arial" w:hAnsi="Arial" w:cs="Arial"/>
        </w:rPr>
        <w:t>as</w:t>
      </w:r>
      <w:r w:rsidRPr="002829E9">
        <w:rPr>
          <w:rFonts w:ascii="Arial" w:hAnsi="Arial" w:cs="Arial"/>
        </w:rPr>
        <w:t xml:space="preserve"> isolated in different laboratories in the city of Ouagadougou. Strains were identified using API </w:t>
      </w:r>
      <w:r>
        <w:rPr>
          <w:rFonts w:ascii="Arial" w:hAnsi="Arial" w:cs="Arial"/>
        </w:rPr>
        <w:t xml:space="preserve">STAPH </w:t>
      </w:r>
      <w:r w:rsidRPr="002829E9">
        <w:rPr>
          <w:rFonts w:ascii="Arial" w:hAnsi="Arial" w:cs="Arial"/>
        </w:rPr>
        <w:t>(Analytical Profile Index) galleries, a reliable biochemical method that allows precise determination of bacterial genus and species. Methicillin resistance was confirmed by a</w:t>
      </w:r>
      <w:r>
        <w:rPr>
          <w:rFonts w:ascii="Arial" w:hAnsi="Arial" w:cs="Arial"/>
        </w:rPr>
        <w:t xml:space="preserve"> c</w:t>
      </w:r>
      <w:r w:rsidRPr="0035790F">
        <w:rPr>
          <w:rFonts w:ascii="Arial" w:hAnsi="Arial" w:cs="Arial"/>
        </w:rPr>
        <w:t>efoxitin</w:t>
      </w:r>
      <w:r w:rsidRPr="002829E9">
        <w:rPr>
          <w:rFonts w:ascii="Arial" w:hAnsi="Arial" w:cs="Arial"/>
        </w:rPr>
        <w:t xml:space="preserve"> sensitivity test in accordance with international standards recommended by the Antibiogram Committee of the Société </w:t>
      </w:r>
      <w:proofErr w:type="spellStart"/>
      <w:r w:rsidRPr="002829E9">
        <w:rPr>
          <w:rFonts w:ascii="Arial" w:hAnsi="Arial" w:cs="Arial"/>
        </w:rPr>
        <w:t>Française</w:t>
      </w:r>
      <w:proofErr w:type="spellEnd"/>
      <w:r w:rsidRPr="002829E9">
        <w:rPr>
          <w:rFonts w:ascii="Arial" w:hAnsi="Arial" w:cs="Arial"/>
        </w:rPr>
        <w:t xml:space="preserve"> de </w:t>
      </w:r>
      <w:proofErr w:type="spellStart"/>
      <w:r w:rsidRPr="002829E9">
        <w:rPr>
          <w:rFonts w:ascii="Arial" w:hAnsi="Arial" w:cs="Arial"/>
        </w:rPr>
        <w:t>Microbiologie</w:t>
      </w:r>
      <w:proofErr w:type="spellEnd"/>
      <w:r w:rsidRPr="002829E9">
        <w:rPr>
          <w:rFonts w:ascii="Arial" w:hAnsi="Arial" w:cs="Arial"/>
        </w:rPr>
        <w:t xml:space="preserve">. The reference strain </w:t>
      </w:r>
      <w:r w:rsidRPr="002829E9">
        <w:rPr>
          <w:rFonts w:ascii="Arial" w:hAnsi="Arial" w:cs="Arial"/>
          <w:i/>
        </w:rPr>
        <w:t xml:space="preserve">S. aureus </w:t>
      </w:r>
      <w:r w:rsidRPr="002829E9">
        <w:rPr>
          <w:rFonts w:ascii="Arial" w:hAnsi="Arial" w:cs="Arial"/>
        </w:rPr>
        <w:t>ATCC 25923 was used as a control in all experimental procedures to ensure the quality and reproducibility of the results</w:t>
      </w:r>
      <w:r>
        <w:rPr>
          <w:rFonts w:ascii="Arial" w:hAnsi="Arial" w:cs="Arial"/>
        </w:rPr>
        <w:t xml:space="preserve"> </w:t>
      </w:r>
      <w:r w:rsidRPr="00086EA1">
        <w:rPr>
          <w:rFonts w:ascii="Arial" w:hAnsi="Arial" w:cs="Arial"/>
          <w:lang w:val="fr-FR"/>
        </w:rPr>
        <w:fldChar w:fldCharType="begin" w:fldLock="1"/>
      </w:r>
      <w:r w:rsidRPr="00AA5A85">
        <w:rPr>
          <w:rFonts w:ascii="Arial" w:hAnsi="Arial" w:cs="Arial"/>
        </w:rPr>
        <w:instrText>ADDIN CSL_CITATION {"citationItems":[{"id":"ITEM-1","itemData":{"abstract":"CA-SFM. (2013). Recommandations 2013 du Comité de l'antibiogramme de la Société Française de Microbiologie, 60p.","author":[{"dropping-particle":"","family":"EUCAST/CA-SFM","given":"","non-dropping-particle":"","parse-names":false,"suffix":""}],"container-title":"Comité De L'Antibiogramme De La Société Française De Microbiologie","id":"ITEM-1","issue":"mm","issued":{"date-parts":[["2024"]]},"page":"181","title":"Comité de l ’ antibiogramme de la Société Française de Microbiologie Recommandations 2024","type":"article-journal"},"uris":["http://www.mendeley.com/documents/?uuid=8aa92f09-1f57-4ff0-bd15-2ed48a0ecb86"]}],"mendeley":{"formattedCitation":"(EUCAST/CA-SFM, 2024)","plainTextFormattedCitation":"(EUCAST/CA-SFM, 2024)","previouslyFormattedCitation":"(EUCAST/CA-SFM, 2024)"},"properties":{"noteIndex":0},"schema":"https://github.com/citation-style-language/schema/raw/master/csl-citation.json"}</w:instrText>
      </w:r>
      <w:r w:rsidRPr="00086EA1">
        <w:rPr>
          <w:rFonts w:ascii="Arial" w:hAnsi="Arial" w:cs="Arial"/>
          <w:lang w:val="fr-FR"/>
        </w:rPr>
        <w:fldChar w:fldCharType="separate"/>
      </w:r>
      <w:r w:rsidRPr="00AA5A85">
        <w:rPr>
          <w:rFonts w:ascii="Arial" w:hAnsi="Arial" w:cs="Arial"/>
        </w:rPr>
        <w:t>(EUCAST/CA-SFM, 2024)</w:t>
      </w:r>
      <w:r w:rsidRPr="00086EA1">
        <w:rPr>
          <w:rFonts w:ascii="Arial" w:hAnsi="Arial" w:cs="Arial"/>
        </w:rPr>
        <w:fldChar w:fldCharType="end"/>
      </w:r>
      <w:r w:rsidRPr="002829E9">
        <w:rPr>
          <w:rFonts w:ascii="Arial" w:hAnsi="Arial" w:cs="Arial"/>
        </w:rPr>
        <w:t>.</w:t>
      </w:r>
    </w:p>
    <w:p w14:paraId="4FA30C17" w14:textId="07B5C43F" w:rsidR="002C549B" w:rsidRPr="002829E9" w:rsidRDefault="002C549B" w:rsidP="002C549B">
      <w:pPr>
        <w:pStyle w:val="Body"/>
        <w:rPr>
          <w:rFonts w:ascii="Arial" w:hAnsi="Arial" w:cs="Arial"/>
          <w:b/>
          <w:bCs/>
          <w:u w:val="single"/>
        </w:rPr>
      </w:pPr>
      <w:r>
        <w:rPr>
          <w:rFonts w:ascii="Arial" w:hAnsi="Arial" w:cs="Arial"/>
          <w:b/>
          <w:bCs/>
          <w:u w:val="single"/>
        </w:rPr>
        <w:t>2.2</w:t>
      </w:r>
      <w:r w:rsidRPr="002829E9">
        <w:rPr>
          <w:rFonts w:ascii="Arial" w:hAnsi="Arial" w:cs="Arial"/>
          <w:b/>
          <w:bCs/>
          <w:u w:val="single"/>
        </w:rPr>
        <w:t>.</w:t>
      </w:r>
      <w:r>
        <w:rPr>
          <w:rFonts w:ascii="Arial" w:hAnsi="Arial" w:cs="Arial"/>
          <w:b/>
          <w:bCs/>
          <w:u w:val="single"/>
        </w:rPr>
        <w:t>2</w:t>
      </w:r>
      <w:r w:rsidRPr="002829E9">
        <w:rPr>
          <w:rFonts w:ascii="Arial" w:hAnsi="Arial" w:cs="Arial"/>
          <w:b/>
          <w:bCs/>
          <w:u w:val="single"/>
        </w:rPr>
        <w:t xml:space="preserve">. Disc diffusion test </w:t>
      </w:r>
    </w:p>
    <w:p w14:paraId="3D13AB58" w14:textId="58386FE1" w:rsidR="002C549B" w:rsidRPr="002829E9" w:rsidRDefault="002C549B" w:rsidP="002C549B">
      <w:pPr>
        <w:pStyle w:val="Body"/>
        <w:rPr>
          <w:rFonts w:ascii="Arial" w:hAnsi="Arial" w:cs="Arial"/>
        </w:rPr>
      </w:pPr>
      <w:r w:rsidRPr="002829E9">
        <w:rPr>
          <w:rFonts w:ascii="Arial" w:hAnsi="Arial" w:cs="Arial"/>
        </w:rPr>
        <w:t>Neutral sterile discs were impregnated with the extracts to be tested and then placed on Mueller-Hinton agar plates inoculated by flooding with MRSA bacterial suspensions</w:t>
      </w:r>
      <w:r w:rsidR="008A016B">
        <w:rPr>
          <w:rFonts w:ascii="Arial" w:hAnsi="Arial" w:cs="Arial"/>
        </w:rPr>
        <w:t xml:space="preserve"> </w:t>
      </w:r>
      <w:proofErr w:type="spellStart"/>
      <w:r w:rsidR="008A016B" w:rsidRPr="00504DBB">
        <w:rPr>
          <w:rFonts w:ascii="Arial" w:hAnsi="Arial" w:cs="Arial"/>
        </w:rPr>
        <w:t>standardised</w:t>
      </w:r>
      <w:proofErr w:type="spellEnd"/>
      <w:r w:rsidR="008A016B" w:rsidRPr="00504DBB">
        <w:rPr>
          <w:rFonts w:ascii="Arial" w:hAnsi="Arial" w:cs="Arial"/>
        </w:rPr>
        <w:t xml:space="preserve"> to 10</w:t>
      </w:r>
      <w:r w:rsidR="008A016B" w:rsidRPr="00954480">
        <w:rPr>
          <w:rFonts w:ascii="Arial" w:hAnsi="Arial" w:cs="Arial"/>
          <w:vertAlign w:val="superscript"/>
        </w:rPr>
        <w:t>6</w:t>
      </w:r>
      <w:r w:rsidR="008A016B" w:rsidRPr="00504DBB">
        <w:rPr>
          <w:rFonts w:ascii="Arial" w:hAnsi="Arial" w:cs="Arial"/>
        </w:rPr>
        <w:t xml:space="preserve"> CFU/</w:t>
      </w:r>
      <w:proofErr w:type="spellStart"/>
      <w:r w:rsidR="008A016B" w:rsidRPr="00504DBB">
        <w:rPr>
          <w:rFonts w:ascii="Arial" w:hAnsi="Arial" w:cs="Arial"/>
        </w:rPr>
        <w:t>mL</w:t>
      </w:r>
      <w:r w:rsidRPr="002829E9">
        <w:rPr>
          <w:rFonts w:ascii="Arial" w:hAnsi="Arial" w:cs="Arial"/>
        </w:rPr>
        <w:t>.</w:t>
      </w:r>
      <w:proofErr w:type="spellEnd"/>
      <w:r w:rsidRPr="002829E9">
        <w:rPr>
          <w:rFonts w:ascii="Arial" w:hAnsi="Arial" w:cs="Arial"/>
        </w:rPr>
        <w:t xml:space="preserve"> After pre-incubation at room temperature for 30 minutes to allow diffusion, the plates were incubated at 37°C for 24 to 48 hours. Inhibition diameters around the discs were measured with a caliper and interpreted according to</w:t>
      </w:r>
      <w:r>
        <w:rPr>
          <w:rFonts w:ascii="Arial" w:hAnsi="Arial" w:cs="Arial"/>
        </w:rPr>
        <w:t xml:space="preserve"> EUCAST/</w:t>
      </w:r>
      <w:r w:rsidRPr="002829E9">
        <w:rPr>
          <w:rFonts w:ascii="Arial" w:hAnsi="Arial" w:cs="Arial"/>
        </w:rPr>
        <w:t>CA-SFM (202</w:t>
      </w:r>
      <w:r>
        <w:rPr>
          <w:rFonts w:ascii="Arial" w:hAnsi="Arial" w:cs="Arial"/>
        </w:rPr>
        <w:t>4</w:t>
      </w:r>
      <w:r w:rsidRPr="002829E9">
        <w:rPr>
          <w:rFonts w:ascii="Arial" w:hAnsi="Arial" w:cs="Arial"/>
        </w:rPr>
        <w:t>) recommendations.</w:t>
      </w:r>
    </w:p>
    <w:p w14:paraId="27BDAF77" w14:textId="4C9D6E6D" w:rsidR="00A645E6" w:rsidRPr="002829E9" w:rsidRDefault="00E25649" w:rsidP="00A645E6">
      <w:pPr>
        <w:pStyle w:val="Body"/>
        <w:rPr>
          <w:rFonts w:ascii="Arial" w:hAnsi="Arial" w:cs="Arial"/>
          <w:b/>
          <w:bCs/>
          <w:u w:val="single"/>
        </w:rPr>
      </w:pPr>
      <w:r w:rsidRPr="002829E9">
        <w:rPr>
          <w:rFonts w:ascii="Arial" w:hAnsi="Arial" w:cs="Arial"/>
          <w:b/>
          <w:bCs/>
          <w:u w:val="single"/>
        </w:rPr>
        <w:t>2.</w:t>
      </w:r>
      <w:r w:rsidR="002C549B">
        <w:rPr>
          <w:rFonts w:ascii="Arial" w:hAnsi="Arial" w:cs="Arial"/>
          <w:b/>
          <w:bCs/>
          <w:u w:val="single"/>
        </w:rPr>
        <w:t>2.3</w:t>
      </w:r>
      <w:r w:rsidRPr="002829E9">
        <w:rPr>
          <w:rFonts w:ascii="Arial" w:hAnsi="Arial" w:cs="Arial"/>
          <w:b/>
          <w:bCs/>
          <w:u w:val="single"/>
        </w:rPr>
        <w:t xml:space="preserve">. </w:t>
      </w:r>
      <w:r w:rsidR="00A645E6" w:rsidRPr="002829E9">
        <w:rPr>
          <w:rFonts w:ascii="Arial" w:hAnsi="Arial" w:cs="Arial"/>
          <w:b/>
          <w:bCs/>
          <w:u w:val="single"/>
        </w:rPr>
        <w:t xml:space="preserve">Determination of minimum inhibitory concentration (MIC) and minimum bactericidal concentration (MBC) </w:t>
      </w:r>
    </w:p>
    <w:p w14:paraId="33012214" w14:textId="304B30E4" w:rsidR="00A645E6" w:rsidRPr="002829E9" w:rsidRDefault="00A645E6" w:rsidP="00A645E6">
      <w:pPr>
        <w:pStyle w:val="Body"/>
        <w:rPr>
          <w:rFonts w:ascii="Arial" w:hAnsi="Arial" w:cs="Arial"/>
        </w:rPr>
      </w:pPr>
      <w:r w:rsidRPr="00504DBB">
        <w:rPr>
          <w:rFonts w:ascii="Arial" w:hAnsi="Arial" w:cs="Arial"/>
        </w:rPr>
        <w:t>The liquid dilution method was used to determine MIC and MBC. Extracts were tested at concentrations ranging from 0.625 to 20 mg/</w:t>
      </w:r>
      <w:proofErr w:type="spellStart"/>
      <w:r w:rsidRPr="00504DBB">
        <w:rPr>
          <w:rFonts w:ascii="Arial" w:hAnsi="Arial" w:cs="Arial"/>
        </w:rPr>
        <w:t>mL.</w:t>
      </w:r>
      <w:proofErr w:type="spellEnd"/>
      <w:r w:rsidRPr="00504DBB">
        <w:rPr>
          <w:rFonts w:ascii="Arial" w:hAnsi="Arial" w:cs="Arial"/>
        </w:rPr>
        <w:t xml:space="preserve"> Each tube containing the extract was inoculated with 0.1 mL of a bacterial suspension </w:t>
      </w:r>
      <w:proofErr w:type="spellStart"/>
      <w:r w:rsidRPr="00504DBB">
        <w:rPr>
          <w:rFonts w:ascii="Arial" w:hAnsi="Arial" w:cs="Arial"/>
        </w:rPr>
        <w:t>standardised</w:t>
      </w:r>
      <w:proofErr w:type="spellEnd"/>
      <w:r w:rsidRPr="00504DBB">
        <w:rPr>
          <w:rFonts w:ascii="Arial" w:hAnsi="Arial" w:cs="Arial"/>
        </w:rPr>
        <w:t xml:space="preserve"> to 10</w:t>
      </w:r>
      <w:r w:rsidRPr="00954480">
        <w:rPr>
          <w:rFonts w:ascii="Arial" w:hAnsi="Arial" w:cs="Arial"/>
          <w:vertAlign w:val="superscript"/>
        </w:rPr>
        <w:t>6</w:t>
      </w:r>
      <w:r w:rsidRPr="00504DBB">
        <w:rPr>
          <w:rFonts w:ascii="Arial" w:hAnsi="Arial" w:cs="Arial"/>
        </w:rPr>
        <w:t xml:space="preserve"> CFU/</w:t>
      </w:r>
      <w:proofErr w:type="spellStart"/>
      <w:r w:rsidRPr="00504DBB">
        <w:rPr>
          <w:rFonts w:ascii="Arial" w:hAnsi="Arial" w:cs="Arial"/>
        </w:rPr>
        <w:t>mL.</w:t>
      </w:r>
      <w:proofErr w:type="spellEnd"/>
      <w:r w:rsidRPr="00504DBB">
        <w:rPr>
          <w:rFonts w:ascii="Arial" w:hAnsi="Arial" w:cs="Arial"/>
        </w:rPr>
        <w:t xml:space="preserve"> After incubation at 37°C for 18 to 24 hours, the MIC was determined as the minimum concentration showing no visible growth. </w:t>
      </w:r>
      <w:r w:rsidRPr="002829E9">
        <w:rPr>
          <w:rFonts w:ascii="Arial" w:hAnsi="Arial" w:cs="Arial"/>
        </w:rPr>
        <w:t>For the BMC, cultures from tubes with no growth were plated on Mueller-Hinton agar. The MBC corresponds to the lowest concentration that kills at least 99.99</w:t>
      </w:r>
      <w:r w:rsidR="00954480">
        <w:rPr>
          <w:rFonts w:ascii="Arial" w:hAnsi="Arial" w:cs="Arial"/>
        </w:rPr>
        <w:t xml:space="preserve"> </w:t>
      </w:r>
      <w:r w:rsidRPr="002829E9">
        <w:rPr>
          <w:rFonts w:ascii="Arial" w:hAnsi="Arial" w:cs="Arial"/>
        </w:rPr>
        <w:t>% of bacteria</w:t>
      </w:r>
      <w:r w:rsidR="008752CE">
        <w:rPr>
          <w:rFonts w:ascii="Arial" w:hAnsi="Arial" w:cs="Arial"/>
        </w:rPr>
        <w:t xml:space="preserve"> </w:t>
      </w:r>
      <w:r w:rsidR="008752CE" w:rsidRPr="008752CE">
        <w:rPr>
          <w:rFonts w:ascii="Arial" w:hAnsi="Arial" w:cs="Arial"/>
          <w:highlight w:val="yellow"/>
          <w:lang w:val="fr-FR"/>
        </w:rPr>
        <w:fldChar w:fldCharType="begin" w:fldLock="1"/>
      </w:r>
      <w:r w:rsidR="008752CE" w:rsidRPr="008752CE">
        <w:rPr>
          <w:rFonts w:ascii="Arial" w:hAnsi="Arial" w:cs="Arial"/>
          <w:highlight w:val="yellow"/>
        </w:rPr>
        <w:instrText>ADDIN CSL_CITATION {"citationItems":[{"id":"ITEM-1","itemData":{"abstract":"CA-SFM. (2013). Recommandations 2013 du Comité de l'antibiogramme de la Société Française de Microbiologie, 60p.","author":[{"dropping-particle":"","family":"EUCAST/CA-SFM","given":"","non-dropping-particle":"","parse-names":false,"suffix":""}],"container-title":"Comité De L'Antibiogramme De La Société Française De Microbiologie","id":"ITEM-1","issue":"mm","issued":{"date-parts":[["2024"]]},"page":"181","title":"Comité de l ’ antibiogramme de la Société Française de Microbiologie Recommandations 2024","type":"article-journal"},"uris":["http://www.mendeley.com/documents/?uuid=8aa92f09-1f57-4ff0-bd15-2ed48a0ecb86"]}],"mendeley":{"formattedCitation":"(EUCAST/CA-SFM, 2024)","plainTextFormattedCitation":"(EUCAST/CA-SFM, 2024)","previouslyFormattedCitation":"(EUCAST/CA-SFM, 2024)"},"properties":{"noteIndex":0},"schema":"https://github.com/citation-style-language/schema/raw/master/csl-citation.json"}</w:instrText>
      </w:r>
      <w:r w:rsidR="008752CE" w:rsidRPr="008752CE">
        <w:rPr>
          <w:rFonts w:ascii="Arial" w:hAnsi="Arial" w:cs="Arial"/>
          <w:highlight w:val="yellow"/>
          <w:lang w:val="fr-FR"/>
        </w:rPr>
        <w:fldChar w:fldCharType="separate"/>
      </w:r>
      <w:r w:rsidR="008752CE" w:rsidRPr="008752CE">
        <w:rPr>
          <w:rFonts w:ascii="Arial" w:hAnsi="Arial" w:cs="Arial"/>
          <w:highlight w:val="yellow"/>
        </w:rPr>
        <w:t>(EUCAST/CA-SFM, 2024)</w:t>
      </w:r>
      <w:r w:rsidR="008752CE" w:rsidRPr="008752CE">
        <w:rPr>
          <w:rFonts w:ascii="Arial" w:hAnsi="Arial" w:cs="Arial"/>
          <w:highlight w:val="yellow"/>
        </w:rPr>
        <w:fldChar w:fldCharType="end"/>
      </w:r>
      <w:r w:rsidRPr="004301F3">
        <w:rPr>
          <w:rFonts w:ascii="Arial" w:hAnsi="Arial" w:cs="Arial"/>
          <w:highlight w:val="yellow"/>
        </w:rPr>
        <w:t>.</w:t>
      </w:r>
    </w:p>
    <w:p w14:paraId="1D5DCF5F" w14:textId="296806F0" w:rsidR="00A645E6" w:rsidRPr="002829E9" w:rsidRDefault="0003304E" w:rsidP="00A645E6">
      <w:pPr>
        <w:pStyle w:val="Body"/>
        <w:rPr>
          <w:rFonts w:ascii="Arial" w:hAnsi="Arial" w:cs="Arial"/>
          <w:b/>
          <w:bCs/>
          <w:sz w:val="22"/>
        </w:rPr>
      </w:pPr>
      <w:r>
        <w:rPr>
          <w:rFonts w:ascii="Arial" w:hAnsi="Arial" w:cs="Arial"/>
          <w:b/>
          <w:bCs/>
          <w:sz w:val="22"/>
        </w:rPr>
        <w:t>2.3</w:t>
      </w:r>
      <w:r w:rsidR="00E25649" w:rsidRPr="002829E9">
        <w:rPr>
          <w:rFonts w:ascii="Arial" w:hAnsi="Arial" w:cs="Arial"/>
          <w:b/>
          <w:bCs/>
          <w:sz w:val="22"/>
        </w:rPr>
        <w:t xml:space="preserve">. </w:t>
      </w:r>
      <w:r w:rsidR="00A645E6" w:rsidRPr="002829E9">
        <w:rPr>
          <w:rFonts w:ascii="Arial" w:hAnsi="Arial" w:cs="Arial"/>
          <w:b/>
          <w:bCs/>
          <w:sz w:val="22"/>
        </w:rPr>
        <w:t xml:space="preserve">Statistical analysis </w:t>
      </w:r>
    </w:p>
    <w:p w14:paraId="32E942D5" w14:textId="77777777" w:rsidR="00A645E6" w:rsidRPr="002829E9" w:rsidRDefault="00A645E6" w:rsidP="00A645E6">
      <w:pPr>
        <w:pStyle w:val="Body"/>
        <w:spacing w:after="0"/>
        <w:rPr>
          <w:rFonts w:ascii="Arial" w:hAnsi="Arial" w:cs="Arial"/>
        </w:rPr>
      </w:pPr>
      <w:r w:rsidRPr="002829E9">
        <w:rPr>
          <w:rFonts w:ascii="Arial" w:hAnsi="Arial" w:cs="Arial"/>
        </w:rPr>
        <w:t>Experimental data were expressed as means ± standard deviation. A one-way analysis of variance (ANOVA) was performed to assess the impact of bacterial phenotypes (sensitive or resistant) on the antibacterial activity of the extracts. Differences were considered significant at a p-value &lt; 0.05. All statistical analyses were performed using GraphPad Prism 5 software.</w:t>
      </w:r>
    </w:p>
    <w:p w14:paraId="39B5BE9F" w14:textId="77777777" w:rsidR="00E5719A" w:rsidRDefault="00E5719A" w:rsidP="00E5719A">
      <w:pPr>
        <w:pStyle w:val="Body"/>
        <w:spacing w:after="0"/>
        <w:rPr>
          <w:rFonts w:ascii="Arial" w:hAnsi="Arial" w:cs="Arial"/>
        </w:rPr>
      </w:pPr>
    </w:p>
    <w:p w14:paraId="0C5E9A0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448B8B8" w14:textId="77777777" w:rsidR="00790ADA" w:rsidRPr="00FB3A86" w:rsidRDefault="000155DA" w:rsidP="00916B5E">
      <w:pPr>
        <w:pStyle w:val="Head1"/>
        <w:spacing w:before="240"/>
        <w:jc w:val="both"/>
        <w:rPr>
          <w:rFonts w:ascii="Arial" w:hAnsi="Arial" w:cs="Arial"/>
        </w:rPr>
      </w:pPr>
      <w:r>
        <w:rPr>
          <w:rFonts w:ascii="Arial" w:hAnsi="Arial" w:cs="Arial"/>
        </w:rPr>
        <w:t xml:space="preserve">3.1. </w:t>
      </w:r>
      <w:r w:rsidR="00916B5E">
        <w:rPr>
          <w:rFonts w:ascii="Arial" w:hAnsi="Arial" w:cs="Arial"/>
          <w:caps w:val="0"/>
        </w:rPr>
        <w:t>Results</w:t>
      </w:r>
    </w:p>
    <w:p w14:paraId="14E33613" w14:textId="77777777" w:rsidR="000155DA" w:rsidRPr="002829E9" w:rsidRDefault="00CF1401" w:rsidP="000155DA">
      <w:pPr>
        <w:pStyle w:val="Body"/>
        <w:rPr>
          <w:rFonts w:ascii="Arial" w:hAnsi="Arial" w:cs="Arial"/>
          <w:b/>
          <w:bCs/>
          <w:u w:val="single"/>
        </w:rPr>
      </w:pPr>
      <w:r w:rsidRPr="002829E9">
        <w:rPr>
          <w:rFonts w:ascii="Arial" w:hAnsi="Arial" w:cs="Arial"/>
          <w:b/>
          <w:bCs/>
          <w:u w:val="single"/>
        </w:rPr>
        <w:t xml:space="preserve">3.1.1. </w:t>
      </w:r>
      <w:r w:rsidR="000155DA" w:rsidRPr="002829E9">
        <w:rPr>
          <w:rFonts w:ascii="Arial" w:hAnsi="Arial" w:cs="Arial"/>
          <w:b/>
          <w:bCs/>
          <w:u w:val="single"/>
        </w:rPr>
        <w:t xml:space="preserve">Phytochemical composition </w:t>
      </w:r>
    </w:p>
    <w:p w14:paraId="72EF06FF" w14:textId="252F5D69" w:rsidR="00957C0D" w:rsidRDefault="00957C0D" w:rsidP="000155DA">
      <w:pPr>
        <w:pStyle w:val="Body"/>
        <w:rPr>
          <w:rFonts w:ascii="Arial" w:hAnsi="Arial" w:cs="Arial"/>
          <w:bCs/>
        </w:rPr>
      </w:pPr>
      <w:r w:rsidRPr="002829E9">
        <w:rPr>
          <w:rFonts w:ascii="Arial" w:hAnsi="Arial" w:cs="Arial"/>
          <w:bCs/>
        </w:rPr>
        <w:t xml:space="preserve">Qualitative analysis by phytochemical screening revealed a significant diversity of chemical groups in </w:t>
      </w:r>
      <w:r w:rsidRPr="002829E9">
        <w:rPr>
          <w:rFonts w:ascii="Arial" w:hAnsi="Arial" w:cs="Arial"/>
          <w:bCs/>
          <w:i/>
        </w:rPr>
        <w:t xml:space="preserve">Moringa oleifera </w:t>
      </w:r>
      <w:r w:rsidRPr="002829E9">
        <w:rPr>
          <w:rFonts w:ascii="Arial" w:hAnsi="Arial" w:cs="Arial"/>
          <w:bCs/>
        </w:rPr>
        <w:t xml:space="preserve">and </w:t>
      </w:r>
      <w:r w:rsidRPr="002829E9">
        <w:rPr>
          <w:rFonts w:ascii="Arial" w:hAnsi="Arial" w:cs="Arial"/>
          <w:bCs/>
          <w:i/>
        </w:rPr>
        <w:t xml:space="preserve">Senna occidentalis </w:t>
      </w:r>
      <w:r w:rsidRPr="002829E9">
        <w:rPr>
          <w:rFonts w:ascii="Arial" w:hAnsi="Arial" w:cs="Arial"/>
          <w:bCs/>
        </w:rPr>
        <w:t>extracts, with notable variations depending on the plant organ, the nature of the extract and the solubility of the met</w:t>
      </w:r>
      <w:r>
        <w:rPr>
          <w:rFonts w:ascii="Arial" w:hAnsi="Arial" w:cs="Arial"/>
          <w:bCs/>
        </w:rPr>
        <w:t>abolites</w:t>
      </w:r>
      <w:r w:rsidRPr="002829E9">
        <w:rPr>
          <w:rFonts w:ascii="Arial" w:hAnsi="Arial" w:cs="Arial"/>
          <w:bCs/>
        </w:rPr>
        <w:t>.</w:t>
      </w:r>
    </w:p>
    <w:p w14:paraId="6B9E3876" w14:textId="77777777" w:rsidR="000155DA" w:rsidRPr="00504DBB" w:rsidRDefault="003D7129" w:rsidP="000155DA">
      <w:pPr>
        <w:pStyle w:val="Body"/>
        <w:rPr>
          <w:rFonts w:ascii="Arial" w:hAnsi="Arial" w:cs="Arial"/>
          <w:bCs/>
          <w:i/>
          <w:iCs/>
        </w:rPr>
      </w:pPr>
      <w:r w:rsidRPr="00504DBB">
        <w:rPr>
          <w:rFonts w:ascii="Arial" w:hAnsi="Arial" w:cs="Arial"/>
          <w:bCs/>
        </w:rPr>
        <w:lastRenderedPageBreak/>
        <w:t>The</w:t>
      </w:r>
      <w:r w:rsidRPr="00504DBB">
        <w:rPr>
          <w:rFonts w:ascii="Arial" w:hAnsi="Arial" w:cs="Arial"/>
          <w:b/>
          <w:bCs/>
        </w:rPr>
        <w:t xml:space="preserve"> </w:t>
      </w:r>
      <w:r w:rsidR="000155DA" w:rsidRPr="00504DBB">
        <w:rPr>
          <w:rFonts w:ascii="Arial" w:hAnsi="Arial" w:cs="Arial"/>
          <w:b/>
          <w:bCs/>
        </w:rPr>
        <w:t xml:space="preserve">Table 1 </w:t>
      </w:r>
      <w:r w:rsidR="000155DA" w:rsidRPr="00504DBB">
        <w:rPr>
          <w:rFonts w:ascii="Arial" w:hAnsi="Arial" w:cs="Arial"/>
          <w:bCs/>
        </w:rPr>
        <w:t xml:space="preserve">shows that </w:t>
      </w:r>
      <w:r w:rsidR="000155DA" w:rsidRPr="00504DBB">
        <w:rPr>
          <w:rFonts w:ascii="Arial" w:hAnsi="Arial" w:cs="Arial"/>
          <w:bCs/>
          <w:i/>
          <w:iCs/>
        </w:rPr>
        <w:t xml:space="preserve">S. occidentalis </w:t>
      </w:r>
      <w:r w:rsidR="000155DA" w:rsidRPr="00504DBB">
        <w:rPr>
          <w:rFonts w:ascii="Arial" w:hAnsi="Arial" w:cs="Arial"/>
          <w:bCs/>
        </w:rPr>
        <w:t xml:space="preserve">contains a higher diversity of compounds than </w:t>
      </w:r>
      <w:r w:rsidR="000155DA" w:rsidRPr="00504DBB">
        <w:rPr>
          <w:rFonts w:ascii="Arial" w:hAnsi="Arial" w:cs="Arial"/>
          <w:bCs/>
          <w:i/>
        </w:rPr>
        <w:t>M. oleifera</w:t>
      </w:r>
      <w:r w:rsidR="000155DA" w:rsidRPr="00504DBB">
        <w:rPr>
          <w:rFonts w:ascii="Arial" w:hAnsi="Arial" w:cs="Arial"/>
          <w:bCs/>
        </w:rPr>
        <w:t xml:space="preserve">. Flavonoids, tannins, alkaloids, saponins, </w:t>
      </w:r>
      <w:proofErr w:type="spellStart"/>
      <w:r w:rsidR="000155DA" w:rsidRPr="00504DBB">
        <w:rPr>
          <w:rFonts w:ascii="Arial" w:hAnsi="Arial" w:cs="Arial"/>
          <w:bCs/>
        </w:rPr>
        <w:t>anthracenosides</w:t>
      </w:r>
      <w:proofErr w:type="spellEnd"/>
      <w:r w:rsidR="000155DA" w:rsidRPr="00504DBB">
        <w:rPr>
          <w:rFonts w:ascii="Arial" w:hAnsi="Arial" w:cs="Arial"/>
          <w:bCs/>
        </w:rPr>
        <w:t xml:space="preserve"> and reducing compounds were found in both plants, although some (</w:t>
      </w:r>
      <w:proofErr w:type="spellStart"/>
      <w:r w:rsidR="000155DA" w:rsidRPr="00504DBB">
        <w:rPr>
          <w:rFonts w:ascii="Arial" w:hAnsi="Arial" w:cs="Arial"/>
          <w:bCs/>
        </w:rPr>
        <w:t>emodols</w:t>
      </w:r>
      <w:proofErr w:type="spellEnd"/>
      <w:r w:rsidR="000155DA" w:rsidRPr="00504DBB">
        <w:rPr>
          <w:rFonts w:ascii="Arial" w:hAnsi="Arial" w:cs="Arial"/>
          <w:bCs/>
        </w:rPr>
        <w:t xml:space="preserve">, coumarins, </w:t>
      </w:r>
      <w:proofErr w:type="spellStart"/>
      <w:r w:rsidR="000155DA" w:rsidRPr="00504DBB">
        <w:rPr>
          <w:rFonts w:ascii="Arial" w:hAnsi="Arial" w:cs="Arial"/>
          <w:bCs/>
        </w:rPr>
        <w:t>anthracenosides</w:t>
      </w:r>
      <w:proofErr w:type="spellEnd"/>
      <w:r w:rsidR="000155DA" w:rsidRPr="00504DBB">
        <w:rPr>
          <w:rFonts w:ascii="Arial" w:hAnsi="Arial" w:cs="Arial"/>
          <w:bCs/>
        </w:rPr>
        <w:t xml:space="preserve">) are specific to </w:t>
      </w:r>
      <w:r w:rsidR="000155DA" w:rsidRPr="00504DBB">
        <w:rPr>
          <w:rFonts w:ascii="Arial" w:hAnsi="Arial" w:cs="Arial"/>
          <w:bCs/>
          <w:i/>
          <w:iCs/>
        </w:rPr>
        <w:t>S. occidentalis.</w:t>
      </w:r>
    </w:p>
    <w:p w14:paraId="2FE90499" w14:textId="6B2AA06A" w:rsidR="000155DA" w:rsidRPr="002829E9" w:rsidRDefault="003D7129" w:rsidP="000155DA">
      <w:pPr>
        <w:pStyle w:val="Body"/>
        <w:rPr>
          <w:rFonts w:ascii="Arial" w:hAnsi="Arial" w:cs="Arial"/>
          <w:b/>
          <w:bCs/>
        </w:rPr>
      </w:pPr>
      <w:r w:rsidRPr="003D7129">
        <w:rPr>
          <w:rFonts w:ascii="Arial" w:hAnsi="Arial"/>
          <w:b/>
        </w:rPr>
        <w:t>Table 1.</w:t>
      </w:r>
      <w:r w:rsidRPr="003D7129">
        <w:rPr>
          <w:rFonts w:ascii="Arial" w:hAnsi="Arial"/>
          <w:b/>
        </w:rPr>
        <w:tab/>
      </w:r>
      <w:r w:rsidR="000155DA" w:rsidRPr="002829E9">
        <w:rPr>
          <w:rFonts w:ascii="Arial" w:hAnsi="Arial" w:cs="Arial"/>
          <w:b/>
          <w:bCs/>
        </w:rPr>
        <w:t xml:space="preserve">Results of the chemical </w:t>
      </w:r>
      <w:r w:rsidR="007A20A1" w:rsidRPr="002829E9">
        <w:rPr>
          <w:rFonts w:ascii="Arial" w:hAnsi="Arial" w:cs="Arial"/>
          <w:b/>
          <w:bCs/>
        </w:rPr>
        <w:t>characteri</w:t>
      </w:r>
      <w:r w:rsidR="007A20A1">
        <w:rPr>
          <w:rFonts w:ascii="Arial" w:hAnsi="Arial" w:cs="Arial"/>
          <w:b/>
          <w:bCs/>
        </w:rPr>
        <w:t>z</w:t>
      </w:r>
      <w:r w:rsidR="007A20A1" w:rsidRPr="002829E9">
        <w:rPr>
          <w:rFonts w:ascii="Arial" w:hAnsi="Arial" w:cs="Arial"/>
          <w:b/>
          <w:bCs/>
        </w:rPr>
        <w:t xml:space="preserve">ation </w:t>
      </w:r>
      <w:r w:rsidR="000155DA" w:rsidRPr="002829E9">
        <w:rPr>
          <w:rFonts w:ascii="Arial" w:hAnsi="Arial" w:cs="Arial"/>
          <w:b/>
          <w:bCs/>
        </w:rPr>
        <w:t xml:space="preserve">of </w:t>
      </w:r>
      <w:r w:rsidR="000155DA" w:rsidRPr="002829E9">
        <w:rPr>
          <w:rFonts w:ascii="Arial" w:hAnsi="Arial" w:cs="Arial"/>
          <w:b/>
          <w:bCs/>
          <w:i/>
        </w:rPr>
        <w:t xml:space="preserve">M. oleifera </w:t>
      </w:r>
      <w:r w:rsidR="000155DA" w:rsidRPr="002829E9">
        <w:rPr>
          <w:rFonts w:ascii="Arial" w:hAnsi="Arial" w:cs="Arial"/>
          <w:b/>
          <w:bCs/>
        </w:rPr>
        <w:t xml:space="preserve">and </w:t>
      </w:r>
      <w:r w:rsidR="000155DA" w:rsidRPr="002829E9">
        <w:rPr>
          <w:rFonts w:ascii="Arial" w:hAnsi="Arial" w:cs="Arial"/>
          <w:b/>
          <w:bCs/>
          <w:i/>
        </w:rPr>
        <w:t>S. occidentalis</w:t>
      </w:r>
      <w:r w:rsidR="000155DA" w:rsidRPr="002829E9">
        <w:rPr>
          <w:rFonts w:ascii="Arial" w:hAnsi="Arial" w:cs="Arial"/>
          <w:b/>
          <w:bCs/>
        </w:rPr>
        <w:t>.</w:t>
      </w:r>
    </w:p>
    <w:tbl>
      <w:tblPr>
        <w:tblStyle w:val="Grilledutablea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gridCol w:w="650"/>
        <w:gridCol w:w="661"/>
        <w:gridCol w:w="617"/>
        <w:gridCol w:w="639"/>
        <w:gridCol w:w="672"/>
        <w:gridCol w:w="661"/>
        <w:gridCol w:w="650"/>
      </w:tblGrid>
      <w:tr w:rsidR="003D7129" w:rsidRPr="003D7129" w14:paraId="7A50BC26" w14:textId="77777777" w:rsidTr="00513F5C">
        <w:trPr>
          <w:trHeight w:val="269"/>
          <w:jc w:val="center"/>
        </w:trPr>
        <w:tc>
          <w:tcPr>
            <w:tcW w:w="0" w:type="auto"/>
            <w:tcBorders>
              <w:top w:val="single" w:sz="4" w:space="0" w:color="auto"/>
              <w:bottom w:val="single" w:sz="4" w:space="0" w:color="auto"/>
            </w:tcBorders>
            <w:hideMark/>
          </w:tcPr>
          <w:p w14:paraId="196233A2" w14:textId="77777777" w:rsidR="003D7129" w:rsidRPr="003D7129" w:rsidRDefault="003D7129" w:rsidP="003D7129">
            <w:pPr>
              <w:rPr>
                <w:rFonts w:ascii="Arial" w:hAnsi="Arial" w:cs="Arial"/>
                <w:b/>
                <w:bCs/>
                <w:sz w:val="20"/>
                <w:szCs w:val="20"/>
              </w:rPr>
            </w:pPr>
            <w:r w:rsidRPr="003D7129">
              <w:rPr>
                <w:rFonts w:ascii="Arial" w:hAnsi="Arial" w:cs="Arial"/>
                <w:b/>
                <w:bCs/>
                <w:sz w:val="20"/>
                <w:szCs w:val="20"/>
              </w:rPr>
              <w:t>Chemical group</w:t>
            </w:r>
          </w:p>
        </w:tc>
        <w:tc>
          <w:tcPr>
            <w:tcW w:w="0" w:type="auto"/>
            <w:tcBorders>
              <w:top w:val="single" w:sz="4" w:space="0" w:color="auto"/>
              <w:bottom w:val="single" w:sz="4" w:space="0" w:color="auto"/>
            </w:tcBorders>
            <w:hideMark/>
          </w:tcPr>
          <w:p w14:paraId="67637D5B" w14:textId="77777777" w:rsidR="003D7129" w:rsidRPr="003D7129" w:rsidRDefault="003D7129" w:rsidP="003D7129">
            <w:pPr>
              <w:jc w:val="center"/>
              <w:rPr>
                <w:rFonts w:ascii="Arial" w:hAnsi="Arial" w:cs="Arial"/>
                <w:bCs/>
                <w:sz w:val="20"/>
                <w:szCs w:val="20"/>
              </w:rPr>
            </w:pPr>
            <w:r w:rsidRPr="003D7129">
              <w:rPr>
                <w:rFonts w:ascii="Arial" w:hAnsi="Arial" w:cs="Arial"/>
                <w:bCs/>
                <w:sz w:val="20"/>
                <w:szCs w:val="20"/>
              </w:rPr>
              <w:t>SOC</w:t>
            </w:r>
          </w:p>
        </w:tc>
        <w:tc>
          <w:tcPr>
            <w:tcW w:w="0" w:type="auto"/>
            <w:tcBorders>
              <w:top w:val="single" w:sz="4" w:space="0" w:color="auto"/>
              <w:bottom w:val="single" w:sz="4" w:space="0" w:color="auto"/>
            </w:tcBorders>
            <w:hideMark/>
          </w:tcPr>
          <w:p w14:paraId="6ECCEC0A" w14:textId="77777777" w:rsidR="003D7129" w:rsidRPr="003D7129" w:rsidRDefault="003D7129" w:rsidP="003D7129">
            <w:pPr>
              <w:jc w:val="center"/>
              <w:rPr>
                <w:rFonts w:ascii="Arial" w:hAnsi="Arial" w:cs="Arial"/>
                <w:bCs/>
                <w:sz w:val="20"/>
                <w:szCs w:val="20"/>
              </w:rPr>
            </w:pPr>
            <w:r w:rsidRPr="003D7129">
              <w:rPr>
                <w:rFonts w:ascii="Arial" w:hAnsi="Arial" w:cs="Arial"/>
                <w:bCs/>
                <w:sz w:val="20"/>
                <w:szCs w:val="20"/>
              </w:rPr>
              <w:t>SOG</w:t>
            </w:r>
          </w:p>
        </w:tc>
        <w:tc>
          <w:tcPr>
            <w:tcW w:w="0" w:type="auto"/>
            <w:tcBorders>
              <w:top w:val="single" w:sz="4" w:space="0" w:color="auto"/>
              <w:bottom w:val="single" w:sz="4" w:space="0" w:color="auto"/>
            </w:tcBorders>
            <w:hideMark/>
          </w:tcPr>
          <w:p w14:paraId="46882F9F" w14:textId="77777777" w:rsidR="003D7129" w:rsidRPr="003D7129" w:rsidRDefault="003D7129" w:rsidP="003D7129">
            <w:pPr>
              <w:jc w:val="center"/>
              <w:rPr>
                <w:rFonts w:ascii="Arial" w:hAnsi="Arial" w:cs="Arial"/>
                <w:bCs/>
                <w:sz w:val="20"/>
                <w:szCs w:val="20"/>
              </w:rPr>
            </w:pPr>
            <w:r w:rsidRPr="003D7129">
              <w:rPr>
                <w:rFonts w:ascii="Arial" w:hAnsi="Arial" w:cs="Arial"/>
                <w:bCs/>
                <w:sz w:val="20"/>
                <w:szCs w:val="20"/>
              </w:rPr>
              <w:t>SOL</w:t>
            </w:r>
          </w:p>
        </w:tc>
        <w:tc>
          <w:tcPr>
            <w:tcW w:w="0" w:type="auto"/>
            <w:tcBorders>
              <w:top w:val="single" w:sz="4" w:space="0" w:color="auto"/>
              <w:bottom w:val="single" w:sz="4" w:space="0" w:color="auto"/>
            </w:tcBorders>
            <w:hideMark/>
          </w:tcPr>
          <w:p w14:paraId="7197C77E" w14:textId="77777777" w:rsidR="003D7129" w:rsidRPr="003D7129" w:rsidRDefault="003D7129" w:rsidP="003D7129">
            <w:pPr>
              <w:jc w:val="center"/>
              <w:rPr>
                <w:rFonts w:ascii="Arial" w:hAnsi="Arial" w:cs="Arial"/>
                <w:bCs/>
                <w:sz w:val="20"/>
                <w:szCs w:val="20"/>
              </w:rPr>
            </w:pPr>
            <w:r w:rsidRPr="003D7129">
              <w:rPr>
                <w:rFonts w:ascii="Arial" w:hAnsi="Arial" w:cs="Arial"/>
                <w:bCs/>
                <w:sz w:val="20"/>
                <w:szCs w:val="20"/>
              </w:rPr>
              <w:t>SOE</w:t>
            </w:r>
          </w:p>
        </w:tc>
        <w:tc>
          <w:tcPr>
            <w:tcW w:w="0" w:type="auto"/>
            <w:tcBorders>
              <w:top w:val="single" w:sz="4" w:space="0" w:color="auto"/>
              <w:bottom w:val="single" w:sz="4" w:space="0" w:color="auto"/>
            </w:tcBorders>
            <w:hideMark/>
          </w:tcPr>
          <w:p w14:paraId="66CD19B8" w14:textId="77777777" w:rsidR="003D7129" w:rsidRPr="003D7129" w:rsidRDefault="003D7129" w:rsidP="003D7129">
            <w:pPr>
              <w:jc w:val="center"/>
              <w:rPr>
                <w:rFonts w:ascii="Arial" w:hAnsi="Arial" w:cs="Arial"/>
                <w:bCs/>
                <w:sz w:val="20"/>
                <w:szCs w:val="20"/>
              </w:rPr>
            </w:pPr>
            <w:r w:rsidRPr="003D7129">
              <w:rPr>
                <w:rFonts w:ascii="Arial" w:hAnsi="Arial" w:cs="Arial"/>
                <w:bCs/>
                <w:sz w:val="20"/>
                <w:szCs w:val="20"/>
              </w:rPr>
              <w:t>MOE</w:t>
            </w:r>
          </w:p>
        </w:tc>
        <w:tc>
          <w:tcPr>
            <w:tcW w:w="0" w:type="auto"/>
            <w:tcBorders>
              <w:top w:val="single" w:sz="4" w:space="0" w:color="auto"/>
              <w:bottom w:val="single" w:sz="4" w:space="0" w:color="auto"/>
            </w:tcBorders>
            <w:hideMark/>
          </w:tcPr>
          <w:p w14:paraId="656085E0" w14:textId="77777777" w:rsidR="003D7129" w:rsidRPr="003D7129" w:rsidRDefault="003D7129" w:rsidP="003D7129">
            <w:pPr>
              <w:jc w:val="center"/>
              <w:rPr>
                <w:rFonts w:ascii="Arial" w:hAnsi="Arial" w:cs="Arial"/>
                <w:bCs/>
                <w:sz w:val="20"/>
                <w:szCs w:val="20"/>
              </w:rPr>
            </w:pPr>
            <w:r w:rsidRPr="003D7129">
              <w:rPr>
                <w:rFonts w:ascii="Arial" w:hAnsi="Arial" w:cs="Arial"/>
                <w:bCs/>
                <w:sz w:val="20"/>
                <w:szCs w:val="20"/>
              </w:rPr>
              <w:t>MOF</w:t>
            </w:r>
          </w:p>
        </w:tc>
        <w:tc>
          <w:tcPr>
            <w:tcW w:w="0" w:type="auto"/>
            <w:tcBorders>
              <w:top w:val="single" w:sz="4" w:space="0" w:color="auto"/>
              <w:bottom w:val="single" w:sz="4" w:space="0" w:color="auto"/>
            </w:tcBorders>
            <w:hideMark/>
          </w:tcPr>
          <w:p w14:paraId="42FCE101" w14:textId="77777777" w:rsidR="003D7129" w:rsidRPr="003D7129" w:rsidRDefault="003D7129" w:rsidP="003D7129">
            <w:pPr>
              <w:jc w:val="center"/>
              <w:rPr>
                <w:rFonts w:ascii="Arial" w:hAnsi="Arial" w:cs="Arial"/>
                <w:bCs/>
                <w:sz w:val="20"/>
                <w:szCs w:val="20"/>
              </w:rPr>
            </w:pPr>
            <w:r w:rsidRPr="003D7129">
              <w:rPr>
                <w:rFonts w:ascii="Arial" w:hAnsi="Arial" w:cs="Arial"/>
                <w:bCs/>
                <w:sz w:val="20"/>
                <w:szCs w:val="20"/>
              </w:rPr>
              <w:t>MOL</w:t>
            </w:r>
          </w:p>
        </w:tc>
      </w:tr>
      <w:tr w:rsidR="003D7129" w:rsidRPr="003D7129" w14:paraId="76B4576E" w14:textId="77777777" w:rsidTr="00513F5C">
        <w:trPr>
          <w:trHeight w:val="256"/>
          <w:jc w:val="center"/>
        </w:trPr>
        <w:tc>
          <w:tcPr>
            <w:tcW w:w="0" w:type="auto"/>
            <w:tcBorders>
              <w:top w:val="single" w:sz="4" w:space="0" w:color="auto"/>
            </w:tcBorders>
            <w:hideMark/>
          </w:tcPr>
          <w:p w14:paraId="064F0760"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Sterols</w:t>
            </w:r>
            <w:proofErr w:type="spellEnd"/>
            <w:r w:rsidRPr="003D7129">
              <w:rPr>
                <w:rFonts w:ascii="Arial" w:hAnsi="Arial" w:cs="Arial"/>
                <w:b/>
                <w:bCs/>
                <w:sz w:val="20"/>
                <w:szCs w:val="20"/>
              </w:rPr>
              <w:t>/</w:t>
            </w:r>
            <w:proofErr w:type="spellStart"/>
            <w:r w:rsidRPr="003D7129">
              <w:rPr>
                <w:rFonts w:ascii="Arial" w:hAnsi="Arial" w:cs="Arial"/>
                <w:b/>
                <w:bCs/>
                <w:sz w:val="20"/>
                <w:szCs w:val="20"/>
              </w:rPr>
              <w:t>triterpenes</w:t>
            </w:r>
            <w:proofErr w:type="spellEnd"/>
            <w:r w:rsidRPr="003D7129">
              <w:rPr>
                <w:rFonts w:ascii="Arial" w:hAnsi="Arial" w:cs="Arial"/>
                <w:b/>
                <w:bCs/>
                <w:sz w:val="20"/>
                <w:szCs w:val="20"/>
              </w:rPr>
              <w:t xml:space="preserve"> (aglycones)</w:t>
            </w:r>
          </w:p>
        </w:tc>
        <w:tc>
          <w:tcPr>
            <w:tcW w:w="0" w:type="auto"/>
            <w:tcBorders>
              <w:top w:val="single" w:sz="4" w:space="0" w:color="auto"/>
            </w:tcBorders>
            <w:hideMark/>
          </w:tcPr>
          <w:p w14:paraId="20DAB43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top w:val="single" w:sz="4" w:space="0" w:color="auto"/>
            </w:tcBorders>
            <w:hideMark/>
          </w:tcPr>
          <w:p w14:paraId="01412AC8"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top w:val="single" w:sz="4" w:space="0" w:color="auto"/>
            </w:tcBorders>
            <w:hideMark/>
          </w:tcPr>
          <w:p w14:paraId="3C12EAF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top w:val="single" w:sz="4" w:space="0" w:color="auto"/>
            </w:tcBorders>
            <w:hideMark/>
          </w:tcPr>
          <w:p w14:paraId="3CCDA575"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top w:val="single" w:sz="4" w:space="0" w:color="auto"/>
            </w:tcBorders>
            <w:hideMark/>
          </w:tcPr>
          <w:p w14:paraId="38514BA0"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top w:val="single" w:sz="4" w:space="0" w:color="auto"/>
            </w:tcBorders>
            <w:hideMark/>
          </w:tcPr>
          <w:p w14:paraId="21CF15F7"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top w:val="single" w:sz="4" w:space="0" w:color="auto"/>
            </w:tcBorders>
            <w:hideMark/>
          </w:tcPr>
          <w:p w14:paraId="208A5A3B"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6712EAE5" w14:textId="77777777" w:rsidTr="00863B9E">
        <w:trPr>
          <w:trHeight w:val="269"/>
          <w:jc w:val="center"/>
        </w:trPr>
        <w:tc>
          <w:tcPr>
            <w:tcW w:w="0" w:type="auto"/>
            <w:hideMark/>
          </w:tcPr>
          <w:p w14:paraId="7F8B1A88"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Emodols</w:t>
            </w:r>
            <w:proofErr w:type="spellEnd"/>
          </w:p>
        </w:tc>
        <w:tc>
          <w:tcPr>
            <w:tcW w:w="0" w:type="auto"/>
            <w:hideMark/>
          </w:tcPr>
          <w:p w14:paraId="1685D21D"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6DA5C02"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208786B"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3A00637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3BF551E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4D5309AB"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05A6B24D"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1FB5BFD1" w14:textId="77777777" w:rsidTr="00863B9E">
        <w:trPr>
          <w:trHeight w:val="269"/>
          <w:jc w:val="center"/>
        </w:trPr>
        <w:tc>
          <w:tcPr>
            <w:tcW w:w="0" w:type="auto"/>
            <w:hideMark/>
          </w:tcPr>
          <w:p w14:paraId="5BCA3280"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Coumarins</w:t>
            </w:r>
            <w:proofErr w:type="spellEnd"/>
          </w:p>
        </w:tc>
        <w:tc>
          <w:tcPr>
            <w:tcW w:w="0" w:type="auto"/>
            <w:hideMark/>
          </w:tcPr>
          <w:p w14:paraId="77003422"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DDD022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02A93BB6"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316473E9"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5BF6D5D"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4BD370B6"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0997CD90"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1C5A0548" w14:textId="77777777" w:rsidTr="00863B9E">
        <w:trPr>
          <w:trHeight w:val="256"/>
          <w:jc w:val="center"/>
        </w:trPr>
        <w:tc>
          <w:tcPr>
            <w:tcW w:w="0" w:type="auto"/>
            <w:hideMark/>
          </w:tcPr>
          <w:p w14:paraId="1A8C78BD" w14:textId="77777777" w:rsidR="003D7129" w:rsidRPr="003D7129" w:rsidRDefault="003D7129" w:rsidP="003D7129">
            <w:pPr>
              <w:rPr>
                <w:rFonts w:ascii="Arial" w:hAnsi="Arial" w:cs="Arial"/>
                <w:b/>
                <w:sz w:val="20"/>
                <w:szCs w:val="20"/>
              </w:rPr>
            </w:pPr>
            <w:r w:rsidRPr="003D7129">
              <w:rPr>
                <w:rFonts w:ascii="Arial" w:hAnsi="Arial" w:cs="Arial"/>
                <w:b/>
                <w:bCs/>
                <w:sz w:val="20"/>
                <w:szCs w:val="20"/>
              </w:rPr>
              <w:t>Aglycone flavones</w:t>
            </w:r>
          </w:p>
        </w:tc>
        <w:tc>
          <w:tcPr>
            <w:tcW w:w="0" w:type="auto"/>
            <w:hideMark/>
          </w:tcPr>
          <w:p w14:paraId="1A00ACE6"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6F5BCE9"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3C5D09D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84E623A"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21B39F7"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98B8BF9"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985C817"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3CCD4348" w14:textId="77777777" w:rsidTr="00863B9E">
        <w:trPr>
          <w:trHeight w:val="269"/>
          <w:jc w:val="center"/>
        </w:trPr>
        <w:tc>
          <w:tcPr>
            <w:tcW w:w="0" w:type="auto"/>
            <w:hideMark/>
          </w:tcPr>
          <w:p w14:paraId="4489566D" w14:textId="77777777" w:rsidR="003D7129" w:rsidRPr="003D7129" w:rsidRDefault="003D7129" w:rsidP="003D7129">
            <w:pPr>
              <w:rPr>
                <w:rFonts w:ascii="Arial" w:hAnsi="Arial" w:cs="Arial"/>
                <w:b/>
                <w:sz w:val="20"/>
                <w:szCs w:val="20"/>
              </w:rPr>
            </w:pPr>
            <w:r w:rsidRPr="003D7129">
              <w:rPr>
                <w:rFonts w:ascii="Arial" w:hAnsi="Arial" w:cs="Arial"/>
                <w:b/>
                <w:bCs/>
                <w:sz w:val="20"/>
                <w:szCs w:val="20"/>
              </w:rPr>
              <w:t xml:space="preserve">Basic </w:t>
            </w:r>
            <w:proofErr w:type="spellStart"/>
            <w:r w:rsidRPr="003D7129">
              <w:rPr>
                <w:rFonts w:ascii="Arial" w:hAnsi="Arial" w:cs="Arial"/>
                <w:b/>
                <w:bCs/>
                <w:sz w:val="20"/>
                <w:szCs w:val="20"/>
              </w:rPr>
              <w:t>alkaloids</w:t>
            </w:r>
            <w:proofErr w:type="spellEnd"/>
          </w:p>
        </w:tc>
        <w:tc>
          <w:tcPr>
            <w:tcW w:w="0" w:type="auto"/>
            <w:hideMark/>
          </w:tcPr>
          <w:p w14:paraId="63C56112"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629E8B3"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30D0E9DA"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9A82D54"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3DFE74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FB7662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9D5DEB3"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4FA84F8F" w14:textId="77777777" w:rsidTr="00863B9E">
        <w:trPr>
          <w:trHeight w:val="269"/>
          <w:jc w:val="center"/>
        </w:trPr>
        <w:tc>
          <w:tcPr>
            <w:tcW w:w="0" w:type="auto"/>
            <w:hideMark/>
          </w:tcPr>
          <w:p w14:paraId="299AFB39"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Sterols</w:t>
            </w:r>
            <w:proofErr w:type="spellEnd"/>
            <w:r w:rsidRPr="003D7129">
              <w:rPr>
                <w:rFonts w:ascii="Arial" w:hAnsi="Arial" w:cs="Arial"/>
                <w:b/>
                <w:bCs/>
                <w:sz w:val="20"/>
                <w:szCs w:val="20"/>
              </w:rPr>
              <w:t>/</w:t>
            </w:r>
            <w:proofErr w:type="spellStart"/>
            <w:r w:rsidRPr="003D7129">
              <w:rPr>
                <w:rFonts w:ascii="Arial" w:hAnsi="Arial" w:cs="Arial"/>
                <w:b/>
                <w:bCs/>
                <w:sz w:val="20"/>
                <w:szCs w:val="20"/>
              </w:rPr>
              <w:t>triterpenes</w:t>
            </w:r>
            <w:proofErr w:type="spellEnd"/>
            <w:r w:rsidRPr="003D7129">
              <w:rPr>
                <w:rFonts w:ascii="Arial" w:hAnsi="Arial" w:cs="Arial"/>
                <w:b/>
                <w:bCs/>
                <w:sz w:val="20"/>
                <w:szCs w:val="20"/>
              </w:rPr>
              <w:t xml:space="preserve"> (glycosides)</w:t>
            </w:r>
          </w:p>
        </w:tc>
        <w:tc>
          <w:tcPr>
            <w:tcW w:w="0" w:type="auto"/>
            <w:hideMark/>
          </w:tcPr>
          <w:p w14:paraId="39A479E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5E61FC2"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85D4B3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4E1A5810"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63B13FAB"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1E4658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216CC4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1449DB14" w14:textId="77777777" w:rsidTr="00863B9E">
        <w:trPr>
          <w:trHeight w:val="256"/>
          <w:jc w:val="center"/>
        </w:trPr>
        <w:tc>
          <w:tcPr>
            <w:tcW w:w="0" w:type="auto"/>
            <w:hideMark/>
          </w:tcPr>
          <w:p w14:paraId="0700F386" w14:textId="77777777" w:rsidR="003D7129" w:rsidRPr="003D7129" w:rsidRDefault="003D7129" w:rsidP="003D7129">
            <w:pPr>
              <w:rPr>
                <w:rFonts w:ascii="Arial" w:hAnsi="Arial" w:cs="Arial"/>
                <w:b/>
                <w:sz w:val="20"/>
                <w:szCs w:val="20"/>
              </w:rPr>
            </w:pPr>
            <w:r w:rsidRPr="003D7129">
              <w:rPr>
                <w:rFonts w:ascii="Arial" w:hAnsi="Arial" w:cs="Arial"/>
                <w:b/>
                <w:bCs/>
                <w:sz w:val="20"/>
                <w:szCs w:val="20"/>
              </w:rPr>
              <w:t>Flavone glycosides</w:t>
            </w:r>
          </w:p>
        </w:tc>
        <w:tc>
          <w:tcPr>
            <w:tcW w:w="0" w:type="auto"/>
            <w:hideMark/>
          </w:tcPr>
          <w:p w14:paraId="4A8B1599"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4C87815"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9B38DE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6856B8D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61FD2016"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46C4D6FD"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08789070"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0689E7F2" w14:textId="77777777" w:rsidTr="00863B9E">
        <w:trPr>
          <w:trHeight w:val="269"/>
          <w:jc w:val="center"/>
        </w:trPr>
        <w:tc>
          <w:tcPr>
            <w:tcW w:w="0" w:type="auto"/>
            <w:hideMark/>
          </w:tcPr>
          <w:p w14:paraId="70663F31"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Anthracenosides</w:t>
            </w:r>
            <w:proofErr w:type="spellEnd"/>
          </w:p>
        </w:tc>
        <w:tc>
          <w:tcPr>
            <w:tcW w:w="0" w:type="auto"/>
            <w:hideMark/>
          </w:tcPr>
          <w:p w14:paraId="1D932C18"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320F60C6"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3004D6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0DA6D246"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3DD7715"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22E4E8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5883C9A"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7A495172" w14:textId="77777777" w:rsidTr="00863B9E">
        <w:trPr>
          <w:trHeight w:val="269"/>
          <w:jc w:val="center"/>
        </w:trPr>
        <w:tc>
          <w:tcPr>
            <w:tcW w:w="0" w:type="auto"/>
            <w:hideMark/>
          </w:tcPr>
          <w:p w14:paraId="7393D619"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Coumarins</w:t>
            </w:r>
            <w:proofErr w:type="spellEnd"/>
            <w:r w:rsidRPr="003D7129">
              <w:rPr>
                <w:rFonts w:ascii="Arial" w:hAnsi="Arial" w:cs="Arial"/>
                <w:b/>
                <w:bCs/>
                <w:sz w:val="20"/>
                <w:szCs w:val="20"/>
              </w:rPr>
              <w:t xml:space="preserve"> (</w:t>
            </w:r>
            <w:proofErr w:type="spellStart"/>
            <w:r w:rsidRPr="003D7129">
              <w:rPr>
                <w:rFonts w:ascii="Arial" w:hAnsi="Arial" w:cs="Arial"/>
                <w:b/>
                <w:bCs/>
                <w:sz w:val="20"/>
                <w:szCs w:val="20"/>
              </w:rPr>
              <w:t>hydrolysed</w:t>
            </w:r>
            <w:proofErr w:type="spellEnd"/>
            <w:r w:rsidRPr="003D7129">
              <w:rPr>
                <w:rFonts w:ascii="Arial" w:hAnsi="Arial" w:cs="Arial"/>
                <w:b/>
                <w:bCs/>
                <w:sz w:val="20"/>
                <w:szCs w:val="20"/>
              </w:rPr>
              <w:t>)</w:t>
            </w:r>
          </w:p>
        </w:tc>
        <w:tc>
          <w:tcPr>
            <w:tcW w:w="0" w:type="auto"/>
            <w:hideMark/>
          </w:tcPr>
          <w:p w14:paraId="09897D37"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A954B78"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4C7D260A"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82939C0"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60997F12"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BACCD59"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F4EBA2E"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05C6D6F7" w14:textId="77777777" w:rsidTr="00863B9E">
        <w:trPr>
          <w:trHeight w:val="256"/>
          <w:jc w:val="center"/>
        </w:trPr>
        <w:tc>
          <w:tcPr>
            <w:tcW w:w="0" w:type="auto"/>
            <w:hideMark/>
          </w:tcPr>
          <w:p w14:paraId="69C68157" w14:textId="77777777" w:rsidR="003D7129" w:rsidRPr="003D7129" w:rsidRDefault="003D7129" w:rsidP="003D7129">
            <w:pPr>
              <w:rPr>
                <w:rFonts w:ascii="Arial" w:hAnsi="Arial" w:cs="Arial"/>
                <w:b/>
                <w:sz w:val="20"/>
                <w:szCs w:val="20"/>
              </w:rPr>
            </w:pPr>
            <w:r w:rsidRPr="003D7129">
              <w:rPr>
                <w:rFonts w:ascii="Arial" w:hAnsi="Arial" w:cs="Arial"/>
                <w:b/>
                <w:bCs/>
                <w:sz w:val="20"/>
                <w:szCs w:val="20"/>
              </w:rPr>
              <w:t>Tannins (</w:t>
            </w:r>
            <w:proofErr w:type="spellStart"/>
            <w:r w:rsidRPr="003D7129">
              <w:rPr>
                <w:rFonts w:ascii="Arial" w:hAnsi="Arial" w:cs="Arial"/>
                <w:b/>
                <w:bCs/>
                <w:sz w:val="20"/>
                <w:szCs w:val="20"/>
              </w:rPr>
              <w:t>phenols</w:t>
            </w:r>
            <w:proofErr w:type="spellEnd"/>
            <w:r w:rsidRPr="003D7129">
              <w:rPr>
                <w:rFonts w:ascii="Arial" w:hAnsi="Arial" w:cs="Arial"/>
                <w:b/>
                <w:bCs/>
                <w:sz w:val="20"/>
                <w:szCs w:val="20"/>
              </w:rPr>
              <w:t>)</w:t>
            </w:r>
          </w:p>
        </w:tc>
        <w:tc>
          <w:tcPr>
            <w:tcW w:w="0" w:type="auto"/>
            <w:hideMark/>
          </w:tcPr>
          <w:p w14:paraId="7F5CDB6A"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85A7888"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31CEB92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62A29690"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276FA64"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9708D44"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6DE859B8"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70238BF0" w14:textId="77777777" w:rsidTr="00863B9E">
        <w:trPr>
          <w:trHeight w:val="269"/>
          <w:jc w:val="center"/>
        </w:trPr>
        <w:tc>
          <w:tcPr>
            <w:tcW w:w="0" w:type="auto"/>
            <w:hideMark/>
          </w:tcPr>
          <w:p w14:paraId="38318398"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Saponins</w:t>
            </w:r>
            <w:proofErr w:type="spellEnd"/>
          </w:p>
        </w:tc>
        <w:tc>
          <w:tcPr>
            <w:tcW w:w="0" w:type="auto"/>
            <w:hideMark/>
          </w:tcPr>
          <w:p w14:paraId="5E922B18"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88C1F7F"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2A11492"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89ED8D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0F0911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47FBA814"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C6BD6FE"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548FD180" w14:textId="77777777" w:rsidTr="00863B9E">
        <w:trPr>
          <w:trHeight w:val="269"/>
          <w:jc w:val="center"/>
        </w:trPr>
        <w:tc>
          <w:tcPr>
            <w:tcW w:w="0" w:type="auto"/>
            <w:hideMark/>
          </w:tcPr>
          <w:p w14:paraId="1EBC62D6"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Alkaloids</w:t>
            </w:r>
            <w:proofErr w:type="spellEnd"/>
            <w:r w:rsidRPr="003D7129">
              <w:rPr>
                <w:rFonts w:ascii="Arial" w:hAnsi="Arial" w:cs="Arial"/>
                <w:b/>
                <w:bCs/>
                <w:sz w:val="20"/>
                <w:szCs w:val="20"/>
              </w:rPr>
              <w:t xml:space="preserve"> (</w:t>
            </w:r>
            <w:proofErr w:type="spellStart"/>
            <w:r w:rsidRPr="003D7129">
              <w:rPr>
                <w:rFonts w:ascii="Arial" w:hAnsi="Arial" w:cs="Arial"/>
                <w:b/>
                <w:bCs/>
                <w:sz w:val="20"/>
                <w:szCs w:val="20"/>
              </w:rPr>
              <w:t>salts</w:t>
            </w:r>
            <w:proofErr w:type="spellEnd"/>
            <w:r w:rsidRPr="003D7129">
              <w:rPr>
                <w:rFonts w:ascii="Arial" w:hAnsi="Arial" w:cs="Arial"/>
                <w:b/>
                <w:bCs/>
                <w:sz w:val="20"/>
                <w:szCs w:val="20"/>
              </w:rPr>
              <w:t>)</w:t>
            </w:r>
          </w:p>
        </w:tc>
        <w:tc>
          <w:tcPr>
            <w:tcW w:w="0" w:type="auto"/>
            <w:hideMark/>
          </w:tcPr>
          <w:p w14:paraId="3C286DE8"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60D1FAA"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084BA69"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EF03F83"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1C157AF"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014DBF47"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EAFAD15"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3A6C9F7C" w14:textId="77777777" w:rsidTr="00513F5C">
        <w:trPr>
          <w:trHeight w:val="256"/>
          <w:jc w:val="center"/>
        </w:trPr>
        <w:tc>
          <w:tcPr>
            <w:tcW w:w="0" w:type="auto"/>
            <w:hideMark/>
          </w:tcPr>
          <w:p w14:paraId="2C64FCCC" w14:textId="77777777" w:rsidR="003D7129" w:rsidRPr="003D7129" w:rsidRDefault="003D7129" w:rsidP="003D7129">
            <w:pPr>
              <w:rPr>
                <w:rFonts w:ascii="Arial" w:hAnsi="Arial" w:cs="Arial"/>
                <w:b/>
                <w:sz w:val="20"/>
                <w:szCs w:val="20"/>
              </w:rPr>
            </w:pPr>
            <w:r w:rsidRPr="003D7129">
              <w:rPr>
                <w:rFonts w:ascii="Arial" w:hAnsi="Arial" w:cs="Arial"/>
                <w:b/>
                <w:bCs/>
                <w:sz w:val="20"/>
                <w:szCs w:val="20"/>
              </w:rPr>
              <w:t>Anthocyanosides</w:t>
            </w:r>
          </w:p>
        </w:tc>
        <w:tc>
          <w:tcPr>
            <w:tcW w:w="0" w:type="auto"/>
            <w:hideMark/>
          </w:tcPr>
          <w:p w14:paraId="3942DF73"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583013D"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DD35F6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100790A"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A30676D"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4DFC7E90"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6A903C77"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45CCEB8A" w14:textId="77777777" w:rsidTr="00513F5C">
        <w:trPr>
          <w:trHeight w:val="269"/>
          <w:jc w:val="center"/>
        </w:trPr>
        <w:tc>
          <w:tcPr>
            <w:tcW w:w="0" w:type="auto"/>
            <w:tcBorders>
              <w:bottom w:val="single" w:sz="4" w:space="0" w:color="auto"/>
            </w:tcBorders>
            <w:hideMark/>
          </w:tcPr>
          <w:p w14:paraId="742F345B"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Reducing</w:t>
            </w:r>
            <w:proofErr w:type="spellEnd"/>
            <w:r w:rsidRPr="003D7129">
              <w:rPr>
                <w:rFonts w:ascii="Arial" w:hAnsi="Arial" w:cs="Arial"/>
                <w:b/>
                <w:bCs/>
                <w:sz w:val="20"/>
                <w:szCs w:val="20"/>
              </w:rPr>
              <w:t xml:space="preserve"> compounds</w:t>
            </w:r>
          </w:p>
        </w:tc>
        <w:tc>
          <w:tcPr>
            <w:tcW w:w="0" w:type="auto"/>
            <w:tcBorders>
              <w:bottom w:val="single" w:sz="4" w:space="0" w:color="auto"/>
            </w:tcBorders>
            <w:hideMark/>
          </w:tcPr>
          <w:p w14:paraId="51F87EDE"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bottom w:val="single" w:sz="4" w:space="0" w:color="auto"/>
            </w:tcBorders>
            <w:hideMark/>
          </w:tcPr>
          <w:p w14:paraId="4527F592"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bottom w:val="single" w:sz="4" w:space="0" w:color="auto"/>
            </w:tcBorders>
            <w:hideMark/>
          </w:tcPr>
          <w:p w14:paraId="2904C399"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bottom w:val="single" w:sz="4" w:space="0" w:color="auto"/>
            </w:tcBorders>
            <w:hideMark/>
          </w:tcPr>
          <w:p w14:paraId="36D08B17"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bottom w:val="single" w:sz="4" w:space="0" w:color="auto"/>
            </w:tcBorders>
            <w:hideMark/>
          </w:tcPr>
          <w:p w14:paraId="7974C845"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bottom w:val="single" w:sz="4" w:space="0" w:color="auto"/>
            </w:tcBorders>
            <w:hideMark/>
          </w:tcPr>
          <w:p w14:paraId="1033F3E2"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bottom w:val="single" w:sz="4" w:space="0" w:color="auto"/>
            </w:tcBorders>
            <w:hideMark/>
          </w:tcPr>
          <w:p w14:paraId="341FDF79"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bl>
    <w:p w14:paraId="6174EB04" w14:textId="185E2568" w:rsidR="000155DA" w:rsidRPr="002070B0" w:rsidRDefault="00863B9E" w:rsidP="00513F5C">
      <w:pPr>
        <w:pStyle w:val="Body"/>
        <w:jc w:val="center"/>
        <w:rPr>
          <w:rFonts w:ascii="Arial" w:hAnsi="Arial" w:cs="Arial"/>
          <w:bCs/>
          <w:i/>
          <w:lang w:val="en-CA"/>
        </w:rPr>
      </w:pPr>
      <w:r w:rsidRPr="002070B0">
        <w:rPr>
          <w:rFonts w:ascii="Arial" w:hAnsi="Arial" w:cs="Arial"/>
          <w:bCs/>
          <w:i/>
          <w:lang w:val="en-CA"/>
        </w:rPr>
        <w:t>Legend:</w:t>
      </w:r>
      <w:r w:rsidR="000155DA" w:rsidRPr="002070B0">
        <w:rPr>
          <w:rFonts w:ascii="Arial" w:hAnsi="Arial" w:cs="Arial"/>
          <w:bCs/>
          <w:i/>
          <w:lang w:val="en-CA"/>
        </w:rPr>
        <w:t xml:space="preserve"> + = presence; (-) = absent; +/- = tracks; SOC = Senna occidentalis</w:t>
      </w:r>
      <w:r w:rsidR="002070B0">
        <w:rPr>
          <w:rFonts w:ascii="Arial" w:hAnsi="Arial" w:cs="Arial"/>
          <w:bCs/>
          <w:i/>
          <w:lang w:val="en-CA"/>
        </w:rPr>
        <w:t xml:space="preserve"> (SO)</w:t>
      </w:r>
      <w:r w:rsidR="000155DA" w:rsidRPr="002070B0">
        <w:rPr>
          <w:rFonts w:ascii="Arial" w:hAnsi="Arial" w:cs="Arial"/>
          <w:bCs/>
          <w:i/>
          <w:lang w:val="en-CA"/>
        </w:rPr>
        <w:t xml:space="preserve"> </w:t>
      </w:r>
      <w:r w:rsidR="002070B0">
        <w:rPr>
          <w:rFonts w:ascii="Arial" w:hAnsi="Arial" w:cs="Arial"/>
          <w:bCs/>
          <w:i/>
          <w:lang w:val="en-CA"/>
        </w:rPr>
        <w:t>shells</w:t>
      </w:r>
      <w:r w:rsidR="000155DA" w:rsidRPr="002070B0">
        <w:rPr>
          <w:rFonts w:ascii="Arial" w:hAnsi="Arial" w:cs="Arial"/>
          <w:bCs/>
          <w:i/>
          <w:lang w:val="en-CA"/>
        </w:rPr>
        <w:t>; SOG = seeds of SO; SOL = SO sheets; SOE = SO bark; MOE = MO</w:t>
      </w:r>
      <w:r w:rsidR="008824CC">
        <w:rPr>
          <w:rFonts w:ascii="Arial" w:hAnsi="Arial" w:cs="Arial"/>
          <w:bCs/>
          <w:i/>
          <w:lang w:val="en-CA"/>
        </w:rPr>
        <w:t xml:space="preserve"> </w:t>
      </w:r>
      <w:r w:rsidR="000155DA" w:rsidRPr="002070B0">
        <w:rPr>
          <w:rFonts w:ascii="Arial" w:hAnsi="Arial" w:cs="Arial"/>
          <w:bCs/>
          <w:i/>
          <w:lang w:val="en-CA"/>
        </w:rPr>
        <w:t>bark; MOF = Flowers of MO; MOL = Sheets of MO.</w:t>
      </w:r>
    </w:p>
    <w:p w14:paraId="5D68E925" w14:textId="77777777" w:rsidR="000155DA" w:rsidRPr="002829E9" w:rsidRDefault="00916B5E" w:rsidP="000155DA">
      <w:pPr>
        <w:pStyle w:val="Body"/>
        <w:rPr>
          <w:rFonts w:ascii="Arial" w:hAnsi="Arial" w:cs="Arial"/>
          <w:b/>
          <w:bCs/>
          <w:u w:val="single"/>
        </w:rPr>
      </w:pPr>
      <w:r w:rsidRPr="002829E9">
        <w:rPr>
          <w:rFonts w:ascii="Arial" w:hAnsi="Arial" w:cs="Arial"/>
          <w:b/>
          <w:bCs/>
          <w:u w:val="single"/>
        </w:rPr>
        <w:t xml:space="preserve">3.1.2. </w:t>
      </w:r>
      <w:r w:rsidR="00012A1B" w:rsidRPr="002829E9">
        <w:rPr>
          <w:rFonts w:ascii="Arial" w:hAnsi="Arial" w:cs="Arial"/>
          <w:b/>
          <w:bCs/>
          <w:u w:val="single"/>
        </w:rPr>
        <w:t>The h</w:t>
      </w:r>
      <w:r w:rsidR="000155DA" w:rsidRPr="002829E9">
        <w:rPr>
          <w:rFonts w:ascii="Arial" w:hAnsi="Arial" w:cs="Arial"/>
          <w:b/>
          <w:bCs/>
          <w:u w:val="single"/>
        </w:rPr>
        <w:t>eat</w:t>
      </w:r>
      <w:r w:rsidR="00012A1B" w:rsidRPr="002829E9">
        <w:rPr>
          <w:rFonts w:ascii="Arial" w:hAnsi="Arial" w:cs="Arial"/>
          <w:b/>
          <w:bCs/>
          <w:u w:val="single"/>
        </w:rPr>
        <w:t xml:space="preserve"> </w:t>
      </w:r>
      <w:r w:rsidR="000155DA" w:rsidRPr="002829E9">
        <w:rPr>
          <w:rFonts w:ascii="Arial" w:hAnsi="Arial" w:cs="Arial"/>
          <w:b/>
          <w:bCs/>
          <w:u w:val="single"/>
        </w:rPr>
        <w:t>map of secondary metabolites per extract</w:t>
      </w:r>
    </w:p>
    <w:p w14:paraId="1CC5117A" w14:textId="77777777" w:rsidR="000155DA" w:rsidRPr="002829E9" w:rsidRDefault="000155DA" w:rsidP="000155DA">
      <w:pPr>
        <w:pStyle w:val="Body"/>
        <w:rPr>
          <w:rFonts w:ascii="Arial" w:hAnsi="Arial" w:cs="Arial"/>
          <w:bCs/>
        </w:rPr>
      </w:pPr>
      <w:r w:rsidRPr="002829E9">
        <w:rPr>
          <w:rFonts w:ascii="Arial" w:hAnsi="Arial" w:cs="Arial"/>
          <w:bCs/>
        </w:rPr>
        <w:t xml:space="preserve">The heatmap shows the comparative distribution of phytochemical groups in the different extracts of </w:t>
      </w:r>
      <w:r w:rsidRPr="002829E9">
        <w:rPr>
          <w:rFonts w:ascii="Arial" w:hAnsi="Arial" w:cs="Arial"/>
          <w:bCs/>
          <w:i/>
          <w:iCs/>
        </w:rPr>
        <w:t xml:space="preserve">Senna occidentalis </w:t>
      </w:r>
      <w:r w:rsidRPr="002829E9">
        <w:rPr>
          <w:rFonts w:ascii="Arial" w:hAnsi="Arial" w:cs="Arial"/>
          <w:bCs/>
        </w:rPr>
        <w:t xml:space="preserve">and </w:t>
      </w:r>
      <w:r w:rsidRPr="002829E9">
        <w:rPr>
          <w:rFonts w:ascii="Arial" w:hAnsi="Arial" w:cs="Arial"/>
          <w:bCs/>
          <w:i/>
          <w:iCs/>
        </w:rPr>
        <w:t>Moringa oleifera</w:t>
      </w:r>
      <w:r w:rsidRPr="002829E9">
        <w:rPr>
          <w:rFonts w:ascii="Arial" w:hAnsi="Arial" w:cs="Arial"/>
          <w:bCs/>
        </w:rPr>
        <w:t xml:space="preserve">. It shows: A high concentration of tannins in MOL, MOF and SOL (dark blue areas); A marked presence of </w:t>
      </w:r>
      <w:proofErr w:type="spellStart"/>
      <w:r w:rsidRPr="002829E9">
        <w:rPr>
          <w:rFonts w:ascii="Arial" w:hAnsi="Arial" w:cs="Arial"/>
          <w:bCs/>
        </w:rPr>
        <w:t>anthracenosides</w:t>
      </w:r>
      <w:proofErr w:type="spellEnd"/>
      <w:r w:rsidRPr="002829E9">
        <w:rPr>
          <w:rFonts w:ascii="Arial" w:hAnsi="Arial" w:cs="Arial"/>
          <w:bCs/>
        </w:rPr>
        <w:t xml:space="preserve"> and sterol glycosides in </w:t>
      </w:r>
      <w:r w:rsidRPr="002829E9">
        <w:rPr>
          <w:rFonts w:ascii="Arial" w:hAnsi="Arial" w:cs="Arial"/>
          <w:bCs/>
          <w:i/>
        </w:rPr>
        <w:t xml:space="preserve">S. occidentalis </w:t>
      </w:r>
      <w:r w:rsidRPr="002829E9">
        <w:rPr>
          <w:rFonts w:ascii="Arial" w:hAnsi="Arial" w:cs="Arial"/>
          <w:bCs/>
        </w:rPr>
        <w:t xml:space="preserve">extracts. Flavonoids (glycosides and aglycones) were more abundant in floral and leaf extracts of </w:t>
      </w:r>
      <w:r w:rsidRPr="002829E9">
        <w:rPr>
          <w:rFonts w:ascii="Arial" w:hAnsi="Arial" w:cs="Arial"/>
          <w:bCs/>
          <w:i/>
        </w:rPr>
        <w:t>M. oleifera</w:t>
      </w:r>
      <w:r w:rsidRPr="002829E9">
        <w:rPr>
          <w:rFonts w:ascii="Arial" w:hAnsi="Arial" w:cs="Arial"/>
          <w:bCs/>
        </w:rPr>
        <w:t>.</w:t>
      </w:r>
    </w:p>
    <w:p w14:paraId="4F3C316A" w14:textId="77777777" w:rsidR="000155DA" w:rsidRPr="000155DA" w:rsidRDefault="000155DA" w:rsidP="00204152">
      <w:pPr>
        <w:pStyle w:val="Body"/>
        <w:jc w:val="center"/>
        <w:rPr>
          <w:rFonts w:ascii="Arial" w:hAnsi="Arial" w:cs="Arial"/>
          <w:bCs/>
          <w:lang w:val="fr-FR"/>
        </w:rPr>
      </w:pPr>
      <w:r w:rsidRPr="000155DA">
        <w:rPr>
          <w:rFonts w:ascii="Arial" w:hAnsi="Arial" w:cs="Arial"/>
          <w:bCs/>
          <w:noProof/>
          <w:lang w:val="fr-FR" w:eastAsia="fr-FR"/>
        </w:rPr>
        <w:lastRenderedPageBreak/>
        <w:drawing>
          <wp:inline distT="0" distB="0" distL="0" distR="0" wp14:anchorId="7AFCC9F2" wp14:editId="33CF8B28">
            <wp:extent cx="4873824" cy="3946251"/>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873824" cy="3946251"/>
                    </a:xfrm>
                    <a:prstGeom prst="rect">
                      <a:avLst/>
                    </a:prstGeom>
                    <a:noFill/>
                  </pic:spPr>
                </pic:pic>
              </a:graphicData>
            </a:graphic>
          </wp:inline>
        </w:drawing>
      </w:r>
    </w:p>
    <w:p w14:paraId="53407CE8" w14:textId="045658BE" w:rsidR="000155DA" w:rsidRPr="002829E9" w:rsidRDefault="00B50CA0" w:rsidP="000155DA">
      <w:pPr>
        <w:pStyle w:val="Body"/>
        <w:rPr>
          <w:rFonts w:ascii="Arial" w:hAnsi="Arial" w:cs="Arial"/>
          <w:b/>
          <w:bCs/>
        </w:rPr>
      </w:pPr>
      <w:r w:rsidRPr="002829E9">
        <w:rPr>
          <w:rFonts w:ascii="Arial" w:hAnsi="Arial" w:cs="Arial"/>
          <w:b/>
          <w:bCs/>
        </w:rPr>
        <w:t>Fig.</w:t>
      </w:r>
      <w:r w:rsidR="000155DA" w:rsidRPr="002829E9">
        <w:rPr>
          <w:rFonts w:ascii="Arial" w:hAnsi="Arial" w:cs="Arial"/>
          <w:b/>
          <w:bCs/>
        </w:rPr>
        <w:t xml:space="preserve"> </w:t>
      </w:r>
      <w:r w:rsidR="000155DA" w:rsidRPr="00863B9E">
        <w:rPr>
          <w:rFonts w:ascii="Arial" w:hAnsi="Arial" w:cs="Arial"/>
          <w:b/>
          <w:bCs/>
          <w:iCs/>
          <w:lang w:val="fr-FR"/>
        </w:rPr>
        <w:fldChar w:fldCharType="begin"/>
      </w:r>
      <w:r w:rsidR="000155DA" w:rsidRPr="002829E9">
        <w:rPr>
          <w:rFonts w:ascii="Arial" w:hAnsi="Arial" w:cs="Arial"/>
          <w:b/>
          <w:bCs/>
        </w:rPr>
        <w:instrText xml:space="preserve"> SEQ Figure \* ARABIC </w:instrText>
      </w:r>
      <w:r w:rsidR="000155DA" w:rsidRPr="00863B9E">
        <w:rPr>
          <w:rFonts w:ascii="Arial" w:hAnsi="Arial" w:cs="Arial"/>
          <w:b/>
          <w:bCs/>
          <w:iCs/>
          <w:lang w:val="fr-FR"/>
        </w:rPr>
        <w:fldChar w:fldCharType="separate"/>
      </w:r>
      <w:r w:rsidR="00857943">
        <w:rPr>
          <w:rFonts w:ascii="Arial" w:hAnsi="Arial" w:cs="Arial"/>
          <w:b/>
          <w:bCs/>
          <w:noProof/>
        </w:rPr>
        <w:t>3</w:t>
      </w:r>
      <w:r w:rsidR="000155DA" w:rsidRPr="00863B9E">
        <w:rPr>
          <w:rFonts w:ascii="Arial" w:hAnsi="Arial" w:cs="Arial"/>
          <w:b/>
          <w:bCs/>
          <w:lang w:val="fr-FR"/>
        </w:rPr>
        <w:fldChar w:fldCharType="end"/>
      </w:r>
      <w:r w:rsidR="000155DA" w:rsidRPr="002829E9">
        <w:rPr>
          <w:rFonts w:ascii="Arial" w:hAnsi="Arial" w:cs="Arial"/>
          <w:b/>
          <w:bCs/>
        </w:rPr>
        <w:t xml:space="preserve"> : Heat map of phytochemical groups in extracts </w:t>
      </w:r>
      <w:r w:rsidR="000155DA" w:rsidRPr="002829E9">
        <w:rPr>
          <w:rFonts w:ascii="Arial" w:hAnsi="Arial" w:cs="Arial"/>
          <w:b/>
          <w:bCs/>
          <w:i/>
        </w:rPr>
        <w:t xml:space="preserve">of M. oleifera </w:t>
      </w:r>
      <w:r w:rsidR="000155DA" w:rsidRPr="002829E9">
        <w:rPr>
          <w:rFonts w:ascii="Arial" w:hAnsi="Arial" w:cs="Arial"/>
          <w:b/>
          <w:bCs/>
        </w:rPr>
        <w:t xml:space="preserve">and </w:t>
      </w:r>
      <w:r w:rsidR="000155DA" w:rsidRPr="002829E9">
        <w:rPr>
          <w:rFonts w:ascii="Arial" w:hAnsi="Arial" w:cs="Arial"/>
          <w:b/>
          <w:bCs/>
          <w:i/>
        </w:rPr>
        <w:t>S. occidentalis.</w:t>
      </w:r>
    </w:p>
    <w:p w14:paraId="6C04C278" w14:textId="77777777" w:rsidR="000155DA" w:rsidRPr="002829E9" w:rsidRDefault="00916B5E" w:rsidP="000155DA">
      <w:pPr>
        <w:pStyle w:val="Body"/>
        <w:rPr>
          <w:rFonts w:ascii="Arial" w:hAnsi="Arial" w:cs="Arial"/>
          <w:b/>
          <w:bCs/>
          <w:u w:val="single"/>
        </w:rPr>
      </w:pPr>
      <w:r w:rsidRPr="002829E9">
        <w:rPr>
          <w:rFonts w:ascii="Arial" w:hAnsi="Arial" w:cs="Arial"/>
          <w:b/>
          <w:bCs/>
          <w:u w:val="single"/>
        </w:rPr>
        <w:t xml:space="preserve">3.1.3. </w:t>
      </w:r>
      <w:r w:rsidR="000155DA" w:rsidRPr="002829E9">
        <w:rPr>
          <w:rFonts w:ascii="Arial" w:hAnsi="Arial" w:cs="Arial"/>
          <w:b/>
          <w:bCs/>
          <w:u w:val="single"/>
        </w:rPr>
        <w:t xml:space="preserve">Antibacterial activity </w:t>
      </w:r>
    </w:p>
    <w:p w14:paraId="0DA56EE8" w14:textId="77777777" w:rsidR="000155DA" w:rsidRPr="002829E9" w:rsidRDefault="00916B5E" w:rsidP="000155DA">
      <w:pPr>
        <w:pStyle w:val="Body"/>
        <w:rPr>
          <w:rFonts w:ascii="Arial" w:hAnsi="Arial" w:cs="Arial"/>
          <w:bCs/>
          <w:i/>
        </w:rPr>
      </w:pPr>
      <w:r w:rsidRPr="002829E9">
        <w:rPr>
          <w:rFonts w:ascii="Arial" w:hAnsi="Arial" w:cs="Arial"/>
          <w:bCs/>
          <w:i/>
        </w:rPr>
        <w:t xml:space="preserve">3.1.3.1. </w:t>
      </w:r>
      <w:r w:rsidR="000155DA" w:rsidRPr="002829E9">
        <w:rPr>
          <w:rFonts w:ascii="Arial" w:hAnsi="Arial" w:cs="Arial"/>
          <w:bCs/>
          <w:i/>
        </w:rPr>
        <w:t>Evaluation of the anti-MRSA activity of extracts</w:t>
      </w:r>
    </w:p>
    <w:p w14:paraId="1E9C70C2" w14:textId="26ADA797" w:rsidR="00513F5C" w:rsidRPr="002829E9" w:rsidRDefault="000155DA" w:rsidP="000155DA">
      <w:pPr>
        <w:pStyle w:val="Body"/>
        <w:rPr>
          <w:rFonts w:ascii="Arial" w:hAnsi="Arial" w:cs="Arial"/>
          <w:bCs/>
        </w:rPr>
      </w:pPr>
      <w:r w:rsidRPr="002829E9">
        <w:rPr>
          <w:rFonts w:ascii="Arial" w:hAnsi="Arial" w:cs="Arial"/>
          <w:bCs/>
        </w:rPr>
        <w:t xml:space="preserve">In this study, extracts from different parts of </w:t>
      </w:r>
      <w:r w:rsidRPr="002829E9">
        <w:rPr>
          <w:rFonts w:ascii="Arial" w:hAnsi="Arial" w:cs="Arial"/>
          <w:bCs/>
          <w:i/>
          <w:iCs/>
        </w:rPr>
        <w:t xml:space="preserve">M. oleifera </w:t>
      </w:r>
      <w:r w:rsidRPr="002829E9">
        <w:rPr>
          <w:rFonts w:ascii="Arial" w:hAnsi="Arial" w:cs="Arial"/>
          <w:bCs/>
        </w:rPr>
        <w:t xml:space="preserve">(leaves, bark and flowers) and </w:t>
      </w:r>
      <w:r w:rsidRPr="002829E9">
        <w:rPr>
          <w:rFonts w:ascii="Arial" w:hAnsi="Arial" w:cs="Arial"/>
          <w:bCs/>
          <w:i/>
          <w:iCs/>
        </w:rPr>
        <w:t xml:space="preserve">S. occidentalis </w:t>
      </w:r>
      <w:r w:rsidRPr="002829E9">
        <w:rPr>
          <w:rFonts w:ascii="Arial" w:hAnsi="Arial" w:cs="Arial"/>
          <w:bCs/>
        </w:rPr>
        <w:t xml:space="preserve">(leaves, bark, seeds and seed capsules) were tested against susceptible and resistant strains </w:t>
      </w:r>
      <w:r w:rsidRPr="002829E9">
        <w:rPr>
          <w:rFonts w:ascii="Arial" w:hAnsi="Arial" w:cs="Arial"/>
          <w:bCs/>
          <w:i/>
          <w:iCs/>
        </w:rPr>
        <w:t>of S. aureus</w:t>
      </w:r>
      <w:r w:rsidRPr="002829E9">
        <w:rPr>
          <w:rFonts w:ascii="Arial" w:hAnsi="Arial" w:cs="Arial"/>
          <w:bCs/>
        </w:rPr>
        <w:t xml:space="preserve">. These strains are associated with suppurative (mainly) and urinary tract infections. Only one strain is of vaginal origin. Fifteen strains of </w:t>
      </w:r>
      <w:r w:rsidRPr="002829E9">
        <w:rPr>
          <w:rFonts w:ascii="Arial" w:hAnsi="Arial" w:cs="Arial"/>
          <w:bCs/>
          <w:i/>
          <w:iCs/>
        </w:rPr>
        <w:t xml:space="preserve">S. aureus </w:t>
      </w:r>
      <w:r w:rsidRPr="002829E9">
        <w:rPr>
          <w:rFonts w:ascii="Arial" w:hAnsi="Arial" w:cs="Arial"/>
          <w:bCs/>
        </w:rPr>
        <w:t xml:space="preserve">were involved in this study. Four were methicillin-susceptible (MSSA), ten were MRSA and one was a reference strain (ATCC </w:t>
      </w:r>
      <w:r w:rsidR="00562C2E" w:rsidRPr="002829E9">
        <w:rPr>
          <w:rFonts w:ascii="Arial" w:hAnsi="Arial" w:cs="Arial"/>
          <w:bCs/>
        </w:rPr>
        <w:t>25923</w:t>
      </w:r>
      <w:r w:rsidR="00562C2E">
        <w:rPr>
          <w:rFonts w:ascii="Arial" w:hAnsi="Arial" w:cs="Arial"/>
          <w:bCs/>
        </w:rPr>
        <w:t>; MSSA</w:t>
      </w:r>
      <w:r w:rsidRPr="002829E9">
        <w:rPr>
          <w:rFonts w:ascii="Arial" w:hAnsi="Arial" w:cs="Arial"/>
          <w:bCs/>
        </w:rPr>
        <w:t xml:space="preserve">). </w:t>
      </w:r>
      <w:r w:rsidR="00562C2E">
        <w:rPr>
          <w:rFonts w:ascii="Arial" w:hAnsi="Arial" w:cs="Arial"/>
          <w:bCs/>
        </w:rPr>
        <w:t>Cefo</w:t>
      </w:r>
      <w:r w:rsidR="008E6A95" w:rsidRPr="008E6A95">
        <w:rPr>
          <w:rFonts w:ascii="Arial" w:hAnsi="Arial" w:cs="Arial"/>
          <w:bCs/>
        </w:rPr>
        <w:t>xi</w:t>
      </w:r>
      <w:r w:rsidR="00562C2E">
        <w:rPr>
          <w:rFonts w:ascii="Arial" w:hAnsi="Arial" w:cs="Arial"/>
          <w:bCs/>
        </w:rPr>
        <w:t>tin</w:t>
      </w:r>
      <w:r w:rsidR="008E6A95" w:rsidRPr="008E6A95">
        <w:rPr>
          <w:rFonts w:ascii="Arial" w:hAnsi="Arial" w:cs="Arial"/>
          <w:bCs/>
        </w:rPr>
        <w:t xml:space="preserve"> discs (30 µg) were used to detect methicillin-resistant isolates. Methicillin resistance was established when an inhibition diameter &lt; 27 mm was obtained</w:t>
      </w:r>
      <w:r w:rsidR="008752CE">
        <w:rPr>
          <w:rFonts w:ascii="Arial" w:hAnsi="Arial" w:cs="Arial"/>
          <w:bCs/>
        </w:rPr>
        <w:t xml:space="preserve"> </w:t>
      </w:r>
      <w:r w:rsidR="008752CE" w:rsidRPr="008752CE">
        <w:rPr>
          <w:rFonts w:ascii="Arial" w:hAnsi="Arial" w:cs="Arial"/>
          <w:highlight w:val="yellow"/>
          <w:lang w:val="fr-FR"/>
        </w:rPr>
        <w:fldChar w:fldCharType="begin" w:fldLock="1"/>
      </w:r>
      <w:r w:rsidR="008752CE" w:rsidRPr="008752CE">
        <w:rPr>
          <w:rFonts w:ascii="Arial" w:hAnsi="Arial" w:cs="Arial"/>
          <w:highlight w:val="yellow"/>
        </w:rPr>
        <w:instrText>ADDIN CSL_CITATION {"citationItems":[{"id":"ITEM-1","itemData":{"abstract":"CA-SFM. (2013). Recommandations 2013 du Comité de l'antibiogramme de la Société Française de Microbiologie, 60p.","author":[{"dropping-particle":"","family":"EUCAST/CA-SFM","given":"","non-dropping-particle":"","parse-names":false,"suffix":""}],"container-title":"Comité De L'Antibiogramme De La Société Française De Microbiologie","id":"ITEM-1","issue":"mm","issued":{"date-parts":[["2024"]]},"page":"181","title":"Comité de l ’ antibiogramme de la Société Française de Microbiologie Recommandations 2024","type":"article-journal"},"uris":["http://www.mendeley.com/documents/?uuid=8aa92f09-1f57-4ff0-bd15-2ed48a0ecb86"]}],"mendeley":{"formattedCitation":"(EUCAST/CA-SFM, 2024)","plainTextFormattedCitation":"(EUCAST/CA-SFM, 2024)","previouslyFormattedCitation":"(EUCAST/CA-SFM, 2024)"},"properties":{"noteIndex":0},"schema":"https://github.com/citation-style-language/schema/raw/master/csl-citation.json"}</w:instrText>
      </w:r>
      <w:r w:rsidR="008752CE" w:rsidRPr="008752CE">
        <w:rPr>
          <w:rFonts w:ascii="Arial" w:hAnsi="Arial" w:cs="Arial"/>
          <w:highlight w:val="yellow"/>
          <w:lang w:val="fr-FR"/>
        </w:rPr>
        <w:fldChar w:fldCharType="separate"/>
      </w:r>
      <w:r w:rsidR="008752CE" w:rsidRPr="008752CE">
        <w:rPr>
          <w:rFonts w:ascii="Arial" w:hAnsi="Arial" w:cs="Arial"/>
          <w:highlight w:val="yellow"/>
        </w:rPr>
        <w:t>(EUCAST/CA-SFM, 2024)</w:t>
      </w:r>
      <w:r w:rsidR="008752CE" w:rsidRPr="008752CE">
        <w:rPr>
          <w:rFonts w:ascii="Arial" w:hAnsi="Arial" w:cs="Arial"/>
          <w:highlight w:val="yellow"/>
        </w:rPr>
        <w:fldChar w:fldCharType="end"/>
      </w:r>
      <w:r w:rsidR="008E6A95" w:rsidRPr="008E6A95">
        <w:rPr>
          <w:rFonts w:ascii="Arial" w:hAnsi="Arial" w:cs="Arial"/>
          <w:bCs/>
        </w:rPr>
        <w:t>.</w:t>
      </w:r>
      <w:r w:rsidR="008E6A95">
        <w:rPr>
          <w:rFonts w:ascii="Arial" w:hAnsi="Arial" w:cs="Arial"/>
          <w:bCs/>
        </w:rPr>
        <w:t xml:space="preserve"> </w:t>
      </w:r>
      <w:r w:rsidRPr="002829E9">
        <w:rPr>
          <w:rFonts w:ascii="Arial" w:hAnsi="Arial" w:cs="Arial"/>
          <w:bCs/>
        </w:rPr>
        <w:t xml:space="preserve">The strains collected </w:t>
      </w:r>
      <w:r w:rsidR="00C4316B">
        <w:rPr>
          <w:rFonts w:ascii="Arial" w:hAnsi="Arial" w:cs="Arial"/>
          <w:bCs/>
        </w:rPr>
        <w:t>are presented in Tables 2</w:t>
      </w:r>
      <w:r w:rsidRPr="002829E9">
        <w:rPr>
          <w:rFonts w:ascii="Arial" w:hAnsi="Arial" w:cs="Arial"/>
          <w:bCs/>
        </w:rPr>
        <w:t>.</w:t>
      </w:r>
    </w:p>
    <w:p w14:paraId="729E77F9" w14:textId="77777777" w:rsidR="000155DA" w:rsidRPr="002829E9" w:rsidRDefault="00513F5C" w:rsidP="000155DA">
      <w:pPr>
        <w:pStyle w:val="Body"/>
        <w:rPr>
          <w:rFonts w:ascii="Arial" w:hAnsi="Arial" w:cs="Arial"/>
          <w:b/>
          <w:bCs/>
        </w:rPr>
      </w:pPr>
      <w:r>
        <w:rPr>
          <w:rFonts w:ascii="Arial" w:hAnsi="Arial"/>
          <w:b/>
        </w:rPr>
        <w:t xml:space="preserve">Table 2. </w:t>
      </w:r>
      <w:r w:rsidR="000155DA" w:rsidRPr="002829E9">
        <w:rPr>
          <w:rFonts w:ascii="Arial" w:hAnsi="Arial" w:cs="Arial"/>
          <w:b/>
          <w:bCs/>
        </w:rPr>
        <w:t>Strain phenotypes and nature of samples</w:t>
      </w:r>
    </w:p>
    <w:tbl>
      <w:tblPr>
        <w:tblStyle w:val="TableGrid"/>
        <w:tblW w:w="95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580"/>
        <w:gridCol w:w="604"/>
        <w:gridCol w:w="537"/>
        <w:gridCol w:w="604"/>
        <w:gridCol w:w="604"/>
        <w:gridCol w:w="547"/>
        <w:gridCol w:w="605"/>
        <w:gridCol w:w="605"/>
        <w:gridCol w:w="605"/>
        <w:gridCol w:w="717"/>
        <w:gridCol w:w="605"/>
        <w:gridCol w:w="605"/>
        <w:gridCol w:w="717"/>
        <w:gridCol w:w="682"/>
      </w:tblGrid>
      <w:tr w:rsidR="000155DA" w:rsidRPr="00513F5C" w14:paraId="122CA932" w14:textId="77777777" w:rsidTr="00513F5C">
        <w:trPr>
          <w:trHeight w:val="370"/>
          <w:jc w:val="center"/>
        </w:trPr>
        <w:tc>
          <w:tcPr>
            <w:tcW w:w="986" w:type="dxa"/>
            <w:tcBorders>
              <w:top w:val="single" w:sz="4" w:space="0" w:color="auto"/>
              <w:bottom w:val="single" w:sz="4" w:space="0" w:color="auto"/>
            </w:tcBorders>
          </w:tcPr>
          <w:p w14:paraId="446D7FD2" w14:textId="77777777" w:rsidR="000155DA" w:rsidRPr="00513F5C" w:rsidRDefault="000155DA" w:rsidP="000155DA">
            <w:pPr>
              <w:pStyle w:val="Body"/>
              <w:rPr>
                <w:rFonts w:ascii="Arial" w:hAnsi="Arial" w:cs="Arial"/>
                <w:b/>
                <w:bCs/>
                <w:sz w:val="18"/>
                <w:szCs w:val="18"/>
                <w:lang w:val="fr-FR"/>
              </w:rPr>
            </w:pPr>
            <w:proofErr w:type="spellStart"/>
            <w:r w:rsidRPr="00513F5C">
              <w:rPr>
                <w:rFonts w:ascii="Arial" w:hAnsi="Arial" w:cs="Arial"/>
                <w:b/>
                <w:bCs/>
                <w:sz w:val="18"/>
                <w:szCs w:val="18"/>
                <w:lang w:val="fr-FR"/>
              </w:rPr>
              <w:t>Strain</w:t>
            </w:r>
            <w:proofErr w:type="spellEnd"/>
          </w:p>
        </w:tc>
        <w:tc>
          <w:tcPr>
            <w:tcW w:w="582" w:type="dxa"/>
            <w:tcBorders>
              <w:top w:val="single" w:sz="4" w:space="0" w:color="auto"/>
              <w:bottom w:val="single" w:sz="4" w:space="0" w:color="auto"/>
            </w:tcBorders>
          </w:tcPr>
          <w:p w14:paraId="37CD7893"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S5</w:t>
            </w:r>
          </w:p>
        </w:tc>
        <w:tc>
          <w:tcPr>
            <w:tcW w:w="607" w:type="dxa"/>
            <w:tcBorders>
              <w:top w:val="single" w:sz="4" w:space="0" w:color="auto"/>
              <w:bottom w:val="single" w:sz="4" w:space="0" w:color="auto"/>
            </w:tcBorders>
          </w:tcPr>
          <w:p w14:paraId="60977EB6"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S14</w:t>
            </w:r>
          </w:p>
        </w:tc>
        <w:tc>
          <w:tcPr>
            <w:tcW w:w="521" w:type="dxa"/>
            <w:tcBorders>
              <w:top w:val="single" w:sz="4" w:space="0" w:color="auto"/>
              <w:bottom w:val="single" w:sz="4" w:space="0" w:color="auto"/>
            </w:tcBorders>
          </w:tcPr>
          <w:p w14:paraId="2EE4E7C1"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S16</w:t>
            </w:r>
          </w:p>
        </w:tc>
        <w:tc>
          <w:tcPr>
            <w:tcW w:w="607" w:type="dxa"/>
            <w:tcBorders>
              <w:top w:val="single" w:sz="4" w:space="0" w:color="auto"/>
              <w:bottom w:val="single" w:sz="4" w:space="0" w:color="auto"/>
            </w:tcBorders>
          </w:tcPr>
          <w:p w14:paraId="1E9BB693"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S43</w:t>
            </w:r>
          </w:p>
        </w:tc>
        <w:tc>
          <w:tcPr>
            <w:tcW w:w="607" w:type="dxa"/>
            <w:tcBorders>
              <w:top w:val="single" w:sz="4" w:space="0" w:color="auto"/>
              <w:bottom w:val="single" w:sz="4" w:space="0" w:color="auto"/>
            </w:tcBorders>
          </w:tcPr>
          <w:p w14:paraId="56B7E89D"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R4</w:t>
            </w:r>
          </w:p>
        </w:tc>
        <w:tc>
          <w:tcPr>
            <w:tcW w:w="532" w:type="dxa"/>
            <w:tcBorders>
              <w:top w:val="single" w:sz="4" w:space="0" w:color="auto"/>
              <w:bottom w:val="single" w:sz="4" w:space="0" w:color="auto"/>
            </w:tcBorders>
          </w:tcPr>
          <w:p w14:paraId="6863A640"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R20</w:t>
            </w:r>
          </w:p>
        </w:tc>
        <w:tc>
          <w:tcPr>
            <w:tcW w:w="607" w:type="dxa"/>
            <w:tcBorders>
              <w:top w:val="single" w:sz="4" w:space="0" w:color="auto"/>
              <w:bottom w:val="single" w:sz="4" w:space="0" w:color="auto"/>
            </w:tcBorders>
          </w:tcPr>
          <w:p w14:paraId="51EDCF93"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R23</w:t>
            </w:r>
          </w:p>
        </w:tc>
        <w:tc>
          <w:tcPr>
            <w:tcW w:w="607" w:type="dxa"/>
            <w:tcBorders>
              <w:top w:val="single" w:sz="4" w:space="0" w:color="auto"/>
              <w:bottom w:val="single" w:sz="4" w:space="0" w:color="auto"/>
            </w:tcBorders>
          </w:tcPr>
          <w:p w14:paraId="2B410A94"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R26</w:t>
            </w:r>
          </w:p>
        </w:tc>
        <w:tc>
          <w:tcPr>
            <w:tcW w:w="607" w:type="dxa"/>
            <w:tcBorders>
              <w:top w:val="single" w:sz="4" w:space="0" w:color="auto"/>
              <w:bottom w:val="single" w:sz="4" w:space="0" w:color="auto"/>
            </w:tcBorders>
          </w:tcPr>
          <w:p w14:paraId="793F90E0"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R28</w:t>
            </w:r>
          </w:p>
        </w:tc>
        <w:tc>
          <w:tcPr>
            <w:tcW w:w="716" w:type="dxa"/>
            <w:tcBorders>
              <w:top w:val="single" w:sz="4" w:space="0" w:color="auto"/>
              <w:bottom w:val="single" w:sz="4" w:space="0" w:color="auto"/>
            </w:tcBorders>
          </w:tcPr>
          <w:p w14:paraId="16A5DBA9"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R29</w:t>
            </w:r>
          </w:p>
        </w:tc>
        <w:tc>
          <w:tcPr>
            <w:tcW w:w="607" w:type="dxa"/>
            <w:tcBorders>
              <w:top w:val="single" w:sz="4" w:space="0" w:color="auto"/>
              <w:bottom w:val="single" w:sz="4" w:space="0" w:color="auto"/>
            </w:tcBorders>
          </w:tcPr>
          <w:p w14:paraId="73E8A6A7"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R32</w:t>
            </w:r>
          </w:p>
        </w:tc>
        <w:tc>
          <w:tcPr>
            <w:tcW w:w="607" w:type="dxa"/>
            <w:tcBorders>
              <w:top w:val="single" w:sz="4" w:space="0" w:color="auto"/>
              <w:bottom w:val="single" w:sz="4" w:space="0" w:color="auto"/>
            </w:tcBorders>
          </w:tcPr>
          <w:p w14:paraId="3F4E40B7"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R39</w:t>
            </w:r>
          </w:p>
        </w:tc>
        <w:tc>
          <w:tcPr>
            <w:tcW w:w="716" w:type="dxa"/>
            <w:tcBorders>
              <w:top w:val="single" w:sz="4" w:space="0" w:color="auto"/>
              <w:bottom w:val="single" w:sz="4" w:space="0" w:color="auto"/>
            </w:tcBorders>
          </w:tcPr>
          <w:p w14:paraId="3815839F"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R40</w:t>
            </w:r>
          </w:p>
        </w:tc>
        <w:tc>
          <w:tcPr>
            <w:tcW w:w="687" w:type="dxa"/>
            <w:tcBorders>
              <w:top w:val="single" w:sz="4" w:space="0" w:color="auto"/>
              <w:bottom w:val="single" w:sz="4" w:space="0" w:color="auto"/>
            </w:tcBorders>
          </w:tcPr>
          <w:p w14:paraId="2C674E1E"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R41</w:t>
            </w:r>
          </w:p>
        </w:tc>
      </w:tr>
      <w:tr w:rsidR="000155DA" w:rsidRPr="00513F5C" w14:paraId="4787B80E" w14:textId="77777777" w:rsidTr="00513F5C">
        <w:trPr>
          <w:trHeight w:val="370"/>
          <w:jc w:val="center"/>
        </w:trPr>
        <w:tc>
          <w:tcPr>
            <w:tcW w:w="986" w:type="dxa"/>
            <w:tcBorders>
              <w:top w:val="single" w:sz="4" w:space="0" w:color="auto"/>
            </w:tcBorders>
          </w:tcPr>
          <w:p w14:paraId="5663A3E7"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Nature</w:t>
            </w:r>
          </w:p>
        </w:tc>
        <w:tc>
          <w:tcPr>
            <w:tcW w:w="582" w:type="dxa"/>
            <w:tcBorders>
              <w:top w:val="single" w:sz="4" w:space="0" w:color="auto"/>
            </w:tcBorders>
          </w:tcPr>
          <w:p w14:paraId="4793AC5C"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607" w:type="dxa"/>
            <w:tcBorders>
              <w:top w:val="single" w:sz="4" w:space="0" w:color="auto"/>
            </w:tcBorders>
          </w:tcPr>
          <w:p w14:paraId="07481E4A"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521" w:type="dxa"/>
            <w:tcBorders>
              <w:top w:val="single" w:sz="4" w:space="0" w:color="auto"/>
            </w:tcBorders>
          </w:tcPr>
          <w:p w14:paraId="74BEC0B1"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607" w:type="dxa"/>
            <w:tcBorders>
              <w:top w:val="single" w:sz="4" w:space="0" w:color="auto"/>
            </w:tcBorders>
          </w:tcPr>
          <w:p w14:paraId="54F32EE6"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607" w:type="dxa"/>
            <w:tcBorders>
              <w:top w:val="single" w:sz="4" w:space="0" w:color="auto"/>
            </w:tcBorders>
          </w:tcPr>
          <w:p w14:paraId="105B1D47"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532" w:type="dxa"/>
            <w:tcBorders>
              <w:top w:val="single" w:sz="4" w:space="0" w:color="auto"/>
            </w:tcBorders>
          </w:tcPr>
          <w:p w14:paraId="127ED99A"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607" w:type="dxa"/>
            <w:tcBorders>
              <w:top w:val="single" w:sz="4" w:space="0" w:color="auto"/>
            </w:tcBorders>
          </w:tcPr>
          <w:p w14:paraId="276EB440"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607" w:type="dxa"/>
            <w:tcBorders>
              <w:top w:val="single" w:sz="4" w:space="0" w:color="auto"/>
            </w:tcBorders>
          </w:tcPr>
          <w:p w14:paraId="5D05C3C7"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607" w:type="dxa"/>
            <w:tcBorders>
              <w:top w:val="single" w:sz="4" w:space="0" w:color="auto"/>
            </w:tcBorders>
          </w:tcPr>
          <w:p w14:paraId="4134A2E7"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716" w:type="dxa"/>
            <w:tcBorders>
              <w:top w:val="single" w:sz="4" w:space="0" w:color="auto"/>
            </w:tcBorders>
          </w:tcPr>
          <w:p w14:paraId="1B5A4A31"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ECBU</w:t>
            </w:r>
          </w:p>
        </w:tc>
        <w:tc>
          <w:tcPr>
            <w:tcW w:w="607" w:type="dxa"/>
            <w:tcBorders>
              <w:top w:val="single" w:sz="4" w:space="0" w:color="auto"/>
            </w:tcBorders>
          </w:tcPr>
          <w:p w14:paraId="71DCFE35"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EV</w:t>
            </w:r>
          </w:p>
        </w:tc>
        <w:tc>
          <w:tcPr>
            <w:tcW w:w="607" w:type="dxa"/>
            <w:tcBorders>
              <w:top w:val="single" w:sz="4" w:space="0" w:color="auto"/>
            </w:tcBorders>
          </w:tcPr>
          <w:p w14:paraId="4611313D"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716" w:type="dxa"/>
            <w:tcBorders>
              <w:top w:val="single" w:sz="4" w:space="0" w:color="auto"/>
            </w:tcBorders>
          </w:tcPr>
          <w:p w14:paraId="1C9ABFEA"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ECBU</w:t>
            </w:r>
          </w:p>
        </w:tc>
        <w:tc>
          <w:tcPr>
            <w:tcW w:w="687" w:type="dxa"/>
            <w:tcBorders>
              <w:top w:val="single" w:sz="4" w:space="0" w:color="auto"/>
            </w:tcBorders>
          </w:tcPr>
          <w:p w14:paraId="77C123CF"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r>
      <w:tr w:rsidR="000155DA" w:rsidRPr="00513F5C" w14:paraId="1A329975" w14:textId="77777777" w:rsidTr="00513F5C">
        <w:trPr>
          <w:trHeight w:val="386"/>
          <w:jc w:val="center"/>
        </w:trPr>
        <w:tc>
          <w:tcPr>
            <w:tcW w:w="986" w:type="dxa"/>
          </w:tcPr>
          <w:p w14:paraId="3CACD4AB"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Age</w:t>
            </w:r>
          </w:p>
        </w:tc>
        <w:tc>
          <w:tcPr>
            <w:tcW w:w="582" w:type="dxa"/>
          </w:tcPr>
          <w:p w14:paraId="4D6766F5"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9</w:t>
            </w:r>
          </w:p>
        </w:tc>
        <w:tc>
          <w:tcPr>
            <w:tcW w:w="607" w:type="dxa"/>
          </w:tcPr>
          <w:p w14:paraId="12E59FBF"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66</w:t>
            </w:r>
          </w:p>
        </w:tc>
        <w:tc>
          <w:tcPr>
            <w:tcW w:w="521" w:type="dxa"/>
          </w:tcPr>
          <w:p w14:paraId="0E2E1498"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52</w:t>
            </w:r>
          </w:p>
        </w:tc>
        <w:tc>
          <w:tcPr>
            <w:tcW w:w="607" w:type="dxa"/>
          </w:tcPr>
          <w:p w14:paraId="18D8B329"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42</w:t>
            </w:r>
          </w:p>
        </w:tc>
        <w:tc>
          <w:tcPr>
            <w:tcW w:w="607" w:type="dxa"/>
          </w:tcPr>
          <w:p w14:paraId="4C5DD840"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24</w:t>
            </w:r>
          </w:p>
        </w:tc>
        <w:tc>
          <w:tcPr>
            <w:tcW w:w="532" w:type="dxa"/>
          </w:tcPr>
          <w:p w14:paraId="473DFD78"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52</w:t>
            </w:r>
          </w:p>
        </w:tc>
        <w:tc>
          <w:tcPr>
            <w:tcW w:w="607" w:type="dxa"/>
          </w:tcPr>
          <w:p w14:paraId="3031C5DA"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28</w:t>
            </w:r>
          </w:p>
        </w:tc>
        <w:tc>
          <w:tcPr>
            <w:tcW w:w="607" w:type="dxa"/>
          </w:tcPr>
          <w:p w14:paraId="00800D32"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48</w:t>
            </w:r>
          </w:p>
        </w:tc>
        <w:tc>
          <w:tcPr>
            <w:tcW w:w="607" w:type="dxa"/>
          </w:tcPr>
          <w:p w14:paraId="4B86F834"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64</w:t>
            </w:r>
          </w:p>
        </w:tc>
        <w:tc>
          <w:tcPr>
            <w:tcW w:w="716" w:type="dxa"/>
          </w:tcPr>
          <w:p w14:paraId="13ECAFD9"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24</w:t>
            </w:r>
          </w:p>
        </w:tc>
        <w:tc>
          <w:tcPr>
            <w:tcW w:w="607" w:type="dxa"/>
          </w:tcPr>
          <w:p w14:paraId="7A22C54F"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37</w:t>
            </w:r>
          </w:p>
        </w:tc>
        <w:tc>
          <w:tcPr>
            <w:tcW w:w="607" w:type="dxa"/>
          </w:tcPr>
          <w:p w14:paraId="22F871B8"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86</w:t>
            </w:r>
          </w:p>
        </w:tc>
        <w:tc>
          <w:tcPr>
            <w:tcW w:w="716" w:type="dxa"/>
          </w:tcPr>
          <w:p w14:paraId="302F69CD"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25</w:t>
            </w:r>
          </w:p>
        </w:tc>
        <w:tc>
          <w:tcPr>
            <w:tcW w:w="687" w:type="dxa"/>
          </w:tcPr>
          <w:p w14:paraId="25FA9BAA"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3</w:t>
            </w:r>
          </w:p>
        </w:tc>
      </w:tr>
      <w:tr w:rsidR="000155DA" w:rsidRPr="00513F5C" w14:paraId="766610F3" w14:textId="77777777" w:rsidTr="00513F5C">
        <w:trPr>
          <w:trHeight w:val="370"/>
          <w:jc w:val="center"/>
        </w:trPr>
        <w:tc>
          <w:tcPr>
            <w:tcW w:w="986" w:type="dxa"/>
            <w:tcBorders>
              <w:bottom w:val="single" w:sz="4" w:space="0" w:color="auto"/>
            </w:tcBorders>
          </w:tcPr>
          <w:p w14:paraId="2235E909" w14:textId="77777777" w:rsidR="000155DA" w:rsidRPr="00513F5C" w:rsidRDefault="000155DA" w:rsidP="000155DA">
            <w:pPr>
              <w:pStyle w:val="Body"/>
              <w:rPr>
                <w:rFonts w:ascii="Arial" w:hAnsi="Arial" w:cs="Arial"/>
                <w:b/>
                <w:bCs/>
                <w:sz w:val="18"/>
                <w:szCs w:val="18"/>
                <w:lang w:val="fr-FR"/>
              </w:rPr>
            </w:pPr>
            <w:proofErr w:type="spellStart"/>
            <w:r w:rsidRPr="00513F5C">
              <w:rPr>
                <w:rFonts w:ascii="Arial" w:hAnsi="Arial" w:cs="Arial"/>
                <w:b/>
                <w:bCs/>
                <w:sz w:val="18"/>
                <w:szCs w:val="18"/>
                <w:lang w:val="fr-FR"/>
              </w:rPr>
              <w:lastRenderedPageBreak/>
              <w:t>Sex</w:t>
            </w:r>
            <w:proofErr w:type="spellEnd"/>
          </w:p>
        </w:tc>
        <w:tc>
          <w:tcPr>
            <w:tcW w:w="582" w:type="dxa"/>
            <w:tcBorders>
              <w:bottom w:val="single" w:sz="4" w:space="0" w:color="auto"/>
            </w:tcBorders>
          </w:tcPr>
          <w:p w14:paraId="0939B558"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c>
          <w:tcPr>
            <w:tcW w:w="607" w:type="dxa"/>
            <w:tcBorders>
              <w:bottom w:val="single" w:sz="4" w:space="0" w:color="auto"/>
            </w:tcBorders>
          </w:tcPr>
          <w:p w14:paraId="05EEB7DB"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c>
          <w:tcPr>
            <w:tcW w:w="521" w:type="dxa"/>
            <w:tcBorders>
              <w:bottom w:val="single" w:sz="4" w:space="0" w:color="auto"/>
            </w:tcBorders>
          </w:tcPr>
          <w:p w14:paraId="320FF997"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c>
          <w:tcPr>
            <w:tcW w:w="607" w:type="dxa"/>
            <w:tcBorders>
              <w:bottom w:val="single" w:sz="4" w:space="0" w:color="auto"/>
            </w:tcBorders>
          </w:tcPr>
          <w:p w14:paraId="29E6F611"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M</w:t>
            </w:r>
          </w:p>
        </w:tc>
        <w:tc>
          <w:tcPr>
            <w:tcW w:w="607" w:type="dxa"/>
            <w:tcBorders>
              <w:bottom w:val="single" w:sz="4" w:space="0" w:color="auto"/>
            </w:tcBorders>
          </w:tcPr>
          <w:p w14:paraId="1C7AA658"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c>
          <w:tcPr>
            <w:tcW w:w="532" w:type="dxa"/>
            <w:tcBorders>
              <w:bottom w:val="single" w:sz="4" w:space="0" w:color="auto"/>
            </w:tcBorders>
          </w:tcPr>
          <w:p w14:paraId="284C5257"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c>
          <w:tcPr>
            <w:tcW w:w="607" w:type="dxa"/>
            <w:tcBorders>
              <w:bottom w:val="single" w:sz="4" w:space="0" w:color="auto"/>
            </w:tcBorders>
          </w:tcPr>
          <w:p w14:paraId="12FF9B51"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M</w:t>
            </w:r>
          </w:p>
        </w:tc>
        <w:tc>
          <w:tcPr>
            <w:tcW w:w="607" w:type="dxa"/>
            <w:tcBorders>
              <w:bottom w:val="single" w:sz="4" w:space="0" w:color="auto"/>
            </w:tcBorders>
          </w:tcPr>
          <w:p w14:paraId="72F61F61"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c>
          <w:tcPr>
            <w:tcW w:w="607" w:type="dxa"/>
            <w:tcBorders>
              <w:bottom w:val="single" w:sz="4" w:space="0" w:color="auto"/>
            </w:tcBorders>
          </w:tcPr>
          <w:p w14:paraId="671ECBD7"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M</w:t>
            </w:r>
          </w:p>
        </w:tc>
        <w:tc>
          <w:tcPr>
            <w:tcW w:w="716" w:type="dxa"/>
            <w:tcBorders>
              <w:bottom w:val="single" w:sz="4" w:space="0" w:color="auto"/>
            </w:tcBorders>
          </w:tcPr>
          <w:p w14:paraId="237EDDD6"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M</w:t>
            </w:r>
          </w:p>
        </w:tc>
        <w:tc>
          <w:tcPr>
            <w:tcW w:w="607" w:type="dxa"/>
            <w:tcBorders>
              <w:bottom w:val="single" w:sz="4" w:space="0" w:color="auto"/>
            </w:tcBorders>
          </w:tcPr>
          <w:p w14:paraId="55110F57"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c>
          <w:tcPr>
            <w:tcW w:w="607" w:type="dxa"/>
            <w:tcBorders>
              <w:bottom w:val="single" w:sz="4" w:space="0" w:color="auto"/>
            </w:tcBorders>
          </w:tcPr>
          <w:p w14:paraId="0A866A14"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c>
          <w:tcPr>
            <w:tcW w:w="716" w:type="dxa"/>
            <w:tcBorders>
              <w:bottom w:val="single" w:sz="4" w:space="0" w:color="auto"/>
            </w:tcBorders>
          </w:tcPr>
          <w:p w14:paraId="61A04333"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M</w:t>
            </w:r>
          </w:p>
        </w:tc>
        <w:tc>
          <w:tcPr>
            <w:tcW w:w="687" w:type="dxa"/>
            <w:tcBorders>
              <w:bottom w:val="single" w:sz="4" w:space="0" w:color="auto"/>
            </w:tcBorders>
          </w:tcPr>
          <w:p w14:paraId="5C3EF5BC"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r>
    </w:tbl>
    <w:p w14:paraId="44A52A72" w14:textId="77777777" w:rsidR="000155DA" w:rsidRPr="002829E9" w:rsidRDefault="000155DA" w:rsidP="00513F5C">
      <w:pPr>
        <w:pStyle w:val="Body"/>
        <w:jc w:val="center"/>
        <w:rPr>
          <w:rFonts w:ascii="Arial" w:hAnsi="Arial" w:cs="Arial"/>
          <w:bCs/>
          <w:i/>
        </w:rPr>
      </w:pPr>
      <w:r w:rsidRPr="002829E9">
        <w:rPr>
          <w:rFonts w:ascii="Arial" w:hAnsi="Arial" w:cs="Arial"/>
          <w:bCs/>
          <w:i/>
        </w:rPr>
        <w:t>S: Susceptible; R: Resistant; ECBU: Urine Cytobacteriological Examination; EV: Vaginal Swab; F: Female; M: Male.</w:t>
      </w:r>
    </w:p>
    <w:p w14:paraId="16C90394" w14:textId="78ADBB47" w:rsidR="000155DA" w:rsidRPr="002829E9" w:rsidRDefault="000155DA" w:rsidP="00916B5E">
      <w:pPr>
        <w:pStyle w:val="Body"/>
        <w:spacing w:before="240" w:after="0"/>
        <w:rPr>
          <w:rFonts w:ascii="Arial" w:hAnsi="Arial" w:cs="Arial"/>
          <w:bCs/>
        </w:rPr>
      </w:pPr>
      <w:r w:rsidRPr="002829E9">
        <w:rPr>
          <w:rFonts w:ascii="Arial" w:hAnsi="Arial" w:cs="Arial"/>
          <w:bCs/>
        </w:rPr>
        <w:t>To compare the activities of the extracts,</w:t>
      </w:r>
      <w:r w:rsidR="00DF1EB0">
        <w:rPr>
          <w:rFonts w:ascii="Arial" w:hAnsi="Arial" w:cs="Arial"/>
          <w:bCs/>
        </w:rPr>
        <w:t xml:space="preserve"> c</w:t>
      </w:r>
      <w:r w:rsidR="00DF1EB0" w:rsidRPr="00DF1EB0">
        <w:rPr>
          <w:rFonts w:ascii="Arial" w:hAnsi="Arial" w:cs="Arial"/>
          <w:bCs/>
        </w:rPr>
        <w:t xml:space="preserve">efoxitin disks (30 µg) were used </w:t>
      </w:r>
      <w:r w:rsidRPr="002829E9">
        <w:rPr>
          <w:rFonts w:ascii="Arial" w:hAnsi="Arial" w:cs="Arial"/>
          <w:bCs/>
        </w:rPr>
        <w:t>as the reference antibiotic.</w:t>
      </w:r>
    </w:p>
    <w:p w14:paraId="389B014F" w14:textId="7DBF8C78" w:rsidR="000155DA" w:rsidRPr="002829E9" w:rsidRDefault="000155DA" w:rsidP="000155DA">
      <w:pPr>
        <w:pStyle w:val="Body"/>
        <w:rPr>
          <w:rFonts w:ascii="Arial" w:hAnsi="Arial" w:cs="Arial"/>
          <w:bCs/>
        </w:rPr>
      </w:pPr>
      <w:r w:rsidRPr="002829E9">
        <w:rPr>
          <w:rFonts w:ascii="Arial" w:hAnsi="Arial" w:cs="Arial"/>
          <w:bCs/>
        </w:rPr>
        <w:t xml:space="preserve">Extracts from the different solvents showed variable activities for water and ethanol. No activity was detected with dichloromethane on any of the strains. Table </w:t>
      </w:r>
      <w:r w:rsidR="00C4316B">
        <w:rPr>
          <w:rFonts w:ascii="Arial" w:hAnsi="Arial" w:cs="Arial"/>
          <w:bCs/>
        </w:rPr>
        <w:t>3</w:t>
      </w:r>
      <w:r w:rsidRPr="002829E9">
        <w:rPr>
          <w:rFonts w:ascii="Arial" w:hAnsi="Arial" w:cs="Arial"/>
          <w:bCs/>
        </w:rPr>
        <w:t xml:space="preserve"> shows the intrinsic activity of the aqueous extracts on the different strains.</w:t>
      </w:r>
    </w:p>
    <w:p w14:paraId="2D8E048C" w14:textId="338A1B4E" w:rsidR="000155DA" w:rsidRPr="002829E9" w:rsidRDefault="00AC0BBE" w:rsidP="000155DA">
      <w:pPr>
        <w:pStyle w:val="Body"/>
        <w:rPr>
          <w:rFonts w:ascii="Arial" w:hAnsi="Arial" w:cs="Arial"/>
          <w:b/>
          <w:bCs/>
        </w:rPr>
      </w:pPr>
      <w:r>
        <w:rPr>
          <w:rFonts w:ascii="Arial" w:hAnsi="Arial"/>
          <w:b/>
        </w:rPr>
        <w:t xml:space="preserve">Table </w:t>
      </w:r>
      <w:r w:rsidR="00C4316B">
        <w:rPr>
          <w:rFonts w:ascii="Arial" w:hAnsi="Arial"/>
          <w:b/>
        </w:rPr>
        <w:t>3</w:t>
      </w:r>
      <w:r>
        <w:rPr>
          <w:rFonts w:ascii="Arial" w:hAnsi="Arial"/>
          <w:b/>
        </w:rPr>
        <w:t xml:space="preserve">. </w:t>
      </w:r>
      <w:r w:rsidR="000155DA" w:rsidRPr="002829E9">
        <w:rPr>
          <w:rFonts w:ascii="Arial" w:hAnsi="Arial" w:cs="Arial"/>
          <w:b/>
          <w:bCs/>
        </w:rPr>
        <w:t xml:space="preserve">Diameters of the zones of inhibition of aqueous extracts </w:t>
      </w:r>
      <w:r w:rsidR="000155DA" w:rsidRPr="002829E9">
        <w:rPr>
          <w:rFonts w:ascii="Arial" w:hAnsi="Arial" w:cs="Arial"/>
          <w:b/>
          <w:bCs/>
          <w:i/>
        </w:rPr>
        <w:t xml:space="preserve">of M. oleifera </w:t>
      </w:r>
      <w:r w:rsidR="000155DA" w:rsidRPr="002829E9">
        <w:rPr>
          <w:rFonts w:ascii="Arial" w:hAnsi="Arial" w:cs="Arial"/>
          <w:b/>
          <w:bCs/>
        </w:rPr>
        <w:t xml:space="preserve">and </w:t>
      </w:r>
      <w:r w:rsidR="000155DA" w:rsidRPr="002829E9">
        <w:rPr>
          <w:rFonts w:ascii="Arial" w:hAnsi="Arial" w:cs="Arial"/>
          <w:b/>
          <w:bCs/>
          <w:i/>
        </w:rPr>
        <w:t>S. occidentalis</w:t>
      </w:r>
    </w:p>
    <w:tbl>
      <w:tblPr>
        <w:tblStyle w:val="TableGrid"/>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4"/>
        <w:gridCol w:w="1216"/>
        <w:gridCol w:w="1105"/>
        <w:gridCol w:w="1105"/>
        <w:gridCol w:w="1105"/>
        <w:gridCol w:w="1105"/>
        <w:gridCol w:w="1105"/>
        <w:gridCol w:w="1105"/>
        <w:gridCol w:w="1051"/>
      </w:tblGrid>
      <w:tr w:rsidR="000155DA" w:rsidRPr="002070B0" w14:paraId="29AC78FE" w14:textId="77777777" w:rsidTr="00AC0BBE">
        <w:trPr>
          <w:trHeight w:val="392"/>
          <w:tblHeader/>
          <w:jc w:val="center"/>
        </w:trPr>
        <w:tc>
          <w:tcPr>
            <w:tcW w:w="884" w:type="dxa"/>
            <w:vMerge w:val="restart"/>
            <w:tcBorders>
              <w:top w:val="single" w:sz="4" w:space="0" w:color="auto"/>
            </w:tcBorders>
          </w:tcPr>
          <w:p w14:paraId="3C514853" w14:textId="77777777" w:rsidR="000155DA" w:rsidRPr="002829E9" w:rsidRDefault="000155DA" w:rsidP="000155DA">
            <w:pPr>
              <w:pStyle w:val="Body"/>
              <w:rPr>
                <w:rFonts w:ascii="Arial" w:hAnsi="Arial" w:cs="Arial"/>
                <w:b/>
                <w:bCs/>
                <w:sz w:val="16"/>
                <w:szCs w:val="16"/>
              </w:rPr>
            </w:pPr>
          </w:p>
          <w:p w14:paraId="15506D59" w14:textId="77777777" w:rsidR="000155DA" w:rsidRPr="00511777" w:rsidRDefault="000155DA" w:rsidP="000155DA">
            <w:pPr>
              <w:pStyle w:val="Body"/>
              <w:rPr>
                <w:rFonts w:ascii="Arial" w:hAnsi="Arial" w:cs="Arial"/>
                <w:bCs/>
                <w:sz w:val="16"/>
                <w:szCs w:val="16"/>
                <w:lang w:val="fr-FR"/>
              </w:rPr>
            </w:pPr>
            <w:proofErr w:type="spellStart"/>
            <w:r w:rsidRPr="002070B0">
              <w:rPr>
                <w:rFonts w:ascii="Arial" w:hAnsi="Arial" w:cs="Arial"/>
                <w:bCs/>
                <w:sz w:val="16"/>
                <w:szCs w:val="16"/>
                <w:lang w:val="fr-FR"/>
              </w:rPr>
              <w:t>Strains</w:t>
            </w:r>
            <w:proofErr w:type="spellEnd"/>
          </w:p>
        </w:tc>
        <w:tc>
          <w:tcPr>
            <w:tcW w:w="1216" w:type="dxa"/>
            <w:tcBorders>
              <w:top w:val="single" w:sz="4" w:space="0" w:color="auto"/>
              <w:bottom w:val="inset" w:sz="6" w:space="0" w:color="auto"/>
              <w:right w:val="single" w:sz="4" w:space="0" w:color="auto"/>
            </w:tcBorders>
          </w:tcPr>
          <w:p w14:paraId="497FB6F7" w14:textId="77777777" w:rsidR="000155DA" w:rsidRPr="002070B0" w:rsidRDefault="000155DA" w:rsidP="000155DA">
            <w:pPr>
              <w:pStyle w:val="Body"/>
              <w:rPr>
                <w:rFonts w:ascii="Arial" w:hAnsi="Arial" w:cs="Arial"/>
                <w:b/>
                <w:bCs/>
                <w:sz w:val="16"/>
                <w:szCs w:val="16"/>
                <w:lang w:val="fr-FR"/>
              </w:rPr>
            </w:pPr>
          </w:p>
        </w:tc>
        <w:tc>
          <w:tcPr>
            <w:tcW w:w="7681" w:type="dxa"/>
            <w:gridSpan w:val="7"/>
            <w:tcBorders>
              <w:top w:val="single" w:sz="4" w:space="0" w:color="auto"/>
              <w:left w:val="single" w:sz="4" w:space="0" w:color="auto"/>
              <w:bottom w:val="inset" w:sz="6" w:space="0" w:color="auto"/>
            </w:tcBorders>
          </w:tcPr>
          <w:p w14:paraId="439AEE15" w14:textId="77777777" w:rsidR="000155DA" w:rsidRPr="002070B0" w:rsidRDefault="000155DA" w:rsidP="002070B0">
            <w:pPr>
              <w:pStyle w:val="Body"/>
              <w:jc w:val="center"/>
              <w:rPr>
                <w:rFonts w:ascii="Arial" w:hAnsi="Arial" w:cs="Arial"/>
                <w:bCs/>
                <w:sz w:val="16"/>
                <w:szCs w:val="16"/>
                <w:lang w:val="fr-FR"/>
              </w:rPr>
            </w:pPr>
            <w:proofErr w:type="spellStart"/>
            <w:r w:rsidRPr="00511777">
              <w:rPr>
                <w:rFonts w:ascii="Arial" w:hAnsi="Arial" w:cs="Arial"/>
                <w:bCs/>
                <w:sz w:val="18"/>
                <w:szCs w:val="16"/>
                <w:lang w:val="fr-FR"/>
              </w:rPr>
              <w:t>Aqueous</w:t>
            </w:r>
            <w:proofErr w:type="spellEnd"/>
            <w:r w:rsidRPr="00511777">
              <w:rPr>
                <w:rFonts w:ascii="Arial" w:hAnsi="Arial" w:cs="Arial"/>
                <w:bCs/>
                <w:sz w:val="18"/>
                <w:szCs w:val="16"/>
                <w:lang w:val="fr-FR"/>
              </w:rPr>
              <w:t xml:space="preserve"> </w:t>
            </w:r>
            <w:proofErr w:type="spellStart"/>
            <w:r w:rsidRPr="00511777">
              <w:rPr>
                <w:rFonts w:ascii="Arial" w:hAnsi="Arial" w:cs="Arial"/>
                <w:bCs/>
                <w:sz w:val="18"/>
                <w:szCs w:val="16"/>
                <w:lang w:val="fr-FR"/>
              </w:rPr>
              <w:t>extracts</w:t>
            </w:r>
            <w:proofErr w:type="spellEnd"/>
          </w:p>
        </w:tc>
      </w:tr>
      <w:tr w:rsidR="000155DA" w:rsidRPr="002070B0" w14:paraId="78FB1586" w14:textId="77777777" w:rsidTr="00AC0BBE">
        <w:trPr>
          <w:trHeight w:val="494"/>
          <w:tblHeader/>
          <w:jc w:val="center"/>
        </w:trPr>
        <w:tc>
          <w:tcPr>
            <w:tcW w:w="884" w:type="dxa"/>
            <w:vMerge/>
            <w:tcBorders>
              <w:bottom w:val="single" w:sz="4" w:space="0" w:color="auto"/>
            </w:tcBorders>
          </w:tcPr>
          <w:p w14:paraId="58AA6830" w14:textId="77777777" w:rsidR="000155DA" w:rsidRPr="002070B0" w:rsidRDefault="000155DA" w:rsidP="000155DA">
            <w:pPr>
              <w:pStyle w:val="Body"/>
              <w:rPr>
                <w:rFonts w:ascii="Arial" w:hAnsi="Arial" w:cs="Arial"/>
                <w:bCs/>
                <w:sz w:val="16"/>
                <w:szCs w:val="16"/>
                <w:lang w:val="fr-FR"/>
              </w:rPr>
            </w:pPr>
          </w:p>
        </w:tc>
        <w:tc>
          <w:tcPr>
            <w:tcW w:w="1216" w:type="dxa"/>
            <w:tcBorders>
              <w:top w:val="inset" w:sz="6" w:space="0" w:color="auto"/>
              <w:bottom w:val="single" w:sz="4" w:space="0" w:color="auto"/>
              <w:right w:val="single" w:sz="4" w:space="0" w:color="auto"/>
            </w:tcBorders>
          </w:tcPr>
          <w:p w14:paraId="1C6BD0F5" w14:textId="3EE7D5BF" w:rsidR="000155DA" w:rsidRPr="002070B0" w:rsidRDefault="00DF1EB0" w:rsidP="00AC0BBE">
            <w:pPr>
              <w:pStyle w:val="Body"/>
              <w:jc w:val="center"/>
              <w:rPr>
                <w:rFonts w:ascii="Arial" w:hAnsi="Arial" w:cs="Arial"/>
                <w:b/>
                <w:bCs/>
                <w:sz w:val="16"/>
                <w:szCs w:val="16"/>
                <w:lang w:val="fr-FR"/>
              </w:rPr>
            </w:pPr>
            <w:proofErr w:type="spellStart"/>
            <w:r>
              <w:rPr>
                <w:rFonts w:ascii="Arial" w:hAnsi="Arial" w:cs="Arial"/>
                <w:b/>
                <w:bCs/>
                <w:sz w:val="16"/>
                <w:szCs w:val="16"/>
                <w:lang w:val="fr-FR"/>
              </w:rPr>
              <w:t>Cefox</w:t>
            </w:r>
            <w:proofErr w:type="spellEnd"/>
          </w:p>
        </w:tc>
        <w:tc>
          <w:tcPr>
            <w:tcW w:w="1105" w:type="dxa"/>
            <w:tcBorders>
              <w:top w:val="inset" w:sz="6" w:space="0" w:color="auto"/>
              <w:left w:val="single" w:sz="4" w:space="0" w:color="auto"/>
              <w:bottom w:val="single" w:sz="4" w:space="0" w:color="auto"/>
            </w:tcBorders>
          </w:tcPr>
          <w:p w14:paraId="6F3C0079" w14:textId="77777777" w:rsidR="000155DA" w:rsidRPr="002070B0" w:rsidRDefault="000155DA" w:rsidP="00AC0BBE">
            <w:pPr>
              <w:pStyle w:val="Body"/>
              <w:jc w:val="center"/>
              <w:rPr>
                <w:rFonts w:ascii="Arial" w:hAnsi="Arial" w:cs="Arial"/>
                <w:b/>
                <w:bCs/>
                <w:sz w:val="16"/>
                <w:szCs w:val="16"/>
                <w:lang w:val="fr-FR"/>
              </w:rPr>
            </w:pPr>
            <w:r w:rsidRPr="002070B0">
              <w:rPr>
                <w:rFonts w:ascii="Arial" w:eastAsia="Times New Roman" w:hAnsi="Arial" w:cs="Arial"/>
                <w:b/>
                <w:bCs/>
                <w:sz w:val="16"/>
                <w:szCs w:val="16"/>
                <w:lang w:val="fr-FR"/>
              </w:rPr>
              <w:t>MOL</w:t>
            </w:r>
          </w:p>
        </w:tc>
        <w:tc>
          <w:tcPr>
            <w:tcW w:w="1105" w:type="dxa"/>
            <w:tcBorders>
              <w:top w:val="inset" w:sz="6" w:space="0" w:color="auto"/>
              <w:bottom w:val="single" w:sz="4" w:space="0" w:color="auto"/>
            </w:tcBorders>
          </w:tcPr>
          <w:p w14:paraId="6BEB0802" w14:textId="77777777" w:rsidR="000155DA" w:rsidRPr="002070B0" w:rsidRDefault="000155DA" w:rsidP="00AC0BBE">
            <w:pPr>
              <w:pStyle w:val="Body"/>
              <w:jc w:val="center"/>
              <w:rPr>
                <w:rFonts w:ascii="Arial" w:hAnsi="Arial" w:cs="Arial"/>
                <w:b/>
                <w:bCs/>
                <w:sz w:val="16"/>
                <w:szCs w:val="16"/>
                <w:lang w:val="fr-FR"/>
              </w:rPr>
            </w:pPr>
            <w:r w:rsidRPr="002070B0">
              <w:rPr>
                <w:rFonts w:ascii="Arial" w:hAnsi="Arial" w:cs="Arial"/>
                <w:b/>
                <w:bCs/>
                <w:sz w:val="16"/>
                <w:szCs w:val="16"/>
                <w:lang w:val="fr-FR"/>
              </w:rPr>
              <w:t>MOE</w:t>
            </w:r>
          </w:p>
        </w:tc>
        <w:tc>
          <w:tcPr>
            <w:tcW w:w="1105" w:type="dxa"/>
            <w:tcBorders>
              <w:top w:val="inset" w:sz="6" w:space="0" w:color="auto"/>
              <w:bottom w:val="single" w:sz="4" w:space="0" w:color="auto"/>
            </w:tcBorders>
          </w:tcPr>
          <w:p w14:paraId="329F1DDA" w14:textId="77777777" w:rsidR="000155DA" w:rsidRPr="002070B0" w:rsidRDefault="000155DA" w:rsidP="00AC0BBE">
            <w:pPr>
              <w:pStyle w:val="Body"/>
              <w:jc w:val="center"/>
              <w:rPr>
                <w:rFonts w:ascii="Arial" w:hAnsi="Arial" w:cs="Arial"/>
                <w:b/>
                <w:bCs/>
                <w:sz w:val="16"/>
                <w:szCs w:val="16"/>
                <w:lang w:val="fr-FR"/>
              </w:rPr>
            </w:pPr>
            <w:r w:rsidRPr="002070B0">
              <w:rPr>
                <w:rFonts w:ascii="Arial" w:hAnsi="Arial" w:cs="Arial"/>
                <w:b/>
                <w:bCs/>
                <w:sz w:val="16"/>
                <w:szCs w:val="16"/>
                <w:lang w:val="fr-FR"/>
              </w:rPr>
              <w:t>MOF</w:t>
            </w:r>
          </w:p>
        </w:tc>
        <w:tc>
          <w:tcPr>
            <w:tcW w:w="1105" w:type="dxa"/>
            <w:tcBorders>
              <w:top w:val="inset" w:sz="6" w:space="0" w:color="auto"/>
              <w:bottom w:val="single" w:sz="4" w:space="0" w:color="auto"/>
            </w:tcBorders>
          </w:tcPr>
          <w:p w14:paraId="1D49080B" w14:textId="77777777" w:rsidR="000155DA" w:rsidRPr="002070B0" w:rsidRDefault="000155DA" w:rsidP="00AC0BBE">
            <w:pPr>
              <w:pStyle w:val="Body"/>
              <w:jc w:val="center"/>
              <w:rPr>
                <w:rFonts w:ascii="Arial" w:hAnsi="Arial" w:cs="Arial"/>
                <w:b/>
                <w:bCs/>
                <w:sz w:val="16"/>
                <w:szCs w:val="16"/>
                <w:lang w:val="fr-FR"/>
              </w:rPr>
            </w:pPr>
            <w:r w:rsidRPr="002070B0">
              <w:rPr>
                <w:rFonts w:ascii="Arial" w:hAnsi="Arial" w:cs="Arial"/>
                <w:b/>
                <w:bCs/>
                <w:sz w:val="16"/>
                <w:szCs w:val="16"/>
                <w:lang w:val="fr-FR"/>
              </w:rPr>
              <w:t>SOL</w:t>
            </w:r>
          </w:p>
        </w:tc>
        <w:tc>
          <w:tcPr>
            <w:tcW w:w="1105" w:type="dxa"/>
            <w:tcBorders>
              <w:top w:val="inset" w:sz="6" w:space="0" w:color="auto"/>
              <w:bottom w:val="single" w:sz="4" w:space="0" w:color="auto"/>
            </w:tcBorders>
          </w:tcPr>
          <w:p w14:paraId="15C64B4A" w14:textId="77777777" w:rsidR="000155DA" w:rsidRPr="002070B0" w:rsidRDefault="000155DA" w:rsidP="00AC0BBE">
            <w:pPr>
              <w:pStyle w:val="Body"/>
              <w:jc w:val="center"/>
              <w:rPr>
                <w:rFonts w:ascii="Arial" w:hAnsi="Arial" w:cs="Arial"/>
                <w:b/>
                <w:bCs/>
                <w:sz w:val="16"/>
                <w:szCs w:val="16"/>
                <w:lang w:val="fr-FR"/>
              </w:rPr>
            </w:pPr>
            <w:r w:rsidRPr="002070B0">
              <w:rPr>
                <w:rFonts w:ascii="Arial" w:hAnsi="Arial" w:cs="Arial"/>
                <w:b/>
                <w:bCs/>
                <w:sz w:val="16"/>
                <w:szCs w:val="16"/>
                <w:lang w:val="fr-FR"/>
              </w:rPr>
              <w:t>SOE</w:t>
            </w:r>
          </w:p>
        </w:tc>
        <w:tc>
          <w:tcPr>
            <w:tcW w:w="1105" w:type="dxa"/>
            <w:tcBorders>
              <w:top w:val="inset" w:sz="6" w:space="0" w:color="auto"/>
              <w:bottom w:val="single" w:sz="4" w:space="0" w:color="auto"/>
            </w:tcBorders>
          </w:tcPr>
          <w:p w14:paraId="73431FAF" w14:textId="77777777" w:rsidR="000155DA" w:rsidRPr="002070B0" w:rsidRDefault="000155DA" w:rsidP="00AC0BBE">
            <w:pPr>
              <w:pStyle w:val="Body"/>
              <w:jc w:val="center"/>
              <w:rPr>
                <w:rFonts w:ascii="Arial" w:hAnsi="Arial" w:cs="Arial"/>
                <w:b/>
                <w:bCs/>
                <w:sz w:val="16"/>
                <w:szCs w:val="16"/>
                <w:lang w:val="fr-FR"/>
              </w:rPr>
            </w:pPr>
            <w:r w:rsidRPr="002070B0">
              <w:rPr>
                <w:rFonts w:ascii="Arial" w:hAnsi="Arial" w:cs="Arial"/>
                <w:b/>
                <w:bCs/>
                <w:sz w:val="16"/>
                <w:szCs w:val="16"/>
                <w:lang w:val="fr-FR"/>
              </w:rPr>
              <w:t>SOC</w:t>
            </w:r>
          </w:p>
        </w:tc>
        <w:tc>
          <w:tcPr>
            <w:tcW w:w="1051" w:type="dxa"/>
            <w:tcBorders>
              <w:top w:val="inset" w:sz="6" w:space="0" w:color="auto"/>
              <w:bottom w:val="single" w:sz="4" w:space="0" w:color="auto"/>
            </w:tcBorders>
          </w:tcPr>
          <w:p w14:paraId="7123798D" w14:textId="77777777" w:rsidR="000155DA" w:rsidRPr="002070B0" w:rsidRDefault="000155DA" w:rsidP="00AC0BBE">
            <w:pPr>
              <w:pStyle w:val="Body"/>
              <w:jc w:val="center"/>
              <w:rPr>
                <w:rFonts w:ascii="Arial" w:hAnsi="Arial" w:cs="Arial"/>
                <w:b/>
                <w:bCs/>
                <w:sz w:val="16"/>
                <w:szCs w:val="16"/>
                <w:lang w:val="fr-FR"/>
              </w:rPr>
            </w:pPr>
            <w:r w:rsidRPr="002070B0">
              <w:rPr>
                <w:rFonts w:ascii="Arial" w:hAnsi="Arial" w:cs="Arial"/>
                <w:b/>
                <w:bCs/>
                <w:sz w:val="16"/>
                <w:szCs w:val="16"/>
                <w:lang w:val="fr-FR"/>
              </w:rPr>
              <w:t>SOG</w:t>
            </w:r>
          </w:p>
        </w:tc>
      </w:tr>
      <w:tr w:rsidR="000155DA" w:rsidRPr="002070B0" w14:paraId="73717ABE" w14:textId="77777777" w:rsidTr="00AC0BBE">
        <w:trPr>
          <w:trHeight w:val="409"/>
          <w:jc w:val="center"/>
        </w:trPr>
        <w:tc>
          <w:tcPr>
            <w:tcW w:w="884" w:type="dxa"/>
            <w:tcBorders>
              <w:top w:val="single" w:sz="4" w:space="0" w:color="auto"/>
            </w:tcBorders>
          </w:tcPr>
          <w:p w14:paraId="5375A6E5"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ATCC</w:t>
            </w:r>
          </w:p>
        </w:tc>
        <w:tc>
          <w:tcPr>
            <w:tcW w:w="1216" w:type="dxa"/>
            <w:tcBorders>
              <w:top w:val="single" w:sz="4" w:space="0" w:color="auto"/>
            </w:tcBorders>
          </w:tcPr>
          <w:p w14:paraId="63908AB6" w14:textId="464D1E00" w:rsidR="000155DA" w:rsidRPr="002070B0" w:rsidRDefault="008E025A" w:rsidP="008E025A">
            <w:pPr>
              <w:pStyle w:val="Body"/>
              <w:jc w:val="center"/>
              <w:rPr>
                <w:rFonts w:ascii="Arial" w:hAnsi="Arial" w:cs="Arial"/>
                <w:bCs/>
                <w:sz w:val="16"/>
                <w:szCs w:val="16"/>
                <w:lang w:val="fr-FR"/>
              </w:rPr>
            </w:pPr>
            <w:r>
              <w:rPr>
                <w:rFonts w:ascii="Arial" w:hAnsi="Arial" w:cs="Arial"/>
                <w:bCs/>
                <w:sz w:val="16"/>
                <w:szCs w:val="16"/>
                <w:lang w:val="fr-FR"/>
              </w:rPr>
              <w:t>26</w:t>
            </w:r>
            <w:r w:rsidR="000155DA" w:rsidRPr="002070B0">
              <w:rPr>
                <w:rFonts w:ascii="Arial" w:hAnsi="Arial" w:cs="Arial"/>
                <w:bCs/>
                <w:sz w:val="16"/>
                <w:szCs w:val="16"/>
                <w:lang w:val="fr-FR"/>
              </w:rPr>
              <w:t>.</w:t>
            </w:r>
            <w:r>
              <w:rPr>
                <w:rFonts w:ascii="Arial" w:hAnsi="Arial" w:cs="Arial"/>
                <w:bCs/>
                <w:sz w:val="16"/>
                <w:szCs w:val="16"/>
                <w:lang w:val="fr-FR"/>
              </w:rPr>
              <w:t>67</w:t>
            </w:r>
            <w:r w:rsidR="000155DA" w:rsidRPr="002070B0">
              <w:rPr>
                <w:rFonts w:ascii="Arial" w:hAnsi="Arial" w:cs="Arial"/>
                <w:bCs/>
                <w:sz w:val="16"/>
                <w:szCs w:val="16"/>
                <w:lang w:val="fr-FR"/>
              </w:rPr>
              <w:t xml:space="preserve"> ± </w:t>
            </w:r>
            <w:r>
              <w:rPr>
                <w:rFonts w:ascii="Arial" w:hAnsi="Arial" w:cs="Arial"/>
                <w:bCs/>
                <w:sz w:val="16"/>
                <w:szCs w:val="16"/>
                <w:lang w:val="fr-FR"/>
              </w:rPr>
              <w:t>1</w:t>
            </w:r>
            <w:r w:rsidR="000155DA" w:rsidRPr="002070B0">
              <w:rPr>
                <w:rFonts w:ascii="Arial" w:hAnsi="Arial" w:cs="Arial"/>
                <w:bCs/>
                <w:sz w:val="16"/>
                <w:szCs w:val="16"/>
                <w:lang w:val="fr-FR"/>
              </w:rPr>
              <w:t>.78</w:t>
            </w:r>
          </w:p>
        </w:tc>
        <w:tc>
          <w:tcPr>
            <w:tcW w:w="1105" w:type="dxa"/>
            <w:tcBorders>
              <w:top w:val="single" w:sz="4" w:space="0" w:color="auto"/>
            </w:tcBorders>
          </w:tcPr>
          <w:p w14:paraId="3B265B0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Borders>
              <w:top w:val="single" w:sz="4" w:space="0" w:color="auto"/>
            </w:tcBorders>
          </w:tcPr>
          <w:p w14:paraId="49801A5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9.33 ± 0.58</w:t>
            </w:r>
          </w:p>
        </w:tc>
        <w:tc>
          <w:tcPr>
            <w:tcW w:w="1105" w:type="dxa"/>
            <w:tcBorders>
              <w:top w:val="single" w:sz="4" w:space="0" w:color="auto"/>
            </w:tcBorders>
          </w:tcPr>
          <w:p w14:paraId="527FC89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c>
          <w:tcPr>
            <w:tcW w:w="1105" w:type="dxa"/>
            <w:tcBorders>
              <w:top w:val="single" w:sz="4" w:space="0" w:color="auto"/>
            </w:tcBorders>
          </w:tcPr>
          <w:p w14:paraId="0B3FE15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Borders>
              <w:top w:val="single" w:sz="4" w:space="0" w:color="auto"/>
            </w:tcBorders>
          </w:tcPr>
          <w:p w14:paraId="2CB38F5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c>
          <w:tcPr>
            <w:tcW w:w="1105" w:type="dxa"/>
            <w:tcBorders>
              <w:top w:val="single" w:sz="4" w:space="0" w:color="auto"/>
            </w:tcBorders>
          </w:tcPr>
          <w:p w14:paraId="7F8E7E7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051" w:type="dxa"/>
            <w:tcBorders>
              <w:top w:val="single" w:sz="4" w:space="0" w:color="auto"/>
            </w:tcBorders>
          </w:tcPr>
          <w:p w14:paraId="1896FCE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8.50 ± 0.71</w:t>
            </w:r>
          </w:p>
        </w:tc>
      </w:tr>
      <w:tr w:rsidR="000155DA" w:rsidRPr="002070B0" w14:paraId="40FCE4C1" w14:textId="77777777" w:rsidTr="007A4F7A">
        <w:trPr>
          <w:trHeight w:val="392"/>
          <w:jc w:val="center"/>
        </w:trPr>
        <w:tc>
          <w:tcPr>
            <w:tcW w:w="884" w:type="dxa"/>
          </w:tcPr>
          <w:p w14:paraId="637EADC7"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S5</w:t>
            </w:r>
          </w:p>
        </w:tc>
        <w:tc>
          <w:tcPr>
            <w:tcW w:w="1216" w:type="dxa"/>
          </w:tcPr>
          <w:p w14:paraId="0DDD94B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11.33 ± 0.58</w:t>
            </w:r>
          </w:p>
        </w:tc>
        <w:tc>
          <w:tcPr>
            <w:tcW w:w="1105" w:type="dxa"/>
          </w:tcPr>
          <w:p w14:paraId="089F202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Pr>
          <w:p w14:paraId="5BA037D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Pr>
          <w:p w14:paraId="2C8A8F7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Pr>
          <w:p w14:paraId="5AADAA3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Pr>
          <w:p w14:paraId="53678A0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Pr>
          <w:p w14:paraId="4626C8B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051" w:type="dxa"/>
          </w:tcPr>
          <w:p w14:paraId="58EE173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r>
      <w:tr w:rsidR="000155DA" w:rsidRPr="002070B0" w14:paraId="0EF98554" w14:textId="77777777" w:rsidTr="007A4F7A">
        <w:trPr>
          <w:trHeight w:val="392"/>
          <w:jc w:val="center"/>
        </w:trPr>
        <w:tc>
          <w:tcPr>
            <w:tcW w:w="884" w:type="dxa"/>
          </w:tcPr>
          <w:p w14:paraId="40E0A92A"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S14</w:t>
            </w:r>
          </w:p>
        </w:tc>
        <w:tc>
          <w:tcPr>
            <w:tcW w:w="1216" w:type="dxa"/>
          </w:tcPr>
          <w:p w14:paraId="05C67D1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10.67 ± 4.16</w:t>
            </w:r>
          </w:p>
        </w:tc>
        <w:tc>
          <w:tcPr>
            <w:tcW w:w="1105" w:type="dxa"/>
          </w:tcPr>
          <w:p w14:paraId="2AB8894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0476768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4FADF2C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5F48B9E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0410B06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0F4D39D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51" w:type="dxa"/>
          </w:tcPr>
          <w:p w14:paraId="20AFAFD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r>
      <w:tr w:rsidR="000155DA" w:rsidRPr="002070B0" w14:paraId="47A4EF81" w14:textId="77777777" w:rsidTr="007A4F7A">
        <w:trPr>
          <w:trHeight w:val="409"/>
          <w:jc w:val="center"/>
        </w:trPr>
        <w:tc>
          <w:tcPr>
            <w:tcW w:w="884" w:type="dxa"/>
          </w:tcPr>
          <w:p w14:paraId="157CA02A"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S16</w:t>
            </w:r>
          </w:p>
        </w:tc>
        <w:tc>
          <w:tcPr>
            <w:tcW w:w="1216" w:type="dxa"/>
          </w:tcPr>
          <w:p w14:paraId="69192B0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10.67 ± 4.16</w:t>
            </w:r>
          </w:p>
        </w:tc>
        <w:tc>
          <w:tcPr>
            <w:tcW w:w="1105" w:type="dxa"/>
          </w:tcPr>
          <w:p w14:paraId="05944EC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259E508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4585168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1DBE02B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1D7A55B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Pr>
          <w:p w14:paraId="7936E1E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51" w:type="dxa"/>
          </w:tcPr>
          <w:p w14:paraId="49867E3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6.5 ± 0.71</w:t>
            </w:r>
          </w:p>
        </w:tc>
      </w:tr>
      <w:tr w:rsidR="000155DA" w:rsidRPr="002070B0" w14:paraId="33D6A96B" w14:textId="77777777" w:rsidTr="007A4F7A">
        <w:trPr>
          <w:trHeight w:val="392"/>
          <w:jc w:val="center"/>
        </w:trPr>
        <w:tc>
          <w:tcPr>
            <w:tcW w:w="884" w:type="dxa"/>
          </w:tcPr>
          <w:p w14:paraId="1D84F471"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S43</w:t>
            </w:r>
          </w:p>
        </w:tc>
        <w:tc>
          <w:tcPr>
            <w:tcW w:w="1216" w:type="dxa"/>
          </w:tcPr>
          <w:p w14:paraId="10A25EF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11.00 ± 4.36</w:t>
            </w:r>
          </w:p>
        </w:tc>
        <w:tc>
          <w:tcPr>
            <w:tcW w:w="1105" w:type="dxa"/>
          </w:tcPr>
          <w:p w14:paraId="4021908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105" w:type="dxa"/>
          </w:tcPr>
          <w:p w14:paraId="62B3703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18E5365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2C62763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585D977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19894DC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51" w:type="dxa"/>
          </w:tcPr>
          <w:p w14:paraId="4379D46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r>
      <w:tr w:rsidR="000155DA" w:rsidRPr="002070B0" w14:paraId="4D511A3E" w14:textId="77777777" w:rsidTr="007A4F7A">
        <w:trPr>
          <w:trHeight w:val="392"/>
          <w:jc w:val="center"/>
        </w:trPr>
        <w:tc>
          <w:tcPr>
            <w:tcW w:w="884" w:type="dxa"/>
          </w:tcPr>
          <w:p w14:paraId="4D2E4F94"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R4</w:t>
            </w:r>
          </w:p>
        </w:tc>
        <w:tc>
          <w:tcPr>
            <w:tcW w:w="1216" w:type="dxa"/>
          </w:tcPr>
          <w:p w14:paraId="04AFB53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2.08</w:t>
            </w:r>
          </w:p>
        </w:tc>
        <w:tc>
          <w:tcPr>
            <w:tcW w:w="1105" w:type="dxa"/>
          </w:tcPr>
          <w:p w14:paraId="63C7A74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c>
          <w:tcPr>
            <w:tcW w:w="1105" w:type="dxa"/>
          </w:tcPr>
          <w:p w14:paraId="7D69B77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c>
          <w:tcPr>
            <w:tcW w:w="1105" w:type="dxa"/>
          </w:tcPr>
          <w:p w14:paraId="5BAF6A0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c>
          <w:tcPr>
            <w:tcW w:w="1105" w:type="dxa"/>
          </w:tcPr>
          <w:p w14:paraId="738371A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c>
          <w:tcPr>
            <w:tcW w:w="1105" w:type="dxa"/>
          </w:tcPr>
          <w:p w14:paraId="14ACB93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6.67 ± 0.58</w:t>
            </w:r>
          </w:p>
        </w:tc>
        <w:tc>
          <w:tcPr>
            <w:tcW w:w="1105" w:type="dxa"/>
          </w:tcPr>
          <w:p w14:paraId="414B266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c>
          <w:tcPr>
            <w:tcW w:w="1051" w:type="dxa"/>
          </w:tcPr>
          <w:p w14:paraId="7B0D6E6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r>
      <w:tr w:rsidR="000155DA" w:rsidRPr="002070B0" w14:paraId="5C3E583D" w14:textId="77777777" w:rsidTr="007A4F7A">
        <w:trPr>
          <w:trHeight w:val="392"/>
          <w:jc w:val="center"/>
        </w:trPr>
        <w:tc>
          <w:tcPr>
            <w:tcW w:w="884" w:type="dxa"/>
          </w:tcPr>
          <w:p w14:paraId="3B68989C"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R20</w:t>
            </w:r>
          </w:p>
        </w:tc>
        <w:tc>
          <w:tcPr>
            <w:tcW w:w="1216" w:type="dxa"/>
          </w:tcPr>
          <w:p w14:paraId="36B37B9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05" w:type="dxa"/>
          </w:tcPr>
          <w:p w14:paraId="1E98AD9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6249397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Pr>
          <w:p w14:paraId="2E2FB8B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77CD4C4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19F4CBF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5F4179C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±0.57</w:t>
            </w:r>
          </w:p>
        </w:tc>
        <w:tc>
          <w:tcPr>
            <w:tcW w:w="1051" w:type="dxa"/>
          </w:tcPr>
          <w:p w14:paraId="6DEA9AB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r>
      <w:tr w:rsidR="000155DA" w:rsidRPr="002070B0" w14:paraId="2EAF1344" w14:textId="77777777" w:rsidTr="007A4F7A">
        <w:trPr>
          <w:trHeight w:val="409"/>
          <w:jc w:val="center"/>
        </w:trPr>
        <w:tc>
          <w:tcPr>
            <w:tcW w:w="884" w:type="dxa"/>
          </w:tcPr>
          <w:p w14:paraId="5ECBFC71"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R23</w:t>
            </w:r>
          </w:p>
        </w:tc>
        <w:tc>
          <w:tcPr>
            <w:tcW w:w="1216" w:type="dxa"/>
          </w:tcPr>
          <w:p w14:paraId="52A0648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2.88</w:t>
            </w:r>
          </w:p>
        </w:tc>
        <w:tc>
          <w:tcPr>
            <w:tcW w:w="1105" w:type="dxa"/>
          </w:tcPr>
          <w:p w14:paraId="6E3E457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c>
          <w:tcPr>
            <w:tcW w:w="1105" w:type="dxa"/>
          </w:tcPr>
          <w:p w14:paraId="65FBFB0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c>
          <w:tcPr>
            <w:tcW w:w="1105" w:type="dxa"/>
          </w:tcPr>
          <w:p w14:paraId="0EDA7E9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c>
          <w:tcPr>
            <w:tcW w:w="1105" w:type="dxa"/>
          </w:tcPr>
          <w:p w14:paraId="6F36ECB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c>
          <w:tcPr>
            <w:tcW w:w="1105" w:type="dxa"/>
          </w:tcPr>
          <w:p w14:paraId="29236F5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6.67 ± 0.57</w:t>
            </w:r>
          </w:p>
        </w:tc>
        <w:tc>
          <w:tcPr>
            <w:tcW w:w="1105" w:type="dxa"/>
          </w:tcPr>
          <w:p w14:paraId="4F72134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c>
          <w:tcPr>
            <w:tcW w:w="1051" w:type="dxa"/>
          </w:tcPr>
          <w:p w14:paraId="665A3BA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r>
      <w:tr w:rsidR="000155DA" w:rsidRPr="002070B0" w14:paraId="3FEEA788" w14:textId="77777777" w:rsidTr="007A4F7A">
        <w:trPr>
          <w:trHeight w:val="392"/>
          <w:jc w:val="center"/>
        </w:trPr>
        <w:tc>
          <w:tcPr>
            <w:tcW w:w="884" w:type="dxa"/>
          </w:tcPr>
          <w:p w14:paraId="0D82E7E1"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R26</w:t>
            </w:r>
          </w:p>
        </w:tc>
        <w:tc>
          <w:tcPr>
            <w:tcW w:w="1216" w:type="dxa"/>
          </w:tcPr>
          <w:p w14:paraId="720663D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2.08</w:t>
            </w:r>
          </w:p>
        </w:tc>
        <w:tc>
          <w:tcPr>
            <w:tcW w:w="1105" w:type="dxa"/>
          </w:tcPr>
          <w:p w14:paraId="7A31761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568D212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7F3DE7A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105" w:type="dxa"/>
          </w:tcPr>
          <w:p w14:paraId="04ECCFA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0BE624F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1723CFA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51" w:type="dxa"/>
          </w:tcPr>
          <w:p w14:paraId="53E2D41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r>
      <w:tr w:rsidR="000155DA" w:rsidRPr="002070B0" w14:paraId="6A1B0484" w14:textId="77777777" w:rsidTr="007A4F7A">
        <w:trPr>
          <w:trHeight w:val="392"/>
          <w:jc w:val="center"/>
        </w:trPr>
        <w:tc>
          <w:tcPr>
            <w:tcW w:w="884" w:type="dxa"/>
          </w:tcPr>
          <w:p w14:paraId="419DE2F3"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R28</w:t>
            </w:r>
          </w:p>
        </w:tc>
        <w:tc>
          <w:tcPr>
            <w:tcW w:w="1216" w:type="dxa"/>
          </w:tcPr>
          <w:p w14:paraId="6118563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2.31</w:t>
            </w:r>
          </w:p>
        </w:tc>
        <w:tc>
          <w:tcPr>
            <w:tcW w:w="1105" w:type="dxa"/>
          </w:tcPr>
          <w:p w14:paraId="7DB1A42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22F329E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9.33 ± 0.57</w:t>
            </w:r>
          </w:p>
        </w:tc>
        <w:tc>
          <w:tcPr>
            <w:tcW w:w="1105" w:type="dxa"/>
          </w:tcPr>
          <w:p w14:paraId="659B9CE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1DDEE17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0A7BAD9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45BFC8F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51" w:type="dxa"/>
          </w:tcPr>
          <w:p w14:paraId="698D3AF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r>
      <w:tr w:rsidR="000155DA" w:rsidRPr="002070B0" w14:paraId="26FA7774" w14:textId="77777777" w:rsidTr="007A4F7A">
        <w:trPr>
          <w:trHeight w:val="409"/>
          <w:jc w:val="center"/>
        </w:trPr>
        <w:tc>
          <w:tcPr>
            <w:tcW w:w="884" w:type="dxa"/>
          </w:tcPr>
          <w:p w14:paraId="29893B68"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R29</w:t>
            </w:r>
          </w:p>
        </w:tc>
        <w:tc>
          <w:tcPr>
            <w:tcW w:w="1216" w:type="dxa"/>
          </w:tcPr>
          <w:p w14:paraId="10B8DD8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05" w:type="dxa"/>
          </w:tcPr>
          <w:p w14:paraId="1F162D6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30D7865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574A19A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50C768F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0D12E69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2925B37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51" w:type="dxa"/>
          </w:tcPr>
          <w:p w14:paraId="26625F9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r>
      <w:tr w:rsidR="000155DA" w:rsidRPr="002070B0" w14:paraId="6FBBA3AB" w14:textId="77777777" w:rsidTr="007A4F7A">
        <w:trPr>
          <w:trHeight w:val="392"/>
          <w:jc w:val="center"/>
        </w:trPr>
        <w:tc>
          <w:tcPr>
            <w:tcW w:w="884" w:type="dxa"/>
          </w:tcPr>
          <w:p w14:paraId="71C5752E"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R32</w:t>
            </w:r>
          </w:p>
        </w:tc>
        <w:tc>
          <w:tcPr>
            <w:tcW w:w="1216" w:type="dxa"/>
          </w:tcPr>
          <w:p w14:paraId="3F2D4FF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8.67 ± 0.57</w:t>
            </w:r>
          </w:p>
        </w:tc>
        <w:tc>
          <w:tcPr>
            <w:tcW w:w="1105" w:type="dxa"/>
          </w:tcPr>
          <w:p w14:paraId="486159B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59BBE16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17C2118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0B27CA0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107E41C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56AEB4A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51" w:type="dxa"/>
          </w:tcPr>
          <w:p w14:paraId="0755557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r>
      <w:tr w:rsidR="000155DA" w:rsidRPr="002070B0" w14:paraId="10F66FA5" w14:textId="77777777" w:rsidTr="007A4F7A">
        <w:trPr>
          <w:trHeight w:val="392"/>
          <w:jc w:val="center"/>
        </w:trPr>
        <w:tc>
          <w:tcPr>
            <w:tcW w:w="884" w:type="dxa"/>
          </w:tcPr>
          <w:p w14:paraId="0C82CC3D"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R39</w:t>
            </w:r>
          </w:p>
        </w:tc>
        <w:tc>
          <w:tcPr>
            <w:tcW w:w="1216" w:type="dxa"/>
          </w:tcPr>
          <w:p w14:paraId="10E1F00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8.67 ± 4.62</w:t>
            </w:r>
          </w:p>
        </w:tc>
        <w:tc>
          <w:tcPr>
            <w:tcW w:w="1105" w:type="dxa"/>
          </w:tcPr>
          <w:p w14:paraId="46C28C1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3085541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05F84C0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218A6A1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5613AB6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4BA33BC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51" w:type="dxa"/>
          </w:tcPr>
          <w:p w14:paraId="50380A7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r>
      <w:tr w:rsidR="000155DA" w:rsidRPr="002070B0" w14:paraId="28662A77" w14:textId="77777777" w:rsidTr="007A4F7A">
        <w:trPr>
          <w:trHeight w:val="392"/>
          <w:jc w:val="center"/>
        </w:trPr>
        <w:tc>
          <w:tcPr>
            <w:tcW w:w="884" w:type="dxa"/>
          </w:tcPr>
          <w:p w14:paraId="5925BC72"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R40</w:t>
            </w:r>
          </w:p>
        </w:tc>
        <w:tc>
          <w:tcPr>
            <w:tcW w:w="1216" w:type="dxa"/>
          </w:tcPr>
          <w:p w14:paraId="17BB416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05" w:type="dxa"/>
          </w:tcPr>
          <w:p w14:paraId="05C8B3A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7FA1FAF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0424DC8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152BD22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4D2ABA4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7B38020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51" w:type="dxa"/>
          </w:tcPr>
          <w:p w14:paraId="2EB31CD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r>
      <w:tr w:rsidR="000155DA" w:rsidRPr="002070B0" w14:paraId="370D7094" w14:textId="77777777" w:rsidTr="007A4F7A">
        <w:trPr>
          <w:trHeight w:val="409"/>
          <w:jc w:val="center"/>
        </w:trPr>
        <w:tc>
          <w:tcPr>
            <w:tcW w:w="884" w:type="dxa"/>
            <w:tcBorders>
              <w:bottom w:val="inset" w:sz="6" w:space="0" w:color="auto"/>
            </w:tcBorders>
          </w:tcPr>
          <w:p w14:paraId="7277E035"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R41</w:t>
            </w:r>
          </w:p>
        </w:tc>
        <w:tc>
          <w:tcPr>
            <w:tcW w:w="1216" w:type="dxa"/>
            <w:tcBorders>
              <w:bottom w:val="inset" w:sz="6" w:space="0" w:color="auto"/>
            </w:tcBorders>
          </w:tcPr>
          <w:p w14:paraId="7BE14E4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05" w:type="dxa"/>
            <w:tcBorders>
              <w:bottom w:val="inset" w:sz="6" w:space="0" w:color="auto"/>
            </w:tcBorders>
          </w:tcPr>
          <w:p w14:paraId="0D860CB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Borders>
              <w:bottom w:val="inset" w:sz="6" w:space="0" w:color="auto"/>
            </w:tcBorders>
          </w:tcPr>
          <w:p w14:paraId="6AA1634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Borders>
              <w:bottom w:val="inset" w:sz="6" w:space="0" w:color="auto"/>
            </w:tcBorders>
          </w:tcPr>
          <w:p w14:paraId="4C6A5C2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Borders>
              <w:bottom w:val="inset" w:sz="6" w:space="0" w:color="auto"/>
            </w:tcBorders>
          </w:tcPr>
          <w:p w14:paraId="275D46D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Borders>
              <w:bottom w:val="inset" w:sz="6" w:space="0" w:color="auto"/>
            </w:tcBorders>
          </w:tcPr>
          <w:p w14:paraId="407277D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9.33 ± 0.57</w:t>
            </w:r>
          </w:p>
        </w:tc>
        <w:tc>
          <w:tcPr>
            <w:tcW w:w="1105" w:type="dxa"/>
            <w:tcBorders>
              <w:bottom w:val="inset" w:sz="6" w:space="0" w:color="auto"/>
            </w:tcBorders>
          </w:tcPr>
          <w:p w14:paraId="026BA07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51" w:type="dxa"/>
            <w:tcBorders>
              <w:bottom w:val="inset" w:sz="6" w:space="0" w:color="auto"/>
            </w:tcBorders>
          </w:tcPr>
          <w:p w14:paraId="75F79B4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r>
    </w:tbl>
    <w:p w14:paraId="19A4B090" w14:textId="52651F25" w:rsidR="000155DA" w:rsidRPr="002829E9" w:rsidRDefault="000155DA" w:rsidP="00AC0BBE">
      <w:pPr>
        <w:pStyle w:val="Body"/>
        <w:jc w:val="center"/>
        <w:rPr>
          <w:rFonts w:ascii="Arial" w:hAnsi="Arial" w:cs="Arial"/>
          <w:bCs/>
          <w:i/>
        </w:rPr>
      </w:pPr>
      <w:r w:rsidRPr="002829E9">
        <w:rPr>
          <w:rFonts w:ascii="Arial" w:hAnsi="Arial" w:cs="Arial"/>
          <w:b/>
          <w:bCs/>
          <w:i/>
        </w:rPr>
        <w:t xml:space="preserve">MOL </w:t>
      </w:r>
      <w:r w:rsidRPr="002829E9">
        <w:rPr>
          <w:rFonts w:ascii="Arial" w:hAnsi="Arial" w:cs="Arial"/>
          <w:bCs/>
          <w:i/>
        </w:rPr>
        <w:t xml:space="preserve">: </w:t>
      </w:r>
      <w:r w:rsidRPr="002829E9">
        <w:rPr>
          <w:rFonts w:ascii="Arial" w:hAnsi="Arial" w:cs="Arial"/>
          <w:bCs/>
          <w:i/>
          <w:iCs/>
        </w:rPr>
        <w:t xml:space="preserve">M. oleifera </w:t>
      </w:r>
      <w:r w:rsidRPr="002829E9">
        <w:rPr>
          <w:rFonts w:ascii="Arial" w:hAnsi="Arial" w:cs="Arial"/>
          <w:bCs/>
          <w:i/>
        </w:rPr>
        <w:t xml:space="preserve">leaves; </w:t>
      </w:r>
      <w:r w:rsidRPr="002829E9">
        <w:rPr>
          <w:rFonts w:ascii="Arial" w:hAnsi="Arial" w:cs="Arial"/>
          <w:b/>
          <w:bCs/>
          <w:i/>
        </w:rPr>
        <w:t xml:space="preserve">MOE </w:t>
      </w:r>
      <w:r w:rsidRPr="002829E9">
        <w:rPr>
          <w:rFonts w:ascii="Arial" w:hAnsi="Arial" w:cs="Arial"/>
          <w:bCs/>
          <w:i/>
        </w:rPr>
        <w:t xml:space="preserve">: </w:t>
      </w:r>
      <w:r w:rsidRPr="002829E9">
        <w:rPr>
          <w:rFonts w:ascii="Arial" w:hAnsi="Arial" w:cs="Arial"/>
          <w:bCs/>
          <w:i/>
          <w:iCs/>
        </w:rPr>
        <w:t xml:space="preserve">M. oleifera </w:t>
      </w:r>
      <w:r w:rsidRPr="002829E9">
        <w:rPr>
          <w:rFonts w:ascii="Arial" w:hAnsi="Arial" w:cs="Arial"/>
          <w:bCs/>
          <w:i/>
        </w:rPr>
        <w:t xml:space="preserve">bark; </w:t>
      </w:r>
      <w:r w:rsidRPr="002829E9">
        <w:rPr>
          <w:rFonts w:ascii="Arial" w:hAnsi="Arial" w:cs="Arial"/>
          <w:b/>
          <w:bCs/>
          <w:i/>
        </w:rPr>
        <w:t xml:space="preserve">MOF </w:t>
      </w:r>
      <w:r w:rsidRPr="002829E9">
        <w:rPr>
          <w:rFonts w:ascii="Arial" w:hAnsi="Arial" w:cs="Arial"/>
          <w:bCs/>
          <w:i/>
        </w:rPr>
        <w:t xml:space="preserve">: </w:t>
      </w:r>
      <w:r w:rsidRPr="002829E9">
        <w:rPr>
          <w:rFonts w:ascii="Arial" w:hAnsi="Arial" w:cs="Arial"/>
          <w:bCs/>
          <w:i/>
          <w:iCs/>
        </w:rPr>
        <w:t xml:space="preserve">M. oleifera </w:t>
      </w:r>
      <w:r w:rsidRPr="002829E9">
        <w:rPr>
          <w:rFonts w:ascii="Arial" w:hAnsi="Arial" w:cs="Arial"/>
          <w:bCs/>
          <w:i/>
        </w:rPr>
        <w:t xml:space="preserve">flowers; </w:t>
      </w:r>
      <w:r w:rsidRPr="002829E9">
        <w:rPr>
          <w:rFonts w:ascii="Arial" w:hAnsi="Arial" w:cs="Arial"/>
          <w:b/>
          <w:bCs/>
          <w:i/>
        </w:rPr>
        <w:t xml:space="preserve">SOL </w:t>
      </w:r>
      <w:r w:rsidRPr="002829E9">
        <w:rPr>
          <w:rFonts w:ascii="Arial" w:hAnsi="Arial" w:cs="Arial"/>
          <w:bCs/>
          <w:i/>
        </w:rPr>
        <w:t xml:space="preserve">: </w:t>
      </w:r>
      <w:r w:rsidRPr="002829E9">
        <w:rPr>
          <w:rFonts w:ascii="Arial" w:hAnsi="Arial" w:cs="Arial"/>
          <w:bCs/>
          <w:i/>
          <w:iCs/>
        </w:rPr>
        <w:t xml:space="preserve">S. occidentalis </w:t>
      </w:r>
      <w:r w:rsidRPr="002829E9">
        <w:rPr>
          <w:rFonts w:ascii="Arial" w:hAnsi="Arial" w:cs="Arial"/>
          <w:bCs/>
          <w:i/>
        </w:rPr>
        <w:t xml:space="preserve">leaves; </w:t>
      </w:r>
      <w:r w:rsidRPr="002829E9">
        <w:rPr>
          <w:rFonts w:ascii="Arial" w:hAnsi="Arial" w:cs="Arial"/>
          <w:b/>
          <w:bCs/>
          <w:i/>
        </w:rPr>
        <w:t xml:space="preserve">SOE </w:t>
      </w:r>
      <w:r w:rsidRPr="002829E9">
        <w:rPr>
          <w:rFonts w:ascii="Arial" w:hAnsi="Arial" w:cs="Arial"/>
          <w:bCs/>
          <w:i/>
        </w:rPr>
        <w:t xml:space="preserve">: </w:t>
      </w:r>
      <w:r w:rsidRPr="002829E9">
        <w:rPr>
          <w:rFonts w:ascii="Arial" w:hAnsi="Arial" w:cs="Arial"/>
          <w:bCs/>
          <w:i/>
          <w:iCs/>
        </w:rPr>
        <w:t xml:space="preserve">S. occidentalis </w:t>
      </w:r>
      <w:r w:rsidRPr="002829E9">
        <w:rPr>
          <w:rFonts w:ascii="Arial" w:hAnsi="Arial" w:cs="Arial"/>
          <w:bCs/>
          <w:i/>
        </w:rPr>
        <w:t xml:space="preserve">bark; </w:t>
      </w:r>
      <w:r w:rsidRPr="002829E9">
        <w:rPr>
          <w:rFonts w:ascii="Arial" w:hAnsi="Arial" w:cs="Arial"/>
          <w:b/>
          <w:bCs/>
          <w:i/>
        </w:rPr>
        <w:t xml:space="preserve">SOC </w:t>
      </w:r>
      <w:r w:rsidRPr="002829E9">
        <w:rPr>
          <w:rFonts w:ascii="Arial" w:hAnsi="Arial" w:cs="Arial"/>
          <w:bCs/>
          <w:i/>
        </w:rPr>
        <w:t xml:space="preserve">: </w:t>
      </w:r>
      <w:r w:rsidRPr="002829E9">
        <w:rPr>
          <w:rFonts w:ascii="Arial" w:hAnsi="Arial" w:cs="Arial"/>
          <w:bCs/>
          <w:i/>
          <w:iCs/>
        </w:rPr>
        <w:t xml:space="preserve">S. occidentalis </w:t>
      </w:r>
      <w:r w:rsidRPr="002829E9">
        <w:rPr>
          <w:rFonts w:ascii="Arial" w:hAnsi="Arial" w:cs="Arial"/>
          <w:bCs/>
          <w:i/>
        </w:rPr>
        <w:t xml:space="preserve">shell; </w:t>
      </w:r>
      <w:r w:rsidRPr="002829E9">
        <w:rPr>
          <w:rFonts w:ascii="Arial" w:hAnsi="Arial" w:cs="Arial"/>
          <w:b/>
          <w:bCs/>
          <w:i/>
        </w:rPr>
        <w:t xml:space="preserve">SOG </w:t>
      </w:r>
      <w:r w:rsidRPr="002829E9">
        <w:rPr>
          <w:rFonts w:ascii="Arial" w:hAnsi="Arial" w:cs="Arial"/>
          <w:bCs/>
          <w:i/>
        </w:rPr>
        <w:t xml:space="preserve">: </w:t>
      </w:r>
      <w:r w:rsidRPr="002829E9">
        <w:rPr>
          <w:rFonts w:ascii="Arial" w:hAnsi="Arial" w:cs="Arial"/>
          <w:bCs/>
          <w:i/>
          <w:iCs/>
        </w:rPr>
        <w:t xml:space="preserve">S. occidentalis </w:t>
      </w:r>
      <w:r w:rsidRPr="002829E9">
        <w:rPr>
          <w:rFonts w:ascii="Arial" w:hAnsi="Arial" w:cs="Arial"/>
          <w:bCs/>
          <w:i/>
        </w:rPr>
        <w:t xml:space="preserve">seeds; </w:t>
      </w:r>
      <w:r w:rsidRPr="002829E9">
        <w:rPr>
          <w:rFonts w:ascii="Arial" w:hAnsi="Arial" w:cs="Arial"/>
          <w:b/>
          <w:bCs/>
          <w:i/>
        </w:rPr>
        <w:t xml:space="preserve">S </w:t>
      </w:r>
      <w:r w:rsidRPr="002829E9">
        <w:rPr>
          <w:rFonts w:ascii="Arial" w:hAnsi="Arial" w:cs="Arial"/>
          <w:bCs/>
          <w:i/>
        </w:rPr>
        <w:t xml:space="preserve">: sensitive; </w:t>
      </w:r>
      <w:r w:rsidRPr="002829E9">
        <w:rPr>
          <w:rFonts w:ascii="Arial" w:hAnsi="Arial" w:cs="Arial"/>
          <w:b/>
          <w:bCs/>
          <w:i/>
        </w:rPr>
        <w:t xml:space="preserve">R </w:t>
      </w:r>
      <w:r w:rsidRPr="002829E9">
        <w:rPr>
          <w:rFonts w:ascii="Arial" w:hAnsi="Arial" w:cs="Arial"/>
          <w:bCs/>
          <w:i/>
        </w:rPr>
        <w:t xml:space="preserve">: resistant; </w:t>
      </w:r>
      <w:proofErr w:type="spellStart"/>
      <w:r w:rsidR="00DF1EB0" w:rsidRPr="00B76FB5">
        <w:rPr>
          <w:rFonts w:ascii="Arial" w:hAnsi="Arial" w:cs="Arial"/>
          <w:b/>
          <w:bCs/>
          <w:i/>
        </w:rPr>
        <w:t>Cefox</w:t>
      </w:r>
      <w:proofErr w:type="spellEnd"/>
      <w:r w:rsidRPr="002829E9">
        <w:rPr>
          <w:rFonts w:ascii="Arial" w:hAnsi="Arial" w:cs="Arial"/>
          <w:b/>
          <w:bCs/>
          <w:i/>
        </w:rPr>
        <w:t xml:space="preserve"> </w:t>
      </w:r>
      <w:r w:rsidRPr="002829E9">
        <w:rPr>
          <w:rFonts w:ascii="Arial" w:hAnsi="Arial" w:cs="Arial"/>
          <w:bCs/>
          <w:i/>
        </w:rPr>
        <w:t xml:space="preserve">: </w:t>
      </w:r>
      <w:r w:rsidR="00DF1EB0">
        <w:rPr>
          <w:rFonts w:ascii="Arial" w:hAnsi="Arial" w:cs="Arial"/>
          <w:bCs/>
          <w:i/>
        </w:rPr>
        <w:t>cef</w:t>
      </w:r>
      <w:r w:rsidRPr="002829E9">
        <w:rPr>
          <w:rFonts w:ascii="Arial" w:hAnsi="Arial" w:cs="Arial"/>
          <w:bCs/>
          <w:i/>
        </w:rPr>
        <w:t>oxi</w:t>
      </w:r>
      <w:r w:rsidR="00DF1EB0">
        <w:rPr>
          <w:rFonts w:ascii="Arial" w:hAnsi="Arial" w:cs="Arial"/>
          <w:bCs/>
          <w:i/>
        </w:rPr>
        <w:t>tin</w:t>
      </w:r>
      <w:r w:rsidRPr="002829E9">
        <w:rPr>
          <w:rFonts w:ascii="Arial" w:hAnsi="Arial" w:cs="Arial"/>
          <w:bCs/>
          <w:i/>
        </w:rPr>
        <w:t xml:space="preserve">; </w:t>
      </w:r>
      <w:r w:rsidRPr="002829E9">
        <w:rPr>
          <w:rFonts w:ascii="Arial" w:hAnsi="Arial" w:cs="Arial"/>
          <w:b/>
          <w:bCs/>
          <w:i/>
        </w:rPr>
        <w:t xml:space="preserve">ATCC </w:t>
      </w:r>
      <w:r w:rsidRPr="002829E9">
        <w:rPr>
          <w:rFonts w:ascii="Arial" w:hAnsi="Arial" w:cs="Arial"/>
          <w:bCs/>
          <w:i/>
        </w:rPr>
        <w:t>: American Type Culture Collection</w:t>
      </w:r>
    </w:p>
    <w:p w14:paraId="5E165323" w14:textId="2FCD6E9A" w:rsidR="000155DA" w:rsidRPr="002829E9" w:rsidRDefault="000155DA" w:rsidP="000155DA">
      <w:pPr>
        <w:pStyle w:val="Body"/>
        <w:rPr>
          <w:rFonts w:ascii="Arial" w:hAnsi="Arial" w:cs="Arial"/>
          <w:bCs/>
        </w:rPr>
      </w:pPr>
      <w:r w:rsidRPr="002829E9">
        <w:rPr>
          <w:rFonts w:ascii="Arial" w:hAnsi="Arial" w:cs="Arial"/>
          <w:bCs/>
        </w:rPr>
        <w:t xml:space="preserve">The results obtained show that the ethanolic extracts of </w:t>
      </w:r>
      <w:r w:rsidRPr="002829E9">
        <w:rPr>
          <w:rFonts w:ascii="Arial" w:hAnsi="Arial" w:cs="Arial"/>
          <w:bCs/>
          <w:i/>
        </w:rPr>
        <w:t xml:space="preserve">Moringa oleifera </w:t>
      </w:r>
      <w:r w:rsidRPr="002829E9">
        <w:rPr>
          <w:rFonts w:ascii="Arial" w:hAnsi="Arial" w:cs="Arial"/>
          <w:bCs/>
        </w:rPr>
        <w:t xml:space="preserve">(in particular the MOF extract) exert the strongest antibacterial activity </w:t>
      </w:r>
      <w:r w:rsidRPr="002829E9">
        <w:rPr>
          <w:rFonts w:ascii="Arial" w:hAnsi="Arial" w:cs="Arial"/>
          <w:bCs/>
          <w:i/>
        </w:rPr>
        <w:t xml:space="preserve">in vitro </w:t>
      </w:r>
      <w:r w:rsidRPr="002829E9">
        <w:rPr>
          <w:rFonts w:ascii="Arial" w:hAnsi="Arial" w:cs="Arial"/>
          <w:bCs/>
        </w:rPr>
        <w:t xml:space="preserve">against the strains tested, with </w:t>
      </w:r>
      <w:r w:rsidRPr="002829E9">
        <w:rPr>
          <w:rFonts w:ascii="Arial" w:hAnsi="Arial" w:cs="Arial"/>
          <w:bCs/>
        </w:rPr>
        <w:lastRenderedPageBreak/>
        <w:t xml:space="preserve">maximum inhibition zones greater than 10 mm, particularly on the standard ATCC strain. This activity is clearly more marked than that observed for the other extracts (MOL, MOE, SOL, SOE, SOC, SOG), whose inhibition zones generally oscillate between 6 and 9 mm, suggesting a lesser efficacy </w:t>
      </w:r>
      <w:r w:rsidRPr="002829E9">
        <w:rPr>
          <w:rFonts w:ascii="Arial" w:hAnsi="Arial" w:cs="Arial"/>
          <w:b/>
          <w:bCs/>
        </w:rPr>
        <w:t xml:space="preserve">(table </w:t>
      </w:r>
      <w:r w:rsidR="00C4316B">
        <w:rPr>
          <w:rFonts w:ascii="Arial" w:hAnsi="Arial" w:cs="Arial"/>
          <w:b/>
          <w:bCs/>
        </w:rPr>
        <w:t>4</w:t>
      </w:r>
      <w:r w:rsidRPr="002829E9">
        <w:rPr>
          <w:rFonts w:ascii="Arial" w:hAnsi="Arial" w:cs="Arial"/>
          <w:b/>
          <w:bCs/>
        </w:rPr>
        <w:t>)</w:t>
      </w:r>
      <w:r w:rsidRPr="002829E9">
        <w:rPr>
          <w:rFonts w:ascii="Arial" w:hAnsi="Arial" w:cs="Arial"/>
          <w:bCs/>
        </w:rPr>
        <w:t>.</w:t>
      </w:r>
    </w:p>
    <w:p w14:paraId="198042DA" w14:textId="007F841B" w:rsidR="000155DA" w:rsidRPr="002829E9" w:rsidRDefault="00C4316B" w:rsidP="000155DA">
      <w:pPr>
        <w:pStyle w:val="Body"/>
        <w:rPr>
          <w:rFonts w:ascii="Arial" w:hAnsi="Arial" w:cs="Arial"/>
          <w:b/>
          <w:bCs/>
        </w:rPr>
      </w:pPr>
      <w:r>
        <w:rPr>
          <w:rFonts w:ascii="Arial" w:hAnsi="Arial"/>
          <w:b/>
        </w:rPr>
        <w:t>Table 4</w:t>
      </w:r>
      <w:r w:rsidR="00AC0BBE">
        <w:rPr>
          <w:rFonts w:ascii="Arial" w:hAnsi="Arial"/>
          <w:b/>
        </w:rPr>
        <w:t xml:space="preserve">. </w:t>
      </w:r>
      <w:r w:rsidR="000155DA" w:rsidRPr="002829E9">
        <w:rPr>
          <w:rFonts w:ascii="Arial" w:hAnsi="Arial" w:cs="Arial"/>
          <w:b/>
          <w:bCs/>
        </w:rPr>
        <w:t xml:space="preserve">Diameters of inhibition zones of ethanolic extracts of </w:t>
      </w:r>
      <w:r w:rsidR="000155DA" w:rsidRPr="002829E9">
        <w:rPr>
          <w:rFonts w:ascii="Arial" w:hAnsi="Arial" w:cs="Arial"/>
          <w:b/>
          <w:bCs/>
          <w:i/>
        </w:rPr>
        <w:t xml:space="preserve">M. oleifera </w:t>
      </w:r>
      <w:r w:rsidR="000155DA" w:rsidRPr="002829E9">
        <w:rPr>
          <w:rFonts w:ascii="Arial" w:hAnsi="Arial" w:cs="Arial"/>
          <w:b/>
          <w:bCs/>
        </w:rPr>
        <w:t xml:space="preserve">and </w:t>
      </w:r>
      <w:r w:rsidR="000155DA" w:rsidRPr="002829E9">
        <w:rPr>
          <w:rFonts w:ascii="Arial" w:hAnsi="Arial" w:cs="Arial"/>
          <w:b/>
          <w:bCs/>
          <w:i/>
        </w:rPr>
        <w:t>S. occidentalis</w:t>
      </w:r>
    </w:p>
    <w:tbl>
      <w:tblPr>
        <w:tblStyle w:val="TableGrid"/>
        <w:tblW w:w="99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6"/>
        <w:gridCol w:w="1166"/>
        <w:gridCol w:w="1166"/>
        <w:gridCol w:w="1060"/>
        <w:gridCol w:w="1166"/>
        <w:gridCol w:w="1060"/>
        <w:gridCol w:w="1059"/>
        <w:gridCol w:w="1166"/>
        <w:gridCol w:w="1064"/>
      </w:tblGrid>
      <w:tr w:rsidR="000155DA" w:rsidRPr="002070B0" w14:paraId="59DA9359" w14:textId="77777777" w:rsidTr="00AC0BBE">
        <w:trPr>
          <w:trHeight w:val="264"/>
          <w:jc w:val="center"/>
        </w:trPr>
        <w:tc>
          <w:tcPr>
            <w:tcW w:w="1026" w:type="dxa"/>
            <w:vMerge w:val="restart"/>
            <w:tcBorders>
              <w:top w:val="single" w:sz="4" w:space="0" w:color="auto"/>
            </w:tcBorders>
          </w:tcPr>
          <w:p w14:paraId="68917691" w14:textId="77777777" w:rsidR="000155DA" w:rsidRPr="002829E9" w:rsidRDefault="000155DA" w:rsidP="000155DA">
            <w:pPr>
              <w:pStyle w:val="Body"/>
              <w:rPr>
                <w:rFonts w:ascii="Arial" w:hAnsi="Arial" w:cs="Arial"/>
                <w:b/>
                <w:bCs/>
                <w:sz w:val="16"/>
                <w:szCs w:val="16"/>
              </w:rPr>
            </w:pPr>
          </w:p>
          <w:p w14:paraId="2F7E7C8E" w14:textId="77777777" w:rsidR="000155DA" w:rsidRPr="002070B0" w:rsidRDefault="000155DA" w:rsidP="000155DA">
            <w:pPr>
              <w:pStyle w:val="Body"/>
              <w:rPr>
                <w:rFonts w:ascii="Arial" w:hAnsi="Arial" w:cs="Arial"/>
                <w:bCs/>
                <w:sz w:val="16"/>
                <w:szCs w:val="16"/>
                <w:lang w:val="fr-FR"/>
              </w:rPr>
            </w:pPr>
            <w:proofErr w:type="spellStart"/>
            <w:r w:rsidRPr="002070B0">
              <w:rPr>
                <w:rFonts w:ascii="Arial" w:hAnsi="Arial" w:cs="Arial"/>
                <w:bCs/>
                <w:sz w:val="16"/>
                <w:szCs w:val="16"/>
                <w:lang w:val="fr-FR"/>
              </w:rPr>
              <w:t>Strain</w:t>
            </w:r>
            <w:proofErr w:type="spellEnd"/>
          </w:p>
        </w:tc>
        <w:tc>
          <w:tcPr>
            <w:tcW w:w="1166" w:type="dxa"/>
            <w:tcBorders>
              <w:top w:val="single" w:sz="4" w:space="0" w:color="auto"/>
              <w:bottom w:val="inset" w:sz="6" w:space="0" w:color="auto"/>
              <w:right w:val="single" w:sz="4" w:space="0" w:color="auto"/>
            </w:tcBorders>
          </w:tcPr>
          <w:p w14:paraId="227D324C" w14:textId="77777777" w:rsidR="000155DA" w:rsidRPr="002070B0" w:rsidRDefault="000155DA" w:rsidP="000155DA">
            <w:pPr>
              <w:pStyle w:val="Body"/>
              <w:rPr>
                <w:rFonts w:ascii="Arial" w:hAnsi="Arial" w:cs="Arial"/>
                <w:b/>
                <w:bCs/>
                <w:sz w:val="16"/>
                <w:szCs w:val="16"/>
                <w:lang w:val="en-CA"/>
              </w:rPr>
            </w:pPr>
          </w:p>
        </w:tc>
        <w:tc>
          <w:tcPr>
            <w:tcW w:w="7741" w:type="dxa"/>
            <w:gridSpan w:val="7"/>
            <w:tcBorders>
              <w:top w:val="single" w:sz="4" w:space="0" w:color="auto"/>
              <w:left w:val="single" w:sz="4" w:space="0" w:color="auto"/>
              <w:bottom w:val="inset" w:sz="6" w:space="0" w:color="auto"/>
            </w:tcBorders>
          </w:tcPr>
          <w:p w14:paraId="37FF57DD" w14:textId="77777777" w:rsidR="000155DA" w:rsidRPr="002070B0" w:rsidRDefault="000155DA" w:rsidP="002070B0">
            <w:pPr>
              <w:pStyle w:val="Body"/>
              <w:jc w:val="center"/>
              <w:rPr>
                <w:rFonts w:ascii="Arial" w:hAnsi="Arial" w:cs="Arial"/>
                <w:b/>
                <w:bCs/>
                <w:sz w:val="16"/>
                <w:szCs w:val="16"/>
                <w:lang w:val="en-CA"/>
              </w:rPr>
            </w:pPr>
            <w:r w:rsidRPr="002070B0">
              <w:rPr>
                <w:rFonts w:ascii="Arial" w:hAnsi="Arial" w:cs="Arial"/>
                <w:b/>
                <w:bCs/>
                <w:sz w:val="16"/>
                <w:szCs w:val="16"/>
                <w:lang w:val="en-CA"/>
              </w:rPr>
              <w:t>Ethanolic extracts</w:t>
            </w:r>
          </w:p>
        </w:tc>
      </w:tr>
      <w:tr w:rsidR="000155DA" w:rsidRPr="002070B0" w14:paraId="69E17CDF" w14:textId="77777777" w:rsidTr="00AC0BBE">
        <w:trPr>
          <w:trHeight w:val="417"/>
          <w:jc w:val="center"/>
        </w:trPr>
        <w:tc>
          <w:tcPr>
            <w:tcW w:w="1026" w:type="dxa"/>
            <w:vMerge/>
            <w:tcBorders>
              <w:bottom w:val="single" w:sz="4" w:space="0" w:color="auto"/>
            </w:tcBorders>
          </w:tcPr>
          <w:p w14:paraId="3153A3E9" w14:textId="77777777" w:rsidR="000155DA" w:rsidRPr="002070B0" w:rsidRDefault="000155DA" w:rsidP="000155DA">
            <w:pPr>
              <w:pStyle w:val="Body"/>
              <w:rPr>
                <w:rFonts w:ascii="Arial" w:hAnsi="Arial" w:cs="Arial"/>
                <w:b/>
                <w:bCs/>
                <w:sz w:val="16"/>
                <w:szCs w:val="16"/>
                <w:lang w:val="en-CA"/>
              </w:rPr>
            </w:pPr>
          </w:p>
        </w:tc>
        <w:tc>
          <w:tcPr>
            <w:tcW w:w="1166" w:type="dxa"/>
            <w:tcBorders>
              <w:top w:val="inset" w:sz="6" w:space="0" w:color="auto"/>
              <w:bottom w:val="single" w:sz="4" w:space="0" w:color="auto"/>
              <w:right w:val="single" w:sz="4" w:space="0" w:color="auto"/>
            </w:tcBorders>
          </w:tcPr>
          <w:p w14:paraId="70C3EEAB" w14:textId="4351C92E" w:rsidR="000155DA" w:rsidRPr="002070B0" w:rsidRDefault="00FF476D" w:rsidP="00FF476D">
            <w:pPr>
              <w:pStyle w:val="Body"/>
              <w:jc w:val="center"/>
              <w:rPr>
                <w:rFonts w:ascii="Arial" w:hAnsi="Arial" w:cs="Arial"/>
                <w:b/>
                <w:bCs/>
                <w:sz w:val="16"/>
                <w:szCs w:val="16"/>
                <w:lang w:val="en-CA"/>
              </w:rPr>
            </w:pPr>
            <w:proofErr w:type="spellStart"/>
            <w:r>
              <w:rPr>
                <w:rFonts w:ascii="Arial" w:hAnsi="Arial" w:cs="Arial"/>
                <w:b/>
                <w:bCs/>
                <w:sz w:val="16"/>
                <w:szCs w:val="16"/>
                <w:lang w:val="en-CA"/>
              </w:rPr>
              <w:t>Cefox</w:t>
            </w:r>
            <w:proofErr w:type="spellEnd"/>
          </w:p>
        </w:tc>
        <w:tc>
          <w:tcPr>
            <w:tcW w:w="1166" w:type="dxa"/>
            <w:tcBorders>
              <w:top w:val="inset" w:sz="6" w:space="0" w:color="auto"/>
              <w:left w:val="single" w:sz="4" w:space="0" w:color="auto"/>
              <w:bottom w:val="single" w:sz="4" w:space="0" w:color="auto"/>
            </w:tcBorders>
          </w:tcPr>
          <w:p w14:paraId="27A80BD6" w14:textId="77777777" w:rsidR="000155DA" w:rsidRPr="002070B0" w:rsidRDefault="000155DA" w:rsidP="00AC0BBE">
            <w:pPr>
              <w:pStyle w:val="Body"/>
              <w:jc w:val="center"/>
              <w:rPr>
                <w:rFonts w:ascii="Arial" w:hAnsi="Arial" w:cs="Arial"/>
                <w:b/>
                <w:bCs/>
                <w:sz w:val="16"/>
                <w:szCs w:val="16"/>
                <w:lang w:val="en-CA"/>
              </w:rPr>
            </w:pPr>
            <w:r w:rsidRPr="002070B0">
              <w:rPr>
                <w:rFonts w:ascii="Arial" w:eastAsia="Times New Roman" w:hAnsi="Arial" w:cs="Arial"/>
                <w:b/>
                <w:bCs/>
                <w:sz w:val="16"/>
                <w:szCs w:val="16"/>
                <w:lang w:val="en-CA"/>
              </w:rPr>
              <w:t>MOL</w:t>
            </w:r>
          </w:p>
        </w:tc>
        <w:tc>
          <w:tcPr>
            <w:tcW w:w="1060" w:type="dxa"/>
            <w:tcBorders>
              <w:top w:val="inset" w:sz="6" w:space="0" w:color="auto"/>
              <w:bottom w:val="single" w:sz="4" w:space="0" w:color="auto"/>
            </w:tcBorders>
          </w:tcPr>
          <w:p w14:paraId="74DAD200" w14:textId="77777777" w:rsidR="000155DA" w:rsidRPr="002070B0" w:rsidRDefault="000155DA" w:rsidP="00AC0BBE">
            <w:pPr>
              <w:pStyle w:val="Body"/>
              <w:jc w:val="center"/>
              <w:rPr>
                <w:rFonts w:ascii="Arial" w:hAnsi="Arial" w:cs="Arial"/>
                <w:b/>
                <w:bCs/>
                <w:sz w:val="16"/>
                <w:szCs w:val="16"/>
                <w:lang w:val="en-CA"/>
              </w:rPr>
            </w:pPr>
            <w:r w:rsidRPr="002070B0">
              <w:rPr>
                <w:rFonts w:ascii="Arial" w:hAnsi="Arial" w:cs="Arial"/>
                <w:b/>
                <w:bCs/>
                <w:sz w:val="16"/>
                <w:szCs w:val="16"/>
                <w:lang w:val="en-CA"/>
              </w:rPr>
              <w:t>MOE</w:t>
            </w:r>
          </w:p>
        </w:tc>
        <w:tc>
          <w:tcPr>
            <w:tcW w:w="1166" w:type="dxa"/>
            <w:tcBorders>
              <w:top w:val="inset" w:sz="6" w:space="0" w:color="auto"/>
              <w:bottom w:val="single" w:sz="4" w:space="0" w:color="auto"/>
            </w:tcBorders>
          </w:tcPr>
          <w:p w14:paraId="09B75239" w14:textId="77777777" w:rsidR="000155DA" w:rsidRPr="002070B0" w:rsidRDefault="000155DA" w:rsidP="00AC0BBE">
            <w:pPr>
              <w:pStyle w:val="Body"/>
              <w:jc w:val="center"/>
              <w:rPr>
                <w:rFonts w:ascii="Arial" w:hAnsi="Arial" w:cs="Arial"/>
                <w:b/>
                <w:bCs/>
                <w:sz w:val="16"/>
                <w:szCs w:val="16"/>
                <w:lang w:val="en-CA"/>
              </w:rPr>
            </w:pPr>
            <w:r w:rsidRPr="002070B0">
              <w:rPr>
                <w:rFonts w:ascii="Arial" w:hAnsi="Arial" w:cs="Arial"/>
                <w:b/>
                <w:bCs/>
                <w:sz w:val="16"/>
                <w:szCs w:val="16"/>
                <w:lang w:val="en-CA"/>
              </w:rPr>
              <w:t>MOF</w:t>
            </w:r>
          </w:p>
        </w:tc>
        <w:tc>
          <w:tcPr>
            <w:tcW w:w="1060" w:type="dxa"/>
            <w:tcBorders>
              <w:top w:val="inset" w:sz="6" w:space="0" w:color="auto"/>
              <w:bottom w:val="single" w:sz="4" w:space="0" w:color="auto"/>
            </w:tcBorders>
          </w:tcPr>
          <w:p w14:paraId="58DA10E0" w14:textId="77777777" w:rsidR="000155DA" w:rsidRPr="002070B0" w:rsidRDefault="000155DA" w:rsidP="00AC0BBE">
            <w:pPr>
              <w:pStyle w:val="Body"/>
              <w:jc w:val="center"/>
              <w:rPr>
                <w:rFonts w:ascii="Arial" w:hAnsi="Arial" w:cs="Arial"/>
                <w:b/>
                <w:bCs/>
                <w:sz w:val="16"/>
                <w:szCs w:val="16"/>
                <w:lang w:val="en-CA"/>
              </w:rPr>
            </w:pPr>
            <w:r w:rsidRPr="002070B0">
              <w:rPr>
                <w:rFonts w:ascii="Arial" w:hAnsi="Arial" w:cs="Arial"/>
                <w:b/>
                <w:bCs/>
                <w:sz w:val="16"/>
                <w:szCs w:val="16"/>
                <w:lang w:val="en-CA"/>
              </w:rPr>
              <w:t>SOL</w:t>
            </w:r>
          </w:p>
        </w:tc>
        <w:tc>
          <w:tcPr>
            <w:tcW w:w="1059" w:type="dxa"/>
            <w:tcBorders>
              <w:top w:val="inset" w:sz="6" w:space="0" w:color="auto"/>
              <w:bottom w:val="single" w:sz="4" w:space="0" w:color="auto"/>
            </w:tcBorders>
          </w:tcPr>
          <w:p w14:paraId="40C635BF" w14:textId="77777777" w:rsidR="000155DA" w:rsidRPr="002070B0" w:rsidRDefault="000155DA" w:rsidP="00AC0BBE">
            <w:pPr>
              <w:pStyle w:val="Body"/>
              <w:jc w:val="center"/>
              <w:rPr>
                <w:rFonts w:ascii="Arial" w:hAnsi="Arial" w:cs="Arial"/>
                <w:b/>
                <w:bCs/>
                <w:sz w:val="16"/>
                <w:szCs w:val="16"/>
                <w:lang w:val="en-CA"/>
              </w:rPr>
            </w:pPr>
            <w:r w:rsidRPr="002070B0">
              <w:rPr>
                <w:rFonts w:ascii="Arial" w:hAnsi="Arial" w:cs="Arial"/>
                <w:b/>
                <w:bCs/>
                <w:sz w:val="16"/>
                <w:szCs w:val="16"/>
                <w:lang w:val="en-CA"/>
              </w:rPr>
              <w:t>SOE</w:t>
            </w:r>
          </w:p>
        </w:tc>
        <w:tc>
          <w:tcPr>
            <w:tcW w:w="1166" w:type="dxa"/>
            <w:tcBorders>
              <w:top w:val="inset" w:sz="6" w:space="0" w:color="auto"/>
              <w:bottom w:val="single" w:sz="4" w:space="0" w:color="auto"/>
            </w:tcBorders>
          </w:tcPr>
          <w:p w14:paraId="0F08A819" w14:textId="77777777" w:rsidR="000155DA" w:rsidRPr="002070B0" w:rsidRDefault="000155DA" w:rsidP="00AC0BBE">
            <w:pPr>
              <w:pStyle w:val="Body"/>
              <w:jc w:val="center"/>
              <w:rPr>
                <w:rFonts w:ascii="Arial" w:hAnsi="Arial" w:cs="Arial"/>
                <w:b/>
                <w:bCs/>
                <w:sz w:val="16"/>
                <w:szCs w:val="16"/>
                <w:lang w:val="en-CA"/>
              </w:rPr>
            </w:pPr>
            <w:r w:rsidRPr="002070B0">
              <w:rPr>
                <w:rFonts w:ascii="Arial" w:hAnsi="Arial" w:cs="Arial"/>
                <w:b/>
                <w:bCs/>
                <w:sz w:val="16"/>
                <w:szCs w:val="16"/>
                <w:lang w:val="en-CA"/>
              </w:rPr>
              <w:t>SOC</w:t>
            </w:r>
          </w:p>
        </w:tc>
        <w:tc>
          <w:tcPr>
            <w:tcW w:w="1064" w:type="dxa"/>
            <w:tcBorders>
              <w:top w:val="inset" w:sz="6" w:space="0" w:color="auto"/>
              <w:bottom w:val="single" w:sz="4" w:space="0" w:color="auto"/>
            </w:tcBorders>
          </w:tcPr>
          <w:p w14:paraId="5A25740A" w14:textId="77777777" w:rsidR="000155DA" w:rsidRPr="002070B0" w:rsidRDefault="000155DA" w:rsidP="00AC0BBE">
            <w:pPr>
              <w:pStyle w:val="Body"/>
              <w:jc w:val="center"/>
              <w:rPr>
                <w:rFonts w:ascii="Arial" w:hAnsi="Arial" w:cs="Arial"/>
                <w:b/>
                <w:bCs/>
                <w:sz w:val="16"/>
                <w:szCs w:val="16"/>
                <w:lang w:val="en-CA"/>
              </w:rPr>
            </w:pPr>
            <w:r w:rsidRPr="002070B0">
              <w:rPr>
                <w:rFonts w:ascii="Arial" w:hAnsi="Arial" w:cs="Arial"/>
                <w:b/>
                <w:bCs/>
                <w:sz w:val="16"/>
                <w:szCs w:val="16"/>
                <w:lang w:val="en-CA"/>
              </w:rPr>
              <w:t>SOG</w:t>
            </w:r>
          </w:p>
        </w:tc>
      </w:tr>
      <w:tr w:rsidR="000155DA" w:rsidRPr="002070B0" w14:paraId="1976D46B" w14:textId="77777777" w:rsidTr="00AC0BBE">
        <w:trPr>
          <w:trHeight w:val="380"/>
          <w:jc w:val="center"/>
        </w:trPr>
        <w:tc>
          <w:tcPr>
            <w:tcW w:w="1026" w:type="dxa"/>
            <w:tcBorders>
              <w:top w:val="single" w:sz="4" w:space="0" w:color="auto"/>
            </w:tcBorders>
          </w:tcPr>
          <w:p w14:paraId="0A805DAB" w14:textId="77777777" w:rsidR="000155DA" w:rsidRPr="002070B0" w:rsidRDefault="000155DA" w:rsidP="000155DA">
            <w:pPr>
              <w:pStyle w:val="Body"/>
              <w:rPr>
                <w:rFonts w:ascii="Arial" w:hAnsi="Arial" w:cs="Arial"/>
                <w:b/>
                <w:bCs/>
                <w:sz w:val="16"/>
                <w:szCs w:val="16"/>
                <w:lang w:val="en-CA"/>
              </w:rPr>
            </w:pPr>
            <w:r w:rsidRPr="002070B0">
              <w:rPr>
                <w:rFonts w:ascii="Arial" w:hAnsi="Arial" w:cs="Arial"/>
                <w:b/>
                <w:bCs/>
                <w:sz w:val="16"/>
                <w:szCs w:val="16"/>
                <w:lang w:val="en-CA"/>
              </w:rPr>
              <w:t>ATCC</w:t>
            </w:r>
          </w:p>
        </w:tc>
        <w:tc>
          <w:tcPr>
            <w:tcW w:w="1166" w:type="dxa"/>
            <w:tcBorders>
              <w:top w:val="single" w:sz="4" w:space="0" w:color="auto"/>
            </w:tcBorders>
          </w:tcPr>
          <w:p w14:paraId="799616C0" w14:textId="6833B7AB" w:rsidR="000155DA" w:rsidRPr="002070B0" w:rsidRDefault="008E025A" w:rsidP="008E025A">
            <w:pPr>
              <w:pStyle w:val="Body"/>
              <w:jc w:val="center"/>
              <w:rPr>
                <w:rFonts w:ascii="Arial" w:hAnsi="Arial" w:cs="Arial"/>
                <w:bCs/>
                <w:sz w:val="16"/>
                <w:szCs w:val="16"/>
                <w:lang w:val="en-CA"/>
              </w:rPr>
            </w:pPr>
            <w:r>
              <w:rPr>
                <w:rFonts w:ascii="Arial" w:hAnsi="Arial" w:cs="Arial"/>
                <w:bCs/>
                <w:sz w:val="16"/>
                <w:szCs w:val="16"/>
                <w:lang w:val="en-CA"/>
              </w:rPr>
              <w:t>27</w:t>
            </w:r>
            <w:r w:rsidR="000155DA" w:rsidRPr="002070B0">
              <w:rPr>
                <w:rFonts w:ascii="Arial" w:hAnsi="Arial" w:cs="Arial"/>
                <w:bCs/>
                <w:sz w:val="16"/>
                <w:szCs w:val="16"/>
                <w:lang w:val="en-CA"/>
              </w:rPr>
              <w:t>.</w:t>
            </w:r>
            <w:r>
              <w:rPr>
                <w:rFonts w:ascii="Arial" w:hAnsi="Arial" w:cs="Arial"/>
                <w:bCs/>
                <w:sz w:val="16"/>
                <w:szCs w:val="16"/>
                <w:lang w:val="en-CA"/>
              </w:rPr>
              <w:t>76</w:t>
            </w:r>
            <w:r w:rsidR="000155DA" w:rsidRPr="002070B0">
              <w:rPr>
                <w:rFonts w:ascii="Arial" w:hAnsi="Arial" w:cs="Arial"/>
                <w:bCs/>
                <w:sz w:val="16"/>
                <w:szCs w:val="16"/>
                <w:lang w:val="en-CA"/>
              </w:rPr>
              <w:t xml:space="preserve"> ± 3.05</w:t>
            </w:r>
          </w:p>
        </w:tc>
        <w:tc>
          <w:tcPr>
            <w:tcW w:w="1166" w:type="dxa"/>
            <w:tcBorders>
              <w:top w:val="single" w:sz="4" w:space="0" w:color="auto"/>
            </w:tcBorders>
          </w:tcPr>
          <w:p w14:paraId="0DF3B558" w14:textId="77777777" w:rsidR="000155DA" w:rsidRPr="002070B0" w:rsidRDefault="000155DA" w:rsidP="00AC0BBE">
            <w:pPr>
              <w:pStyle w:val="Body"/>
              <w:jc w:val="center"/>
              <w:rPr>
                <w:rFonts w:ascii="Arial" w:hAnsi="Arial" w:cs="Arial"/>
                <w:bCs/>
                <w:sz w:val="16"/>
                <w:szCs w:val="16"/>
                <w:lang w:val="en-CA"/>
              </w:rPr>
            </w:pPr>
            <w:r w:rsidRPr="002070B0">
              <w:rPr>
                <w:rFonts w:ascii="Arial" w:hAnsi="Arial" w:cs="Arial"/>
                <w:bCs/>
                <w:sz w:val="16"/>
                <w:szCs w:val="16"/>
                <w:lang w:val="en-CA"/>
              </w:rPr>
              <w:t>11.33 ± 0.57</w:t>
            </w:r>
          </w:p>
        </w:tc>
        <w:tc>
          <w:tcPr>
            <w:tcW w:w="1060" w:type="dxa"/>
            <w:tcBorders>
              <w:top w:val="single" w:sz="4" w:space="0" w:color="auto"/>
            </w:tcBorders>
          </w:tcPr>
          <w:p w14:paraId="5980B288" w14:textId="77777777" w:rsidR="000155DA" w:rsidRPr="002070B0" w:rsidRDefault="000155DA" w:rsidP="00AC0BBE">
            <w:pPr>
              <w:pStyle w:val="Body"/>
              <w:jc w:val="center"/>
              <w:rPr>
                <w:rFonts w:ascii="Arial" w:hAnsi="Arial" w:cs="Arial"/>
                <w:bCs/>
                <w:sz w:val="16"/>
                <w:szCs w:val="16"/>
                <w:lang w:val="en-CA"/>
              </w:rPr>
            </w:pPr>
            <w:r w:rsidRPr="002070B0">
              <w:rPr>
                <w:rFonts w:ascii="Arial" w:hAnsi="Arial" w:cs="Arial"/>
                <w:bCs/>
                <w:sz w:val="16"/>
                <w:szCs w:val="16"/>
                <w:lang w:val="en-CA"/>
              </w:rPr>
              <w:t>7.67 ± 0.58</w:t>
            </w:r>
          </w:p>
        </w:tc>
        <w:tc>
          <w:tcPr>
            <w:tcW w:w="1166" w:type="dxa"/>
            <w:tcBorders>
              <w:top w:val="single" w:sz="4" w:space="0" w:color="auto"/>
            </w:tcBorders>
          </w:tcPr>
          <w:p w14:paraId="394DE2C6" w14:textId="77777777" w:rsidR="000155DA" w:rsidRPr="002070B0" w:rsidRDefault="000155DA" w:rsidP="00AC0BBE">
            <w:pPr>
              <w:pStyle w:val="Body"/>
              <w:jc w:val="center"/>
              <w:rPr>
                <w:rFonts w:ascii="Arial" w:hAnsi="Arial" w:cs="Arial"/>
                <w:bCs/>
                <w:sz w:val="16"/>
                <w:szCs w:val="16"/>
                <w:lang w:val="en-CA"/>
              </w:rPr>
            </w:pPr>
            <w:r w:rsidRPr="002070B0">
              <w:rPr>
                <w:rFonts w:ascii="Arial" w:hAnsi="Arial" w:cs="Arial"/>
                <w:bCs/>
                <w:sz w:val="16"/>
                <w:szCs w:val="16"/>
                <w:lang w:val="en-CA"/>
              </w:rPr>
              <w:t>13.67 ± 0.57</w:t>
            </w:r>
          </w:p>
        </w:tc>
        <w:tc>
          <w:tcPr>
            <w:tcW w:w="1060" w:type="dxa"/>
            <w:tcBorders>
              <w:top w:val="single" w:sz="4" w:space="0" w:color="auto"/>
            </w:tcBorders>
          </w:tcPr>
          <w:p w14:paraId="7C0197D3" w14:textId="77777777" w:rsidR="000155DA" w:rsidRPr="002070B0" w:rsidRDefault="000155DA" w:rsidP="00AC0BBE">
            <w:pPr>
              <w:pStyle w:val="Body"/>
              <w:jc w:val="center"/>
              <w:rPr>
                <w:rFonts w:ascii="Arial" w:hAnsi="Arial" w:cs="Arial"/>
                <w:bCs/>
                <w:sz w:val="16"/>
                <w:szCs w:val="16"/>
                <w:lang w:val="en-CA"/>
              </w:rPr>
            </w:pPr>
            <w:r w:rsidRPr="002070B0">
              <w:rPr>
                <w:rFonts w:ascii="Arial" w:hAnsi="Arial" w:cs="Arial"/>
                <w:bCs/>
                <w:sz w:val="16"/>
                <w:szCs w:val="16"/>
                <w:lang w:val="en-CA"/>
              </w:rPr>
              <w:t>8.33 ± 0.58</w:t>
            </w:r>
          </w:p>
        </w:tc>
        <w:tc>
          <w:tcPr>
            <w:tcW w:w="1059" w:type="dxa"/>
            <w:tcBorders>
              <w:top w:val="single" w:sz="4" w:space="0" w:color="auto"/>
            </w:tcBorders>
          </w:tcPr>
          <w:p w14:paraId="642A67F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66" w:type="dxa"/>
            <w:tcBorders>
              <w:top w:val="single" w:sz="4" w:space="0" w:color="auto"/>
            </w:tcBorders>
          </w:tcPr>
          <w:p w14:paraId="49E2972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c>
          <w:tcPr>
            <w:tcW w:w="1064" w:type="dxa"/>
            <w:tcBorders>
              <w:top w:val="single" w:sz="4" w:space="0" w:color="auto"/>
            </w:tcBorders>
          </w:tcPr>
          <w:p w14:paraId="14CD0CF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8.67 ± 0.57</w:t>
            </w:r>
          </w:p>
        </w:tc>
      </w:tr>
      <w:tr w:rsidR="000155DA" w:rsidRPr="002070B0" w14:paraId="1927CC5B" w14:textId="77777777" w:rsidTr="00AC0BBE">
        <w:trPr>
          <w:trHeight w:val="404"/>
          <w:jc w:val="center"/>
        </w:trPr>
        <w:tc>
          <w:tcPr>
            <w:tcW w:w="1026" w:type="dxa"/>
          </w:tcPr>
          <w:p w14:paraId="7EBFD64C"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S5</w:t>
            </w:r>
          </w:p>
        </w:tc>
        <w:tc>
          <w:tcPr>
            <w:tcW w:w="1166" w:type="dxa"/>
          </w:tcPr>
          <w:p w14:paraId="208D221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11.33 ± 0.57</w:t>
            </w:r>
          </w:p>
        </w:tc>
        <w:tc>
          <w:tcPr>
            <w:tcW w:w="1166" w:type="dxa"/>
          </w:tcPr>
          <w:p w14:paraId="616279C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8.00 ± 1.00</w:t>
            </w:r>
          </w:p>
        </w:tc>
        <w:tc>
          <w:tcPr>
            <w:tcW w:w="1060" w:type="dxa"/>
          </w:tcPr>
          <w:p w14:paraId="19E7309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55410F5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12.33 ± 1.16</w:t>
            </w:r>
          </w:p>
        </w:tc>
        <w:tc>
          <w:tcPr>
            <w:tcW w:w="1060" w:type="dxa"/>
          </w:tcPr>
          <w:p w14:paraId="3BF7473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59" w:type="dxa"/>
          </w:tcPr>
          <w:p w14:paraId="1872E59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66" w:type="dxa"/>
          </w:tcPr>
          <w:p w14:paraId="0ADD991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064" w:type="dxa"/>
          </w:tcPr>
          <w:p w14:paraId="7246975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0.58</w:t>
            </w:r>
          </w:p>
        </w:tc>
      </w:tr>
      <w:tr w:rsidR="000155DA" w:rsidRPr="002070B0" w14:paraId="2BBF42C1" w14:textId="77777777" w:rsidTr="00AC0BBE">
        <w:trPr>
          <w:trHeight w:val="380"/>
          <w:jc w:val="center"/>
        </w:trPr>
        <w:tc>
          <w:tcPr>
            <w:tcW w:w="1026" w:type="dxa"/>
          </w:tcPr>
          <w:p w14:paraId="26D76EF1"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S14</w:t>
            </w:r>
          </w:p>
        </w:tc>
        <w:tc>
          <w:tcPr>
            <w:tcW w:w="1166" w:type="dxa"/>
          </w:tcPr>
          <w:p w14:paraId="31C7C9A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10.67 ± 4.16</w:t>
            </w:r>
          </w:p>
        </w:tc>
        <w:tc>
          <w:tcPr>
            <w:tcW w:w="1166" w:type="dxa"/>
          </w:tcPr>
          <w:p w14:paraId="588FC4B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8.67 ± 0.57</w:t>
            </w:r>
          </w:p>
        </w:tc>
        <w:tc>
          <w:tcPr>
            <w:tcW w:w="1060" w:type="dxa"/>
          </w:tcPr>
          <w:p w14:paraId="1E79768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34C58DD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11.33 ± 1.16</w:t>
            </w:r>
          </w:p>
        </w:tc>
        <w:tc>
          <w:tcPr>
            <w:tcW w:w="1060" w:type="dxa"/>
          </w:tcPr>
          <w:p w14:paraId="19DF0E5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059" w:type="dxa"/>
          </w:tcPr>
          <w:p w14:paraId="1D35803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66" w:type="dxa"/>
          </w:tcPr>
          <w:p w14:paraId="28846D5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64" w:type="dxa"/>
          </w:tcPr>
          <w:p w14:paraId="7B634E4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0.58</w:t>
            </w:r>
          </w:p>
        </w:tc>
      </w:tr>
      <w:tr w:rsidR="000155DA" w:rsidRPr="002070B0" w14:paraId="438823B3" w14:textId="77777777" w:rsidTr="00AC0BBE">
        <w:trPr>
          <w:trHeight w:val="404"/>
          <w:jc w:val="center"/>
        </w:trPr>
        <w:tc>
          <w:tcPr>
            <w:tcW w:w="1026" w:type="dxa"/>
          </w:tcPr>
          <w:p w14:paraId="63709FE2"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S16</w:t>
            </w:r>
          </w:p>
        </w:tc>
        <w:tc>
          <w:tcPr>
            <w:tcW w:w="1166" w:type="dxa"/>
          </w:tcPr>
          <w:p w14:paraId="72B27CA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10.67 ± 4.16</w:t>
            </w:r>
          </w:p>
        </w:tc>
        <w:tc>
          <w:tcPr>
            <w:tcW w:w="1166" w:type="dxa"/>
          </w:tcPr>
          <w:p w14:paraId="44655E4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8.00 ± 0.00</w:t>
            </w:r>
          </w:p>
        </w:tc>
        <w:tc>
          <w:tcPr>
            <w:tcW w:w="1060" w:type="dxa"/>
          </w:tcPr>
          <w:p w14:paraId="7FDD84A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7036FED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10.67 ± 0.58</w:t>
            </w:r>
          </w:p>
        </w:tc>
        <w:tc>
          <w:tcPr>
            <w:tcW w:w="1060" w:type="dxa"/>
          </w:tcPr>
          <w:p w14:paraId="08DB67D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059" w:type="dxa"/>
          </w:tcPr>
          <w:p w14:paraId="642B153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66" w:type="dxa"/>
          </w:tcPr>
          <w:p w14:paraId="63DAD49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64" w:type="dxa"/>
          </w:tcPr>
          <w:p w14:paraId="5D19D83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r>
      <w:tr w:rsidR="000155DA" w:rsidRPr="002070B0" w14:paraId="14105DEB" w14:textId="77777777" w:rsidTr="00AC0BBE">
        <w:trPr>
          <w:trHeight w:val="404"/>
          <w:jc w:val="center"/>
        </w:trPr>
        <w:tc>
          <w:tcPr>
            <w:tcW w:w="1026" w:type="dxa"/>
          </w:tcPr>
          <w:p w14:paraId="58CE5794"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S43</w:t>
            </w:r>
          </w:p>
        </w:tc>
        <w:tc>
          <w:tcPr>
            <w:tcW w:w="1166" w:type="dxa"/>
          </w:tcPr>
          <w:p w14:paraId="7F02A28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11.00 ± 4.36</w:t>
            </w:r>
          </w:p>
        </w:tc>
        <w:tc>
          <w:tcPr>
            <w:tcW w:w="1166" w:type="dxa"/>
          </w:tcPr>
          <w:p w14:paraId="2322061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8.67 ± 0.58</w:t>
            </w:r>
          </w:p>
        </w:tc>
        <w:tc>
          <w:tcPr>
            <w:tcW w:w="1060" w:type="dxa"/>
          </w:tcPr>
          <w:p w14:paraId="6B513DC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66" w:type="dxa"/>
          </w:tcPr>
          <w:p w14:paraId="26BB104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10.67 ± 0.57</w:t>
            </w:r>
          </w:p>
        </w:tc>
        <w:tc>
          <w:tcPr>
            <w:tcW w:w="1060" w:type="dxa"/>
          </w:tcPr>
          <w:p w14:paraId="716CFEC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59" w:type="dxa"/>
          </w:tcPr>
          <w:p w14:paraId="7D765FC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66" w:type="dxa"/>
          </w:tcPr>
          <w:p w14:paraId="4145F0B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64" w:type="dxa"/>
          </w:tcPr>
          <w:p w14:paraId="3331AEE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r>
      <w:tr w:rsidR="000155DA" w:rsidRPr="002070B0" w14:paraId="595FF237" w14:textId="77777777" w:rsidTr="00AC0BBE">
        <w:trPr>
          <w:trHeight w:val="380"/>
          <w:jc w:val="center"/>
        </w:trPr>
        <w:tc>
          <w:tcPr>
            <w:tcW w:w="1026" w:type="dxa"/>
          </w:tcPr>
          <w:p w14:paraId="52EFAD1A"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R4</w:t>
            </w:r>
          </w:p>
        </w:tc>
        <w:tc>
          <w:tcPr>
            <w:tcW w:w="1166" w:type="dxa"/>
          </w:tcPr>
          <w:p w14:paraId="4FD0A92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2.08</w:t>
            </w:r>
          </w:p>
        </w:tc>
        <w:tc>
          <w:tcPr>
            <w:tcW w:w="1166" w:type="dxa"/>
          </w:tcPr>
          <w:p w14:paraId="12F5BD1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9.67 ± 1.16</w:t>
            </w:r>
          </w:p>
        </w:tc>
        <w:tc>
          <w:tcPr>
            <w:tcW w:w="1060" w:type="dxa"/>
          </w:tcPr>
          <w:p w14:paraId="7864149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6.67 ± 0.57</w:t>
            </w:r>
          </w:p>
        </w:tc>
        <w:tc>
          <w:tcPr>
            <w:tcW w:w="1166" w:type="dxa"/>
          </w:tcPr>
          <w:p w14:paraId="3276BAA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9.67 ± 0.57</w:t>
            </w:r>
          </w:p>
        </w:tc>
        <w:tc>
          <w:tcPr>
            <w:tcW w:w="1060" w:type="dxa"/>
          </w:tcPr>
          <w:p w14:paraId="0FE34B6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059" w:type="dxa"/>
          </w:tcPr>
          <w:p w14:paraId="1DD03A6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66" w:type="dxa"/>
          </w:tcPr>
          <w:p w14:paraId="585D840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064" w:type="dxa"/>
          </w:tcPr>
          <w:p w14:paraId="169E7E4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r>
      <w:tr w:rsidR="000155DA" w:rsidRPr="002070B0" w14:paraId="3170E698" w14:textId="77777777" w:rsidTr="00AC0BBE">
        <w:trPr>
          <w:trHeight w:val="404"/>
          <w:jc w:val="center"/>
        </w:trPr>
        <w:tc>
          <w:tcPr>
            <w:tcW w:w="1026" w:type="dxa"/>
          </w:tcPr>
          <w:p w14:paraId="50DC0232"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R20</w:t>
            </w:r>
          </w:p>
        </w:tc>
        <w:tc>
          <w:tcPr>
            <w:tcW w:w="1166" w:type="dxa"/>
          </w:tcPr>
          <w:p w14:paraId="234D065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5CF8163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060" w:type="dxa"/>
          </w:tcPr>
          <w:p w14:paraId="3478E5B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6.67 ± 0.58</w:t>
            </w:r>
          </w:p>
        </w:tc>
        <w:tc>
          <w:tcPr>
            <w:tcW w:w="1166" w:type="dxa"/>
          </w:tcPr>
          <w:p w14:paraId="1D117DF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9.67 ± 0.58</w:t>
            </w:r>
          </w:p>
        </w:tc>
        <w:tc>
          <w:tcPr>
            <w:tcW w:w="1060" w:type="dxa"/>
          </w:tcPr>
          <w:p w14:paraId="431B2AF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59" w:type="dxa"/>
          </w:tcPr>
          <w:p w14:paraId="044B968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166" w:type="dxa"/>
          </w:tcPr>
          <w:p w14:paraId="62DA823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64" w:type="dxa"/>
          </w:tcPr>
          <w:p w14:paraId="73C3967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r>
      <w:tr w:rsidR="000155DA" w:rsidRPr="002070B0" w14:paraId="0E332563" w14:textId="77777777" w:rsidTr="00AC0BBE">
        <w:trPr>
          <w:trHeight w:val="380"/>
          <w:jc w:val="center"/>
        </w:trPr>
        <w:tc>
          <w:tcPr>
            <w:tcW w:w="1026" w:type="dxa"/>
          </w:tcPr>
          <w:p w14:paraId="534B1D13"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R23</w:t>
            </w:r>
          </w:p>
        </w:tc>
        <w:tc>
          <w:tcPr>
            <w:tcW w:w="1166" w:type="dxa"/>
          </w:tcPr>
          <w:p w14:paraId="03A7432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2.89</w:t>
            </w:r>
          </w:p>
        </w:tc>
        <w:tc>
          <w:tcPr>
            <w:tcW w:w="1166" w:type="dxa"/>
          </w:tcPr>
          <w:p w14:paraId="42C84CE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c>
          <w:tcPr>
            <w:tcW w:w="1060" w:type="dxa"/>
          </w:tcPr>
          <w:p w14:paraId="193AAE3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7B3ADA6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11.00 ± 1.00</w:t>
            </w:r>
          </w:p>
        </w:tc>
        <w:tc>
          <w:tcPr>
            <w:tcW w:w="1060" w:type="dxa"/>
          </w:tcPr>
          <w:p w14:paraId="1BD8D05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c>
          <w:tcPr>
            <w:tcW w:w="1059" w:type="dxa"/>
          </w:tcPr>
          <w:p w14:paraId="67BDABC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6.67 ± 0.58</w:t>
            </w:r>
          </w:p>
        </w:tc>
        <w:tc>
          <w:tcPr>
            <w:tcW w:w="1166" w:type="dxa"/>
          </w:tcPr>
          <w:p w14:paraId="72744CD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c>
          <w:tcPr>
            <w:tcW w:w="1064" w:type="dxa"/>
          </w:tcPr>
          <w:p w14:paraId="72B4692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r>
      <w:tr w:rsidR="000155DA" w:rsidRPr="002070B0" w14:paraId="586DD98E" w14:textId="77777777" w:rsidTr="00AC0BBE">
        <w:trPr>
          <w:trHeight w:val="404"/>
          <w:jc w:val="center"/>
        </w:trPr>
        <w:tc>
          <w:tcPr>
            <w:tcW w:w="1026" w:type="dxa"/>
          </w:tcPr>
          <w:p w14:paraId="5B2DF232"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R26</w:t>
            </w:r>
          </w:p>
        </w:tc>
        <w:tc>
          <w:tcPr>
            <w:tcW w:w="1166" w:type="dxa"/>
          </w:tcPr>
          <w:p w14:paraId="0CB160F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2.08</w:t>
            </w:r>
          </w:p>
        </w:tc>
        <w:tc>
          <w:tcPr>
            <w:tcW w:w="1166" w:type="dxa"/>
          </w:tcPr>
          <w:p w14:paraId="0BE11CA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8.00 ± 0.00</w:t>
            </w:r>
          </w:p>
        </w:tc>
        <w:tc>
          <w:tcPr>
            <w:tcW w:w="1060" w:type="dxa"/>
          </w:tcPr>
          <w:p w14:paraId="5613F18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6.67 ± 0.57</w:t>
            </w:r>
          </w:p>
        </w:tc>
        <w:tc>
          <w:tcPr>
            <w:tcW w:w="1166" w:type="dxa"/>
          </w:tcPr>
          <w:p w14:paraId="5624B15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10.33 ± 1.16</w:t>
            </w:r>
          </w:p>
        </w:tc>
        <w:tc>
          <w:tcPr>
            <w:tcW w:w="1060" w:type="dxa"/>
          </w:tcPr>
          <w:p w14:paraId="58B50BE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059" w:type="dxa"/>
          </w:tcPr>
          <w:p w14:paraId="3496BC4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166" w:type="dxa"/>
          </w:tcPr>
          <w:p w14:paraId="15C24A2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64" w:type="dxa"/>
          </w:tcPr>
          <w:p w14:paraId="59A2DFB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r>
      <w:tr w:rsidR="000155DA" w:rsidRPr="002070B0" w14:paraId="217D103B" w14:textId="77777777" w:rsidTr="00AC0BBE">
        <w:trPr>
          <w:trHeight w:val="380"/>
          <w:jc w:val="center"/>
        </w:trPr>
        <w:tc>
          <w:tcPr>
            <w:tcW w:w="1026" w:type="dxa"/>
          </w:tcPr>
          <w:p w14:paraId="09400783"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R28</w:t>
            </w:r>
          </w:p>
        </w:tc>
        <w:tc>
          <w:tcPr>
            <w:tcW w:w="1166" w:type="dxa"/>
          </w:tcPr>
          <w:p w14:paraId="786CE7C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2.31</w:t>
            </w:r>
          </w:p>
        </w:tc>
        <w:tc>
          <w:tcPr>
            <w:tcW w:w="1166" w:type="dxa"/>
          </w:tcPr>
          <w:p w14:paraId="0504D08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c>
          <w:tcPr>
            <w:tcW w:w="1060" w:type="dxa"/>
          </w:tcPr>
          <w:p w14:paraId="24C0A20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166" w:type="dxa"/>
          </w:tcPr>
          <w:p w14:paraId="0D1508B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10.33 ± 0.58</w:t>
            </w:r>
          </w:p>
        </w:tc>
        <w:tc>
          <w:tcPr>
            <w:tcW w:w="1060" w:type="dxa"/>
          </w:tcPr>
          <w:p w14:paraId="7AFB247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59" w:type="dxa"/>
          </w:tcPr>
          <w:p w14:paraId="0FB31C5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66" w:type="dxa"/>
          </w:tcPr>
          <w:p w14:paraId="6551E15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64" w:type="dxa"/>
          </w:tcPr>
          <w:p w14:paraId="113E638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r>
      <w:tr w:rsidR="000155DA" w:rsidRPr="002070B0" w14:paraId="4906DAE3" w14:textId="77777777" w:rsidTr="00AC0BBE">
        <w:trPr>
          <w:trHeight w:val="404"/>
          <w:jc w:val="center"/>
        </w:trPr>
        <w:tc>
          <w:tcPr>
            <w:tcW w:w="1026" w:type="dxa"/>
          </w:tcPr>
          <w:p w14:paraId="55E46746"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R29</w:t>
            </w:r>
          </w:p>
        </w:tc>
        <w:tc>
          <w:tcPr>
            <w:tcW w:w="1166" w:type="dxa"/>
          </w:tcPr>
          <w:p w14:paraId="365AB8F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517732C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8.67 ± 2.08</w:t>
            </w:r>
          </w:p>
        </w:tc>
        <w:tc>
          <w:tcPr>
            <w:tcW w:w="1060" w:type="dxa"/>
          </w:tcPr>
          <w:p w14:paraId="64E3BB9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0FA115C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13.00 ± 1.00</w:t>
            </w:r>
          </w:p>
        </w:tc>
        <w:tc>
          <w:tcPr>
            <w:tcW w:w="1060" w:type="dxa"/>
          </w:tcPr>
          <w:p w14:paraId="31CE5A4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059" w:type="dxa"/>
          </w:tcPr>
          <w:p w14:paraId="546A127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66" w:type="dxa"/>
          </w:tcPr>
          <w:p w14:paraId="0453FDD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0.578</w:t>
            </w:r>
          </w:p>
        </w:tc>
        <w:tc>
          <w:tcPr>
            <w:tcW w:w="1064" w:type="dxa"/>
          </w:tcPr>
          <w:p w14:paraId="253DA59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r>
      <w:tr w:rsidR="000155DA" w:rsidRPr="002070B0" w14:paraId="4BF8196A" w14:textId="77777777" w:rsidTr="00AC0BBE">
        <w:trPr>
          <w:trHeight w:val="380"/>
          <w:jc w:val="center"/>
        </w:trPr>
        <w:tc>
          <w:tcPr>
            <w:tcW w:w="1026" w:type="dxa"/>
          </w:tcPr>
          <w:p w14:paraId="27081D6B"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R32</w:t>
            </w:r>
          </w:p>
        </w:tc>
        <w:tc>
          <w:tcPr>
            <w:tcW w:w="1166" w:type="dxa"/>
          </w:tcPr>
          <w:p w14:paraId="7D5D5B5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8.67 ± 0.57</w:t>
            </w:r>
          </w:p>
        </w:tc>
        <w:tc>
          <w:tcPr>
            <w:tcW w:w="1166" w:type="dxa"/>
          </w:tcPr>
          <w:p w14:paraId="018752F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10.00 ± 0.00</w:t>
            </w:r>
          </w:p>
        </w:tc>
        <w:tc>
          <w:tcPr>
            <w:tcW w:w="1060" w:type="dxa"/>
          </w:tcPr>
          <w:p w14:paraId="3F87509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452C39F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12.00 ± 0.00</w:t>
            </w:r>
          </w:p>
        </w:tc>
        <w:tc>
          <w:tcPr>
            <w:tcW w:w="1060" w:type="dxa"/>
          </w:tcPr>
          <w:p w14:paraId="4CB81D4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c>
          <w:tcPr>
            <w:tcW w:w="1059" w:type="dxa"/>
          </w:tcPr>
          <w:p w14:paraId="4E49271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66" w:type="dxa"/>
          </w:tcPr>
          <w:p w14:paraId="676E149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64" w:type="dxa"/>
          </w:tcPr>
          <w:p w14:paraId="0519DB2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r>
      <w:tr w:rsidR="000155DA" w:rsidRPr="002070B0" w14:paraId="0F7D4182" w14:textId="77777777" w:rsidTr="00AC0BBE">
        <w:trPr>
          <w:trHeight w:val="404"/>
          <w:jc w:val="center"/>
        </w:trPr>
        <w:tc>
          <w:tcPr>
            <w:tcW w:w="1026" w:type="dxa"/>
          </w:tcPr>
          <w:p w14:paraId="07F3D998"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R39</w:t>
            </w:r>
          </w:p>
        </w:tc>
        <w:tc>
          <w:tcPr>
            <w:tcW w:w="1166" w:type="dxa"/>
          </w:tcPr>
          <w:p w14:paraId="30EF46C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8.67 ± 4.62</w:t>
            </w:r>
          </w:p>
        </w:tc>
        <w:tc>
          <w:tcPr>
            <w:tcW w:w="1166" w:type="dxa"/>
          </w:tcPr>
          <w:p w14:paraId="667B20B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8.00 ± 1.00</w:t>
            </w:r>
          </w:p>
        </w:tc>
        <w:tc>
          <w:tcPr>
            <w:tcW w:w="1060" w:type="dxa"/>
          </w:tcPr>
          <w:p w14:paraId="1CA350A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6.67 ± 0.57</w:t>
            </w:r>
          </w:p>
        </w:tc>
        <w:tc>
          <w:tcPr>
            <w:tcW w:w="1166" w:type="dxa"/>
          </w:tcPr>
          <w:p w14:paraId="405991F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10.67 ± 0.57</w:t>
            </w:r>
          </w:p>
        </w:tc>
        <w:tc>
          <w:tcPr>
            <w:tcW w:w="1060" w:type="dxa"/>
          </w:tcPr>
          <w:p w14:paraId="4740E01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c>
          <w:tcPr>
            <w:tcW w:w="1059" w:type="dxa"/>
          </w:tcPr>
          <w:p w14:paraId="1EE25AE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66" w:type="dxa"/>
          </w:tcPr>
          <w:p w14:paraId="6CC71E3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064" w:type="dxa"/>
          </w:tcPr>
          <w:p w14:paraId="2DE0432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r>
      <w:tr w:rsidR="000155DA" w:rsidRPr="002070B0" w14:paraId="22E5094A" w14:textId="77777777" w:rsidTr="00AC0BBE">
        <w:trPr>
          <w:trHeight w:val="380"/>
          <w:jc w:val="center"/>
        </w:trPr>
        <w:tc>
          <w:tcPr>
            <w:tcW w:w="1026" w:type="dxa"/>
          </w:tcPr>
          <w:p w14:paraId="5346C1E3"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R40</w:t>
            </w:r>
          </w:p>
        </w:tc>
        <w:tc>
          <w:tcPr>
            <w:tcW w:w="1166" w:type="dxa"/>
          </w:tcPr>
          <w:p w14:paraId="5C88FB0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0E12318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10.00 ± 1.00</w:t>
            </w:r>
          </w:p>
        </w:tc>
        <w:tc>
          <w:tcPr>
            <w:tcW w:w="1060" w:type="dxa"/>
          </w:tcPr>
          <w:p w14:paraId="6B02CB8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6.67 ± 0.57</w:t>
            </w:r>
          </w:p>
        </w:tc>
        <w:tc>
          <w:tcPr>
            <w:tcW w:w="1166" w:type="dxa"/>
          </w:tcPr>
          <w:p w14:paraId="6547D35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12.00 ± 2.00</w:t>
            </w:r>
          </w:p>
        </w:tc>
        <w:tc>
          <w:tcPr>
            <w:tcW w:w="1060" w:type="dxa"/>
          </w:tcPr>
          <w:p w14:paraId="0F827DE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59" w:type="dxa"/>
          </w:tcPr>
          <w:p w14:paraId="1C24D89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66" w:type="dxa"/>
          </w:tcPr>
          <w:p w14:paraId="4C95F23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064" w:type="dxa"/>
          </w:tcPr>
          <w:p w14:paraId="2F7B291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r>
      <w:tr w:rsidR="000155DA" w:rsidRPr="002070B0" w14:paraId="2F705738" w14:textId="77777777" w:rsidTr="00AC0BBE">
        <w:trPr>
          <w:trHeight w:val="404"/>
          <w:jc w:val="center"/>
        </w:trPr>
        <w:tc>
          <w:tcPr>
            <w:tcW w:w="1026" w:type="dxa"/>
            <w:tcBorders>
              <w:bottom w:val="inset" w:sz="6" w:space="0" w:color="auto"/>
            </w:tcBorders>
          </w:tcPr>
          <w:p w14:paraId="47A227DC"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R41</w:t>
            </w:r>
          </w:p>
        </w:tc>
        <w:tc>
          <w:tcPr>
            <w:tcW w:w="1166" w:type="dxa"/>
            <w:tcBorders>
              <w:bottom w:val="inset" w:sz="6" w:space="0" w:color="auto"/>
            </w:tcBorders>
          </w:tcPr>
          <w:p w14:paraId="32E003C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Borders>
              <w:bottom w:val="inset" w:sz="6" w:space="0" w:color="auto"/>
            </w:tcBorders>
          </w:tcPr>
          <w:p w14:paraId="56FECA5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c>
          <w:tcPr>
            <w:tcW w:w="1060" w:type="dxa"/>
            <w:tcBorders>
              <w:bottom w:val="inset" w:sz="6" w:space="0" w:color="auto"/>
            </w:tcBorders>
          </w:tcPr>
          <w:p w14:paraId="07A5DAB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66" w:type="dxa"/>
            <w:tcBorders>
              <w:bottom w:val="inset" w:sz="6" w:space="0" w:color="auto"/>
            </w:tcBorders>
          </w:tcPr>
          <w:p w14:paraId="00C3F67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10.0 ± 1.00</w:t>
            </w:r>
          </w:p>
        </w:tc>
        <w:tc>
          <w:tcPr>
            <w:tcW w:w="1060" w:type="dxa"/>
            <w:tcBorders>
              <w:bottom w:val="inset" w:sz="6" w:space="0" w:color="auto"/>
            </w:tcBorders>
          </w:tcPr>
          <w:p w14:paraId="78D3339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c>
          <w:tcPr>
            <w:tcW w:w="1059" w:type="dxa"/>
            <w:tcBorders>
              <w:bottom w:val="inset" w:sz="6" w:space="0" w:color="auto"/>
            </w:tcBorders>
          </w:tcPr>
          <w:p w14:paraId="596EBAB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9.33 ± 0.57</w:t>
            </w:r>
          </w:p>
        </w:tc>
        <w:tc>
          <w:tcPr>
            <w:tcW w:w="1166" w:type="dxa"/>
            <w:tcBorders>
              <w:bottom w:val="inset" w:sz="6" w:space="0" w:color="auto"/>
            </w:tcBorders>
          </w:tcPr>
          <w:p w14:paraId="07FEC15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64" w:type="dxa"/>
            <w:tcBorders>
              <w:bottom w:val="inset" w:sz="6" w:space="0" w:color="auto"/>
            </w:tcBorders>
          </w:tcPr>
          <w:p w14:paraId="534C414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r>
    </w:tbl>
    <w:p w14:paraId="03CEDBCF" w14:textId="0D326D05" w:rsidR="000155DA" w:rsidRPr="002829E9" w:rsidRDefault="000155DA" w:rsidP="00AC0BBE">
      <w:pPr>
        <w:pStyle w:val="Body"/>
        <w:jc w:val="center"/>
        <w:rPr>
          <w:rFonts w:ascii="Arial" w:hAnsi="Arial" w:cs="Arial"/>
          <w:bCs/>
          <w:i/>
        </w:rPr>
      </w:pPr>
      <w:r w:rsidRPr="002829E9">
        <w:rPr>
          <w:rFonts w:ascii="Arial" w:hAnsi="Arial" w:cs="Arial"/>
          <w:b/>
          <w:bCs/>
          <w:i/>
        </w:rPr>
        <w:t xml:space="preserve">MOL: </w:t>
      </w:r>
      <w:r w:rsidRPr="002829E9">
        <w:rPr>
          <w:rFonts w:ascii="Arial" w:hAnsi="Arial" w:cs="Arial"/>
          <w:bCs/>
          <w:i/>
        </w:rPr>
        <w:t xml:space="preserve">M. oleifera leaves; </w:t>
      </w:r>
      <w:r w:rsidRPr="002829E9">
        <w:rPr>
          <w:rFonts w:ascii="Arial" w:hAnsi="Arial" w:cs="Arial"/>
          <w:b/>
          <w:bCs/>
          <w:i/>
        </w:rPr>
        <w:t xml:space="preserve">MOE: </w:t>
      </w:r>
      <w:r w:rsidRPr="002829E9">
        <w:rPr>
          <w:rFonts w:ascii="Arial" w:hAnsi="Arial" w:cs="Arial"/>
          <w:bCs/>
          <w:i/>
        </w:rPr>
        <w:t xml:space="preserve">M. oleifera bark; </w:t>
      </w:r>
      <w:r w:rsidRPr="002829E9">
        <w:rPr>
          <w:rFonts w:ascii="Arial" w:hAnsi="Arial" w:cs="Arial"/>
          <w:b/>
          <w:bCs/>
          <w:i/>
        </w:rPr>
        <w:t xml:space="preserve">MOF: </w:t>
      </w:r>
      <w:r w:rsidRPr="002829E9">
        <w:rPr>
          <w:rFonts w:ascii="Arial" w:hAnsi="Arial" w:cs="Arial"/>
          <w:bCs/>
          <w:i/>
        </w:rPr>
        <w:t xml:space="preserve">M. oleifera flowers; </w:t>
      </w:r>
      <w:r w:rsidRPr="002829E9">
        <w:rPr>
          <w:rFonts w:ascii="Arial" w:hAnsi="Arial" w:cs="Arial"/>
          <w:b/>
          <w:bCs/>
          <w:i/>
        </w:rPr>
        <w:t xml:space="preserve">SOL: </w:t>
      </w:r>
      <w:r w:rsidRPr="002829E9">
        <w:rPr>
          <w:rFonts w:ascii="Arial" w:hAnsi="Arial" w:cs="Arial"/>
          <w:bCs/>
          <w:i/>
        </w:rPr>
        <w:t xml:space="preserve">S. occidentalis leaves; </w:t>
      </w:r>
      <w:r w:rsidRPr="002829E9">
        <w:rPr>
          <w:rFonts w:ascii="Arial" w:hAnsi="Arial" w:cs="Arial"/>
          <w:b/>
          <w:bCs/>
          <w:i/>
        </w:rPr>
        <w:t xml:space="preserve">SOE: </w:t>
      </w:r>
      <w:r w:rsidRPr="002829E9">
        <w:rPr>
          <w:rFonts w:ascii="Arial" w:hAnsi="Arial" w:cs="Arial"/>
          <w:bCs/>
          <w:i/>
        </w:rPr>
        <w:t xml:space="preserve">S. occidentalis bark; </w:t>
      </w:r>
      <w:r w:rsidRPr="002829E9">
        <w:rPr>
          <w:rFonts w:ascii="Arial" w:hAnsi="Arial" w:cs="Arial"/>
          <w:b/>
          <w:bCs/>
          <w:i/>
        </w:rPr>
        <w:t xml:space="preserve">SOC: </w:t>
      </w:r>
      <w:r w:rsidRPr="002829E9">
        <w:rPr>
          <w:rFonts w:ascii="Arial" w:hAnsi="Arial" w:cs="Arial"/>
          <w:bCs/>
          <w:i/>
        </w:rPr>
        <w:t xml:space="preserve">S. occidentalis shell; </w:t>
      </w:r>
      <w:r w:rsidRPr="002829E9">
        <w:rPr>
          <w:rFonts w:ascii="Arial" w:hAnsi="Arial" w:cs="Arial"/>
          <w:b/>
          <w:bCs/>
          <w:i/>
        </w:rPr>
        <w:t xml:space="preserve">SOG: </w:t>
      </w:r>
      <w:r w:rsidRPr="002829E9">
        <w:rPr>
          <w:rFonts w:ascii="Arial" w:hAnsi="Arial" w:cs="Arial"/>
          <w:bCs/>
          <w:i/>
        </w:rPr>
        <w:t xml:space="preserve">S. occidentalis seeds; </w:t>
      </w:r>
      <w:r w:rsidRPr="002829E9">
        <w:rPr>
          <w:rFonts w:ascii="Arial" w:hAnsi="Arial" w:cs="Arial"/>
          <w:b/>
          <w:bCs/>
          <w:i/>
        </w:rPr>
        <w:t xml:space="preserve">S: </w:t>
      </w:r>
      <w:r w:rsidRPr="002829E9">
        <w:rPr>
          <w:rFonts w:ascii="Arial" w:hAnsi="Arial" w:cs="Arial"/>
          <w:bCs/>
          <w:i/>
        </w:rPr>
        <w:t xml:space="preserve">susceptible; </w:t>
      </w:r>
      <w:r w:rsidRPr="002829E9">
        <w:rPr>
          <w:rFonts w:ascii="Arial" w:hAnsi="Arial" w:cs="Arial"/>
          <w:b/>
          <w:bCs/>
          <w:i/>
        </w:rPr>
        <w:t>R</w:t>
      </w:r>
      <w:r w:rsidRPr="002829E9">
        <w:rPr>
          <w:rFonts w:ascii="Arial" w:hAnsi="Arial" w:cs="Arial"/>
          <w:bCs/>
          <w:i/>
        </w:rPr>
        <w:t xml:space="preserve">: resistant; </w:t>
      </w:r>
      <w:proofErr w:type="spellStart"/>
      <w:r w:rsidR="00DF1EB0" w:rsidRPr="00DF1EB0">
        <w:rPr>
          <w:rFonts w:ascii="Arial" w:hAnsi="Arial" w:cs="Arial"/>
          <w:b/>
          <w:bCs/>
          <w:i/>
        </w:rPr>
        <w:t>Cefox</w:t>
      </w:r>
      <w:proofErr w:type="spellEnd"/>
      <w:r w:rsidRPr="002829E9">
        <w:rPr>
          <w:rFonts w:ascii="Arial" w:hAnsi="Arial" w:cs="Arial"/>
          <w:b/>
          <w:bCs/>
          <w:i/>
        </w:rPr>
        <w:t xml:space="preserve">: </w:t>
      </w:r>
      <w:r w:rsidR="00DF1EB0" w:rsidRPr="00DF1EB0">
        <w:rPr>
          <w:rFonts w:ascii="Arial" w:hAnsi="Arial" w:cs="Arial"/>
          <w:bCs/>
          <w:i/>
        </w:rPr>
        <w:t>cef</w:t>
      </w:r>
      <w:r w:rsidRPr="002829E9">
        <w:rPr>
          <w:rFonts w:ascii="Arial" w:hAnsi="Arial" w:cs="Arial"/>
          <w:bCs/>
          <w:i/>
        </w:rPr>
        <w:t>oxi</w:t>
      </w:r>
      <w:r w:rsidR="00DF1EB0">
        <w:rPr>
          <w:rFonts w:ascii="Arial" w:hAnsi="Arial" w:cs="Arial"/>
          <w:bCs/>
          <w:i/>
        </w:rPr>
        <w:t>tin</w:t>
      </w:r>
      <w:r w:rsidRPr="002829E9">
        <w:rPr>
          <w:rFonts w:ascii="Arial" w:hAnsi="Arial" w:cs="Arial"/>
          <w:bCs/>
          <w:i/>
        </w:rPr>
        <w:t xml:space="preserve">; </w:t>
      </w:r>
      <w:r w:rsidRPr="002829E9">
        <w:rPr>
          <w:rFonts w:ascii="Arial" w:hAnsi="Arial" w:cs="Arial"/>
          <w:b/>
          <w:bCs/>
          <w:i/>
        </w:rPr>
        <w:t xml:space="preserve">ATCC: </w:t>
      </w:r>
      <w:r w:rsidRPr="002829E9">
        <w:rPr>
          <w:rFonts w:ascii="Arial" w:hAnsi="Arial" w:cs="Arial"/>
          <w:bCs/>
          <w:i/>
        </w:rPr>
        <w:t>American Type Culture Collection.</w:t>
      </w:r>
    </w:p>
    <w:p w14:paraId="31D34D39" w14:textId="77777777" w:rsidR="000155DA" w:rsidRPr="002829E9" w:rsidRDefault="00511777" w:rsidP="000155DA">
      <w:pPr>
        <w:pStyle w:val="Body"/>
        <w:rPr>
          <w:rFonts w:ascii="Arial" w:hAnsi="Arial" w:cs="Arial"/>
          <w:bCs/>
          <w:i/>
        </w:rPr>
      </w:pPr>
      <w:r w:rsidRPr="002829E9">
        <w:rPr>
          <w:rFonts w:ascii="Arial" w:hAnsi="Arial" w:cs="Arial"/>
          <w:bCs/>
          <w:i/>
        </w:rPr>
        <w:t xml:space="preserve">3.1.3.2. </w:t>
      </w:r>
      <w:r w:rsidR="000155DA" w:rsidRPr="002829E9">
        <w:rPr>
          <w:rFonts w:ascii="Arial" w:hAnsi="Arial" w:cs="Arial"/>
          <w:bCs/>
          <w:i/>
        </w:rPr>
        <w:t>Intrinsic activity of aqueous extracts of M. oleifera and S. occidentalis leaves</w:t>
      </w:r>
    </w:p>
    <w:p w14:paraId="12463FF4" w14:textId="77777777" w:rsidR="000155DA" w:rsidRPr="000155DA" w:rsidRDefault="000155DA" w:rsidP="000155DA">
      <w:pPr>
        <w:pStyle w:val="Body"/>
        <w:rPr>
          <w:rFonts w:ascii="Arial" w:hAnsi="Arial" w:cs="Arial"/>
          <w:b/>
          <w:bCs/>
          <w:lang w:val="fr-FR"/>
        </w:rPr>
      </w:pPr>
      <w:r w:rsidRPr="002829E9">
        <w:rPr>
          <w:rFonts w:ascii="Arial" w:hAnsi="Arial" w:cs="Arial"/>
          <w:bCs/>
        </w:rPr>
        <w:t xml:space="preserve">Evaluation of the antibacterial activity of </w:t>
      </w:r>
      <w:r w:rsidR="00511777" w:rsidRPr="002829E9">
        <w:rPr>
          <w:rFonts w:ascii="Arial" w:hAnsi="Arial" w:cs="Arial"/>
          <w:bCs/>
        </w:rPr>
        <w:t>aqueous</w:t>
      </w:r>
      <w:r w:rsidRPr="002829E9">
        <w:rPr>
          <w:rFonts w:ascii="Arial" w:hAnsi="Arial" w:cs="Arial"/>
          <w:bCs/>
        </w:rPr>
        <w:t xml:space="preserve"> extracts of </w:t>
      </w:r>
      <w:r w:rsidRPr="002829E9">
        <w:rPr>
          <w:rFonts w:ascii="Arial" w:hAnsi="Arial" w:cs="Arial"/>
          <w:bCs/>
          <w:i/>
          <w:iCs/>
        </w:rPr>
        <w:t xml:space="preserve">Moringa oleifera </w:t>
      </w:r>
      <w:r w:rsidRPr="002829E9">
        <w:rPr>
          <w:rFonts w:ascii="Arial" w:hAnsi="Arial" w:cs="Arial"/>
          <w:bCs/>
        </w:rPr>
        <w:t xml:space="preserve">(MOL) and </w:t>
      </w:r>
      <w:r w:rsidRPr="002829E9">
        <w:rPr>
          <w:rFonts w:ascii="Arial" w:hAnsi="Arial" w:cs="Arial"/>
          <w:bCs/>
          <w:i/>
          <w:iCs/>
        </w:rPr>
        <w:t xml:space="preserve">Senna occidentalis </w:t>
      </w:r>
      <w:r w:rsidRPr="002829E9">
        <w:rPr>
          <w:rFonts w:ascii="Arial" w:hAnsi="Arial" w:cs="Arial"/>
          <w:bCs/>
        </w:rPr>
        <w:t xml:space="preserve">(SOL) against several clinical bacterial strains revealed variable efficacy depending on the extract and the target strain. The tests were carried out using the Mueller-Hinton agar diffusion method, with measurement of the inhibition halos around the extract-impregnated discs. </w:t>
      </w:r>
      <w:r w:rsidRPr="000155DA">
        <w:rPr>
          <w:rFonts w:ascii="Arial" w:hAnsi="Arial" w:cs="Arial"/>
          <w:bCs/>
          <w:lang w:val="fr-FR"/>
        </w:rPr>
        <w:t>(</w:t>
      </w:r>
      <w:r w:rsidRPr="00511777">
        <w:rPr>
          <w:rFonts w:ascii="Arial" w:hAnsi="Arial" w:cs="Arial"/>
          <w:b/>
          <w:bCs/>
          <w:lang w:val="fr-FR"/>
        </w:rPr>
        <w:t>Figure 4</w:t>
      </w:r>
      <w:r w:rsidRPr="000155DA">
        <w:rPr>
          <w:rFonts w:ascii="Arial" w:hAnsi="Arial" w:cs="Arial"/>
          <w:bCs/>
          <w:lang w:val="fr-FR"/>
        </w:rPr>
        <w:t>)</w:t>
      </w:r>
    </w:p>
    <w:p w14:paraId="2C10289E" w14:textId="77777777" w:rsidR="000155DA" w:rsidRPr="000155DA" w:rsidRDefault="000155DA" w:rsidP="00511777">
      <w:pPr>
        <w:pStyle w:val="Body"/>
        <w:jc w:val="center"/>
        <w:rPr>
          <w:rFonts w:ascii="Arial" w:hAnsi="Arial" w:cs="Arial"/>
          <w:b/>
          <w:bCs/>
          <w:lang w:val="fr-FR"/>
        </w:rPr>
      </w:pPr>
      <w:r w:rsidRPr="000155DA">
        <w:rPr>
          <w:rFonts w:ascii="Arial" w:hAnsi="Arial" w:cs="Arial"/>
          <w:b/>
          <w:bCs/>
          <w:noProof/>
          <w:lang w:val="fr-FR" w:eastAsia="fr-FR"/>
        </w:rPr>
        <w:lastRenderedPageBreak/>
        <w:drawing>
          <wp:inline distT="0" distB="0" distL="0" distR="0" wp14:anchorId="737ADAD1" wp14:editId="4B296FAC">
            <wp:extent cx="5480685" cy="3426460"/>
            <wp:effectExtent l="0" t="0" r="571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0685" cy="3426460"/>
                    </a:xfrm>
                    <a:prstGeom prst="rect">
                      <a:avLst/>
                    </a:prstGeom>
                    <a:noFill/>
                  </pic:spPr>
                </pic:pic>
              </a:graphicData>
            </a:graphic>
          </wp:inline>
        </w:drawing>
      </w:r>
    </w:p>
    <w:p w14:paraId="02F2F8FD" w14:textId="513EBED1" w:rsidR="000155DA" w:rsidRPr="002829E9" w:rsidRDefault="002C4008" w:rsidP="000155DA">
      <w:pPr>
        <w:pStyle w:val="Body"/>
        <w:rPr>
          <w:rFonts w:ascii="Arial" w:hAnsi="Arial" w:cs="Arial"/>
          <w:b/>
          <w:bCs/>
        </w:rPr>
      </w:pPr>
      <w:r w:rsidRPr="002829E9">
        <w:rPr>
          <w:rFonts w:ascii="Arial" w:hAnsi="Arial" w:cs="Arial"/>
          <w:b/>
          <w:bCs/>
        </w:rPr>
        <w:t>Fig.</w:t>
      </w:r>
      <w:r w:rsidR="000155DA" w:rsidRPr="002829E9">
        <w:rPr>
          <w:rFonts w:ascii="Arial" w:hAnsi="Arial" w:cs="Arial"/>
          <w:b/>
          <w:bCs/>
        </w:rPr>
        <w:t xml:space="preserve"> </w:t>
      </w:r>
      <w:r w:rsidR="000155DA" w:rsidRPr="002C4008">
        <w:rPr>
          <w:rFonts w:ascii="Arial" w:hAnsi="Arial" w:cs="Arial"/>
          <w:b/>
          <w:bCs/>
          <w:iCs/>
          <w:lang w:val="fr-FR"/>
        </w:rPr>
        <w:fldChar w:fldCharType="begin"/>
      </w:r>
      <w:r w:rsidR="000155DA" w:rsidRPr="002829E9">
        <w:rPr>
          <w:rFonts w:ascii="Arial" w:hAnsi="Arial" w:cs="Arial"/>
          <w:b/>
          <w:bCs/>
        </w:rPr>
        <w:instrText xml:space="preserve"> SEQ Figure \* ARABIC </w:instrText>
      </w:r>
      <w:r w:rsidR="000155DA" w:rsidRPr="002C4008">
        <w:rPr>
          <w:rFonts w:ascii="Arial" w:hAnsi="Arial" w:cs="Arial"/>
          <w:b/>
          <w:bCs/>
          <w:iCs/>
          <w:lang w:val="fr-FR"/>
        </w:rPr>
        <w:fldChar w:fldCharType="separate"/>
      </w:r>
      <w:r w:rsidR="00857943">
        <w:rPr>
          <w:rFonts w:ascii="Arial" w:hAnsi="Arial" w:cs="Arial"/>
          <w:b/>
          <w:bCs/>
          <w:noProof/>
        </w:rPr>
        <w:t>4</w:t>
      </w:r>
      <w:r w:rsidR="000155DA" w:rsidRPr="002C4008">
        <w:rPr>
          <w:rFonts w:ascii="Arial" w:hAnsi="Arial" w:cs="Arial"/>
          <w:b/>
          <w:bCs/>
          <w:lang w:val="fr-FR"/>
        </w:rPr>
        <w:fldChar w:fldCharType="end"/>
      </w:r>
      <w:r w:rsidRPr="002829E9">
        <w:rPr>
          <w:rFonts w:ascii="Arial" w:hAnsi="Arial" w:cs="Arial"/>
          <w:b/>
          <w:bCs/>
        </w:rPr>
        <w:t>.</w:t>
      </w:r>
      <w:r w:rsidR="000155DA" w:rsidRPr="002829E9">
        <w:rPr>
          <w:rFonts w:ascii="Arial" w:hAnsi="Arial" w:cs="Arial"/>
          <w:b/>
          <w:bCs/>
        </w:rPr>
        <w:t xml:space="preserve"> Intrinsic activity of aqueous extracts of </w:t>
      </w:r>
      <w:r w:rsidR="000155DA" w:rsidRPr="002829E9">
        <w:rPr>
          <w:rFonts w:ascii="Arial" w:hAnsi="Arial" w:cs="Arial"/>
          <w:b/>
          <w:bCs/>
          <w:i/>
        </w:rPr>
        <w:t xml:space="preserve">M. oleifera </w:t>
      </w:r>
      <w:r w:rsidR="000155DA" w:rsidRPr="002829E9">
        <w:rPr>
          <w:rFonts w:ascii="Arial" w:hAnsi="Arial" w:cs="Arial"/>
          <w:b/>
          <w:bCs/>
        </w:rPr>
        <w:t xml:space="preserve">and </w:t>
      </w:r>
      <w:r w:rsidR="000155DA" w:rsidRPr="002829E9">
        <w:rPr>
          <w:rFonts w:ascii="Arial" w:hAnsi="Arial" w:cs="Arial"/>
          <w:b/>
          <w:bCs/>
          <w:i/>
        </w:rPr>
        <w:t xml:space="preserve">S. occidentalis </w:t>
      </w:r>
      <w:r w:rsidR="000155DA" w:rsidRPr="002829E9">
        <w:rPr>
          <w:rFonts w:ascii="Arial" w:hAnsi="Arial" w:cs="Arial"/>
          <w:b/>
          <w:bCs/>
        </w:rPr>
        <w:t>leaves</w:t>
      </w:r>
    </w:p>
    <w:p w14:paraId="3E46AF3E" w14:textId="77777777" w:rsidR="000155DA" w:rsidRPr="002829E9" w:rsidRDefault="00DC7831" w:rsidP="000155DA">
      <w:pPr>
        <w:pStyle w:val="Body"/>
        <w:rPr>
          <w:rFonts w:ascii="Arial" w:hAnsi="Arial" w:cs="Arial"/>
          <w:bCs/>
          <w:i/>
        </w:rPr>
      </w:pPr>
      <w:r w:rsidRPr="002829E9">
        <w:rPr>
          <w:rFonts w:ascii="Arial" w:hAnsi="Arial" w:cs="Arial"/>
          <w:bCs/>
          <w:i/>
        </w:rPr>
        <w:t xml:space="preserve">3.1.3.3. </w:t>
      </w:r>
      <w:r w:rsidR="000155DA" w:rsidRPr="002829E9">
        <w:rPr>
          <w:rFonts w:ascii="Arial" w:hAnsi="Arial" w:cs="Arial"/>
          <w:bCs/>
          <w:i/>
        </w:rPr>
        <w:t>Intrinsic activity of ethanolic extracts of total organs of M. oleifera and S. occidentalis</w:t>
      </w:r>
    </w:p>
    <w:p w14:paraId="38BDB33F" w14:textId="552BF121" w:rsidR="000155DA" w:rsidRPr="002829E9" w:rsidRDefault="00795E5F" w:rsidP="000155DA">
      <w:pPr>
        <w:pStyle w:val="Body"/>
        <w:rPr>
          <w:rFonts w:ascii="Arial" w:hAnsi="Arial" w:cs="Arial"/>
          <w:bCs/>
        </w:rPr>
      </w:pPr>
      <w:r w:rsidRPr="002829E9">
        <w:rPr>
          <w:rFonts w:ascii="Arial" w:hAnsi="Arial" w:cs="Arial"/>
          <w:bCs/>
        </w:rPr>
        <w:t xml:space="preserve">These images (Figure 5) show the results of bacterial inhibition tests, which reveal the variable antimicrobial activity of the different plant extracts tested against different strains of MRSA. The discs in the </w:t>
      </w:r>
      <w:proofErr w:type="spellStart"/>
      <w:r w:rsidRPr="002829E9">
        <w:rPr>
          <w:rFonts w:ascii="Arial" w:hAnsi="Arial" w:cs="Arial"/>
          <w:bCs/>
        </w:rPr>
        <w:t>centre</w:t>
      </w:r>
      <w:proofErr w:type="spellEnd"/>
      <w:r w:rsidRPr="002829E9">
        <w:rPr>
          <w:rFonts w:ascii="Arial" w:hAnsi="Arial" w:cs="Arial"/>
          <w:bCs/>
        </w:rPr>
        <w:t xml:space="preserve"> are </w:t>
      </w:r>
      <w:r w:rsidR="00DF1EB0">
        <w:rPr>
          <w:rFonts w:ascii="Arial" w:hAnsi="Arial" w:cs="Arial"/>
          <w:bCs/>
        </w:rPr>
        <w:t>cefoxitin</w:t>
      </w:r>
      <w:r w:rsidRPr="002829E9">
        <w:rPr>
          <w:rFonts w:ascii="Arial" w:hAnsi="Arial" w:cs="Arial"/>
          <w:bCs/>
        </w:rPr>
        <w:t xml:space="preserve"> discs, and the numbers correspond to the strain numbers.</w:t>
      </w:r>
    </w:p>
    <w:p w14:paraId="60923A92" w14:textId="77777777" w:rsidR="000155DA" w:rsidRDefault="000155DA" w:rsidP="00F219EA">
      <w:pPr>
        <w:pStyle w:val="Body"/>
        <w:spacing w:after="0"/>
        <w:jc w:val="center"/>
        <w:rPr>
          <w:rFonts w:ascii="Arial" w:hAnsi="Arial" w:cs="Arial"/>
          <w:bCs/>
          <w:lang w:val="fr-FR"/>
        </w:rPr>
      </w:pPr>
      <w:r w:rsidRPr="000155DA">
        <w:rPr>
          <w:rFonts w:ascii="Arial" w:hAnsi="Arial" w:cs="Arial"/>
          <w:bCs/>
          <w:noProof/>
          <w:lang w:val="fr-FR" w:eastAsia="fr-FR"/>
        </w:rPr>
        <w:lastRenderedPageBreak/>
        <w:drawing>
          <wp:inline distT="0" distB="0" distL="0" distR="0" wp14:anchorId="0FADFB1F" wp14:editId="20877B60">
            <wp:extent cx="5782263" cy="36576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2582" cy="3670453"/>
                    </a:xfrm>
                    <a:prstGeom prst="rect">
                      <a:avLst/>
                    </a:prstGeom>
                    <a:noFill/>
                  </pic:spPr>
                </pic:pic>
              </a:graphicData>
            </a:graphic>
          </wp:inline>
        </w:drawing>
      </w:r>
    </w:p>
    <w:p w14:paraId="64DDE634" w14:textId="5AB17539" w:rsidR="00F219EA" w:rsidRPr="002829E9" w:rsidRDefault="00562C2E" w:rsidP="002070B0">
      <w:pPr>
        <w:pStyle w:val="Body"/>
        <w:jc w:val="center"/>
        <w:rPr>
          <w:rFonts w:ascii="Arial" w:hAnsi="Arial" w:cs="Arial"/>
          <w:bCs/>
          <w:i/>
        </w:rPr>
      </w:pPr>
      <w:r w:rsidRPr="002829E9">
        <w:rPr>
          <w:rFonts w:ascii="Arial" w:hAnsi="Arial" w:cs="Arial"/>
          <w:bCs/>
          <w:i/>
        </w:rPr>
        <w:t>Legends:</w:t>
      </w:r>
      <w:r w:rsidR="00F219EA" w:rsidRPr="002829E9">
        <w:rPr>
          <w:rFonts w:ascii="Arial" w:hAnsi="Arial" w:cs="Arial"/>
          <w:bCs/>
          <w:i/>
        </w:rPr>
        <w:t xml:space="preserve"> </w:t>
      </w:r>
      <w:r w:rsidR="00F219EA" w:rsidRPr="002829E9">
        <w:rPr>
          <w:rFonts w:ascii="Arial" w:hAnsi="Arial" w:cs="Arial"/>
          <w:b/>
          <w:bCs/>
          <w:i/>
        </w:rPr>
        <w:t xml:space="preserve">A = </w:t>
      </w:r>
      <w:r w:rsidRPr="002829E9">
        <w:rPr>
          <w:rFonts w:ascii="Arial" w:hAnsi="Arial" w:cs="Arial"/>
          <w:b/>
          <w:bCs/>
          <w:i/>
        </w:rPr>
        <w:t>MOL;</w:t>
      </w:r>
      <w:r w:rsidR="00F219EA" w:rsidRPr="002829E9">
        <w:rPr>
          <w:rFonts w:ascii="Arial" w:hAnsi="Arial" w:cs="Arial"/>
          <w:b/>
          <w:bCs/>
          <w:i/>
        </w:rPr>
        <w:t xml:space="preserve"> B = </w:t>
      </w:r>
      <w:r w:rsidRPr="002829E9">
        <w:rPr>
          <w:rFonts w:ascii="Arial" w:hAnsi="Arial" w:cs="Arial"/>
          <w:b/>
          <w:bCs/>
          <w:i/>
        </w:rPr>
        <w:t>MOE;</w:t>
      </w:r>
      <w:r w:rsidR="00F219EA" w:rsidRPr="002829E9">
        <w:rPr>
          <w:rFonts w:ascii="Arial" w:hAnsi="Arial" w:cs="Arial"/>
          <w:b/>
          <w:bCs/>
          <w:i/>
        </w:rPr>
        <w:t xml:space="preserve"> C = </w:t>
      </w:r>
      <w:r w:rsidRPr="002829E9">
        <w:rPr>
          <w:rFonts w:ascii="Arial" w:hAnsi="Arial" w:cs="Arial"/>
          <w:b/>
          <w:bCs/>
          <w:i/>
        </w:rPr>
        <w:t>MOF;</w:t>
      </w:r>
      <w:r w:rsidR="00F219EA" w:rsidRPr="002829E9">
        <w:rPr>
          <w:rFonts w:ascii="Arial" w:hAnsi="Arial" w:cs="Arial"/>
          <w:b/>
          <w:bCs/>
          <w:i/>
        </w:rPr>
        <w:t xml:space="preserve"> D = </w:t>
      </w:r>
      <w:r w:rsidRPr="002829E9">
        <w:rPr>
          <w:rFonts w:ascii="Arial" w:hAnsi="Arial" w:cs="Arial"/>
          <w:b/>
          <w:bCs/>
          <w:i/>
        </w:rPr>
        <w:t>SOL;</w:t>
      </w:r>
      <w:r w:rsidR="00F219EA" w:rsidRPr="002829E9">
        <w:rPr>
          <w:rFonts w:ascii="Arial" w:hAnsi="Arial" w:cs="Arial"/>
          <w:b/>
          <w:bCs/>
          <w:i/>
        </w:rPr>
        <w:t xml:space="preserve"> E = </w:t>
      </w:r>
      <w:r w:rsidRPr="002829E9">
        <w:rPr>
          <w:rFonts w:ascii="Arial" w:hAnsi="Arial" w:cs="Arial"/>
          <w:b/>
          <w:bCs/>
          <w:i/>
        </w:rPr>
        <w:t>SOE;</w:t>
      </w:r>
      <w:r w:rsidR="00F219EA" w:rsidRPr="002829E9">
        <w:rPr>
          <w:rFonts w:ascii="Arial" w:hAnsi="Arial" w:cs="Arial"/>
          <w:b/>
          <w:bCs/>
          <w:i/>
        </w:rPr>
        <w:t xml:space="preserve"> F = </w:t>
      </w:r>
      <w:r w:rsidRPr="002829E9">
        <w:rPr>
          <w:rFonts w:ascii="Arial" w:hAnsi="Arial" w:cs="Arial"/>
          <w:b/>
          <w:bCs/>
          <w:i/>
        </w:rPr>
        <w:t>SOC;</w:t>
      </w:r>
      <w:r w:rsidR="00F219EA" w:rsidRPr="002829E9">
        <w:rPr>
          <w:rFonts w:ascii="Arial" w:hAnsi="Arial" w:cs="Arial"/>
          <w:b/>
          <w:bCs/>
          <w:i/>
        </w:rPr>
        <w:t xml:space="preserve"> G = SOG</w:t>
      </w:r>
    </w:p>
    <w:p w14:paraId="2FD539B3" w14:textId="0A516CCD" w:rsidR="000155DA" w:rsidRPr="002829E9" w:rsidRDefault="00DC7831" w:rsidP="00DC7831">
      <w:pPr>
        <w:pStyle w:val="Body"/>
        <w:rPr>
          <w:rFonts w:ascii="Arial" w:hAnsi="Arial" w:cs="Arial"/>
          <w:b/>
          <w:bCs/>
        </w:rPr>
      </w:pPr>
      <w:r w:rsidRPr="002829E9">
        <w:rPr>
          <w:rFonts w:ascii="Arial" w:hAnsi="Arial" w:cs="Arial"/>
          <w:b/>
          <w:bCs/>
        </w:rPr>
        <w:t>Fig.</w:t>
      </w:r>
      <w:r w:rsidR="000155DA" w:rsidRPr="002829E9">
        <w:rPr>
          <w:rFonts w:ascii="Arial" w:hAnsi="Arial" w:cs="Arial"/>
          <w:b/>
          <w:bCs/>
        </w:rPr>
        <w:t xml:space="preserve"> </w:t>
      </w:r>
      <w:r w:rsidR="000155DA" w:rsidRPr="00DC7831">
        <w:rPr>
          <w:rFonts w:ascii="Arial" w:hAnsi="Arial" w:cs="Arial"/>
          <w:b/>
          <w:bCs/>
          <w:iCs/>
          <w:lang w:val="fr-FR"/>
        </w:rPr>
        <w:fldChar w:fldCharType="begin"/>
      </w:r>
      <w:r w:rsidR="000155DA" w:rsidRPr="002829E9">
        <w:rPr>
          <w:rFonts w:ascii="Arial" w:hAnsi="Arial" w:cs="Arial"/>
          <w:b/>
          <w:bCs/>
        </w:rPr>
        <w:instrText xml:space="preserve"> SEQ Figure \* ARABIC </w:instrText>
      </w:r>
      <w:r w:rsidR="000155DA" w:rsidRPr="00DC7831">
        <w:rPr>
          <w:rFonts w:ascii="Arial" w:hAnsi="Arial" w:cs="Arial"/>
          <w:b/>
          <w:bCs/>
          <w:iCs/>
          <w:lang w:val="fr-FR"/>
        </w:rPr>
        <w:fldChar w:fldCharType="separate"/>
      </w:r>
      <w:r w:rsidR="00857943">
        <w:rPr>
          <w:rFonts w:ascii="Arial" w:hAnsi="Arial" w:cs="Arial"/>
          <w:b/>
          <w:bCs/>
          <w:noProof/>
        </w:rPr>
        <w:t>5</w:t>
      </w:r>
      <w:r w:rsidR="000155DA" w:rsidRPr="00DC7831">
        <w:rPr>
          <w:rFonts w:ascii="Arial" w:hAnsi="Arial" w:cs="Arial"/>
          <w:b/>
          <w:bCs/>
          <w:lang w:val="fr-FR"/>
        </w:rPr>
        <w:fldChar w:fldCharType="end"/>
      </w:r>
      <w:r w:rsidRPr="002829E9">
        <w:rPr>
          <w:rFonts w:ascii="Arial" w:hAnsi="Arial" w:cs="Arial"/>
          <w:b/>
          <w:bCs/>
        </w:rPr>
        <w:t>.</w:t>
      </w:r>
      <w:r w:rsidR="000155DA" w:rsidRPr="002829E9">
        <w:rPr>
          <w:rFonts w:ascii="Arial" w:hAnsi="Arial" w:cs="Arial"/>
          <w:b/>
          <w:bCs/>
        </w:rPr>
        <w:t xml:space="preserve"> Intrinsic activity of ethanolic extracts of total organs of </w:t>
      </w:r>
      <w:r w:rsidR="000155DA" w:rsidRPr="002829E9">
        <w:rPr>
          <w:rFonts w:ascii="Arial" w:hAnsi="Arial" w:cs="Arial"/>
          <w:b/>
          <w:bCs/>
          <w:i/>
        </w:rPr>
        <w:t xml:space="preserve">M. oleifera </w:t>
      </w:r>
      <w:r w:rsidR="000155DA" w:rsidRPr="002829E9">
        <w:rPr>
          <w:rFonts w:ascii="Arial" w:hAnsi="Arial" w:cs="Arial"/>
          <w:b/>
          <w:bCs/>
        </w:rPr>
        <w:t xml:space="preserve">and </w:t>
      </w:r>
      <w:r w:rsidR="000155DA" w:rsidRPr="002829E9">
        <w:rPr>
          <w:rFonts w:ascii="Arial" w:hAnsi="Arial" w:cs="Arial"/>
          <w:b/>
          <w:bCs/>
          <w:i/>
        </w:rPr>
        <w:t>S. occidentalis</w:t>
      </w:r>
    </w:p>
    <w:p w14:paraId="22135595" w14:textId="77777777" w:rsidR="000155DA" w:rsidRPr="002829E9" w:rsidRDefault="00DC7831" w:rsidP="000155DA">
      <w:pPr>
        <w:pStyle w:val="Body"/>
        <w:rPr>
          <w:rFonts w:ascii="Arial" w:hAnsi="Arial" w:cs="Arial"/>
          <w:bCs/>
          <w:i/>
        </w:rPr>
      </w:pPr>
      <w:r w:rsidRPr="002829E9">
        <w:rPr>
          <w:rFonts w:ascii="Arial" w:hAnsi="Arial" w:cs="Arial"/>
          <w:bCs/>
          <w:i/>
        </w:rPr>
        <w:t xml:space="preserve">3.1.3.4. </w:t>
      </w:r>
      <w:r w:rsidR="000155DA" w:rsidRPr="002829E9">
        <w:rPr>
          <w:rFonts w:ascii="Arial" w:hAnsi="Arial" w:cs="Arial"/>
          <w:bCs/>
          <w:i/>
        </w:rPr>
        <w:t>Evaluation of the minimum inhibitory concentration (MIC) and minimum bactericidal concentration (MBC) of active extracts</w:t>
      </w:r>
    </w:p>
    <w:p w14:paraId="5AC6E887" w14:textId="7A2269D2" w:rsidR="000155DA" w:rsidRPr="002829E9" w:rsidRDefault="000155DA" w:rsidP="000155DA">
      <w:pPr>
        <w:pStyle w:val="Body"/>
        <w:rPr>
          <w:rFonts w:ascii="Arial" w:hAnsi="Arial" w:cs="Arial"/>
          <w:bCs/>
        </w:rPr>
      </w:pPr>
      <w:r w:rsidRPr="00504DBB">
        <w:rPr>
          <w:rFonts w:ascii="Arial" w:hAnsi="Arial" w:cs="Arial"/>
          <w:bCs/>
        </w:rPr>
        <w:t xml:space="preserve">Analysis of the data revealed significant antimicrobial activity of the extracts tested against </w:t>
      </w:r>
      <w:r w:rsidRPr="00504DBB">
        <w:rPr>
          <w:rFonts w:ascii="Arial" w:hAnsi="Arial" w:cs="Arial"/>
          <w:bCs/>
          <w:i/>
        </w:rPr>
        <w:t xml:space="preserve">Staphylococcus aureus </w:t>
      </w:r>
      <w:r w:rsidRPr="00504DBB">
        <w:rPr>
          <w:rFonts w:ascii="Arial" w:hAnsi="Arial" w:cs="Arial"/>
          <w:bCs/>
        </w:rPr>
        <w:t>strains, including the ATCC reference strain and several methicillin-resistant clinical isolates (MRSA). The minimum inhibitory concentrations (MICs) observed range from 1.25 mg/mL to 5 mg/mL, while the minimum bactericidal concentrations (MBCs) range from 5 mg/mL to 10 mg/</w:t>
      </w:r>
      <w:proofErr w:type="spellStart"/>
      <w:r w:rsidRPr="00504DBB">
        <w:rPr>
          <w:rFonts w:ascii="Arial" w:hAnsi="Arial" w:cs="Arial"/>
          <w:bCs/>
        </w:rPr>
        <w:t>mL.</w:t>
      </w:r>
      <w:proofErr w:type="spellEnd"/>
      <w:r w:rsidRPr="00504DBB">
        <w:rPr>
          <w:rFonts w:ascii="Arial" w:hAnsi="Arial" w:cs="Arial"/>
          <w:bCs/>
        </w:rPr>
        <w:t xml:space="preserve"> The MBC/MIC ratio is a crucial indicator for </w:t>
      </w:r>
      <w:proofErr w:type="spellStart"/>
      <w:r w:rsidRPr="00504DBB">
        <w:rPr>
          <w:rFonts w:ascii="Arial" w:hAnsi="Arial" w:cs="Arial"/>
          <w:bCs/>
        </w:rPr>
        <w:t>characterising</w:t>
      </w:r>
      <w:proofErr w:type="spellEnd"/>
      <w:r w:rsidRPr="00504DBB">
        <w:rPr>
          <w:rFonts w:ascii="Arial" w:hAnsi="Arial" w:cs="Arial"/>
          <w:bCs/>
        </w:rPr>
        <w:t xml:space="preserve"> the type of antibacterial action: a MBC/MIC ratio ≤ 4 suggests a bactericidal effect; a ratio &gt; 4 would indicate a bacteriostatic effect. </w:t>
      </w:r>
      <w:r w:rsidRPr="002829E9">
        <w:rPr>
          <w:rFonts w:ascii="Arial" w:hAnsi="Arial" w:cs="Arial"/>
          <w:bCs/>
        </w:rPr>
        <w:t xml:space="preserve">According to this classification, all the strains tested have a bactericidal profile, although isolates S5, S14 and S16 show borderline efficacy (MBC/MIC = 4.0) (Table </w:t>
      </w:r>
      <w:r w:rsidR="00B7720F">
        <w:rPr>
          <w:rFonts w:ascii="Arial" w:hAnsi="Arial" w:cs="Arial"/>
          <w:bCs/>
        </w:rPr>
        <w:t>5</w:t>
      </w:r>
      <w:r w:rsidRPr="002829E9">
        <w:rPr>
          <w:rFonts w:ascii="Arial" w:hAnsi="Arial" w:cs="Arial"/>
          <w:bCs/>
        </w:rPr>
        <w:t>).</w:t>
      </w:r>
    </w:p>
    <w:p w14:paraId="1BD3741D" w14:textId="057315A3" w:rsidR="002070B0" w:rsidRPr="002829E9" w:rsidRDefault="00B7720F" w:rsidP="000155DA">
      <w:pPr>
        <w:pStyle w:val="Body"/>
        <w:rPr>
          <w:rFonts w:ascii="Arial" w:hAnsi="Arial" w:cs="Arial"/>
          <w:b/>
          <w:bCs/>
        </w:rPr>
      </w:pPr>
      <w:r>
        <w:rPr>
          <w:rFonts w:ascii="Arial" w:hAnsi="Arial"/>
          <w:b/>
        </w:rPr>
        <w:t>Table 5</w:t>
      </w:r>
      <w:r w:rsidR="002070B0">
        <w:rPr>
          <w:rFonts w:ascii="Arial" w:hAnsi="Arial"/>
          <w:b/>
        </w:rPr>
        <w:t>.</w:t>
      </w:r>
      <w:r w:rsidR="002E6A9A">
        <w:rPr>
          <w:rFonts w:ascii="Arial" w:hAnsi="Arial"/>
          <w:b/>
        </w:rPr>
        <w:t xml:space="preserve"> </w:t>
      </w:r>
      <w:r w:rsidR="002070B0" w:rsidRPr="002829E9">
        <w:rPr>
          <w:rFonts w:ascii="Arial" w:hAnsi="Arial" w:cs="Arial"/>
          <w:b/>
          <w:bCs/>
        </w:rPr>
        <w:t>Ethanol</w:t>
      </w:r>
      <w:r w:rsidR="001A340D">
        <w:rPr>
          <w:rFonts w:ascii="Arial" w:hAnsi="Arial" w:cs="Arial"/>
          <w:b/>
          <w:bCs/>
        </w:rPr>
        <w:t>ic</w:t>
      </w:r>
      <w:r w:rsidR="002070B0" w:rsidRPr="002829E9">
        <w:rPr>
          <w:rFonts w:ascii="Arial" w:hAnsi="Arial" w:cs="Arial"/>
          <w:b/>
          <w:bCs/>
        </w:rPr>
        <w:t xml:space="preserve"> extracts of </w:t>
      </w:r>
      <w:r w:rsidR="002070B0" w:rsidRPr="002829E9">
        <w:rPr>
          <w:rFonts w:ascii="Arial" w:hAnsi="Arial" w:cs="Arial"/>
          <w:b/>
          <w:bCs/>
          <w:i/>
        </w:rPr>
        <w:t xml:space="preserve">M. oleifera </w:t>
      </w:r>
      <w:r w:rsidR="002070B0" w:rsidRPr="002829E9">
        <w:rPr>
          <w:rFonts w:ascii="Arial" w:hAnsi="Arial" w:cs="Arial"/>
          <w:b/>
          <w:bCs/>
        </w:rPr>
        <w:t xml:space="preserve">and </w:t>
      </w:r>
      <w:r w:rsidR="002070B0" w:rsidRPr="002829E9">
        <w:rPr>
          <w:rFonts w:ascii="Arial" w:hAnsi="Arial" w:cs="Arial"/>
          <w:b/>
          <w:bCs/>
          <w:i/>
        </w:rPr>
        <w:t xml:space="preserve">S. occidentalis </w:t>
      </w:r>
      <w:r w:rsidR="002070B0" w:rsidRPr="002829E9">
        <w:rPr>
          <w:rFonts w:ascii="Arial" w:hAnsi="Arial" w:cs="Arial"/>
          <w:b/>
          <w:bCs/>
        </w:rPr>
        <w:t xml:space="preserve">MIC and BMC against </w:t>
      </w:r>
      <w:r w:rsidR="002070B0" w:rsidRPr="002829E9">
        <w:rPr>
          <w:rFonts w:ascii="Arial" w:hAnsi="Arial" w:cs="Arial"/>
          <w:b/>
          <w:bCs/>
          <w:i/>
        </w:rPr>
        <w:t xml:space="preserve">S. aureus </w:t>
      </w:r>
      <w:r w:rsidR="002070B0" w:rsidRPr="002829E9">
        <w:rPr>
          <w:rFonts w:ascii="Arial" w:hAnsi="Arial" w:cs="Arial"/>
          <w:b/>
          <w:bCs/>
        </w:rPr>
        <w:t>strains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8"/>
        <w:gridCol w:w="1662"/>
        <w:gridCol w:w="1843"/>
        <w:gridCol w:w="1418"/>
      </w:tblGrid>
      <w:tr w:rsidR="000155DA" w:rsidRPr="000155DA" w14:paraId="07B5AEF9" w14:textId="77777777" w:rsidTr="00480EBA">
        <w:trPr>
          <w:trHeight w:val="274"/>
          <w:jc w:val="center"/>
        </w:trPr>
        <w:tc>
          <w:tcPr>
            <w:tcW w:w="1168" w:type="dxa"/>
            <w:tcBorders>
              <w:top w:val="single" w:sz="4" w:space="0" w:color="auto"/>
              <w:bottom w:val="single" w:sz="4" w:space="0" w:color="auto"/>
            </w:tcBorders>
            <w:shd w:val="clear" w:color="auto" w:fill="FFFFFF" w:themeFill="background1"/>
          </w:tcPr>
          <w:p w14:paraId="1A1A33AF" w14:textId="77777777" w:rsidR="000155DA" w:rsidRPr="000155DA" w:rsidRDefault="000155DA" w:rsidP="000155DA">
            <w:pPr>
              <w:pStyle w:val="Body"/>
              <w:rPr>
                <w:rFonts w:ascii="Arial" w:hAnsi="Arial" w:cs="Arial"/>
                <w:bCs/>
                <w:sz w:val="20"/>
                <w:lang w:val="en-CA"/>
              </w:rPr>
            </w:pPr>
            <w:r w:rsidRPr="000155DA">
              <w:rPr>
                <w:rFonts w:ascii="Arial" w:hAnsi="Arial" w:cs="Arial"/>
                <w:bCs/>
                <w:sz w:val="20"/>
                <w:lang w:val="en-CA"/>
              </w:rPr>
              <w:t xml:space="preserve">Strain </w:t>
            </w:r>
          </w:p>
        </w:tc>
        <w:tc>
          <w:tcPr>
            <w:tcW w:w="1662" w:type="dxa"/>
            <w:tcBorders>
              <w:top w:val="single" w:sz="4" w:space="0" w:color="auto"/>
              <w:bottom w:val="single" w:sz="4" w:space="0" w:color="auto"/>
            </w:tcBorders>
            <w:shd w:val="clear" w:color="auto" w:fill="FFFFFF" w:themeFill="background1"/>
          </w:tcPr>
          <w:p w14:paraId="7A3D8E6C"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MIC (mg/mL</w:t>
            </w:r>
          </w:p>
        </w:tc>
        <w:tc>
          <w:tcPr>
            <w:tcW w:w="1843" w:type="dxa"/>
            <w:tcBorders>
              <w:top w:val="single" w:sz="4" w:space="0" w:color="auto"/>
              <w:bottom w:val="single" w:sz="4" w:space="0" w:color="auto"/>
            </w:tcBorders>
            <w:shd w:val="clear" w:color="auto" w:fill="FFFFFF" w:themeFill="background1"/>
          </w:tcPr>
          <w:p w14:paraId="268DBAE0"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MBC (mg/mL</w:t>
            </w:r>
          </w:p>
        </w:tc>
        <w:tc>
          <w:tcPr>
            <w:tcW w:w="1418" w:type="dxa"/>
            <w:tcBorders>
              <w:top w:val="single" w:sz="4" w:space="0" w:color="auto"/>
              <w:bottom w:val="single" w:sz="4" w:space="0" w:color="auto"/>
            </w:tcBorders>
            <w:shd w:val="clear" w:color="auto" w:fill="FFFFFF" w:themeFill="background1"/>
          </w:tcPr>
          <w:p w14:paraId="2646DDBF"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MBC/MIC</w:t>
            </w:r>
          </w:p>
        </w:tc>
      </w:tr>
      <w:tr w:rsidR="000155DA" w:rsidRPr="000155DA" w14:paraId="0A0631E6" w14:textId="77777777" w:rsidTr="00480EBA">
        <w:trPr>
          <w:trHeight w:val="280"/>
          <w:jc w:val="center"/>
        </w:trPr>
        <w:tc>
          <w:tcPr>
            <w:tcW w:w="1168" w:type="dxa"/>
            <w:tcBorders>
              <w:top w:val="single" w:sz="4" w:space="0" w:color="auto"/>
            </w:tcBorders>
          </w:tcPr>
          <w:p w14:paraId="60063DFA" w14:textId="77777777" w:rsidR="000155DA" w:rsidRPr="002E6A9A" w:rsidRDefault="000155DA" w:rsidP="000155DA">
            <w:pPr>
              <w:pStyle w:val="Body"/>
              <w:rPr>
                <w:rFonts w:ascii="Arial" w:hAnsi="Arial" w:cs="Arial"/>
                <w:b/>
                <w:bCs/>
                <w:sz w:val="20"/>
                <w:lang w:val="en-CA"/>
              </w:rPr>
            </w:pPr>
            <w:r w:rsidRPr="002E6A9A">
              <w:rPr>
                <w:rFonts w:ascii="Arial" w:hAnsi="Arial" w:cs="Arial"/>
                <w:b/>
                <w:bCs/>
                <w:sz w:val="20"/>
                <w:lang w:val="en-CA"/>
              </w:rPr>
              <w:t>ATCC</w:t>
            </w:r>
          </w:p>
        </w:tc>
        <w:tc>
          <w:tcPr>
            <w:tcW w:w="1662" w:type="dxa"/>
            <w:tcBorders>
              <w:top w:val="single" w:sz="4" w:space="0" w:color="auto"/>
            </w:tcBorders>
            <w:vAlign w:val="center"/>
          </w:tcPr>
          <w:p w14:paraId="6A849083"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2.5</w:t>
            </w:r>
          </w:p>
        </w:tc>
        <w:tc>
          <w:tcPr>
            <w:tcW w:w="1843" w:type="dxa"/>
            <w:tcBorders>
              <w:top w:val="single" w:sz="4" w:space="0" w:color="auto"/>
            </w:tcBorders>
            <w:vAlign w:val="center"/>
          </w:tcPr>
          <w:p w14:paraId="7AA8D29E"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5.0</w:t>
            </w:r>
          </w:p>
        </w:tc>
        <w:tc>
          <w:tcPr>
            <w:tcW w:w="1418" w:type="dxa"/>
            <w:tcBorders>
              <w:top w:val="single" w:sz="4" w:space="0" w:color="auto"/>
            </w:tcBorders>
            <w:vAlign w:val="center"/>
          </w:tcPr>
          <w:p w14:paraId="39A50038"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2.0</w:t>
            </w:r>
          </w:p>
        </w:tc>
      </w:tr>
      <w:tr w:rsidR="000155DA" w:rsidRPr="000155DA" w14:paraId="0C3D2DDD" w14:textId="77777777" w:rsidTr="007A4F7A">
        <w:trPr>
          <w:jc w:val="center"/>
        </w:trPr>
        <w:tc>
          <w:tcPr>
            <w:tcW w:w="1168" w:type="dxa"/>
          </w:tcPr>
          <w:p w14:paraId="2AB4F7F5" w14:textId="77777777" w:rsidR="000155DA" w:rsidRPr="002E6A9A" w:rsidRDefault="000155DA" w:rsidP="000155DA">
            <w:pPr>
              <w:pStyle w:val="Body"/>
              <w:rPr>
                <w:rFonts w:ascii="Arial" w:hAnsi="Arial" w:cs="Arial"/>
                <w:b/>
                <w:bCs/>
                <w:sz w:val="20"/>
                <w:lang w:val="en-CA"/>
              </w:rPr>
            </w:pPr>
            <w:r w:rsidRPr="002E6A9A">
              <w:rPr>
                <w:rFonts w:ascii="Arial" w:hAnsi="Arial" w:cs="Arial"/>
                <w:b/>
                <w:bCs/>
                <w:sz w:val="20"/>
                <w:lang w:val="en-CA"/>
              </w:rPr>
              <w:t>S5</w:t>
            </w:r>
          </w:p>
        </w:tc>
        <w:tc>
          <w:tcPr>
            <w:tcW w:w="1662" w:type="dxa"/>
            <w:vAlign w:val="center"/>
          </w:tcPr>
          <w:p w14:paraId="7B993CB4"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1.25</w:t>
            </w:r>
          </w:p>
        </w:tc>
        <w:tc>
          <w:tcPr>
            <w:tcW w:w="1843" w:type="dxa"/>
            <w:vAlign w:val="center"/>
          </w:tcPr>
          <w:p w14:paraId="40BAC944"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5.0</w:t>
            </w:r>
          </w:p>
        </w:tc>
        <w:tc>
          <w:tcPr>
            <w:tcW w:w="1418" w:type="dxa"/>
            <w:vAlign w:val="center"/>
          </w:tcPr>
          <w:p w14:paraId="58C8038D"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4.0</w:t>
            </w:r>
          </w:p>
        </w:tc>
      </w:tr>
      <w:tr w:rsidR="000155DA" w:rsidRPr="000155DA" w14:paraId="4E3C641B" w14:textId="77777777" w:rsidTr="007A4F7A">
        <w:trPr>
          <w:jc w:val="center"/>
        </w:trPr>
        <w:tc>
          <w:tcPr>
            <w:tcW w:w="1168" w:type="dxa"/>
          </w:tcPr>
          <w:p w14:paraId="22153182" w14:textId="77777777" w:rsidR="000155DA" w:rsidRPr="002E6A9A" w:rsidRDefault="000155DA" w:rsidP="000155DA">
            <w:pPr>
              <w:pStyle w:val="Body"/>
              <w:rPr>
                <w:rFonts w:ascii="Arial" w:hAnsi="Arial" w:cs="Arial"/>
                <w:b/>
                <w:bCs/>
                <w:sz w:val="20"/>
                <w:lang w:val="en-CA"/>
              </w:rPr>
            </w:pPr>
            <w:r w:rsidRPr="002E6A9A">
              <w:rPr>
                <w:rFonts w:ascii="Arial" w:hAnsi="Arial" w:cs="Arial"/>
                <w:b/>
                <w:bCs/>
                <w:sz w:val="20"/>
                <w:lang w:val="en-CA"/>
              </w:rPr>
              <w:lastRenderedPageBreak/>
              <w:t>S14</w:t>
            </w:r>
          </w:p>
        </w:tc>
        <w:tc>
          <w:tcPr>
            <w:tcW w:w="1662" w:type="dxa"/>
            <w:vAlign w:val="center"/>
          </w:tcPr>
          <w:p w14:paraId="221900E0"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1.25</w:t>
            </w:r>
          </w:p>
        </w:tc>
        <w:tc>
          <w:tcPr>
            <w:tcW w:w="1843" w:type="dxa"/>
            <w:vAlign w:val="center"/>
          </w:tcPr>
          <w:p w14:paraId="34435124"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5.0</w:t>
            </w:r>
          </w:p>
        </w:tc>
        <w:tc>
          <w:tcPr>
            <w:tcW w:w="1418" w:type="dxa"/>
            <w:vAlign w:val="center"/>
          </w:tcPr>
          <w:p w14:paraId="158C9BA9"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4.0</w:t>
            </w:r>
          </w:p>
        </w:tc>
      </w:tr>
      <w:tr w:rsidR="000155DA" w:rsidRPr="000155DA" w14:paraId="41054A92" w14:textId="77777777" w:rsidTr="007A4F7A">
        <w:trPr>
          <w:jc w:val="center"/>
        </w:trPr>
        <w:tc>
          <w:tcPr>
            <w:tcW w:w="1168" w:type="dxa"/>
          </w:tcPr>
          <w:p w14:paraId="7DD9451C" w14:textId="77777777" w:rsidR="000155DA" w:rsidRPr="002E6A9A" w:rsidRDefault="000155DA" w:rsidP="000155DA">
            <w:pPr>
              <w:pStyle w:val="Body"/>
              <w:rPr>
                <w:rFonts w:ascii="Arial" w:hAnsi="Arial" w:cs="Arial"/>
                <w:b/>
                <w:bCs/>
                <w:sz w:val="20"/>
                <w:lang w:val="en-CA"/>
              </w:rPr>
            </w:pPr>
            <w:r w:rsidRPr="002E6A9A">
              <w:rPr>
                <w:rFonts w:ascii="Arial" w:hAnsi="Arial" w:cs="Arial"/>
                <w:b/>
                <w:bCs/>
                <w:sz w:val="20"/>
                <w:lang w:val="en-CA"/>
              </w:rPr>
              <w:t>S16</w:t>
            </w:r>
          </w:p>
        </w:tc>
        <w:tc>
          <w:tcPr>
            <w:tcW w:w="1662" w:type="dxa"/>
            <w:vAlign w:val="center"/>
          </w:tcPr>
          <w:p w14:paraId="133D3331"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1.25</w:t>
            </w:r>
          </w:p>
        </w:tc>
        <w:tc>
          <w:tcPr>
            <w:tcW w:w="1843" w:type="dxa"/>
            <w:vAlign w:val="center"/>
          </w:tcPr>
          <w:p w14:paraId="2DE1A78F"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5.0</w:t>
            </w:r>
          </w:p>
        </w:tc>
        <w:tc>
          <w:tcPr>
            <w:tcW w:w="1418" w:type="dxa"/>
            <w:vAlign w:val="center"/>
          </w:tcPr>
          <w:p w14:paraId="44E5DABC"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4.0</w:t>
            </w:r>
          </w:p>
        </w:tc>
      </w:tr>
      <w:tr w:rsidR="000155DA" w:rsidRPr="000155DA" w14:paraId="04EB64B1" w14:textId="77777777" w:rsidTr="007A4F7A">
        <w:trPr>
          <w:jc w:val="center"/>
        </w:trPr>
        <w:tc>
          <w:tcPr>
            <w:tcW w:w="1168" w:type="dxa"/>
          </w:tcPr>
          <w:p w14:paraId="030A8894" w14:textId="77777777" w:rsidR="000155DA" w:rsidRPr="002E6A9A" w:rsidRDefault="000155DA" w:rsidP="000155DA">
            <w:pPr>
              <w:pStyle w:val="Body"/>
              <w:rPr>
                <w:rFonts w:ascii="Arial" w:hAnsi="Arial" w:cs="Arial"/>
                <w:b/>
                <w:bCs/>
                <w:sz w:val="20"/>
                <w:lang w:val="en-CA"/>
              </w:rPr>
            </w:pPr>
            <w:r w:rsidRPr="002E6A9A">
              <w:rPr>
                <w:rFonts w:ascii="Arial" w:hAnsi="Arial" w:cs="Arial"/>
                <w:b/>
                <w:bCs/>
                <w:sz w:val="20"/>
                <w:lang w:val="en-CA"/>
              </w:rPr>
              <w:t>S43</w:t>
            </w:r>
          </w:p>
        </w:tc>
        <w:tc>
          <w:tcPr>
            <w:tcW w:w="1662" w:type="dxa"/>
            <w:vAlign w:val="center"/>
          </w:tcPr>
          <w:p w14:paraId="46263875"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2.5</w:t>
            </w:r>
          </w:p>
        </w:tc>
        <w:tc>
          <w:tcPr>
            <w:tcW w:w="1843" w:type="dxa"/>
            <w:vAlign w:val="center"/>
          </w:tcPr>
          <w:p w14:paraId="4350BE2B"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5.0</w:t>
            </w:r>
          </w:p>
        </w:tc>
        <w:tc>
          <w:tcPr>
            <w:tcW w:w="1418" w:type="dxa"/>
            <w:vAlign w:val="center"/>
          </w:tcPr>
          <w:p w14:paraId="0B9C440D"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2.0</w:t>
            </w:r>
          </w:p>
        </w:tc>
      </w:tr>
      <w:tr w:rsidR="000155DA" w:rsidRPr="000155DA" w14:paraId="1B128120" w14:textId="77777777" w:rsidTr="007A4F7A">
        <w:trPr>
          <w:jc w:val="center"/>
        </w:trPr>
        <w:tc>
          <w:tcPr>
            <w:tcW w:w="1168" w:type="dxa"/>
          </w:tcPr>
          <w:p w14:paraId="55829618"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R4</w:t>
            </w:r>
          </w:p>
        </w:tc>
        <w:tc>
          <w:tcPr>
            <w:tcW w:w="1662" w:type="dxa"/>
            <w:vAlign w:val="center"/>
          </w:tcPr>
          <w:p w14:paraId="0DC4EE9D"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5702B2FC"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418" w:type="dxa"/>
            <w:vAlign w:val="center"/>
          </w:tcPr>
          <w:p w14:paraId="1D993EFF"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w:t>
            </w:r>
          </w:p>
        </w:tc>
      </w:tr>
      <w:tr w:rsidR="000155DA" w:rsidRPr="000155DA" w14:paraId="3B265FC4" w14:textId="77777777" w:rsidTr="007A4F7A">
        <w:trPr>
          <w:jc w:val="center"/>
        </w:trPr>
        <w:tc>
          <w:tcPr>
            <w:tcW w:w="1168" w:type="dxa"/>
          </w:tcPr>
          <w:p w14:paraId="2FF05CDA"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R20</w:t>
            </w:r>
          </w:p>
        </w:tc>
        <w:tc>
          <w:tcPr>
            <w:tcW w:w="1662" w:type="dxa"/>
            <w:vAlign w:val="center"/>
          </w:tcPr>
          <w:p w14:paraId="3326E1D3"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75B23231"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418" w:type="dxa"/>
            <w:vAlign w:val="center"/>
          </w:tcPr>
          <w:p w14:paraId="503C7A23"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w:t>
            </w:r>
          </w:p>
        </w:tc>
      </w:tr>
      <w:tr w:rsidR="000155DA" w:rsidRPr="000155DA" w14:paraId="172B3FF1" w14:textId="77777777" w:rsidTr="007A4F7A">
        <w:trPr>
          <w:jc w:val="center"/>
        </w:trPr>
        <w:tc>
          <w:tcPr>
            <w:tcW w:w="1168" w:type="dxa"/>
          </w:tcPr>
          <w:p w14:paraId="4A34ADE1"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R23</w:t>
            </w:r>
          </w:p>
        </w:tc>
        <w:tc>
          <w:tcPr>
            <w:tcW w:w="1662" w:type="dxa"/>
            <w:vAlign w:val="center"/>
          </w:tcPr>
          <w:p w14:paraId="61FF7C1C"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2149232D"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10.0</w:t>
            </w:r>
          </w:p>
        </w:tc>
        <w:tc>
          <w:tcPr>
            <w:tcW w:w="1418" w:type="dxa"/>
            <w:vAlign w:val="center"/>
          </w:tcPr>
          <w:p w14:paraId="0DD7497F"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2.0</w:t>
            </w:r>
          </w:p>
        </w:tc>
      </w:tr>
      <w:tr w:rsidR="000155DA" w:rsidRPr="000155DA" w14:paraId="4FF7B832" w14:textId="77777777" w:rsidTr="007A4F7A">
        <w:trPr>
          <w:jc w:val="center"/>
        </w:trPr>
        <w:tc>
          <w:tcPr>
            <w:tcW w:w="1168" w:type="dxa"/>
          </w:tcPr>
          <w:p w14:paraId="7140B9DE"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R26</w:t>
            </w:r>
          </w:p>
        </w:tc>
        <w:tc>
          <w:tcPr>
            <w:tcW w:w="1662" w:type="dxa"/>
            <w:vAlign w:val="center"/>
          </w:tcPr>
          <w:p w14:paraId="5B277820"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143854D8"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10.0</w:t>
            </w:r>
          </w:p>
        </w:tc>
        <w:tc>
          <w:tcPr>
            <w:tcW w:w="1418" w:type="dxa"/>
            <w:vAlign w:val="center"/>
          </w:tcPr>
          <w:p w14:paraId="501BA78D"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2.0</w:t>
            </w:r>
          </w:p>
        </w:tc>
      </w:tr>
      <w:tr w:rsidR="000155DA" w:rsidRPr="000155DA" w14:paraId="11661B12" w14:textId="77777777" w:rsidTr="007A4F7A">
        <w:trPr>
          <w:jc w:val="center"/>
        </w:trPr>
        <w:tc>
          <w:tcPr>
            <w:tcW w:w="1168" w:type="dxa"/>
          </w:tcPr>
          <w:p w14:paraId="6D62262F"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R28</w:t>
            </w:r>
          </w:p>
        </w:tc>
        <w:tc>
          <w:tcPr>
            <w:tcW w:w="1662" w:type="dxa"/>
            <w:vAlign w:val="center"/>
          </w:tcPr>
          <w:p w14:paraId="695FD8FA"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1D13CB0F"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418" w:type="dxa"/>
            <w:vAlign w:val="center"/>
          </w:tcPr>
          <w:p w14:paraId="1B61C8EE"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w:t>
            </w:r>
          </w:p>
        </w:tc>
      </w:tr>
      <w:tr w:rsidR="000155DA" w:rsidRPr="000155DA" w14:paraId="1EF167D0" w14:textId="77777777" w:rsidTr="007A4F7A">
        <w:trPr>
          <w:jc w:val="center"/>
        </w:trPr>
        <w:tc>
          <w:tcPr>
            <w:tcW w:w="1168" w:type="dxa"/>
          </w:tcPr>
          <w:p w14:paraId="15293564"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R29</w:t>
            </w:r>
          </w:p>
        </w:tc>
        <w:tc>
          <w:tcPr>
            <w:tcW w:w="1662" w:type="dxa"/>
            <w:vAlign w:val="center"/>
          </w:tcPr>
          <w:p w14:paraId="68F20B7A"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28AF3278"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418" w:type="dxa"/>
            <w:vAlign w:val="center"/>
          </w:tcPr>
          <w:p w14:paraId="642FF5B1"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w:t>
            </w:r>
          </w:p>
        </w:tc>
      </w:tr>
      <w:tr w:rsidR="000155DA" w:rsidRPr="000155DA" w14:paraId="1C2E9602" w14:textId="77777777" w:rsidTr="007A4F7A">
        <w:trPr>
          <w:jc w:val="center"/>
        </w:trPr>
        <w:tc>
          <w:tcPr>
            <w:tcW w:w="1168" w:type="dxa"/>
          </w:tcPr>
          <w:p w14:paraId="2E28483E"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R32</w:t>
            </w:r>
          </w:p>
        </w:tc>
        <w:tc>
          <w:tcPr>
            <w:tcW w:w="1662" w:type="dxa"/>
            <w:vAlign w:val="center"/>
          </w:tcPr>
          <w:p w14:paraId="5A683668"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6AFC2359"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10.0</w:t>
            </w:r>
          </w:p>
        </w:tc>
        <w:tc>
          <w:tcPr>
            <w:tcW w:w="1418" w:type="dxa"/>
            <w:vAlign w:val="center"/>
          </w:tcPr>
          <w:p w14:paraId="65E4F8ED"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2.0</w:t>
            </w:r>
          </w:p>
        </w:tc>
      </w:tr>
      <w:tr w:rsidR="000155DA" w:rsidRPr="000155DA" w14:paraId="37134026" w14:textId="77777777" w:rsidTr="007A4F7A">
        <w:trPr>
          <w:jc w:val="center"/>
        </w:trPr>
        <w:tc>
          <w:tcPr>
            <w:tcW w:w="1168" w:type="dxa"/>
          </w:tcPr>
          <w:p w14:paraId="423D9282"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R39</w:t>
            </w:r>
          </w:p>
        </w:tc>
        <w:tc>
          <w:tcPr>
            <w:tcW w:w="1662" w:type="dxa"/>
            <w:vAlign w:val="center"/>
          </w:tcPr>
          <w:p w14:paraId="4F2A5F84"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279F2013"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10.0</w:t>
            </w:r>
          </w:p>
        </w:tc>
        <w:tc>
          <w:tcPr>
            <w:tcW w:w="1418" w:type="dxa"/>
            <w:vAlign w:val="center"/>
          </w:tcPr>
          <w:p w14:paraId="1E9E3991"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2.0</w:t>
            </w:r>
          </w:p>
        </w:tc>
      </w:tr>
      <w:tr w:rsidR="000155DA" w:rsidRPr="000155DA" w14:paraId="25FD48E8" w14:textId="77777777" w:rsidTr="007A4F7A">
        <w:trPr>
          <w:trHeight w:val="153"/>
          <w:jc w:val="center"/>
        </w:trPr>
        <w:tc>
          <w:tcPr>
            <w:tcW w:w="1168" w:type="dxa"/>
          </w:tcPr>
          <w:p w14:paraId="7890CECA"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R40</w:t>
            </w:r>
          </w:p>
        </w:tc>
        <w:tc>
          <w:tcPr>
            <w:tcW w:w="1662" w:type="dxa"/>
            <w:vAlign w:val="center"/>
          </w:tcPr>
          <w:p w14:paraId="665A052E"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2685A1D6"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418" w:type="dxa"/>
            <w:vAlign w:val="center"/>
          </w:tcPr>
          <w:p w14:paraId="6F9E4656"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w:t>
            </w:r>
          </w:p>
        </w:tc>
      </w:tr>
      <w:tr w:rsidR="000155DA" w:rsidRPr="000155DA" w14:paraId="28FC5BC4" w14:textId="77777777" w:rsidTr="007A4F7A">
        <w:trPr>
          <w:trHeight w:val="145"/>
          <w:jc w:val="center"/>
        </w:trPr>
        <w:tc>
          <w:tcPr>
            <w:tcW w:w="1168" w:type="dxa"/>
            <w:tcBorders>
              <w:bottom w:val="inset" w:sz="6" w:space="0" w:color="auto"/>
            </w:tcBorders>
          </w:tcPr>
          <w:p w14:paraId="00E2A2E8"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R41</w:t>
            </w:r>
          </w:p>
        </w:tc>
        <w:tc>
          <w:tcPr>
            <w:tcW w:w="1662" w:type="dxa"/>
            <w:tcBorders>
              <w:bottom w:val="inset" w:sz="6" w:space="0" w:color="auto"/>
            </w:tcBorders>
            <w:vAlign w:val="center"/>
          </w:tcPr>
          <w:p w14:paraId="119061B8"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tcBorders>
              <w:bottom w:val="inset" w:sz="6" w:space="0" w:color="auto"/>
            </w:tcBorders>
            <w:vAlign w:val="center"/>
          </w:tcPr>
          <w:p w14:paraId="6B01959A"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10.0</w:t>
            </w:r>
          </w:p>
        </w:tc>
        <w:tc>
          <w:tcPr>
            <w:tcW w:w="1418" w:type="dxa"/>
            <w:tcBorders>
              <w:bottom w:val="inset" w:sz="6" w:space="0" w:color="auto"/>
            </w:tcBorders>
            <w:vAlign w:val="center"/>
          </w:tcPr>
          <w:p w14:paraId="36D51E68"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2.0</w:t>
            </w:r>
          </w:p>
        </w:tc>
      </w:tr>
    </w:tbl>
    <w:p w14:paraId="74593BD3" w14:textId="77777777" w:rsidR="000155DA" w:rsidRPr="00FB3A86" w:rsidRDefault="007A4F7A" w:rsidP="007A4F7A">
      <w:pPr>
        <w:pStyle w:val="Head1"/>
        <w:spacing w:before="240"/>
        <w:jc w:val="both"/>
        <w:rPr>
          <w:rFonts w:ascii="Arial" w:hAnsi="Arial" w:cs="Arial"/>
        </w:rPr>
      </w:pPr>
      <w:r>
        <w:rPr>
          <w:rFonts w:ascii="Arial" w:hAnsi="Arial" w:cs="Arial"/>
          <w:caps w:val="0"/>
        </w:rPr>
        <w:t>3.2. Discussion</w:t>
      </w:r>
    </w:p>
    <w:p w14:paraId="4E433312" w14:textId="77777777" w:rsidR="00FD1AD8" w:rsidRPr="00B7720F" w:rsidRDefault="00FD1AD8" w:rsidP="00FD1AD8">
      <w:pPr>
        <w:pStyle w:val="Body"/>
        <w:spacing w:after="0"/>
        <w:rPr>
          <w:rFonts w:ascii="Arial" w:hAnsi="Arial" w:cs="Arial"/>
          <w:bCs/>
        </w:rPr>
      </w:pPr>
      <w:r w:rsidRPr="00B7720F">
        <w:rPr>
          <w:rFonts w:ascii="Arial" w:hAnsi="Arial" w:cs="Arial"/>
          <w:bCs/>
        </w:rPr>
        <w:t xml:space="preserve">Qualitative analysis of extracts from </w:t>
      </w:r>
      <w:r w:rsidRPr="00B7720F">
        <w:rPr>
          <w:rFonts w:ascii="Arial" w:hAnsi="Arial" w:cs="Arial"/>
          <w:bCs/>
          <w:i/>
          <w:iCs/>
        </w:rPr>
        <w:t>Moringa oleifera</w:t>
      </w:r>
      <w:r w:rsidRPr="00B7720F">
        <w:rPr>
          <w:rFonts w:ascii="Arial" w:hAnsi="Arial" w:cs="Arial"/>
          <w:bCs/>
        </w:rPr>
        <w:t xml:space="preserve"> and </w:t>
      </w:r>
      <w:r w:rsidRPr="00B7720F">
        <w:rPr>
          <w:rFonts w:ascii="Arial" w:hAnsi="Arial" w:cs="Arial"/>
          <w:bCs/>
          <w:i/>
          <w:iCs/>
        </w:rPr>
        <w:t>Senna occidentalis</w:t>
      </w:r>
      <w:r w:rsidRPr="00B7720F">
        <w:rPr>
          <w:rFonts w:ascii="Arial" w:hAnsi="Arial" w:cs="Arial"/>
          <w:bCs/>
        </w:rPr>
        <w:t xml:space="preserve"> revealed a significant diversity of chemical compounds. These compounds varied based on the plant part and the type of solvent used for extraction.</w:t>
      </w:r>
    </w:p>
    <w:p w14:paraId="030B2657" w14:textId="77777777" w:rsidR="00FD1AD8" w:rsidRPr="00B7720F" w:rsidRDefault="00FD1AD8" w:rsidP="00FD1AD8">
      <w:pPr>
        <w:pStyle w:val="Body"/>
        <w:numPr>
          <w:ilvl w:val="0"/>
          <w:numId w:val="32"/>
        </w:numPr>
        <w:spacing w:after="0"/>
        <w:rPr>
          <w:rFonts w:ascii="Arial" w:hAnsi="Arial" w:cs="Arial"/>
          <w:bCs/>
        </w:rPr>
      </w:pPr>
      <w:r w:rsidRPr="00B7720F">
        <w:rPr>
          <w:rFonts w:ascii="Arial" w:hAnsi="Arial" w:cs="Arial"/>
          <w:bCs/>
        </w:rPr>
        <w:t xml:space="preserve">The </w:t>
      </w:r>
      <w:r w:rsidRPr="00B7720F">
        <w:rPr>
          <w:rFonts w:ascii="Arial" w:hAnsi="Arial" w:cs="Arial"/>
          <w:b/>
          <w:bCs/>
        </w:rPr>
        <w:t>dichloromethane fraction</w:t>
      </w:r>
      <w:r w:rsidRPr="00B7720F">
        <w:rPr>
          <w:rFonts w:ascii="Arial" w:hAnsi="Arial" w:cs="Arial"/>
          <w:bCs/>
        </w:rPr>
        <w:t xml:space="preserve"> was rich in lipophilic compounds such as </w:t>
      </w:r>
      <w:r w:rsidRPr="00B7720F">
        <w:rPr>
          <w:rFonts w:ascii="Arial" w:hAnsi="Arial" w:cs="Arial"/>
          <w:b/>
          <w:bCs/>
        </w:rPr>
        <w:t>sterols</w:t>
      </w:r>
      <w:r w:rsidRPr="00B7720F">
        <w:rPr>
          <w:rFonts w:ascii="Arial" w:hAnsi="Arial" w:cs="Arial"/>
          <w:bCs/>
        </w:rPr>
        <w:t xml:space="preserve"> and </w:t>
      </w:r>
      <w:r w:rsidRPr="00B7720F">
        <w:rPr>
          <w:rFonts w:ascii="Arial" w:hAnsi="Arial" w:cs="Arial"/>
          <w:b/>
          <w:bCs/>
        </w:rPr>
        <w:t>triterpenes</w:t>
      </w:r>
      <w:r w:rsidRPr="00B7720F">
        <w:rPr>
          <w:rFonts w:ascii="Arial" w:hAnsi="Arial" w:cs="Arial"/>
          <w:bCs/>
        </w:rPr>
        <w:t>.</w:t>
      </w:r>
    </w:p>
    <w:p w14:paraId="5DCA8130" w14:textId="77777777" w:rsidR="00FD1AD8" w:rsidRPr="00B7720F" w:rsidRDefault="00FD1AD8" w:rsidP="00FD1AD8">
      <w:pPr>
        <w:pStyle w:val="Body"/>
        <w:numPr>
          <w:ilvl w:val="0"/>
          <w:numId w:val="32"/>
        </w:numPr>
        <w:spacing w:after="0"/>
        <w:rPr>
          <w:rFonts w:ascii="Arial" w:hAnsi="Arial" w:cs="Arial"/>
          <w:bCs/>
        </w:rPr>
      </w:pPr>
      <w:r w:rsidRPr="00B7720F">
        <w:rPr>
          <w:rFonts w:ascii="Arial" w:hAnsi="Arial" w:cs="Arial"/>
          <w:bCs/>
        </w:rPr>
        <w:t xml:space="preserve">The </w:t>
      </w:r>
      <w:r w:rsidRPr="00B7720F">
        <w:rPr>
          <w:rFonts w:ascii="Arial" w:hAnsi="Arial" w:cs="Arial"/>
          <w:b/>
          <w:bCs/>
        </w:rPr>
        <w:t>hydroalcoholic fraction</w:t>
      </w:r>
      <w:r w:rsidRPr="00B7720F">
        <w:rPr>
          <w:rFonts w:ascii="Arial" w:hAnsi="Arial" w:cs="Arial"/>
          <w:bCs/>
        </w:rPr>
        <w:t xml:space="preserve"> contained glycosylated forms of sterols and triterpenes, as well as a high concentration of </w:t>
      </w:r>
      <w:proofErr w:type="spellStart"/>
      <w:r w:rsidRPr="00B7720F">
        <w:rPr>
          <w:rFonts w:ascii="Arial" w:hAnsi="Arial" w:cs="Arial"/>
          <w:b/>
          <w:bCs/>
        </w:rPr>
        <w:t>anthracenosides</w:t>
      </w:r>
      <w:proofErr w:type="spellEnd"/>
      <w:r w:rsidRPr="00B7720F">
        <w:rPr>
          <w:rFonts w:ascii="Arial" w:hAnsi="Arial" w:cs="Arial"/>
          <w:bCs/>
        </w:rPr>
        <w:t xml:space="preserve"> in </w:t>
      </w:r>
      <w:r w:rsidRPr="00B7720F">
        <w:rPr>
          <w:rFonts w:ascii="Arial" w:hAnsi="Arial" w:cs="Arial"/>
          <w:bCs/>
          <w:i/>
          <w:iCs/>
        </w:rPr>
        <w:t>S. occidentalis</w:t>
      </w:r>
      <w:r w:rsidRPr="00B7720F">
        <w:rPr>
          <w:rFonts w:ascii="Arial" w:hAnsi="Arial" w:cs="Arial"/>
          <w:bCs/>
        </w:rPr>
        <w:t>.</w:t>
      </w:r>
    </w:p>
    <w:p w14:paraId="3CCB0760" w14:textId="77777777" w:rsidR="00FD1AD8" w:rsidRPr="00B7720F" w:rsidRDefault="00FD1AD8" w:rsidP="00FD1AD8">
      <w:pPr>
        <w:pStyle w:val="Body"/>
        <w:numPr>
          <w:ilvl w:val="0"/>
          <w:numId w:val="32"/>
        </w:numPr>
        <w:spacing w:after="0"/>
        <w:rPr>
          <w:rFonts w:ascii="Arial" w:hAnsi="Arial" w:cs="Arial"/>
          <w:bCs/>
        </w:rPr>
      </w:pPr>
      <w:r w:rsidRPr="00B7720F">
        <w:rPr>
          <w:rFonts w:ascii="Arial" w:hAnsi="Arial" w:cs="Arial"/>
          <w:bCs/>
        </w:rPr>
        <w:t xml:space="preserve">The </w:t>
      </w:r>
      <w:r w:rsidRPr="00B7720F">
        <w:rPr>
          <w:rFonts w:ascii="Arial" w:hAnsi="Arial" w:cs="Arial"/>
          <w:b/>
          <w:bCs/>
        </w:rPr>
        <w:t>non-hydrolyzed fraction</w:t>
      </w:r>
      <w:r w:rsidRPr="00B7720F">
        <w:rPr>
          <w:rFonts w:ascii="Arial" w:hAnsi="Arial" w:cs="Arial"/>
          <w:bCs/>
        </w:rPr>
        <w:t xml:space="preserve"> showed a strong presence of </w:t>
      </w:r>
      <w:r w:rsidRPr="00B7720F">
        <w:rPr>
          <w:rFonts w:ascii="Arial" w:hAnsi="Arial" w:cs="Arial"/>
          <w:b/>
          <w:bCs/>
        </w:rPr>
        <w:t>tannins</w:t>
      </w:r>
      <w:r w:rsidRPr="00B7720F">
        <w:rPr>
          <w:rFonts w:ascii="Arial" w:hAnsi="Arial" w:cs="Arial"/>
          <w:bCs/>
        </w:rPr>
        <w:t xml:space="preserve"> in </w:t>
      </w:r>
      <w:r w:rsidRPr="00B7720F">
        <w:rPr>
          <w:rFonts w:ascii="Arial" w:hAnsi="Arial" w:cs="Arial"/>
          <w:bCs/>
          <w:i/>
          <w:iCs/>
        </w:rPr>
        <w:t>M. oleifera</w:t>
      </w:r>
      <w:r w:rsidRPr="00B7720F">
        <w:rPr>
          <w:rFonts w:ascii="Arial" w:hAnsi="Arial" w:cs="Arial"/>
          <w:bCs/>
        </w:rPr>
        <w:t xml:space="preserve"> leaves and </w:t>
      </w:r>
      <w:r w:rsidRPr="00B7720F">
        <w:rPr>
          <w:rFonts w:ascii="Arial" w:hAnsi="Arial" w:cs="Arial"/>
          <w:b/>
          <w:bCs/>
        </w:rPr>
        <w:t>saponins</w:t>
      </w:r>
      <w:r w:rsidRPr="00B7720F">
        <w:rPr>
          <w:rFonts w:ascii="Arial" w:hAnsi="Arial" w:cs="Arial"/>
          <w:bCs/>
        </w:rPr>
        <w:t xml:space="preserve"> in </w:t>
      </w:r>
      <w:r w:rsidRPr="00B7720F">
        <w:rPr>
          <w:rFonts w:ascii="Arial" w:hAnsi="Arial" w:cs="Arial"/>
          <w:bCs/>
          <w:i/>
          <w:iCs/>
        </w:rPr>
        <w:t>S. occidentalis</w:t>
      </w:r>
      <w:r w:rsidRPr="00B7720F">
        <w:rPr>
          <w:rFonts w:ascii="Arial" w:hAnsi="Arial" w:cs="Arial"/>
          <w:bCs/>
        </w:rPr>
        <w:t>.</w:t>
      </w:r>
    </w:p>
    <w:p w14:paraId="53E6BECC" w14:textId="77777777" w:rsidR="00FD1AD8" w:rsidRPr="00B7720F" w:rsidRDefault="00FD1AD8" w:rsidP="00FD1AD8">
      <w:pPr>
        <w:pStyle w:val="Body"/>
        <w:rPr>
          <w:rFonts w:ascii="Arial" w:hAnsi="Arial" w:cs="Arial"/>
          <w:bCs/>
        </w:rPr>
      </w:pPr>
      <w:r w:rsidRPr="00B7720F">
        <w:rPr>
          <w:rFonts w:ascii="Arial" w:hAnsi="Arial" w:cs="Arial"/>
          <w:bCs/>
        </w:rPr>
        <w:t>This rich combination of compounds suggests significant therapeutic potential, particularly for antioxidant, antimicrobial, and anti-inflammatory activities.</w:t>
      </w:r>
    </w:p>
    <w:p w14:paraId="16A2EE17" w14:textId="77777777" w:rsidR="000155DA" w:rsidRPr="002829E9" w:rsidRDefault="000155DA" w:rsidP="000155DA">
      <w:pPr>
        <w:pStyle w:val="Body"/>
        <w:rPr>
          <w:rFonts w:ascii="Arial" w:hAnsi="Arial" w:cs="Arial"/>
          <w:bCs/>
        </w:rPr>
      </w:pPr>
      <w:r w:rsidRPr="002829E9">
        <w:rPr>
          <w:rFonts w:ascii="Arial" w:hAnsi="Arial" w:cs="Arial"/>
          <w:bCs/>
        </w:rPr>
        <w:t xml:space="preserve">Although the results show an interesting antibacterial activity of </w:t>
      </w:r>
      <w:r w:rsidRPr="002829E9">
        <w:rPr>
          <w:rFonts w:ascii="Arial" w:hAnsi="Arial" w:cs="Arial"/>
          <w:bCs/>
          <w:i/>
          <w:iCs/>
        </w:rPr>
        <w:t xml:space="preserve">Moringa oleifera </w:t>
      </w:r>
      <w:r w:rsidRPr="002829E9">
        <w:rPr>
          <w:rFonts w:ascii="Arial" w:hAnsi="Arial" w:cs="Arial"/>
          <w:bCs/>
        </w:rPr>
        <w:t xml:space="preserve">extracts, it remains </w:t>
      </w:r>
      <w:r w:rsidRPr="002829E9">
        <w:rPr>
          <w:rFonts w:ascii="Arial" w:hAnsi="Arial" w:cs="Arial"/>
          <w:b/>
          <w:bCs/>
        </w:rPr>
        <w:t xml:space="preserve">moderate compared to the standard antibiotic </w:t>
      </w:r>
      <w:r w:rsidRPr="002829E9">
        <w:rPr>
          <w:rFonts w:ascii="Arial" w:hAnsi="Arial" w:cs="Arial"/>
          <w:bCs/>
        </w:rPr>
        <w:t xml:space="preserve">used as a positive control. This difference highlights the need to </w:t>
      </w:r>
      <w:r w:rsidRPr="002829E9">
        <w:rPr>
          <w:rFonts w:ascii="Arial" w:hAnsi="Arial" w:cs="Arial"/>
          <w:b/>
          <w:bCs/>
        </w:rPr>
        <w:t xml:space="preserve">concentrate or purify the active fractions </w:t>
      </w:r>
      <w:r w:rsidRPr="002829E9">
        <w:rPr>
          <w:rFonts w:ascii="Arial" w:hAnsi="Arial" w:cs="Arial"/>
          <w:bCs/>
        </w:rPr>
        <w:t xml:space="preserve">to improve efficacy. In addition, </w:t>
      </w:r>
      <w:r w:rsidRPr="002829E9">
        <w:rPr>
          <w:rFonts w:ascii="Arial" w:hAnsi="Arial" w:cs="Arial"/>
          <w:b/>
          <w:bCs/>
        </w:rPr>
        <w:t xml:space="preserve">synergy </w:t>
      </w:r>
      <w:r w:rsidRPr="002829E9">
        <w:rPr>
          <w:rFonts w:ascii="Arial" w:hAnsi="Arial" w:cs="Arial"/>
          <w:bCs/>
        </w:rPr>
        <w:t xml:space="preserve">tests </w:t>
      </w:r>
      <w:r w:rsidRPr="002829E9">
        <w:rPr>
          <w:rFonts w:ascii="Arial" w:hAnsi="Arial" w:cs="Arial"/>
          <w:b/>
          <w:bCs/>
        </w:rPr>
        <w:t xml:space="preserve">with conventional antibiotics </w:t>
      </w:r>
      <w:r w:rsidRPr="002829E9">
        <w:rPr>
          <w:rFonts w:ascii="Arial" w:hAnsi="Arial" w:cs="Arial"/>
          <w:bCs/>
        </w:rPr>
        <w:t xml:space="preserve">could be considered, as suggested in the studies by </w:t>
      </w:r>
      <w:r w:rsidR="00A20A8C" w:rsidRPr="00A20A8C">
        <w:rPr>
          <w:rFonts w:ascii="Arial" w:hAnsi="Arial" w:cs="Arial"/>
          <w:bCs/>
          <w:lang w:val="fr-FR"/>
        </w:rPr>
        <w:fldChar w:fldCharType="begin" w:fldLock="1"/>
      </w:r>
      <w:r w:rsidR="00A20A8C" w:rsidRPr="002829E9">
        <w:rPr>
          <w:rFonts w:ascii="Arial" w:hAnsi="Arial" w:cs="Arial"/>
          <w:bCs/>
        </w:rPr>
        <w:instrText xml:space="preserve">ADDIN CSL_CITATION {"citationItems":[{"id":"ITEM-1","itemData":{"DOI":"10.1155/2012/623723","ISSN":"1741427X","abstract":"The present work was designed to assess the antibacterial properties of the methanol extracts of some Cameroonian medicinal plants and the effect of their associations with currently used antibiotics on multidrug resistant (MDR) Gram-negative bacteria overexpressing active efflux pumps. The antibacterial activities of twelve methanol extracts of medicinal plants were evaluated using broth microdilution. The results of this test showed that three extracts Garcinia lucida with the minimal inhibitory concentrations (MIC) varying from 128 to 512 </w:instrText>
      </w:r>
      <w:r w:rsidR="00A20A8C" w:rsidRPr="00A20A8C">
        <w:rPr>
          <w:rFonts w:ascii="Arial" w:hAnsi="Arial" w:cs="Arial"/>
          <w:bCs/>
          <w:lang w:val="fr-FR"/>
        </w:rPr>
        <w:instrText>μ</w:instrText>
      </w:r>
      <w:r w:rsidR="00A20A8C" w:rsidRPr="002829E9">
        <w:rPr>
          <w:rFonts w:ascii="Arial" w:hAnsi="Arial" w:cs="Arial"/>
          <w:bCs/>
        </w:rPr>
        <w:instrText xml:space="preserve">g/mL, Garcinia kola (MIC of 256 to 1024 </w:instrText>
      </w:r>
      <w:r w:rsidR="00A20A8C" w:rsidRPr="00A20A8C">
        <w:rPr>
          <w:rFonts w:ascii="Arial" w:hAnsi="Arial" w:cs="Arial"/>
          <w:bCs/>
          <w:lang w:val="fr-FR"/>
        </w:rPr>
        <w:instrText>μ</w:instrText>
      </w:r>
      <w:r w:rsidR="00A20A8C" w:rsidRPr="002829E9">
        <w:rPr>
          <w:rFonts w:ascii="Arial" w:hAnsi="Arial" w:cs="Arial"/>
          <w:bCs/>
        </w:rPr>
        <w:instrText xml:space="preserve">g/mL), and Picralima nitida (MIC of 128 to 1024 </w:instrText>
      </w:r>
      <w:r w:rsidR="00A20A8C" w:rsidRPr="00A20A8C">
        <w:rPr>
          <w:rFonts w:ascii="Arial" w:hAnsi="Arial" w:cs="Arial"/>
          <w:bCs/>
          <w:lang w:val="fr-FR"/>
        </w:rPr>
        <w:instrText>μ</w:instrText>
      </w:r>
      <w:r w:rsidR="00A20A8C" w:rsidRPr="002829E9">
        <w:rPr>
          <w:rFonts w:ascii="Arial" w:hAnsi="Arial" w:cs="Arial"/>
          <w:bCs/>
        </w:rPr>
        <w:instrText xml:space="preserve">g/mL) were active on all the twenty-nine studied bacteria including MDR phenotypes. The association of phenylalanine arginine </w:instrText>
      </w:r>
      <w:r w:rsidR="00A20A8C" w:rsidRPr="00A20A8C">
        <w:rPr>
          <w:rFonts w:ascii="Arial" w:hAnsi="Arial" w:cs="Arial"/>
          <w:bCs/>
          <w:lang w:val="fr-FR"/>
        </w:rPr>
        <w:instrText>β</w:instrText>
      </w:r>
      <w:r w:rsidR="00A20A8C" w:rsidRPr="002829E9">
        <w:rPr>
          <w:rFonts w:ascii="Arial" w:hAnsi="Arial" w:cs="Arial"/>
          <w:bCs/>
        </w:rPr>
        <w:instrText>-naphthylamide (PA</w:instrText>
      </w:r>
      <w:r w:rsidR="00A20A8C" w:rsidRPr="00A20A8C">
        <w:rPr>
          <w:rFonts w:ascii="Arial" w:hAnsi="Arial" w:cs="Arial"/>
          <w:bCs/>
          <w:lang w:val="fr-FR"/>
        </w:rPr>
        <w:instrText>β</w:instrText>
      </w:r>
      <w:r w:rsidR="00A20A8C" w:rsidRPr="002829E9">
        <w:rPr>
          <w:rFonts w:ascii="Arial" w:hAnsi="Arial" w:cs="Arial"/>
          <w:bCs/>
        </w:rPr>
        <w:instrText>N or efflux pumps inhibitor) to different extracts did not modify their activities. At the concentration of MIC/2 and MIC/5, the extracts of P. nitida and G. kola improved the antibacterial activities of some commonly used antibiotics suggesting their synergistic effects with the tested antibiotics. The results of this study suggest that the tested plant extracts and mostly those from P. nitida, G. lucida and G. kola could be used alone or in association with common antibiotics in the fight of bacterial infections involving MDR strains. Copyright 2012 Stephen T. Lacmata et al.","author":[{"dropping-particle":"","family":"Lacmata","given":"Stephen T.","non-dropping-particle":"","parse-names":false,"suffix":""},{"dropping-particle":"","family":"Kuete","given":"Victor","non-dropping-particle":"","parse-names":false,"suffix":""},{"dropping-particle":"","family":"Dzoyem","given":"Jean P.","non-dropping-particle":"","parse-names":false,"suffix":""},{"dropping-particle":"","family":"Tankeo","given":"Simplice B.","non-dropping-particle":"","parse-names":false,"suffix":""},{"dropping-particle":"","family":"Teke","given":"Gerald Ngo","non-dropping-particle":"","parse-names":false,"suffix":""},{"dropping-particle":"","family":"Kuiate","given":"Jules R","non-dropping-particle":"","parse-names":false,"suffix":""},{"dropping-particle":"","family":"Pages","given":"Jean Marie","non-dropping-particle":"","parse-names":false,"suffix":""}],"container-title":"Evidence-based Complementary and Alternative Medicine","id":"ITEM-1","issued":{"date-parts":[["2012"]]},"title":"Antibacterial activities of selected cameroonian plants and their synergistic effects with antibiotics against bacteria expressing MDR phenotypes","type":"article-journal","volume":"2012"},"uris":["http://www.mendeley.com/documents/?uuid=b0a803ee-511c-45a9-8a69-642a5b17d076"]}],"mendeley":{"formattedCitation":"(Lacmata et al., 2012)","manualFormatting":"Lacmata et al., (2012)","plainTextFormattedCitation":"(Lacmata et al., 2012)","previouslyFormattedCitation":"(Lacmata et al., 2012)"},"properties":{"noteIndex":0},"schema":"https://github.com/citation-style-language/schema/raw/master/csl-citation.json"}</w:instrText>
      </w:r>
      <w:r w:rsidR="00A20A8C" w:rsidRPr="00A20A8C">
        <w:rPr>
          <w:rFonts w:ascii="Arial" w:hAnsi="Arial" w:cs="Arial"/>
          <w:bCs/>
          <w:lang w:val="fr-FR"/>
        </w:rPr>
        <w:fldChar w:fldCharType="separate"/>
      </w:r>
      <w:r w:rsidR="00A20A8C" w:rsidRPr="002829E9">
        <w:rPr>
          <w:rFonts w:ascii="Arial" w:hAnsi="Arial" w:cs="Arial"/>
          <w:bCs/>
        </w:rPr>
        <w:t xml:space="preserve">Lacmata </w:t>
      </w:r>
      <w:r w:rsidR="00AC67BB" w:rsidRPr="002829E9">
        <w:rPr>
          <w:rFonts w:ascii="Arial" w:hAnsi="Arial" w:cs="Arial"/>
          <w:bCs/>
          <w:i/>
        </w:rPr>
        <w:t>et al.</w:t>
      </w:r>
      <w:r w:rsidR="00A20A8C" w:rsidRPr="002829E9">
        <w:rPr>
          <w:rFonts w:ascii="Arial" w:hAnsi="Arial" w:cs="Arial"/>
          <w:bCs/>
        </w:rPr>
        <w:t>, (2012)</w:t>
      </w:r>
      <w:r w:rsidR="00A20A8C" w:rsidRPr="00A20A8C">
        <w:rPr>
          <w:rFonts w:ascii="Arial" w:hAnsi="Arial" w:cs="Arial"/>
          <w:bCs/>
          <w:lang w:val="fr-FR"/>
        </w:rPr>
        <w:fldChar w:fldCharType="end"/>
      </w:r>
      <w:r w:rsidRPr="002829E9">
        <w:rPr>
          <w:rFonts w:ascii="Arial" w:hAnsi="Arial" w:cs="Arial"/>
          <w:bCs/>
        </w:rPr>
        <w:t>.</w:t>
      </w:r>
    </w:p>
    <w:p w14:paraId="0394B071" w14:textId="182A68B7" w:rsidR="000155DA" w:rsidRPr="002829E9" w:rsidRDefault="000155DA" w:rsidP="000155DA">
      <w:pPr>
        <w:pStyle w:val="Body"/>
        <w:rPr>
          <w:rFonts w:ascii="Arial" w:hAnsi="Arial" w:cs="Arial"/>
          <w:bCs/>
        </w:rPr>
      </w:pPr>
      <w:r w:rsidRPr="002829E9">
        <w:rPr>
          <w:rFonts w:ascii="Arial" w:hAnsi="Arial" w:cs="Arial"/>
          <w:bCs/>
        </w:rPr>
        <w:t xml:space="preserve">The results obtained suggest that some of the plant extracts tested possess significant antibacterial activity, comparable to the reference antibiotics used as positive controls. This indicates the probable presence of bioactive secondary metabolites such as flavonoids, tannins, saponins, triterpenes and alkaloids, widely </w:t>
      </w:r>
      <w:proofErr w:type="spellStart"/>
      <w:r w:rsidRPr="002829E9">
        <w:rPr>
          <w:rFonts w:ascii="Arial" w:hAnsi="Arial" w:cs="Arial"/>
          <w:bCs/>
        </w:rPr>
        <w:t>recognised</w:t>
      </w:r>
      <w:proofErr w:type="spellEnd"/>
      <w:r w:rsidRPr="002829E9">
        <w:rPr>
          <w:rFonts w:ascii="Arial" w:hAnsi="Arial" w:cs="Arial"/>
          <w:bCs/>
        </w:rPr>
        <w:t xml:space="preserve"> for their antimicrobial properties </w:t>
      </w:r>
      <w:r w:rsidR="00A20A8C" w:rsidRPr="00A20A8C">
        <w:rPr>
          <w:rFonts w:ascii="Arial" w:hAnsi="Arial" w:cs="Arial"/>
          <w:bCs/>
          <w:lang w:val="fr-FR"/>
        </w:rPr>
        <w:fldChar w:fldCharType="begin" w:fldLock="1"/>
      </w:r>
      <w:r w:rsidR="00A20A8C" w:rsidRPr="002829E9">
        <w:rPr>
          <w:rFonts w:ascii="Arial" w:hAnsi="Arial" w:cs="Arial"/>
          <w:bCs/>
        </w:rPr>
        <w:instrText>ADDIN CSL_CITATION {"citationItems":[{"id":"ITEM-1","itemData":{"DOI":"10.1016/j.foodres.2010.10.005","ISSN":"0963-9969","author":[{"dropping-particle":"","family":"Barros","given":"Lillian","non-dropping-particle":"","parse-names":false,"suffix":""},{"dropping-particle":"","family":"Carvalho","given":"Ana Maria","non-dropping-particle":"","parse-names":false,"suffix":""},{"dropping-particle":"","family":"Ferreira","given":"Isabel C F R","non-dropping-particle":"","parse-names":false,"suffix":""}],"container-title":"FRIN","id":"ITEM-1","issue":"7","issued":{"date-parts":[["2011"]]},"page":"2233-2236","publisher":"Elsevier Ltd","title":"Exotic fruits as a source of important phytochemicals : Improving the traditional use of Rosa canina fruits in Portugal","type":"article-journal","volume":"44"},"uris":["http://www.mendeley.com/documents/?uuid=967d4c04-1cd5-419b-b189-c2ce813e7b24"]},{"id":"ITEM-2","itemData":{"DOI":"10.3109/9781420019919-17","ISBN":"9781420019919","author":[{"dropping-particle":"","family":"Cowan","given":"Marjorie Murphy","non-dropping-particle":"","parse-names":false,"suffix":""}],"container-title":"CLINICAL MICROBIOLOGY REVIEWS","id":"ITEM-2","issue":"4","issued":{"date-parts":[["1999"]]},"page":"564–582","title":"Plant products as antimicrobial agents","type":"article-journal","volume":"12"},"uris":["http://www.mendeley.com/documents/?uuid=2a37ef4c-6468-4e5e-85df-eaec4455795c"]}],"mendeley":{"formattedCitation":"(Barros et al., 2011; Cowan, 1999)","plainTextFormattedCitation":"(Barros et al., 2011; Cowan, 1999)","previouslyFormattedCitation":"(Barros et al., 2011; Cowan, 1999)"},"properties":{"noteIndex":0},"schema":"https://github.com/citation-style-language/schema/raw/master/csl-citation.json"}</w:instrText>
      </w:r>
      <w:r w:rsidR="00A20A8C" w:rsidRPr="00A20A8C">
        <w:rPr>
          <w:rFonts w:ascii="Arial" w:hAnsi="Arial" w:cs="Arial"/>
          <w:bCs/>
          <w:lang w:val="fr-FR"/>
        </w:rPr>
        <w:fldChar w:fldCharType="separate"/>
      </w:r>
      <w:r w:rsidR="00A20A8C" w:rsidRPr="002829E9">
        <w:rPr>
          <w:rFonts w:ascii="Arial" w:hAnsi="Arial" w:cs="Arial"/>
          <w:bCs/>
        </w:rPr>
        <w:t>(</w:t>
      </w:r>
      <w:r w:rsidR="009F0216" w:rsidRPr="002829E9">
        <w:rPr>
          <w:rFonts w:ascii="Arial" w:hAnsi="Arial" w:cs="Arial"/>
          <w:bCs/>
        </w:rPr>
        <w:t>Cowan, 1999</w:t>
      </w:r>
      <w:r w:rsidR="009F0216">
        <w:rPr>
          <w:rFonts w:ascii="Arial" w:hAnsi="Arial" w:cs="Arial"/>
          <w:bCs/>
        </w:rPr>
        <w:t xml:space="preserve"> ; </w:t>
      </w:r>
      <w:r w:rsidR="00A20A8C" w:rsidRPr="002829E9">
        <w:rPr>
          <w:rFonts w:ascii="Arial" w:hAnsi="Arial" w:cs="Arial"/>
          <w:bCs/>
        </w:rPr>
        <w:t xml:space="preserve">Barros </w:t>
      </w:r>
      <w:r w:rsidR="00AC67BB" w:rsidRPr="002829E9">
        <w:rPr>
          <w:rFonts w:ascii="Arial" w:hAnsi="Arial" w:cs="Arial"/>
          <w:bCs/>
          <w:i/>
        </w:rPr>
        <w:t>et al.</w:t>
      </w:r>
      <w:r w:rsidR="00A20A8C" w:rsidRPr="002829E9">
        <w:rPr>
          <w:rFonts w:ascii="Arial" w:hAnsi="Arial" w:cs="Arial"/>
          <w:bCs/>
        </w:rPr>
        <w:t>, 2011</w:t>
      </w:r>
      <w:r w:rsidR="009F0216">
        <w:rPr>
          <w:rFonts w:ascii="Arial" w:hAnsi="Arial" w:cs="Arial"/>
          <w:bCs/>
        </w:rPr>
        <w:t xml:space="preserve"> </w:t>
      </w:r>
      <w:r w:rsidR="00A20A8C" w:rsidRPr="002829E9">
        <w:rPr>
          <w:rFonts w:ascii="Arial" w:hAnsi="Arial" w:cs="Arial"/>
          <w:bCs/>
        </w:rPr>
        <w:t>;</w:t>
      </w:r>
      <w:r w:rsidR="009F0216">
        <w:rPr>
          <w:rFonts w:ascii="Arial" w:hAnsi="Arial" w:cs="Arial"/>
          <w:bCs/>
        </w:rPr>
        <w:t xml:space="preserve"> </w:t>
      </w:r>
      <w:r w:rsidR="009F0216" w:rsidRPr="00204152">
        <w:rPr>
          <w:rFonts w:ascii="Arial" w:hAnsi="Arial" w:cs="Arial"/>
          <w:lang w:val="fr-FR"/>
        </w:rPr>
        <w:fldChar w:fldCharType="begin" w:fldLock="1"/>
      </w:r>
      <w:r w:rsidR="009F0216" w:rsidRPr="00D04EFB">
        <w:rPr>
          <w:rFonts w:ascii="Arial" w:hAnsi="Arial" w:cs="Arial"/>
        </w:rPr>
        <w:instrText>ADDIN CSL_CITATION {"citationItems":[{"id":"ITEM-1","itemData":{"DOI":"10.1016/S2222-1808(12)60045-0","ISSN":"22221808","abstract":"Objective: To evaluate the antimicrobial activity of hexane, ethyl acetate and methanol extracts of seeds and fruits of Illicium griffithii (I. griffithii)(Family: Schisandraceae). Methods: The antimicrobial activity of the organic extracts were determined using disc diffusion assay against Gram-positive bacterial strains (three reference cultures and three clinical isolates), Gram-negative bacterial strains (nine reference cultures and six clinical isolates), and six fungi. The primary phytochemical and chemical compositions were analyzed using qualitative chemical analysis and gas chromatography-mass spectrometry respectively. Results: Ethyl acetate extract of fruits was effective against most of the te</w:instrText>
      </w:r>
      <w:r w:rsidR="009F0216">
        <w:rPr>
          <w:rFonts w:ascii="Arial" w:hAnsi="Arial" w:cs="Arial"/>
          <w:lang w:val="fr-FR"/>
        </w:rPr>
        <w:instrText>sted reference cultures such as Staphylococcus aureus, Yersinia enterocolitica, Vibrio parahaemolyticus, Bacillus subtilis, Salmonella paratyphi, Enterococcus feacalis, Xanthomonas oryzae and Pseudomonas aerugenosa, whereas methanol extract showed activity only against Staphylococcus aureus, Bacillus subtilis and Xanthomonas oryzae. The hexane and ethyl acetate extracts of fruits were more effective against most of the clinical isolates, whereas methanol extract was effective only against Klebsiella pneumoniae ESBL. The extracts of fruits and seeds did not show any significant antifungal activity against tested fungi. The presence of phenols, tannins, flavonoids, triterpenoids, steroids, alkaloids, saponis and carbohydrates in the different extracts was established. Gas chromatography-mass spectrometry studies on hexane and ethyl acetate extract of fruits resulted in the identification of 31 and 39 compounds respectively. Conclusions: Potent antibacterial phytochemicals are present in ethyl acetate extract of I. griffithii fruits. Further studies are needed to investigate activities of I. griffithii against multidrug resistant bacteria. © 2012 Asian Pacific Tr</w:instrText>
      </w:r>
      <w:r w:rsidR="009F0216" w:rsidRPr="00D04EFB">
        <w:rPr>
          <w:rFonts w:ascii="Arial" w:hAnsi="Arial" w:cs="Arial"/>
        </w:rPr>
        <w:instrText>opical Medicine Press.","author":[{"dropping-particle":"","family":"Vijayakumar","given":"A.","non-dropping-particle":"","parse-names":false,"suffix":""},{"dropping-particle":"","family":"Duraipandiyan","given":"V.","non-dropping-particle":"","parse-names":false,"suffix":""},{"dropping-particle":"","family":"Jeyaraj","given":"B.","non-dropping-particle":"","parse-names":false,"suffix":""},{"dropping-particle":"","family":"Agastian","given":"P.","non-dropping-particle":"","parse-names":false,"suffix":""},{"dropping-particle":"","family":"Raj","given":"M. Karunai","non-dropping-particle":"","parse-names":false,"suffix":""},{"dropping-particle":"","family":"Ignacimuthu","given":"S.","non-dropping-particle":"","parse-names":false,"suffix":""}],"container-title":"Asian Pacific Journal of Tropical Disease","id":"ITEM-1","issue":"3","issued":{"date-parts":[["2012"]]},"page":"190-199","publisher":"Asian Pacific Tropical Medicine Press","title":"Phytochemical analysis and in vitro antimicrobial activity of Illicium griffithii Hook. f. &amp; Thoms extracts","type":"article-journal","volume":"2"},"uris":["http://www.mendeley.com/documents/?uuid=ef425877-d040-4e6b-8708-dace4b66da22"]}],"mendeley":{"formattedCitation":"(Vijayakumar et al., 2012)","manualFormatting":"Vijayakumar et al., 2012","plainTextFormattedCitation":"(Vijayakumar et al., 2012)"},"properties":{"noteIndex":0},"schema":"https://github.com/citation-style-language/schema/raw/master/csl-citation.json"}</w:instrText>
      </w:r>
      <w:r w:rsidR="009F0216" w:rsidRPr="00204152">
        <w:rPr>
          <w:rFonts w:ascii="Arial" w:hAnsi="Arial" w:cs="Arial"/>
          <w:lang w:val="fr-FR"/>
        </w:rPr>
        <w:fldChar w:fldCharType="separate"/>
      </w:r>
      <w:r w:rsidR="009F0216" w:rsidRPr="00D04EFB">
        <w:rPr>
          <w:rFonts w:ascii="Arial" w:hAnsi="Arial" w:cs="Arial"/>
        </w:rPr>
        <w:t xml:space="preserve">Vijayakumar </w:t>
      </w:r>
      <w:r w:rsidR="009F0216" w:rsidRPr="00D04EFB">
        <w:rPr>
          <w:rFonts w:ascii="Arial" w:hAnsi="Arial" w:cs="Arial"/>
          <w:i/>
        </w:rPr>
        <w:t>et</w:t>
      </w:r>
      <w:r w:rsidR="009F0216" w:rsidRPr="00D04EFB">
        <w:rPr>
          <w:rFonts w:ascii="Arial" w:hAnsi="Arial" w:cs="Arial"/>
        </w:rPr>
        <w:t xml:space="preserve"> </w:t>
      </w:r>
      <w:r w:rsidR="009F0216" w:rsidRPr="00D04EFB">
        <w:rPr>
          <w:rFonts w:ascii="Arial" w:hAnsi="Arial" w:cs="Arial"/>
          <w:i/>
        </w:rPr>
        <w:t>al.</w:t>
      </w:r>
      <w:r w:rsidR="009F0216" w:rsidRPr="00D04EFB">
        <w:rPr>
          <w:rFonts w:ascii="Arial" w:hAnsi="Arial" w:cs="Arial"/>
        </w:rPr>
        <w:t>, 2012</w:t>
      </w:r>
      <w:r w:rsidR="009F0216" w:rsidRPr="00204152">
        <w:rPr>
          <w:rFonts w:ascii="Arial" w:hAnsi="Arial" w:cs="Arial"/>
        </w:rPr>
        <w:fldChar w:fldCharType="end"/>
      </w:r>
      <w:r w:rsidR="00A20A8C" w:rsidRPr="002829E9">
        <w:rPr>
          <w:rFonts w:ascii="Arial" w:hAnsi="Arial" w:cs="Arial"/>
          <w:bCs/>
        </w:rPr>
        <w:t>)</w:t>
      </w:r>
      <w:r w:rsidR="00A20A8C" w:rsidRPr="00A20A8C">
        <w:rPr>
          <w:rFonts w:ascii="Arial" w:hAnsi="Arial" w:cs="Arial"/>
          <w:bCs/>
          <w:lang w:val="fr-FR"/>
        </w:rPr>
        <w:fldChar w:fldCharType="end"/>
      </w:r>
      <w:r w:rsidRPr="002829E9">
        <w:rPr>
          <w:rFonts w:ascii="Arial" w:hAnsi="Arial" w:cs="Arial"/>
          <w:bCs/>
        </w:rPr>
        <w:t xml:space="preserve">. </w:t>
      </w:r>
    </w:p>
    <w:p w14:paraId="7A41887C" w14:textId="77777777" w:rsidR="000155DA" w:rsidRPr="002829E9" w:rsidRDefault="000155DA" w:rsidP="000155DA">
      <w:pPr>
        <w:pStyle w:val="Body"/>
        <w:rPr>
          <w:rFonts w:ascii="Arial" w:hAnsi="Arial" w:cs="Arial"/>
          <w:bCs/>
        </w:rPr>
      </w:pPr>
      <w:r w:rsidRPr="002829E9">
        <w:rPr>
          <w:rFonts w:ascii="Arial" w:hAnsi="Arial" w:cs="Arial"/>
          <w:bCs/>
        </w:rPr>
        <w:lastRenderedPageBreak/>
        <w:t>For extracts with low efficacy, this can be explained by: a low concentration of bioactive compounds, poor diffusion in the agar medium (linked to the chemical nature or molecular size), or a lack of intrinsic activity against this specific strain. The presence of large halos around the standard discs confirms the sensitivity of the strain to the reference treatment, and enables the microbiological test to be validated.</w:t>
      </w:r>
    </w:p>
    <w:p w14:paraId="3F1DE80B" w14:textId="77777777" w:rsidR="000155DA" w:rsidRPr="002829E9" w:rsidRDefault="000155DA" w:rsidP="000155DA">
      <w:pPr>
        <w:pStyle w:val="Body"/>
        <w:rPr>
          <w:rFonts w:ascii="Arial" w:hAnsi="Arial" w:cs="Arial"/>
          <w:bCs/>
        </w:rPr>
      </w:pPr>
      <w:r w:rsidRPr="002829E9">
        <w:rPr>
          <w:rFonts w:ascii="Arial" w:hAnsi="Arial" w:cs="Arial"/>
          <w:bCs/>
        </w:rPr>
        <w:t xml:space="preserve">Evaluation of the antibacterial activity of the extracts tested against the various strains </w:t>
      </w:r>
      <w:r w:rsidRPr="002829E9">
        <w:rPr>
          <w:rFonts w:ascii="Arial" w:hAnsi="Arial" w:cs="Arial"/>
          <w:bCs/>
          <w:i/>
        </w:rPr>
        <w:t>of Staphylococcus aureus</w:t>
      </w:r>
      <w:r w:rsidRPr="002829E9">
        <w:rPr>
          <w:rFonts w:ascii="Arial" w:hAnsi="Arial" w:cs="Arial"/>
          <w:bCs/>
        </w:rPr>
        <w:t>, including multi-drug resistant clinical strains, enabled the minimum inhibitory concentrations (MIC), minimum bactericidal concentrations (MBC) and MBC/MIC ratio to be determined. The results show marked antibacterial activity, although this varies from strain to strain.</w:t>
      </w:r>
    </w:p>
    <w:p w14:paraId="795BD685" w14:textId="77777777" w:rsidR="000155DA" w:rsidRPr="002829E9" w:rsidRDefault="000155DA" w:rsidP="000155DA">
      <w:pPr>
        <w:pStyle w:val="Body"/>
        <w:rPr>
          <w:rFonts w:ascii="Arial" w:hAnsi="Arial" w:cs="Arial"/>
          <w:bCs/>
        </w:rPr>
      </w:pPr>
      <w:r w:rsidRPr="002829E9">
        <w:rPr>
          <w:rFonts w:ascii="Arial" w:hAnsi="Arial" w:cs="Arial"/>
          <w:bCs/>
        </w:rPr>
        <w:t xml:space="preserve">MIC values ranged from 1.25 to 5.0 mg/mL, indicating inhibition of bacterial growth at relatively low concentrations, particularly in sensitive strains S5, S14 and S16 (MIC = 1.25 mg/mL). The MBC ranged from 5.0 to 10.0 mg/mL, reflecting the concentration required to completely eliminate viable bacterial cells. The MBC/MIC ratio is used to distinguish the bactericidal effect (MBC/MIC ≤ 4) from the bacteriostatic effect (MBC/MIC &gt; 4), as recommended by </w:t>
      </w:r>
      <w:r w:rsidR="00A20A8C" w:rsidRPr="00A20A8C">
        <w:rPr>
          <w:rFonts w:ascii="Arial" w:hAnsi="Arial" w:cs="Arial"/>
          <w:bCs/>
          <w:lang w:val="fr-FR"/>
        </w:rPr>
        <w:fldChar w:fldCharType="begin" w:fldLock="1"/>
      </w:r>
      <w:r w:rsidR="00A20A8C" w:rsidRPr="002829E9">
        <w:rPr>
          <w:rFonts w:ascii="Arial" w:hAnsi="Arial" w:cs="Arial"/>
          <w:bCs/>
        </w:rPr>
        <w:instrText>ADDIN CSL_CITATION {"citationItems":[{"id":"ITEM-1","itemData":{"DOI":"10.1016/j.jpha.2015.11.005","ISSN":"20951779","PMID":"29403965","abstract":"In recent years, there has been a growing interest in researching and developing new antimicrobial agents from various sources to combat microbial resistance. Therefore, a greater attention has been paid to antimicrobial activity screening and evaluating methods. Several bioassays such as disk-diffusion, well diffusion and broth or agar dilution are well known and commonly used, but others such as flow cytofluorometric and bioluminescent methods are not widely used because they require specified equipment and further evaluation for reproducibility and standardization, even if they can provide rapid results of the antimicrobial agent's effects and a better understanding of their impact on the viability and cell damage inflicted to the tested microorganism. In this review article, an exhaustive list of in vitro antimicrobial susceptibility testing methods and detailed information on their advantages and limitations are reported.","author":[{"dropping-particle":"","family":"Balouiri","given":"Mounyr","non-dropping-particle":"","parse-names":false,"suffix":""},{"dropping-particle":"","family":"Sadiki","given":"Moulay","non-dropping-particle":"","parse-names":false,"suffix":""},{"dropping-particle":"","family":"Ibnsouda","given":"Saad Koraichi","non-dropping-particle":"","parse-names":false,"suffix":""}],"container-title":"Journal of Pharmaceutical Analysis","id":"ITEM-1","issue":"2","issued":{"date-parts":[["2016"]]},"page":"71-79","publisher":"Elsevier","title":"Methods for in vitro evaluating antimicrobial activity: A review","type":"article-journal","volume":"6"},"uris":["http://www.mendeley.com/documents/?uuid=f1465b75-d7fc-4ca8-a244-c92347fc9333"]}],"mendeley":{"formattedCitation":"(Balouiri et al., 2016)","manualFormatting":"Balouiri et al., (2016)","plainTextFormattedCitation":"(Balouiri et al., 2016)","previouslyFormattedCitation":"(Balouiri et al., 2016)"},"properties":{"noteIndex":0},"schema":"https://github.com/citation-style-language/schema/raw/master/csl-citation.json"}</w:instrText>
      </w:r>
      <w:r w:rsidR="00A20A8C" w:rsidRPr="00A20A8C">
        <w:rPr>
          <w:rFonts w:ascii="Arial" w:hAnsi="Arial" w:cs="Arial"/>
          <w:bCs/>
          <w:lang w:val="fr-FR"/>
        </w:rPr>
        <w:fldChar w:fldCharType="separate"/>
      </w:r>
      <w:r w:rsidR="00A20A8C" w:rsidRPr="002829E9">
        <w:rPr>
          <w:rFonts w:ascii="Arial" w:hAnsi="Arial" w:cs="Arial"/>
          <w:bCs/>
        </w:rPr>
        <w:t xml:space="preserve">Balouiri </w:t>
      </w:r>
      <w:r w:rsidR="00AC67BB" w:rsidRPr="002829E9">
        <w:rPr>
          <w:rFonts w:ascii="Arial" w:hAnsi="Arial" w:cs="Arial"/>
          <w:bCs/>
          <w:i/>
        </w:rPr>
        <w:t>et al.</w:t>
      </w:r>
      <w:r w:rsidR="00A20A8C" w:rsidRPr="002829E9">
        <w:rPr>
          <w:rFonts w:ascii="Arial" w:hAnsi="Arial" w:cs="Arial"/>
          <w:bCs/>
        </w:rPr>
        <w:t>, (2016)</w:t>
      </w:r>
      <w:r w:rsidR="00A20A8C" w:rsidRPr="00A20A8C">
        <w:rPr>
          <w:rFonts w:ascii="Arial" w:hAnsi="Arial" w:cs="Arial"/>
          <w:bCs/>
          <w:lang w:val="fr-FR"/>
        </w:rPr>
        <w:fldChar w:fldCharType="end"/>
      </w:r>
      <w:r w:rsidRPr="002829E9">
        <w:rPr>
          <w:rFonts w:ascii="Arial" w:hAnsi="Arial" w:cs="Arial"/>
          <w:bCs/>
        </w:rPr>
        <w:t>.</w:t>
      </w:r>
    </w:p>
    <w:p w14:paraId="53419511" w14:textId="77777777" w:rsidR="000155DA" w:rsidRPr="00D27DF4" w:rsidRDefault="000155DA" w:rsidP="00A20A8C">
      <w:pPr>
        <w:pStyle w:val="Body"/>
        <w:spacing w:after="0"/>
        <w:rPr>
          <w:rFonts w:ascii="Arial" w:hAnsi="Arial" w:cs="Arial"/>
          <w:bCs/>
        </w:rPr>
      </w:pPr>
      <w:r w:rsidRPr="002829E9">
        <w:rPr>
          <w:rFonts w:ascii="Arial" w:hAnsi="Arial" w:cs="Arial"/>
          <w:bCs/>
        </w:rPr>
        <w:t xml:space="preserve">All strains </w:t>
      </w:r>
      <w:proofErr w:type="spellStart"/>
      <w:r w:rsidRPr="002829E9">
        <w:rPr>
          <w:rFonts w:ascii="Arial" w:hAnsi="Arial" w:cs="Arial"/>
          <w:bCs/>
        </w:rPr>
        <w:t>analysed</w:t>
      </w:r>
      <w:proofErr w:type="spellEnd"/>
      <w:r w:rsidRPr="002829E9">
        <w:rPr>
          <w:rFonts w:ascii="Arial" w:hAnsi="Arial" w:cs="Arial"/>
          <w:bCs/>
        </w:rPr>
        <w:t xml:space="preserve"> in this study show a MBC/MIC ratio ≤ 4, indicating an overall bactericidal activity of the extract. The ATCC reference strain shows a ratio of 2.0, highlighting a clear bactericidal effect. Similarly, the resistant clinical strains R4, R20, R28, R29 and R40 showed a ratio of 1.0, reflecting strong bactericidal efficacy of the extract despite their resistant nature. In contrast, isolates S5, S14 and S16, although highly susceptible (MIC = 1.25 mg/mL), showed a MBC/MIC ratio of 4.0, suggesting a more moderate or borderline bactericidal effect, often observed in plant-based extracts </w:t>
      </w:r>
      <w:r w:rsidR="00A20A8C" w:rsidRPr="00A20A8C">
        <w:rPr>
          <w:rFonts w:ascii="Arial" w:hAnsi="Arial" w:cs="Arial"/>
          <w:bCs/>
          <w:lang w:val="fr-FR"/>
        </w:rPr>
        <w:fldChar w:fldCharType="begin" w:fldLock="1"/>
      </w:r>
      <w:r w:rsidR="00A20A8C" w:rsidRPr="002829E9">
        <w:rPr>
          <w:rFonts w:ascii="Arial" w:hAnsi="Arial" w:cs="Arial"/>
          <w:bCs/>
        </w:rPr>
        <w:instrText>ADDIN CSL_CITATION {"citationItems":[{"id":"ITEM-1","itemData":{"DOI":"10.1016/j.jep.2005.04.025","ISSN":"03788741","PMID":"15964727","abstract":"In the present paper, we analyze the past, present and future of medicinal plants, both as potential antimicrobial crude drugs as well as a source for natural compounds that act as new anti-infection agents. In the past few decades, the search for new anti-infection agents has occupied many research groups in the field of ethnopharmacology. When we reviewed the number of articles published on the antimicrobial activity of medicinal plants in PubMed during the period between 1966 and 1994, we found 115; however, in the following decade between 1995 and 2004, this number more than doubled to 307. In the studies themselves one finds a wide range of criteria. Many focus on determining the antimicrobial activity of plant extracts found in folk medicine, essential oils or isolated compounds such as alkaloids, flavonoids, sesquiterpene lactones, diterpenes, triterpenes or naphtoquinones, among others. Some of these compounds were isolated or obtained by bio-guided isolation after previously detecting antimicrobial activity on the part of the plant. A second block of studies focuses on the natural flora of a specific region or country; the third relevant group of papers is made up of specific studies of the activity of a plant or principle against a concrete pathological microorganism. Some general considerations must be established for the study of the antimicrobial activity of plant extracts, essential oils and the compounds isolated from them. Of utmost relevance is the definition of common parameters, such as plant material, techniques employed, growth medium and microorganisms tested. © 2005 Elsevier Ireland Ltd. All rights reserved.","author":[{"dropping-particle":"","family":"Ríos","given":"J. L.","non-dropping-particle":"","parse-names":false,"suffix":""},{"dropping-particle":"","family":"Recio","given":"M. C.","non-dropping-particle":"","parse-names":false,"suffix":""}],"container-title":"Journal of Ethnopharmacology","id":"ITEM-1","issue":"1-2","issued":{"date-parts":[["2005"]]},"page":"80-84","title":"Medicinal plants and antimicrobial activity","type":"article-journal","volume":"100"},"uris":["http://www.mendeley.com/documents/?uuid=e5f988f1-df47-45ed-8222-3c8dfc798e1e"]},{"id":"ITEM-2","itemData":{"DO</w:instrText>
      </w:r>
      <w:r w:rsidR="00A20A8C" w:rsidRPr="00A20A8C">
        <w:rPr>
          <w:rFonts w:ascii="Arial" w:hAnsi="Arial" w:cs="Arial"/>
          <w:bCs/>
          <w:lang w:val="fr-FR"/>
        </w:rPr>
        <w:instrText>I":"10.36348/sjpm.2024.v09i06.003","ISSN":"25183362","abstract":"The rapid rise of antimicrobial resistance to commercially available antibiotics has led researchers to search for an alternative drug source. Medicinal plants pose as a potential source of natural antimicrobial drugs that compact drug resistant microorganisms. The qualitative phytochemical analysis of M. oleifera leaves and flowers extracts led to the identification of an important pharmacological bioactive natural compounds. The antibacterial activity of leaves and flowers extract were determined using agar disc diffusion method and MIC assay against selected human pathogens. The ethanolic and methanolic leaves and flowers extracts yielded 19.5%, 24.38%, 15.62% and 18.02% respectively. Leaves and flowers extracts were active against bacterial strains in a dose dependent manner. The ethanolic leaves extract (100 mg/mL) possessed potential antibacterial activity against the two tested Gram-negative bacteria: E. coli, A. baumannii and three Gram-positive bacteria: Staphylococcus aureus, S. saprophyticus and E. Faecalis by producing 20.00±0.50, 20.67±0.84, 15.33±1.04, 20.43±0.63, 25.83±0.76 mm zone of growth inhibition respectively compared to the control. However, methanolic leaves extract exhibited considerable inhibitory efficacy against two bacterial strains A. baumannii and S. saprophyticus with 17.17±0.59 and 15.81±0.62 respectively. The tested strains were highly sensitive to 200 mg/mL where the highest zone of inhibition was 30.29±0.92 mm observed against E. faecalis, and the lowest zone of inhibition was against Staphylococcus aureus with 20.33±1.04 mm. Both ethanolic and methanolic extracts showed antimicrobial efficacy more than that exhibited by ethanolic and methanolic flowers extracts. Ethanolic and methanolic leaves extracts had MIC of 200 mg/mL against all tested strains where ethanolic leaves e</w:instrText>
      </w:r>
      <w:r w:rsidR="00A20A8C" w:rsidRPr="00D27DF4">
        <w:rPr>
          <w:rFonts w:ascii="Arial" w:hAnsi="Arial" w:cs="Arial"/>
          <w:bCs/>
        </w:rPr>
        <w:instrText>xtract showed MIC of 100 mg/mL against three strains, E. coli, A. baumannii and S. saprophyticus. This study suggests that the extracts of M. oleifera can be used to discover antibacterial agent for developing new pharmaceuticals against human pathogens.","author":[{"dropping-particle":"Al","family":"Saiqali","given":"Mohammed","non-dropping-particle":"","parse-names":false,"suffix":""},{"dropping-particle":"","family":"Jamil","given":"Kaiser","non-dropping-particle":"","parse-names":false,"suffix":""},{"dropping-particle":"","family":"Samreen","given":"Rabiya","non-dropping-particle":"","parse-names":false,"suffix":""},{"dropping-particle":"","family":"Reddy","given":"A Venkateshwar","non-dropping-particle":"","parse-names":false,"suffix":""}],"container-title":"Saudi Journal of Pathology and Microbiology","id":"ITEM-2","issue":"06","issued":{"date-parts":[["2024"]]},"page":"130-138","title":"Exploitation of Phytochemical Extracts of Moringa oleifera as Antimicrobial Agent against Human Pathogenic Bacteria","type":"article-journal","volume":"9"},"uris":["http://www.mendeley.com/documents/?uuid=61fb4c74-ab6d-426f-8db6-ba2241567e66"]}],"mendeley":{"formattedCitation":"(Ríos &amp; Recio, 2005; Saiqali et al., 2024)","plainTextFormattedCitation":"(Ríos &amp; Recio, 2005; Saiqali et al., 2024)","previouslyFormattedCitation":"(Ríos &amp; Recio, 2005; Saiqali et al., 2024)"},"properties":{"noteIndex":0},"schema":"https://github.com/citation-style-language/schema/raw/master/csl-citation.json"}</w:instrText>
      </w:r>
      <w:r w:rsidR="00A20A8C" w:rsidRPr="00A20A8C">
        <w:rPr>
          <w:rFonts w:ascii="Arial" w:hAnsi="Arial" w:cs="Arial"/>
          <w:bCs/>
          <w:lang w:val="fr-FR"/>
        </w:rPr>
        <w:fldChar w:fldCharType="separate"/>
      </w:r>
      <w:r w:rsidR="00A20A8C" w:rsidRPr="00D27DF4">
        <w:rPr>
          <w:rFonts w:ascii="Arial" w:hAnsi="Arial" w:cs="Arial"/>
          <w:bCs/>
        </w:rPr>
        <w:t xml:space="preserve">(Ríos &amp; Recio, 2005; Saiqali </w:t>
      </w:r>
      <w:r w:rsidR="00AC67BB" w:rsidRPr="00D27DF4">
        <w:rPr>
          <w:rFonts w:ascii="Arial" w:hAnsi="Arial" w:cs="Arial"/>
          <w:bCs/>
          <w:i/>
        </w:rPr>
        <w:t>et al.</w:t>
      </w:r>
      <w:r w:rsidR="00A20A8C" w:rsidRPr="00D27DF4">
        <w:rPr>
          <w:rFonts w:ascii="Arial" w:hAnsi="Arial" w:cs="Arial"/>
          <w:bCs/>
        </w:rPr>
        <w:t>, 2024)</w:t>
      </w:r>
      <w:r w:rsidR="00A20A8C" w:rsidRPr="00A20A8C">
        <w:rPr>
          <w:rFonts w:ascii="Arial" w:hAnsi="Arial" w:cs="Arial"/>
          <w:bCs/>
          <w:lang w:val="fr-FR"/>
        </w:rPr>
        <w:fldChar w:fldCharType="end"/>
      </w:r>
      <w:r w:rsidRPr="00D27DF4">
        <w:rPr>
          <w:rFonts w:ascii="Arial" w:hAnsi="Arial" w:cs="Arial"/>
          <w:bCs/>
        </w:rPr>
        <w:t>.</w:t>
      </w:r>
    </w:p>
    <w:p w14:paraId="1600849F" w14:textId="77777777" w:rsidR="000155DA" w:rsidRPr="002829E9" w:rsidRDefault="000155DA" w:rsidP="000155DA">
      <w:pPr>
        <w:pStyle w:val="Body"/>
        <w:rPr>
          <w:rFonts w:ascii="Arial" w:hAnsi="Arial" w:cs="Arial"/>
          <w:bCs/>
        </w:rPr>
      </w:pPr>
      <w:r w:rsidRPr="00504DBB">
        <w:rPr>
          <w:rFonts w:ascii="Arial" w:hAnsi="Arial" w:cs="Arial"/>
          <w:bCs/>
        </w:rPr>
        <w:t xml:space="preserve">Strains R23, R26, R32, R39 and R41 show a ratio of 2.0, which remains within the range of a bactericidal effect. </w:t>
      </w:r>
      <w:r w:rsidRPr="002829E9">
        <w:rPr>
          <w:rFonts w:ascii="Arial" w:hAnsi="Arial" w:cs="Arial"/>
          <w:bCs/>
        </w:rPr>
        <w:t xml:space="preserve">The elevation of BMCs to 10 mg/mL in these cases may be attributed to more developed intracellular resistance mechanisms in these hospital strains, including bacterial wall thickening or overexpression of efflux pumps </w:t>
      </w:r>
      <w:r w:rsidR="00A20A8C" w:rsidRPr="00A20A8C">
        <w:rPr>
          <w:rFonts w:ascii="Arial" w:hAnsi="Arial" w:cs="Arial"/>
          <w:bCs/>
          <w:lang w:val="fr-FR"/>
        </w:rPr>
        <w:fldChar w:fldCharType="begin" w:fldLock="1"/>
      </w:r>
      <w:r w:rsidR="00A20A8C" w:rsidRPr="002829E9">
        <w:rPr>
          <w:rFonts w:ascii="Arial" w:hAnsi="Arial" w:cs="Arial"/>
          <w:bCs/>
        </w:rPr>
        <w:instrText>ADDIN CSL_CITATION {"citationItems":[{"id":"ITEM-1","itemData":{"DOI":"10.1128/CMR.19.2.382","author":[{"dropping-particle":"","family":"Laura J. V. Piddock","given":"","non-dropping-particle":"","parse-names":false,"suffix":""}],"container-title":"Clin Microbiol","id":"ITEM-1","issue":"2","issued":{"date-parts":[["2006"]]},"page":"382-402","title":"Multidrug Resistance Efflux Pumps in Bacteria\\n","type":"article-journal","volume":"19"},"uris":["http://www.mendeley.com/documents/?uuid=c865bc78-f00f-4c38-8cb0-4153c69c7683"]}],"mendeley":{"formattedCitation":"(Laura J. V. Piddock, 2006)","manualFormatting":"(Piddock, 2006)","plainTextFormattedCitation":"(Laura J. V. Piddock, 2006)","previouslyFormattedCitation":"(Laura J. V. Piddock, 2006)"},"properties":{"noteIndex":0},"schema":"https://github.com/citation-style-language/schema/raw/master/csl-citation.json"}</w:instrText>
      </w:r>
      <w:r w:rsidR="00A20A8C" w:rsidRPr="00A20A8C">
        <w:rPr>
          <w:rFonts w:ascii="Arial" w:hAnsi="Arial" w:cs="Arial"/>
          <w:bCs/>
          <w:lang w:val="fr-FR"/>
        </w:rPr>
        <w:fldChar w:fldCharType="separate"/>
      </w:r>
      <w:r w:rsidR="00A20A8C" w:rsidRPr="002829E9">
        <w:rPr>
          <w:rFonts w:ascii="Arial" w:hAnsi="Arial" w:cs="Arial"/>
          <w:bCs/>
        </w:rPr>
        <w:t>(Piddock, 2006)</w:t>
      </w:r>
      <w:r w:rsidR="00A20A8C" w:rsidRPr="00A20A8C">
        <w:rPr>
          <w:rFonts w:ascii="Arial" w:hAnsi="Arial" w:cs="Arial"/>
          <w:bCs/>
          <w:lang w:val="fr-FR"/>
        </w:rPr>
        <w:fldChar w:fldCharType="end"/>
      </w:r>
      <w:r w:rsidRPr="002829E9">
        <w:rPr>
          <w:rFonts w:ascii="Arial" w:hAnsi="Arial" w:cs="Arial"/>
          <w:bCs/>
        </w:rPr>
        <w:t>.</w:t>
      </w:r>
    </w:p>
    <w:p w14:paraId="071B4684" w14:textId="77777777" w:rsidR="000155DA" w:rsidRPr="002829E9" w:rsidRDefault="000155DA" w:rsidP="000155DA">
      <w:pPr>
        <w:pStyle w:val="Body"/>
        <w:rPr>
          <w:rFonts w:ascii="Arial" w:hAnsi="Arial" w:cs="Arial"/>
          <w:bCs/>
        </w:rPr>
      </w:pPr>
      <w:r w:rsidRPr="002829E9">
        <w:rPr>
          <w:rFonts w:ascii="Arial" w:hAnsi="Arial" w:cs="Arial"/>
          <w:bCs/>
        </w:rPr>
        <w:t xml:space="preserve">These results are consistent with the existing literature on </w:t>
      </w:r>
      <w:r w:rsidRPr="002829E9">
        <w:rPr>
          <w:rFonts w:ascii="Arial" w:hAnsi="Arial" w:cs="Arial"/>
          <w:bCs/>
          <w:i/>
        </w:rPr>
        <w:t xml:space="preserve">Moringa oleifera </w:t>
      </w:r>
      <w:r w:rsidRPr="002829E9">
        <w:rPr>
          <w:rFonts w:ascii="Arial" w:hAnsi="Arial" w:cs="Arial"/>
          <w:bCs/>
        </w:rPr>
        <w:t xml:space="preserve">and </w:t>
      </w:r>
      <w:r w:rsidRPr="002829E9">
        <w:rPr>
          <w:rFonts w:ascii="Arial" w:hAnsi="Arial" w:cs="Arial"/>
          <w:bCs/>
          <w:i/>
        </w:rPr>
        <w:t xml:space="preserve">Senna occidentalis </w:t>
      </w:r>
      <w:r w:rsidRPr="002829E9">
        <w:rPr>
          <w:rFonts w:ascii="Arial" w:hAnsi="Arial" w:cs="Arial"/>
          <w:bCs/>
        </w:rPr>
        <w:t xml:space="preserve">extracts. Several studies have reported significant antibacterial activities of these African medicinal plants on multidrug-resistant strains. For example, </w:t>
      </w:r>
      <w:r w:rsidR="00A20A8C" w:rsidRPr="00A20A8C">
        <w:rPr>
          <w:rFonts w:ascii="Arial" w:hAnsi="Arial" w:cs="Arial"/>
          <w:bCs/>
          <w:lang w:val="fr-FR"/>
        </w:rPr>
        <w:fldChar w:fldCharType="begin" w:fldLock="1"/>
      </w:r>
      <w:r w:rsidR="00A20A8C" w:rsidRPr="002829E9">
        <w:rPr>
          <w:rFonts w:ascii="Arial" w:hAnsi="Arial" w:cs="Arial"/>
          <w:bCs/>
        </w:rPr>
        <w:instrText>ADDIN CSL_CITATION {"citationItems":[{"id":"ITEM-1","itemData":{"DOI":"10.36348/sjpm.2024.v09i06.003","ISSN":"25183362","abstract":"The rapid rise of antimicrobial resistance to commercially available antibiotics has led researchers to search for an alternative drug source. Medicinal plants pose as a potential source of natural antimicrobial drugs that compact drug resistant microorganisms. The qualitative phytochemical analysis of M. oleifera leaves and flowers extracts led to the identification of an important pharmacological bioactive natural compounds. The antibacterial activity of leaves and flowers extract were determined using agar disc diffusion method and MIC assay against selected human pathogens. The ethanolic and methanolic leaves and flowers extracts yielded 19.5%, 24.38%, 15.62% and 18.02% respectively. Leaves and flowers extracts were active against bacterial strains in a dose dependent manner. The ethanolic leaves extract (100 mg/mL) possessed potential antibacterial activity against the two tested Gram-negative bacteria: E. coli, A. baumannii and three Gram-positive bacteria: Staphylococcus aureus, S. saprophyticus and E. Faecalis by producing 20.00±0.50, 20.67±0.84, 15.33±1.04, 20.43±0.63, 25.83±0.76 mm zone of growth inhibition respectively compared to the control. However, methanolic leaves extract exhibited considerable inhibitory efficacy against two bacterial strains A. baumannii and S. saprophyticus with 17.17±0.59 and 15.81±0.62 respectively. The tested strains were highly sensitive to 200 mg/mL where the highest zone of inhibition was 30.29±0.92 mm observed against E. faecalis, and the lowest zone of inhibition was against Staphylococcus aureus with 20.33±1.04 mm. Both ethanolic and methanolic extracts showed antimicrobial efficacy more than that exhibited by ethanolic and methanolic flowers extracts. Ethanolic and methanolic leaves extracts had MIC of 200 mg/mL against all tested strains where ethanolic leaves extract showed MIC of 100 mg/mL against three strains, E. coli, A. baumannii and S. saprophyticus. This study suggests that the extracts of M. oleifera can be used to discover antibacterial agent for developing new pharmaceuticals against human pathogens.","author":[{"dropping-particle":"Al","family":"Saiqali","given":"Mohammed","non-dropping-particle":"","parse-names":false,"suffix":""},{"dropping-particle":"","family":"Jamil","given":"Kaiser","non-dropping-particle":"","parse-names":false,"suffix":""},{"dropping-particle":"","family":"Samreen","given":"Rabiya","non-dropping-particle":"","parse-names":false,"suffix":""},{"dropping-particle":"","family":"Reddy","given":"A Venkateshwar","non-dropping-particle":"","parse-names":false,"suffix":""}],"container-title":"Saudi Journal of Pathology and Microbiology","id":"ITEM-1","issue":"06","issued":{"date-parts":[["2024"]]},"page":"130-138","title":"Exploitation of Phytochemical Extracts of Moringa oleifera as Antimicrobial Agent against Human Pathogenic Bacteria","type":"article-journal","volume":"9"},"uris":["http://www.mendeley.com/documents/?uuid=61fb4c74-ab6d-426f-8db6-ba2241567e66"]}],"mendeley":{"formattedCitation":"(Saiqali et al., 2024)","manualFormatting":"Saiqali et al., (2024)","plainTextFormattedCitation":"(Saiqali et al., 2024)","previouslyFormattedCitation":"(Saiqali et al., 2024)"},"properties":{"noteIndex":0},"schema":"https://github.com/citation-style-language/schema/raw/master/csl-citation.json"}</w:instrText>
      </w:r>
      <w:r w:rsidR="00A20A8C" w:rsidRPr="00A20A8C">
        <w:rPr>
          <w:rFonts w:ascii="Arial" w:hAnsi="Arial" w:cs="Arial"/>
          <w:bCs/>
          <w:lang w:val="fr-FR"/>
        </w:rPr>
        <w:fldChar w:fldCharType="separate"/>
      </w:r>
      <w:r w:rsidR="00A20A8C" w:rsidRPr="002829E9">
        <w:rPr>
          <w:rFonts w:ascii="Arial" w:hAnsi="Arial" w:cs="Arial"/>
          <w:bCs/>
        </w:rPr>
        <w:t xml:space="preserve">Saiqali </w:t>
      </w:r>
      <w:r w:rsidR="00AC67BB" w:rsidRPr="002829E9">
        <w:rPr>
          <w:rFonts w:ascii="Arial" w:hAnsi="Arial" w:cs="Arial"/>
          <w:bCs/>
          <w:i/>
        </w:rPr>
        <w:t>et al.</w:t>
      </w:r>
      <w:r w:rsidR="00A20A8C" w:rsidRPr="002829E9">
        <w:rPr>
          <w:rFonts w:ascii="Arial" w:hAnsi="Arial" w:cs="Arial"/>
          <w:bCs/>
        </w:rPr>
        <w:t>, (2024)</w:t>
      </w:r>
      <w:r w:rsidR="00A20A8C" w:rsidRPr="00A20A8C">
        <w:rPr>
          <w:rFonts w:ascii="Arial" w:hAnsi="Arial" w:cs="Arial"/>
          <w:bCs/>
          <w:lang w:val="fr-FR"/>
        </w:rPr>
        <w:fldChar w:fldCharType="end"/>
      </w:r>
      <w:r w:rsidRPr="002829E9">
        <w:rPr>
          <w:rFonts w:ascii="Arial" w:hAnsi="Arial" w:cs="Arial"/>
          <w:bCs/>
        </w:rPr>
        <w:t xml:space="preserve"> observed MICs of between 1.25 and 10 mg/mL against methicillin-resistant strains </w:t>
      </w:r>
      <w:r w:rsidRPr="002829E9">
        <w:rPr>
          <w:rFonts w:ascii="Arial" w:hAnsi="Arial" w:cs="Arial"/>
          <w:bCs/>
          <w:i/>
        </w:rPr>
        <w:t>of S. aureus</w:t>
      </w:r>
      <w:r w:rsidRPr="002829E9">
        <w:rPr>
          <w:rFonts w:ascii="Arial" w:hAnsi="Arial" w:cs="Arial"/>
          <w:bCs/>
        </w:rPr>
        <w:t xml:space="preserve">. These authors also reported BMC/MIC ratios of less than 4 for ethanolic extracts of </w:t>
      </w:r>
      <w:r w:rsidRPr="002829E9">
        <w:rPr>
          <w:rFonts w:ascii="Arial" w:hAnsi="Arial" w:cs="Arial"/>
          <w:bCs/>
          <w:i/>
        </w:rPr>
        <w:t xml:space="preserve">Moringa oleifera </w:t>
      </w:r>
      <w:r w:rsidRPr="002829E9">
        <w:rPr>
          <w:rFonts w:ascii="Arial" w:hAnsi="Arial" w:cs="Arial"/>
          <w:bCs/>
        </w:rPr>
        <w:t>leaves, confirming their bactericidal effect.</w:t>
      </w:r>
    </w:p>
    <w:p w14:paraId="3C6CF831" w14:textId="77777777" w:rsidR="000155DA" w:rsidRPr="002829E9" w:rsidRDefault="000155DA" w:rsidP="000155DA">
      <w:pPr>
        <w:pStyle w:val="Body"/>
        <w:rPr>
          <w:rFonts w:ascii="Arial" w:hAnsi="Arial" w:cs="Arial"/>
          <w:bCs/>
        </w:rPr>
      </w:pPr>
      <w:r w:rsidRPr="002829E9">
        <w:rPr>
          <w:rFonts w:ascii="Arial" w:hAnsi="Arial" w:cs="Arial"/>
          <w:bCs/>
        </w:rPr>
        <w:t xml:space="preserve">Furthermore, </w:t>
      </w:r>
      <w:r w:rsidR="00A20A8C" w:rsidRPr="00A20A8C">
        <w:rPr>
          <w:rFonts w:ascii="Arial" w:hAnsi="Arial" w:cs="Arial"/>
          <w:bCs/>
          <w:lang w:val="fr-FR"/>
        </w:rPr>
        <w:fldChar w:fldCharType="begin" w:fldLock="1"/>
      </w:r>
      <w:r w:rsidR="00A20A8C" w:rsidRPr="002829E9">
        <w:rPr>
          <w:rFonts w:ascii="Arial" w:hAnsi="Arial" w:cs="Arial"/>
          <w:bCs/>
        </w:rPr>
        <w:instrText>ADDIN CSL_CITATION {"citationItems":[{"id":"ITEM-1","itemData":{"DOI":"10.1016/j.jep.2005.04.025","ISSN":"03788741","PMID":"15964727","abstract":"In the present paper, we analyze the past, present and future of medicinal plants, both as potential antimicrobial crude drugs as well as a source for natural compounds that act as new anti-infection agents. In the past few decades, the search for new anti-infection agents has occupied many research groups in the field of ethnopharmacology. When we reviewed the number of articles published on the antimicrobial activity of medicinal plants in PubMed during the period between 1966 and 1994, we found 115; however, in the following decade between 1995 and 2004, this number more than doubled to 307. In the studies themselves one finds a wide range of criteria. Many focus on determining the antimicrobial activity of plant extracts found in folk medicine, essential oils or isolated compounds such as alkaloids, flavonoids, sesquiterpene lactones, diterpenes, triterpenes or naphtoquinones, among others. Some of these compounds were isolated or obtained by bio-guided isolation after previously detecting antimicrobial activity on the part of the plant. A second block of studies focuses on the natural flora of a specific region or country; the third relevant group of papers is made up of specific studies of the activity of a plant or principle against a concrete pathological microorganism. Some general considerations must be established for the study of the antimicrobial activity of plant extracts, essential oils and the compounds isolated from them. Of utmost relevance is the definition of common parameters, such as plant material, techniques employed, growth medium and microorganisms tested. © 2005 Elsevier Ireland Ltd. All rights reserved.","author":[{"dropping-particle":"","family":"Ríos","given":"J. L.","non-dropping-particle":"","parse-names":false,"suffix":""},{"dropping-particle":"","family":"Recio","given":"M. C.","non-dropping-particle":"","parse-names":false,"suffix":""}],"container-title":"Journal of Ethnopharmacology","id":"ITEM-1","issue":"1-2","issued":{"date-parts":[["2005"]]},"page":"80-84","title":"Medicinal plants and antimicrobial activity","type":"article-journal","volume":"100"},"uris":["http://www.mendeley.com/documents/?uuid=e5f988f1-df47-45ed-8222-3c8dfc798e1e"]}],"mendeley":{"formattedCitation":"(Ríos &amp; Recio, 2005)","manualFormatting":"Ríos &amp; Recio, (2005)","plainTextFormattedCitation":"(Ríos &amp; Recio, 2005)","previouslyFormattedCitation":"(Ríos &amp; Recio, 2005)"},"properties":{"noteIndex":0},"schema":"https://github.com/citation-style-language/schema/raw/master/csl-citation.json"}</w:instrText>
      </w:r>
      <w:r w:rsidR="00A20A8C" w:rsidRPr="00A20A8C">
        <w:rPr>
          <w:rFonts w:ascii="Arial" w:hAnsi="Arial" w:cs="Arial"/>
          <w:bCs/>
          <w:lang w:val="fr-FR"/>
        </w:rPr>
        <w:fldChar w:fldCharType="separate"/>
      </w:r>
      <w:r w:rsidR="00A20A8C" w:rsidRPr="002829E9">
        <w:rPr>
          <w:rFonts w:ascii="Arial" w:hAnsi="Arial" w:cs="Arial"/>
          <w:bCs/>
        </w:rPr>
        <w:t>Ríos &amp; Recio, (2005)</w:t>
      </w:r>
      <w:r w:rsidR="00A20A8C" w:rsidRPr="00A20A8C">
        <w:rPr>
          <w:rFonts w:ascii="Arial" w:hAnsi="Arial" w:cs="Arial"/>
          <w:bCs/>
          <w:lang w:val="fr-FR"/>
        </w:rPr>
        <w:fldChar w:fldCharType="end"/>
      </w:r>
      <w:r w:rsidRPr="002829E9">
        <w:rPr>
          <w:rFonts w:ascii="Arial" w:hAnsi="Arial" w:cs="Arial"/>
          <w:bCs/>
        </w:rPr>
        <w:t xml:space="preserve"> proposed that extracts with a MIC of less than 8 mg/Ml could be considered </w:t>
      </w:r>
      <w:proofErr w:type="spellStart"/>
      <w:r w:rsidRPr="002829E9">
        <w:rPr>
          <w:rFonts w:ascii="Arial" w:hAnsi="Arial" w:cs="Arial"/>
          <w:bCs/>
        </w:rPr>
        <w:t>antibacterially</w:t>
      </w:r>
      <w:proofErr w:type="spellEnd"/>
      <w:r w:rsidRPr="002829E9">
        <w:rPr>
          <w:rFonts w:ascii="Arial" w:hAnsi="Arial" w:cs="Arial"/>
          <w:bCs/>
        </w:rPr>
        <w:t xml:space="preserve"> active, a threshold met by all the extracts tested in the present study. In addition, </w:t>
      </w:r>
      <w:r w:rsidR="00A20A8C" w:rsidRPr="00A20A8C">
        <w:rPr>
          <w:rFonts w:ascii="Arial" w:hAnsi="Arial" w:cs="Arial"/>
          <w:bCs/>
          <w:lang w:val="fr-FR"/>
        </w:rPr>
        <w:fldChar w:fldCharType="begin" w:fldLock="1"/>
      </w:r>
      <w:r w:rsidR="00A20A8C" w:rsidRPr="002829E9">
        <w:rPr>
          <w:rFonts w:ascii="Arial" w:hAnsi="Arial" w:cs="Arial"/>
          <w:bCs/>
        </w:rPr>
        <w:instrText>ADDIN CSL_CITATION {"citationItems":[{"id":"ITEM-1","itemData":{"DOI":"10.1016/j.sciaf.2020.e00481","ISSN":"24682276","abstract":"Senna singueana, Melia azedarach, Moringa oleifera and Lannea discolor are claimed to be effective in the management of cancer by some traditional herbal practitioners in Malawi. The study evaluated methanol extracts of leaves of S. singueana, M. azedarach, M. oleifera and barks of L. discolor for total phenolic content (TPC), total flavonoid content (TFC) and antioxidant activity. TPC was determined using the Folin Ciocalteau assay while TFC was determined by aluminum chloride assay. Antioxidant activity of extracts was analyzed using 2,2-diphenyl-1-picrylhydrazyl (DPPH) and ferric reducing antioxidant power (FRAP) assays. Barks of L. discolor contained the highest total phenolic content (27.64 ± 0.09 mg GAE g −1 DW) while leaves of S. singueana contained highest total flavonoid content (7.372 ± 0.01 mg QE g −1 DW). DPPH radical scavenging activity of all extracts ranged from 42.72 ± 0.18 to 89.09 ± 1.18% while FRAP values ranged from 68.47 ± 1.72 to 166.3 ± 1.65 mg TEACg−1 DW. A direct positive significant correlation (p&lt;0.05) was observed between TPC and antioxidant activity. Results from the present study are comparable with literature values of well-known medicinal plants. Thus, these four medicinal plants may contain phenolic aglycones with potential anticancer activity. Future studies are needed to characterize extracts for specific phytochemicals related to anticancer activity.","author":[{"dropping-particle":"","family":"Mwamatope","given":"Bonface","non-dropping-particle":"","parse-names":false,"suffix":""},{"dropping-particle":"","family":"Tembo","given":"David","non-dropping-particle":"","parse-names":false,"suffix":""},{"dropping-particle":"","family":"Chikowe","given":"Ibrahim","non-dropping-particle":"","parse-names":false,"suffix":""},{"dropping-particle":"","family":"Kampira","given":"Elizabeth","non-dropping-particle":"","parse-names":false,"suffix":""},{"dropping-particle":"","family":"Nyirenda","given":"Cecilia","non-dropping-particle":"","parse-names":false,"suffix":""}],"container-title":"Scientific African","id":"ITEM-1","issued":{"date-parts":[["2020"]]},"page":"e00481","publisher":"Elsevier B.V.","title":"Total phenolic contents and antioxidant activity of Senna singueana, Melia azedarach, Moringa oleifera and Lannea discolor herbal plants","type":"article-journal","volume":"9"},"uris":["http://www.mendeley.com/documents/?uuid=f626f0a6-125c-4d85-8503-308a08bffb32"]}],"mendeley":{"formattedCitation":"(Mwamatope et al., 2020)","manualFormatting":"Mwamatope et al., (2020)","plainTextFormattedCitation":"(Mwamatope et al., 2020)","previouslyFormattedCitation":"(Mwamatope et al., 2020)"},"properties":{"noteIndex":0},"schema":"https://github.com/citation-style-language/schema/raw/master/csl-citation.json"}</w:instrText>
      </w:r>
      <w:r w:rsidR="00A20A8C" w:rsidRPr="00A20A8C">
        <w:rPr>
          <w:rFonts w:ascii="Arial" w:hAnsi="Arial" w:cs="Arial"/>
          <w:bCs/>
          <w:lang w:val="fr-FR"/>
        </w:rPr>
        <w:fldChar w:fldCharType="separate"/>
      </w:r>
      <w:r w:rsidR="00A20A8C" w:rsidRPr="002829E9">
        <w:rPr>
          <w:rFonts w:ascii="Arial" w:hAnsi="Arial" w:cs="Arial"/>
          <w:bCs/>
        </w:rPr>
        <w:t xml:space="preserve">Mwamatope </w:t>
      </w:r>
      <w:r w:rsidR="00AC67BB" w:rsidRPr="002829E9">
        <w:rPr>
          <w:rFonts w:ascii="Arial" w:hAnsi="Arial" w:cs="Arial"/>
          <w:bCs/>
          <w:i/>
        </w:rPr>
        <w:t>et al.</w:t>
      </w:r>
      <w:r w:rsidR="00A20A8C" w:rsidRPr="002829E9">
        <w:rPr>
          <w:rFonts w:ascii="Arial" w:hAnsi="Arial" w:cs="Arial"/>
          <w:bCs/>
        </w:rPr>
        <w:t>, (2020)</w:t>
      </w:r>
      <w:r w:rsidR="00A20A8C" w:rsidRPr="00A20A8C">
        <w:rPr>
          <w:rFonts w:ascii="Arial" w:hAnsi="Arial" w:cs="Arial"/>
          <w:bCs/>
          <w:lang w:val="fr-FR"/>
        </w:rPr>
        <w:fldChar w:fldCharType="end"/>
      </w:r>
      <w:r w:rsidRPr="002829E9">
        <w:rPr>
          <w:rFonts w:ascii="Arial" w:hAnsi="Arial" w:cs="Arial"/>
          <w:bCs/>
        </w:rPr>
        <w:t xml:space="preserve"> showed that certain species of </w:t>
      </w:r>
      <w:r w:rsidRPr="002829E9">
        <w:rPr>
          <w:rFonts w:ascii="Arial" w:hAnsi="Arial" w:cs="Arial"/>
          <w:bCs/>
          <w:i/>
        </w:rPr>
        <w:t>Senna</w:t>
      </w:r>
      <w:r w:rsidRPr="002829E9">
        <w:rPr>
          <w:rFonts w:ascii="Arial" w:hAnsi="Arial" w:cs="Arial"/>
          <w:bCs/>
        </w:rPr>
        <w:t xml:space="preserve"> and </w:t>
      </w:r>
      <w:r w:rsidRPr="002829E9">
        <w:rPr>
          <w:rFonts w:ascii="Arial" w:hAnsi="Arial" w:cs="Arial"/>
          <w:bCs/>
          <w:i/>
        </w:rPr>
        <w:t>Moringa</w:t>
      </w:r>
      <w:r w:rsidRPr="002829E9">
        <w:rPr>
          <w:rFonts w:ascii="Arial" w:hAnsi="Arial" w:cs="Arial"/>
          <w:bCs/>
        </w:rPr>
        <w:t xml:space="preserve"> contain bioactive compounds such as flavonoids, tannins and triterpenes that can act by disrupting the bacterial cytoplasmic membrane, thus explaining their bactericidal effect.</w:t>
      </w:r>
    </w:p>
    <w:p w14:paraId="3B7A3928" w14:textId="77777777" w:rsidR="000155DA" w:rsidRPr="002829E9" w:rsidRDefault="000155DA" w:rsidP="000155DA">
      <w:pPr>
        <w:pStyle w:val="Body"/>
        <w:rPr>
          <w:rFonts w:ascii="Arial" w:hAnsi="Arial" w:cs="Arial"/>
          <w:bCs/>
        </w:rPr>
      </w:pPr>
      <w:r w:rsidRPr="002829E9">
        <w:rPr>
          <w:rFonts w:ascii="Arial" w:hAnsi="Arial" w:cs="Arial"/>
          <w:bCs/>
        </w:rPr>
        <w:t>The traditional use of these plants in the treatment of skin, respiratory and digestive infections in several African countries is therefore scientifically justified. Their extracts could represent a credible natural alternative to conventional antibiotics, especially in view of the emergence of multi-resistant strains (WHO, 2021).</w:t>
      </w:r>
    </w:p>
    <w:p w14:paraId="5AEF86B3" w14:textId="77777777" w:rsidR="00B01FCD" w:rsidRDefault="00000F8F" w:rsidP="001D638A">
      <w:pPr>
        <w:pStyle w:val="ConcHead"/>
        <w:spacing w:before="24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20F72B2" w14:textId="77777777" w:rsidR="000C3CB7" w:rsidRPr="002829E9" w:rsidRDefault="000C3CB7" w:rsidP="00B7720F">
      <w:pPr>
        <w:pStyle w:val="Body"/>
        <w:rPr>
          <w:rFonts w:ascii="Arial" w:hAnsi="Arial" w:cs="Arial"/>
        </w:rPr>
      </w:pPr>
      <w:r w:rsidRPr="002829E9">
        <w:rPr>
          <w:rFonts w:ascii="Arial" w:hAnsi="Arial" w:cs="Arial"/>
        </w:rPr>
        <w:t xml:space="preserve">This study revealed a wide range of phytochemical compounds in </w:t>
      </w:r>
      <w:r w:rsidRPr="002829E9">
        <w:rPr>
          <w:rFonts w:ascii="Arial" w:hAnsi="Arial" w:cs="Arial"/>
          <w:i/>
        </w:rPr>
        <w:t xml:space="preserve">Moringa oleifera </w:t>
      </w:r>
      <w:r w:rsidRPr="002829E9">
        <w:rPr>
          <w:rFonts w:ascii="Arial" w:hAnsi="Arial" w:cs="Arial"/>
        </w:rPr>
        <w:t xml:space="preserve">and </w:t>
      </w:r>
      <w:r w:rsidRPr="002829E9">
        <w:rPr>
          <w:rFonts w:ascii="Arial" w:hAnsi="Arial" w:cs="Arial"/>
          <w:i/>
        </w:rPr>
        <w:t xml:space="preserve">Senna occidentalis </w:t>
      </w:r>
      <w:r w:rsidRPr="002829E9">
        <w:rPr>
          <w:rFonts w:ascii="Arial" w:hAnsi="Arial" w:cs="Arial"/>
        </w:rPr>
        <w:t xml:space="preserve">extracts, depending on the plant organs and solvents used. The results show a high presence of sterols/triterpenes, flavonoids, tannins, </w:t>
      </w:r>
      <w:proofErr w:type="spellStart"/>
      <w:r w:rsidRPr="002829E9">
        <w:rPr>
          <w:rFonts w:ascii="Arial" w:hAnsi="Arial" w:cs="Arial"/>
        </w:rPr>
        <w:t>anthracenosides</w:t>
      </w:r>
      <w:proofErr w:type="spellEnd"/>
      <w:r w:rsidRPr="002829E9">
        <w:rPr>
          <w:rFonts w:ascii="Arial" w:hAnsi="Arial" w:cs="Arial"/>
        </w:rPr>
        <w:t xml:space="preserve"> and saponins, confirming the medicinal potential of these two species widely used in traditional African medicine. </w:t>
      </w:r>
      <w:r w:rsidRPr="002829E9">
        <w:rPr>
          <w:rFonts w:ascii="Arial" w:hAnsi="Arial" w:cs="Arial"/>
          <w:i/>
        </w:rPr>
        <w:t xml:space="preserve">Senna occidentalis </w:t>
      </w:r>
      <w:r w:rsidRPr="002829E9">
        <w:rPr>
          <w:rFonts w:ascii="Arial" w:hAnsi="Arial" w:cs="Arial"/>
        </w:rPr>
        <w:t xml:space="preserve">has been found to be particularly rich in </w:t>
      </w:r>
      <w:proofErr w:type="spellStart"/>
      <w:r w:rsidRPr="002829E9">
        <w:rPr>
          <w:rFonts w:ascii="Arial" w:hAnsi="Arial" w:cs="Arial"/>
        </w:rPr>
        <w:t>anthracenosides</w:t>
      </w:r>
      <w:proofErr w:type="spellEnd"/>
      <w:r w:rsidRPr="002829E9">
        <w:rPr>
          <w:rFonts w:ascii="Arial" w:hAnsi="Arial" w:cs="Arial"/>
        </w:rPr>
        <w:t xml:space="preserve">, </w:t>
      </w:r>
      <w:proofErr w:type="spellStart"/>
      <w:r w:rsidRPr="002829E9">
        <w:rPr>
          <w:rFonts w:ascii="Arial" w:hAnsi="Arial" w:cs="Arial"/>
        </w:rPr>
        <w:t>emodols</w:t>
      </w:r>
      <w:proofErr w:type="spellEnd"/>
      <w:r w:rsidRPr="002829E9">
        <w:rPr>
          <w:rFonts w:ascii="Arial" w:hAnsi="Arial" w:cs="Arial"/>
        </w:rPr>
        <w:t xml:space="preserve"> and alkaloids, notably in its leaves, pods and seeds. </w:t>
      </w:r>
      <w:r w:rsidRPr="002829E9">
        <w:rPr>
          <w:rFonts w:ascii="Arial" w:hAnsi="Arial" w:cs="Arial"/>
          <w:i/>
        </w:rPr>
        <w:t xml:space="preserve">Moringa oleifera </w:t>
      </w:r>
      <w:r w:rsidRPr="002829E9">
        <w:rPr>
          <w:rFonts w:ascii="Arial" w:hAnsi="Arial" w:cs="Arial"/>
        </w:rPr>
        <w:t xml:space="preserve">is </w:t>
      </w:r>
      <w:proofErr w:type="spellStart"/>
      <w:r w:rsidRPr="002829E9">
        <w:rPr>
          <w:rFonts w:ascii="Arial" w:hAnsi="Arial" w:cs="Arial"/>
        </w:rPr>
        <w:t>characterised</w:t>
      </w:r>
      <w:proofErr w:type="spellEnd"/>
      <w:r w:rsidRPr="002829E9">
        <w:rPr>
          <w:rFonts w:ascii="Arial" w:hAnsi="Arial" w:cs="Arial"/>
        </w:rPr>
        <w:t xml:space="preserve"> by a high concentration of flavonoids, glycosylated sterols and tannins, particularly in the leaves and flowers. These bioactive metabolites give these plants potential antioxidant, antimicrobial and anti-inflammatory properties, hence their interest in combating resistant infections, such as those caused by methicillin-resistant </w:t>
      </w:r>
      <w:r w:rsidRPr="002829E9">
        <w:rPr>
          <w:rFonts w:ascii="Arial" w:hAnsi="Arial" w:cs="Arial"/>
          <w:i/>
        </w:rPr>
        <w:t xml:space="preserve">Staphylococcus aureus </w:t>
      </w:r>
      <w:r w:rsidRPr="002829E9">
        <w:rPr>
          <w:rFonts w:ascii="Arial" w:hAnsi="Arial" w:cs="Arial"/>
        </w:rPr>
        <w:t>(MRSA). The results obtained justify further studies in chromatography, spectroscopy and biological assays for the isolation, quantification and pharmacological evaluation of the active ingredients.</w:t>
      </w:r>
    </w:p>
    <w:p w14:paraId="629A5158" w14:textId="77777777" w:rsidR="003511C2" w:rsidRDefault="003511C2" w:rsidP="00441B6F">
      <w:pPr>
        <w:pStyle w:val="ReferHead"/>
        <w:spacing w:after="0"/>
        <w:jc w:val="both"/>
        <w:rPr>
          <w:rFonts w:ascii="Arial" w:hAnsi="Arial" w:cs="Arial"/>
          <w:b w:val="0"/>
          <w:caps w:val="0"/>
          <w:sz w:val="20"/>
        </w:rPr>
      </w:pPr>
    </w:p>
    <w:p w14:paraId="2889B12B" w14:textId="77777777" w:rsidR="003511C2" w:rsidRPr="003A29C6" w:rsidRDefault="003511C2" w:rsidP="003511C2">
      <w:pPr>
        <w:jc w:val="both"/>
        <w:outlineLvl w:val="0"/>
        <w:rPr>
          <w:rFonts w:ascii="Arial" w:hAnsi="Arial" w:cs="Arial"/>
        </w:rPr>
      </w:pPr>
      <w:r w:rsidRPr="003A29C6">
        <w:rPr>
          <w:rFonts w:ascii="Arial" w:hAnsi="Arial" w:cs="Arial"/>
          <w:b/>
          <w:bCs/>
        </w:rPr>
        <w:t>COMPETING INTERESTS DISCLAIMER:</w:t>
      </w:r>
    </w:p>
    <w:p w14:paraId="455E8B46" w14:textId="3CAA77A8" w:rsidR="003511C2" w:rsidRDefault="003511C2" w:rsidP="003511C2">
      <w:r w:rsidRPr="00A10EDE">
        <w:t>Authors have declared that they have no known competing financial interests OR non-financial interests OR personal relationships that could have appeared to influence the work reported in this paper.</w:t>
      </w:r>
    </w:p>
    <w:p w14:paraId="72BD2FF6" w14:textId="5EE5D897" w:rsidR="00A70F8C" w:rsidRDefault="00A70F8C" w:rsidP="003511C2"/>
    <w:p w14:paraId="63578E04" w14:textId="77777777" w:rsidR="00A70F8C" w:rsidRPr="009C5487" w:rsidRDefault="00A70F8C" w:rsidP="00A70F8C">
      <w:pPr>
        <w:rPr>
          <w:rFonts w:ascii="Calibri" w:eastAsia="Calibri" w:hAnsi="Calibri"/>
          <w:kern w:val="2"/>
          <w:highlight w:val="yellow"/>
        </w:rPr>
      </w:pPr>
      <w:bookmarkStart w:id="0" w:name="_Hlk197682619"/>
      <w:bookmarkStart w:id="1" w:name="_Hlk180402183"/>
      <w:bookmarkStart w:id="2" w:name="_Hlk183680988"/>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COPILOT, etc.) and text-to-image generators have been used during the writing or editing of this manuscript. </w:t>
      </w:r>
    </w:p>
    <w:bookmarkEnd w:id="0"/>
    <w:bookmarkEnd w:id="1"/>
    <w:bookmarkEnd w:id="2"/>
    <w:p w14:paraId="32B30C2C" w14:textId="77777777" w:rsidR="00A70F8C" w:rsidRDefault="00A70F8C" w:rsidP="003511C2"/>
    <w:p w14:paraId="4910A684" w14:textId="77777777" w:rsidR="003511C2" w:rsidRPr="005F7796" w:rsidRDefault="003511C2" w:rsidP="00441B6F">
      <w:pPr>
        <w:pStyle w:val="ReferHead"/>
        <w:spacing w:after="0"/>
        <w:jc w:val="both"/>
        <w:rPr>
          <w:rFonts w:ascii="Arial" w:hAnsi="Arial" w:cs="Arial"/>
          <w:b w:val="0"/>
          <w:caps w:val="0"/>
          <w:sz w:val="20"/>
        </w:rPr>
      </w:pPr>
    </w:p>
    <w:p w14:paraId="633C3B73" w14:textId="77777777" w:rsidR="006C1D8A" w:rsidRDefault="006C1D8A">
      <w:pPr>
        <w:rPr>
          <w:rFonts w:ascii="Arial" w:hAnsi="Arial" w:cs="Arial"/>
          <w:b/>
          <w:caps/>
          <w:sz w:val="22"/>
        </w:rPr>
      </w:pPr>
      <w:r>
        <w:rPr>
          <w:rFonts w:ascii="Arial" w:hAnsi="Arial" w:cs="Arial"/>
        </w:rPr>
        <w:br w:type="page"/>
      </w:r>
    </w:p>
    <w:p w14:paraId="2F2A92F2" w14:textId="79739C33" w:rsidR="00B01FCD" w:rsidRDefault="00B01FCD" w:rsidP="00B154F6">
      <w:pPr>
        <w:pStyle w:val="ReferHead"/>
        <w:spacing w:before="240"/>
        <w:jc w:val="both"/>
        <w:rPr>
          <w:rFonts w:ascii="Arial" w:hAnsi="Arial" w:cs="Arial"/>
        </w:rPr>
      </w:pPr>
      <w:r w:rsidRPr="00FB3A86">
        <w:rPr>
          <w:rFonts w:ascii="Arial" w:hAnsi="Arial" w:cs="Arial"/>
        </w:rPr>
        <w:lastRenderedPageBreak/>
        <w:t>References</w:t>
      </w:r>
    </w:p>
    <w:p w14:paraId="1F9F3A9D" w14:textId="29912279"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C01A64">
        <w:rPr>
          <w:rFonts w:eastAsia="Calibri" w:cs="Helvetica"/>
          <w:sz w:val="22"/>
          <w:szCs w:val="22"/>
          <w:lang w:val="fr-FR"/>
        </w:rPr>
        <w:fldChar w:fldCharType="begin" w:fldLock="1"/>
      </w:r>
      <w:r w:rsidRPr="002829E9">
        <w:rPr>
          <w:rFonts w:eastAsia="Calibri" w:cs="Helvetica"/>
          <w:sz w:val="22"/>
          <w:szCs w:val="22"/>
        </w:rPr>
        <w:instrText xml:space="preserve">ADDIN Mendeley Bibliography CSL_BIBLIOGRAPHY </w:instrText>
      </w:r>
      <w:r w:rsidRPr="00C01A64">
        <w:rPr>
          <w:rFonts w:eastAsia="Calibri" w:cs="Helvetica"/>
          <w:sz w:val="22"/>
          <w:szCs w:val="22"/>
          <w:lang w:val="fr-FR"/>
        </w:rPr>
        <w:fldChar w:fldCharType="separate"/>
      </w:r>
      <w:r w:rsidRPr="002829E9">
        <w:rPr>
          <w:rFonts w:eastAsia="Calibri" w:cs="Helvetica"/>
          <w:noProof/>
        </w:rPr>
        <w:t xml:space="preserve">Alqahtani, Y. S., Bahafi, A., Mirajkar, K. K., Basavaraju, R. R., Mitra, S., Shailaja, S., More, S. S., Muddapur, U. M., Khan, A. A., Sudarshan, P. R., &amp; Shaikh, I. A. (2022). In Vitro Antibacterial Activity of Green Synthesized Silver Nanoparticles Using </w:t>
      </w:r>
      <w:r w:rsidRPr="002829E9">
        <w:rPr>
          <w:rFonts w:eastAsia="Calibri" w:cs="Helvetica"/>
          <w:i/>
          <w:noProof/>
        </w:rPr>
        <w:t>Mangifera indica</w:t>
      </w:r>
      <w:r w:rsidRPr="002829E9">
        <w:rPr>
          <w:rFonts w:eastAsia="Calibri" w:cs="Helvetica"/>
          <w:noProof/>
        </w:rPr>
        <w:t xml:space="preserve"> Aqueous Leaf Extract against Multidrug-Resistant Pathogens. </w:t>
      </w:r>
      <w:r w:rsidRPr="002829E9">
        <w:rPr>
          <w:rFonts w:eastAsia="Calibri" w:cs="Helvetica"/>
          <w:i/>
          <w:iCs/>
          <w:noProof/>
        </w:rPr>
        <w:t>Antibiotics</w:t>
      </w:r>
      <w:r w:rsidRPr="002829E9">
        <w:rPr>
          <w:rFonts w:eastAsia="Calibri" w:cs="Helvetica"/>
          <w:noProof/>
        </w:rPr>
        <w:t xml:space="preserve">, </w:t>
      </w:r>
      <w:r w:rsidRPr="002829E9">
        <w:rPr>
          <w:rFonts w:eastAsia="Calibri" w:cs="Helvetica"/>
          <w:i/>
          <w:iCs/>
          <w:noProof/>
        </w:rPr>
        <w:t>11</w:t>
      </w:r>
      <w:r w:rsidRPr="002829E9">
        <w:rPr>
          <w:rFonts w:eastAsia="Calibri" w:cs="Helvetica"/>
          <w:noProof/>
        </w:rPr>
        <w:t>(11). https://doi.org/10.3390/antibiotics11111503</w:t>
      </w:r>
    </w:p>
    <w:p w14:paraId="3A984B2A"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 xml:space="preserve">Amanze, E. K., Nwankpa, U. D., Udekwu, C., Ogbonna, H. N., Nwokafor, C. V, &amp; Udensi, C. (2020). Antibacterial Activity of </w:t>
      </w:r>
      <w:r w:rsidR="00AC67BB" w:rsidRPr="002829E9">
        <w:rPr>
          <w:rFonts w:eastAsia="Calibri" w:cs="Helvetica"/>
          <w:i/>
          <w:noProof/>
        </w:rPr>
        <w:t>Moringa oleifera</w:t>
      </w:r>
      <w:r w:rsidRPr="002829E9">
        <w:rPr>
          <w:rFonts w:eastAsia="Calibri" w:cs="Helvetica"/>
          <w:noProof/>
        </w:rPr>
        <w:t xml:space="preserve"> Root Bark Extract against Some Pathogenic Organisms. </w:t>
      </w:r>
      <w:r w:rsidRPr="002829E9">
        <w:rPr>
          <w:rFonts w:eastAsia="Calibri" w:cs="Helvetica"/>
          <w:i/>
          <w:iCs/>
          <w:noProof/>
        </w:rPr>
        <w:t>Asian Journal of Immunology</w:t>
      </w:r>
      <w:r w:rsidRPr="002829E9">
        <w:rPr>
          <w:rFonts w:eastAsia="Calibri" w:cs="Helvetica"/>
          <w:noProof/>
        </w:rPr>
        <w:t xml:space="preserve">, </w:t>
      </w:r>
      <w:r w:rsidRPr="002829E9">
        <w:rPr>
          <w:rFonts w:eastAsia="Calibri" w:cs="Helvetica"/>
          <w:i/>
          <w:iCs/>
          <w:noProof/>
        </w:rPr>
        <w:t>4</w:t>
      </w:r>
      <w:r w:rsidRPr="002829E9">
        <w:rPr>
          <w:rFonts w:eastAsia="Calibri" w:cs="Helvetica"/>
          <w:noProof/>
        </w:rPr>
        <w:t>(3), 21–27.</w:t>
      </w:r>
    </w:p>
    <w:p w14:paraId="2BAEE4B3"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 xml:space="preserve">Balouiri, M., Sadiki, M., &amp; Ibnsouda, S. K. (2016). Methods for in vitro evaluating antimicrobial activity: A review. </w:t>
      </w:r>
      <w:r w:rsidRPr="002829E9">
        <w:rPr>
          <w:rFonts w:eastAsia="Calibri" w:cs="Helvetica"/>
          <w:i/>
          <w:iCs/>
          <w:noProof/>
        </w:rPr>
        <w:t>Journal of Pharmaceutical Analysis</w:t>
      </w:r>
      <w:r w:rsidRPr="002829E9">
        <w:rPr>
          <w:rFonts w:eastAsia="Calibri" w:cs="Helvetica"/>
          <w:noProof/>
        </w:rPr>
        <w:t xml:space="preserve">, </w:t>
      </w:r>
      <w:r w:rsidRPr="002829E9">
        <w:rPr>
          <w:rFonts w:eastAsia="Calibri" w:cs="Helvetica"/>
          <w:i/>
          <w:iCs/>
          <w:noProof/>
        </w:rPr>
        <w:t>6</w:t>
      </w:r>
      <w:r w:rsidRPr="002829E9">
        <w:rPr>
          <w:rFonts w:eastAsia="Calibri" w:cs="Helvetica"/>
          <w:noProof/>
        </w:rPr>
        <w:t>(2), 71–79. https://doi.org/10.1016/j.jpha.2015.11.005</w:t>
      </w:r>
    </w:p>
    <w:p w14:paraId="6F886E95"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 xml:space="preserve">Barros, L., Carvalho, A. M., &amp; Ferreira, I. C. F. R. (2011). Exotic fruits as a source of important phytochemicals : Improving the traditional use of </w:t>
      </w:r>
      <w:r w:rsidRPr="002829E9">
        <w:rPr>
          <w:rFonts w:eastAsia="Calibri" w:cs="Helvetica"/>
          <w:i/>
          <w:noProof/>
        </w:rPr>
        <w:t>Rosa canina</w:t>
      </w:r>
      <w:r w:rsidRPr="002829E9">
        <w:rPr>
          <w:rFonts w:eastAsia="Calibri" w:cs="Helvetica"/>
          <w:noProof/>
        </w:rPr>
        <w:t xml:space="preserve"> fruits in Portugal. </w:t>
      </w:r>
      <w:r w:rsidRPr="002829E9">
        <w:rPr>
          <w:rFonts w:eastAsia="Calibri" w:cs="Helvetica"/>
          <w:i/>
          <w:iCs/>
          <w:noProof/>
        </w:rPr>
        <w:t>FRIN</w:t>
      </w:r>
      <w:r w:rsidRPr="002829E9">
        <w:rPr>
          <w:rFonts w:eastAsia="Calibri" w:cs="Helvetica"/>
          <w:noProof/>
        </w:rPr>
        <w:t xml:space="preserve">, </w:t>
      </w:r>
      <w:r w:rsidRPr="002829E9">
        <w:rPr>
          <w:rFonts w:eastAsia="Calibri" w:cs="Helvetica"/>
          <w:i/>
          <w:iCs/>
          <w:noProof/>
        </w:rPr>
        <w:t>44</w:t>
      </w:r>
      <w:r w:rsidRPr="002829E9">
        <w:rPr>
          <w:rFonts w:eastAsia="Calibri" w:cs="Helvetica"/>
          <w:noProof/>
        </w:rPr>
        <w:t>(7), 2233–2236. https://doi.org/10.1016/j.foodres.2010.10.005</w:t>
      </w:r>
    </w:p>
    <w:p w14:paraId="600735E0" w14:textId="77777777" w:rsidR="00593AA4"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 xml:space="preserve">Batiha, G. E. S., Beshbishy, A. M., El-Mleeh, A., Abdel-Daim, M. M., &amp; Devkota, H. P. (2020). Traditional uses, bioactive chemical constituents, and pharmacological and toxicological activities of </w:t>
      </w:r>
      <w:r w:rsidRPr="002829E9">
        <w:rPr>
          <w:rFonts w:eastAsia="Calibri" w:cs="Helvetica"/>
          <w:i/>
          <w:noProof/>
        </w:rPr>
        <w:t>Glycyrrhiza glabra</w:t>
      </w:r>
      <w:r w:rsidRPr="002829E9">
        <w:rPr>
          <w:rFonts w:eastAsia="Calibri" w:cs="Helvetica"/>
          <w:noProof/>
        </w:rPr>
        <w:t xml:space="preserve"> L. (fabaceae). In </w:t>
      </w:r>
      <w:r w:rsidRPr="002829E9">
        <w:rPr>
          <w:rFonts w:eastAsia="Calibri" w:cs="Helvetica"/>
          <w:i/>
          <w:iCs/>
          <w:noProof/>
        </w:rPr>
        <w:t>Biomolecules</w:t>
      </w:r>
      <w:r w:rsidRPr="002829E9">
        <w:rPr>
          <w:rFonts w:eastAsia="Calibri" w:cs="Helvetica"/>
          <w:noProof/>
        </w:rPr>
        <w:t xml:space="preserve"> (Vol. 10, Issue 3, pp. 1–19). https://doi.org/10.3390/biom10030352</w:t>
      </w:r>
    </w:p>
    <w:p w14:paraId="14AFEE39" w14:textId="4FE8678A" w:rsidR="004732E5" w:rsidRPr="002829E9" w:rsidRDefault="004732E5" w:rsidP="00593AA4">
      <w:pPr>
        <w:widowControl w:val="0"/>
        <w:autoSpaceDE w:val="0"/>
        <w:autoSpaceDN w:val="0"/>
        <w:adjustRightInd w:val="0"/>
        <w:spacing w:before="240" w:after="240"/>
        <w:ind w:left="480" w:hanging="480"/>
        <w:jc w:val="both"/>
        <w:rPr>
          <w:rFonts w:eastAsia="Calibri" w:cs="Helvetica"/>
          <w:noProof/>
        </w:rPr>
      </w:pPr>
      <w:r w:rsidRPr="00D04EFB">
        <w:rPr>
          <w:rFonts w:eastAsia="Calibri" w:cs="Helvetica"/>
          <w:noProof/>
          <w:highlight w:val="yellow"/>
        </w:rPr>
        <w:t xml:space="preserve">Dai, J., Han, R., Xu, Y., Li, N., Wang, J., &amp; Dan, W. (2020). Recent progress of antibacterial natural products: Future antibiotics candidates. </w:t>
      </w:r>
      <w:r w:rsidRPr="00D04EFB">
        <w:rPr>
          <w:rFonts w:eastAsia="Calibri" w:cs="Helvetica"/>
          <w:i/>
          <w:iCs/>
          <w:noProof/>
          <w:highlight w:val="yellow"/>
        </w:rPr>
        <w:t>Bioorganic Chemistry</w:t>
      </w:r>
      <w:r w:rsidRPr="00D04EFB">
        <w:rPr>
          <w:rFonts w:eastAsia="Calibri" w:cs="Helvetica"/>
          <w:noProof/>
          <w:highlight w:val="yellow"/>
        </w:rPr>
        <w:t xml:space="preserve">, </w:t>
      </w:r>
      <w:r w:rsidRPr="00D04EFB">
        <w:rPr>
          <w:rFonts w:eastAsia="Calibri" w:cs="Helvetica"/>
          <w:i/>
          <w:iCs/>
          <w:noProof/>
          <w:highlight w:val="yellow"/>
        </w:rPr>
        <w:t>101</w:t>
      </w:r>
      <w:r w:rsidRPr="00D04EFB">
        <w:rPr>
          <w:rFonts w:eastAsia="Calibri" w:cs="Helvetica"/>
          <w:noProof/>
          <w:highlight w:val="yellow"/>
        </w:rPr>
        <w:t>. https://doi.org/10.1016/j.bioorg.2020.103922</w:t>
      </w:r>
    </w:p>
    <w:p w14:paraId="576325C3" w14:textId="55F04D6E" w:rsidR="00593AA4" w:rsidRPr="00C01A64" w:rsidRDefault="00A3306C" w:rsidP="00593AA4">
      <w:pPr>
        <w:widowControl w:val="0"/>
        <w:autoSpaceDE w:val="0"/>
        <w:autoSpaceDN w:val="0"/>
        <w:adjustRightInd w:val="0"/>
        <w:spacing w:before="240" w:after="240"/>
        <w:ind w:left="480" w:hanging="480"/>
        <w:jc w:val="both"/>
        <w:rPr>
          <w:rFonts w:eastAsia="Calibri" w:cs="Helvetica"/>
          <w:noProof/>
          <w:lang w:val="fr-FR"/>
        </w:rPr>
      </w:pPr>
      <w:r w:rsidRPr="004A7A86">
        <w:rPr>
          <w:rFonts w:ascii="Arial" w:hAnsi="Arial" w:cs="Arial"/>
        </w:rPr>
        <w:t>EUCAST/</w:t>
      </w:r>
      <w:r w:rsidR="00593AA4" w:rsidRPr="002829E9">
        <w:rPr>
          <w:rFonts w:eastAsia="Calibri" w:cs="Helvetica"/>
          <w:noProof/>
        </w:rPr>
        <w:t xml:space="preserve">CA-SFM. </w:t>
      </w:r>
      <w:r w:rsidR="00593AA4" w:rsidRPr="00C01A64">
        <w:rPr>
          <w:rFonts w:eastAsia="Calibri" w:cs="Helvetica"/>
          <w:noProof/>
          <w:lang w:val="fr-FR"/>
        </w:rPr>
        <w:t>(202</w:t>
      </w:r>
      <w:r>
        <w:rPr>
          <w:rFonts w:eastAsia="Calibri" w:cs="Helvetica"/>
          <w:noProof/>
          <w:lang w:val="fr-FR"/>
        </w:rPr>
        <w:t>4</w:t>
      </w:r>
      <w:r w:rsidR="00593AA4" w:rsidRPr="00C01A64">
        <w:rPr>
          <w:rFonts w:eastAsia="Calibri" w:cs="Helvetica"/>
          <w:noProof/>
          <w:lang w:val="fr-FR"/>
        </w:rPr>
        <w:t>). Recommandations 202</w:t>
      </w:r>
      <w:r>
        <w:rPr>
          <w:rFonts w:eastAsia="Calibri" w:cs="Helvetica"/>
          <w:noProof/>
          <w:lang w:val="fr-FR"/>
        </w:rPr>
        <w:t>4</w:t>
      </w:r>
      <w:r w:rsidR="00593AA4" w:rsidRPr="00C01A64">
        <w:rPr>
          <w:rFonts w:eastAsia="Calibri" w:cs="Helvetica"/>
          <w:noProof/>
          <w:lang w:val="fr-FR"/>
        </w:rPr>
        <w:t xml:space="preserve"> – Interprétation des antibiogrammes. Société Française de Microbiologie. https://www.sfm-microbiologie.org</w:t>
      </w:r>
    </w:p>
    <w:p w14:paraId="22C301A9"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 xml:space="preserve">Cowan, M. M. (1999). Plant products as antimicrobial agents. </w:t>
      </w:r>
      <w:r w:rsidRPr="002829E9">
        <w:rPr>
          <w:rFonts w:eastAsia="Calibri" w:cs="Helvetica"/>
          <w:i/>
          <w:iCs/>
          <w:noProof/>
        </w:rPr>
        <w:t>CLINICAL MICROBIOLOGY REVIEWS</w:t>
      </w:r>
      <w:r w:rsidRPr="002829E9">
        <w:rPr>
          <w:rFonts w:eastAsia="Calibri" w:cs="Helvetica"/>
          <w:noProof/>
        </w:rPr>
        <w:t xml:space="preserve">, </w:t>
      </w:r>
      <w:r w:rsidRPr="002829E9">
        <w:rPr>
          <w:rFonts w:eastAsia="Calibri" w:cs="Helvetica"/>
          <w:i/>
          <w:iCs/>
          <w:noProof/>
        </w:rPr>
        <w:t>12</w:t>
      </w:r>
      <w:r w:rsidRPr="002829E9">
        <w:rPr>
          <w:rFonts w:eastAsia="Calibri" w:cs="Helvetica"/>
          <w:noProof/>
        </w:rPr>
        <w:t>(4), 564–582. https://doi.org/10.3109/9781420019919-17</w:t>
      </w:r>
    </w:p>
    <w:p w14:paraId="00BDDC6F"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8824CC">
        <w:rPr>
          <w:rFonts w:eastAsia="Calibri" w:cs="Helvetica"/>
          <w:noProof/>
        </w:rPr>
        <w:t xml:space="preserve">Ejikeugwu, C., Eze, P., &amp; Orji, J. (2023). </w:t>
      </w:r>
      <w:r w:rsidRPr="002829E9">
        <w:rPr>
          <w:rFonts w:eastAsia="Calibri" w:cs="Helvetica"/>
          <w:noProof/>
        </w:rPr>
        <w:t xml:space="preserve">Antimicrobial resistance crisis: Exploring plant-based solutions. </w:t>
      </w:r>
      <w:r w:rsidRPr="002829E9">
        <w:rPr>
          <w:rFonts w:eastAsia="Calibri" w:cs="Helvetica"/>
          <w:i/>
          <w:noProof/>
        </w:rPr>
        <w:t>Journal of Herbal Medicine</w:t>
      </w:r>
      <w:r w:rsidRPr="002829E9">
        <w:rPr>
          <w:rFonts w:eastAsia="Calibri" w:cs="Helvetica"/>
          <w:noProof/>
        </w:rPr>
        <w:t>, 39, 100569. 10.20944/preprints202309.0110.v1</w:t>
      </w:r>
    </w:p>
    <w:p w14:paraId="13F83407" w14:textId="77777777" w:rsidR="00593AA4" w:rsidRPr="008824CC" w:rsidRDefault="00593AA4" w:rsidP="00593AA4">
      <w:pPr>
        <w:widowControl w:val="0"/>
        <w:autoSpaceDE w:val="0"/>
        <w:autoSpaceDN w:val="0"/>
        <w:adjustRightInd w:val="0"/>
        <w:spacing w:before="240" w:after="240"/>
        <w:ind w:left="480" w:hanging="480"/>
        <w:jc w:val="both"/>
        <w:rPr>
          <w:rFonts w:eastAsia="Calibri" w:cs="Helvetica"/>
          <w:noProof/>
        </w:rPr>
      </w:pPr>
      <w:r w:rsidRPr="008824CC">
        <w:rPr>
          <w:rFonts w:eastAsia="Calibri" w:cs="Helvetica"/>
          <w:noProof/>
        </w:rPr>
        <w:t>Harborne J.B. Phytochemical methods (1998): A guide to modern techniques of plant analysis; Springer, Third ed., London; 320p. ISBN-10: 0412572702. ISBN-13:978-0412572708</w:t>
      </w:r>
    </w:p>
    <w:p w14:paraId="33B9CF81"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8824CC">
        <w:rPr>
          <w:rFonts w:eastAsia="Calibri" w:cs="Helvetica"/>
          <w:noProof/>
        </w:rPr>
        <w:t xml:space="preserve">Kamagaté, M., Koffi, C., Kouamé, N. M., Akoubet, A., Yao, N. A. R., &amp; Die-Kakou, H. M. (2014). </w:t>
      </w:r>
      <w:r w:rsidRPr="002829E9">
        <w:rPr>
          <w:rFonts w:eastAsia="Calibri" w:cs="Helvetica"/>
          <w:noProof/>
        </w:rPr>
        <w:t xml:space="preserve">Ethnobotany, phytochemistry, pharmacology and toxicology profiles of </w:t>
      </w:r>
      <w:r w:rsidRPr="002829E9">
        <w:rPr>
          <w:rFonts w:eastAsia="Calibri" w:cs="Helvetica"/>
          <w:i/>
          <w:noProof/>
        </w:rPr>
        <w:t>Cassia siamea</w:t>
      </w:r>
      <w:r w:rsidRPr="002829E9">
        <w:rPr>
          <w:rFonts w:eastAsia="Calibri" w:cs="Helvetica"/>
          <w:noProof/>
        </w:rPr>
        <w:t xml:space="preserve"> Lam. </w:t>
      </w:r>
      <w:r w:rsidRPr="002829E9">
        <w:rPr>
          <w:rFonts w:eastAsia="Calibri" w:cs="Helvetica"/>
          <w:i/>
          <w:iCs/>
          <w:noProof/>
        </w:rPr>
        <w:t>The Journal of Phytopharmacology</w:t>
      </w:r>
      <w:r w:rsidRPr="002829E9">
        <w:rPr>
          <w:rFonts w:eastAsia="Calibri" w:cs="Helvetica"/>
          <w:noProof/>
        </w:rPr>
        <w:t xml:space="preserve">, </w:t>
      </w:r>
      <w:r w:rsidRPr="002829E9">
        <w:rPr>
          <w:rFonts w:eastAsia="Calibri" w:cs="Helvetica"/>
          <w:i/>
          <w:iCs/>
          <w:noProof/>
        </w:rPr>
        <w:t>3</w:t>
      </w:r>
      <w:r w:rsidRPr="002829E9">
        <w:rPr>
          <w:rFonts w:eastAsia="Calibri" w:cs="Helvetica"/>
          <w:noProof/>
        </w:rPr>
        <w:t>(1), 57–76. https://doi.org/10.31254/phyto.2014.3109</w:t>
      </w:r>
    </w:p>
    <w:p w14:paraId="01C77BE3" w14:textId="77777777" w:rsidR="00593AA4" w:rsidRDefault="00593AA4" w:rsidP="00593AA4">
      <w:pPr>
        <w:widowControl w:val="0"/>
        <w:autoSpaceDE w:val="0"/>
        <w:autoSpaceDN w:val="0"/>
        <w:adjustRightInd w:val="0"/>
        <w:spacing w:before="240" w:after="240"/>
        <w:ind w:left="480" w:hanging="480"/>
        <w:jc w:val="both"/>
        <w:rPr>
          <w:rFonts w:eastAsia="Calibri" w:cs="Helvetica"/>
          <w:noProof/>
        </w:rPr>
      </w:pPr>
      <w:r w:rsidRPr="008824CC">
        <w:rPr>
          <w:rFonts w:eastAsia="Calibri" w:cs="Helvetica"/>
          <w:noProof/>
        </w:rPr>
        <w:t xml:space="preserve">Lacmata, S. T., Kuete, V., Dzoyem, J. P., Tankeo, S. B., Teke, G. N., Kuiate, J. R., &amp; Pages, J. M. (2012). </w:t>
      </w:r>
      <w:r w:rsidRPr="002829E9">
        <w:rPr>
          <w:rFonts w:eastAsia="Calibri" w:cs="Helvetica"/>
          <w:noProof/>
        </w:rPr>
        <w:t xml:space="preserve">Antibacterial activities of selected cameroonian plants and their synergistic effects with antibiotics against bacteria expressing MDR phenotypes. </w:t>
      </w:r>
      <w:r w:rsidRPr="002829E9">
        <w:rPr>
          <w:rFonts w:eastAsia="Calibri" w:cs="Helvetica"/>
          <w:i/>
          <w:iCs/>
          <w:noProof/>
        </w:rPr>
        <w:t>Evidence-Based Complementary and Alternative Medicine</w:t>
      </w:r>
      <w:r w:rsidRPr="002829E9">
        <w:rPr>
          <w:rFonts w:eastAsia="Calibri" w:cs="Helvetica"/>
          <w:noProof/>
        </w:rPr>
        <w:t xml:space="preserve">, </w:t>
      </w:r>
      <w:r w:rsidRPr="002829E9">
        <w:rPr>
          <w:rFonts w:eastAsia="Calibri" w:cs="Helvetica"/>
          <w:i/>
          <w:iCs/>
          <w:noProof/>
        </w:rPr>
        <w:t>2012</w:t>
      </w:r>
      <w:r w:rsidRPr="002829E9">
        <w:rPr>
          <w:rFonts w:eastAsia="Calibri" w:cs="Helvetica"/>
          <w:noProof/>
        </w:rPr>
        <w:t>. https://doi.org/10.1155/2012/623723</w:t>
      </w:r>
    </w:p>
    <w:p w14:paraId="15811DE5" w14:textId="046DB5F9" w:rsidR="00CB3CAC" w:rsidRPr="002829E9" w:rsidRDefault="00CB3CAC" w:rsidP="00593AA4">
      <w:pPr>
        <w:widowControl w:val="0"/>
        <w:autoSpaceDE w:val="0"/>
        <w:autoSpaceDN w:val="0"/>
        <w:adjustRightInd w:val="0"/>
        <w:spacing w:before="240" w:after="240"/>
        <w:ind w:left="480" w:hanging="480"/>
        <w:jc w:val="both"/>
        <w:rPr>
          <w:rFonts w:eastAsia="Calibri" w:cs="Helvetica"/>
          <w:noProof/>
        </w:rPr>
      </w:pPr>
      <w:r w:rsidRPr="00D04EFB">
        <w:rPr>
          <w:rFonts w:eastAsia="Calibri" w:cs="Helvetica"/>
          <w:noProof/>
          <w:highlight w:val="yellow"/>
        </w:rPr>
        <w:t xml:space="preserve">Mohammed, M. M., Isa, M. A., Abubakar, M. B., Dikwa, A. S. B., &amp; Kappo, A. P. (2025). Molecular detection of mecA gene from methicillin-resistant </w:t>
      </w:r>
      <w:r w:rsidRPr="00D04EFB">
        <w:rPr>
          <w:rFonts w:eastAsia="Calibri" w:cs="Helvetica"/>
          <w:i/>
          <w:noProof/>
          <w:highlight w:val="yellow"/>
        </w:rPr>
        <w:t>Staphylococcus aureus</w:t>
      </w:r>
      <w:r w:rsidRPr="00D04EFB">
        <w:rPr>
          <w:rFonts w:eastAsia="Calibri" w:cs="Helvetica"/>
          <w:noProof/>
          <w:highlight w:val="yellow"/>
        </w:rPr>
        <w:t xml:space="preserve"> </w:t>
      </w:r>
      <w:r w:rsidRPr="00D04EFB">
        <w:rPr>
          <w:rFonts w:eastAsia="Calibri" w:cs="Helvetica"/>
          <w:noProof/>
          <w:highlight w:val="yellow"/>
        </w:rPr>
        <w:lastRenderedPageBreak/>
        <w:t xml:space="preserve">isolated from clinical and environmental samples and its potential inhibition by phytochemicals using in vitro and in silico approach. </w:t>
      </w:r>
      <w:r w:rsidRPr="00D04EFB">
        <w:rPr>
          <w:rFonts w:eastAsia="Calibri" w:cs="Helvetica"/>
          <w:i/>
          <w:iCs/>
          <w:noProof/>
          <w:highlight w:val="yellow"/>
        </w:rPr>
        <w:t>In Silico Pharmacology</w:t>
      </w:r>
      <w:r w:rsidRPr="00D04EFB">
        <w:rPr>
          <w:rFonts w:eastAsia="Calibri" w:cs="Helvetica"/>
          <w:noProof/>
          <w:highlight w:val="yellow"/>
        </w:rPr>
        <w:t xml:space="preserve">, </w:t>
      </w:r>
      <w:r w:rsidRPr="00D04EFB">
        <w:rPr>
          <w:rFonts w:eastAsia="Calibri" w:cs="Helvetica"/>
          <w:i/>
          <w:iCs/>
          <w:noProof/>
          <w:highlight w:val="yellow"/>
        </w:rPr>
        <w:t>13</w:t>
      </w:r>
      <w:r w:rsidRPr="00D04EFB">
        <w:rPr>
          <w:rFonts w:eastAsia="Calibri" w:cs="Helvetica"/>
          <w:noProof/>
          <w:highlight w:val="yellow"/>
        </w:rPr>
        <w:t>(1), 1–25. https://doi.org/10.1007/s40203-024-00297-y</w:t>
      </w:r>
    </w:p>
    <w:p w14:paraId="3D9D402E" w14:textId="77777777" w:rsidR="00593AA4" w:rsidRPr="008824CC" w:rsidRDefault="00593AA4" w:rsidP="00593AA4">
      <w:pPr>
        <w:widowControl w:val="0"/>
        <w:autoSpaceDE w:val="0"/>
        <w:autoSpaceDN w:val="0"/>
        <w:adjustRightInd w:val="0"/>
        <w:spacing w:before="240" w:after="240"/>
        <w:ind w:left="480" w:hanging="480"/>
        <w:jc w:val="both"/>
        <w:rPr>
          <w:rFonts w:eastAsia="Calibri" w:cs="Helvetica"/>
          <w:noProof/>
        </w:rPr>
      </w:pPr>
      <w:r w:rsidRPr="00B40134">
        <w:rPr>
          <w:rFonts w:eastAsia="Calibri" w:cs="Helvetica"/>
          <w:noProof/>
          <w:lang w:val="it-IT"/>
        </w:rPr>
        <w:t xml:space="preserve">Mwamatope, B., Tembo, D., Chikowe, I., Kampira, E., &amp; Nyirenda, C. (2020). </w:t>
      </w:r>
      <w:r w:rsidRPr="002829E9">
        <w:rPr>
          <w:rFonts w:eastAsia="Calibri" w:cs="Helvetica"/>
          <w:noProof/>
        </w:rPr>
        <w:t xml:space="preserve">Total phenolic contents and antioxidant activity of </w:t>
      </w:r>
      <w:r w:rsidRPr="002829E9">
        <w:rPr>
          <w:rFonts w:eastAsia="Calibri" w:cs="Helvetica"/>
          <w:i/>
          <w:noProof/>
        </w:rPr>
        <w:t>Senna singueana</w:t>
      </w:r>
      <w:r w:rsidRPr="002829E9">
        <w:rPr>
          <w:rFonts w:eastAsia="Calibri" w:cs="Helvetica"/>
          <w:noProof/>
        </w:rPr>
        <w:t xml:space="preserve">, Melia azedarach, </w:t>
      </w:r>
      <w:r w:rsidR="00AC67BB" w:rsidRPr="002829E9">
        <w:rPr>
          <w:rFonts w:eastAsia="Calibri" w:cs="Helvetica"/>
          <w:i/>
          <w:noProof/>
        </w:rPr>
        <w:t>Moringa oleifera</w:t>
      </w:r>
      <w:r w:rsidRPr="002829E9">
        <w:rPr>
          <w:rFonts w:eastAsia="Calibri" w:cs="Helvetica"/>
          <w:noProof/>
        </w:rPr>
        <w:t xml:space="preserve"> and </w:t>
      </w:r>
      <w:r w:rsidRPr="002829E9">
        <w:rPr>
          <w:rFonts w:eastAsia="Calibri" w:cs="Helvetica"/>
          <w:i/>
          <w:noProof/>
        </w:rPr>
        <w:t>Lannea discolor</w:t>
      </w:r>
      <w:r w:rsidRPr="002829E9">
        <w:rPr>
          <w:rFonts w:eastAsia="Calibri" w:cs="Helvetica"/>
          <w:noProof/>
        </w:rPr>
        <w:t xml:space="preserve"> herbal plants. </w:t>
      </w:r>
      <w:r w:rsidRPr="008824CC">
        <w:rPr>
          <w:rFonts w:eastAsia="Calibri" w:cs="Helvetica"/>
          <w:i/>
          <w:iCs/>
          <w:noProof/>
        </w:rPr>
        <w:t>Scientific African</w:t>
      </w:r>
      <w:r w:rsidRPr="008824CC">
        <w:rPr>
          <w:rFonts w:eastAsia="Calibri" w:cs="Helvetica"/>
          <w:noProof/>
        </w:rPr>
        <w:t xml:space="preserve">, </w:t>
      </w:r>
      <w:r w:rsidRPr="008824CC">
        <w:rPr>
          <w:rFonts w:eastAsia="Calibri" w:cs="Helvetica"/>
          <w:i/>
          <w:iCs/>
          <w:noProof/>
        </w:rPr>
        <w:t>9</w:t>
      </w:r>
      <w:r w:rsidRPr="008824CC">
        <w:rPr>
          <w:rFonts w:eastAsia="Calibri" w:cs="Helvetica"/>
          <w:noProof/>
        </w:rPr>
        <w:t>, e00481. https://doi.org/10.1016/j.sciaf.2020.e00481</w:t>
      </w:r>
    </w:p>
    <w:p w14:paraId="78123EAB"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 xml:space="preserve">Panigrahi, G. K., Ch, R., Mudiam, M. K. R., Vashishtha, V. M., Raisuddin, S., &amp; Das, M. (2015). Activity-Guided Chemo Toxic Profiling of </w:t>
      </w:r>
      <w:r w:rsidRPr="002829E9">
        <w:rPr>
          <w:rFonts w:eastAsia="Calibri" w:cs="Helvetica"/>
          <w:i/>
          <w:noProof/>
        </w:rPr>
        <w:t>Cassia occidentalis</w:t>
      </w:r>
      <w:r w:rsidRPr="002829E9">
        <w:rPr>
          <w:rFonts w:eastAsia="Calibri" w:cs="Helvetica"/>
          <w:noProof/>
        </w:rPr>
        <w:t xml:space="preserve"> (CO) seeds: Detection of Toxic Compounds in Body Fluids of CO-Exposed Patients and Experimental Rats. </w:t>
      </w:r>
      <w:r w:rsidRPr="002829E9">
        <w:rPr>
          <w:rFonts w:eastAsia="Calibri" w:cs="Helvetica"/>
          <w:i/>
          <w:iCs/>
          <w:noProof/>
        </w:rPr>
        <w:t>Chemical Research in Toxicology</w:t>
      </w:r>
      <w:r w:rsidRPr="002829E9">
        <w:rPr>
          <w:rFonts w:eastAsia="Calibri" w:cs="Helvetica"/>
          <w:noProof/>
        </w:rPr>
        <w:t xml:space="preserve">, </w:t>
      </w:r>
      <w:r w:rsidRPr="002829E9">
        <w:rPr>
          <w:rFonts w:eastAsia="Calibri" w:cs="Helvetica"/>
          <w:i/>
          <w:iCs/>
          <w:noProof/>
        </w:rPr>
        <w:t>28</w:t>
      </w:r>
      <w:r w:rsidRPr="002829E9">
        <w:rPr>
          <w:rFonts w:eastAsia="Calibri" w:cs="Helvetica"/>
          <w:noProof/>
        </w:rPr>
        <w:t>(6), 1120–1132. https://doi.org/10.1021/acs.chemrestox.5b00056</w:t>
      </w:r>
    </w:p>
    <w:p w14:paraId="62EED0DA"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 xml:space="preserve">Ríos, J. L., &amp; Recio, M. C. (2005). Medicinal plants and antimicrobial activity. </w:t>
      </w:r>
      <w:r w:rsidRPr="002829E9">
        <w:rPr>
          <w:rFonts w:eastAsia="Calibri" w:cs="Helvetica"/>
          <w:i/>
          <w:iCs/>
          <w:noProof/>
        </w:rPr>
        <w:t>Journal of Ethnopharmacology</w:t>
      </w:r>
      <w:r w:rsidRPr="002829E9">
        <w:rPr>
          <w:rFonts w:eastAsia="Calibri" w:cs="Helvetica"/>
          <w:noProof/>
        </w:rPr>
        <w:t xml:space="preserve">, </w:t>
      </w:r>
      <w:r w:rsidRPr="002829E9">
        <w:rPr>
          <w:rFonts w:eastAsia="Calibri" w:cs="Helvetica"/>
          <w:i/>
          <w:iCs/>
          <w:noProof/>
        </w:rPr>
        <w:t>100</w:t>
      </w:r>
      <w:r w:rsidRPr="002829E9">
        <w:rPr>
          <w:rFonts w:eastAsia="Calibri" w:cs="Helvetica"/>
          <w:noProof/>
        </w:rPr>
        <w:t>(1–2), 80–84. https://doi.org/10.1016/j.jep.2005.04.025</w:t>
      </w:r>
    </w:p>
    <w:p w14:paraId="7ECF29B6"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 xml:space="preserve">Saiqali, M. Al, Jamil, K., Samreen, R., &amp; Reddy, A. V. (2024). Exploitation of Phytochemical Extracts of </w:t>
      </w:r>
      <w:r w:rsidR="00AC67BB" w:rsidRPr="002829E9">
        <w:rPr>
          <w:rFonts w:eastAsia="Calibri" w:cs="Helvetica"/>
          <w:i/>
          <w:noProof/>
        </w:rPr>
        <w:t>Moringa oleifera</w:t>
      </w:r>
      <w:r w:rsidRPr="002829E9">
        <w:rPr>
          <w:rFonts w:eastAsia="Calibri" w:cs="Helvetica"/>
          <w:noProof/>
        </w:rPr>
        <w:t xml:space="preserve"> as Antimicrobial Agent against Human Pathogenic Bacteria. </w:t>
      </w:r>
      <w:r w:rsidRPr="002829E9">
        <w:rPr>
          <w:rFonts w:eastAsia="Calibri" w:cs="Helvetica"/>
          <w:i/>
          <w:iCs/>
          <w:noProof/>
        </w:rPr>
        <w:t>Saudi Journal of Pathology and Microbiology</w:t>
      </w:r>
      <w:r w:rsidRPr="002829E9">
        <w:rPr>
          <w:rFonts w:eastAsia="Calibri" w:cs="Helvetica"/>
          <w:noProof/>
        </w:rPr>
        <w:t xml:space="preserve">, </w:t>
      </w:r>
      <w:r w:rsidRPr="002829E9">
        <w:rPr>
          <w:rFonts w:eastAsia="Calibri" w:cs="Helvetica"/>
          <w:i/>
          <w:iCs/>
          <w:noProof/>
        </w:rPr>
        <w:t>9</w:t>
      </w:r>
      <w:r w:rsidRPr="002829E9">
        <w:rPr>
          <w:rFonts w:eastAsia="Calibri" w:cs="Helvetica"/>
          <w:noProof/>
        </w:rPr>
        <w:t>(06), 130–138. https://doi.org/10.36348/sjpm.2024.v09i06.003</w:t>
      </w:r>
    </w:p>
    <w:p w14:paraId="0B94DFEB" w14:textId="77777777" w:rsidR="00593AA4" w:rsidRDefault="00593AA4" w:rsidP="00593AA4">
      <w:pPr>
        <w:widowControl w:val="0"/>
        <w:autoSpaceDE w:val="0"/>
        <w:autoSpaceDN w:val="0"/>
        <w:adjustRightInd w:val="0"/>
        <w:spacing w:before="240" w:after="240"/>
        <w:ind w:left="480" w:hanging="480"/>
        <w:jc w:val="both"/>
        <w:rPr>
          <w:rFonts w:eastAsia="Calibri" w:cs="Helvetica"/>
          <w:noProof/>
        </w:rPr>
      </w:pPr>
      <w:r w:rsidRPr="00C01A64">
        <w:rPr>
          <w:rFonts w:eastAsia="Calibri" w:cs="Helvetica"/>
          <w:noProof/>
          <w:lang w:val="fr-FR"/>
        </w:rPr>
        <w:t xml:space="preserve">Souza, A. D. O., Bessa, D. H. R. F., Fernandes, C. C., Pereira, P. S., Martins, C. H. G., &amp; Miranda, M. L. D. (2020). </w:t>
      </w:r>
      <w:r w:rsidRPr="002829E9">
        <w:rPr>
          <w:rFonts w:eastAsia="Calibri" w:cs="Helvetica"/>
          <w:noProof/>
        </w:rPr>
        <w:t xml:space="preserve">Phytochemical screening of </w:t>
      </w:r>
      <w:r w:rsidR="00F63FF8" w:rsidRPr="002829E9">
        <w:rPr>
          <w:rFonts w:eastAsia="Calibri" w:cs="Helvetica"/>
          <w:noProof/>
        </w:rPr>
        <w:t xml:space="preserve">extracts from </w:t>
      </w:r>
      <w:r w:rsidR="00F63FF8" w:rsidRPr="002829E9">
        <w:rPr>
          <w:rFonts w:eastAsia="Calibri" w:cs="Helvetica"/>
          <w:i/>
          <w:noProof/>
        </w:rPr>
        <w:t>S</w:t>
      </w:r>
      <w:r w:rsidRPr="002829E9">
        <w:rPr>
          <w:rFonts w:eastAsia="Calibri" w:cs="Helvetica"/>
          <w:i/>
          <w:noProof/>
        </w:rPr>
        <w:t>piranthera odoratissima</w:t>
      </w:r>
      <w:r w:rsidR="00F63FF8" w:rsidRPr="002829E9">
        <w:rPr>
          <w:rFonts w:eastAsia="Calibri" w:cs="Helvetica"/>
          <w:noProof/>
        </w:rPr>
        <w:t xml:space="preserve"> a. St.-hil. (R</w:t>
      </w:r>
      <w:r w:rsidRPr="002829E9">
        <w:rPr>
          <w:rFonts w:eastAsia="Calibri" w:cs="Helvetica"/>
          <w:noProof/>
        </w:rPr>
        <w:t xml:space="preserve">utaceae) leaves and their </w:t>
      </w:r>
      <w:r w:rsidRPr="002829E9">
        <w:rPr>
          <w:rFonts w:eastAsia="Calibri" w:cs="Helvetica"/>
          <w:i/>
          <w:noProof/>
        </w:rPr>
        <w:t>in vitro</w:t>
      </w:r>
      <w:r w:rsidRPr="002829E9">
        <w:rPr>
          <w:rFonts w:eastAsia="Calibri" w:cs="Helvetica"/>
          <w:noProof/>
        </w:rPr>
        <w:t xml:space="preserve"> antioxidant and anti-listeria monocytogenes activities. </w:t>
      </w:r>
      <w:r w:rsidRPr="008824CC">
        <w:rPr>
          <w:rFonts w:eastAsia="Calibri" w:cs="Helvetica"/>
          <w:i/>
          <w:iCs/>
          <w:noProof/>
        </w:rPr>
        <w:t>Acta Scientiarum - Biological Sciences</w:t>
      </w:r>
      <w:r w:rsidRPr="008824CC">
        <w:rPr>
          <w:rFonts w:eastAsia="Calibri" w:cs="Helvetica"/>
          <w:noProof/>
        </w:rPr>
        <w:t xml:space="preserve">, </w:t>
      </w:r>
      <w:r w:rsidRPr="008824CC">
        <w:rPr>
          <w:rFonts w:eastAsia="Calibri" w:cs="Helvetica"/>
          <w:i/>
          <w:iCs/>
          <w:noProof/>
        </w:rPr>
        <w:t>42</w:t>
      </w:r>
      <w:r w:rsidRPr="008824CC">
        <w:rPr>
          <w:rFonts w:eastAsia="Calibri" w:cs="Helvetica"/>
          <w:noProof/>
        </w:rPr>
        <w:t>, 1–10. https://doi.org/10.4025/actascibiolsci.v42i1.51881</w:t>
      </w:r>
    </w:p>
    <w:p w14:paraId="1A728DF3" w14:textId="68A3E595" w:rsidR="00204152" w:rsidRPr="008824CC" w:rsidRDefault="00204152" w:rsidP="00593AA4">
      <w:pPr>
        <w:widowControl w:val="0"/>
        <w:autoSpaceDE w:val="0"/>
        <w:autoSpaceDN w:val="0"/>
        <w:adjustRightInd w:val="0"/>
        <w:spacing w:before="240" w:after="240"/>
        <w:ind w:left="480" w:hanging="480"/>
        <w:jc w:val="both"/>
        <w:rPr>
          <w:rFonts w:eastAsia="Calibri" w:cs="Helvetica"/>
          <w:noProof/>
        </w:rPr>
      </w:pPr>
      <w:r w:rsidRPr="00D04EFB">
        <w:rPr>
          <w:rFonts w:eastAsia="Calibri" w:cs="Helvetica"/>
          <w:noProof/>
          <w:highlight w:val="yellow"/>
        </w:rPr>
        <w:t xml:space="preserve">Vijayakumar, A., Duraipandiyan, V., Jeyaraj, B., Agastian, P., Raj, M. K., &amp; Ignacimuthu, S. (2012). Phytochemical analysis and in vitro antimicrobial activity of </w:t>
      </w:r>
      <w:r w:rsidRPr="00D04EFB">
        <w:rPr>
          <w:rFonts w:eastAsia="Calibri" w:cs="Helvetica"/>
          <w:i/>
          <w:noProof/>
          <w:highlight w:val="yellow"/>
        </w:rPr>
        <w:t>Illicium griffithii</w:t>
      </w:r>
      <w:r w:rsidRPr="00D04EFB">
        <w:rPr>
          <w:rFonts w:eastAsia="Calibri" w:cs="Helvetica"/>
          <w:noProof/>
          <w:highlight w:val="yellow"/>
        </w:rPr>
        <w:t xml:space="preserve"> Hook. f. &amp; Thoms extracts. </w:t>
      </w:r>
      <w:r w:rsidRPr="00D04EFB">
        <w:rPr>
          <w:rFonts w:eastAsia="Calibri" w:cs="Helvetica"/>
          <w:i/>
          <w:iCs/>
          <w:noProof/>
          <w:highlight w:val="yellow"/>
        </w:rPr>
        <w:t>Asian Pacific Journal of Tropical Disease</w:t>
      </w:r>
      <w:r w:rsidRPr="00D04EFB">
        <w:rPr>
          <w:rFonts w:eastAsia="Calibri" w:cs="Helvetica"/>
          <w:noProof/>
          <w:highlight w:val="yellow"/>
        </w:rPr>
        <w:t xml:space="preserve">, </w:t>
      </w:r>
      <w:r w:rsidRPr="00D04EFB">
        <w:rPr>
          <w:rFonts w:eastAsia="Calibri" w:cs="Helvetica"/>
          <w:i/>
          <w:iCs/>
          <w:noProof/>
          <w:highlight w:val="yellow"/>
        </w:rPr>
        <w:t>2</w:t>
      </w:r>
      <w:r w:rsidRPr="00D04EFB">
        <w:rPr>
          <w:rFonts w:eastAsia="Calibri" w:cs="Helvetica"/>
          <w:noProof/>
          <w:highlight w:val="yellow"/>
        </w:rPr>
        <w:t>(3), 190–199. https://doi.org/10.1016/S2222-1808(12)60045-0</w:t>
      </w:r>
    </w:p>
    <w:p w14:paraId="2BBD8FC6"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World Health Organization (WHO). (2021). Global priority list of antibiotic-resistant bacteria to guide research, discovery, and development of new antibiotics. https://www.who.int/publications/i/item/WHO-EMP-IAU-2017.12</w:t>
      </w:r>
    </w:p>
    <w:p w14:paraId="22415A0D" w14:textId="77777777" w:rsidR="00593AA4" w:rsidRPr="00C01A64" w:rsidRDefault="00593AA4" w:rsidP="00593AA4">
      <w:pPr>
        <w:widowControl w:val="0"/>
        <w:autoSpaceDE w:val="0"/>
        <w:autoSpaceDN w:val="0"/>
        <w:adjustRightInd w:val="0"/>
        <w:spacing w:before="240" w:after="240"/>
        <w:ind w:left="480" w:hanging="480"/>
        <w:jc w:val="both"/>
        <w:rPr>
          <w:rFonts w:eastAsia="Calibri" w:cs="Helvetica"/>
          <w:noProof/>
          <w:sz w:val="22"/>
          <w:szCs w:val="22"/>
          <w:lang w:val="fr-FR"/>
        </w:rPr>
      </w:pPr>
      <w:r w:rsidRPr="002829E9">
        <w:rPr>
          <w:rFonts w:eastAsia="Calibri" w:cs="Helvetica"/>
          <w:noProof/>
        </w:rPr>
        <w:t xml:space="preserve">World Health Organization (WHO). (2023). Global research on antimicrobial resistance. </w:t>
      </w:r>
      <w:r w:rsidRPr="00C01A64">
        <w:rPr>
          <w:rFonts w:eastAsia="Calibri" w:cs="Helvetica"/>
          <w:noProof/>
          <w:lang w:val="fr-FR"/>
        </w:rPr>
        <w:t>Geneva: WHO. https://www.who.int/publications/i/item/9789240062703</w:t>
      </w:r>
    </w:p>
    <w:p w14:paraId="40286443" w14:textId="77777777" w:rsidR="004D4277" w:rsidRPr="006A5738" w:rsidRDefault="00593AA4" w:rsidP="006A5738">
      <w:pPr>
        <w:pStyle w:val="Body"/>
        <w:spacing w:after="0"/>
        <w:rPr>
          <w:rFonts w:ascii="Arial" w:hAnsi="Arial" w:cs="Arial"/>
        </w:rPr>
        <w:sectPr w:rsidR="004D4277" w:rsidRPr="006A5738" w:rsidSect="006373C6">
          <w:headerReference w:type="even" r:id="rId19"/>
          <w:headerReference w:type="default" r:id="rId20"/>
          <w:footerReference w:type="default" r:id="rId21"/>
          <w:headerReference w:type="first" r:id="rId22"/>
          <w:type w:val="continuous"/>
          <w:pgSz w:w="12240" w:h="15840"/>
          <w:pgMar w:top="1440" w:right="2016" w:bottom="1985" w:left="2016" w:header="720" w:footer="1123" w:gutter="0"/>
          <w:cols w:space="720"/>
          <w:docGrid w:linePitch="272"/>
        </w:sectPr>
      </w:pPr>
      <w:r w:rsidRPr="00C01A64">
        <w:rPr>
          <w:rFonts w:eastAsia="Calibri" w:cs="Helvetica"/>
          <w:sz w:val="22"/>
          <w:szCs w:val="22"/>
          <w:lang w:val="fr-FR"/>
        </w:rPr>
        <w:fldChar w:fldCharType="end"/>
      </w:r>
    </w:p>
    <w:p w14:paraId="689B3960" w14:textId="77777777" w:rsidR="00B01FCD" w:rsidRPr="00FB3A86" w:rsidRDefault="00B01FCD" w:rsidP="006A5738">
      <w:pPr>
        <w:pStyle w:val="Appendix"/>
        <w:spacing w:after="0"/>
        <w:jc w:val="both"/>
        <w:rPr>
          <w:rFonts w:ascii="Arial" w:hAnsi="Arial" w:cs="Arial"/>
          <w:b w:val="0"/>
        </w:rPr>
      </w:pPr>
      <w:bookmarkStart w:id="3" w:name="_GoBack"/>
      <w:bookmarkEnd w:id="3"/>
    </w:p>
    <w:sectPr w:rsidR="00B01FCD" w:rsidRPr="00FB3A86" w:rsidSect="006373C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007EA" w14:textId="77777777" w:rsidR="00AE1F11" w:rsidRDefault="00AE1F11" w:rsidP="00C37E61">
      <w:r>
        <w:separator/>
      </w:r>
    </w:p>
  </w:endnote>
  <w:endnote w:type="continuationSeparator" w:id="0">
    <w:p w14:paraId="7D4D50FB" w14:textId="77777777" w:rsidR="00AE1F11" w:rsidRDefault="00AE1F1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945E0" w14:textId="77777777" w:rsidR="006C1D8A" w:rsidRDefault="006C1D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293D7" w14:textId="77777777" w:rsidR="006C1D8A" w:rsidRDefault="006C1D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A6D41" w14:textId="2031EE32" w:rsidR="006C1D8A" w:rsidRPr="006373C6" w:rsidRDefault="006C1D8A" w:rsidP="006373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4AB0E" w14:textId="77777777" w:rsidR="006C1D8A" w:rsidRPr="00C37E61" w:rsidRDefault="006C1D8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CCA93" w14:textId="77777777" w:rsidR="00AE1F11" w:rsidRDefault="00AE1F11" w:rsidP="00C37E61">
      <w:r>
        <w:separator/>
      </w:r>
    </w:p>
  </w:footnote>
  <w:footnote w:type="continuationSeparator" w:id="0">
    <w:p w14:paraId="7BA75D8A" w14:textId="77777777" w:rsidR="00AE1F11" w:rsidRDefault="00AE1F1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E894B" w14:textId="5BF70538" w:rsidR="006C1D8A" w:rsidRDefault="00AE1F11">
    <w:pPr>
      <w:pStyle w:val="Header"/>
    </w:pPr>
    <w:r>
      <w:rPr>
        <w:noProof/>
      </w:rPr>
      <w:pict w14:anchorId="561AC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663032" o:spid="_x0000_s2054"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5C239" w14:textId="32E73B6D" w:rsidR="006C1D8A" w:rsidRDefault="00AE1F11">
    <w:pPr>
      <w:pStyle w:val="Header"/>
    </w:pPr>
    <w:r>
      <w:rPr>
        <w:noProof/>
      </w:rPr>
      <w:pict w14:anchorId="670B2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663033" o:spid="_x0000_s2053"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B45A" w14:textId="0A2C46A2" w:rsidR="006C1D8A" w:rsidRPr="00296529" w:rsidRDefault="00AE1F11" w:rsidP="00296529">
    <w:pPr>
      <w:ind w:left="2160"/>
      <w:jc w:val="center"/>
      <w:rPr>
        <w:rFonts w:ascii="Times New Roman" w:eastAsia="Calibri" w:hAnsi="Times New Roman"/>
        <w:i/>
        <w:sz w:val="18"/>
        <w:szCs w:val="22"/>
      </w:rPr>
    </w:pPr>
    <w:r>
      <w:rPr>
        <w:noProof/>
      </w:rPr>
      <w:pict w14:anchorId="68546E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663031" o:spid="_x0000_s2052"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4E00E3D2" w14:textId="77777777" w:rsidR="006C1D8A" w:rsidRPr="00296529" w:rsidRDefault="006C1D8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330C456" w14:textId="77777777" w:rsidR="006C1D8A" w:rsidRPr="00296529" w:rsidRDefault="006C1D8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0E8D0F0" w14:textId="77777777" w:rsidR="006C1D8A" w:rsidRPr="00296529" w:rsidRDefault="006C1D8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EA45BC9" w14:textId="77777777" w:rsidR="006C1D8A" w:rsidRDefault="006C1D8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261E444" w14:textId="77777777" w:rsidR="006C1D8A" w:rsidRDefault="006C1D8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07EF207" w14:textId="77777777" w:rsidR="006C1D8A" w:rsidRDefault="006C1D8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CAC0A" w14:textId="0D26A96B" w:rsidR="006C1D8A" w:rsidRDefault="00AE1F11">
    <w:pPr>
      <w:pStyle w:val="Header"/>
    </w:pPr>
    <w:r>
      <w:rPr>
        <w:noProof/>
      </w:rPr>
      <w:pict w14:anchorId="2E7D04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663035"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3282A" w14:textId="524B9326" w:rsidR="006C1D8A" w:rsidRDefault="00AE1F11">
    <w:pPr>
      <w:pStyle w:val="Header"/>
    </w:pPr>
    <w:r>
      <w:rPr>
        <w:noProof/>
      </w:rPr>
      <w:pict w14:anchorId="181E02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663036"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72CE7" w14:textId="630D2453" w:rsidR="006C1D8A" w:rsidRDefault="00AE1F11">
    <w:pPr>
      <w:pStyle w:val="Header"/>
    </w:pPr>
    <w:r>
      <w:rPr>
        <w:noProof/>
      </w:rPr>
      <w:pict w14:anchorId="2093D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663034"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426E5F"/>
    <w:multiLevelType w:val="multilevel"/>
    <w:tmpl w:val="2582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39A37E4"/>
    <w:multiLevelType w:val="hybridMultilevel"/>
    <w:tmpl w:val="EF64792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1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3DEE"/>
    <w:rsid w:val="00012A1B"/>
    <w:rsid w:val="000133E5"/>
    <w:rsid w:val="000155DA"/>
    <w:rsid w:val="00030174"/>
    <w:rsid w:val="0003304E"/>
    <w:rsid w:val="0003738F"/>
    <w:rsid w:val="0004579C"/>
    <w:rsid w:val="00052D12"/>
    <w:rsid w:val="00054D11"/>
    <w:rsid w:val="00086EA1"/>
    <w:rsid w:val="00095D32"/>
    <w:rsid w:val="00096B2E"/>
    <w:rsid w:val="000A47FA"/>
    <w:rsid w:val="000A65D3"/>
    <w:rsid w:val="000B1E33"/>
    <w:rsid w:val="000B6301"/>
    <w:rsid w:val="000C3CB7"/>
    <w:rsid w:val="000D3769"/>
    <w:rsid w:val="000D689F"/>
    <w:rsid w:val="000E29E2"/>
    <w:rsid w:val="000E7B7B"/>
    <w:rsid w:val="000E7D62"/>
    <w:rsid w:val="000F1D59"/>
    <w:rsid w:val="00103357"/>
    <w:rsid w:val="00104EDC"/>
    <w:rsid w:val="00123C9F"/>
    <w:rsid w:val="00126190"/>
    <w:rsid w:val="00130F17"/>
    <w:rsid w:val="00131EFB"/>
    <w:rsid w:val="001320BF"/>
    <w:rsid w:val="001504BE"/>
    <w:rsid w:val="00163BC4"/>
    <w:rsid w:val="0017324D"/>
    <w:rsid w:val="001733B4"/>
    <w:rsid w:val="00191062"/>
    <w:rsid w:val="00192B72"/>
    <w:rsid w:val="00196643"/>
    <w:rsid w:val="001A29D8"/>
    <w:rsid w:val="001A340D"/>
    <w:rsid w:val="001A5CAA"/>
    <w:rsid w:val="001B0427"/>
    <w:rsid w:val="001C4803"/>
    <w:rsid w:val="001D3A51"/>
    <w:rsid w:val="001D638A"/>
    <w:rsid w:val="001E10D2"/>
    <w:rsid w:val="001E25B4"/>
    <w:rsid w:val="001E44FE"/>
    <w:rsid w:val="001F0F66"/>
    <w:rsid w:val="001F463F"/>
    <w:rsid w:val="00200595"/>
    <w:rsid w:val="00204152"/>
    <w:rsid w:val="0020475D"/>
    <w:rsid w:val="00204835"/>
    <w:rsid w:val="002070B0"/>
    <w:rsid w:val="00231920"/>
    <w:rsid w:val="0023195C"/>
    <w:rsid w:val="0024282C"/>
    <w:rsid w:val="002460DC"/>
    <w:rsid w:val="00250985"/>
    <w:rsid w:val="00250A23"/>
    <w:rsid w:val="002556F6"/>
    <w:rsid w:val="002707D9"/>
    <w:rsid w:val="0028080D"/>
    <w:rsid w:val="002829E9"/>
    <w:rsid w:val="00283105"/>
    <w:rsid w:val="00283963"/>
    <w:rsid w:val="00284C4C"/>
    <w:rsid w:val="00287E68"/>
    <w:rsid w:val="00296529"/>
    <w:rsid w:val="00297437"/>
    <w:rsid w:val="002A5C13"/>
    <w:rsid w:val="002A6ECF"/>
    <w:rsid w:val="002B27FB"/>
    <w:rsid w:val="002B6439"/>
    <w:rsid w:val="002B685A"/>
    <w:rsid w:val="002C4008"/>
    <w:rsid w:val="002C549B"/>
    <w:rsid w:val="002C57D2"/>
    <w:rsid w:val="002E0D56"/>
    <w:rsid w:val="002E213A"/>
    <w:rsid w:val="002E6A9A"/>
    <w:rsid w:val="002F10E9"/>
    <w:rsid w:val="003072E0"/>
    <w:rsid w:val="00315186"/>
    <w:rsid w:val="0033343E"/>
    <w:rsid w:val="003511C2"/>
    <w:rsid w:val="003512C2"/>
    <w:rsid w:val="00357064"/>
    <w:rsid w:val="0035790F"/>
    <w:rsid w:val="00371FB6"/>
    <w:rsid w:val="003756EF"/>
    <w:rsid w:val="003763C1"/>
    <w:rsid w:val="00376BBE"/>
    <w:rsid w:val="00384409"/>
    <w:rsid w:val="00390C4E"/>
    <w:rsid w:val="0039224F"/>
    <w:rsid w:val="003A43A4"/>
    <w:rsid w:val="003A7E18"/>
    <w:rsid w:val="003C3EEE"/>
    <w:rsid w:val="003C4C86"/>
    <w:rsid w:val="003C6258"/>
    <w:rsid w:val="003C7210"/>
    <w:rsid w:val="003D393F"/>
    <w:rsid w:val="003D7129"/>
    <w:rsid w:val="003E2904"/>
    <w:rsid w:val="003E46DD"/>
    <w:rsid w:val="003F38F2"/>
    <w:rsid w:val="00401927"/>
    <w:rsid w:val="0040683C"/>
    <w:rsid w:val="0041027F"/>
    <w:rsid w:val="00412475"/>
    <w:rsid w:val="00423789"/>
    <w:rsid w:val="004301F3"/>
    <w:rsid w:val="00440F43"/>
    <w:rsid w:val="00441B6F"/>
    <w:rsid w:val="00446221"/>
    <w:rsid w:val="004477BF"/>
    <w:rsid w:val="00450E62"/>
    <w:rsid w:val="00452CF7"/>
    <w:rsid w:val="004539DB"/>
    <w:rsid w:val="004615E1"/>
    <w:rsid w:val="00464528"/>
    <w:rsid w:val="00471A80"/>
    <w:rsid w:val="004732E5"/>
    <w:rsid w:val="00477EEB"/>
    <w:rsid w:val="00480EBA"/>
    <w:rsid w:val="00490013"/>
    <w:rsid w:val="00495A49"/>
    <w:rsid w:val="004A6E2F"/>
    <w:rsid w:val="004A7A86"/>
    <w:rsid w:val="004B26F3"/>
    <w:rsid w:val="004B5027"/>
    <w:rsid w:val="004C54FF"/>
    <w:rsid w:val="004D1496"/>
    <w:rsid w:val="004D305E"/>
    <w:rsid w:val="004D4277"/>
    <w:rsid w:val="004E3703"/>
    <w:rsid w:val="00502516"/>
    <w:rsid w:val="00504DBB"/>
    <w:rsid w:val="00505F06"/>
    <w:rsid w:val="00506828"/>
    <w:rsid w:val="00511777"/>
    <w:rsid w:val="0051263D"/>
    <w:rsid w:val="00512D14"/>
    <w:rsid w:val="00513F5C"/>
    <w:rsid w:val="00522B63"/>
    <w:rsid w:val="0053056E"/>
    <w:rsid w:val="00554FDA"/>
    <w:rsid w:val="005550A4"/>
    <w:rsid w:val="00562C2E"/>
    <w:rsid w:val="00566DE5"/>
    <w:rsid w:val="00572F1D"/>
    <w:rsid w:val="00590154"/>
    <w:rsid w:val="00593AA4"/>
    <w:rsid w:val="005973AD"/>
    <w:rsid w:val="005A16CF"/>
    <w:rsid w:val="005C1BD3"/>
    <w:rsid w:val="005C784C"/>
    <w:rsid w:val="005D17F6"/>
    <w:rsid w:val="005E1494"/>
    <w:rsid w:val="005E5539"/>
    <w:rsid w:val="005F7796"/>
    <w:rsid w:val="006011CD"/>
    <w:rsid w:val="00602BEE"/>
    <w:rsid w:val="00602BF5"/>
    <w:rsid w:val="00617FDD"/>
    <w:rsid w:val="006214FB"/>
    <w:rsid w:val="006217C5"/>
    <w:rsid w:val="00633614"/>
    <w:rsid w:val="00633F68"/>
    <w:rsid w:val="00636EB2"/>
    <w:rsid w:val="006373C6"/>
    <w:rsid w:val="006375B8"/>
    <w:rsid w:val="0066510A"/>
    <w:rsid w:val="006667A9"/>
    <w:rsid w:val="00672BF1"/>
    <w:rsid w:val="00673F9F"/>
    <w:rsid w:val="00675C68"/>
    <w:rsid w:val="00686953"/>
    <w:rsid w:val="00687DEA"/>
    <w:rsid w:val="00687E67"/>
    <w:rsid w:val="006967F7"/>
    <w:rsid w:val="006A250C"/>
    <w:rsid w:val="006A5738"/>
    <w:rsid w:val="006B21D3"/>
    <w:rsid w:val="006B57D0"/>
    <w:rsid w:val="006C1D8A"/>
    <w:rsid w:val="006C2989"/>
    <w:rsid w:val="006D0CE9"/>
    <w:rsid w:val="006D30FF"/>
    <w:rsid w:val="006D6683"/>
    <w:rsid w:val="006D6940"/>
    <w:rsid w:val="006E6143"/>
    <w:rsid w:val="006F11EC"/>
    <w:rsid w:val="0070082C"/>
    <w:rsid w:val="00727D91"/>
    <w:rsid w:val="007369E6"/>
    <w:rsid w:val="007465D5"/>
    <w:rsid w:val="00746E59"/>
    <w:rsid w:val="00753801"/>
    <w:rsid w:val="00754C9A"/>
    <w:rsid w:val="0075599A"/>
    <w:rsid w:val="00761D52"/>
    <w:rsid w:val="0076276D"/>
    <w:rsid w:val="0077749E"/>
    <w:rsid w:val="00790ADA"/>
    <w:rsid w:val="00795E5F"/>
    <w:rsid w:val="007A20A1"/>
    <w:rsid w:val="007A4F7A"/>
    <w:rsid w:val="007C74A3"/>
    <w:rsid w:val="007D0967"/>
    <w:rsid w:val="007D2288"/>
    <w:rsid w:val="007E088F"/>
    <w:rsid w:val="007E7174"/>
    <w:rsid w:val="007F7B32"/>
    <w:rsid w:val="00800F88"/>
    <w:rsid w:val="00804BC2"/>
    <w:rsid w:val="0081431A"/>
    <w:rsid w:val="0083216F"/>
    <w:rsid w:val="00843FDD"/>
    <w:rsid w:val="00845A5C"/>
    <w:rsid w:val="00857943"/>
    <w:rsid w:val="00860000"/>
    <w:rsid w:val="00863B9E"/>
    <w:rsid w:val="00863BD3"/>
    <w:rsid w:val="008641ED"/>
    <w:rsid w:val="00866D66"/>
    <w:rsid w:val="008671C6"/>
    <w:rsid w:val="008752CE"/>
    <w:rsid w:val="00875803"/>
    <w:rsid w:val="008824CC"/>
    <w:rsid w:val="008A016B"/>
    <w:rsid w:val="008B459E"/>
    <w:rsid w:val="008C570B"/>
    <w:rsid w:val="008E025A"/>
    <w:rsid w:val="008E13AE"/>
    <w:rsid w:val="008E1506"/>
    <w:rsid w:val="008E6A95"/>
    <w:rsid w:val="008E710C"/>
    <w:rsid w:val="008E7A2C"/>
    <w:rsid w:val="008F69D6"/>
    <w:rsid w:val="00901F18"/>
    <w:rsid w:val="00902823"/>
    <w:rsid w:val="00915CA6"/>
    <w:rsid w:val="00916B5E"/>
    <w:rsid w:val="00927834"/>
    <w:rsid w:val="009500A6"/>
    <w:rsid w:val="0095429F"/>
    <w:rsid w:val="00954480"/>
    <w:rsid w:val="00957C0D"/>
    <w:rsid w:val="00957C18"/>
    <w:rsid w:val="009659BA"/>
    <w:rsid w:val="00967F59"/>
    <w:rsid w:val="009712CF"/>
    <w:rsid w:val="00977635"/>
    <w:rsid w:val="00983040"/>
    <w:rsid w:val="009952F0"/>
    <w:rsid w:val="009B3FB9"/>
    <w:rsid w:val="009B78F0"/>
    <w:rsid w:val="009C007D"/>
    <w:rsid w:val="009C2465"/>
    <w:rsid w:val="009D35A0"/>
    <w:rsid w:val="009D3880"/>
    <w:rsid w:val="009D7EB7"/>
    <w:rsid w:val="009E048A"/>
    <w:rsid w:val="009E08E9"/>
    <w:rsid w:val="009E3DB9"/>
    <w:rsid w:val="009E4B7E"/>
    <w:rsid w:val="009E6E35"/>
    <w:rsid w:val="009F0216"/>
    <w:rsid w:val="009F0EDA"/>
    <w:rsid w:val="009F132F"/>
    <w:rsid w:val="009F69B5"/>
    <w:rsid w:val="00A03B96"/>
    <w:rsid w:val="00A05B19"/>
    <w:rsid w:val="00A1134E"/>
    <w:rsid w:val="00A20A8C"/>
    <w:rsid w:val="00A21A9C"/>
    <w:rsid w:val="00A24E7E"/>
    <w:rsid w:val="00A258C3"/>
    <w:rsid w:val="00A3306C"/>
    <w:rsid w:val="00A347C0"/>
    <w:rsid w:val="00A51431"/>
    <w:rsid w:val="00A539AD"/>
    <w:rsid w:val="00A60A14"/>
    <w:rsid w:val="00A645E6"/>
    <w:rsid w:val="00A70F8C"/>
    <w:rsid w:val="00A8061A"/>
    <w:rsid w:val="00A94063"/>
    <w:rsid w:val="00AA5A85"/>
    <w:rsid w:val="00AA6219"/>
    <w:rsid w:val="00AA74E0"/>
    <w:rsid w:val="00AA7B47"/>
    <w:rsid w:val="00AB161B"/>
    <w:rsid w:val="00AB703F"/>
    <w:rsid w:val="00AC0BBE"/>
    <w:rsid w:val="00AC67BB"/>
    <w:rsid w:val="00AC6BB8"/>
    <w:rsid w:val="00AE008F"/>
    <w:rsid w:val="00AE1F11"/>
    <w:rsid w:val="00AF26A4"/>
    <w:rsid w:val="00B01FCD"/>
    <w:rsid w:val="00B154F6"/>
    <w:rsid w:val="00B1776C"/>
    <w:rsid w:val="00B40134"/>
    <w:rsid w:val="00B50CA0"/>
    <w:rsid w:val="00B52583"/>
    <w:rsid w:val="00B52896"/>
    <w:rsid w:val="00B76237"/>
    <w:rsid w:val="00B76FB5"/>
    <w:rsid w:val="00B7720F"/>
    <w:rsid w:val="00B912DB"/>
    <w:rsid w:val="00B93553"/>
    <w:rsid w:val="00B95236"/>
    <w:rsid w:val="00B96BD9"/>
    <w:rsid w:val="00BA1B01"/>
    <w:rsid w:val="00BA2641"/>
    <w:rsid w:val="00BB3775"/>
    <w:rsid w:val="00BB37AA"/>
    <w:rsid w:val="00BC21A7"/>
    <w:rsid w:val="00BC36F4"/>
    <w:rsid w:val="00BC53A0"/>
    <w:rsid w:val="00BC7FF3"/>
    <w:rsid w:val="00BD2289"/>
    <w:rsid w:val="00BE62AD"/>
    <w:rsid w:val="00BF121F"/>
    <w:rsid w:val="00BF1F80"/>
    <w:rsid w:val="00C01A64"/>
    <w:rsid w:val="00C12130"/>
    <w:rsid w:val="00C166EF"/>
    <w:rsid w:val="00C17EB0"/>
    <w:rsid w:val="00C27F5F"/>
    <w:rsid w:val="00C30A0F"/>
    <w:rsid w:val="00C34DF6"/>
    <w:rsid w:val="00C373C8"/>
    <w:rsid w:val="00C37E61"/>
    <w:rsid w:val="00C4316B"/>
    <w:rsid w:val="00C45AD9"/>
    <w:rsid w:val="00C603A7"/>
    <w:rsid w:val="00C70F1B"/>
    <w:rsid w:val="00C71A47"/>
    <w:rsid w:val="00C72D28"/>
    <w:rsid w:val="00C73B98"/>
    <w:rsid w:val="00C7464C"/>
    <w:rsid w:val="00C76738"/>
    <w:rsid w:val="00C85588"/>
    <w:rsid w:val="00C90D31"/>
    <w:rsid w:val="00CB3CAC"/>
    <w:rsid w:val="00CB6AB7"/>
    <w:rsid w:val="00CD6755"/>
    <w:rsid w:val="00CD6856"/>
    <w:rsid w:val="00CE0089"/>
    <w:rsid w:val="00CE793C"/>
    <w:rsid w:val="00CF1401"/>
    <w:rsid w:val="00CF193C"/>
    <w:rsid w:val="00D03082"/>
    <w:rsid w:val="00D04EFB"/>
    <w:rsid w:val="00D0733A"/>
    <w:rsid w:val="00D173F1"/>
    <w:rsid w:val="00D27DF4"/>
    <w:rsid w:val="00D43DBA"/>
    <w:rsid w:val="00D50526"/>
    <w:rsid w:val="00D541DF"/>
    <w:rsid w:val="00D67309"/>
    <w:rsid w:val="00D74CB0"/>
    <w:rsid w:val="00D820F8"/>
    <w:rsid w:val="00D8295D"/>
    <w:rsid w:val="00D8342D"/>
    <w:rsid w:val="00D94B08"/>
    <w:rsid w:val="00DB1308"/>
    <w:rsid w:val="00DC2A65"/>
    <w:rsid w:val="00DC5E8B"/>
    <w:rsid w:val="00DC7831"/>
    <w:rsid w:val="00DD3E28"/>
    <w:rsid w:val="00DD6741"/>
    <w:rsid w:val="00DE15F0"/>
    <w:rsid w:val="00DE5663"/>
    <w:rsid w:val="00DE78AA"/>
    <w:rsid w:val="00DF1EB0"/>
    <w:rsid w:val="00E053D0"/>
    <w:rsid w:val="00E15994"/>
    <w:rsid w:val="00E22ACC"/>
    <w:rsid w:val="00E25649"/>
    <w:rsid w:val="00E25831"/>
    <w:rsid w:val="00E3114E"/>
    <w:rsid w:val="00E31A70"/>
    <w:rsid w:val="00E35B02"/>
    <w:rsid w:val="00E5590A"/>
    <w:rsid w:val="00E5719A"/>
    <w:rsid w:val="00E66496"/>
    <w:rsid w:val="00E66B35"/>
    <w:rsid w:val="00E66BAE"/>
    <w:rsid w:val="00E66E10"/>
    <w:rsid w:val="00E769F6"/>
    <w:rsid w:val="00E8407C"/>
    <w:rsid w:val="00E84F3C"/>
    <w:rsid w:val="00E939BD"/>
    <w:rsid w:val="00EA012C"/>
    <w:rsid w:val="00EA4723"/>
    <w:rsid w:val="00EC0BAD"/>
    <w:rsid w:val="00EC6A55"/>
    <w:rsid w:val="00ED0288"/>
    <w:rsid w:val="00ED0852"/>
    <w:rsid w:val="00EE52CB"/>
    <w:rsid w:val="00EF1951"/>
    <w:rsid w:val="00EF581D"/>
    <w:rsid w:val="00EF6944"/>
    <w:rsid w:val="00EF7FD8"/>
    <w:rsid w:val="00F06F59"/>
    <w:rsid w:val="00F17988"/>
    <w:rsid w:val="00F219EA"/>
    <w:rsid w:val="00F27290"/>
    <w:rsid w:val="00F357BC"/>
    <w:rsid w:val="00F469F0"/>
    <w:rsid w:val="00F53273"/>
    <w:rsid w:val="00F61005"/>
    <w:rsid w:val="00F63FF8"/>
    <w:rsid w:val="00F755E4"/>
    <w:rsid w:val="00F77D02"/>
    <w:rsid w:val="00FB3A86"/>
    <w:rsid w:val="00FB48A6"/>
    <w:rsid w:val="00FB6B07"/>
    <w:rsid w:val="00FB7E3A"/>
    <w:rsid w:val="00FC0012"/>
    <w:rsid w:val="00FD1AD8"/>
    <w:rsid w:val="00FD36C8"/>
    <w:rsid w:val="00FF4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EDD74A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tionnonrsolue1">
    <w:name w:val="Mention non résolue1"/>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E5719A"/>
    <w:rPr>
      <w:rFonts w:ascii="Times New Roman" w:hAnsi="Times New Roman"/>
      <w:sz w:val="24"/>
      <w:szCs w:val="24"/>
    </w:rPr>
  </w:style>
  <w:style w:type="table" w:customStyle="1" w:styleId="Grilledutableau1">
    <w:name w:val="Grille du tableau1"/>
    <w:basedOn w:val="TableNormal"/>
    <w:next w:val="TableGrid"/>
    <w:uiPriority w:val="39"/>
    <w:rsid w:val="003D7129"/>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463F"/>
    <w:rPr>
      <w:rFonts w:ascii="Helvetica" w:hAnsi="Helvetica"/>
    </w:rPr>
  </w:style>
  <w:style w:type="paragraph" w:styleId="CommentSubject">
    <w:name w:val="annotation subject"/>
    <w:basedOn w:val="CommentText"/>
    <w:next w:val="CommentText"/>
    <w:link w:val="CommentSubjectChar"/>
    <w:semiHidden/>
    <w:unhideWhenUsed/>
    <w:rsid w:val="001F463F"/>
    <w:rPr>
      <w:rFonts w:ascii="Helvetica" w:hAnsi="Helvetica"/>
      <w:b/>
      <w:bCs/>
      <w:lang w:val="en-US" w:eastAsia="en-US"/>
    </w:rPr>
  </w:style>
  <w:style w:type="character" w:customStyle="1" w:styleId="CommentSubjectChar">
    <w:name w:val="Comment Subject Char"/>
    <w:basedOn w:val="CommentTextChar"/>
    <w:link w:val="CommentSubject"/>
    <w:semiHidden/>
    <w:rsid w:val="001F463F"/>
    <w:rPr>
      <w:rFonts w:ascii="Helvetica" w:hAnsi="Helvetica"/>
      <w:b/>
      <w:bCs/>
      <w:lang w:val="nb-NO" w:eastAsia="nb-NO"/>
    </w:rPr>
  </w:style>
  <w:style w:type="character" w:customStyle="1" w:styleId="Mentionnonrsolue2">
    <w:name w:val="Mention non résolue2"/>
    <w:basedOn w:val="DefaultParagraphFont"/>
    <w:uiPriority w:val="99"/>
    <w:semiHidden/>
    <w:unhideWhenUsed/>
    <w:rsid w:val="0017324D"/>
    <w:rPr>
      <w:color w:val="605E5C"/>
      <w:shd w:val="clear" w:color="auto" w:fill="E1DFDD"/>
    </w:rPr>
  </w:style>
  <w:style w:type="table" w:customStyle="1" w:styleId="TableGrid1">
    <w:name w:val="Table Grid1"/>
    <w:basedOn w:val="TableNormal"/>
    <w:next w:val="TableGrid"/>
    <w:uiPriority w:val="59"/>
    <w:rsid w:val="001504B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231893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AB677-4792-44F7-9C8A-DB99FD714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2617</TotalTime>
  <Pages>16</Pages>
  <Words>12493</Words>
  <Characters>71212</Characters>
  <Application>Microsoft Office Word</Application>
  <DocSecurity>0</DocSecurity>
  <Lines>593</Lines>
  <Paragraphs>167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83538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38</cp:revision>
  <cp:lastPrinted>2025-09-19T11:55:00Z</cp:lastPrinted>
  <dcterms:created xsi:type="dcterms:W3CDTF">2025-09-12T21:03:00Z</dcterms:created>
  <dcterms:modified xsi:type="dcterms:W3CDTF">2025-09-19T11:58:00Z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