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133C" w14:textId="0CAE5F09" w:rsidR="00754C9A" w:rsidRPr="001652FC" w:rsidRDefault="00C26FFD" w:rsidP="001652FC">
      <w:pPr>
        <w:pStyle w:val="Title"/>
        <w:spacing w:after="0"/>
        <w:jc w:val="both"/>
        <w:rPr>
          <w:rFonts w:ascii="Arial" w:hAnsi="Arial" w:cs="Arial"/>
        </w:rPr>
      </w:pPr>
      <w:r w:rsidRPr="00C26FFD">
        <w:rPr>
          <w:rFonts w:ascii="Arial" w:hAnsi="Arial" w:cs="Arial"/>
        </w:rPr>
        <w:t>Review Article</w:t>
      </w:r>
    </w:p>
    <w:p w14:paraId="2C7D5512" w14:textId="77777777" w:rsidR="00C131A5" w:rsidRPr="001652FC" w:rsidRDefault="00C131A5" w:rsidP="001652FC">
      <w:pPr>
        <w:jc w:val="right"/>
        <w:rPr>
          <w:rFonts w:ascii="Arial" w:hAnsi="Arial" w:cs="Arial"/>
          <w:b/>
          <w:bCs/>
          <w:sz w:val="36"/>
          <w:szCs w:val="36"/>
        </w:rPr>
      </w:pPr>
      <w:bookmarkStart w:id="0" w:name="_Hlk206111422"/>
      <w:r w:rsidRPr="001652FC">
        <w:rPr>
          <w:rFonts w:ascii="Arial" w:hAnsi="Arial" w:cs="Arial"/>
          <w:b/>
          <w:bCs/>
          <w:sz w:val="36"/>
          <w:szCs w:val="36"/>
        </w:rPr>
        <w:t xml:space="preserve">Engineering Immunity in the Silkworm </w:t>
      </w:r>
      <w:r w:rsidRPr="001652FC">
        <w:rPr>
          <w:rFonts w:ascii="Arial" w:hAnsi="Arial" w:cs="Arial"/>
          <w:b/>
          <w:bCs/>
          <w:i/>
          <w:iCs/>
          <w:sz w:val="36"/>
          <w:szCs w:val="36"/>
        </w:rPr>
        <w:t>Bombyx mori</w:t>
      </w:r>
      <w:r w:rsidRPr="001652FC">
        <w:rPr>
          <w:rFonts w:ascii="Arial" w:hAnsi="Arial" w:cs="Arial"/>
          <w:b/>
          <w:bCs/>
          <w:sz w:val="36"/>
          <w:szCs w:val="36"/>
        </w:rPr>
        <w:t>: Genetic and Biotechnological Advances</w:t>
      </w:r>
      <w:bookmarkEnd w:id="0"/>
    </w:p>
    <w:p w14:paraId="46BF1C5C" w14:textId="77777777" w:rsidR="002D7938" w:rsidRDefault="002D7938" w:rsidP="00A82F09">
      <w:pPr>
        <w:spacing w:before="113" w:after="113" w:line="276" w:lineRule="auto"/>
        <w:jc w:val="right"/>
        <w:rPr>
          <w:rFonts w:ascii="Arial" w:hAnsi="Arial" w:cs="Arial"/>
          <w:i/>
        </w:rPr>
      </w:pPr>
    </w:p>
    <w:p w14:paraId="53B4A01E" w14:textId="77777777" w:rsidR="00005542" w:rsidRPr="00005542" w:rsidRDefault="00005542" w:rsidP="00005542">
      <w:pPr>
        <w:spacing w:before="113" w:after="113" w:line="276" w:lineRule="auto"/>
        <w:jc w:val="right"/>
        <w:rPr>
          <w:rFonts w:ascii="Arial" w:hAnsi="Arial" w:cs="Arial"/>
          <w:i/>
        </w:rPr>
      </w:pPr>
    </w:p>
    <w:p w14:paraId="6D75CA00" w14:textId="77777777" w:rsidR="00B01FCD" w:rsidRPr="001652FC" w:rsidRDefault="00000000" w:rsidP="001652FC">
      <w:pPr>
        <w:pStyle w:val="Copyright"/>
        <w:spacing w:after="0" w:line="240" w:lineRule="auto"/>
        <w:jc w:val="both"/>
        <w:rPr>
          <w:rFonts w:ascii="Arial" w:hAnsi="Arial" w:cs="Arial"/>
        </w:rPr>
        <w:sectPr w:rsidR="00B01FCD" w:rsidRPr="001652FC" w:rsidSect="007B2AE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132D3F0">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1652FC">
        <w:rPr>
          <w:rFonts w:ascii="Arial" w:hAnsi="Arial" w:cs="Arial"/>
        </w:rPr>
        <w:t>.</w:t>
      </w:r>
    </w:p>
    <w:p w14:paraId="5AD35BC2" w14:textId="610EFE51" w:rsidR="00B01FCD" w:rsidRPr="001652FC" w:rsidRDefault="00B01FCD" w:rsidP="001652FC">
      <w:pPr>
        <w:pStyle w:val="AbstHead"/>
        <w:spacing w:after="0"/>
        <w:jc w:val="both"/>
        <w:rPr>
          <w:rFonts w:ascii="Arial" w:hAnsi="Arial" w:cs="Arial"/>
        </w:rPr>
      </w:pPr>
      <w:r w:rsidRPr="001652FC">
        <w:rPr>
          <w:rFonts w:ascii="Arial" w:hAnsi="Arial" w:cs="Arial"/>
        </w:rPr>
        <w:t>ABSTRACT</w:t>
      </w:r>
    </w:p>
    <w:p w14:paraId="797401C2" w14:textId="77777777" w:rsidR="00790ADA" w:rsidRPr="001652FC" w:rsidRDefault="00790ADA" w:rsidP="001652F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652FC" w14:paraId="04B376F4" w14:textId="77777777" w:rsidTr="001E44FE">
        <w:tc>
          <w:tcPr>
            <w:tcW w:w="9576" w:type="dxa"/>
            <w:shd w:val="clear" w:color="auto" w:fill="F2F2F2"/>
          </w:tcPr>
          <w:p w14:paraId="37E5C496" w14:textId="5B61CDFC" w:rsidR="00505F06" w:rsidRPr="004766E1" w:rsidRDefault="00B76C8D" w:rsidP="001652FC">
            <w:pPr>
              <w:ind w:firstLine="360"/>
              <w:jc w:val="both"/>
              <w:rPr>
                <w:rFonts w:ascii="Arial" w:hAnsi="Arial" w:cs="Arial"/>
              </w:rPr>
            </w:pPr>
            <w:r w:rsidRPr="00B76C8D">
              <w:rPr>
                <w:rFonts w:ascii="Arial" w:hAnsi="Arial" w:cs="Arial"/>
              </w:rPr>
              <w:t xml:space="preserve">Silkworm health is a critical factor in sustaining sericulture, yet recurring outbreaks of viral, bacterial, fungal, and protozoan pathogens continue to undermine productivity and farmer livelihoods worldwide. To address this, recent research has expanded understanding of the innate immune system of </w:t>
            </w:r>
            <w:r w:rsidRPr="00B76C8D">
              <w:rPr>
                <w:rFonts w:ascii="Arial" w:hAnsi="Arial" w:cs="Arial"/>
                <w:i/>
                <w:iCs/>
              </w:rPr>
              <w:t>Bombyx mori</w:t>
            </w:r>
            <w:r w:rsidRPr="00B76C8D">
              <w:rPr>
                <w:rFonts w:ascii="Arial" w:hAnsi="Arial" w:cs="Arial"/>
              </w:rPr>
              <w:t xml:space="preserve"> and its potential for genetic improvement. This review consolidates advances in immune biology, detailing barrier defenses, hemocyte-mediated cellular activities, and humoral responses such as antimicrobial peptides and phenoloxidase cascades. Molecular processes including pattern recognition, signaling networks, stress proteins, and RNA interference are also examined as key components shaping pathogen resistance. On the applied front, progress in transcriptomics, proteomics, and epigenetics is uncovering genetic markers and regulatory mechanisms linked to resilience. Complementing this, biotechnology-driven tools</w:t>
            </w:r>
            <w:r>
              <w:rPr>
                <w:rFonts w:ascii="Arial" w:hAnsi="Arial" w:cs="Arial"/>
              </w:rPr>
              <w:t xml:space="preserve">, </w:t>
            </w:r>
            <w:r w:rsidRPr="00B76C8D">
              <w:rPr>
                <w:rFonts w:ascii="Arial" w:hAnsi="Arial" w:cs="Arial"/>
              </w:rPr>
              <w:t>such as CRISPR/Cas genome editing, RNAi-based approaches, and transgenic expression systems</w:t>
            </w:r>
            <w:r>
              <w:rPr>
                <w:rFonts w:ascii="Arial" w:hAnsi="Arial" w:cs="Arial"/>
              </w:rPr>
              <w:t xml:space="preserve"> </w:t>
            </w:r>
            <w:r w:rsidRPr="00B76C8D">
              <w:rPr>
                <w:rFonts w:ascii="Arial" w:hAnsi="Arial" w:cs="Arial"/>
              </w:rPr>
              <w:t>offer new avenues for enhancing disease resistance. By linking these molecular insights with breeding and selection programs, the review outlines strategies for building robust silkworm strains. In doing so, it provides a comprehensive synthesis that connects fundamental immunology with practical breeding innovations. Beyond technical progress, the discussion underscores the importance of harmonized regulatory policies and farmer-oriented extension support for translating research into field-level solutions. Finally, the review identifies knowledge gaps and emphasizes the role of integrated multi-omics, synthetic biology, and supportive regulatory frameworks in advancing disease management and securing the future of sericulture.</w:t>
            </w:r>
          </w:p>
        </w:tc>
      </w:tr>
    </w:tbl>
    <w:p w14:paraId="73E7148D" w14:textId="77777777" w:rsidR="00636EB2" w:rsidRPr="001652FC" w:rsidRDefault="00636EB2" w:rsidP="001652FC">
      <w:pPr>
        <w:pStyle w:val="Body"/>
        <w:spacing w:after="0"/>
        <w:rPr>
          <w:rFonts w:ascii="Arial" w:hAnsi="Arial" w:cs="Arial"/>
          <w:i/>
        </w:rPr>
      </w:pPr>
    </w:p>
    <w:p w14:paraId="1C4FD3D6" w14:textId="3C02639F" w:rsidR="0024282C" w:rsidRPr="001652FC" w:rsidRDefault="00A24E7E" w:rsidP="001652FC">
      <w:pPr>
        <w:pStyle w:val="Body"/>
        <w:spacing w:after="0"/>
        <w:rPr>
          <w:rFonts w:ascii="Arial" w:hAnsi="Arial" w:cs="Arial"/>
          <w:i/>
        </w:rPr>
      </w:pPr>
      <w:r w:rsidRPr="001652FC">
        <w:rPr>
          <w:rFonts w:ascii="Arial" w:hAnsi="Arial" w:cs="Arial"/>
          <w:i/>
        </w:rPr>
        <w:t xml:space="preserve">Keywords: </w:t>
      </w:r>
      <w:r w:rsidR="00C131A5" w:rsidRPr="001652FC">
        <w:rPr>
          <w:rFonts w:ascii="Arial" w:hAnsi="Arial" w:cs="Arial"/>
          <w:i/>
        </w:rPr>
        <w:t>Silkworm diseases, pathogen resistance, innate immunity, Breeding programs, Nuclear Polyhedrosis Virus,</w:t>
      </w:r>
      <w:r w:rsidR="002759D8" w:rsidRPr="001652FC">
        <w:rPr>
          <w:rFonts w:ascii="Arial" w:hAnsi="Arial" w:cs="Arial"/>
          <w:i/>
        </w:rPr>
        <w:t xml:space="preserve"> Antimicrobial peptides (AMPs)</w:t>
      </w:r>
      <w:r w:rsidR="00C131A5" w:rsidRPr="001652FC">
        <w:rPr>
          <w:rFonts w:ascii="Arial" w:hAnsi="Arial" w:cs="Arial"/>
          <w:i/>
        </w:rPr>
        <w:t xml:space="preserve"> </w:t>
      </w:r>
    </w:p>
    <w:p w14:paraId="3D7E7835" w14:textId="77777777" w:rsidR="00505F06" w:rsidRPr="001652FC" w:rsidRDefault="00505F06" w:rsidP="001652FC">
      <w:pPr>
        <w:pStyle w:val="Body"/>
        <w:spacing w:after="0"/>
        <w:rPr>
          <w:rFonts w:ascii="Arial" w:hAnsi="Arial" w:cs="Arial"/>
          <w:i/>
        </w:rPr>
      </w:pPr>
    </w:p>
    <w:p w14:paraId="37D65D53" w14:textId="63E1C024" w:rsidR="007F7B32" w:rsidRPr="001652FC" w:rsidRDefault="00B01FCD" w:rsidP="001652FC">
      <w:pPr>
        <w:pStyle w:val="AbstHead"/>
        <w:numPr>
          <w:ilvl w:val="0"/>
          <w:numId w:val="32"/>
        </w:numPr>
        <w:spacing w:after="0"/>
        <w:rPr>
          <w:rFonts w:ascii="Arial" w:hAnsi="Arial" w:cs="Arial"/>
        </w:rPr>
      </w:pPr>
      <w:r w:rsidRPr="001652FC">
        <w:rPr>
          <w:rFonts w:ascii="Arial" w:hAnsi="Arial" w:cs="Arial"/>
        </w:rPr>
        <w:t>INTRODUCTION</w:t>
      </w:r>
    </w:p>
    <w:p w14:paraId="35C70B5A" w14:textId="77777777" w:rsidR="00790ADA" w:rsidRPr="001652FC" w:rsidRDefault="00790ADA" w:rsidP="001652FC">
      <w:pPr>
        <w:pStyle w:val="AbstHead"/>
        <w:spacing w:after="0"/>
        <w:jc w:val="both"/>
        <w:rPr>
          <w:rFonts w:ascii="Arial" w:hAnsi="Arial" w:cs="Arial"/>
        </w:rPr>
      </w:pPr>
    </w:p>
    <w:p w14:paraId="4BA3F36A" w14:textId="77777777" w:rsidR="00C131A5" w:rsidRPr="001652FC" w:rsidRDefault="00C131A5" w:rsidP="001652FC">
      <w:pPr>
        <w:ind w:firstLine="360"/>
        <w:jc w:val="both"/>
        <w:rPr>
          <w:rFonts w:ascii="Arial" w:hAnsi="Arial" w:cs="Arial"/>
        </w:rPr>
      </w:pPr>
      <w:r w:rsidRPr="001652FC">
        <w:rPr>
          <w:rFonts w:ascii="Arial" w:hAnsi="Arial" w:cs="Arial"/>
        </w:rPr>
        <w:t xml:space="preserve">The </w:t>
      </w:r>
      <w:r w:rsidRPr="001652FC">
        <w:rPr>
          <w:rStyle w:val="Emphasis"/>
          <w:rFonts w:ascii="Arial" w:eastAsiaTheme="majorEastAsia" w:hAnsi="Arial" w:cs="Arial"/>
        </w:rPr>
        <w:t>Bombyx mori</w:t>
      </w:r>
      <w:r w:rsidRPr="001652FC">
        <w:rPr>
          <w:rFonts w:ascii="Arial" w:hAnsi="Arial" w:cs="Arial"/>
        </w:rPr>
        <w:t xml:space="preserve">, plays a crucial role in sericulture, significantly impacting economies and rural livelihoods. However, diseases caused by various pathogens lead to substantial economic losses in silk production (Bhat </w:t>
      </w:r>
      <w:r w:rsidRPr="00005542">
        <w:rPr>
          <w:rFonts w:ascii="Arial" w:hAnsi="Arial" w:cs="Arial"/>
          <w:i/>
          <w:iCs/>
        </w:rPr>
        <w:t>et al.,</w:t>
      </w:r>
      <w:r w:rsidRPr="001652FC">
        <w:rPr>
          <w:rFonts w:ascii="Arial" w:hAnsi="Arial" w:cs="Arial"/>
        </w:rPr>
        <w:t xml:space="preserve"> 2024; Sujatha </w:t>
      </w:r>
      <w:r w:rsidRPr="00005542">
        <w:rPr>
          <w:rFonts w:ascii="Arial" w:hAnsi="Arial" w:cs="Arial"/>
          <w:i/>
          <w:iCs/>
        </w:rPr>
        <w:t>et al.,</w:t>
      </w:r>
      <w:r w:rsidRPr="001652FC">
        <w:rPr>
          <w:rFonts w:ascii="Arial" w:hAnsi="Arial" w:cs="Arial"/>
        </w:rPr>
        <w:t xml:space="preserve"> 2024). This review focuses on the innate immune mechanisms of silkworms and the genetic approaches to enhance disease resistance, aiming to provide insights into improving silkworm health and productivity.</w:t>
      </w:r>
    </w:p>
    <w:p w14:paraId="6BBDF3E9" w14:textId="77777777" w:rsidR="00C131A5" w:rsidRPr="001652FC" w:rsidRDefault="00C131A5" w:rsidP="001652FC">
      <w:pPr>
        <w:pStyle w:val="NormalWeb"/>
        <w:ind w:firstLine="360"/>
        <w:jc w:val="both"/>
        <w:rPr>
          <w:rFonts w:ascii="Arial" w:hAnsi="Arial" w:cs="Arial"/>
          <w:sz w:val="20"/>
          <w:szCs w:val="20"/>
        </w:rPr>
      </w:pPr>
      <w:r w:rsidRPr="001652FC">
        <w:rPr>
          <w:rFonts w:ascii="Arial" w:hAnsi="Arial" w:cs="Arial"/>
          <w:sz w:val="20"/>
          <w:szCs w:val="20"/>
        </w:rPr>
        <w:t xml:space="preserve">Sericulture is vital for rural economies, providing employment and income to millions of households in silk-producing regions (Gunashekhar </w:t>
      </w:r>
      <w:r w:rsidRPr="00005542">
        <w:rPr>
          <w:rFonts w:ascii="Arial" w:hAnsi="Arial" w:cs="Arial"/>
          <w:i/>
          <w:iCs/>
          <w:sz w:val="20"/>
          <w:szCs w:val="20"/>
        </w:rPr>
        <w:t>et al.,</w:t>
      </w:r>
      <w:r w:rsidRPr="001652FC">
        <w:rPr>
          <w:rFonts w:ascii="Arial" w:hAnsi="Arial" w:cs="Arial"/>
          <w:sz w:val="20"/>
          <w:szCs w:val="20"/>
        </w:rPr>
        <w:t xml:space="preserve"> 2024). Beyond its socio-economic benefits, silk production contributes significantly to the agricultural GDP of many countries, making it a strategic agricultural enterprise (Popescu </w:t>
      </w:r>
      <w:r w:rsidRPr="00005542">
        <w:rPr>
          <w:rFonts w:ascii="Arial" w:hAnsi="Arial" w:cs="Arial"/>
          <w:i/>
          <w:iCs/>
          <w:sz w:val="20"/>
          <w:szCs w:val="20"/>
        </w:rPr>
        <w:t>et al.,</w:t>
      </w:r>
      <w:r w:rsidRPr="001652FC">
        <w:rPr>
          <w:rFonts w:ascii="Arial" w:hAnsi="Arial" w:cs="Arial"/>
          <w:sz w:val="20"/>
          <w:szCs w:val="20"/>
        </w:rPr>
        <w:t xml:space="preserve"> 2024). Despite its importance, the industry faces persistent threats from infectious diseases. Pathogens such as viruses and bacteria can cause severe losses, affecting both the quality and quantity of silk produced (Kausar </w:t>
      </w:r>
      <w:r w:rsidRPr="00005542">
        <w:rPr>
          <w:rFonts w:ascii="Arial" w:hAnsi="Arial" w:cs="Arial"/>
          <w:i/>
          <w:iCs/>
          <w:sz w:val="20"/>
          <w:szCs w:val="20"/>
        </w:rPr>
        <w:t>et al.,</w:t>
      </w:r>
      <w:r w:rsidRPr="001652FC">
        <w:rPr>
          <w:rFonts w:ascii="Arial" w:hAnsi="Arial" w:cs="Arial"/>
          <w:sz w:val="20"/>
          <w:szCs w:val="20"/>
        </w:rPr>
        <w:t xml:space="preserve"> 2019; Mondal </w:t>
      </w:r>
      <w:r w:rsidRPr="00005542">
        <w:rPr>
          <w:rFonts w:ascii="Arial" w:hAnsi="Arial" w:cs="Arial"/>
          <w:i/>
          <w:iCs/>
          <w:sz w:val="20"/>
          <w:szCs w:val="20"/>
        </w:rPr>
        <w:t>et al.,</w:t>
      </w:r>
      <w:r w:rsidRPr="001652FC">
        <w:rPr>
          <w:rFonts w:ascii="Arial" w:hAnsi="Arial" w:cs="Arial"/>
          <w:sz w:val="20"/>
          <w:szCs w:val="20"/>
        </w:rPr>
        <w:t xml:space="preserve"> 2024). Viral infections, particularly those </w:t>
      </w:r>
      <w:r w:rsidRPr="001652FC">
        <w:rPr>
          <w:rFonts w:ascii="Arial" w:hAnsi="Arial" w:cs="Arial"/>
          <w:sz w:val="20"/>
          <w:szCs w:val="20"/>
        </w:rPr>
        <w:lastRenderedPageBreak/>
        <w:t xml:space="preserve">caused by </w:t>
      </w:r>
      <w:r w:rsidRPr="001652FC">
        <w:rPr>
          <w:rStyle w:val="Emphasis"/>
          <w:rFonts w:ascii="Arial" w:hAnsi="Arial" w:cs="Arial"/>
          <w:sz w:val="20"/>
          <w:szCs w:val="20"/>
        </w:rPr>
        <w:t>Bombyx mori</w:t>
      </w:r>
      <w:r w:rsidRPr="001652FC">
        <w:rPr>
          <w:rFonts w:ascii="Arial" w:hAnsi="Arial" w:cs="Arial"/>
          <w:sz w:val="20"/>
          <w:szCs w:val="20"/>
        </w:rPr>
        <w:t xml:space="preserve"> Densovirus, are especially devastating, often resulting in high mortality rates among larvae (Gupta </w:t>
      </w:r>
      <w:r w:rsidRPr="00005542">
        <w:rPr>
          <w:rFonts w:ascii="Arial" w:hAnsi="Arial" w:cs="Arial"/>
          <w:i/>
          <w:iCs/>
          <w:sz w:val="20"/>
          <w:szCs w:val="20"/>
        </w:rPr>
        <w:t>et al.,</w:t>
      </w:r>
      <w:r w:rsidRPr="001652FC">
        <w:rPr>
          <w:rFonts w:ascii="Arial" w:hAnsi="Arial" w:cs="Arial"/>
          <w:sz w:val="20"/>
          <w:szCs w:val="20"/>
        </w:rPr>
        <w:t xml:space="preserve"> 2015; Naik </w:t>
      </w:r>
      <w:r w:rsidRPr="00005542">
        <w:rPr>
          <w:rFonts w:ascii="Arial" w:hAnsi="Arial" w:cs="Arial"/>
          <w:i/>
          <w:iCs/>
          <w:sz w:val="20"/>
          <w:szCs w:val="20"/>
        </w:rPr>
        <w:t>et al.,</w:t>
      </w:r>
      <w:r w:rsidRPr="001652FC">
        <w:rPr>
          <w:rFonts w:ascii="Arial" w:hAnsi="Arial" w:cs="Arial"/>
          <w:sz w:val="20"/>
          <w:szCs w:val="20"/>
        </w:rPr>
        <w:t xml:space="preserve"> 2025). These outbreaks not only disrupt production cycles but also increase the economic burden on farmers through higher rearing costs and reduced marketable yields.</w:t>
      </w:r>
    </w:p>
    <w:p w14:paraId="714319A4" w14:textId="77777777" w:rsidR="00C131A5" w:rsidRPr="001652FC" w:rsidRDefault="00C131A5" w:rsidP="001652FC">
      <w:pPr>
        <w:pStyle w:val="NormalWeb"/>
        <w:ind w:firstLine="360"/>
        <w:jc w:val="both"/>
        <w:rPr>
          <w:rFonts w:ascii="Arial" w:hAnsi="Arial" w:cs="Arial"/>
          <w:sz w:val="20"/>
          <w:szCs w:val="20"/>
        </w:rPr>
      </w:pPr>
      <w:r w:rsidRPr="001652FC">
        <w:rPr>
          <w:rFonts w:ascii="Arial" w:hAnsi="Arial" w:cs="Arial"/>
          <w:sz w:val="20"/>
          <w:szCs w:val="20"/>
        </w:rPr>
        <w:t xml:space="preserve">The rationale for focusing on silkworm immunity lies in the fact that </w:t>
      </w:r>
      <w:r w:rsidRPr="001652FC">
        <w:rPr>
          <w:rFonts w:ascii="Arial" w:hAnsi="Arial" w:cs="Arial"/>
          <w:i/>
          <w:iCs/>
          <w:sz w:val="20"/>
          <w:szCs w:val="20"/>
        </w:rPr>
        <w:t>B. mori</w:t>
      </w:r>
      <w:r w:rsidRPr="001652FC">
        <w:rPr>
          <w:rFonts w:ascii="Arial" w:hAnsi="Arial" w:cs="Arial"/>
          <w:sz w:val="20"/>
          <w:szCs w:val="20"/>
        </w:rPr>
        <w:t xml:space="preserve"> possesses a sophisticated innate immune system, comprising antimicrobial peptides, hemocyte-mediated cellular responses, and other defense mechanisms (Wan </w:t>
      </w:r>
      <w:r w:rsidRPr="00005542">
        <w:rPr>
          <w:rFonts w:ascii="Arial" w:hAnsi="Arial" w:cs="Arial"/>
          <w:i/>
          <w:iCs/>
          <w:sz w:val="20"/>
          <w:szCs w:val="20"/>
        </w:rPr>
        <w:t>et al.,</w:t>
      </w:r>
      <w:r w:rsidRPr="001652FC">
        <w:rPr>
          <w:rFonts w:ascii="Arial" w:hAnsi="Arial" w:cs="Arial"/>
          <w:sz w:val="20"/>
          <w:szCs w:val="20"/>
        </w:rPr>
        <w:t xml:space="preserve"> 2013; Ghani </w:t>
      </w:r>
      <w:r w:rsidRPr="00005542">
        <w:rPr>
          <w:rFonts w:ascii="Arial" w:hAnsi="Arial" w:cs="Arial"/>
          <w:i/>
          <w:iCs/>
          <w:sz w:val="20"/>
          <w:szCs w:val="20"/>
        </w:rPr>
        <w:t>et al.,</w:t>
      </w:r>
      <w:r w:rsidRPr="001652FC">
        <w:rPr>
          <w:rFonts w:ascii="Arial" w:hAnsi="Arial" w:cs="Arial"/>
          <w:sz w:val="20"/>
          <w:szCs w:val="20"/>
        </w:rPr>
        <w:t xml:space="preserve"> 2025; Awais </w:t>
      </w:r>
      <w:r w:rsidRPr="00005542">
        <w:rPr>
          <w:rFonts w:ascii="Arial" w:hAnsi="Arial" w:cs="Arial"/>
          <w:i/>
          <w:iCs/>
          <w:sz w:val="20"/>
          <w:szCs w:val="20"/>
        </w:rPr>
        <w:t>et al.,</w:t>
      </w:r>
      <w:r w:rsidRPr="001652FC">
        <w:rPr>
          <w:rFonts w:ascii="Arial" w:hAnsi="Arial" w:cs="Arial"/>
          <w:sz w:val="20"/>
          <w:szCs w:val="20"/>
        </w:rPr>
        <w:t xml:space="preserve"> 2024). Understanding these mechanisms can facilitate the development of disease-resistant silkworm strains, thereby reducing the industry’s dependence on chemical treatments (Somasundaram </w:t>
      </w:r>
      <w:r w:rsidRPr="00005542">
        <w:rPr>
          <w:rFonts w:ascii="Arial" w:hAnsi="Arial" w:cs="Arial"/>
          <w:i/>
          <w:iCs/>
          <w:sz w:val="20"/>
          <w:szCs w:val="20"/>
        </w:rPr>
        <w:t>et al.,</w:t>
      </w:r>
      <w:r w:rsidRPr="001652FC">
        <w:rPr>
          <w:rFonts w:ascii="Arial" w:hAnsi="Arial" w:cs="Arial"/>
          <w:sz w:val="20"/>
          <w:szCs w:val="20"/>
        </w:rPr>
        <w:t xml:space="preserve"> 2013; He </w:t>
      </w:r>
      <w:r w:rsidRPr="00005542">
        <w:rPr>
          <w:rFonts w:ascii="Arial" w:hAnsi="Arial" w:cs="Arial"/>
          <w:i/>
          <w:iCs/>
          <w:sz w:val="20"/>
          <w:szCs w:val="20"/>
        </w:rPr>
        <w:t>et al.,</w:t>
      </w:r>
      <w:r w:rsidRPr="001652FC">
        <w:rPr>
          <w:rFonts w:ascii="Arial" w:hAnsi="Arial" w:cs="Arial"/>
          <w:sz w:val="20"/>
          <w:szCs w:val="20"/>
        </w:rPr>
        <w:t xml:space="preserve"> 2025). Recent advances in transcriptomics, proteomics, and metabolomics have provided unprecedented insights into the molecular underpinnings of silkworm immunity, enabling researchers to map complex defense pathways and identify novel immune effectors. Moreover, functional studies using RNA interference (RNAi) and CRISPR/Cas9 genome editing are beginning to validate the roles of key genes in pathogen recognition and elimination, paving the way for targeted interventions (Li </w:t>
      </w:r>
      <w:r w:rsidRPr="00005542">
        <w:rPr>
          <w:rFonts w:ascii="Arial" w:hAnsi="Arial" w:cs="Arial"/>
          <w:i/>
          <w:iCs/>
          <w:sz w:val="20"/>
          <w:szCs w:val="20"/>
        </w:rPr>
        <w:t>et al.,</w:t>
      </w:r>
      <w:r w:rsidRPr="001652FC">
        <w:rPr>
          <w:rFonts w:ascii="Arial" w:hAnsi="Arial" w:cs="Arial"/>
          <w:sz w:val="20"/>
          <w:szCs w:val="20"/>
        </w:rPr>
        <w:t xml:space="preserve"> 2023; Alexandru-Ioan </w:t>
      </w:r>
      <w:r w:rsidRPr="00005542">
        <w:rPr>
          <w:rFonts w:ascii="Arial" w:hAnsi="Arial" w:cs="Arial"/>
          <w:i/>
          <w:iCs/>
          <w:sz w:val="20"/>
          <w:szCs w:val="20"/>
        </w:rPr>
        <w:t>et al.,</w:t>
      </w:r>
      <w:r w:rsidRPr="001652FC">
        <w:rPr>
          <w:rFonts w:ascii="Arial" w:hAnsi="Arial" w:cs="Arial"/>
          <w:sz w:val="20"/>
          <w:szCs w:val="20"/>
        </w:rPr>
        <w:t xml:space="preserve"> 2024). Integration of these molecular insights with selective breeding programs could accelerate the development of resilient silkworm lines, offering a sustainable solution to persistent disease outbreaks (Li </w:t>
      </w:r>
      <w:r w:rsidRPr="00005542">
        <w:rPr>
          <w:rFonts w:ascii="Arial" w:hAnsi="Arial" w:cs="Arial"/>
          <w:i/>
          <w:iCs/>
          <w:sz w:val="20"/>
          <w:szCs w:val="20"/>
        </w:rPr>
        <w:t>et al.,</w:t>
      </w:r>
      <w:r w:rsidRPr="001652FC">
        <w:rPr>
          <w:rFonts w:ascii="Arial" w:hAnsi="Arial" w:cs="Arial"/>
          <w:sz w:val="20"/>
          <w:szCs w:val="20"/>
        </w:rPr>
        <w:t xml:space="preserve"> 2023; Gowda </w:t>
      </w:r>
      <w:r w:rsidRPr="00005542">
        <w:rPr>
          <w:rFonts w:ascii="Arial" w:hAnsi="Arial" w:cs="Arial"/>
          <w:i/>
          <w:iCs/>
          <w:sz w:val="20"/>
          <w:szCs w:val="20"/>
        </w:rPr>
        <w:t>et al.,</w:t>
      </w:r>
      <w:r w:rsidRPr="001652FC">
        <w:rPr>
          <w:rFonts w:ascii="Arial" w:hAnsi="Arial" w:cs="Arial"/>
          <w:sz w:val="20"/>
          <w:szCs w:val="20"/>
        </w:rPr>
        <w:t xml:space="preserve"> 2025).</w:t>
      </w:r>
    </w:p>
    <w:p w14:paraId="2B29326E" w14:textId="24F7B24B" w:rsidR="00790ADA" w:rsidRPr="001652FC" w:rsidRDefault="00C131A5" w:rsidP="001652FC">
      <w:pPr>
        <w:pStyle w:val="NormalWeb"/>
        <w:ind w:firstLine="360"/>
        <w:jc w:val="both"/>
        <w:rPr>
          <w:rFonts w:ascii="Arial" w:hAnsi="Arial" w:cs="Arial"/>
          <w:sz w:val="20"/>
          <w:szCs w:val="20"/>
        </w:rPr>
      </w:pPr>
      <w:r w:rsidRPr="001652FC">
        <w:rPr>
          <w:rFonts w:ascii="Arial" w:hAnsi="Arial" w:cs="Arial"/>
          <w:sz w:val="20"/>
          <w:szCs w:val="20"/>
        </w:rPr>
        <w:t xml:space="preserve">The aim of this review is to synthesize current knowledge on silkworm immunity and genetic resistance, with a particular emphasis on identifying potential genetic markers and breeding strategies that could enhance resilience against diseases (Gowda </w:t>
      </w:r>
      <w:r w:rsidRPr="00005542">
        <w:rPr>
          <w:rFonts w:ascii="Arial" w:hAnsi="Arial" w:cs="Arial"/>
          <w:i/>
          <w:iCs/>
          <w:sz w:val="20"/>
          <w:szCs w:val="20"/>
        </w:rPr>
        <w:t xml:space="preserve">et al., </w:t>
      </w:r>
      <w:r w:rsidRPr="001652FC">
        <w:rPr>
          <w:rFonts w:ascii="Arial" w:hAnsi="Arial" w:cs="Arial"/>
          <w:sz w:val="20"/>
          <w:szCs w:val="20"/>
        </w:rPr>
        <w:t xml:space="preserve">2025; Banerjee </w:t>
      </w:r>
      <w:r w:rsidRPr="00005542">
        <w:rPr>
          <w:rFonts w:ascii="Arial" w:hAnsi="Arial" w:cs="Arial"/>
          <w:i/>
          <w:iCs/>
          <w:sz w:val="20"/>
          <w:szCs w:val="20"/>
        </w:rPr>
        <w:t>et al.,</w:t>
      </w:r>
      <w:r w:rsidRPr="001652FC">
        <w:rPr>
          <w:rFonts w:ascii="Arial" w:hAnsi="Arial" w:cs="Arial"/>
          <w:sz w:val="20"/>
          <w:szCs w:val="20"/>
        </w:rPr>
        <w:t xml:space="preserve"> 2024). While significant advancements have been made in elucidating the immune responses of silkworms, challenges remain in translating this understanding into effective breeding programs. Addressing these gaps will be crucial for fully harnessing genetic resistance to ensure the long-term sustainability and productivity of sericulture. Additionally, integrating genetic strategies with improved management practices could provide a holistic framework for sustainable disease control in silk farming.</w:t>
      </w:r>
    </w:p>
    <w:p w14:paraId="008F63AA" w14:textId="5094CBB3" w:rsidR="001652FC" w:rsidRPr="001652FC" w:rsidRDefault="001652FC" w:rsidP="001652FC">
      <w:pPr>
        <w:pStyle w:val="ListParagraph"/>
        <w:numPr>
          <w:ilvl w:val="0"/>
          <w:numId w:val="32"/>
        </w:numPr>
        <w:spacing w:line="240" w:lineRule="auto"/>
        <w:rPr>
          <w:rFonts w:ascii="Arial" w:hAnsi="Arial" w:cs="Arial"/>
          <w:b/>
          <w:bCs/>
          <w:sz w:val="22"/>
          <w:szCs w:val="22"/>
        </w:rPr>
      </w:pPr>
      <w:r w:rsidRPr="001652FC">
        <w:rPr>
          <w:rFonts w:ascii="Arial" w:hAnsi="Arial" w:cs="Arial"/>
          <w:b/>
          <w:bCs/>
          <w:sz w:val="22"/>
          <w:szCs w:val="22"/>
        </w:rPr>
        <w:t>OVERVIEW OF MAJOR SILKWORM PATHOGENS</w:t>
      </w:r>
    </w:p>
    <w:p w14:paraId="17EF3000" w14:textId="77777777" w:rsidR="001652FC" w:rsidRPr="001652FC" w:rsidRDefault="001652FC" w:rsidP="001652FC">
      <w:pPr>
        <w:pStyle w:val="NormalWeb"/>
        <w:ind w:firstLine="360"/>
        <w:jc w:val="both"/>
        <w:rPr>
          <w:rFonts w:ascii="Arial" w:hAnsi="Arial" w:cs="Arial"/>
          <w:sz w:val="20"/>
          <w:szCs w:val="20"/>
        </w:rPr>
      </w:pPr>
      <w:r w:rsidRPr="001652FC">
        <w:rPr>
          <w:rStyle w:val="Emphasis"/>
          <w:rFonts w:ascii="Arial" w:hAnsi="Arial" w:cs="Arial"/>
          <w:sz w:val="20"/>
          <w:szCs w:val="20"/>
        </w:rPr>
        <w:t>Bombyx mori</w:t>
      </w:r>
      <w:r w:rsidRPr="001652FC">
        <w:rPr>
          <w:rFonts w:ascii="Arial" w:hAnsi="Arial" w:cs="Arial"/>
          <w:sz w:val="20"/>
          <w:szCs w:val="20"/>
        </w:rPr>
        <w:t xml:space="preserve"> is highly susceptible to a wide range of pathogens, including viruses, bacteria, fungi, and protozoa, which can significantly disrupt cocoon production and degrade silk quality. These infections lead to major economic losses in silk-producing regions worldwide. A detailed understanding of the immune responses and genetic resistance mechanisms of the silkworm is therefore indispensable for developing disease-resistant strains. The following section outlines the most significant pathogens affecting silkworms and highlights the genetic strategies being employed to strengthen their immunity (Mondal </w:t>
      </w:r>
      <w:r w:rsidRPr="00005542">
        <w:rPr>
          <w:rFonts w:ascii="Arial" w:hAnsi="Arial" w:cs="Arial"/>
          <w:i/>
          <w:iCs/>
          <w:sz w:val="20"/>
          <w:szCs w:val="20"/>
        </w:rPr>
        <w:t>et al.,</w:t>
      </w:r>
      <w:r w:rsidRPr="001652FC">
        <w:rPr>
          <w:rFonts w:ascii="Arial" w:hAnsi="Arial" w:cs="Arial"/>
          <w:sz w:val="20"/>
          <w:szCs w:val="20"/>
        </w:rPr>
        <w:t xml:space="preserve"> 2024; Suraporn </w:t>
      </w:r>
      <w:r w:rsidRPr="00005542">
        <w:rPr>
          <w:rFonts w:ascii="Arial" w:hAnsi="Arial" w:cs="Arial"/>
          <w:i/>
          <w:iCs/>
          <w:sz w:val="20"/>
          <w:szCs w:val="20"/>
        </w:rPr>
        <w:t>et al.,</w:t>
      </w:r>
      <w:r w:rsidRPr="001652FC">
        <w:rPr>
          <w:rFonts w:ascii="Arial" w:hAnsi="Arial" w:cs="Arial"/>
          <w:sz w:val="20"/>
          <w:szCs w:val="20"/>
        </w:rPr>
        <w:t xml:space="preserve"> 2025).</w:t>
      </w:r>
    </w:p>
    <w:p w14:paraId="4E112F2A"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Among viral pathogens, the Nuclear Polyhedrosis Virus (BmNPV) is recognized as the most destructive, responsible for more than 60% of disease-related mortality in silkworms. Infected larvae exhibit symptoms such as reduced feeding, sluggish movement, and eventual body liquefaction, making it one of the most feared diseases among sericulturists. Resistance to BmNPV is determined by both dominant and recessive genes, and considerable progress has been made in developing resistant strains through hybridization and genetic modification techniques (Gowda </w:t>
      </w:r>
      <w:r w:rsidRPr="00005542">
        <w:rPr>
          <w:rFonts w:ascii="Arial" w:hAnsi="Arial" w:cs="Arial"/>
          <w:i/>
          <w:iCs/>
          <w:sz w:val="20"/>
          <w:szCs w:val="20"/>
        </w:rPr>
        <w:t>et al.,</w:t>
      </w:r>
      <w:r w:rsidRPr="001652FC">
        <w:rPr>
          <w:rFonts w:ascii="Arial" w:hAnsi="Arial" w:cs="Arial"/>
          <w:sz w:val="20"/>
          <w:szCs w:val="20"/>
        </w:rPr>
        <w:t xml:space="preserve"> 2025; Hu </w:t>
      </w:r>
      <w:r w:rsidRPr="00005542">
        <w:rPr>
          <w:rFonts w:ascii="Arial" w:hAnsi="Arial" w:cs="Arial"/>
          <w:i/>
          <w:iCs/>
          <w:sz w:val="20"/>
          <w:szCs w:val="20"/>
        </w:rPr>
        <w:t>et al.,</w:t>
      </w:r>
      <w:r w:rsidRPr="001652FC">
        <w:rPr>
          <w:rFonts w:ascii="Arial" w:hAnsi="Arial" w:cs="Arial"/>
          <w:sz w:val="20"/>
          <w:szCs w:val="20"/>
        </w:rPr>
        <w:t xml:space="preserve"> 2023; Li </w:t>
      </w:r>
      <w:r w:rsidRPr="00005542">
        <w:rPr>
          <w:rFonts w:ascii="Arial" w:hAnsi="Arial" w:cs="Arial"/>
          <w:i/>
          <w:iCs/>
          <w:sz w:val="20"/>
          <w:szCs w:val="20"/>
        </w:rPr>
        <w:t>et al.,</w:t>
      </w:r>
      <w:r w:rsidRPr="001652FC">
        <w:rPr>
          <w:rFonts w:ascii="Arial" w:hAnsi="Arial" w:cs="Arial"/>
          <w:sz w:val="20"/>
          <w:szCs w:val="20"/>
        </w:rPr>
        <w:t xml:space="preserve"> 2023). Other important viral pathogens include the Cytoplasmic Polyhedrosis Virus (BmCPV) and the Densonucleosis Virus (BmDNV). BmDNV resistance is conferred by a single dominant gene, simplifying its integration into breeding programs, whereas BmCPV resistance </w:t>
      </w:r>
      <w:r w:rsidRPr="001652FC">
        <w:rPr>
          <w:rFonts w:ascii="Arial" w:hAnsi="Arial" w:cs="Arial"/>
          <w:sz w:val="20"/>
          <w:szCs w:val="20"/>
        </w:rPr>
        <w:lastRenderedPageBreak/>
        <w:t xml:space="preserve">involves polygenic control, making the breeding process more complex (Sivaprasad </w:t>
      </w:r>
      <w:r w:rsidRPr="00005542">
        <w:rPr>
          <w:rFonts w:ascii="Arial" w:hAnsi="Arial" w:cs="Arial"/>
          <w:i/>
          <w:iCs/>
          <w:sz w:val="20"/>
          <w:szCs w:val="20"/>
        </w:rPr>
        <w:t>et al.,</w:t>
      </w:r>
      <w:r w:rsidRPr="001652FC">
        <w:rPr>
          <w:rFonts w:ascii="Arial" w:hAnsi="Arial" w:cs="Arial"/>
          <w:sz w:val="20"/>
          <w:szCs w:val="20"/>
        </w:rPr>
        <w:t xml:space="preserve"> 2022).</w:t>
      </w:r>
    </w:p>
    <w:p w14:paraId="044B4853"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Bacterial and fungal pathogens also pose a major threat to silkworm health and productivity. Flacherie disease, caused by opportunistic bacteria such as </w:t>
      </w:r>
      <w:r w:rsidRPr="001652FC">
        <w:rPr>
          <w:rStyle w:val="Emphasis"/>
          <w:rFonts w:ascii="Arial" w:hAnsi="Arial" w:cs="Arial"/>
          <w:sz w:val="20"/>
          <w:szCs w:val="20"/>
        </w:rPr>
        <w:t>Serratia</w:t>
      </w:r>
      <w:r w:rsidRPr="001652FC">
        <w:rPr>
          <w:rFonts w:ascii="Arial" w:hAnsi="Arial" w:cs="Arial"/>
          <w:sz w:val="20"/>
          <w:szCs w:val="20"/>
        </w:rPr>
        <w:t xml:space="preserve"> and </w:t>
      </w:r>
      <w:r w:rsidRPr="001652FC">
        <w:rPr>
          <w:rStyle w:val="Emphasis"/>
          <w:rFonts w:ascii="Arial" w:hAnsi="Arial" w:cs="Arial"/>
          <w:sz w:val="20"/>
          <w:szCs w:val="20"/>
        </w:rPr>
        <w:t>Bacillus</w:t>
      </w:r>
      <w:r w:rsidRPr="001652FC">
        <w:rPr>
          <w:rFonts w:ascii="Arial" w:hAnsi="Arial" w:cs="Arial"/>
          <w:sz w:val="20"/>
          <w:szCs w:val="20"/>
        </w:rPr>
        <w:t xml:space="preserve"> species, can spread rapidly in rearing facilities, especially under stress conditions like overcrowding, poor ventilation, or inadequate hygiene. The silkworm’s innate immune system plays a critical role in countering these infections, primarily through the production of antimicrobial peptides that inhibit bacterial growth (Kausar </w:t>
      </w:r>
      <w:r w:rsidRPr="00005542">
        <w:rPr>
          <w:rFonts w:ascii="Arial" w:hAnsi="Arial" w:cs="Arial"/>
          <w:i/>
          <w:iCs/>
          <w:sz w:val="20"/>
          <w:szCs w:val="20"/>
        </w:rPr>
        <w:t>et al.,</w:t>
      </w:r>
      <w:r w:rsidRPr="001652FC">
        <w:rPr>
          <w:rFonts w:ascii="Arial" w:hAnsi="Arial" w:cs="Arial"/>
          <w:sz w:val="20"/>
          <w:szCs w:val="20"/>
        </w:rPr>
        <w:t xml:space="preserve"> 2019; Suraporn </w:t>
      </w:r>
      <w:r w:rsidRPr="00005542">
        <w:rPr>
          <w:rFonts w:ascii="Arial" w:hAnsi="Arial" w:cs="Arial"/>
          <w:i/>
          <w:iCs/>
          <w:sz w:val="20"/>
          <w:szCs w:val="20"/>
        </w:rPr>
        <w:t>et al.,</w:t>
      </w:r>
      <w:r w:rsidRPr="001652FC">
        <w:rPr>
          <w:rFonts w:ascii="Arial" w:hAnsi="Arial" w:cs="Arial"/>
          <w:sz w:val="20"/>
          <w:szCs w:val="20"/>
        </w:rPr>
        <w:t xml:space="preserve"> 2025; Mondal </w:t>
      </w:r>
      <w:r w:rsidRPr="00005542">
        <w:rPr>
          <w:rFonts w:ascii="Arial" w:hAnsi="Arial" w:cs="Arial"/>
          <w:i/>
          <w:iCs/>
          <w:sz w:val="20"/>
          <w:szCs w:val="20"/>
        </w:rPr>
        <w:t>et al.,</w:t>
      </w:r>
      <w:r w:rsidRPr="001652FC">
        <w:rPr>
          <w:rFonts w:ascii="Arial" w:hAnsi="Arial" w:cs="Arial"/>
          <w:sz w:val="20"/>
          <w:szCs w:val="20"/>
        </w:rPr>
        <w:t xml:space="preserve"> 2025). Fungal infections, particularly those caused by </w:t>
      </w:r>
      <w:r w:rsidRPr="001652FC">
        <w:rPr>
          <w:rStyle w:val="Emphasis"/>
          <w:rFonts w:ascii="Arial" w:hAnsi="Arial" w:cs="Arial"/>
          <w:sz w:val="20"/>
          <w:szCs w:val="20"/>
        </w:rPr>
        <w:t>Beauveria bassiana</w:t>
      </w:r>
      <w:r w:rsidRPr="001652FC">
        <w:rPr>
          <w:rFonts w:ascii="Arial" w:hAnsi="Arial" w:cs="Arial"/>
          <w:sz w:val="20"/>
          <w:szCs w:val="20"/>
        </w:rPr>
        <w:t xml:space="preserve"> and </w:t>
      </w:r>
      <w:r w:rsidRPr="001652FC">
        <w:rPr>
          <w:rStyle w:val="Emphasis"/>
          <w:rFonts w:ascii="Arial" w:hAnsi="Arial" w:cs="Arial"/>
          <w:sz w:val="20"/>
          <w:szCs w:val="20"/>
        </w:rPr>
        <w:t>Aspergillus</w:t>
      </w:r>
      <w:r w:rsidRPr="001652FC">
        <w:rPr>
          <w:rFonts w:ascii="Arial" w:hAnsi="Arial" w:cs="Arial"/>
          <w:sz w:val="20"/>
          <w:szCs w:val="20"/>
        </w:rPr>
        <w:t xml:space="preserve"> spp., present an additional challenge, as their spores can remain viable in the environment for extended periods. The silkworm’s defense against fungal pathogens includes cuticle hardening, melanization, and the activation of antifungal peptides, although the degree of effectiveness varies across strains and environmental conditions (Kausar </w:t>
      </w:r>
      <w:r w:rsidRPr="00005542">
        <w:rPr>
          <w:rFonts w:ascii="Arial" w:hAnsi="Arial" w:cs="Arial"/>
          <w:i/>
          <w:iCs/>
          <w:sz w:val="20"/>
          <w:szCs w:val="20"/>
        </w:rPr>
        <w:t>et al.,</w:t>
      </w:r>
      <w:r w:rsidRPr="001652FC">
        <w:rPr>
          <w:rFonts w:ascii="Arial" w:hAnsi="Arial" w:cs="Arial"/>
          <w:sz w:val="20"/>
          <w:szCs w:val="20"/>
        </w:rPr>
        <w:t xml:space="preserve"> 2019; Geng </w:t>
      </w:r>
      <w:r w:rsidRPr="00005542">
        <w:rPr>
          <w:rFonts w:ascii="Arial" w:hAnsi="Arial" w:cs="Arial"/>
          <w:i/>
          <w:iCs/>
          <w:sz w:val="20"/>
          <w:szCs w:val="20"/>
        </w:rPr>
        <w:t>et al.,</w:t>
      </w:r>
      <w:r w:rsidRPr="001652FC">
        <w:rPr>
          <w:rFonts w:ascii="Arial" w:hAnsi="Arial" w:cs="Arial"/>
          <w:sz w:val="20"/>
          <w:szCs w:val="20"/>
        </w:rPr>
        <w:t xml:space="preserve"> 2021).</w:t>
      </w:r>
    </w:p>
    <w:p w14:paraId="57223CB7"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Protozoan pathogens, with </w:t>
      </w:r>
      <w:r w:rsidRPr="001652FC">
        <w:rPr>
          <w:rStyle w:val="Emphasis"/>
          <w:rFonts w:ascii="Arial" w:hAnsi="Arial" w:cs="Arial"/>
          <w:sz w:val="20"/>
          <w:szCs w:val="20"/>
        </w:rPr>
        <w:t>Nosema bombycis</w:t>
      </w:r>
      <w:r w:rsidRPr="001652FC">
        <w:rPr>
          <w:rFonts w:ascii="Arial" w:hAnsi="Arial" w:cs="Arial"/>
          <w:sz w:val="20"/>
          <w:szCs w:val="20"/>
        </w:rPr>
        <w:t xml:space="preserve"> as the primary example, remain a persistent problem in sericulture. This microsporidian parasite causes pebrine disease and can be transmitted vertically from moths to their offspring, making prevention and early detection critical for disease control. Pebrine reduces larval vitality, lowers cocoon yield, and predisposes infected silkworms to other diseases. Current research efforts aim to identify molecular markers for early diagnosis and to decode the host–parasite interaction at both genomic and proteomic levels. These insights are being used to guide selective breeding and genetic engineering approaches to produce resistant strains (Kausar </w:t>
      </w:r>
      <w:r w:rsidRPr="00DD0617">
        <w:rPr>
          <w:rFonts w:ascii="Arial" w:hAnsi="Arial" w:cs="Arial"/>
          <w:i/>
          <w:iCs/>
          <w:sz w:val="20"/>
          <w:szCs w:val="20"/>
        </w:rPr>
        <w:t>et al.,</w:t>
      </w:r>
      <w:r w:rsidRPr="001652FC">
        <w:rPr>
          <w:rFonts w:ascii="Arial" w:hAnsi="Arial" w:cs="Arial"/>
          <w:sz w:val="20"/>
          <w:szCs w:val="20"/>
        </w:rPr>
        <w:t xml:space="preserve"> 2019; Naik </w:t>
      </w:r>
      <w:r w:rsidRPr="00005542">
        <w:rPr>
          <w:rFonts w:ascii="Arial" w:hAnsi="Arial" w:cs="Arial"/>
          <w:i/>
          <w:iCs/>
          <w:sz w:val="20"/>
          <w:szCs w:val="20"/>
        </w:rPr>
        <w:t>et al.,</w:t>
      </w:r>
      <w:r w:rsidRPr="001652FC">
        <w:rPr>
          <w:rFonts w:ascii="Arial" w:hAnsi="Arial" w:cs="Arial"/>
          <w:sz w:val="20"/>
          <w:szCs w:val="20"/>
        </w:rPr>
        <w:t xml:space="preserve"> 2025; Hu </w:t>
      </w:r>
      <w:r w:rsidRPr="00005542">
        <w:rPr>
          <w:rFonts w:ascii="Arial" w:hAnsi="Arial" w:cs="Arial"/>
          <w:i/>
          <w:iCs/>
          <w:sz w:val="20"/>
          <w:szCs w:val="20"/>
        </w:rPr>
        <w:t>et al.,</w:t>
      </w:r>
      <w:r w:rsidRPr="001652FC">
        <w:rPr>
          <w:rFonts w:ascii="Arial" w:hAnsi="Arial" w:cs="Arial"/>
          <w:sz w:val="20"/>
          <w:szCs w:val="20"/>
        </w:rPr>
        <w:t xml:space="preserve"> 2021).</w:t>
      </w:r>
    </w:p>
    <w:p w14:paraId="57802AE5"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Although substantial progress has been made in understanding silkworm immunity and developing resistant strains, there are still significant challenges in fully mapping host–pathogen interactions. Pathogen evolution, variability in resistance among silkworm strains, and the emergence of new disease agents complicate management efforts. Environmental changes, particularly those associated with climate variability, can further influence pathogen prevalence and severity. Ensuring sustainable silk production will require an integrated approach that combines advanced breeding, genetic engineering, disease monitoring, and improved farm management practices. Strengthening collaborative research networks and promoting the adoption of resistant silkworm varieties will be essential for reducing disease incidence and safeguarding the future of sericulture (Hu </w:t>
      </w:r>
      <w:r w:rsidRPr="00743581">
        <w:rPr>
          <w:rFonts w:ascii="Arial" w:hAnsi="Arial" w:cs="Arial"/>
          <w:i/>
          <w:iCs/>
          <w:sz w:val="20"/>
          <w:szCs w:val="20"/>
        </w:rPr>
        <w:t>et al.,</w:t>
      </w:r>
      <w:r w:rsidRPr="001652FC">
        <w:rPr>
          <w:rFonts w:ascii="Arial" w:hAnsi="Arial" w:cs="Arial"/>
          <w:sz w:val="20"/>
          <w:szCs w:val="20"/>
        </w:rPr>
        <w:t xml:space="preserve"> 2023; Li </w:t>
      </w:r>
      <w:r w:rsidRPr="00743581">
        <w:rPr>
          <w:rFonts w:ascii="Arial" w:hAnsi="Arial" w:cs="Arial"/>
          <w:i/>
          <w:iCs/>
          <w:sz w:val="20"/>
          <w:szCs w:val="20"/>
        </w:rPr>
        <w:t>et al.,</w:t>
      </w:r>
      <w:r w:rsidRPr="001652FC">
        <w:rPr>
          <w:rFonts w:ascii="Arial" w:hAnsi="Arial" w:cs="Arial"/>
          <w:sz w:val="20"/>
          <w:szCs w:val="20"/>
        </w:rPr>
        <w:t xml:space="preserve"> 2023).</w:t>
      </w:r>
    </w:p>
    <w:p w14:paraId="6AFA7B0A" w14:textId="648A28BF" w:rsidR="001652FC" w:rsidRPr="001652FC" w:rsidRDefault="001652FC" w:rsidP="001652FC">
      <w:pPr>
        <w:pStyle w:val="ListParagraph"/>
        <w:numPr>
          <w:ilvl w:val="0"/>
          <w:numId w:val="32"/>
        </w:numPr>
        <w:spacing w:line="240" w:lineRule="auto"/>
        <w:rPr>
          <w:rFonts w:ascii="Arial" w:hAnsi="Arial" w:cs="Arial"/>
          <w:b/>
          <w:bCs/>
          <w:sz w:val="22"/>
          <w:szCs w:val="22"/>
        </w:rPr>
      </w:pPr>
      <w:r w:rsidRPr="001652FC">
        <w:rPr>
          <w:rFonts w:ascii="Arial" w:hAnsi="Arial" w:cs="Arial"/>
          <w:b/>
          <w:bCs/>
          <w:sz w:val="22"/>
          <w:szCs w:val="22"/>
        </w:rPr>
        <w:t>SILKWORM IMMUNE SYSTEM: STRUCTURE AND COMPONENTS</w:t>
      </w:r>
    </w:p>
    <w:p w14:paraId="264F2565"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The immune system of the silkworm, </w:t>
      </w:r>
      <w:r w:rsidRPr="001652FC">
        <w:rPr>
          <w:rStyle w:val="Emphasis"/>
          <w:rFonts w:ascii="Arial" w:hAnsi="Arial" w:cs="Arial"/>
          <w:sz w:val="20"/>
          <w:szCs w:val="20"/>
        </w:rPr>
        <w:t>Bombyx mori</w:t>
      </w:r>
      <w:r w:rsidRPr="001652FC">
        <w:rPr>
          <w:rFonts w:ascii="Arial" w:hAnsi="Arial" w:cs="Arial"/>
          <w:sz w:val="20"/>
          <w:szCs w:val="20"/>
        </w:rPr>
        <w:t xml:space="preserve">, is entirely based on innate immunity, as it lacks the adaptive immune components present in vertebrates. This innate system comprises a range of structural and functional elements that collectively provide protection against pathogens, ensuring the survival and productivity of the insect (Awais </w:t>
      </w:r>
      <w:r w:rsidRPr="00743581">
        <w:rPr>
          <w:rFonts w:ascii="Arial" w:hAnsi="Arial" w:cs="Arial"/>
          <w:i/>
          <w:iCs/>
          <w:sz w:val="20"/>
          <w:szCs w:val="20"/>
        </w:rPr>
        <w:t>et al.,</w:t>
      </w:r>
      <w:r w:rsidRPr="001652FC">
        <w:rPr>
          <w:rFonts w:ascii="Arial" w:hAnsi="Arial" w:cs="Arial"/>
          <w:sz w:val="20"/>
          <w:szCs w:val="20"/>
        </w:rPr>
        <w:t xml:space="preserve"> 2024; He </w:t>
      </w:r>
      <w:r w:rsidRPr="00743581">
        <w:rPr>
          <w:rFonts w:ascii="Arial" w:hAnsi="Arial" w:cs="Arial"/>
          <w:i/>
          <w:iCs/>
          <w:sz w:val="20"/>
          <w:szCs w:val="20"/>
        </w:rPr>
        <w:t>et al.,</w:t>
      </w:r>
      <w:r w:rsidRPr="001652FC">
        <w:rPr>
          <w:rFonts w:ascii="Arial" w:hAnsi="Arial" w:cs="Arial"/>
          <w:sz w:val="20"/>
          <w:szCs w:val="20"/>
        </w:rPr>
        <w:t xml:space="preserve"> 2025). Because </w:t>
      </w:r>
      <w:r w:rsidRPr="001652FC">
        <w:rPr>
          <w:rStyle w:val="Emphasis"/>
          <w:rFonts w:ascii="Arial" w:hAnsi="Arial" w:cs="Arial"/>
          <w:sz w:val="20"/>
          <w:szCs w:val="20"/>
        </w:rPr>
        <w:t>B. mori</w:t>
      </w:r>
      <w:r w:rsidRPr="001652FC">
        <w:rPr>
          <w:rFonts w:ascii="Arial" w:hAnsi="Arial" w:cs="Arial"/>
          <w:sz w:val="20"/>
          <w:szCs w:val="20"/>
        </w:rPr>
        <w:t xml:space="preserve"> is highly vulnerable to microbial infections, which can have severe impacts on silk yield and quality, the efficiency of its innate immune responses is critical to sustaining sericulture (Kausar </w:t>
      </w:r>
      <w:r w:rsidRPr="00743581">
        <w:rPr>
          <w:rFonts w:ascii="Arial" w:hAnsi="Arial" w:cs="Arial"/>
          <w:i/>
          <w:iCs/>
          <w:sz w:val="20"/>
          <w:szCs w:val="20"/>
        </w:rPr>
        <w:t>et al.,</w:t>
      </w:r>
      <w:r w:rsidRPr="001652FC">
        <w:rPr>
          <w:rFonts w:ascii="Arial" w:hAnsi="Arial" w:cs="Arial"/>
          <w:sz w:val="20"/>
          <w:szCs w:val="20"/>
        </w:rPr>
        <w:t xml:space="preserve"> 2019; Hossain </w:t>
      </w:r>
      <w:r w:rsidRPr="00743581">
        <w:rPr>
          <w:rFonts w:ascii="Arial" w:hAnsi="Arial" w:cs="Arial"/>
          <w:i/>
          <w:iCs/>
          <w:sz w:val="20"/>
          <w:szCs w:val="20"/>
        </w:rPr>
        <w:t>et al.,</w:t>
      </w:r>
      <w:r w:rsidRPr="001652FC">
        <w:rPr>
          <w:rFonts w:ascii="Arial" w:hAnsi="Arial" w:cs="Arial"/>
          <w:sz w:val="20"/>
          <w:szCs w:val="20"/>
        </w:rPr>
        <w:t xml:space="preserve"> 2023).</w:t>
      </w:r>
    </w:p>
    <w:p w14:paraId="455A69C9"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Innate immunity in </w:t>
      </w:r>
      <w:r w:rsidRPr="001652FC">
        <w:rPr>
          <w:rStyle w:val="Emphasis"/>
          <w:rFonts w:ascii="Arial" w:hAnsi="Arial" w:cs="Arial"/>
          <w:sz w:val="20"/>
          <w:szCs w:val="20"/>
        </w:rPr>
        <w:t>B. mori</w:t>
      </w:r>
      <w:r w:rsidRPr="001652FC">
        <w:rPr>
          <w:rFonts w:ascii="Arial" w:hAnsi="Arial" w:cs="Arial"/>
          <w:sz w:val="20"/>
          <w:szCs w:val="20"/>
        </w:rPr>
        <w:t xml:space="preserve"> encompasses both humoral and cellular responses, each playing a complementary role in defense. The humoral branch involves the production of antimicrobial peptides such as Cecropin and Attacin, as well as enzymes like phenoloxidase and lysozymes, which target and neutralize pathogens. The cellular branch is mediated by specialized immune cells—hemocytes—that carry out processes such as phagocytosis, </w:t>
      </w:r>
      <w:r w:rsidRPr="001652FC">
        <w:rPr>
          <w:rFonts w:ascii="Arial" w:hAnsi="Arial" w:cs="Arial"/>
          <w:sz w:val="20"/>
          <w:szCs w:val="20"/>
        </w:rPr>
        <w:lastRenderedPageBreak/>
        <w:t xml:space="preserve">encapsulation, and nodule formation to eliminate invading microorganisms (Tanaka &amp; Yamakawa, 2011; Gadwala </w:t>
      </w:r>
      <w:r w:rsidRPr="00743581">
        <w:rPr>
          <w:rFonts w:ascii="Arial" w:hAnsi="Arial" w:cs="Arial"/>
          <w:i/>
          <w:iCs/>
          <w:sz w:val="20"/>
          <w:szCs w:val="20"/>
        </w:rPr>
        <w:t>et al.,</w:t>
      </w:r>
      <w:r w:rsidRPr="001652FC">
        <w:rPr>
          <w:rFonts w:ascii="Arial" w:hAnsi="Arial" w:cs="Arial"/>
          <w:sz w:val="20"/>
          <w:szCs w:val="20"/>
        </w:rPr>
        <w:t xml:space="preserve"> 2021; Zhou </w:t>
      </w:r>
      <w:r w:rsidRPr="00743581">
        <w:rPr>
          <w:rFonts w:ascii="Arial" w:hAnsi="Arial" w:cs="Arial"/>
          <w:i/>
          <w:iCs/>
          <w:sz w:val="20"/>
          <w:szCs w:val="20"/>
        </w:rPr>
        <w:t>et al.,</w:t>
      </w:r>
      <w:r w:rsidRPr="001652FC">
        <w:rPr>
          <w:rFonts w:ascii="Arial" w:hAnsi="Arial" w:cs="Arial"/>
          <w:sz w:val="20"/>
          <w:szCs w:val="20"/>
        </w:rPr>
        <w:t xml:space="preserve"> 2024). These coordinated responses enable the insect to mount a rapid and effective defense against a broad spectrum of microbial threats.</w:t>
      </w:r>
    </w:p>
    <w:p w14:paraId="3899128C"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Physical barriers provide the first line of defense in the silkworm’s immune system. The cuticle, a chitinous outer layer, serves as a robust shield that prevents pathogens from penetrating the body. Internally, the peritrophic membrane, which lines the gut, acts as a secondary barrier by restricting microbial invasion while simultaneously facilitating nutrient absorption (Tanaka &amp; Yamakawa, 2011; Zha </w:t>
      </w:r>
      <w:r w:rsidRPr="00743581">
        <w:rPr>
          <w:rFonts w:ascii="Arial" w:hAnsi="Arial" w:cs="Arial"/>
          <w:i/>
          <w:iCs/>
          <w:sz w:val="20"/>
          <w:szCs w:val="20"/>
        </w:rPr>
        <w:t>et al.,</w:t>
      </w:r>
      <w:r w:rsidRPr="001652FC">
        <w:rPr>
          <w:rFonts w:ascii="Arial" w:hAnsi="Arial" w:cs="Arial"/>
          <w:sz w:val="20"/>
          <w:szCs w:val="20"/>
        </w:rPr>
        <w:t xml:space="preserve"> 2021; Wang </w:t>
      </w:r>
      <w:r w:rsidRPr="00743581">
        <w:rPr>
          <w:rFonts w:ascii="Arial" w:hAnsi="Arial" w:cs="Arial"/>
          <w:i/>
          <w:iCs/>
          <w:sz w:val="20"/>
          <w:szCs w:val="20"/>
        </w:rPr>
        <w:t>et al.,</w:t>
      </w:r>
      <w:r w:rsidRPr="001652FC">
        <w:rPr>
          <w:rFonts w:ascii="Arial" w:hAnsi="Arial" w:cs="Arial"/>
          <w:sz w:val="20"/>
          <w:szCs w:val="20"/>
        </w:rPr>
        <w:t xml:space="preserve"> 2023; Tang </w:t>
      </w:r>
      <w:r w:rsidRPr="00743581">
        <w:rPr>
          <w:rFonts w:ascii="Arial" w:hAnsi="Arial" w:cs="Arial"/>
          <w:i/>
          <w:iCs/>
          <w:sz w:val="20"/>
          <w:szCs w:val="20"/>
        </w:rPr>
        <w:t>et al.,</w:t>
      </w:r>
      <w:r w:rsidRPr="001652FC">
        <w:rPr>
          <w:rFonts w:ascii="Arial" w:hAnsi="Arial" w:cs="Arial"/>
          <w:sz w:val="20"/>
          <w:szCs w:val="20"/>
        </w:rPr>
        <w:t xml:space="preserve"> 2024). These structural defenses are essential in limiting pathogen access before the immune system is fully engaged.</w:t>
      </w:r>
    </w:p>
    <w:p w14:paraId="6369461F"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Cellular immunity is primarily executed by hemocytes, which are multifunctional immune cells circulating in the hemolymph. These cells participate in phagocytosis, engulfing and digesting small pathogens; in encapsulation, where larger invaders are surrounded and neutralized; and in nodulation, a process in which multiple hemocytes aggregate to form nodules that isolate harmful microorganisms (Wan </w:t>
      </w:r>
      <w:r w:rsidRPr="00743581">
        <w:rPr>
          <w:rFonts w:ascii="Arial" w:hAnsi="Arial" w:cs="Arial"/>
          <w:i/>
          <w:iCs/>
          <w:sz w:val="20"/>
          <w:szCs w:val="20"/>
        </w:rPr>
        <w:t>et al.,</w:t>
      </w:r>
      <w:r w:rsidRPr="001652FC">
        <w:rPr>
          <w:rFonts w:ascii="Arial" w:hAnsi="Arial" w:cs="Arial"/>
          <w:sz w:val="20"/>
          <w:szCs w:val="20"/>
        </w:rPr>
        <w:t xml:space="preserve"> 2013; Tungjitwitayakul &amp; Tatun, 2019; Liu </w:t>
      </w:r>
      <w:r w:rsidRPr="00743581">
        <w:rPr>
          <w:rFonts w:ascii="Arial" w:hAnsi="Arial" w:cs="Arial"/>
          <w:i/>
          <w:iCs/>
          <w:sz w:val="20"/>
          <w:szCs w:val="20"/>
        </w:rPr>
        <w:t>et al.,</w:t>
      </w:r>
      <w:r w:rsidRPr="001652FC">
        <w:rPr>
          <w:rFonts w:ascii="Arial" w:hAnsi="Arial" w:cs="Arial"/>
          <w:sz w:val="20"/>
          <w:szCs w:val="20"/>
        </w:rPr>
        <w:t xml:space="preserve"> 2022; He </w:t>
      </w:r>
      <w:r w:rsidRPr="00743581">
        <w:rPr>
          <w:rFonts w:ascii="Arial" w:hAnsi="Arial" w:cs="Arial"/>
          <w:i/>
          <w:iCs/>
          <w:sz w:val="20"/>
          <w:szCs w:val="20"/>
        </w:rPr>
        <w:t>et al.,</w:t>
      </w:r>
      <w:r w:rsidRPr="001652FC">
        <w:rPr>
          <w:rFonts w:ascii="Arial" w:hAnsi="Arial" w:cs="Arial"/>
          <w:sz w:val="20"/>
          <w:szCs w:val="20"/>
        </w:rPr>
        <w:t xml:space="preserve"> 2025; Archana &amp; Hemadri, 2025). This cellular arm of the immune system is indispensable for controlling infections that bypass the physical barriers.</w:t>
      </w:r>
    </w:p>
    <w:p w14:paraId="58B3F51E"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The humoral immune response further strengthens the silkworm’s defense arsenal. Six families of antimicrobial peptides, including Cecropin and Attacin, are secreted into the hemolymph to directly target and destroy pathogens (Tanaka &amp; Yamakawa, 2011). The phenoloxidase cascade plays a pivotal role in melanin synthesis, which contributes to pathogen encapsulation and wound healing (Kausar </w:t>
      </w:r>
      <w:r w:rsidRPr="00743581">
        <w:rPr>
          <w:rFonts w:ascii="Arial" w:hAnsi="Arial" w:cs="Arial"/>
          <w:i/>
          <w:iCs/>
          <w:sz w:val="20"/>
          <w:szCs w:val="20"/>
        </w:rPr>
        <w:t>et al.,</w:t>
      </w:r>
      <w:r w:rsidRPr="001652FC">
        <w:rPr>
          <w:rFonts w:ascii="Arial" w:hAnsi="Arial" w:cs="Arial"/>
          <w:sz w:val="20"/>
          <w:szCs w:val="20"/>
        </w:rPr>
        <w:t xml:space="preserve"> 2019). In addition, lysozymes break down bacterial cell walls, while lectins act as pattern recognition proteins, binding to specific molecular signatures on pathogens to facilitate their neutralization (Tanaka &amp; Yamakawa, 2011; Ghani </w:t>
      </w:r>
      <w:r w:rsidRPr="00743581">
        <w:rPr>
          <w:rFonts w:ascii="Arial" w:hAnsi="Arial" w:cs="Arial"/>
          <w:i/>
          <w:iCs/>
          <w:sz w:val="20"/>
          <w:szCs w:val="20"/>
        </w:rPr>
        <w:t>et al.,</w:t>
      </w:r>
      <w:r w:rsidRPr="001652FC">
        <w:rPr>
          <w:rFonts w:ascii="Arial" w:hAnsi="Arial" w:cs="Arial"/>
          <w:sz w:val="20"/>
          <w:szCs w:val="20"/>
        </w:rPr>
        <w:t xml:space="preserve"> 2025; Zdybicka-Barabas </w:t>
      </w:r>
      <w:r w:rsidRPr="00743581">
        <w:rPr>
          <w:rFonts w:ascii="Arial" w:hAnsi="Arial" w:cs="Arial"/>
          <w:i/>
          <w:iCs/>
          <w:sz w:val="20"/>
          <w:szCs w:val="20"/>
        </w:rPr>
        <w:t>et al.,</w:t>
      </w:r>
      <w:r w:rsidRPr="001652FC">
        <w:rPr>
          <w:rFonts w:ascii="Arial" w:hAnsi="Arial" w:cs="Arial"/>
          <w:sz w:val="20"/>
          <w:szCs w:val="20"/>
        </w:rPr>
        <w:t xml:space="preserve"> 2025).</w:t>
      </w:r>
    </w:p>
    <w:p w14:paraId="0ACF6248" w14:textId="77777777" w:rsidR="001652FC" w:rsidRPr="001652FC" w:rsidRDefault="001652FC" w:rsidP="001652FC">
      <w:pPr>
        <w:pStyle w:val="NormalWeb"/>
        <w:ind w:firstLine="360"/>
        <w:jc w:val="both"/>
        <w:rPr>
          <w:rFonts w:ascii="Arial" w:hAnsi="Arial" w:cs="Arial"/>
          <w:b/>
          <w:bCs/>
          <w:sz w:val="20"/>
          <w:szCs w:val="20"/>
        </w:rPr>
      </w:pPr>
      <w:r w:rsidRPr="001652FC">
        <w:rPr>
          <w:rFonts w:ascii="Arial" w:hAnsi="Arial" w:cs="Arial"/>
          <w:sz w:val="20"/>
          <w:szCs w:val="20"/>
        </w:rPr>
        <w:t xml:space="preserve">Despite its effectiveness, the innate immune system of </w:t>
      </w:r>
      <w:r w:rsidRPr="001652FC">
        <w:rPr>
          <w:rStyle w:val="Emphasis"/>
          <w:rFonts w:ascii="Arial" w:hAnsi="Arial" w:cs="Arial"/>
          <w:sz w:val="20"/>
          <w:szCs w:val="20"/>
        </w:rPr>
        <w:t>B. mori</w:t>
      </w:r>
      <w:r w:rsidRPr="001652FC">
        <w:rPr>
          <w:rFonts w:ascii="Arial" w:hAnsi="Arial" w:cs="Arial"/>
          <w:sz w:val="20"/>
          <w:szCs w:val="20"/>
        </w:rPr>
        <w:t xml:space="preserve"> has inherent limitations, most notably the absence of adaptive immunity, which in vertebrates provides a more targeted and long-lasting defense against specific pathogens (Awais </w:t>
      </w:r>
      <w:r w:rsidRPr="00743581">
        <w:rPr>
          <w:rFonts w:ascii="Arial" w:hAnsi="Arial" w:cs="Arial"/>
          <w:i/>
          <w:iCs/>
          <w:sz w:val="20"/>
          <w:szCs w:val="20"/>
        </w:rPr>
        <w:t>et al.,</w:t>
      </w:r>
      <w:r w:rsidRPr="001652FC">
        <w:rPr>
          <w:rFonts w:ascii="Arial" w:hAnsi="Arial" w:cs="Arial"/>
          <w:sz w:val="20"/>
          <w:szCs w:val="20"/>
        </w:rPr>
        <w:t xml:space="preserve"> 2024; Dastidar </w:t>
      </w:r>
      <w:r w:rsidRPr="00743581">
        <w:rPr>
          <w:rFonts w:ascii="Arial" w:hAnsi="Arial" w:cs="Arial"/>
          <w:i/>
          <w:iCs/>
          <w:sz w:val="20"/>
          <w:szCs w:val="20"/>
        </w:rPr>
        <w:t>et al.,</w:t>
      </w:r>
      <w:r w:rsidRPr="001652FC">
        <w:rPr>
          <w:rFonts w:ascii="Arial" w:hAnsi="Arial" w:cs="Arial"/>
          <w:sz w:val="20"/>
          <w:szCs w:val="20"/>
        </w:rPr>
        <w:t xml:space="preserve"> 2025). This absence reflects an evolutionary trade-off in invertebrate immunity, where rapid, broad-spectrum responses are prioritized over highly specific but slower adaptive mechanisms. Understanding these structural and functional aspects of silkworm immunity not only advances basic insect immunology but also holds practical significance for developing strategies to enhance disease resistance in sericulture. Understanding these structural and functional aspects of silkworm immunity not only advances basic insect immunology but also holds practical significance for developing strategies to enhance disease resistance in sericulture.</w:t>
      </w:r>
    </w:p>
    <w:p w14:paraId="50FA2A97" w14:textId="31FC07EA" w:rsidR="001652FC" w:rsidRPr="001652FC" w:rsidRDefault="001652FC" w:rsidP="001652FC">
      <w:pPr>
        <w:pStyle w:val="ListParagraph"/>
        <w:numPr>
          <w:ilvl w:val="0"/>
          <w:numId w:val="32"/>
        </w:numPr>
        <w:spacing w:line="240" w:lineRule="auto"/>
        <w:rPr>
          <w:rFonts w:ascii="Arial" w:hAnsi="Arial" w:cs="Arial"/>
          <w:b/>
          <w:bCs/>
          <w:sz w:val="22"/>
          <w:szCs w:val="22"/>
        </w:rPr>
      </w:pPr>
      <w:r w:rsidRPr="001652FC">
        <w:rPr>
          <w:rFonts w:ascii="Arial" w:hAnsi="Arial" w:cs="Arial"/>
          <w:b/>
          <w:bCs/>
          <w:sz w:val="22"/>
          <w:szCs w:val="22"/>
        </w:rPr>
        <w:t>MOLECULAR MECHANISMS OF SILKWORM IMMUNE RESPONSE</w:t>
      </w:r>
    </w:p>
    <w:p w14:paraId="2840B2CE" w14:textId="08C66B44"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The immune response of the silkworm (</w:t>
      </w:r>
      <w:r w:rsidRPr="001652FC">
        <w:rPr>
          <w:rStyle w:val="Emphasis"/>
          <w:rFonts w:ascii="Arial" w:hAnsi="Arial" w:cs="Arial"/>
          <w:sz w:val="20"/>
          <w:szCs w:val="20"/>
        </w:rPr>
        <w:t>Bombyx mori</w:t>
      </w:r>
      <w:r w:rsidRPr="001652FC">
        <w:rPr>
          <w:rFonts w:ascii="Arial" w:hAnsi="Arial" w:cs="Arial"/>
          <w:sz w:val="20"/>
          <w:szCs w:val="20"/>
        </w:rPr>
        <w:t xml:space="preserve">) represents a complex interplay of diverse molecular mechanisms that collectively safeguard the organism from pathogenic threats. These mechanisms predominantly involve pattern recognition receptors (PRRs), key signalling pathways, RNA interference (RNAi) systems, and stress-responsive proteins (Kauser </w:t>
      </w:r>
      <w:r w:rsidRPr="00743581">
        <w:rPr>
          <w:rFonts w:ascii="Arial" w:hAnsi="Arial" w:cs="Arial"/>
          <w:i/>
          <w:iCs/>
          <w:sz w:val="20"/>
          <w:szCs w:val="20"/>
        </w:rPr>
        <w:t>et al.,</w:t>
      </w:r>
      <w:r w:rsidRPr="001652FC">
        <w:rPr>
          <w:rFonts w:ascii="Arial" w:hAnsi="Arial" w:cs="Arial"/>
          <w:sz w:val="20"/>
          <w:szCs w:val="20"/>
        </w:rPr>
        <w:t xml:space="preserve"> 2019; Zhou, 202</w:t>
      </w:r>
      <w:r w:rsidR="00743581">
        <w:rPr>
          <w:rFonts w:ascii="Arial" w:hAnsi="Arial" w:cs="Arial"/>
          <w:sz w:val="20"/>
          <w:szCs w:val="20"/>
        </w:rPr>
        <w:t>0</w:t>
      </w:r>
      <w:r w:rsidRPr="001652FC">
        <w:rPr>
          <w:rFonts w:ascii="Arial" w:hAnsi="Arial" w:cs="Arial"/>
          <w:sz w:val="20"/>
          <w:szCs w:val="20"/>
        </w:rPr>
        <w:t>; Jiang, 2021). A comprehensive understanding of these molecular components is essential for devising strategies to enhance the silkworm's resistance to pathogens, particularly viruses that pose significant challenges to sericulture.</w:t>
      </w:r>
    </w:p>
    <w:p w14:paraId="55185B68" w14:textId="00459AB7" w:rsidR="001652FC" w:rsidRPr="001652FC" w:rsidRDefault="001652FC" w:rsidP="001652FC">
      <w:pPr>
        <w:pStyle w:val="NormalWeb"/>
        <w:numPr>
          <w:ilvl w:val="1"/>
          <w:numId w:val="36"/>
        </w:numPr>
        <w:rPr>
          <w:rFonts w:ascii="Arial" w:hAnsi="Arial" w:cs="Arial"/>
          <w:sz w:val="22"/>
          <w:szCs w:val="22"/>
        </w:rPr>
      </w:pPr>
      <w:r w:rsidRPr="001652FC">
        <w:rPr>
          <w:rStyle w:val="Strong"/>
          <w:rFonts w:ascii="Arial" w:eastAsiaTheme="majorEastAsia" w:hAnsi="Arial" w:cs="Arial"/>
          <w:sz w:val="22"/>
          <w:szCs w:val="22"/>
        </w:rPr>
        <w:lastRenderedPageBreak/>
        <w:t xml:space="preserve"> </w:t>
      </w:r>
      <w:r w:rsidRPr="001652FC">
        <w:rPr>
          <w:rStyle w:val="Strong"/>
          <w:rFonts w:ascii="Arial" w:hAnsi="Arial" w:cs="Arial"/>
          <w:sz w:val="22"/>
          <w:szCs w:val="22"/>
        </w:rPr>
        <w:t>Pattern Recognition Receptors (PRRs)</w:t>
      </w:r>
    </w:p>
    <w:p w14:paraId="22778511"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Pattern recognition receptors form the first line of defense by detecting pathogens through the identification of conserved pathogen-associated molecular patterns (PAMPs). In </w:t>
      </w:r>
      <w:r w:rsidRPr="001652FC">
        <w:rPr>
          <w:rStyle w:val="Emphasis"/>
          <w:rFonts w:ascii="Arial" w:hAnsi="Arial" w:cs="Arial"/>
          <w:sz w:val="20"/>
          <w:szCs w:val="20"/>
        </w:rPr>
        <w:t>B. mori</w:t>
      </w:r>
      <w:r w:rsidRPr="001652FC">
        <w:rPr>
          <w:rFonts w:ascii="Arial" w:hAnsi="Arial" w:cs="Arial"/>
          <w:sz w:val="20"/>
          <w:szCs w:val="20"/>
        </w:rPr>
        <w:t xml:space="preserve">, 14 distinct PRRs have been identified, including peptidoglycan recognition proteins (PGRPs) and β-glucan recognition proteins (βGRPs) (Kloc </w:t>
      </w:r>
      <w:r w:rsidRPr="00743581">
        <w:rPr>
          <w:rFonts w:ascii="Arial" w:hAnsi="Arial" w:cs="Arial"/>
          <w:i/>
          <w:iCs/>
          <w:sz w:val="20"/>
          <w:szCs w:val="20"/>
        </w:rPr>
        <w:t>et al.,</w:t>
      </w:r>
      <w:r w:rsidRPr="001652FC">
        <w:rPr>
          <w:rFonts w:ascii="Arial" w:hAnsi="Arial" w:cs="Arial"/>
          <w:sz w:val="20"/>
          <w:szCs w:val="20"/>
        </w:rPr>
        <w:t xml:space="preserve"> 2024). These receptors are crucial for initiating immune responses upon encountering diverse microbial invaders, thereby forming a cornerstone of the innate immune system (He </w:t>
      </w:r>
      <w:r w:rsidRPr="00743581">
        <w:rPr>
          <w:rFonts w:ascii="Arial" w:hAnsi="Arial" w:cs="Arial"/>
          <w:i/>
          <w:iCs/>
          <w:sz w:val="20"/>
          <w:szCs w:val="20"/>
        </w:rPr>
        <w:t>et al.,</w:t>
      </w:r>
      <w:r w:rsidRPr="001652FC">
        <w:rPr>
          <w:rFonts w:ascii="Arial" w:hAnsi="Arial" w:cs="Arial"/>
          <w:sz w:val="20"/>
          <w:szCs w:val="20"/>
        </w:rPr>
        <w:t xml:space="preserve"> 2025; Wan </w:t>
      </w:r>
      <w:r w:rsidRPr="00743581">
        <w:rPr>
          <w:rFonts w:ascii="Arial" w:hAnsi="Arial" w:cs="Arial"/>
          <w:i/>
          <w:iCs/>
          <w:sz w:val="20"/>
          <w:szCs w:val="20"/>
        </w:rPr>
        <w:t>et al.,</w:t>
      </w:r>
      <w:r w:rsidRPr="001652FC">
        <w:rPr>
          <w:rFonts w:ascii="Arial" w:hAnsi="Arial" w:cs="Arial"/>
          <w:sz w:val="20"/>
          <w:szCs w:val="20"/>
        </w:rPr>
        <w:t xml:space="preserve"> 2013). Once activated, PRRs trigger downstream signalling cascades that lead to the production of antimicrobial peptides and other immune effectors.</w:t>
      </w:r>
    </w:p>
    <w:p w14:paraId="5E38A04F" w14:textId="4D6EDD32" w:rsidR="001652FC" w:rsidRPr="001652FC" w:rsidRDefault="001652FC" w:rsidP="001652FC">
      <w:pPr>
        <w:pStyle w:val="NormalWeb"/>
        <w:numPr>
          <w:ilvl w:val="1"/>
          <w:numId w:val="36"/>
        </w:numPr>
        <w:rPr>
          <w:rFonts w:ascii="Arial" w:hAnsi="Arial" w:cs="Arial"/>
          <w:sz w:val="22"/>
          <w:szCs w:val="22"/>
        </w:rPr>
      </w:pPr>
      <w:r w:rsidRPr="001652FC">
        <w:rPr>
          <w:rStyle w:val="Strong"/>
          <w:rFonts w:ascii="Arial" w:eastAsiaTheme="majorEastAsia" w:hAnsi="Arial" w:cs="Arial"/>
          <w:sz w:val="22"/>
          <w:szCs w:val="22"/>
        </w:rPr>
        <w:t xml:space="preserve"> Signalling</w:t>
      </w:r>
      <w:r w:rsidRPr="001652FC">
        <w:rPr>
          <w:rStyle w:val="Strong"/>
          <w:rFonts w:ascii="Arial" w:hAnsi="Arial" w:cs="Arial"/>
          <w:sz w:val="22"/>
          <w:szCs w:val="22"/>
        </w:rPr>
        <w:t xml:space="preserve"> Pathways</w:t>
      </w:r>
    </w:p>
    <w:p w14:paraId="3D6AED50"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Following pathogen detection, the silkworm relies on several highly conserved signalling pathways to orchestrate its immune defense. The Toll pathway is primarily responsible for activating antimicrobial peptide production in response to microbial infections, particularly from Gram-positive bacteria and fungi (Wan </w:t>
      </w:r>
      <w:r w:rsidRPr="00743581">
        <w:rPr>
          <w:rFonts w:ascii="Arial" w:hAnsi="Arial" w:cs="Arial"/>
          <w:i/>
          <w:iCs/>
          <w:sz w:val="20"/>
          <w:szCs w:val="20"/>
        </w:rPr>
        <w:t>et al.,</w:t>
      </w:r>
      <w:r w:rsidRPr="001652FC">
        <w:rPr>
          <w:rFonts w:ascii="Arial" w:hAnsi="Arial" w:cs="Arial"/>
          <w:sz w:val="20"/>
          <w:szCs w:val="20"/>
        </w:rPr>
        <w:t xml:space="preserve"> 2013; Kausar </w:t>
      </w:r>
      <w:r w:rsidRPr="00743581">
        <w:rPr>
          <w:rFonts w:ascii="Arial" w:hAnsi="Arial" w:cs="Arial"/>
          <w:i/>
          <w:iCs/>
          <w:sz w:val="20"/>
          <w:szCs w:val="20"/>
        </w:rPr>
        <w:t>et al.,</w:t>
      </w:r>
      <w:r w:rsidRPr="001652FC">
        <w:rPr>
          <w:rFonts w:ascii="Arial" w:hAnsi="Arial" w:cs="Arial"/>
          <w:sz w:val="20"/>
          <w:szCs w:val="20"/>
        </w:rPr>
        <w:t xml:space="preserve"> 2019; Gadwala </w:t>
      </w:r>
      <w:r w:rsidRPr="00743581">
        <w:rPr>
          <w:rFonts w:ascii="Arial" w:hAnsi="Arial" w:cs="Arial"/>
          <w:i/>
          <w:iCs/>
          <w:sz w:val="20"/>
          <w:szCs w:val="20"/>
        </w:rPr>
        <w:t>et al.,</w:t>
      </w:r>
      <w:r w:rsidRPr="001652FC">
        <w:rPr>
          <w:rFonts w:ascii="Arial" w:hAnsi="Arial" w:cs="Arial"/>
          <w:sz w:val="20"/>
          <w:szCs w:val="20"/>
        </w:rPr>
        <w:t xml:space="preserve"> 2021). The IMD pathway, on the other hand, is specialized for combating Gram-negative bacterial infections, activating defense genes that counteract such pathogens (Wan </w:t>
      </w:r>
      <w:r w:rsidRPr="00743581">
        <w:rPr>
          <w:rFonts w:ascii="Arial" w:hAnsi="Arial" w:cs="Arial"/>
          <w:i/>
          <w:iCs/>
          <w:sz w:val="20"/>
          <w:szCs w:val="20"/>
        </w:rPr>
        <w:t>et al.,</w:t>
      </w:r>
      <w:r w:rsidRPr="001652FC">
        <w:rPr>
          <w:rFonts w:ascii="Arial" w:hAnsi="Arial" w:cs="Arial"/>
          <w:sz w:val="20"/>
          <w:szCs w:val="20"/>
        </w:rPr>
        <w:t xml:space="preserve"> 2013; Ghani </w:t>
      </w:r>
      <w:r w:rsidRPr="00743581">
        <w:rPr>
          <w:rFonts w:ascii="Arial" w:hAnsi="Arial" w:cs="Arial"/>
          <w:i/>
          <w:iCs/>
          <w:sz w:val="20"/>
          <w:szCs w:val="20"/>
        </w:rPr>
        <w:t>et al.,</w:t>
      </w:r>
      <w:r w:rsidRPr="001652FC">
        <w:rPr>
          <w:rFonts w:ascii="Arial" w:hAnsi="Arial" w:cs="Arial"/>
          <w:sz w:val="20"/>
          <w:szCs w:val="20"/>
        </w:rPr>
        <w:t xml:space="preserve"> 2025; Jiang, 2021).</w:t>
      </w:r>
    </w:p>
    <w:p w14:paraId="4A1EDE25"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The JAK/STAT pathway plays an important role in regulating immune responses and coordinating intercellular communication during pathogen invasion (Jiang, 2021; Ghani </w:t>
      </w:r>
      <w:r w:rsidRPr="00743581">
        <w:rPr>
          <w:rFonts w:ascii="Arial" w:hAnsi="Arial" w:cs="Arial"/>
          <w:i/>
          <w:iCs/>
          <w:sz w:val="20"/>
          <w:szCs w:val="20"/>
        </w:rPr>
        <w:t>et al.,</w:t>
      </w:r>
      <w:r w:rsidRPr="001652FC">
        <w:rPr>
          <w:rFonts w:ascii="Arial" w:hAnsi="Arial" w:cs="Arial"/>
          <w:sz w:val="20"/>
          <w:szCs w:val="20"/>
        </w:rPr>
        <w:t xml:space="preserve"> 2025). Meanwhile, the MAPK pathway modulates various cellular processes, including inflammation, stress responses, and apoptosis, allowing the silkworm to adapt to changing physiological conditions during infection (Jiang, 2021; Lv </w:t>
      </w:r>
      <w:r w:rsidRPr="00743581">
        <w:rPr>
          <w:rFonts w:ascii="Arial" w:hAnsi="Arial" w:cs="Arial"/>
          <w:i/>
          <w:iCs/>
          <w:sz w:val="20"/>
          <w:szCs w:val="20"/>
        </w:rPr>
        <w:t>et al.,</w:t>
      </w:r>
      <w:r w:rsidRPr="001652FC">
        <w:rPr>
          <w:rFonts w:ascii="Arial" w:hAnsi="Arial" w:cs="Arial"/>
          <w:sz w:val="20"/>
          <w:szCs w:val="20"/>
        </w:rPr>
        <w:t xml:space="preserve"> 2023). Together, these pathways form an intricate network that integrates multiple immune signals to generate a rapid and effective defense.</w:t>
      </w:r>
    </w:p>
    <w:p w14:paraId="1D3D013E" w14:textId="49C9162E" w:rsidR="001652FC" w:rsidRPr="001652FC" w:rsidRDefault="001652FC" w:rsidP="001652FC">
      <w:pPr>
        <w:pStyle w:val="NormalWeb"/>
        <w:numPr>
          <w:ilvl w:val="1"/>
          <w:numId w:val="36"/>
        </w:numPr>
        <w:rPr>
          <w:rFonts w:ascii="Arial" w:hAnsi="Arial" w:cs="Arial"/>
          <w:sz w:val="22"/>
          <w:szCs w:val="22"/>
        </w:rPr>
      </w:pPr>
      <w:r w:rsidRPr="001652FC">
        <w:rPr>
          <w:rStyle w:val="Strong"/>
          <w:rFonts w:ascii="Arial" w:hAnsi="Arial" w:cs="Arial"/>
          <w:sz w:val="22"/>
          <w:szCs w:val="22"/>
        </w:rPr>
        <w:t>RNA Interference (RNAi) in Antiviral Defense</w:t>
      </w:r>
    </w:p>
    <w:p w14:paraId="48656C28"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RNA interference is one of the most vital antiviral defense mechanisms in </w:t>
      </w:r>
      <w:r w:rsidRPr="001652FC">
        <w:rPr>
          <w:rStyle w:val="Emphasis"/>
          <w:rFonts w:ascii="Arial" w:hAnsi="Arial" w:cs="Arial"/>
          <w:sz w:val="20"/>
          <w:szCs w:val="20"/>
        </w:rPr>
        <w:t>B. mori</w:t>
      </w:r>
      <w:r w:rsidRPr="001652FC">
        <w:rPr>
          <w:rFonts w:ascii="Arial" w:hAnsi="Arial" w:cs="Arial"/>
          <w:sz w:val="20"/>
          <w:szCs w:val="20"/>
        </w:rPr>
        <w:t xml:space="preserve">. This process operates by specifically targeting and degrading viral RNA, thereby preventing replication and spread within the host (Jiang, 2021; Hu </w:t>
      </w:r>
      <w:r w:rsidRPr="00743581">
        <w:rPr>
          <w:rFonts w:ascii="Arial" w:hAnsi="Arial" w:cs="Arial"/>
          <w:i/>
          <w:iCs/>
          <w:sz w:val="20"/>
          <w:szCs w:val="20"/>
        </w:rPr>
        <w:t>et al.,</w:t>
      </w:r>
      <w:r w:rsidRPr="001652FC">
        <w:rPr>
          <w:rFonts w:ascii="Arial" w:hAnsi="Arial" w:cs="Arial"/>
          <w:sz w:val="20"/>
          <w:szCs w:val="20"/>
        </w:rPr>
        <w:t xml:space="preserve"> 2023). In the context of viral infections such as those caused by </w:t>
      </w:r>
      <w:r w:rsidRPr="001652FC">
        <w:rPr>
          <w:rStyle w:val="Emphasis"/>
          <w:rFonts w:ascii="Arial" w:hAnsi="Arial" w:cs="Arial"/>
          <w:sz w:val="20"/>
          <w:szCs w:val="20"/>
        </w:rPr>
        <w:t>Bombyx mori</w:t>
      </w:r>
      <w:r w:rsidRPr="001652FC">
        <w:rPr>
          <w:rFonts w:ascii="Arial" w:hAnsi="Arial" w:cs="Arial"/>
          <w:sz w:val="20"/>
          <w:szCs w:val="20"/>
        </w:rPr>
        <w:t xml:space="preserve"> nucleopolyhedrovirus (BmNPV), RNAi machinery plays a decisive role in suppressing viral load. Its effectiveness has led researchers to explore RNAi-based genetic strategies for enhancing silkworm antiviral resistance in commercial sericulture (Zhao </w:t>
      </w:r>
      <w:r w:rsidRPr="00743581">
        <w:rPr>
          <w:rFonts w:ascii="Arial" w:hAnsi="Arial" w:cs="Arial"/>
          <w:i/>
          <w:iCs/>
          <w:sz w:val="20"/>
          <w:szCs w:val="20"/>
        </w:rPr>
        <w:t>et al.,</w:t>
      </w:r>
      <w:r w:rsidRPr="001652FC">
        <w:rPr>
          <w:rFonts w:ascii="Arial" w:hAnsi="Arial" w:cs="Arial"/>
          <w:sz w:val="20"/>
          <w:szCs w:val="20"/>
        </w:rPr>
        <w:t xml:space="preserve"> 2022; Hu </w:t>
      </w:r>
      <w:r w:rsidRPr="00743581">
        <w:rPr>
          <w:rFonts w:ascii="Arial" w:hAnsi="Arial" w:cs="Arial"/>
          <w:i/>
          <w:iCs/>
          <w:sz w:val="20"/>
          <w:szCs w:val="20"/>
        </w:rPr>
        <w:t>et al.,</w:t>
      </w:r>
      <w:r w:rsidRPr="001652FC">
        <w:rPr>
          <w:rFonts w:ascii="Arial" w:hAnsi="Arial" w:cs="Arial"/>
          <w:sz w:val="20"/>
          <w:szCs w:val="20"/>
        </w:rPr>
        <w:t xml:space="preserve"> 2023).</w:t>
      </w:r>
    </w:p>
    <w:p w14:paraId="75F3230E" w14:textId="77777777" w:rsidR="001652FC" w:rsidRPr="001652FC" w:rsidRDefault="001652FC" w:rsidP="001652FC">
      <w:pPr>
        <w:pStyle w:val="NormalWeb"/>
        <w:numPr>
          <w:ilvl w:val="1"/>
          <w:numId w:val="36"/>
        </w:numPr>
        <w:jc w:val="both"/>
        <w:rPr>
          <w:rFonts w:ascii="Arial" w:hAnsi="Arial" w:cs="Arial"/>
          <w:sz w:val="22"/>
          <w:szCs w:val="22"/>
        </w:rPr>
      </w:pPr>
      <w:r w:rsidRPr="001652FC">
        <w:rPr>
          <w:rStyle w:val="Strong"/>
          <w:rFonts w:ascii="Arial" w:eastAsiaTheme="majorEastAsia" w:hAnsi="Arial" w:cs="Arial"/>
          <w:sz w:val="22"/>
          <w:szCs w:val="22"/>
        </w:rPr>
        <w:t xml:space="preserve"> </w:t>
      </w:r>
      <w:r w:rsidRPr="001652FC">
        <w:rPr>
          <w:rStyle w:val="Strong"/>
          <w:rFonts w:ascii="Arial" w:hAnsi="Arial" w:cs="Arial"/>
          <w:sz w:val="22"/>
          <w:szCs w:val="22"/>
        </w:rPr>
        <w:t>Stress Proteins</w:t>
      </w:r>
    </w:p>
    <w:p w14:paraId="0B94B8D7"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Stress proteins, notably heat shock proteins and antioxidative enzymes, provide crucial support to the immune system by protecting cellular integrity during infection and environmental stress (Wan </w:t>
      </w:r>
      <w:r w:rsidRPr="00743581">
        <w:rPr>
          <w:rFonts w:ascii="Arial" w:hAnsi="Arial" w:cs="Arial"/>
          <w:i/>
          <w:iCs/>
          <w:sz w:val="20"/>
          <w:szCs w:val="20"/>
        </w:rPr>
        <w:t>et al.,</w:t>
      </w:r>
      <w:r w:rsidRPr="001652FC">
        <w:rPr>
          <w:rFonts w:ascii="Arial" w:hAnsi="Arial" w:cs="Arial"/>
          <w:sz w:val="20"/>
          <w:szCs w:val="20"/>
        </w:rPr>
        <w:t xml:space="preserve"> 2013; Makwana </w:t>
      </w:r>
      <w:r w:rsidRPr="00743581">
        <w:rPr>
          <w:rFonts w:ascii="Arial" w:hAnsi="Arial" w:cs="Arial"/>
          <w:i/>
          <w:iCs/>
          <w:sz w:val="20"/>
          <w:szCs w:val="20"/>
        </w:rPr>
        <w:t>et al.,</w:t>
      </w:r>
      <w:r w:rsidRPr="001652FC">
        <w:rPr>
          <w:rFonts w:ascii="Arial" w:hAnsi="Arial" w:cs="Arial"/>
          <w:sz w:val="20"/>
          <w:szCs w:val="20"/>
        </w:rPr>
        <w:t xml:space="preserve"> 2021; Ashraf &amp; Qamar, 2023). Heat shock proteins facilitate proper protein folding and prevent aggregation of damaged proteins, while antioxidative enzymes neutralize harmful reactive oxygen species generated during immune responses. These protective actions not only mitigate cellular damage but also ensure that immune processes proceed efficiently under stressful conditions (Makwana </w:t>
      </w:r>
      <w:r w:rsidRPr="00743581">
        <w:rPr>
          <w:rFonts w:ascii="Arial" w:hAnsi="Arial" w:cs="Arial"/>
          <w:i/>
          <w:iCs/>
          <w:sz w:val="20"/>
          <w:szCs w:val="20"/>
        </w:rPr>
        <w:t>et al.,</w:t>
      </w:r>
      <w:r w:rsidRPr="001652FC">
        <w:rPr>
          <w:rFonts w:ascii="Arial" w:hAnsi="Arial" w:cs="Arial"/>
          <w:sz w:val="20"/>
          <w:szCs w:val="20"/>
        </w:rPr>
        <w:t xml:space="preserve"> 2021).</w:t>
      </w:r>
    </w:p>
    <w:p w14:paraId="1CB193B6" w14:textId="118454E3" w:rsidR="001652FC" w:rsidRPr="001652FC" w:rsidRDefault="001652FC" w:rsidP="004766E1">
      <w:pPr>
        <w:pStyle w:val="NormalWeb"/>
        <w:ind w:firstLine="360"/>
        <w:jc w:val="both"/>
        <w:rPr>
          <w:rFonts w:ascii="Arial" w:hAnsi="Arial" w:cs="Arial"/>
          <w:sz w:val="20"/>
          <w:szCs w:val="20"/>
        </w:rPr>
      </w:pPr>
      <w:r w:rsidRPr="001652FC">
        <w:rPr>
          <w:rFonts w:ascii="Arial" w:hAnsi="Arial" w:cs="Arial"/>
          <w:sz w:val="20"/>
          <w:szCs w:val="20"/>
        </w:rPr>
        <w:lastRenderedPageBreak/>
        <w:t xml:space="preserve">Overall, while the innate immune system of </w:t>
      </w:r>
      <w:r w:rsidRPr="001652FC">
        <w:rPr>
          <w:rStyle w:val="Emphasis"/>
          <w:rFonts w:ascii="Arial" w:hAnsi="Arial" w:cs="Arial"/>
          <w:sz w:val="20"/>
          <w:szCs w:val="20"/>
        </w:rPr>
        <w:t>B. mori</w:t>
      </w:r>
      <w:r w:rsidRPr="001652FC">
        <w:rPr>
          <w:rFonts w:ascii="Arial" w:hAnsi="Arial" w:cs="Arial"/>
          <w:sz w:val="20"/>
          <w:szCs w:val="20"/>
        </w:rPr>
        <w:t xml:space="preserve"> is highly robust and versatile, it lacks the adaptive immune mechanisms present in vertebrates. This inherent limitation underscores the importance of deepening our understanding of these innate molecular defenses and identifying strategies to strengthen them. Enhancing PRR efficiency, modulating key signalling pathways, and exploiting RNAi potential are promising directions for improving disease resistance in silkworm populations (Wan </w:t>
      </w:r>
      <w:r w:rsidRPr="00743581">
        <w:rPr>
          <w:rFonts w:ascii="Arial" w:hAnsi="Arial" w:cs="Arial"/>
          <w:i/>
          <w:iCs/>
          <w:sz w:val="20"/>
          <w:szCs w:val="20"/>
        </w:rPr>
        <w:t>et al.,</w:t>
      </w:r>
      <w:r w:rsidRPr="001652FC">
        <w:rPr>
          <w:rFonts w:ascii="Arial" w:hAnsi="Arial" w:cs="Arial"/>
          <w:sz w:val="20"/>
          <w:szCs w:val="20"/>
        </w:rPr>
        <w:t xml:space="preserve"> 2013; Gadwala </w:t>
      </w:r>
      <w:r w:rsidRPr="00743581">
        <w:rPr>
          <w:rFonts w:ascii="Arial" w:hAnsi="Arial" w:cs="Arial"/>
          <w:i/>
          <w:iCs/>
          <w:sz w:val="20"/>
          <w:szCs w:val="20"/>
        </w:rPr>
        <w:t>et al.,</w:t>
      </w:r>
      <w:r w:rsidRPr="001652FC">
        <w:rPr>
          <w:rFonts w:ascii="Arial" w:hAnsi="Arial" w:cs="Arial"/>
          <w:sz w:val="20"/>
          <w:szCs w:val="20"/>
        </w:rPr>
        <w:t xml:space="preserve"> 2021). A consolidated summary of the immune components of </w:t>
      </w:r>
      <w:r w:rsidRPr="001652FC">
        <w:rPr>
          <w:rFonts w:ascii="Arial" w:hAnsi="Arial" w:cs="Arial"/>
          <w:i/>
          <w:iCs/>
          <w:sz w:val="20"/>
          <w:szCs w:val="20"/>
        </w:rPr>
        <w:t>Bombyx mori</w:t>
      </w:r>
      <w:r w:rsidRPr="001652FC">
        <w:rPr>
          <w:rFonts w:ascii="Arial" w:hAnsi="Arial" w:cs="Arial"/>
          <w:sz w:val="20"/>
          <w:szCs w:val="20"/>
        </w:rPr>
        <w:t>, their associated pathogens, and primary functions is provided in Table 1, integrating outer defenses, cellular and humoral immunity, signaling pathways, specialized defenses, and pathogen-specific responses.</w:t>
      </w:r>
    </w:p>
    <w:p w14:paraId="4C60B511" w14:textId="77777777" w:rsidR="001652FC" w:rsidRPr="001652FC" w:rsidRDefault="001652FC" w:rsidP="001652FC">
      <w:pPr>
        <w:pStyle w:val="NormalWeb"/>
        <w:jc w:val="center"/>
        <w:rPr>
          <w:rFonts w:ascii="Arial" w:hAnsi="Arial" w:cs="Arial"/>
          <w:b/>
          <w:bCs/>
          <w:i/>
          <w:iCs/>
          <w:sz w:val="20"/>
          <w:szCs w:val="20"/>
        </w:rPr>
      </w:pPr>
      <w:r w:rsidRPr="001652FC">
        <w:rPr>
          <w:rFonts w:ascii="Arial" w:hAnsi="Arial" w:cs="Arial"/>
          <w:b/>
          <w:bCs/>
          <w:sz w:val="20"/>
          <w:szCs w:val="20"/>
        </w:rPr>
        <w:t xml:space="preserve">Table 1. Comprehensive Overview of the Immune System of </w:t>
      </w:r>
      <w:r w:rsidRPr="001652FC">
        <w:rPr>
          <w:rFonts w:ascii="Arial" w:hAnsi="Arial" w:cs="Arial"/>
          <w:b/>
          <w:bCs/>
          <w:i/>
          <w:iCs/>
          <w:sz w:val="20"/>
          <w:szCs w:val="20"/>
        </w:rPr>
        <w:t>Bombyx mori</w:t>
      </w:r>
    </w:p>
    <w:tbl>
      <w:tblPr>
        <w:tblStyle w:val="TableGrid"/>
        <w:tblW w:w="0" w:type="auto"/>
        <w:jc w:val="center"/>
        <w:tblLook w:val="04A0" w:firstRow="1" w:lastRow="0" w:firstColumn="1" w:lastColumn="0" w:noHBand="0" w:noVBand="1"/>
      </w:tblPr>
      <w:tblGrid>
        <w:gridCol w:w="1797"/>
        <w:gridCol w:w="2546"/>
        <w:gridCol w:w="1847"/>
        <w:gridCol w:w="2234"/>
      </w:tblGrid>
      <w:tr w:rsidR="001652FC" w:rsidRPr="001652FC" w14:paraId="5D65E4E0" w14:textId="77777777">
        <w:trPr>
          <w:trHeight w:val="665"/>
          <w:jc w:val="center"/>
        </w:trPr>
        <w:tc>
          <w:tcPr>
            <w:tcW w:w="1932" w:type="dxa"/>
            <w:vAlign w:val="center"/>
          </w:tcPr>
          <w:p w14:paraId="350F1BA0" w14:textId="77777777" w:rsidR="001652FC" w:rsidRPr="001652FC" w:rsidRDefault="001652FC" w:rsidP="001652FC">
            <w:pPr>
              <w:pStyle w:val="NormalWeb"/>
              <w:jc w:val="center"/>
              <w:rPr>
                <w:rFonts w:ascii="Arial" w:hAnsi="Arial" w:cs="Arial"/>
                <w:b/>
                <w:bCs/>
                <w:sz w:val="20"/>
                <w:szCs w:val="20"/>
              </w:rPr>
            </w:pPr>
            <w:r w:rsidRPr="001652FC">
              <w:rPr>
                <w:rFonts w:ascii="Arial" w:hAnsi="Arial" w:cs="Arial"/>
                <w:b/>
                <w:bCs/>
                <w:sz w:val="20"/>
                <w:szCs w:val="20"/>
              </w:rPr>
              <w:t>Category</w:t>
            </w:r>
          </w:p>
        </w:tc>
        <w:tc>
          <w:tcPr>
            <w:tcW w:w="2910" w:type="dxa"/>
            <w:vAlign w:val="center"/>
          </w:tcPr>
          <w:p w14:paraId="1FA3A9C9" w14:textId="77777777" w:rsidR="001652FC" w:rsidRPr="001652FC" w:rsidRDefault="001652FC" w:rsidP="001652FC">
            <w:pPr>
              <w:pStyle w:val="NormalWeb"/>
              <w:jc w:val="center"/>
              <w:rPr>
                <w:rFonts w:ascii="Arial" w:hAnsi="Arial" w:cs="Arial"/>
                <w:b/>
                <w:bCs/>
                <w:sz w:val="20"/>
                <w:szCs w:val="20"/>
              </w:rPr>
            </w:pPr>
            <w:r w:rsidRPr="001652FC">
              <w:rPr>
                <w:rFonts w:ascii="Arial" w:hAnsi="Arial" w:cs="Arial"/>
                <w:b/>
                <w:bCs/>
                <w:sz w:val="20"/>
                <w:szCs w:val="20"/>
              </w:rPr>
              <w:t>Components / Effectors</w:t>
            </w:r>
          </w:p>
        </w:tc>
        <w:tc>
          <w:tcPr>
            <w:tcW w:w="1963" w:type="dxa"/>
            <w:vAlign w:val="center"/>
          </w:tcPr>
          <w:p w14:paraId="64B543A2" w14:textId="77777777" w:rsidR="001652FC" w:rsidRPr="001652FC" w:rsidRDefault="001652FC" w:rsidP="001652FC">
            <w:pPr>
              <w:pStyle w:val="NormalWeb"/>
              <w:jc w:val="center"/>
              <w:rPr>
                <w:rFonts w:ascii="Arial" w:hAnsi="Arial" w:cs="Arial"/>
                <w:b/>
                <w:bCs/>
                <w:sz w:val="20"/>
                <w:szCs w:val="20"/>
              </w:rPr>
            </w:pPr>
            <w:r w:rsidRPr="001652FC">
              <w:rPr>
                <w:rFonts w:ascii="Arial" w:hAnsi="Arial" w:cs="Arial"/>
                <w:b/>
                <w:bCs/>
                <w:sz w:val="20"/>
                <w:szCs w:val="20"/>
              </w:rPr>
              <w:t>Target Pathogens</w:t>
            </w:r>
          </w:p>
        </w:tc>
        <w:tc>
          <w:tcPr>
            <w:tcW w:w="2500" w:type="dxa"/>
            <w:vAlign w:val="center"/>
          </w:tcPr>
          <w:p w14:paraId="18F07FDC" w14:textId="77777777" w:rsidR="001652FC" w:rsidRPr="001652FC" w:rsidRDefault="001652FC" w:rsidP="001652FC">
            <w:pPr>
              <w:pStyle w:val="NormalWeb"/>
              <w:jc w:val="center"/>
              <w:rPr>
                <w:rFonts w:ascii="Arial" w:hAnsi="Arial" w:cs="Arial"/>
                <w:b/>
                <w:bCs/>
                <w:sz w:val="20"/>
                <w:szCs w:val="20"/>
              </w:rPr>
            </w:pPr>
            <w:r w:rsidRPr="001652FC">
              <w:rPr>
                <w:rFonts w:ascii="Arial" w:hAnsi="Arial" w:cs="Arial"/>
                <w:b/>
                <w:bCs/>
                <w:sz w:val="20"/>
                <w:szCs w:val="20"/>
              </w:rPr>
              <w:t>Function / Mode of Action</w:t>
            </w:r>
          </w:p>
        </w:tc>
      </w:tr>
      <w:tr w:rsidR="001652FC" w:rsidRPr="001652FC" w14:paraId="1F595972" w14:textId="77777777">
        <w:trPr>
          <w:trHeight w:val="703"/>
          <w:jc w:val="center"/>
        </w:trPr>
        <w:tc>
          <w:tcPr>
            <w:tcW w:w="1932" w:type="dxa"/>
            <w:vAlign w:val="center"/>
          </w:tcPr>
          <w:p w14:paraId="290A49EE"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Outer Defenses</w:t>
            </w:r>
          </w:p>
        </w:tc>
        <w:tc>
          <w:tcPr>
            <w:tcW w:w="2910" w:type="dxa"/>
            <w:vAlign w:val="center"/>
          </w:tcPr>
          <w:p w14:paraId="0AC3002A"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Cuticle, Peritrophic membrane</w:t>
            </w:r>
          </w:p>
        </w:tc>
        <w:tc>
          <w:tcPr>
            <w:tcW w:w="1963" w:type="dxa"/>
            <w:vAlign w:val="center"/>
          </w:tcPr>
          <w:p w14:paraId="75E9F06B"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All pathogens</w:t>
            </w:r>
          </w:p>
        </w:tc>
        <w:tc>
          <w:tcPr>
            <w:tcW w:w="2500" w:type="dxa"/>
            <w:vAlign w:val="center"/>
          </w:tcPr>
          <w:p w14:paraId="2AB93CAC"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Physical barrier to prevent pathogen entry</w:t>
            </w:r>
          </w:p>
        </w:tc>
      </w:tr>
      <w:tr w:rsidR="001652FC" w:rsidRPr="001652FC" w14:paraId="2643E56E" w14:textId="77777777" w:rsidTr="001652FC">
        <w:trPr>
          <w:trHeight w:val="1109"/>
          <w:jc w:val="center"/>
        </w:trPr>
        <w:tc>
          <w:tcPr>
            <w:tcW w:w="1932" w:type="dxa"/>
            <w:vAlign w:val="center"/>
          </w:tcPr>
          <w:p w14:paraId="41C91E6A"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Cellular Immunity</w:t>
            </w:r>
          </w:p>
        </w:tc>
        <w:tc>
          <w:tcPr>
            <w:tcW w:w="2910" w:type="dxa"/>
            <w:vAlign w:val="center"/>
          </w:tcPr>
          <w:p w14:paraId="5BA0A498"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Hemocytes (granulocytes, plasmatocytes, oenocytoids, spherulocytes)</w:t>
            </w:r>
          </w:p>
        </w:tc>
        <w:tc>
          <w:tcPr>
            <w:tcW w:w="1963" w:type="dxa"/>
            <w:vAlign w:val="center"/>
          </w:tcPr>
          <w:p w14:paraId="3CD73E20"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Bacteria, fungi, protozoa</w:t>
            </w:r>
          </w:p>
          <w:p w14:paraId="28772279" w14:textId="77777777" w:rsidR="001652FC" w:rsidRPr="001652FC" w:rsidRDefault="001652FC" w:rsidP="001652FC">
            <w:pPr>
              <w:rPr>
                <w:rFonts w:ascii="Arial" w:hAnsi="Arial" w:cs="Arial"/>
                <w:sz w:val="20"/>
                <w:szCs w:val="20"/>
                <w:lang w:eastAsia="en-IN"/>
              </w:rPr>
            </w:pPr>
          </w:p>
        </w:tc>
        <w:tc>
          <w:tcPr>
            <w:tcW w:w="2500" w:type="dxa"/>
            <w:vAlign w:val="center"/>
          </w:tcPr>
          <w:p w14:paraId="7D72556B"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Phagocytosis, encapsulation, nodulation</w:t>
            </w:r>
          </w:p>
        </w:tc>
      </w:tr>
      <w:tr w:rsidR="001652FC" w:rsidRPr="001652FC" w14:paraId="13E83FC4" w14:textId="77777777">
        <w:trPr>
          <w:trHeight w:val="904"/>
          <w:jc w:val="center"/>
        </w:trPr>
        <w:tc>
          <w:tcPr>
            <w:tcW w:w="1932" w:type="dxa"/>
            <w:vMerge w:val="restart"/>
            <w:vAlign w:val="center"/>
          </w:tcPr>
          <w:p w14:paraId="15C574AC"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Humoral Immunity – AMPs (Antimicrobial peptides)</w:t>
            </w:r>
          </w:p>
        </w:tc>
        <w:tc>
          <w:tcPr>
            <w:tcW w:w="2910" w:type="dxa"/>
            <w:vAlign w:val="center"/>
          </w:tcPr>
          <w:p w14:paraId="53199771"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Cecropins</w:t>
            </w:r>
          </w:p>
        </w:tc>
        <w:tc>
          <w:tcPr>
            <w:tcW w:w="1963" w:type="dxa"/>
            <w:vAlign w:val="center"/>
          </w:tcPr>
          <w:p w14:paraId="17D3A34B"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Gram-negative &amp; Gram-positive bacteria</w:t>
            </w:r>
          </w:p>
        </w:tc>
        <w:tc>
          <w:tcPr>
            <w:tcW w:w="2500" w:type="dxa"/>
            <w:vAlign w:val="center"/>
          </w:tcPr>
          <w:p w14:paraId="2D2C3489"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Disrupt bacterial membrane integrity</w:t>
            </w:r>
          </w:p>
        </w:tc>
      </w:tr>
      <w:tr w:rsidR="001652FC" w:rsidRPr="001652FC" w14:paraId="3B6293BA" w14:textId="77777777">
        <w:trPr>
          <w:trHeight w:val="642"/>
          <w:jc w:val="center"/>
        </w:trPr>
        <w:tc>
          <w:tcPr>
            <w:tcW w:w="1932" w:type="dxa"/>
            <w:vMerge/>
            <w:vAlign w:val="center"/>
          </w:tcPr>
          <w:p w14:paraId="4FE30D6E" w14:textId="77777777" w:rsidR="001652FC" w:rsidRPr="001652FC" w:rsidRDefault="001652FC" w:rsidP="001652FC">
            <w:pPr>
              <w:pStyle w:val="NormalWeb"/>
              <w:rPr>
                <w:rFonts w:ascii="Arial" w:hAnsi="Arial" w:cs="Arial"/>
                <w:sz w:val="20"/>
                <w:szCs w:val="20"/>
              </w:rPr>
            </w:pPr>
          </w:p>
        </w:tc>
        <w:tc>
          <w:tcPr>
            <w:tcW w:w="2910" w:type="dxa"/>
            <w:vAlign w:val="center"/>
          </w:tcPr>
          <w:p w14:paraId="54871CE3"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Defensins</w:t>
            </w:r>
          </w:p>
        </w:tc>
        <w:tc>
          <w:tcPr>
            <w:tcW w:w="1963" w:type="dxa"/>
            <w:vAlign w:val="center"/>
          </w:tcPr>
          <w:p w14:paraId="5E6C07D4"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Gram-positive bacteria</w:t>
            </w:r>
          </w:p>
        </w:tc>
        <w:tc>
          <w:tcPr>
            <w:tcW w:w="2500" w:type="dxa"/>
            <w:vAlign w:val="center"/>
          </w:tcPr>
          <w:p w14:paraId="71754846"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Pore formation in bacterial membranes</w:t>
            </w:r>
          </w:p>
        </w:tc>
      </w:tr>
      <w:tr w:rsidR="001652FC" w:rsidRPr="001652FC" w14:paraId="67F5CD57" w14:textId="77777777">
        <w:trPr>
          <w:trHeight w:val="552"/>
          <w:jc w:val="center"/>
        </w:trPr>
        <w:tc>
          <w:tcPr>
            <w:tcW w:w="1932" w:type="dxa"/>
            <w:vMerge/>
            <w:vAlign w:val="center"/>
          </w:tcPr>
          <w:p w14:paraId="4FCA086F" w14:textId="77777777" w:rsidR="001652FC" w:rsidRPr="001652FC" w:rsidRDefault="001652FC" w:rsidP="001652FC">
            <w:pPr>
              <w:pStyle w:val="NormalWeb"/>
              <w:rPr>
                <w:rFonts w:ascii="Arial" w:hAnsi="Arial" w:cs="Arial"/>
                <w:sz w:val="20"/>
                <w:szCs w:val="20"/>
              </w:rPr>
            </w:pPr>
          </w:p>
        </w:tc>
        <w:tc>
          <w:tcPr>
            <w:tcW w:w="2910" w:type="dxa"/>
            <w:vAlign w:val="center"/>
          </w:tcPr>
          <w:p w14:paraId="14B25734"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Moricins</w:t>
            </w:r>
          </w:p>
        </w:tc>
        <w:tc>
          <w:tcPr>
            <w:tcW w:w="1963" w:type="dxa"/>
            <w:vAlign w:val="center"/>
          </w:tcPr>
          <w:p w14:paraId="18C8274E"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Broad spectrum (bacteria, fungi)</w:t>
            </w:r>
          </w:p>
        </w:tc>
        <w:tc>
          <w:tcPr>
            <w:tcW w:w="2500" w:type="dxa"/>
            <w:vAlign w:val="center"/>
          </w:tcPr>
          <w:p w14:paraId="5198A4C4"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Inhibit membrane function</w:t>
            </w:r>
          </w:p>
        </w:tc>
      </w:tr>
      <w:tr w:rsidR="001652FC" w:rsidRPr="001652FC" w14:paraId="6891E7E3" w14:textId="77777777">
        <w:trPr>
          <w:trHeight w:val="698"/>
          <w:jc w:val="center"/>
        </w:trPr>
        <w:tc>
          <w:tcPr>
            <w:tcW w:w="1932" w:type="dxa"/>
            <w:vMerge/>
            <w:vAlign w:val="center"/>
          </w:tcPr>
          <w:p w14:paraId="5BD37026" w14:textId="77777777" w:rsidR="001652FC" w:rsidRPr="001652FC" w:rsidRDefault="001652FC" w:rsidP="001652FC">
            <w:pPr>
              <w:pStyle w:val="NormalWeb"/>
              <w:rPr>
                <w:rFonts w:ascii="Arial" w:hAnsi="Arial" w:cs="Arial"/>
                <w:sz w:val="20"/>
                <w:szCs w:val="20"/>
              </w:rPr>
            </w:pPr>
          </w:p>
        </w:tc>
        <w:tc>
          <w:tcPr>
            <w:tcW w:w="2910" w:type="dxa"/>
            <w:vAlign w:val="center"/>
          </w:tcPr>
          <w:p w14:paraId="59825112"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Gloverins</w:t>
            </w:r>
          </w:p>
        </w:tc>
        <w:tc>
          <w:tcPr>
            <w:tcW w:w="1963" w:type="dxa"/>
            <w:vAlign w:val="center"/>
          </w:tcPr>
          <w:p w14:paraId="776D159F"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Gram-negative bacteria</w:t>
            </w:r>
          </w:p>
        </w:tc>
        <w:tc>
          <w:tcPr>
            <w:tcW w:w="2500" w:type="dxa"/>
            <w:vAlign w:val="center"/>
          </w:tcPr>
          <w:p w14:paraId="2EE37F28"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Bind bacterial outer membrane proteins</w:t>
            </w:r>
          </w:p>
        </w:tc>
      </w:tr>
      <w:tr w:rsidR="001652FC" w:rsidRPr="001652FC" w14:paraId="52D17C47" w14:textId="77777777">
        <w:trPr>
          <w:jc w:val="center"/>
        </w:trPr>
        <w:tc>
          <w:tcPr>
            <w:tcW w:w="1932" w:type="dxa"/>
            <w:vMerge/>
            <w:vAlign w:val="center"/>
          </w:tcPr>
          <w:p w14:paraId="4079DECF" w14:textId="77777777" w:rsidR="001652FC" w:rsidRPr="001652FC" w:rsidRDefault="001652FC" w:rsidP="001652FC">
            <w:pPr>
              <w:pStyle w:val="NormalWeb"/>
              <w:rPr>
                <w:rFonts w:ascii="Arial" w:hAnsi="Arial" w:cs="Arial"/>
                <w:sz w:val="20"/>
                <w:szCs w:val="20"/>
              </w:rPr>
            </w:pPr>
          </w:p>
        </w:tc>
        <w:tc>
          <w:tcPr>
            <w:tcW w:w="2910" w:type="dxa"/>
            <w:vAlign w:val="center"/>
          </w:tcPr>
          <w:p w14:paraId="1E6581E5"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Attacins</w:t>
            </w:r>
          </w:p>
        </w:tc>
        <w:tc>
          <w:tcPr>
            <w:tcW w:w="1963" w:type="dxa"/>
            <w:vAlign w:val="center"/>
          </w:tcPr>
          <w:p w14:paraId="3734E7BD"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Gram-negative bacteria</w:t>
            </w:r>
          </w:p>
        </w:tc>
        <w:tc>
          <w:tcPr>
            <w:tcW w:w="2500" w:type="dxa"/>
            <w:vAlign w:val="center"/>
          </w:tcPr>
          <w:p w14:paraId="03AB0452"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Inhibit outer membrane protein synthesis</w:t>
            </w:r>
          </w:p>
        </w:tc>
      </w:tr>
      <w:tr w:rsidR="001652FC" w:rsidRPr="001652FC" w14:paraId="2B602C35" w14:textId="77777777">
        <w:trPr>
          <w:trHeight w:val="651"/>
          <w:jc w:val="center"/>
        </w:trPr>
        <w:tc>
          <w:tcPr>
            <w:tcW w:w="1932" w:type="dxa"/>
            <w:vAlign w:val="center"/>
          </w:tcPr>
          <w:p w14:paraId="49999C5D"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Humoral Immunity – Other Factors</w:t>
            </w:r>
          </w:p>
        </w:tc>
        <w:tc>
          <w:tcPr>
            <w:tcW w:w="2910" w:type="dxa"/>
            <w:vAlign w:val="center"/>
          </w:tcPr>
          <w:p w14:paraId="25107D32"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Phenoloxidase cascade, Lysozyme, Lectins</w:t>
            </w:r>
          </w:p>
        </w:tc>
        <w:tc>
          <w:tcPr>
            <w:tcW w:w="1963" w:type="dxa"/>
            <w:vAlign w:val="center"/>
          </w:tcPr>
          <w:p w14:paraId="049F9FBD"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Bacteria, fungi, protozoa</w:t>
            </w:r>
          </w:p>
        </w:tc>
        <w:tc>
          <w:tcPr>
            <w:tcW w:w="2500" w:type="dxa"/>
            <w:vAlign w:val="center"/>
          </w:tcPr>
          <w:p w14:paraId="7ABFCE74"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Melanization, lysis, pathogen recognition</w:t>
            </w:r>
          </w:p>
        </w:tc>
      </w:tr>
      <w:tr w:rsidR="001652FC" w:rsidRPr="001652FC" w14:paraId="088B3F01" w14:textId="77777777">
        <w:trPr>
          <w:trHeight w:val="2321"/>
          <w:jc w:val="center"/>
        </w:trPr>
        <w:tc>
          <w:tcPr>
            <w:tcW w:w="1932" w:type="dxa"/>
            <w:vAlign w:val="center"/>
          </w:tcPr>
          <w:p w14:paraId="238CAEAB"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Signaling Pathways</w:t>
            </w:r>
          </w:p>
        </w:tc>
        <w:tc>
          <w:tcPr>
            <w:tcW w:w="2910" w:type="dxa"/>
            <w:vAlign w:val="center"/>
          </w:tcPr>
          <w:p w14:paraId="67159F8C"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Toll, IMD (Immune Deficiency pathway), JAK/STAT (Janus Kinase / Signal Transducer and Activator of Transcription pathway), MAPK (Mitogen-Activated Protein Kinase pathway)</w:t>
            </w:r>
          </w:p>
        </w:tc>
        <w:tc>
          <w:tcPr>
            <w:tcW w:w="1963" w:type="dxa"/>
            <w:vAlign w:val="center"/>
          </w:tcPr>
          <w:p w14:paraId="4396BE5D"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All pathogens</w:t>
            </w:r>
          </w:p>
        </w:tc>
        <w:tc>
          <w:tcPr>
            <w:tcW w:w="2500" w:type="dxa"/>
            <w:vAlign w:val="center"/>
          </w:tcPr>
          <w:p w14:paraId="0911BCF9"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Activation and regulation of immune responses</w:t>
            </w:r>
          </w:p>
        </w:tc>
      </w:tr>
      <w:tr w:rsidR="001652FC" w:rsidRPr="001652FC" w14:paraId="2E33686A" w14:textId="77777777">
        <w:trPr>
          <w:trHeight w:val="824"/>
          <w:jc w:val="center"/>
        </w:trPr>
        <w:tc>
          <w:tcPr>
            <w:tcW w:w="1932" w:type="dxa"/>
            <w:vAlign w:val="center"/>
          </w:tcPr>
          <w:p w14:paraId="60FCB2B9"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lastRenderedPageBreak/>
              <w:t>Specialized Defenses</w:t>
            </w:r>
          </w:p>
        </w:tc>
        <w:tc>
          <w:tcPr>
            <w:tcW w:w="2910" w:type="dxa"/>
            <w:vAlign w:val="center"/>
          </w:tcPr>
          <w:p w14:paraId="5961473C"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RNAi (Dicer-2, Argonaute-2), Stress proteins (HSP70, HSP90)</w:t>
            </w:r>
          </w:p>
        </w:tc>
        <w:tc>
          <w:tcPr>
            <w:tcW w:w="1963" w:type="dxa"/>
            <w:vAlign w:val="center"/>
          </w:tcPr>
          <w:p w14:paraId="03F6B572"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Viruses, protozoa</w:t>
            </w:r>
          </w:p>
        </w:tc>
        <w:tc>
          <w:tcPr>
            <w:tcW w:w="2500" w:type="dxa"/>
            <w:vAlign w:val="center"/>
          </w:tcPr>
          <w:p w14:paraId="2A9B986D"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Targeted antiviral defense, stress response</w:t>
            </w:r>
          </w:p>
        </w:tc>
      </w:tr>
      <w:tr w:rsidR="001652FC" w:rsidRPr="001652FC" w14:paraId="4E3A5D7A" w14:textId="77777777">
        <w:trPr>
          <w:trHeight w:val="652"/>
          <w:jc w:val="center"/>
        </w:trPr>
        <w:tc>
          <w:tcPr>
            <w:tcW w:w="1932" w:type="dxa"/>
            <w:vMerge w:val="restart"/>
            <w:vAlign w:val="center"/>
          </w:tcPr>
          <w:p w14:paraId="053963AF"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Pathogen-Specific Notes</w:t>
            </w:r>
          </w:p>
        </w:tc>
        <w:tc>
          <w:tcPr>
            <w:tcW w:w="2910" w:type="dxa"/>
            <w:vAlign w:val="center"/>
          </w:tcPr>
          <w:p w14:paraId="05B1D465" w14:textId="77777777" w:rsidR="001652FC" w:rsidRPr="001652FC" w:rsidRDefault="001652FC" w:rsidP="001652FC">
            <w:pPr>
              <w:pStyle w:val="NormalWeb"/>
              <w:rPr>
                <w:rFonts w:ascii="Arial" w:hAnsi="Arial" w:cs="Arial"/>
                <w:sz w:val="20"/>
                <w:szCs w:val="20"/>
              </w:rPr>
            </w:pPr>
            <w:r w:rsidRPr="001652FC">
              <w:rPr>
                <w:rFonts w:ascii="Arial" w:eastAsia="Times New Roman" w:hAnsi="Arial" w:cs="Arial"/>
                <w:i/>
                <w:iCs/>
                <w:sz w:val="20"/>
                <w:szCs w:val="20"/>
              </w:rPr>
              <w:t>BmNPV</w:t>
            </w:r>
            <w:r w:rsidRPr="001652FC">
              <w:rPr>
                <w:rFonts w:ascii="Arial" w:hAnsi="Arial" w:cs="Arial"/>
                <w:sz w:val="20"/>
                <w:szCs w:val="20"/>
              </w:rPr>
              <w:t>, CPV (viruses)</w:t>
            </w:r>
          </w:p>
        </w:tc>
        <w:tc>
          <w:tcPr>
            <w:tcW w:w="1963" w:type="dxa"/>
            <w:vAlign w:val="center"/>
          </w:tcPr>
          <w:p w14:paraId="122DD36D"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RNAi, apoptosis, antiviral proteins</w:t>
            </w:r>
          </w:p>
        </w:tc>
        <w:tc>
          <w:tcPr>
            <w:tcW w:w="2500" w:type="dxa"/>
            <w:vAlign w:val="center"/>
          </w:tcPr>
          <w:p w14:paraId="0314C0F0"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Suppress viral replication and spread</w:t>
            </w:r>
          </w:p>
        </w:tc>
      </w:tr>
      <w:tr w:rsidR="001652FC" w:rsidRPr="001652FC" w14:paraId="078A9AFA" w14:textId="77777777">
        <w:trPr>
          <w:trHeight w:val="846"/>
          <w:jc w:val="center"/>
        </w:trPr>
        <w:tc>
          <w:tcPr>
            <w:tcW w:w="1932" w:type="dxa"/>
            <w:vMerge/>
            <w:vAlign w:val="center"/>
          </w:tcPr>
          <w:p w14:paraId="3020E432" w14:textId="77777777" w:rsidR="001652FC" w:rsidRPr="001652FC" w:rsidRDefault="001652FC" w:rsidP="001652FC">
            <w:pPr>
              <w:pStyle w:val="NormalWeb"/>
              <w:rPr>
                <w:rFonts w:ascii="Arial" w:hAnsi="Arial" w:cs="Arial"/>
                <w:sz w:val="20"/>
                <w:szCs w:val="20"/>
              </w:rPr>
            </w:pPr>
          </w:p>
        </w:tc>
        <w:tc>
          <w:tcPr>
            <w:tcW w:w="2910" w:type="dxa"/>
            <w:vAlign w:val="center"/>
          </w:tcPr>
          <w:p w14:paraId="78DF1898" w14:textId="77777777" w:rsidR="001652FC" w:rsidRPr="001652FC" w:rsidRDefault="001652FC" w:rsidP="001652FC">
            <w:pPr>
              <w:pStyle w:val="NormalWeb"/>
              <w:rPr>
                <w:rFonts w:ascii="Arial" w:hAnsi="Arial" w:cs="Arial"/>
                <w:sz w:val="20"/>
                <w:szCs w:val="20"/>
              </w:rPr>
            </w:pPr>
            <w:r w:rsidRPr="001652FC">
              <w:rPr>
                <w:rFonts w:ascii="Arial" w:hAnsi="Arial" w:cs="Arial"/>
                <w:i/>
                <w:iCs/>
                <w:sz w:val="20"/>
                <w:szCs w:val="20"/>
              </w:rPr>
              <w:t>Bacillus thuringiensis</w:t>
            </w:r>
            <w:r w:rsidRPr="001652FC">
              <w:rPr>
                <w:rFonts w:ascii="Arial" w:hAnsi="Arial" w:cs="Arial"/>
                <w:sz w:val="20"/>
                <w:szCs w:val="20"/>
              </w:rPr>
              <w:t xml:space="preserve">, </w:t>
            </w:r>
            <w:r w:rsidRPr="001652FC">
              <w:rPr>
                <w:rFonts w:ascii="Arial" w:hAnsi="Arial" w:cs="Arial"/>
                <w:i/>
                <w:iCs/>
                <w:sz w:val="20"/>
                <w:szCs w:val="20"/>
              </w:rPr>
              <w:t xml:space="preserve">Serratia marcescens </w:t>
            </w:r>
            <w:r w:rsidRPr="001652FC">
              <w:rPr>
                <w:rFonts w:ascii="Arial" w:hAnsi="Arial" w:cs="Arial"/>
                <w:sz w:val="20"/>
                <w:szCs w:val="20"/>
              </w:rPr>
              <w:t>(bacteria)</w:t>
            </w:r>
          </w:p>
        </w:tc>
        <w:tc>
          <w:tcPr>
            <w:tcW w:w="1963" w:type="dxa"/>
            <w:vAlign w:val="center"/>
          </w:tcPr>
          <w:p w14:paraId="21BF7588"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AMP production, phagocytosis</w:t>
            </w:r>
          </w:p>
        </w:tc>
        <w:tc>
          <w:tcPr>
            <w:tcW w:w="2500" w:type="dxa"/>
            <w:vAlign w:val="center"/>
          </w:tcPr>
          <w:p w14:paraId="490CB50D"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Rapid bacterial killing</w:t>
            </w:r>
          </w:p>
        </w:tc>
      </w:tr>
      <w:tr w:rsidR="001652FC" w:rsidRPr="001652FC" w14:paraId="7FF78BB7" w14:textId="77777777">
        <w:trPr>
          <w:trHeight w:val="661"/>
          <w:jc w:val="center"/>
        </w:trPr>
        <w:tc>
          <w:tcPr>
            <w:tcW w:w="1932" w:type="dxa"/>
            <w:vMerge/>
            <w:vAlign w:val="center"/>
          </w:tcPr>
          <w:p w14:paraId="6B6827D5" w14:textId="77777777" w:rsidR="001652FC" w:rsidRPr="001652FC" w:rsidRDefault="001652FC" w:rsidP="001652FC">
            <w:pPr>
              <w:pStyle w:val="NormalWeb"/>
              <w:rPr>
                <w:rFonts w:ascii="Arial" w:hAnsi="Arial" w:cs="Arial"/>
                <w:sz w:val="20"/>
                <w:szCs w:val="20"/>
              </w:rPr>
            </w:pPr>
          </w:p>
        </w:tc>
        <w:tc>
          <w:tcPr>
            <w:tcW w:w="2910" w:type="dxa"/>
            <w:vAlign w:val="center"/>
          </w:tcPr>
          <w:p w14:paraId="15CD0D5E" w14:textId="77777777" w:rsidR="001652FC" w:rsidRPr="001652FC" w:rsidRDefault="001652FC" w:rsidP="001652FC">
            <w:pPr>
              <w:pStyle w:val="NormalWeb"/>
              <w:rPr>
                <w:rFonts w:ascii="Arial" w:hAnsi="Arial" w:cs="Arial"/>
                <w:sz w:val="20"/>
                <w:szCs w:val="20"/>
              </w:rPr>
            </w:pPr>
            <w:r w:rsidRPr="001652FC">
              <w:rPr>
                <w:rFonts w:ascii="Arial" w:hAnsi="Arial" w:cs="Arial"/>
                <w:i/>
                <w:iCs/>
                <w:sz w:val="20"/>
                <w:szCs w:val="20"/>
              </w:rPr>
              <w:t>Beauveria bassiana</w:t>
            </w:r>
            <w:r w:rsidRPr="001652FC">
              <w:rPr>
                <w:rFonts w:ascii="Arial" w:hAnsi="Arial" w:cs="Arial"/>
                <w:sz w:val="20"/>
                <w:szCs w:val="20"/>
              </w:rPr>
              <w:t xml:space="preserve">, </w:t>
            </w:r>
            <w:r w:rsidRPr="001652FC">
              <w:rPr>
                <w:rFonts w:ascii="Arial" w:hAnsi="Arial" w:cs="Arial"/>
                <w:i/>
                <w:iCs/>
                <w:sz w:val="20"/>
                <w:szCs w:val="20"/>
              </w:rPr>
              <w:t xml:space="preserve">Aspergillus flavus </w:t>
            </w:r>
            <w:r w:rsidRPr="001652FC">
              <w:rPr>
                <w:rFonts w:ascii="Arial" w:hAnsi="Arial" w:cs="Arial"/>
                <w:sz w:val="20"/>
                <w:szCs w:val="20"/>
              </w:rPr>
              <w:t>(fungi)</w:t>
            </w:r>
          </w:p>
        </w:tc>
        <w:tc>
          <w:tcPr>
            <w:tcW w:w="1963" w:type="dxa"/>
            <w:vAlign w:val="center"/>
          </w:tcPr>
          <w:p w14:paraId="768693B4"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Encapsulation, melanization</w:t>
            </w:r>
          </w:p>
        </w:tc>
        <w:tc>
          <w:tcPr>
            <w:tcW w:w="2500" w:type="dxa"/>
            <w:vAlign w:val="center"/>
          </w:tcPr>
          <w:p w14:paraId="23DD6850"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Restrict fungal growth</w:t>
            </w:r>
          </w:p>
        </w:tc>
      </w:tr>
      <w:tr w:rsidR="001652FC" w:rsidRPr="001652FC" w14:paraId="76A36D37" w14:textId="77777777">
        <w:trPr>
          <w:trHeight w:val="713"/>
          <w:jc w:val="center"/>
        </w:trPr>
        <w:tc>
          <w:tcPr>
            <w:tcW w:w="1932" w:type="dxa"/>
            <w:vMerge/>
            <w:vAlign w:val="center"/>
          </w:tcPr>
          <w:p w14:paraId="56B7F6B2" w14:textId="77777777" w:rsidR="001652FC" w:rsidRPr="001652FC" w:rsidRDefault="001652FC" w:rsidP="001652FC">
            <w:pPr>
              <w:pStyle w:val="NormalWeb"/>
              <w:rPr>
                <w:rFonts w:ascii="Arial" w:hAnsi="Arial" w:cs="Arial"/>
                <w:sz w:val="20"/>
                <w:szCs w:val="20"/>
              </w:rPr>
            </w:pPr>
          </w:p>
        </w:tc>
        <w:tc>
          <w:tcPr>
            <w:tcW w:w="2910" w:type="dxa"/>
            <w:vAlign w:val="center"/>
          </w:tcPr>
          <w:p w14:paraId="6A7FF762" w14:textId="77777777" w:rsidR="001652FC" w:rsidRPr="001652FC" w:rsidRDefault="001652FC" w:rsidP="001652FC">
            <w:pPr>
              <w:pStyle w:val="NormalWeb"/>
              <w:rPr>
                <w:rFonts w:ascii="Arial" w:hAnsi="Arial" w:cs="Arial"/>
                <w:sz w:val="20"/>
                <w:szCs w:val="20"/>
              </w:rPr>
            </w:pPr>
            <w:r w:rsidRPr="001652FC">
              <w:rPr>
                <w:rFonts w:ascii="Arial" w:hAnsi="Arial" w:cs="Arial"/>
                <w:i/>
                <w:iCs/>
                <w:sz w:val="20"/>
                <w:szCs w:val="20"/>
              </w:rPr>
              <w:t xml:space="preserve">Nosema bombycis </w:t>
            </w:r>
            <w:r w:rsidRPr="001652FC">
              <w:rPr>
                <w:rFonts w:ascii="Arial" w:hAnsi="Arial" w:cs="Arial"/>
                <w:sz w:val="20"/>
                <w:szCs w:val="20"/>
              </w:rPr>
              <w:t>(protozoa)</w:t>
            </w:r>
          </w:p>
        </w:tc>
        <w:tc>
          <w:tcPr>
            <w:tcW w:w="1963" w:type="dxa"/>
            <w:vAlign w:val="center"/>
          </w:tcPr>
          <w:p w14:paraId="4A4259F2"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Stress protein response, lectins</w:t>
            </w:r>
          </w:p>
        </w:tc>
        <w:tc>
          <w:tcPr>
            <w:tcW w:w="2500" w:type="dxa"/>
            <w:vAlign w:val="center"/>
          </w:tcPr>
          <w:p w14:paraId="6E816F9B" w14:textId="77777777" w:rsidR="001652FC" w:rsidRPr="001652FC" w:rsidRDefault="001652FC" w:rsidP="001652FC">
            <w:pPr>
              <w:pStyle w:val="NormalWeb"/>
              <w:rPr>
                <w:rFonts w:ascii="Arial" w:hAnsi="Arial" w:cs="Arial"/>
                <w:sz w:val="20"/>
                <w:szCs w:val="20"/>
              </w:rPr>
            </w:pPr>
            <w:r w:rsidRPr="001652FC">
              <w:rPr>
                <w:rFonts w:ascii="Arial" w:hAnsi="Arial" w:cs="Arial"/>
                <w:sz w:val="20"/>
                <w:szCs w:val="20"/>
              </w:rPr>
              <w:t>Inhibit parasite development</w:t>
            </w:r>
          </w:p>
        </w:tc>
      </w:tr>
    </w:tbl>
    <w:p w14:paraId="76A1C400" w14:textId="77777777" w:rsidR="001652FC" w:rsidRDefault="001652FC" w:rsidP="001652FC">
      <w:pPr>
        <w:jc w:val="both"/>
        <w:rPr>
          <w:rFonts w:ascii="Arial" w:hAnsi="Arial" w:cs="Arial"/>
          <w:b/>
          <w:bCs/>
        </w:rPr>
      </w:pPr>
    </w:p>
    <w:p w14:paraId="0541A1AB" w14:textId="77777777" w:rsidR="00231BD3" w:rsidRPr="001652FC" w:rsidRDefault="00231BD3" w:rsidP="001652FC">
      <w:pPr>
        <w:jc w:val="both"/>
        <w:rPr>
          <w:rFonts w:ascii="Arial" w:hAnsi="Arial" w:cs="Arial"/>
          <w:b/>
          <w:bCs/>
        </w:rPr>
      </w:pPr>
    </w:p>
    <w:p w14:paraId="36E918EE" w14:textId="094BCF36" w:rsidR="001652FC" w:rsidRPr="001652FC" w:rsidRDefault="001652FC" w:rsidP="001652FC">
      <w:pPr>
        <w:pStyle w:val="ListParagraph"/>
        <w:numPr>
          <w:ilvl w:val="0"/>
          <w:numId w:val="36"/>
        </w:numPr>
        <w:spacing w:line="240" w:lineRule="auto"/>
        <w:rPr>
          <w:rFonts w:ascii="Arial" w:hAnsi="Arial" w:cs="Arial"/>
          <w:b/>
          <w:bCs/>
          <w:sz w:val="22"/>
          <w:szCs w:val="22"/>
        </w:rPr>
      </w:pPr>
      <w:r w:rsidRPr="001652FC">
        <w:rPr>
          <w:rFonts w:ascii="Arial" w:hAnsi="Arial" w:cs="Arial"/>
          <w:b/>
          <w:bCs/>
          <w:sz w:val="22"/>
          <w:szCs w:val="22"/>
        </w:rPr>
        <w:t>GENETIC BASIS OF DISEASE RESISTANCE IN SILKWORM</w:t>
      </w:r>
    </w:p>
    <w:p w14:paraId="276E2FB7"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The genetic basis of disease resistance in silkworms represents a complex interplay between genetic variation, quantitative trait loci (QTL) mapping, transcriptomic and proteomic insights, and epigenetic regulation. Together, these factors define the silkworm’s ability to withstand infections from major pathogens such as </w:t>
      </w:r>
      <w:r w:rsidRPr="001652FC">
        <w:rPr>
          <w:rStyle w:val="Emphasis"/>
          <w:rFonts w:ascii="Arial" w:hAnsi="Arial" w:cs="Arial"/>
          <w:sz w:val="20"/>
          <w:szCs w:val="20"/>
        </w:rPr>
        <w:t>Bombyx mori</w:t>
      </w:r>
      <w:r w:rsidRPr="001652FC">
        <w:rPr>
          <w:rFonts w:ascii="Arial" w:hAnsi="Arial" w:cs="Arial"/>
          <w:sz w:val="20"/>
          <w:szCs w:val="20"/>
        </w:rPr>
        <w:t xml:space="preserve"> densonucleosis virus (BmDNV) and </w:t>
      </w:r>
      <w:r w:rsidRPr="001652FC">
        <w:rPr>
          <w:rStyle w:val="Emphasis"/>
          <w:rFonts w:ascii="Arial" w:hAnsi="Arial" w:cs="Arial"/>
          <w:sz w:val="20"/>
          <w:szCs w:val="20"/>
        </w:rPr>
        <w:t>Bombyx mori</w:t>
      </w:r>
      <w:r w:rsidRPr="001652FC">
        <w:rPr>
          <w:rFonts w:ascii="Arial" w:hAnsi="Arial" w:cs="Arial"/>
          <w:sz w:val="20"/>
          <w:szCs w:val="20"/>
        </w:rPr>
        <w:t xml:space="preserve"> nucleopolyhedrovirus (BmNPV). A deeper understanding of these mechanisms not only reveals how natural resistance has evolved but also provides critical information for designing targeted breeding and molecular interventions (Gao </w:t>
      </w:r>
      <w:r w:rsidRPr="00743581">
        <w:rPr>
          <w:rFonts w:ascii="Arial" w:hAnsi="Arial" w:cs="Arial"/>
          <w:i/>
          <w:iCs/>
          <w:sz w:val="20"/>
          <w:szCs w:val="20"/>
        </w:rPr>
        <w:t>et al.,</w:t>
      </w:r>
      <w:r w:rsidRPr="001652FC">
        <w:rPr>
          <w:rFonts w:ascii="Arial" w:hAnsi="Arial" w:cs="Arial"/>
          <w:sz w:val="20"/>
          <w:szCs w:val="20"/>
        </w:rPr>
        <w:t xml:space="preserve"> 2024; Sharma </w:t>
      </w:r>
      <w:r w:rsidRPr="00743581">
        <w:rPr>
          <w:rFonts w:ascii="Arial" w:hAnsi="Arial" w:cs="Arial"/>
          <w:i/>
          <w:iCs/>
          <w:sz w:val="20"/>
          <w:szCs w:val="20"/>
        </w:rPr>
        <w:t>et al.,</w:t>
      </w:r>
      <w:r w:rsidRPr="001652FC">
        <w:rPr>
          <w:rFonts w:ascii="Arial" w:hAnsi="Arial" w:cs="Arial"/>
          <w:sz w:val="20"/>
          <w:szCs w:val="20"/>
        </w:rPr>
        <w:t xml:space="preserve"> 2020; Hu </w:t>
      </w:r>
      <w:r w:rsidRPr="00743581">
        <w:rPr>
          <w:rFonts w:ascii="Arial" w:hAnsi="Arial" w:cs="Arial"/>
          <w:i/>
          <w:iCs/>
          <w:sz w:val="20"/>
          <w:szCs w:val="20"/>
        </w:rPr>
        <w:t>et al.,</w:t>
      </w:r>
      <w:r w:rsidRPr="001652FC">
        <w:rPr>
          <w:rFonts w:ascii="Arial" w:hAnsi="Arial" w:cs="Arial"/>
          <w:sz w:val="20"/>
          <w:szCs w:val="20"/>
        </w:rPr>
        <w:t xml:space="preserve"> 2023).</w:t>
      </w:r>
    </w:p>
    <w:p w14:paraId="49293D5F" w14:textId="77777777" w:rsidR="001652FC" w:rsidRPr="001652FC" w:rsidRDefault="001652FC" w:rsidP="001652FC">
      <w:pPr>
        <w:pStyle w:val="NormalWeb"/>
        <w:numPr>
          <w:ilvl w:val="1"/>
          <w:numId w:val="36"/>
        </w:numPr>
        <w:rPr>
          <w:rFonts w:ascii="Arial" w:hAnsi="Arial" w:cs="Arial"/>
          <w:sz w:val="22"/>
          <w:szCs w:val="22"/>
        </w:rPr>
      </w:pPr>
      <w:r w:rsidRPr="001652FC">
        <w:rPr>
          <w:rStyle w:val="Strong"/>
          <w:rFonts w:ascii="Arial" w:eastAsiaTheme="majorEastAsia" w:hAnsi="Arial" w:cs="Arial"/>
          <w:sz w:val="22"/>
          <w:szCs w:val="22"/>
        </w:rPr>
        <w:t xml:space="preserve"> </w:t>
      </w:r>
      <w:r w:rsidRPr="001652FC">
        <w:rPr>
          <w:rStyle w:val="Strong"/>
          <w:rFonts w:ascii="Arial" w:hAnsi="Arial" w:cs="Arial"/>
          <w:sz w:val="22"/>
          <w:szCs w:val="22"/>
        </w:rPr>
        <w:t>Genetic Variation Among Breeds and Strains</w:t>
      </w:r>
    </w:p>
    <w:p w14:paraId="4E2440B3"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Genetic variation within silkworm breeds and strains plays a pivotal role in determining their tolerance or resistance to viral infections. A well-documented example is the resistance to BmDNV-2, which is linked to a single gene, </w:t>
      </w:r>
      <w:r w:rsidRPr="001652FC">
        <w:rPr>
          <w:rStyle w:val="Emphasis"/>
          <w:rFonts w:ascii="Arial" w:hAnsi="Arial" w:cs="Arial"/>
          <w:sz w:val="20"/>
          <w:szCs w:val="20"/>
        </w:rPr>
        <w:t>nsd-2</w:t>
      </w:r>
      <w:r w:rsidRPr="001652FC">
        <w:rPr>
          <w:rFonts w:ascii="Arial" w:hAnsi="Arial" w:cs="Arial"/>
          <w:sz w:val="20"/>
          <w:szCs w:val="20"/>
        </w:rPr>
        <w:t xml:space="preserve">. This gene encodes an amino acid transporter located in the midgut membrane. In resistant strains, a deletion mutation in </w:t>
      </w:r>
      <w:r w:rsidRPr="001652FC">
        <w:rPr>
          <w:rStyle w:val="Emphasis"/>
          <w:rFonts w:ascii="Arial" w:hAnsi="Arial" w:cs="Arial"/>
          <w:sz w:val="20"/>
          <w:szCs w:val="20"/>
        </w:rPr>
        <w:t>nsd-2</w:t>
      </w:r>
      <w:r w:rsidRPr="001652FC">
        <w:rPr>
          <w:rFonts w:ascii="Arial" w:hAnsi="Arial" w:cs="Arial"/>
          <w:sz w:val="20"/>
          <w:szCs w:val="20"/>
        </w:rPr>
        <w:t xml:space="preserve"> prevents the virus from binding to and entering midgut epithelial cells, effectively blocking the initial step of infection (Ito </w:t>
      </w:r>
      <w:r w:rsidRPr="00743581">
        <w:rPr>
          <w:rFonts w:ascii="Arial" w:hAnsi="Arial" w:cs="Arial"/>
          <w:i/>
          <w:iCs/>
          <w:sz w:val="20"/>
          <w:szCs w:val="20"/>
        </w:rPr>
        <w:t>et al.,</w:t>
      </w:r>
      <w:r w:rsidRPr="001652FC">
        <w:rPr>
          <w:rFonts w:ascii="Arial" w:hAnsi="Arial" w:cs="Arial"/>
          <w:sz w:val="20"/>
          <w:szCs w:val="20"/>
        </w:rPr>
        <w:t xml:space="preserve"> 2021; Kadono-Okuda </w:t>
      </w:r>
      <w:r w:rsidRPr="00743581">
        <w:rPr>
          <w:rFonts w:ascii="Arial" w:hAnsi="Arial" w:cs="Arial"/>
          <w:i/>
          <w:iCs/>
          <w:sz w:val="20"/>
          <w:szCs w:val="20"/>
        </w:rPr>
        <w:t>et al.,</w:t>
      </w:r>
      <w:r w:rsidRPr="001652FC">
        <w:rPr>
          <w:rFonts w:ascii="Arial" w:hAnsi="Arial" w:cs="Arial"/>
          <w:sz w:val="20"/>
          <w:szCs w:val="20"/>
        </w:rPr>
        <w:t xml:space="preserve"> 2014). This naturally occurring genetic variation has been strategically harnessed by breeding programs to develop resistant silkworm lines. Hybrid breeding, combined with modern genetic modification approaches, has yielded strains with enhanced resistance profiles while maintaining desirable silk yield and quality (Hu </w:t>
      </w:r>
      <w:r w:rsidRPr="00743581">
        <w:rPr>
          <w:rFonts w:ascii="Arial" w:hAnsi="Arial" w:cs="Arial"/>
          <w:i/>
          <w:iCs/>
          <w:sz w:val="20"/>
          <w:szCs w:val="20"/>
        </w:rPr>
        <w:t>et al.,</w:t>
      </w:r>
      <w:r w:rsidRPr="001652FC">
        <w:rPr>
          <w:rFonts w:ascii="Arial" w:hAnsi="Arial" w:cs="Arial"/>
          <w:sz w:val="20"/>
          <w:szCs w:val="20"/>
        </w:rPr>
        <w:t xml:space="preserve"> 2023; Gowda </w:t>
      </w:r>
      <w:r w:rsidRPr="00743581">
        <w:rPr>
          <w:rFonts w:ascii="Arial" w:hAnsi="Arial" w:cs="Arial"/>
          <w:i/>
          <w:iCs/>
          <w:sz w:val="20"/>
          <w:szCs w:val="20"/>
        </w:rPr>
        <w:t>et al.,</w:t>
      </w:r>
      <w:r w:rsidRPr="001652FC">
        <w:rPr>
          <w:rFonts w:ascii="Arial" w:hAnsi="Arial" w:cs="Arial"/>
          <w:sz w:val="20"/>
          <w:szCs w:val="20"/>
        </w:rPr>
        <w:t xml:space="preserve"> 2025).</w:t>
      </w:r>
    </w:p>
    <w:p w14:paraId="5FD2EF0A" w14:textId="77777777" w:rsidR="001652FC" w:rsidRPr="001652FC" w:rsidRDefault="001652FC" w:rsidP="001652FC">
      <w:pPr>
        <w:pStyle w:val="NormalWeb"/>
        <w:numPr>
          <w:ilvl w:val="1"/>
          <w:numId w:val="36"/>
        </w:numPr>
        <w:rPr>
          <w:rFonts w:ascii="Arial" w:hAnsi="Arial" w:cs="Arial"/>
          <w:sz w:val="22"/>
          <w:szCs w:val="22"/>
        </w:rPr>
      </w:pPr>
      <w:r w:rsidRPr="001652FC">
        <w:rPr>
          <w:rStyle w:val="Strong"/>
          <w:rFonts w:ascii="Arial" w:eastAsiaTheme="majorEastAsia" w:hAnsi="Arial" w:cs="Arial"/>
          <w:sz w:val="22"/>
          <w:szCs w:val="22"/>
        </w:rPr>
        <w:t xml:space="preserve"> </w:t>
      </w:r>
      <w:r w:rsidRPr="001652FC">
        <w:rPr>
          <w:rStyle w:val="Strong"/>
          <w:rFonts w:ascii="Arial" w:hAnsi="Arial" w:cs="Arial"/>
          <w:sz w:val="22"/>
          <w:szCs w:val="22"/>
        </w:rPr>
        <w:t>Quantitative Trait Loci (QTL) Mapping</w:t>
      </w:r>
    </w:p>
    <w:p w14:paraId="3A292E92"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QTL mapping is a powerful genomic tool for identifying loci associated with complex traits such as viral resistance. In poultry, for instance, transcriptional regulation emerged as a major determinant of resistance to Marek’s disease, with allele-specific expression SNPs accounting for a substantial proportion of genetic variance (Cheng </w:t>
      </w:r>
      <w:r w:rsidRPr="00022BB1">
        <w:rPr>
          <w:rFonts w:ascii="Arial" w:hAnsi="Arial" w:cs="Arial"/>
          <w:i/>
          <w:iCs/>
          <w:sz w:val="20"/>
          <w:szCs w:val="20"/>
        </w:rPr>
        <w:t>et al.,</w:t>
      </w:r>
      <w:r w:rsidRPr="001652FC">
        <w:rPr>
          <w:rFonts w:ascii="Arial" w:hAnsi="Arial" w:cs="Arial"/>
          <w:sz w:val="20"/>
          <w:szCs w:val="20"/>
        </w:rPr>
        <w:t xml:space="preserve"> 2015). Drawing parallels to silkworms, similar QTL mapping strategies can be applied to pinpoint resistance loci against BmDNV and BmNPV. Identifying these loci could guide marker-assisted selection and accelerate the development of resistant silkworm lines through targeted breeding and gene editing approaches (Li </w:t>
      </w:r>
      <w:r w:rsidRPr="00022BB1">
        <w:rPr>
          <w:rFonts w:ascii="Arial" w:hAnsi="Arial" w:cs="Arial"/>
          <w:i/>
          <w:iCs/>
          <w:sz w:val="20"/>
          <w:szCs w:val="20"/>
        </w:rPr>
        <w:t>et al.,</w:t>
      </w:r>
      <w:r w:rsidRPr="001652FC">
        <w:rPr>
          <w:rFonts w:ascii="Arial" w:hAnsi="Arial" w:cs="Arial"/>
          <w:sz w:val="20"/>
          <w:szCs w:val="20"/>
        </w:rPr>
        <w:t xml:space="preserve"> 2023; Hu </w:t>
      </w:r>
      <w:r w:rsidRPr="00022BB1">
        <w:rPr>
          <w:rFonts w:ascii="Arial" w:hAnsi="Arial" w:cs="Arial"/>
          <w:i/>
          <w:iCs/>
          <w:sz w:val="20"/>
          <w:szCs w:val="20"/>
        </w:rPr>
        <w:t>et al.,</w:t>
      </w:r>
      <w:r w:rsidRPr="001652FC">
        <w:rPr>
          <w:rFonts w:ascii="Arial" w:hAnsi="Arial" w:cs="Arial"/>
          <w:sz w:val="20"/>
          <w:szCs w:val="20"/>
        </w:rPr>
        <w:t xml:space="preserve"> 2023).</w:t>
      </w:r>
    </w:p>
    <w:p w14:paraId="58EC6C02" w14:textId="77777777" w:rsidR="001652FC" w:rsidRPr="001652FC" w:rsidRDefault="001652FC" w:rsidP="001652FC">
      <w:pPr>
        <w:pStyle w:val="NormalWeb"/>
        <w:numPr>
          <w:ilvl w:val="1"/>
          <w:numId w:val="36"/>
        </w:numPr>
        <w:rPr>
          <w:rFonts w:ascii="Arial" w:hAnsi="Arial" w:cs="Arial"/>
          <w:sz w:val="22"/>
          <w:szCs w:val="22"/>
        </w:rPr>
      </w:pPr>
      <w:r w:rsidRPr="001652FC">
        <w:rPr>
          <w:rStyle w:val="Strong"/>
          <w:rFonts w:ascii="Arial" w:eastAsiaTheme="majorEastAsia" w:hAnsi="Arial" w:cs="Arial"/>
          <w:sz w:val="22"/>
          <w:szCs w:val="22"/>
        </w:rPr>
        <w:lastRenderedPageBreak/>
        <w:t xml:space="preserve"> </w:t>
      </w:r>
      <w:r w:rsidRPr="001652FC">
        <w:rPr>
          <w:rStyle w:val="Strong"/>
          <w:rFonts w:ascii="Arial" w:hAnsi="Arial" w:cs="Arial"/>
          <w:sz w:val="22"/>
          <w:szCs w:val="22"/>
        </w:rPr>
        <w:t>Transcriptomic and Proteomic Insights</w:t>
      </w:r>
    </w:p>
    <w:p w14:paraId="00F861D2"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Transcriptomic studies have revealed that resistant and susceptible silkworm strains exhibit distinct gene expression profiles upon viral challenge. For example, in cotton bollworm, resistance to Bt toxins was linked to the activation of specific sets of genes, highlighting the role of transcriptional control in adaptive resistance mechanisms (Yu </w:t>
      </w:r>
      <w:r w:rsidRPr="00022BB1">
        <w:rPr>
          <w:rFonts w:ascii="Arial" w:hAnsi="Arial" w:cs="Arial"/>
          <w:i/>
          <w:iCs/>
          <w:sz w:val="20"/>
          <w:szCs w:val="20"/>
        </w:rPr>
        <w:t>et al.,</w:t>
      </w:r>
      <w:r w:rsidRPr="001652FC">
        <w:rPr>
          <w:rFonts w:ascii="Arial" w:hAnsi="Arial" w:cs="Arial"/>
          <w:sz w:val="20"/>
          <w:szCs w:val="20"/>
        </w:rPr>
        <w:t xml:space="preserve"> 2022; Zhao </w:t>
      </w:r>
      <w:r w:rsidRPr="00022BB1">
        <w:rPr>
          <w:rFonts w:ascii="Arial" w:hAnsi="Arial" w:cs="Arial"/>
          <w:i/>
          <w:iCs/>
          <w:sz w:val="20"/>
          <w:szCs w:val="20"/>
        </w:rPr>
        <w:t>et al.,</w:t>
      </w:r>
      <w:r w:rsidRPr="001652FC">
        <w:rPr>
          <w:rFonts w:ascii="Arial" w:hAnsi="Arial" w:cs="Arial"/>
          <w:sz w:val="20"/>
          <w:szCs w:val="20"/>
        </w:rPr>
        <w:t xml:space="preserve"> 2023). In silkworms, differential expression of immunity-related genes, including those encoding antimicrobial peptides, pattern recognition receptors, and signalling molecules, has been observed in resistant strains. Proteomic analyses further complement these findings by identifying proteins that are differentially abundant between resistant and susceptible phenotypes. Notably, heat-shock proteins and cytochrome P450 enzymes are consistently upregulated in resistant strains, suggesting their role in enhancing cellular stress responses, detoxification, and pathogen defense (Chen </w:t>
      </w:r>
      <w:r w:rsidRPr="00022BB1">
        <w:rPr>
          <w:rFonts w:ascii="Arial" w:hAnsi="Arial" w:cs="Arial"/>
          <w:i/>
          <w:iCs/>
          <w:sz w:val="20"/>
          <w:szCs w:val="20"/>
        </w:rPr>
        <w:t>et al.,</w:t>
      </w:r>
      <w:r w:rsidRPr="001652FC">
        <w:rPr>
          <w:rFonts w:ascii="Arial" w:hAnsi="Arial" w:cs="Arial"/>
          <w:sz w:val="20"/>
          <w:szCs w:val="20"/>
        </w:rPr>
        <w:t xml:space="preserve"> 2011; Lingaiah </w:t>
      </w:r>
      <w:r w:rsidRPr="00022BB1">
        <w:rPr>
          <w:rFonts w:ascii="Arial" w:hAnsi="Arial" w:cs="Arial"/>
          <w:i/>
          <w:iCs/>
          <w:sz w:val="20"/>
          <w:szCs w:val="20"/>
        </w:rPr>
        <w:t>et al.,</w:t>
      </w:r>
      <w:r w:rsidRPr="001652FC">
        <w:rPr>
          <w:rFonts w:ascii="Arial" w:hAnsi="Arial" w:cs="Arial"/>
          <w:sz w:val="20"/>
          <w:szCs w:val="20"/>
        </w:rPr>
        <w:t xml:space="preserve"> 2024).</w:t>
      </w:r>
    </w:p>
    <w:p w14:paraId="53CD67A4" w14:textId="77777777" w:rsidR="001652FC" w:rsidRPr="001652FC" w:rsidRDefault="001652FC" w:rsidP="001652FC">
      <w:pPr>
        <w:pStyle w:val="NormalWeb"/>
        <w:numPr>
          <w:ilvl w:val="1"/>
          <w:numId w:val="36"/>
        </w:numPr>
        <w:rPr>
          <w:rFonts w:ascii="Arial" w:hAnsi="Arial" w:cs="Arial"/>
          <w:sz w:val="22"/>
          <w:szCs w:val="22"/>
        </w:rPr>
      </w:pPr>
      <w:r w:rsidRPr="001652FC">
        <w:rPr>
          <w:rStyle w:val="Strong"/>
          <w:rFonts w:ascii="Arial" w:eastAsiaTheme="majorEastAsia" w:hAnsi="Arial" w:cs="Arial"/>
          <w:sz w:val="22"/>
          <w:szCs w:val="22"/>
        </w:rPr>
        <w:t xml:space="preserve"> </w:t>
      </w:r>
      <w:r w:rsidRPr="001652FC">
        <w:rPr>
          <w:rStyle w:val="Strong"/>
          <w:rFonts w:ascii="Arial" w:hAnsi="Arial" w:cs="Arial"/>
          <w:sz w:val="22"/>
          <w:szCs w:val="22"/>
        </w:rPr>
        <w:t>Epigenetic Regulation of Immune Genes</w:t>
      </w:r>
    </w:p>
    <w:p w14:paraId="0A0DDAD2"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Although research on epigenetic regulation of immune genes in silkworms is still limited, evidence from other model organisms indicates that epigenetic mechanisms such as DNA methylation, histone modifications, and chromatin remodeling play important roles in regulating host immunity. For example, in poultry, epigenetic control of transcriptional programs has been linked to enhanced disease resistance (Cheng </w:t>
      </w:r>
      <w:r w:rsidRPr="00022BB1">
        <w:rPr>
          <w:rFonts w:ascii="Arial" w:hAnsi="Arial" w:cs="Arial"/>
          <w:i/>
          <w:iCs/>
          <w:sz w:val="20"/>
          <w:szCs w:val="20"/>
        </w:rPr>
        <w:t>et al.,</w:t>
      </w:r>
      <w:r w:rsidRPr="001652FC">
        <w:rPr>
          <w:rFonts w:ascii="Arial" w:hAnsi="Arial" w:cs="Arial"/>
          <w:sz w:val="20"/>
          <w:szCs w:val="20"/>
        </w:rPr>
        <w:t xml:space="preserve"> 2015). Similar regulatory layers may exist in silkworms, where changes in chromatin accessibility or histone modification patterns could modulate the expression of key immune effectors in response to viral infection (Kloc </w:t>
      </w:r>
      <w:r w:rsidRPr="00022BB1">
        <w:rPr>
          <w:rFonts w:ascii="Arial" w:hAnsi="Arial" w:cs="Arial"/>
          <w:i/>
          <w:iCs/>
          <w:sz w:val="20"/>
          <w:szCs w:val="20"/>
        </w:rPr>
        <w:t>et al.,</w:t>
      </w:r>
      <w:r w:rsidRPr="001652FC">
        <w:rPr>
          <w:rFonts w:ascii="Arial" w:hAnsi="Arial" w:cs="Arial"/>
          <w:sz w:val="20"/>
          <w:szCs w:val="20"/>
        </w:rPr>
        <w:t xml:space="preserve"> 2024; Kausar </w:t>
      </w:r>
      <w:r w:rsidRPr="00022BB1">
        <w:rPr>
          <w:rFonts w:ascii="Arial" w:hAnsi="Arial" w:cs="Arial"/>
          <w:i/>
          <w:iCs/>
          <w:sz w:val="20"/>
          <w:szCs w:val="20"/>
        </w:rPr>
        <w:t>et al.,</w:t>
      </w:r>
      <w:r w:rsidRPr="001652FC">
        <w:rPr>
          <w:rFonts w:ascii="Arial" w:hAnsi="Arial" w:cs="Arial"/>
          <w:sz w:val="20"/>
          <w:szCs w:val="20"/>
        </w:rPr>
        <w:t xml:space="preserve"> 2022). Understanding these processes could open new avenues for improving resistance through epigenome-targeted interventions.</w:t>
      </w:r>
    </w:p>
    <w:p w14:paraId="509059DE" w14:textId="77777777" w:rsidR="001652FC" w:rsidRPr="001652FC" w:rsidRDefault="001652FC" w:rsidP="001652FC">
      <w:pPr>
        <w:pStyle w:val="NormalWeb"/>
        <w:ind w:firstLine="360"/>
        <w:jc w:val="both"/>
        <w:rPr>
          <w:rFonts w:ascii="Arial" w:hAnsi="Arial" w:cs="Arial"/>
          <w:sz w:val="20"/>
          <w:szCs w:val="20"/>
        </w:rPr>
      </w:pPr>
      <w:r w:rsidRPr="001652FC">
        <w:rPr>
          <w:rFonts w:ascii="Arial" w:hAnsi="Arial" w:cs="Arial"/>
          <w:sz w:val="20"/>
          <w:szCs w:val="20"/>
        </w:rPr>
        <w:t xml:space="preserve">While these genetic and molecular insights form a strong basis for understanding disease resistance in </w:t>
      </w:r>
      <w:r w:rsidRPr="001652FC">
        <w:rPr>
          <w:rFonts w:ascii="Arial" w:hAnsi="Arial" w:cs="Arial"/>
          <w:i/>
          <w:iCs/>
          <w:sz w:val="20"/>
          <w:szCs w:val="20"/>
        </w:rPr>
        <w:t>Bombyx mori</w:t>
      </w:r>
      <w:r w:rsidRPr="001652FC">
        <w:rPr>
          <w:rFonts w:ascii="Arial" w:hAnsi="Arial" w:cs="Arial"/>
          <w:sz w:val="20"/>
          <w:szCs w:val="20"/>
        </w:rPr>
        <w:t xml:space="preserve">, it is important to recognize that resistance is not a static trait. Viral pathogens, including BmNPV and BmDNV, exhibit genetic variability and adaptive evolution, which can overcome previously effective defense mechanisms (Hu </w:t>
      </w:r>
      <w:r w:rsidRPr="00022BB1">
        <w:rPr>
          <w:rFonts w:ascii="Arial" w:hAnsi="Arial" w:cs="Arial"/>
          <w:i/>
          <w:iCs/>
          <w:sz w:val="20"/>
          <w:szCs w:val="20"/>
        </w:rPr>
        <w:t>et al.,</w:t>
      </w:r>
      <w:r w:rsidRPr="001652FC">
        <w:rPr>
          <w:rFonts w:ascii="Arial" w:hAnsi="Arial" w:cs="Arial"/>
          <w:sz w:val="20"/>
          <w:szCs w:val="20"/>
        </w:rPr>
        <w:t xml:space="preserve"> 2023; Kloc </w:t>
      </w:r>
      <w:r w:rsidRPr="00022BB1">
        <w:rPr>
          <w:rFonts w:ascii="Arial" w:hAnsi="Arial" w:cs="Arial"/>
          <w:i/>
          <w:iCs/>
          <w:sz w:val="20"/>
          <w:szCs w:val="20"/>
        </w:rPr>
        <w:t>et al.,</w:t>
      </w:r>
      <w:r w:rsidRPr="001652FC">
        <w:rPr>
          <w:rFonts w:ascii="Arial" w:hAnsi="Arial" w:cs="Arial"/>
          <w:sz w:val="20"/>
          <w:szCs w:val="20"/>
        </w:rPr>
        <w:t xml:space="preserve"> 2024). Therefore, integrating continuous genomic surveillance of pathogen populations with breeding programs is essential. This dynamic approach will allow the timely identification of emerging virulent strains and facilitate the incorporation of new resistance alleles into commercial silkworm lines, ensuring sustained productivity and health in sericulture systems (Sharma </w:t>
      </w:r>
      <w:r w:rsidRPr="00022BB1">
        <w:rPr>
          <w:rFonts w:ascii="Arial" w:hAnsi="Arial" w:cs="Arial"/>
          <w:i/>
          <w:iCs/>
          <w:sz w:val="20"/>
          <w:szCs w:val="20"/>
        </w:rPr>
        <w:t>et al.,</w:t>
      </w:r>
      <w:r w:rsidRPr="001652FC">
        <w:rPr>
          <w:rFonts w:ascii="Arial" w:hAnsi="Arial" w:cs="Arial"/>
          <w:sz w:val="20"/>
          <w:szCs w:val="20"/>
        </w:rPr>
        <w:t xml:space="preserve"> 2020; Gao </w:t>
      </w:r>
      <w:r w:rsidRPr="00022BB1">
        <w:rPr>
          <w:rFonts w:ascii="Arial" w:hAnsi="Arial" w:cs="Arial"/>
          <w:i/>
          <w:iCs/>
          <w:sz w:val="20"/>
          <w:szCs w:val="20"/>
        </w:rPr>
        <w:t>et al.,</w:t>
      </w:r>
      <w:r w:rsidRPr="001652FC">
        <w:rPr>
          <w:rFonts w:ascii="Arial" w:hAnsi="Arial" w:cs="Arial"/>
          <w:sz w:val="20"/>
          <w:szCs w:val="20"/>
        </w:rPr>
        <w:t xml:space="preserve"> 2024).</w:t>
      </w:r>
    </w:p>
    <w:p w14:paraId="4CD48099" w14:textId="29A7C4A6" w:rsidR="001652FC" w:rsidRDefault="001652FC" w:rsidP="001652FC">
      <w:pPr>
        <w:pStyle w:val="ListParagraph"/>
        <w:numPr>
          <w:ilvl w:val="0"/>
          <w:numId w:val="36"/>
        </w:numPr>
        <w:spacing w:line="240" w:lineRule="auto"/>
        <w:rPr>
          <w:rFonts w:ascii="Arial" w:hAnsi="Arial" w:cs="Arial"/>
          <w:b/>
          <w:bCs/>
          <w:sz w:val="22"/>
          <w:szCs w:val="22"/>
        </w:rPr>
      </w:pPr>
      <w:r w:rsidRPr="001652FC">
        <w:rPr>
          <w:rFonts w:ascii="Arial" w:hAnsi="Arial" w:cs="Arial"/>
          <w:b/>
          <w:bCs/>
          <w:sz w:val="22"/>
          <w:szCs w:val="22"/>
        </w:rPr>
        <w:t>BIOTECHNOLOGICAL APPROACHES TO ENHANCE DISEASE RESISTANCE</w:t>
      </w:r>
    </w:p>
    <w:p w14:paraId="4A4EEB11" w14:textId="77777777" w:rsidR="001652FC" w:rsidRPr="001652FC" w:rsidRDefault="001652FC" w:rsidP="001652FC">
      <w:pPr>
        <w:pStyle w:val="ListParagraph"/>
        <w:spacing w:line="240" w:lineRule="auto"/>
        <w:ind w:left="360"/>
        <w:rPr>
          <w:rFonts w:ascii="Arial" w:hAnsi="Arial" w:cs="Arial"/>
          <w:b/>
          <w:bCs/>
          <w:sz w:val="22"/>
          <w:szCs w:val="22"/>
        </w:rPr>
      </w:pPr>
    </w:p>
    <w:p w14:paraId="0F565D74" w14:textId="77777777" w:rsidR="001652FC" w:rsidRPr="001652FC" w:rsidRDefault="001652FC" w:rsidP="001652FC">
      <w:pPr>
        <w:pStyle w:val="ListParagraph"/>
        <w:numPr>
          <w:ilvl w:val="1"/>
          <w:numId w:val="36"/>
        </w:numPr>
        <w:spacing w:line="240" w:lineRule="auto"/>
        <w:rPr>
          <w:rFonts w:ascii="Arial" w:hAnsi="Arial" w:cs="Arial"/>
          <w:b/>
          <w:bCs/>
          <w:sz w:val="22"/>
          <w:szCs w:val="22"/>
        </w:rPr>
      </w:pPr>
      <w:r w:rsidRPr="001652FC">
        <w:rPr>
          <w:rFonts w:ascii="Arial" w:hAnsi="Arial" w:cs="Arial"/>
          <w:b/>
          <w:bCs/>
          <w:sz w:val="22"/>
          <w:szCs w:val="22"/>
        </w:rPr>
        <w:t xml:space="preserve"> Selective breeding and marker-assisted selection</w:t>
      </w:r>
    </w:p>
    <w:p w14:paraId="7F4BE5E2" w14:textId="77777777" w:rsidR="001652FC" w:rsidRPr="0036229F" w:rsidRDefault="001652FC" w:rsidP="001652FC">
      <w:pPr>
        <w:spacing w:after="160"/>
        <w:ind w:firstLine="360"/>
        <w:jc w:val="both"/>
        <w:rPr>
          <w:rFonts w:ascii="Arial" w:hAnsi="Arial" w:cs="Arial"/>
        </w:rPr>
      </w:pPr>
      <w:r w:rsidRPr="0036229F">
        <w:rPr>
          <w:rFonts w:ascii="Arial" w:hAnsi="Arial" w:cs="Arial"/>
        </w:rPr>
        <w:t xml:space="preserve">Classical selective breeding remains a cornerstone for improving disease resistance in </w:t>
      </w:r>
      <w:r w:rsidRPr="0036229F">
        <w:rPr>
          <w:rFonts w:ascii="Arial" w:hAnsi="Arial" w:cs="Arial"/>
          <w:i/>
          <w:iCs/>
        </w:rPr>
        <w:t>Bombyx mori</w:t>
      </w:r>
      <w:r w:rsidRPr="0036229F">
        <w:rPr>
          <w:rFonts w:ascii="Arial" w:hAnsi="Arial" w:cs="Arial"/>
        </w:rPr>
        <w:t xml:space="preserve">, and modern molecular tools </w:t>
      </w:r>
      <w:r w:rsidRPr="001652FC">
        <w:rPr>
          <w:rFonts w:ascii="Arial" w:hAnsi="Arial" w:cs="Arial"/>
        </w:rPr>
        <w:t>like Quantitative Trait Locus (</w:t>
      </w:r>
      <w:r w:rsidRPr="0036229F">
        <w:rPr>
          <w:rFonts w:ascii="Arial" w:hAnsi="Arial" w:cs="Arial"/>
        </w:rPr>
        <w:t>QTL</w:t>
      </w:r>
      <w:r w:rsidRPr="001652FC">
        <w:rPr>
          <w:rFonts w:ascii="Arial" w:hAnsi="Arial" w:cs="Arial"/>
        </w:rPr>
        <w:t>)</w:t>
      </w:r>
      <w:r w:rsidRPr="0036229F">
        <w:rPr>
          <w:rFonts w:ascii="Arial" w:hAnsi="Arial" w:cs="Arial"/>
        </w:rPr>
        <w:t xml:space="preserve"> mapping and marker-assisted selection</w:t>
      </w:r>
      <w:r w:rsidRPr="001652FC">
        <w:rPr>
          <w:rFonts w:ascii="Arial" w:hAnsi="Arial" w:cs="Arial"/>
        </w:rPr>
        <w:t xml:space="preserve"> (</w:t>
      </w:r>
      <w:r w:rsidRPr="0036229F">
        <w:rPr>
          <w:rFonts w:ascii="Arial" w:hAnsi="Arial" w:cs="Arial"/>
        </w:rPr>
        <w:t xml:space="preserve">MAS) have accelerated the identification and use of resistance loci in breeding programs. Whole-genome resequencing and QTL-seq studies have begun to reveal loci associated with traits that trade off with immunity (e.g., silk protein synthesis vs. larval-pupal conversion), providing candidate markers that can be used for MAS or genomic selection to combine production and resistance traits in improved strains (Gao </w:t>
      </w:r>
      <w:r w:rsidRPr="00022BB1">
        <w:rPr>
          <w:rFonts w:ascii="Arial" w:hAnsi="Arial" w:cs="Arial"/>
          <w:i/>
          <w:iCs/>
        </w:rPr>
        <w:t>et al.,</w:t>
      </w:r>
      <w:r w:rsidRPr="0036229F">
        <w:rPr>
          <w:rFonts w:ascii="Arial" w:hAnsi="Arial" w:cs="Arial"/>
        </w:rPr>
        <w:t xml:space="preserve"> 2024). Marker-assisted selection shortens selection cycles by enabling breeders to select on genotype (linked SNPs/QTL) rather than only on phenotype, which is especially useful for complex, polygenic resistance traits that are difficult to score directly under variable rearing conditions (Gao </w:t>
      </w:r>
      <w:r w:rsidRPr="00022BB1">
        <w:rPr>
          <w:rFonts w:ascii="Arial" w:hAnsi="Arial" w:cs="Arial"/>
          <w:i/>
          <w:iCs/>
        </w:rPr>
        <w:t>et al.,</w:t>
      </w:r>
      <w:r w:rsidRPr="0036229F">
        <w:rPr>
          <w:rFonts w:ascii="Arial" w:hAnsi="Arial" w:cs="Arial"/>
        </w:rPr>
        <w:t xml:space="preserve"> 2024</w:t>
      </w:r>
      <w:r w:rsidRPr="001652FC">
        <w:rPr>
          <w:rFonts w:ascii="Arial" w:hAnsi="Arial" w:cs="Arial"/>
        </w:rPr>
        <w:t xml:space="preserve">; Chandrakanth </w:t>
      </w:r>
      <w:r w:rsidRPr="00022BB1">
        <w:rPr>
          <w:rFonts w:ascii="Arial" w:hAnsi="Arial" w:cs="Arial"/>
          <w:i/>
          <w:iCs/>
        </w:rPr>
        <w:t>et al.,</w:t>
      </w:r>
      <w:r w:rsidRPr="001652FC">
        <w:rPr>
          <w:rFonts w:ascii="Arial" w:hAnsi="Arial" w:cs="Arial"/>
        </w:rPr>
        <w:t xml:space="preserve"> 2024</w:t>
      </w:r>
      <w:r w:rsidRPr="0036229F">
        <w:rPr>
          <w:rFonts w:ascii="Arial" w:hAnsi="Arial" w:cs="Arial"/>
        </w:rPr>
        <w:t xml:space="preserve">). </w:t>
      </w:r>
    </w:p>
    <w:p w14:paraId="1DBEF887" w14:textId="77777777" w:rsidR="001652FC" w:rsidRPr="001652FC" w:rsidRDefault="001652FC" w:rsidP="001652FC">
      <w:pPr>
        <w:pStyle w:val="ListParagraph"/>
        <w:numPr>
          <w:ilvl w:val="1"/>
          <w:numId w:val="36"/>
        </w:numPr>
        <w:spacing w:line="240" w:lineRule="auto"/>
        <w:rPr>
          <w:rFonts w:ascii="Arial" w:hAnsi="Arial" w:cs="Arial"/>
          <w:sz w:val="22"/>
          <w:szCs w:val="22"/>
        </w:rPr>
      </w:pPr>
      <w:r w:rsidRPr="001652FC">
        <w:rPr>
          <w:rFonts w:ascii="Arial" w:hAnsi="Arial" w:cs="Arial"/>
          <w:b/>
          <w:bCs/>
          <w:sz w:val="22"/>
          <w:szCs w:val="22"/>
        </w:rPr>
        <w:lastRenderedPageBreak/>
        <w:t xml:space="preserve"> CRISPR/Cas genome and RNA editing (gene-level engineering)</w:t>
      </w:r>
    </w:p>
    <w:p w14:paraId="42511C66" w14:textId="77777777" w:rsidR="001652FC" w:rsidRPr="0036229F" w:rsidRDefault="001652FC" w:rsidP="001652FC">
      <w:pPr>
        <w:spacing w:after="160"/>
        <w:ind w:firstLine="360"/>
        <w:jc w:val="both"/>
        <w:rPr>
          <w:rFonts w:ascii="Arial" w:hAnsi="Arial" w:cs="Arial"/>
          <w:b/>
          <w:bCs/>
        </w:rPr>
      </w:pPr>
      <w:r w:rsidRPr="0036229F">
        <w:rPr>
          <w:rFonts w:ascii="Arial" w:hAnsi="Arial" w:cs="Arial"/>
        </w:rPr>
        <w:t xml:space="preserve">CRISPR technologies have been deployed in </w:t>
      </w:r>
      <w:r w:rsidRPr="0036229F">
        <w:rPr>
          <w:rFonts w:ascii="Arial" w:hAnsi="Arial" w:cs="Arial"/>
          <w:i/>
          <w:iCs/>
        </w:rPr>
        <w:t>B. mori</w:t>
      </w:r>
      <w:r w:rsidRPr="0036229F">
        <w:rPr>
          <w:rFonts w:ascii="Arial" w:hAnsi="Arial" w:cs="Arial"/>
        </w:rPr>
        <w:t xml:space="preserve"> for both DNA- and RNA-targeted manipulations to enhance antiviral defenses. DNA-targeting CRISPR/Cas9 has been used in transgenic strategies that disrupt essential viral genes or introduce antiviral effectors into the host genome; such transgenic CRISPR/Cas9 lines exhibited markedly enhanced resistance to </w:t>
      </w:r>
      <w:r w:rsidRPr="0036229F">
        <w:rPr>
          <w:rFonts w:ascii="Arial" w:hAnsi="Arial" w:cs="Arial"/>
          <w:i/>
          <w:iCs/>
        </w:rPr>
        <w:t>Bombyx mori</w:t>
      </w:r>
      <w:r w:rsidRPr="0036229F">
        <w:rPr>
          <w:rFonts w:ascii="Arial" w:hAnsi="Arial" w:cs="Arial"/>
        </w:rPr>
        <w:t xml:space="preserve"> nucleopolyhedrovirus (BmNPV) in both laboratory and an industrial strain, and without major loss of commercial traits in reported cases (Yang </w:t>
      </w:r>
      <w:r w:rsidRPr="00022BB1">
        <w:rPr>
          <w:rFonts w:ascii="Arial" w:hAnsi="Arial" w:cs="Arial"/>
          <w:i/>
          <w:iCs/>
        </w:rPr>
        <w:t>et al.,</w:t>
      </w:r>
      <w:r w:rsidRPr="0036229F">
        <w:rPr>
          <w:rFonts w:ascii="Arial" w:hAnsi="Arial" w:cs="Arial"/>
        </w:rPr>
        <w:t xml:space="preserve"> 2021</w:t>
      </w:r>
      <w:r w:rsidRPr="001652FC">
        <w:rPr>
          <w:rFonts w:ascii="Arial" w:hAnsi="Arial" w:cs="Arial"/>
        </w:rPr>
        <w:t xml:space="preserve">; Li </w:t>
      </w:r>
      <w:r w:rsidRPr="00022BB1">
        <w:rPr>
          <w:rFonts w:ascii="Arial" w:hAnsi="Arial" w:cs="Arial"/>
          <w:i/>
          <w:iCs/>
        </w:rPr>
        <w:t>et al.,</w:t>
      </w:r>
      <w:r w:rsidRPr="001652FC">
        <w:rPr>
          <w:rFonts w:ascii="Arial" w:hAnsi="Arial" w:cs="Arial"/>
        </w:rPr>
        <w:t xml:space="preserve"> 2023; Chen </w:t>
      </w:r>
      <w:r w:rsidRPr="00022BB1">
        <w:rPr>
          <w:rFonts w:ascii="Arial" w:hAnsi="Arial" w:cs="Arial"/>
          <w:i/>
          <w:iCs/>
        </w:rPr>
        <w:t>et al.,</w:t>
      </w:r>
      <w:r w:rsidRPr="001652FC">
        <w:rPr>
          <w:rFonts w:ascii="Arial" w:hAnsi="Arial" w:cs="Arial"/>
        </w:rPr>
        <w:t xml:space="preserve"> 2017</w:t>
      </w:r>
      <w:r w:rsidRPr="0036229F">
        <w:rPr>
          <w:rFonts w:ascii="Arial" w:hAnsi="Arial" w:cs="Arial"/>
        </w:rPr>
        <w:t xml:space="preserve">). Inducible CRISPR systems (e.g., baculovirus-inducible constructs) further refine safety and specificity by activating editing only upon infection (Liu </w:t>
      </w:r>
      <w:r w:rsidRPr="00022BB1">
        <w:rPr>
          <w:rFonts w:ascii="Arial" w:hAnsi="Arial" w:cs="Arial"/>
          <w:i/>
          <w:iCs/>
        </w:rPr>
        <w:t>et al.,</w:t>
      </w:r>
      <w:r w:rsidRPr="0036229F">
        <w:rPr>
          <w:rFonts w:ascii="Arial" w:hAnsi="Arial" w:cs="Arial"/>
        </w:rPr>
        <w:t xml:space="preserve"> 2021). More recently, RNA-targeting CRISPR effectors (Cas13</w:t>
      </w:r>
      <w:r w:rsidRPr="001652FC">
        <w:rPr>
          <w:rFonts w:ascii="Arial" w:hAnsi="Arial" w:cs="Arial"/>
        </w:rPr>
        <w:t xml:space="preserve"> </w:t>
      </w:r>
      <w:r w:rsidRPr="0036229F">
        <w:rPr>
          <w:rFonts w:ascii="Arial" w:hAnsi="Arial" w:cs="Arial"/>
        </w:rPr>
        <w:t xml:space="preserve">family) have been adapted for robust transcript knockdown/editing in silkworm cells and larvae, offering a DNA-safe alternative to permanently edit host genomes while still impairing viral RNAs or manipulating host transcripts that modulate susceptibility (Tang </w:t>
      </w:r>
      <w:r w:rsidRPr="00022BB1">
        <w:rPr>
          <w:rFonts w:ascii="Arial" w:hAnsi="Arial" w:cs="Arial"/>
          <w:i/>
          <w:iCs/>
        </w:rPr>
        <w:t>et al.,</w:t>
      </w:r>
      <w:r w:rsidRPr="0036229F">
        <w:rPr>
          <w:rFonts w:ascii="Arial" w:hAnsi="Arial" w:cs="Arial"/>
        </w:rPr>
        <w:t xml:space="preserve"> 2024). These CRISPR approaches offer precision, the potential for heritable resistance, and new routes to target either pathogen genomes or host susceptibility factors. </w:t>
      </w:r>
    </w:p>
    <w:p w14:paraId="3CBB483A" w14:textId="77777777" w:rsidR="001652FC" w:rsidRPr="001652FC" w:rsidRDefault="001652FC" w:rsidP="001652FC">
      <w:pPr>
        <w:pStyle w:val="ListParagraph"/>
        <w:numPr>
          <w:ilvl w:val="1"/>
          <w:numId w:val="36"/>
        </w:numPr>
        <w:spacing w:line="240" w:lineRule="auto"/>
        <w:jc w:val="both"/>
        <w:rPr>
          <w:rFonts w:ascii="Arial" w:hAnsi="Arial" w:cs="Arial"/>
          <w:b/>
          <w:bCs/>
          <w:sz w:val="22"/>
          <w:szCs w:val="22"/>
        </w:rPr>
      </w:pPr>
      <w:r w:rsidRPr="001652FC">
        <w:rPr>
          <w:rFonts w:ascii="Arial" w:hAnsi="Arial" w:cs="Arial"/>
          <w:b/>
          <w:bCs/>
          <w:sz w:val="22"/>
          <w:szCs w:val="22"/>
        </w:rPr>
        <w:t xml:space="preserve"> Transgenic silkworms expressing antimicrobial/antiviral proteins</w:t>
      </w:r>
    </w:p>
    <w:p w14:paraId="77CEA45F" w14:textId="77777777" w:rsidR="001652FC" w:rsidRPr="0036229F" w:rsidRDefault="001652FC" w:rsidP="001652FC">
      <w:pPr>
        <w:spacing w:after="160"/>
        <w:ind w:firstLine="360"/>
        <w:jc w:val="both"/>
        <w:rPr>
          <w:rFonts w:ascii="Arial" w:hAnsi="Arial" w:cs="Arial"/>
        </w:rPr>
      </w:pPr>
      <w:r w:rsidRPr="0036229F">
        <w:rPr>
          <w:rFonts w:ascii="Arial" w:hAnsi="Arial" w:cs="Arial"/>
        </w:rPr>
        <w:t xml:space="preserve">Transgenic expression of heterologous antimicrobial peptides (AMPs) or antiviral effectors in tissue-specific patterns (for example, midgut or fat body) has been shown to increase resistance to bacterial and viral pathogens. Transgenic lines expressing Black Soldier Fly AMPs or synthetic AMP cassettes showed enhanced survival against gram-positive and gram-negative entomopathogens, and transcriptomic analyses confirm upregulation of immune effectors in such lines (Xu </w:t>
      </w:r>
      <w:r w:rsidRPr="00022BB1">
        <w:rPr>
          <w:rFonts w:ascii="Arial" w:hAnsi="Arial" w:cs="Arial"/>
          <w:i/>
          <w:iCs/>
        </w:rPr>
        <w:t>et al.,</w:t>
      </w:r>
      <w:r w:rsidRPr="0036229F">
        <w:rPr>
          <w:rFonts w:ascii="Arial" w:hAnsi="Arial" w:cs="Arial"/>
        </w:rPr>
        <w:t xml:space="preserve"> 2020; Deng </w:t>
      </w:r>
      <w:r w:rsidRPr="00022BB1">
        <w:rPr>
          <w:rFonts w:ascii="Arial" w:hAnsi="Arial" w:cs="Arial"/>
          <w:i/>
          <w:iCs/>
        </w:rPr>
        <w:t>et al.,</w:t>
      </w:r>
      <w:r w:rsidRPr="0036229F">
        <w:rPr>
          <w:rFonts w:ascii="Arial" w:hAnsi="Arial" w:cs="Arial"/>
        </w:rPr>
        <w:t xml:space="preserve"> 2023). Transgenic antiviral strategies have also used overexpression of host antiviral genes or CRISPR effectors to directly impair viral replication in vivo, demonstrating proof-of-concept for heritable antiviral immunity in economically relevant strains (Yang </w:t>
      </w:r>
      <w:r w:rsidRPr="00022BB1">
        <w:rPr>
          <w:rFonts w:ascii="Arial" w:hAnsi="Arial" w:cs="Arial"/>
          <w:i/>
          <w:iCs/>
        </w:rPr>
        <w:t>et al.,</w:t>
      </w:r>
      <w:r w:rsidRPr="0036229F">
        <w:rPr>
          <w:rFonts w:ascii="Arial" w:hAnsi="Arial" w:cs="Arial"/>
        </w:rPr>
        <w:t xml:space="preserve"> 2021; Deng </w:t>
      </w:r>
      <w:r w:rsidRPr="00022BB1">
        <w:rPr>
          <w:rFonts w:ascii="Arial" w:hAnsi="Arial" w:cs="Arial"/>
          <w:i/>
          <w:iCs/>
        </w:rPr>
        <w:t xml:space="preserve">et al., </w:t>
      </w:r>
      <w:r w:rsidRPr="0036229F">
        <w:rPr>
          <w:rFonts w:ascii="Arial" w:hAnsi="Arial" w:cs="Arial"/>
        </w:rPr>
        <w:t xml:space="preserve">2023). Key considerations for transgenic strategies include tissue specificity, fitness costs, regulatory approval, and public acceptance in deployment. </w:t>
      </w:r>
    </w:p>
    <w:p w14:paraId="4D84BF68" w14:textId="77777777" w:rsidR="001652FC" w:rsidRPr="001652FC" w:rsidRDefault="001652FC" w:rsidP="001652FC">
      <w:pPr>
        <w:pStyle w:val="ListParagraph"/>
        <w:numPr>
          <w:ilvl w:val="1"/>
          <w:numId w:val="36"/>
        </w:numPr>
        <w:spacing w:line="240" w:lineRule="auto"/>
        <w:rPr>
          <w:rFonts w:ascii="Arial" w:hAnsi="Arial" w:cs="Arial"/>
          <w:b/>
          <w:bCs/>
          <w:sz w:val="22"/>
          <w:szCs w:val="22"/>
        </w:rPr>
      </w:pPr>
      <w:r w:rsidRPr="001652FC">
        <w:rPr>
          <w:rFonts w:ascii="Arial" w:hAnsi="Arial" w:cs="Arial"/>
          <w:b/>
          <w:bCs/>
          <w:sz w:val="22"/>
          <w:szCs w:val="22"/>
        </w:rPr>
        <w:t xml:space="preserve"> RNAi-based pathogen control (host- or pathogen-directed)</w:t>
      </w:r>
    </w:p>
    <w:p w14:paraId="78AFCC06" w14:textId="77777777" w:rsidR="001652FC" w:rsidRPr="0036229F" w:rsidRDefault="001652FC" w:rsidP="001652FC">
      <w:pPr>
        <w:spacing w:after="160"/>
        <w:ind w:firstLine="360"/>
        <w:jc w:val="both"/>
        <w:rPr>
          <w:rFonts w:ascii="Arial" w:hAnsi="Arial" w:cs="Arial"/>
        </w:rPr>
      </w:pPr>
      <w:r w:rsidRPr="0036229F">
        <w:rPr>
          <w:rFonts w:ascii="Arial" w:hAnsi="Arial" w:cs="Arial"/>
        </w:rPr>
        <w:t xml:space="preserve">RNA interference (RNAi) remains a versatile biotechnological tool in silkworm pathology: (1) RNAi can be used to knock down host genes that unintentionally aid pathogen survival (immune regulators or other susceptibility factors), and (2) RNAi can target essential viral or microsporidian transcripts directly. Experimental RNAi by injection or feeding has achieved gene knockdown in </w:t>
      </w:r>
      <w:r w:rsidRPr="0036229F">
        <w:rPr>
          <w:rFonts w:ascii="Arial" w:hAnsi="Arial" w:cs="Arial"/>
          <w:i/>
          <w:iCs/>
        </w:rPr>
        <w:t>B. mori</w:t>
      </w:r>
      <w:r w:rsidRPr="0036229F">
        <w:rPr>
          <w:rFonts w:ascii="Arial" w:hAnsi="Arial" w:cs="Arial"/>
        </w:rPr>
        <w:t xml:space="preserve"> and increased susceptibility or resistance depending on the target (e.g., Cat L-like knockdown altered Bt toxicity), illustrating RNAi’s potential both to study immunity and to manipulate it for control strategies (Yang </w:t>
      </w:r>
      <w:r w:rsidRPr="00022BB1">
        <w:rPr>
          <w:rFonts w:ascii="Arial" w:hAnsi="Arial" w:cs="Arial"/>
          <w:i/>
          <w:iCs/>
        </w:rPr>
        <w:t>et al.,</w:t>
      </w:r>
      <w:r w:rsidRPr="0036229F">
        <w:rPr>
          <w:rFonts w:ascii="Arial" w:hAnsi="Arial" w:cs="Arial"/>
        </w:rPr>
        <w:t xml:space="preserve"> 2022). While RNAi delivery in Lepidoptera can be challenging (variable oral uptake, degradation), newer delivery systems (nanoparticles, transgenic expression of hairpin RNAs, and Cas13-based RNA editing) are improving efficacy and stability for in vivo applications (Jiang, 2021; Tang </w:t>
      </w:r>
      <w:r w:rsidRPr="00022BB1">
        <w:rPr>
          <w:rFonts w:ascii="Arial" w:hAnsi="Arial" w:cs="Arial"/>
          <w:i/>
          <w:iCs/>
        </w:rPr>
        <w:t>et al.,</w:t>
      </w:r>
      <w:r w:rsidRPr="0036229F">
        <w:rPr>
          <w:rFonts w:ascii="Arial" w:hAnsi="Arial" w:cs="Arial"/>
        </w:rPr>
        <w:t xml:space="preserve"> 2024). RNAi approaches are attractive because they can be designed to target pathogen-specific sequences, minimizing non-target effects. </w:t>
      </w:r>
    </w:p>
    <w:p w14:paraId="0B32FAD1" w14:textId="77777777" w:rsidR="001652FC" w:rsidRPr="0072364F" w:rsidRDefault="001652FC" w:rsidP="0072364F">
      <w:pPr>
        <w:pStyle w:val="ListParagraph"/>
        <w:numPr>
          <w:ilvl w:val="1"/>
          <w:numId w:val="36"/>
        </w:numPr>
        <w:spacing w:line="240" w:lineRule="auto"/>
        <w:rPr>
          <w:rFonts w:ascii="Arial" w:hAnsi="Arial" w:cs="Arial"/>
          <w:b/>
          <w:bCs/>
          <w:sz w:val="22"/>
          <w:szCs w:val="22"/>
        </w:rPr>
      </w:pPr>
      <w:r w:rsidRPr="0072364F">
        <w:rPr>
          <w:rFonts w:ascii="Arial" w:hAnsi="Arial" w:cs="Arial"/>
          <w:b/>
          <w:bCs/>
          <w:sz w:val="22"/>
          <w:szCs w:val="22"/>
        </w:rPr>
        <w:t xml:space="preserve"> Practical and regulatory considerations</w:t>
      </w:r>
    </w:p>
    <w:p w14:paraId="3DCCE87C" w14:textId="77777777" w:rsidR="001652FC" w:rsidRPr="0036229F" w:rsidRDefault="001652FC" w:rsidP="0072364F">
      <w:pPr>
        <w:spacing w:after="160"/>
        <w:ind w:firstLine="360"/>
        <w:jc w:val="both"/>
        <w:rPr>
          <w:rFonts w:ascii="Arial" w:hAnsi="Arial" w:cs="Arial"/>
        </w:rPr>
      </w:pPr>
      <w:r w:rsidRPr="0036229F">
        <w:rPr>
          <w:rFonts w:ascii="Arial" w:hAnsi="Arial" w:cs="Arial"/>
        </w:rPr>
        <w:t xml:space="preserve">Each biotechnology has trade-offs: selective breeding and MAS are low-risk and compatible with current industry practices but may be slower; CRISPR/transgenic strategies deliver high precision and potentially rapid gains but face regulatory hurdles and public acceptance issues; RNAi offers a non-permanent, sequence-specific tool but requires reliable delivery. Combining approaches (e.g., using MAS to introgress engineered resistance loci into elite strains, or transgenic RNAi constructs deployed in strains that were </w:t>
      </w:r>
      <w:r w:rsidRPr="0036229F">
        <w:rPr>
          <w:rFonts w:ascii="Arial" w:hAnsi="Arial" w:cs="Arial"/>
        </w:rPr>
        <w:lastRenderedPageBreak/>
        <w:t xml:space="preserve">MAS-selected for other production traits) is likely the most pragmatic path for near-term deployment in commercial sericulture (Gao </w:t>
      </w:r>
      <w:r w:rsidRPr="00022BB1">
        <w:rPr>
          <w:rFonts w:ascii="Arial" w:hAnsi="Arial" w:cs="Arial"/>
          <w:i/>
          <w:iCs/>
        </w:rPr>
        <w:t>et al.,</w:t>
      </w:r>
      <w:r w:rsidRPr="0036229F">
        <w:rPr>
          <w:rFonts w:ascii="Arial" w:hAnsi="Arial" w:cs="Arial"/>
        </w:rPr>
        <w:t xml:space="preserve"> 2024; Yang </w:t>
      </w:r>
      <w:r w:rsidRPr="00022BB1">
        <w:rPr>
          <w:rFonts w:ascii="Arial" w:hAnsi="Arial" w:cs="Arial"/>
          <w:i/>
          <w:iCs/>
        </w:rPr>
        <w:t>et al.,</w:t>
      </w:r>
      <w:r w:rsidRPr="0036229F">
        <w:rPr>
          <w:rFonts w:ascii="Arial" w:hAnsi="Arial" w:cs="Arial"/>
        </w:rPr>
        <w:t xml:space="preserve"> 2021).</w:t>
      </w:r>
    </w:p>
    <w:p w14:paraId="78FFBE9A" w14:textId="4971BB0D" w:rsidR="001652FC" w:rsidRPr="0072364F" w:rsidRDefault="0072364F" w:rsidP="001652FC">
      <w:pPr>
        <w:pStyle w:val="ListParagraph"/>
        <w:numPr>
          <w:ilvl w:val="0"/>
          <w:numId w:val="36"/>
        </w:numPr>
        <w:spacing w:line="240" w:lineRule="auto"/>
        <w:jc w:val="both"/>
        <w:rPr>
          <w:rFonts w:ascii="Arial" w:hAnsi="Arial" w:cs="Arial"/>
          <w:b/>
          <w:bCs/>
          <w:sz w:val="22"/>
          <w:szCs w:val="22"/>
        </w:rPr>
      </w:pPr>
      <w:r w:rsidRPr="0072364F">
        <w:rPr>
          <w:rFonts w:ascii="Arial" w:hAnsi="Arial" w:cs="Arial"/>
          <w:b/>
          <w:bCs/>
          <w:sz w:val="22"/>
          <w:szCs w:val="22"/>
        </w:rPr>
        <w:t>FUTURE PERSPECTIVES AND RESEARCH GAPS</w:t>
      </w:r>
    </w:p>
    <w:p w14:paraId="064006D2" w14:textId="77777777" w:rsidR="001652FC" w:rsidRPr="001652FC" w:rsidRDefault="001652FC" w:rsidP="0072364F">
      <w:pPr>
        <w:pStyle w:val="NormalWeb"/>
        <w:ind w:firstLine="360"/>
        <w:jc w:val="both"/>
        <w:rPr>
          <w:rFonts w:ascii="Arial" w:hAnsi="Arial" w:cs="Arial"/>
          <w:sz w:val="20"/>
          <w:szCs w:val="20"/>
        </w:rPr>
      </w:pPr>
      <w:r w:rsidRPr="001652FC">
        <w:rPr>
          <w:rFonts w:ascii="Arial" w:hAnsi="Arial" w:cs="Arial"/>
          <w:sz w:val="20"/>
          <w:szCs w:val="20"/>
        </w:rPr>
        <w:t xml:space="preserve">Despite substantial progress in transcriptomic, proteomic, and metabolomic studies in </w:t>
      </w:r>
      <w:r w:rsidRPr="001652FC">
        <w:rPr>
          <w:rStyle w:val="Emphasis"/>
          <w:rFonts w:ascii="Arial" w:hAnsi="Arial" w:cs="Arial"/>
          <w:sz w:val="20"/>
          <w:szCs w:val="20"/>
        </w:rPr>
        <w:t>Bombyx mori</w:t>
      </w:r>
      <w:r w:rsidRPr="001652FC">
        <w:rPr>
          <w:rFonts w:ascii="Arial" w:hAnsi="Arial" w:cs="Arial"/>
          <w:sz w:val="20"/>
          <w:szCs w:val="20"/>
        </w:rPr>
        <w:t xml:space="preserve">, integrated </w:t>
      </w:r>
      <w:r w:rsidRPr="001652FC">
        <w:rPr>
          <w:rStyle w:val="Strong"/>
          <w:rFonts w:ascii="Arial" w:hAnsi="Arial" w:cs="Arial"/>
          <w:b w:val="0"/>
          <w:bCs w:val="0"/>
          <w:sz w:val="20"/>
          <w:szCs w:val="20"/>
        </w:rPr>
        <w:t>multi-omics</w:t>
      </w:r>
      <w:r w:rsidRPr="001652FC">
        <w:rPr>
          <w:rFonts w:ascii="Arial" w:hAnsi="Arial" w:cs="Arial"/>
          <w:sz w:val="20"/>
          <w:szCs w:val="20"/>
        </w:rPr>
        <w:t xml:space="preserve"> analyses (e.g., combining methylomics, metabolomics, and microbiome profiling) remain scarce. For example, silkworm genome and proteome datasets have shed light on heterosis and epigenetic regulation (Xiang </w:t>
      </w:r>
      <w:r w:rsidRPr="00022BB1">
        <w:rPr>
          <w:rFonts w:ascii="Arial" w:hAnsi="Arial" w:cs="Arial"/>
          <w:i/>
          <w:iCs/>
          <w:sz w:val="20"/>
          <w:szCs w:val="20"/>
        </w:rPr>
        <w:t>et al.,</w:t>
      </w:r>
      <w:r w:rsidRPr="001652FC">
        <w:rPr>
          <w:rFonts w:ascii="Arial" w:hAnsi="Arial" w:cs="Arial"/>
          <w:sz w:val="20"/>
          <w:szCs w:val="20"/>
        </w:rPr>
        <w:t xml:space="preserve"> 2010; </w:t>
      </w:r>
      <w:r w:rsidRPr="00022BB1">
        <w:rPr>
          <w:rFonts w:ascii="Arial" w:hAnsi="Arial" w:cs="Arial"/>
          <w:i/>
          <w:iCs/>
          <w:sz w:val="20"/>
          <w:szCs w:val="20"/>
        </w:rPr>
        <w:t xml:space="preserve">Xiao et al., </w:t>
      </w:r>
      <w:r w:rsidRPr="001652FC">
        <w:rPr>
          <w:rFonts w:ascii="Arial" w:hAnsi="Arial" w:cs="Arial"/>
          <w:sz w:val="20"/>
          <w:szCs w:val="20"/>
        </w:rPr>
        <w:t xml:space="preserve">2020), and miRNA omics research is beginning to reveal how dietary factors (like selenium supplementation) affect silkworm development via post-transcriptional regulation (Ge </w:t>
      </w:r>
      <w:r w:rsidRPr="00022BB1">
        <w:rPr>
          <w:rFonts w:ascii="Arial" w:hAnsi="Arial" w:cs="Arial"/>
          <w:i/>
          <w:iCs/>
          <w:sz w:val="20"/>
          <w:szCs w:val="20"/>
        </w:rPr>
        <w:t xml:space="preserve">et al., </w:t>
      </w:r>
      <w:r w:rsidRPr="001652FC">
        <w:rPr>
          <w:rFonts w:ascii="Arial" w:hAnsi="Arial" w:cs="Arial"/>
          <w:sz w:val="20"/>
          <w:szCs w:val="20"/>
        </w:rPr>
        <w:t xml:space="preserve">2025). Future studies should embrace </w:t>
      </w:r>
      <w:r w:rsidRPr="001652FC">
        <w:rPr>
          <w:rStyle w:val="Strong"/>
          <w:rFonts w:ascii="Arial" w:hAnsi="Arial" w:cs="Arial"/>
          <w:b w:val="0"/>
          <w:bCs w:val="0"/>
          <w:sz w:val="20"/>
          <w:szCs w:val="20"/>
        </w:rPr>
        <w:t>spatial transcriptomics</w:t>
      </w:r>
      <w:r w:rsidRPr="001652FC">
        <w:rPr>
          <w:rFonts w:ascii="Arial" w:hAnsi="Arial" w:cs="Arial"/>
          <w:b/>
          <w:bCs/>
          <w:sz w:val="20"/>
          <w:szCs w:val="20"/>
        </w:rPr>
        <w:t xml:space="preserve">, </w:t>
      </w:r>
      <w:r w:rsidRPr="001652FC">
        <w:rPr>
          <w:rStyle w:val="Strong"/>
          <w:rFonts w:ascii="Arial" w:hAnsi="Arial" w:cs="Arial"/>
          <w:b w:val="0"/>
          <w:bCs w:val="0"/>
          <w:sz w:val="20"/>
          <w:szCs w:val="20"/>
        </w:rPr>
        <w:t>single-cell omics</w:t>
      </w:r>
      <w:r w:rsidRPr="001652FC">
        <w:rPr>
          <w:rFonts w:ascii="Arial" w:hAnsi="Arial" w:cs="Arial"/>
          <w:b/>
          <w:bCs/>
          <w:sz w:val="20"/>
          <w:szCs w:val="20"/>
        </w:rPr>
        <w:t xml:space="preserve">, </w:t>
      </w:r>
      <w:r w:rsidRPr="001652FC">
        <w:rPr>
          <w:rFonts w:ascii="Arial" w:hAnsi="Arial" w:cs="Arial"/>
          <w:sz w:val="20"/>
          <w:szCs w:val="20"/>
        </w:rPr>
        <w:t>and</w:t>
      </w:r>
      <w:r w:rsidRPr="001652FC">
        <w:rPr>
          <w:rFonts w:ascii="Arial" w:hAnsi="Arial" w:cs="Arial"/>
          <w:b/>
          <w:bCs/>
          <w:sz w:val="20"/>
          <w:szCs w:val="20"/>
        </w:rPr>
        <w:t xml:space="preserve"> </w:t>
      </w:r>
      <w:r w:rsidRPr="001652FC">
        <w:rPr>
          <w:rStyle w:val="Strong"/>
          <w:rFonts w:ascii="Arial" w:hAnsi="Arial" w:cs="Arial"/>
          <w:b w:val="0"/>
          <w:bCs w:val="0"/>
          <w:sz w:val="20"/>
          <w:szCs w:val="20"/>
        </w:rPr>
        <w:t>epigenome–microbiome integration</w:t>
      </w:r>
      <w:r w:rsidRPr="001652FC">
        <w:rPr>
          <w:rFonts w:ascii="Arial" w:hAnsi="Arial" w:cs="Arial"/>
          <w:b/>
          <w:bCs/>
          <w:sz w:val="20"/>
          <w:szCs w:val="20"/>
        </w:rPr>
        <w:t>,</w:t>
      </w:r>
      <w:r w:rsidRPr="001652FC">
        <w:rPr>
          <w:rFonts w:ascii="Arial" w:hAnsi="Arial" w:cs="Arial"/>
          <w:sz w:val="20"/>
          <w:szCs w:val="20"/>
        </w:rPr>
        <w:t xml:space="preserve"> especially focusing on tissue-specific immune responses in diverse pathogen contexts. These holistic approaches promise to uncover new regulatory layers of silkworm immunity and pave the way for a systems-level understanding vital for precise genetic or breeding interventions (Feng </w:t>
      </w:r>
      <w:r w:rsidRPr="00022BB1">
        <w:rPr>
          <w:rFonts w:ascii="Arial" w:hAnsi="Arial" w:cs="Arial"/>
          <w:i/>
          <w:iCs/>
          <w:sz w:val="20"/>
          <w:szCs w:val="20"/>
        </w:rPr>
        <w:t>et al.,</w:t>
      </w:r>
      <w:r w:rsidRPr="001652FC">
        <w:rPr>
          <w:rFonts w:ascii="Arial" w:hAnsi="Arial" w:cs="Arial"/>
          <w:sz w:val="20"/>
          <w:szCs w:val="20"/>
        </w:rPr>
        <w:t xml:space="preserve"> 2024; Ma </w:t>
      </w:r>
      <w:r w:rsidRPr="00022BB1">
        <w:rPr>
          <w:rFonts w:ascii="Arial" w:hAnsi="Arial" w:cs="Arial"/>
          <w:i/>
          <w:iCs/>
          <w:sz w:val="20"/>
          <w:szCs w:val="20"/>
        </w:rPr>
        <w:t>et al.,</w:t>
      </w:r>
      <w:r w:rsidRPr="001652FC">
        <w:rPr>
          <w:rFonts w:ascii="Arial" w:hAnsi="Arial" w:cs="Arial"/>
          <w:sz w:val="20"/>
          <w:szCs w:val="20"/>
        </w:rPr>
        <w:t xml:space="preserve"> 2024).</w:t>
      </w:r>
    </w:p>
    <w:p w14:paraId="615256EA" w14:textId="77777777" w:rsidR="001652FC" w:rsidRPr="001652FC" w:rsidRDefault="001652FC" w:rsidP="0072364F">
      <w:pPr>
        <w:pStyle w:val="NormalWeb"/>
        <w:ind w:firstLine="360"/>
        <w:jc w:val="both"/>
        <w:rPr>
          <w:rFonts w:ascii="Arial" w:hAnsi="Arial" w:cs="Arial"/>
          <w:sz w:val="20"/>
          <w:szCs w:val="20"/>
        </w:rPr>
      </w:pPr>
      <w:r w:rsidRPr="001652FC">
        <w:rPr>
          <w:rFonts w:ascii="Arial" w:hAnsi="Arial" w:cs="Arial"/>
          <w:sz w:val="20"/>
          <w:szCs w:val="20"/>
        </w:rPr>
        <w:t xml:space="preserve">Simultaneously, </w:t>
      </w:r>
      <w:r w:rsidRPr="001652FC">
        <w:rPr>
          <w:rStyle w:val="Strong"/>
          <w:rFonts w:ascii="Arial" w:hAnsi="Arial" w:cs="Arial"/>
          <w:b w:val="0"/>
          <w:bCs w:val="0"/>
          <w:sz w:val="20"/>
          <w:szCs w:val="20"/>
        </w:rPr>
        <w:t>synthetic biology</w:t>
      </w:r>
      <w:r w:rsidRPr="001652FC">
        <w:rPr>
          <w:rFonts w:ascii="Arial" w:hAnsi="Arial" w:cs="Arial"/>
          <w:sz w:val="20"/>
          <w:szCs w:val="20"/>
        </w:rPr>
        <w:t xml:space="preserve"> offers transformative potential to customize silkworm immune systems via synthetic circuits or inducible immunity modules. However, practical deployment of such engineered silkworms is hindered by regulatory complexity and commercialization challenges. Although general frameworks for insect breeding and genetic improvement highlight the promise of genomic selection and gene, actual translation into sericulture is limited by biosafety criteria, approval processes, and socio-economic acceptance editing (Xiang </w:t>
      </w:r>
      <w:r w:rsidRPr="00022BB1">
        <w:rPr>
          <w:rFonts w:ascii="Arial" w:hAnsi="Arial" w:cs="Arial"/>
          <w:i/>
          <w:iCs/>
          <w:sz w:val="20"/>
          <w:szCs w:val="20"/>
        </w:rPr>
        <w:t>et al.,</w:t>
      </w:r>
      <w:r w:rsidRPr="001652FC">
        <w:rPr>
          <w:rFonts w:ascii="Arial" w:hAnsi="Arial" w:cs="Arial"/>
          <w:sz w:val="20"/>
          <w:szCs w:val="20"/>
        </w:rPr>
        <w:t xml:space="preserve"> 2010; Hansen </w:t>
      </w:r>
      <w:r w:rsidRPr="00022BB1">
        <w:rPr>
          <w:rFonts w:ascii="Arial" w:hAnsi="Arial" w:cs="Arial"/>
          <w:i/>
          <w:iCs/>
          <w:sz w:val="20"/>
          <w:szCs w:val="20"/>
        </w:rPr>
        <w:t>et al.,</w:t>
      </w:r>
      <w:r w:rsidRPr="001652FC">
        <w:rPr>
          <w:rFonts w:ascii="Arial" w:hAnsi="Arial" w:cs="Arial"/>
          <w:sz w:val="20"/>
          <w:szCs w:val="20"/>
        </w:rPr>
        <w:t xml:space="preserve"> 2025). To bridge the gap, future work must combine technological innovation with pathway standardization—developing guidelines for biosafety assessment, public engagement, and harmonized regulatory policies tailored to genetically engineered sericultural strains.</w:t>
      </w:r>
    </w:p>
    <w:p w14:paraId="1E895C94" w14:textId="450BF817" w:rsidR="0072364F" w:rsidRPr="0072364F" w:rsidRDefault="0072364F" w:rsidP="0072364F">
      <w:pPr>
        <w:pStyle w:val="ListParagraph"/>
        <w:numPr>
          <w:ilvl w:val="0"/>
          <w:numId w:val="36"/>
        </w:numPr>
        <w:jc w:val="both"/>
        <w:rPr>
          <w:rFonts w:ascii="Arial" w:hAnsi="Arial" w:cs="Arial"/>
          <w:sz w:val="22"/>
          <w:szCs w:val="22"/>
        </w:rPr>
      </w:pPr>
      <w:r w:rsidRPr="0072364F">
        <w:rPr>
          <w:rFonts w:ascii="Arial" w:hAnsi="Arial" w:cs="Arial"/>
          <w:b/>
          <w:bCs/>
          <w:sz w:val="22"/>
          <w:szCs w:val="22"/>
        </w:rPr>
        <w:t>CONCLUSION</w:t>
      </w:r>
    </w:p>
    <w:p w14:paraId="2EDD4ACA" w14:textId="7E7A0997" w:rsidR="001652FC" w:rsidRDefault="001652FC" w:rsidP="0072364F">
      <w:pPr>
        <w:ind w:firstLine="360"/>
        <w:jc w:val="both"/>
        <w:rPr>
          <w:rFonts w:ascii="Arial" w:hAnsi="Arial" w:cs="Arial"/>
        </w:rPr>
      </w:pPr>
      <w:r w:rsidRPr="0072364F">
        <w:rPr>
          <w:rFonts w:ascii="Arial" w:hAnsi="Arial" w:cs="Arial"/>
        </w:rPr>
        <w:t xml:space="preserve">The health and productivity of the silkworm remain pivotal to sustaining the economic and cultural fabric of sericulture-dependent regions. Advances in molecular biology, functional genomics, and biotechnology have greatly expanded our understanding of </w:t>
      </w:r>
      <w:r w:rsidRPr="0072364F">
        <w:rPr>
          <w:rFonts w:ascii="Arial" w:hAnsi="Arial" w:cs="Arial"/>
          <w:i/>
          <w:iCs/>
        </w:rPr>
        <w:t>B. mori</w:t>
      </w:r>
      <w:r w:rsidRPr="0072364F">
        <w:rPr>
          <w:rFonts w:ascii="Arial" w:hAnsi="Arial" w:cs="Arial"/>
        </w:rPr>
        <w:t xml:space="preserve"> immunity, revealing multiple opportunities to engineer disease resistance. From leveraging natural genetic variation and QTL-based marker-assisted selection to implementing CRISPR/Cas genome editing, transgenic expression of antimicrobial effectors, and RNAi-mediated control, diverse strategies are now available to combat persistent and emerging pathogens. However, the dynamic nature of host–pathogen interactions, pathogen evolution, and environmental variability demand a continuous and adaptive approach. Integrating molecular insights with selective breeding, multi-omics data, and precision biotechnology can yield robust, disease-resistant strains without compromising silk quality. Future progress will hinge on closing research gaps in epigenetic regulation, tissue-specific immune responses, and microbiome interactions, while addressing biosafety, regulatory, and socio-economic considerations. A coordinated framework combining scientific innovation with responsible deployment will be essential for realizing the full potential of engineered silkworm immunity, ensuring the long-term sustainability and global competitiveness of sericulture.</w:t>
      </w:r>
    </w:p>
    <w:p w14:paraId="2ACEDB0C" w14:textId="5CB61221" w:rsidR="00C467F2" w:rsidRDefault="00C467F2" w:rsidP="0072364F">
      <w:pPr>
        <w:ind w:firstLine="360"/>
        <w:jc w:val="both"/>
        <w:rPr>
          <w:rFonts w:ascii="Arial" w:hAnsi="Arial" w:cs="Arial"/>
        </w:rPr>
      </w:pPr>
    </w:p>
    <w:p w14:paraId="3D7E6416" w14:textId="77777777" w:rsidR="00C467F2" w:rsidRPr="009C5487" w:rsidRDefault="00C467F2" w:rsidP="00C467F2">
      <w:pPr>
        <w:rPr>
          <w:rFonts w:ascii="Calibri" w:eastAsia="Calibri" w:hAnsi="Calibri"/>
          <w:kern w:val="2"/>
          <w:highlight w:val="yellow"/>
        </w:rPr>
      </w:pPr>
      <w:bookmarkStart w:id="1" w:name="_Hlk197682619"/>
      <w:bookmarkStart w:id="2" w:name="_Hlk180402183"/>
      <w:bookmarkStart w:id="3" w:name="_Hlk183680988"/>
      <w:r w:rsidRPr="009C5487">
        <w:rPr>
          <w:rFonts w:ascii="Calibri" w:eastAsia="Calibri" w:hAnsi="Calibri"/>
          <w:kern w:val="2"/>
          <w:highlight w:val="yellow"/>
        </w:rPr>
        <w:t>Disclaimer (Artificial intelligence)</w:t>
      </w:r>
    </w:p>
    <w:p w14:paraId="34D27EB4" w14:textId="77777777" w:rsidR="00C467F2" w:rsidRPr="009C5487" w:rsidRDefault="00C467F2" w:rsidP="00C467F2">
      <w:pPr>
        <w:rPr>
          <w:rFonts w:ascii="Calibri" w:eastAsia="Calibri" w:hAnsi="Calibri"/>
          <w:kern w:val="2"/>
          <w:highlight w:val="yellow"/>
        </w:rPr>
      </w:pPr>
      <w:r w:rsidRPr="009C5487">
        <w:rPr>
          <w:rFonts w:ascii="Calibri" w:eastAsia="Calibri" w:hAnsi="Calibri"/>
          <w:kern w:val="2"/>
          <w:highlight w:val="yellow"/>
        </w:rPr>
        <w:t xml:space="preserve">Option 1: </w:t>
      </w:r>
    </w:p>
    <w:p w14:paraId="0A5389A6" w14:textId="77777777" w:rsidR="00C467F2" w:rsidRPr="009C5487" w:rsidRDefault="00C467F2" w:rsidP="00C467F2">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1F0A54AF" w14:textId="77777777" w:rsidR="00B01FCD" w:rsidRPr="001652FC" w:rsidRDefault="00B01FCD" w:rsidP="001652FC">
      <w:pPr>
        <w:pStyle w:val="ReferHead"/>
        <w:spacing w:after="0"/>
        <w:jc w:val="both"/>
        <w:rPr>
          <w:rFonts w:ascii="Arial" w:hAnsi="Arial" w:cs="Arial"/>
        </w:rPr>
      </w:pPr>
      <w:r w:rsidRPr="001652FC">
        <w:rPr>
          <w:rFonts w:ascii="Arial" w:hAnsi="Arial" w:cs="Arial"/>
        </w:rPr>
        <w:lastRenderedPageBreak/>
        <w:t>References</w:t>
      </w:r>
    </w:p>
    <w:p w14:paraId="6A5F6EE0" w14:textId="77777777" w:rsidR="00790ADA" w:rsidRPr="001652FC" w:rsidRDefault="00790ADA" w:rsidP="001652FC">
      <w:pPr>
        <w:pStyle w:val="ReferHead"/>
        <w:spacing w:after="0"/>
        <w:jc w:val="both"/>
        <w:rPr>
          <w:rFonts w:ascii="Arial" w:hAnsi="Arial" w:cs="Arial"/>
        </w:rPr>
      </w:pPr>
    </w:p>
    <w:p w14:paraId="2E6201DA"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Bhat, M. R., Radha, P., Faruk, A. A., Vas, M., Brahma, D., Bora, N. R., ... &amp; Garai, I. (2024). Climate change and its impact on sericulture. </w:t>
      </w:r>
      <w:r w:rsidRPr="0072364F">
        <w:rPr>
          <w:rFonts w:ascii="Arial" w:hAnsi="Arial" w:cs="Arial"/>
          <w:i/>
          <w:iCs/>
          <w:sz w:val="20"/>
          <w:szCs w:val="20"/>
        </w:rPr>
        <w:t>International Journal of Zoology and Applied Biosciences</w:t>
      </w:r>
      <w:r w:rsidRPr="0072364F">
        <w:rPr>
          <w:rFonts w:ascii="Arial" w:hAnsi="Arial" w:cs="Arial"/>
          <w:sz w:val="20"/>
          <w:szCs w:val="20"/>
        </w:rPr>
        <w:t>, </w:t>
      </w:r>
      <w:r w:rsidRPr="0072364F">
        <w:rPr>
          <w:rFonts w:ascii="Arial" w:hAnsi="Arial" w:cs="Arial"/>
          <w:i/>
          <w:iCs/>
          <w:sz w:val="20"/>
          <w:szCs w:val="20"/>
        </w:rPr>
        <w:t>9</w:t>
      </w:r>
      <w:r w:rsidRPr="0072364F">
        <w:rPr>
          <w:rFonts w:ascii="Arial" w:hAnsi="Arial" w:cs="Arial"/>
          <w:sz w:val="20"/>
          <w:szCs w:val="20"/>
        </w:rPr>
        <w:t>(4), 13-25.</w:t>
      </w:r>
    </w:p>
    <w:p w14:paraId="00EDC557"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Sujatha, G., Kumar, G. A., Teja, K., Devi, D. L., Rupali, J., &amp; Gautam, S. K. (2024). A comprehensive review of the effect and mitigation of climate change on sericulture. </w:t>
      </w:r>
      <w:r w:rsidRPr="0072364F">
        <w:rPr>
          <w:rFonts w:ascii="Arial" w:hAnsi="Arial" w:cs="Arial"/>
          <w:i/>
          <w:iCs/>
          <w:sz w:val="20"/>
          <w:szCs w:val="20"/>
        </w:rPr>
        <w:t>International Journal of Environment and Climate Change</w:t>
      </w:r>
      <w:r w:rsidRPr="0072364F">
        <w:rPr>
          <w:rFonts w:ascii="Arial" w:hAnsi="Arial" w:cs="Arial"/>
          <w:sz w:val="20"/>
          <w:szCs w:val="20"/>
        </w:rPr>
        <w:t>, </w:t>
      </w:r>
      <w:r w:rsidRPr="0072364F">
        <w:rPr>
          <w:rFonts w:ascii="Arial" w:hAnsi="Arial" w:cs="Arial"/>
          <w:i/>
          <w:iCs/>
          <w:sz w:val="20"/>
          <w:szCs w:val="20"/>
        </w:rPr>
        <w:t>14</w:t>
      </w:r>
      <w:r w:rsidRPr="0072364F">
        <w:rPr>
          <w:rFonts w:ascii="Arial" w:hAnsi="Arial" w:cs="Arial"/>
          <w:sz w:val="20"/>
          <w:szCs w:val="20"/>
        </w:rPr>
        <w:t>(7), 776-88.</w:t>
      </w:r>
    </w:p>
    <w:p w14:paraId="3CB85679"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Gunashekhar, H., Patil, D., Kiran, N. R., Prem, M., Damodhara, G. N., Manjunatha, B., ... &amp; Harishkumar, J. (2024). Sericulture in Karnataka: Revitalizing through Farmer Producer Organizations. </w:t>
      </w:r>
      <w:r w:rsidRPr="0072364F">
        <w:rPr>
          <w:rFonts w:ascii="Arial" w:hAnsi="Arial" w:cs="Arial"/>
          <w:i/>
          <w:iCs/>
          <w:sz w:val="20"/>
          <w:szCs w:val="20"/>
        </w:rPr>
        <w:t>International Journal of Agriculture, Environment and Biotechnology</w:t>
      </w:r>
      <w:r w:rsidRPr="0072364F">
        <w:rPr>
          <w:rFonts w:ascii="Arial" w:hAnsi="Arial" w:cs="Arial"/>
          <w:sz w:val="20"/>
          <w:szCs w:val="20"/>
        </w:rPr>
        <w:t>.</w:t>
      </w:r>
    </w:p>
    <w:p w14:paraId="06DA3ED2"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POPESCU, A., ŞERBAN, V., &amp; CIOCAN, H. N. (2024). NEW TRENDS IN THE GLOBAL SILK PRODUCTION IN THE PERIOD 2011-2022. </w:t>
      </w:r>
      <w:r w:rsidRPr="0072364F">
        <w:rPr>
          <w:rFonts w:ascii="Arial" w:hAnsi="Arial" w:cs="Arial"/>
          <w:i/>
          <w:iCs/>
          <w:sz w:val="20"/>
          <w:szCs w:val="20"/>
        </w:rPr>
        <w:t>Scientific Papers Series Management, Economic Engineering In Agriculture &amp; Rural Development</w:t>
      </w:r>
      <w:r w:rsidRPr="0072364F">
        <w:rPr>
          <w:rFonts w:ascii="Arial" w:hAnsi="Arial" w:cs="Arial"/>
          <w:sz w:val="20"/>
          <w:szCs w:val="20"/>
        </w:rPr>
        <w:t>, </w:t>
      </w:r>
      <w:r w:rsidRPr="0072364F">
        <w:rPr>
          <w:rFonts w:ascii="Arial" w:hAnsi="Arial" w:cs="Arial"/>
          <w:i/>
          <w:iCs/>
          <w:sz w:val="20"/>
          <w:szCs w:val="20"/>
        </w:rPr>
        <w:t>24</w:t>
      </w:r>
      <w:r w:rsidRPr="0072364F">
        <w:rPr>
          <w:rFonts w:ascii="Arial" w:hAnsi="Arial" w:cs="Arial"/>
          <w:sz w:val="20"/>
          <w:szCs w:val="20"/>
        </w:rPr>
        <w:t>(1).</w:t>
      </w:r>
    </w:p>
    <w:p w14:paraId="7DA8BB94"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Kausar, S., Abbas, M. N., Zhao, Y., &amp; Cui, H. (2019). Immune strategies of silkworm, Bombyx mori against microbial infections. </w:t>
      </w:r>
      <w:r w:rsidRPr="0072364F">
        <w:rPr>
          <w:rFonts w:ascii="Arial" w:hAnsi="Arial" w:cs="Arial"/>
          <w:i/>
          <w:iCs/>
          <w:sz w:val="20"/>
          <w:szCs w:val="20"/>
        </w:rPr>
        <w:t>Invertebrate Survival Journal</w:t>
      </w:r>
      <w:r w:rsidRPr="0072364F">
        <w:rPr>
          <w:rFonts w:ascii="Arial" w:hAnsi="Arial" w:cs="Arial"/>
          <w:sz w:val="20"/>
          <w:szCs w:val="20"/>
        </w:rPr>
        <w:t>, 130-140.</w:t>
      </w:r>
    </w:p>
    <w:p w14:paraId="4D310CEF"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Mondal, R., Shaw, S., Mandal, P., Dam, P., &amp; Mandal, A. K. (2024). Recent advances in the biosensors application for reviving infectious disease management in silkworm model: a new way to combat microbial pathogens. Archives of Microbiology, 206(5), 206.</w:t>
      </w:r>
    </w:p>
    <w:p w14:paraId="6DCA0384"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Gupta, T., Kadono-Okuda, K., Ito, K., Trivedy, K., &amp; Ponnuvel, K. M. (2015). Densovirus infection in silkworm Bombyx mori and genes associated with disease resistance. </w:t>
      </w:r>
      <w:r w:rsidRPr="0072364F">
        <w:rPr>
          <w:rFonts w:ascii="Arial" w:hAnsi="Arial" w:cs="Arial"/>
          <w:i/>
          <w:iCs/>
          <w:sz w:val="20"/>
          <w:szCs w:val="20"/>
        </w:rPr>
        <w:t>Invertebrate Survival Journal</w:t>
      </w:r>
      <w:r w:rsidRPr="0072364F">
        <w:rPr>
          <w:rFonts w:ascii="Arial" w:hAnsi="Arial" w:cs="Arial"/>
          <w:sz w:val="20"/>
          <w:szCs w:val="20"/>
        </w:rPr>
        <w:t>, </w:t>
      </w:r>
      <w:r w:rsidRPr="0072364F">
        <w:rPr>
          <w:rFonts w:ascii="Arial" w:hAnsi="Arial" w:cs="Arial"/>
          <w:i/>
          <w:iCs/>
          <w:sz w:val="20"/>
          <w:szCs w:val="20"/>
        </w:rPr>
        <w:t>12</w:t>
      </w:r>
      <w:r w:rsidRPr="0072364F">
        <w:rPr>
          <w:rFonts w:ascii="Arial" w:hAnsi="Arial" w:cs="Arial"/>
          <w:sz w:val="20"/>
          <w:szCs w:val="20"/>
        </w:rPr>
        <w:t>(1), 118-128.</w:t>
      </w:r>
    </w:p>
    <w:p w14:paraId="79F5BEDC"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Naik, T., Rasalkar, S., Nongthomba, U., &amp; Moorthy, S. M. (2025). MOLECULAR EVIDENCE SUPPORTING THE NATURAL DEFENSE OF THE LAMERIN BREED OF SILKWORM (Bombyx mori L.) to Nosema bombycis INFECTION. </w:t>
      </w:r>
      <w:r w:rsidRPr="0072364F">
        <w:rPr>
          <w:rFonts w:ascii="Arial" w:hAnsi="Arial" w:cs="Arial"/>
          <w:i/>
          <w:iCs/>
          <w:sz w:val="20"/>
          <w:szCs w:val="20"/>
        </w:rPr>
        <w:t>Agricultural Research Journal</w:t>
      </w:r>
      <w:r w:rsidRPr="0072364F">
        <w:rPr>
          <w:rFonts w:ascii="Arial" w:hAnsi="Arial" w:cs="Arial"/>
          <w:sz w:val="20"/>
          <w:szCs w:val="20"/>
        </w:rPr>
        <w:t>, </w:t>
      </w:r>
      <w:r w:rsidRPr="0072364F">
        <w:rPr>
          <w:rFonts w:ascii="Arial" w:hAnsi="Arial" w:cs="Arial"/>
          <w:i/>
          <w:iCs/>
          <w:sz w:val="20"/>
          <w:szCs w:val="20"/>
        </w:rPr>
        <w:t>62</w:t>
      </w:r>
      <w:r w:rsidRPr="0072364F">
        <w:rPr>
          <w:rFonts w:ascii="Arial" w:hAnsi="Arial" w:cs="Arial"/>
          <w:sz w:val="20"/>
          <w:szCs w:val="20"/>
        </w:rPr>
        <w:t>(2).</w:t>
      </w:r>
    </w:p>
    <w:p w14:paraId="63A7EAF1"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Wan, J., Zhou, X., &amp; Zhou, X. (2013). A review of innate immunity of silkworm, Bombyx mori. </w:t>
      </w:r>
      <w:r w:rsidRPr="0072364F">
        <w:rPr>
          <w:rFonts w:ascii="Arial" w:hAnsi="Arial" w:cs="Arial"/>
          <w:i/>
          <w:iCs/>
          <w:sz w:val="20"/>
          <w:szCs w:val="20"/>
        </w:rPr>
        <w:t>Afr J Agric Res</w:t>
      </w:r>
      <w:r w:rsidRPr="0072364F">
        <w:rPr>
          <w:rFonts w:ascii="Arial" w:hAnsi="Arial" w:cs="Arial"/>
          <w:sz w:val="20"/>
          <w:szCs w:val="20"/>
        </w:rPr>
        <w:t>, </w:t>
      </w:r>
      <w:r w:rsidRPr="0072364F">
        <w:rPr>
          <w:rFonts w:ascii="Arial" w:hAnsi="Arial" w:cs="Arial"/>
          <w:i/>
          <w:iCs/>
          <w:sz w:val="20"/>
          <w:szCs w:val="20"/>
        </w:rPr>
        <w:t>8</w:t>
      </w:r>
      <w:r w:rsidRPr="0072364F">
        <w:rPr>
          <w:rFonts w:ascii="Arial" w:hAnsi="Arial" w:cs="Arial"/>
          <w:sz w:val="20"/>
          <w:szCs w:val="20"/>
        </w:rPr>
        <w:t>(20), 2319-2325.</w:t>
      </w:r>
    </w:p>
    <w:p w14:paraId="3BED047B"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Ghani, M. U., Liu, G., Zhang, Q., Liu, C., Li, S., Yang, Y., ... &amp; Cui, H. (2025). A Comprehensive Review of Humoral Immune Defense in the Silkworm, Bombyx mori: Mechanistic Insights and Responses to Microbial Pathogens. </w:t>
      </w:r>
      <w:r w:rsidRPr="0072364F">
        <w:rPr>
          <w:rFonts w:ascii="Arial" w:hAnsi="Arial" w:cs="Arial"/>
          <w:i/>
          <w:iCs/>
          <w:sz w:val="20"/>
          <w:szCs w:val="20"/>
        </w:rPr>
        <w:t>Developmental &amp; Comparative Immunology</w:t>
      </w:r>
      <w:r w:rsidRPr="0072364F">
        <w:rPr>
          <w:rFonts w:ascii="Arial" w:hAnsi="Arial" w:cs="Arial"/>
          <w:sz w:val="20"/>
          <w:szCs w:val="20"/>
        </w:rPr>
        <w:t>, 105418.</w:t>
      </w:r>
    </w:p>
    <w:p w14:paraId="0ED1AFDD"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Awais, M. M., Fei, S., Xia, J., Feng, M., &amp; Sun, J. (2024). Insights into midgut cell types and their crucial role in antiviral immunity in the lepidopteran model Bombyx mori. </w:t>
      </w:r>
      <w:r w:rsidRPr="0072364F">
        <w:rPr>
          <w:rFonts w:ascii="Arial" w:hAnsi="Arial" w:cs="Arial"/>
          <w:i/>
          <w:iCs/>
          <w:sz w:val="20"/>
          <w:szCs w:val="20"/>
        </w:rPr>
        <w:t>Frontiers in Immunology</w:t>
      </w:r>
      <w:r w:rsidRPr="0072364F">
        <w:rPr>
          <w:rFonts w:ascii="Arial" w:hAnsi="Arial" w:cs="Arial"/>
          <w:sz w:val="20"/>
          <w:szCs w:val="20"/>
        </w:rPr>
        <w:t>, </w:t>
      </w:r>
      <w:r w:rsidRPr="0072364F">
        <w:rPr>
          <w:rFonts w:ascii="Arial" w:hAnsi="Arial" w:cs="Arial"/>
          <w:i/>
          <w:iCs/>
          <w:sz w:val="20"/>
          <w:szCs w:val="20"/>
        </w:rPr>
        <w:t>15</w:t>
      </w:r>
      <w:r w:rsidRPr="0072364F">
        <w:rPr>
          <w:rFonts w:ascii="Arial" w:hAnsi="Arial" w:cs="Arial"/>
          <w:sz w:val="20"/>
          <w:szCs w:val="20"/>
        </w:rPr>
        <w:t>, 1349428.</w:t>
      </w:r>
    </w:p>
    <w:p w14:paraId="1D546836"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Somasundaram, P., Kumar, K. A., &amp; Manjula, A. (2013). Key Biochemical markers in silkworms challenged with immuno elicitors and their association in genetic resistance for survival. </w:t>
      </w:r>
      <w:r w:rsidRPr="0072364F">
        <w:rPr>
          <w:rFonts w:ascii="Arial" w:hAnsi="Arial" w:cs="Arial"/>
          <w:i/>
          <w:iCs/>
          <w:sz w:val="20"/>
          <w:szCs w:val="20"/>
        </w:rPr>
        <w:t>Global Journal of Bioscience and Biotechnology</w:t>
      </w:r>
      <w:r w:rsidRPr="0072364F">
        <w:rPr>
          <w:rFonts w:ascii="Arial" w:hAnsi="Arial" w:cs="Arial"/>
          <w:sz w:val="20"/>
          <w:szCs w:val="20"/>
        </w:rPr>
        <w:t>, </w:t>
      </w:r>
      <w:r w:rsidRPr="0072364F">
        <w:rPr>
          <w:rFonts w:ascii="Arial" w:hAnsi="Arial" w:cs="Arial"/>
          <w:i/>
          <w:iCs/>
          <w:sz w:val="20"/>
          <w:szCs w:val="20"/>
        </w:rPr>
        <w:t>2</w:t>
      </w:r>
      <w:r w:rsidRPr="0072364F">
        <w:rPr>
          <w:rFonts w:ascii="Arial" w:hAnsi="Arial" w:cs="Arial"/>
          <w:sz w:val="20"/>
          <w:szCs w:val="20"/>
        </w:rPr>
        <w:t>(3), 290-295.</w:t>
      </w:r>
    </w:p>
    <w:p w14:paraId="4A2E9890"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He, L., Liu, L., Liu, H., Tang, X., Meng, Y., Xie, H., ... &amp; Zhao, P. (2025). Functional Analysis of BmHemolin in the Immune Defense of Silkworms. </w:t>
      </w:r>
      <w:r w:rsidRPr="0072364F">
        <w:rPr>
          <w:rFonts w:ascii="Arial" w:hAnsi="Arial" w:cs="Arial"/>
          <w:i/>
          <w:iCs/>
          <w:sz w:val="20"/>
          <w:szCs w:val="20"/>
        </w:rPr>
        <w:t>Insects</w:t>
      </w:r>
      <w:r w:rsidRPr="0072364F">
        <w:rPr>
          <w:rFonts w:ascii="Arial" w:hAnsi="Arial" w:cs="Arial"/>
          <w:sz w:val="20"/>
          <w:szCs w:val="20"/>
        </w:rPr>
        <w:t>, </w:t>
      </w:r>
      <w:r w:rsidRPr="0072364F">
        <w:rPr>
          <w:rFonts w:ascii="Arial" w:hAnsi="Arial" w:cs="Arial"/>
          <w:i/>
          <w:iCs/>
          <w:sz w:val="20"/>
          <w:szCs w:val="20"/>
        </w:rPr>
        <w:t>16</w:t>
      </w:r>
      <w:r w:rsidRPr="0072364F">
        <w:rPr>
          <w:rFonts w:ascii="Arial" w:hAnsi="Arial" w:cs="Arial"/>
          <w:sz w:val="20"/>
          <w:szCs w:val="20"/>
        </w:rPr>
        <w:t>(8), 778.</w:t>
      </w:r>
    </w:p>
    <w:p w14:paraId="789FA7F2"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Li, K., Dong, Z., &amp; Pan, M. (2023). Common strategies in silkworm disease resistance breeding research. </w:t>
      </w:r>
      <w:r w:rsidRPr="0072364F">
        <w:rPr>
          <w:rFonts w:ascii="Arial" w:hAnsi="Arial" w:cs="Arial"/>
          <w:i/>
          <w:iCs/>
          <w:sz w:val="20"/>
          <w:szCs w:val="20"/>
        </w:rPr>
        <w:t>Pest Management Science</w:t>
      </w:r>
      <w:r w:rsidRPr="0072364F">
        <w:rPr>
          <w:rFonts w:ascii="Arial" w:hAnsi="Arial" w:cs="Arial"/>
          <w:sz w:val="20"/>
          <w:szCs w:val="20"/>
        </w:rPr>
        <w:t>, </w:t>
      </w:r>
      <w:r w:rsidRPr="0072364F">
        <w:rPr>
          <w:rFonts w:ascii="Arial" w:hAnsi="Arial" w:cs="Arial"/>
          <w:i/>
          <w:iCs/>
          <w:sz w:val="20"/>
          <w:szCs w:val="20"/>
        </w:rPr>
        <w:t>79</w:t>
      </w:r>
      <w:r w:rsidRPr="0072364F">
        <w:rPr>
          <w:rFonts w:ascii="Arial" w:hAnsi="Arial" w:cs="Arial"/>
          <w:sz w:val="20"/>
          <w:szCs w:val="20"/>
        </w:rPr>
        <w:t>(7), 2287-2298.</w:t>
      </w:r>
    </w:p>
    <w:p w14:paraId="1FFAF4BD"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 xml:space="preserve">Alexandru-Ioan, G., Gabriela-Maria, B., Tudor Nicolas, T., Ecaterina, B. D., &amp; Daniel, D. S. (2024). Frontiers of Genetic Engineering: Cutting-Edge Genome Editing for Silkworms </w:t>
      </w:r>
      <w:r w:rsidRPr="0072364F">
        <w:rPr>
          <w:rFonts w:ascii="Arial" w:hAnsi="Arial" w:cs="Arial"/>
          <w:sz w:val="20"/>
          <w:szCs w:val="20"/>
        </w:rPr>
        <w:lastRenderedPageBreak/>
        <w:t>and Honeybees. </w:t>
      </w:r>
      <w:r w:rsidRPr="0072364F">
        <w:rPr>
          <w:rFonts w:ascii="Arial" w:hAnsi="Arial" w:cs="Arial"/>
          <w:i/>
          <w:iCs/>
          <w:sz w:val="20"/>
          <w:szCs w:val="20"/>
        </w:rPr>
        <w:t>Scientific Papers: Animal Science &amp; Biotechnologies/Lucrari Stiintifice: Zootehnie si Biotehnologii</w:t>
      </w:r>
      <w:r w:rsidRPr="0072364F">
        <w:rPr>
          <w:rFonts w:ascii="Arial" w:hAnsi="Arial" w:cs="Arial"/>
          <w:sz w:val="20"/>
          <w:szCs w:val="20"/>
        </w:rPr>
        <w:t>, </w:t>
      </w:r>
      <w:r w:rsidRPr="0072364F">
        <w:rPr>
          <w:rFonts w:ascii="Arial" w:hAnsi="Arial" w:cs="Arial"/>
          <w:i/>
          <w:iCs/>
          <w:sz w:val="20"/>
          <w:szCs w:val="20"/>
        </w:rPr>
        <w:t>57</w:t>
      </w:r>
      <w:r w:rsidRPr="0072364F">
        <w:rPr>
          <w:rFonts w:ascii="Arial" w:hAnsi="Arial" w:cs="Arial"/>
          <w:sz w:val="20"/>
          <w:szCs w:val="20"/>
        </w:rPr>
        <w:t>(1).</w:t>
      </w:r>
    </w:p>
    <w:p w14:paraId="798BBA04"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Gowda, K. B., Jerry, D. R., &amp; Zenger, K. R. (2025). Genetic improvement of farmed insect species: programmes, progress, and prospects. </w:t>
      </w:r>
      <w:r w:rsidRPr="0072364F">
        <w:rPr>
          <w:rFonts w:ascii="Arial" w:hAnsi="Arial" w:cs="Arial"/>
          <w:i/>
          <w:iCs/>
          <w:sz w:val="20"/>
          <w:szCs w:val="20"/>
        </w:rPr>
        <w:t>Journal of Insects as Food and Feed</w:t>
      </w:r>
      <w:r w:rsidRPr="0072364F">
        <w:rPr>
          <w:rFonts w:ascii="Arial" w:hAnsi="Arial" w:cs="Arial"/>
          <w:sz w:val="20"/>
          <w:szCs w:val="20"/>
        </w:rPr>
        <w:t>, </w:t>
      </w:r>
      <w:r w:rsidRPr="0072364F">
        <w:rPr>
          <w:rFonts w:ascii="Arial" w:hAnsi="Arial" w:cs="Arial"/>
          <w:i/>
          <w:iCs/>
          <w:sz w:val="20"/>
          <w:szCs w:val="20"/>
        </w:rPr>
        <w:t>11</w:t>
      </w:r>
      <w:r w:rsidRPr="0072364F">
        <w:rPr>
          <w:rFonts w:ascii="Arial" w:hAnsi="Arial" w:cs="Arial"/>
          <w:sz w:val="20"/>
          <w:szCs w:val="20"/>
        </w:rPr>
        <w:t>(8), 1357-1384.</w:t>
      </w:r>
    </w:p>
    <w:p w14:paraId="006C36F9"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Banerjee, R., Rangappa, M. G., Das, R., Ahmad, T., Sahu, P. K., Sangannavar, P. A., ... &amp; Sivaprasad, V. (2024). The Application of Biostatistical Techniques in Silkworm Breeding and Improvement. In </w:t>
      </w:r>
      <w:r w:rsidRPr="0072364F">
        <w:rPr>
          <w:rFonts w:ascii="Arial" w:hAnsi="Arial" w:cs="Arial"/>
          <w:i/>
          <w:iCs/>
          <w:sz w:val="20"/>
          <w:szCs w:val="20"/>
        </w:rPr>
        <w:t>Biotechnology for Silkworm Crop Enhancement: Tools and Applications</w:t>
      </w:r>
      <w:r w:rsidRPr="0072364F">
        <w:rPr>
          <w:rFonts w:ascii="Arial" w:hAnsi="Arial" w:cs="Arial"/>
          <w:sz w:val="20"/>
          <w:szCs w:val="20"/>
        </w:rPr>
        <w:t> (pp. 239-256). Singapore: Springer Nature Singapore.</w:t>
      </w:r>
    </w:p>
    <w:p w14:paraId="5285AA53"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Suraporn, S., Liu, J., Ren, F., Wang, L., Feng, M., Terenius, O., &amp; Swevers, L. (2025). Towards a Rational Basis for the Selection of Probiotics to Improve Silkworm Health and Performance. </w:t>
      </w:r>
      <w:r w:rsidRPr="0072364F">
        <w:rPr>
          <w:rFonts w:ascii="Arial" w:hAnsi="Arial" w:cs="Arial"/>
          <w:i/>
          <w:iCs/>
          <w:sz w:val="20"/>
          <w:szCs w:val="20"/>
        </w:rPr>
        <w:t>Insects</w:t>
      </w:r>
      <w:r w:rsidRPr="0072364F">
        <w:rPr>
          <w:rFonts w:ascii="Arial" w:hAnsi="Arial" w:cs="Arial"/>
          <w:sz w:val="20"/>
          <w:szCs w:val="20"/>
        </w:rPr>
        <w:t>, </w:t>
      </w:r>
      <w:r w:rsidRPr="0072364F">
        <w:rPr>
          <w:rFonts w:ascii="Arial" w:hAnsi="Arial" w:cs="Arial"/>
          <w:i/>
          <w:iCs/>
          <w:sz w:val="20"/>
          <w:szCs w:val="20"/>
        </w:rPr>
        <w:t>16</w:t>
      </w:r>
      <w:r w:rsidRPr="0072364F">
        <w:rPr>
          <w:rFonts w:ascii="Arial" w:hAnsi="Arial" w:cs="Arial"/>
          <w:sz w:val="20"/>
          <w:szCs w:val="20"/>
        </w:rPr>
        <w:t>(2), 162.</w:t>
      </w:r>
    </w:p>
    <w:p w14:paraId="6CE41103"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Hu, Z., Zhu, F., &amp; Chen, K. (2023). The mechanisms of silkworm resistance to the baculovirus and antiviral breeding. </w:t>
      </w:r>
      <w:r w:rsidRPr="0072364F">
        <w:rPr>
          <w:rFonts w:ascii="Arial" w:hAnsi="Arial" w:cs="Arial"/>
          <w:i/>
          <w:iCs/>
          <w:sz w:val="20"/>
          <w:szCs w:val="20"/>
        </w:rPr>
        <w:t>Annual Review of Entomology</w:t>
      </w:r>
      <w:r w:rsidRPr="0072364F">
        <w:rPr>
          <w:rFonts w:ascii="Arial" w:hAnsi="Arial" w:cs="Arial"/>
          <w:sz w:val="20"/>
          <w:szCs w:val="20"/>
        </w:rPr>
        <w:t>, </w:t>
      </w:r>
      <w:r w:rsidRPr="0072364F">
        <w:rPr>
          <w:rFonts w:ascii="Arial" w:hAnsi="Arial" w:cs="Arial"/>
          <w:i/>
          <w:iCs/>
          <w:sz w:val="20"/>
          <w:szCs w:val="20"/>
        </w:rPr>
        <w:t>68</w:t>
      </w:r>
      <w:r w:rsidRPr="0072364F">
        <w:rPr>
          <w:rFonts w:ascii="Arial" w:hAnsi="Arial" w:cs="Arial"/>
          <w:sz w:val="20"/>
          <w:szCs w:val="20"/>
        </w:rPr>
        <w:t>(1), 381-399.</w:t>
      </w:r>
    </w:p>
    <w:p w14:paraId="046D83C0"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Sivaprasad, V., Chandrakanth, N., &amp; Moorthy, S. M. (2022). Genetics and Genomics of Bombyx mori L. In </w:t>
      </w:r>
      <w:r w:rsidRPr="0072364F">
        <w:rPr>
          <w:rFonts w:ascii="Arial" w:hAnsi="Arial" w:cs="Arial"/>
          <w:i/>
          <w:iCs/>
          <w:sz w:val="20"/>
          <w:szCs w:val="20"/>
        </w:rPr>
        <w:t>Genetic methods and tools for managing crop pests</w:t>
      </w:r>
      <w:r w:rsidRPr="0072364F">
        <w:rPr>
          <w:rFonts w:ascii="Arial" w:hAnsi="Arial" w:cs="Arial"/>
          <w:sz w:val="20"/>
          <w:szCs w:val="20"/>
        </w:rPr>
        <w:t> (pp. 127-209). Singapore: Springer Nature Singapore.</w:t>
      </w:r>
    </w:p>
    <w:p w14:paraId="78640056"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Geng, T., Lu, F., Wu, H., Lou, D., Tu, N., Zhu, F., &amp; Wang, S. J. I. M. B. (2021). Target antifungal peptides of immune signalling pathways in silkworm, Bombyx mori, against Beauveria bassiana. </w:t>
      </w:r>
      <w:r w:rsidRPr="0072364F">
        <w:rPr>
          <w:rFonts w:ascii="Arial" w:hAnsi="Arial" w:cs="Arial"/>
          <w:i/>
          <w:iCs/>
          <w:sz w:val="20"/>
          <w:szCs w:val="20"/>
        </w:rPr>
        <w:t>Insect Molecular Biology</w:t>
      </w:r>
      <w:r w:rsidRPr="0072364F">
        <w:rPr>
          <w:rFonts w:ascii="Arial" w:hAnsi="Arial" w:cs="Arial"/>
          <w:sz w:val="20"/>
          <w:szCs w:val="20"/>
        </w:rPr>
        <w:t>, </w:t>
      </w:r>
      <w:r w:rsidRPr="0072364F">
        <w:rPr>
          <w:rFonts w:ascii="Arial" w:hAnsi="Arial" w:cs="Arial"/>
          <w:i/>
          <w:iCs/>
          <w:sz w:val="20"/>
          <w:szCs w:val="20"/>
        </w:rPr>
        <w:t>30</w:t>
      </w:r>
      <w:r w:rsidRPr="0072364F">
        <w:rPr>
          <w:rFonts w:ascii="Arial" w:hAnsi="Arial" w:cs="Arial"/>
          <w:sz w:val="20"/>
          <w:szCs w:val="20"/>
        </w:rPr>
        <w:t>(1), 102-112.</w:t>
      </w:r>
    </w:p>
    <w:p w14:paraId="2F6DEE29"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Hu, N., Dong, Z. Q., Long, J. Q., Zheng, N., Hu, C. W., Wu, Q., ... &amp; Pan, M. H. (2021). Transcriptome analysis reveals changes in silkworm energy metabolism during Nosema bombycis infection. </w:t>
      </w:r>
      <w:r w:rsidRPr="0072364F">
        <w:rPr>
          <w:rFonts w:ascii="Arial" w:hAnsi="Arial" w:cs="Arial"/>
          <w:i/>
          <w:iCs/>
          <w:sz w:val="20"/>
          <w:szCs w:val="20"/>
        </w:rPr>
        <w:t>Pesticide biochemistry and physiology</w:t>
      </w:r>
      <w:r w:rsidRPr="0072364F">
        <w:rPr>
          <w:rFonts w:ascii="Arial" w:hAnsi="Arial" w:cs="Arial"/>
          <w:sz w:val="20"/>
          <w:szCs w:val="20"/>
        </w:rPr>
        <w:t>, </w:t>
      </w:r>
      <w:r w:rsidRPr="0072364F">
        <w:rPr>
          <w:rFonts w:ascii="Arial" w:hAnsi="Arial" w:cs="Arial"/>
          <w:i/>
          <w:iCs/>
          <w:sz w:val="20"/>
          <w:szCs w:val="20"/>
        </w:rPr>
        <w:t>174</w:t>
      </w:r>
      <w:r w:rsidRPr="0072364F">
        <w:rPr>
          <w:rFonts w:ascii="Arial" w:hAnsi="Arial" w:cs="Arial"/>
          <w:sz w:val="20"/>
          <w:szCs w:val="20"/>
        </w:rPr>
        <w:t>, 104809.</w:t>
      </w:r>
    </w:p>
    <w:p w14:paraId="27566BBE"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Hossain, M. I., Saleh, N. U., Numan, A., Hossain, M. M., Uddin, M. A., &amp; Hossain, M. S. (2023). Bombyx mori as a model for Niallia circulans pathogenicity. </w:t>
      </w:r>
      <w:r w:rsidRPr="0072364F">
        <w:rPr>
          <w:rFonts w:ascii="Arial" w:hAnsi="Arial" w:cs="Arial"/>
          <w:i/>
          <w:iCs/>
          <w:sz w:val="20"/>
          <w:szCs w:val="20"/>
        </w:rPr>
        <w:t>Drug Discoveries &amp; Therapeutics</w:t>
      </w:r>
      <w:r w:rsidRPr="0072364F">
        <w:rPr>
          <w:rFonts w:ascii="Arial" w:hAnsi="Arial" w:cs="Arial"/>
          <w:sz w:val="20"/>
          <w:szCs w:val="20"/>
        </w:rPr>
        <w:t>, </w:t>
      </w:r>
      <w:r w:rsidRPr="0072364F">
        <w:rPr>
          <w:rFonts w:ascii="Arial" w:hAnsi="Arial" w:cs="Arial"/>
          <w:i/>
          <w:iCs/>
          <w:sz w:val="20"/>
          <w:szCs w:val="20"/>
        </w:rPr>
        <w:t>17</w:t>
      </w:r>
      <w:r w:rsidRPr="0072364F">
        <w:rPr>
          <w:rFonts w:ascii="Arial" w:hAnsi="Arial" w:cs="Arial"/>
          <w:sz w:val="20"/>
          <w:szCs w:val="20"/>
        </w:rPr>
        <w:t>(1), 18-25.</w:t>
      </w:r>
    </w:p>
    <w:p w14:paraId="3970317D"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Tanaka, H., &amp; Yamakawa, M. (2011). Regulation of the innate immune responses in the silkworm, Bombyx mori. </w:t>
      </w:r>
      <w:r w:rsidRPr="0072364F">
        <w:rPr>
          <w:rFonts w:ascii="Arial" w:hAnsi="Arial" w:cs="Arial"/>
          <w:i/>
          <w:iCs/>
          <w:sz w:val="20"/>
          <w:szCs w:val="20"/>
        </w:rPr>
        <w:t>Invertebrate Survival Journal</w:t>
      </w:r>
      <w:r w:rsidRPr="0072364F">
        <w:rPr>
          <w:rFonts w:ascii="Arial" w:hAnsi="Arial" w:cs="Arial"/>
          <w:sz w:val="20"/>
          <w:szCs w:val="20"/>
        </w:rPr>
        <w:t>, </w:t>
      </w:r>
      <w:r w:rsidRPr="0072364F">
        <w:rPr>
          <w:rFonts w:ascii="Arial" w:hAnsi="Arial" w:cs="Arial"/>
          <w:i/>
          <w:iCs/>
          <w:sz w:val="20"/>
          <w:szCs w:val="20"/>
        </w:rPr>
        <w:t>8</w:t>
      </w:r>
      <w:r w:rsidRPr="0072364F">
        <w:rPr>
          <w:rFonts w:ascii="Arial" w:hAnsi="Arial" w:cs="Arial"/>
          <w:sz w:val="20"/>
          <w:szCs w:val="20"/>
        </w:rPr>
        <w:t>(1), 59-69.</w:t>
      </w:r>
    </w:p>
    <w:p w14:paraId="20275D9B"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Gadwala, M., Vootla, S., &amp; Tewary, P. (2021). Immune mechanism in silkworm Bombyx mori L. </w:t>
      </w:r>
      <w:r w:rsidRPr="0072364F">
        <w:rPr>
          <w:rFonts w:ascii="Arial" w:hAnsi="Arial" w:cs="Arial"/>
          <w:i/>
          <w:iCs/>
          <w:sz w:val="20"/>
          <w:szCs w:val="20"/>
        </w:rPr>
        <w:t>Methods in Microbiology</w:t>
      </w:r>
      <w:r w:rsidRPr="0072364F">
        <w:rPr>
          <w:rFonts w:ascii="Arial" w:hAnsi="Arial" w:cs="Arial"/>
          <w:sz w:val="20"/>
          <w:szCs w:val="20"/>
        </w:rPr>
        <w:t>, </w:t>
      </w:r>
      <w:r w:rsidRPr="0072364F">
        <w:rPr>
          <w:rFonts w:ascii="Arial" w:hAnsi="Arial" w:cs="Arial"/>
          <w:i/>
          <w:iCs/>
          <w:sz w:val="20"/>
          <w:szCs w:val="20"/>
        </w:rPr>
        <w:t>49</w:t>
      </w:r>
      <w:r w:rsidRPr="0072364F">
        <w:rPr>
          <w:rFonts w:ascii="Arial" w:hAnsi="Arial" w:cs="Arial"/>
          <w:sz w:val="20"/>
          <w:szCs w:val="20"/>
        </w:rPr>
        <w:t>, 115-141.</w:t>
      </w:r>
    </w:p>
    <w:p w14:paraId="213ECAF1"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Zhou, L., Meng, G., Zhu, L., Ma, L., &amp; Chen, K. (2024). Insect antimicrobial peptides as guardians of immunity and beyond: a review. </w:t>
      </w:r>
      <w:r w:rsidRPr="0072364F">
        <w:rPr>
          <w:rFonts w:ascii="Arial" w:hAnsi="Arial" w:cs="Arial"/>
          <w:i/>
          <w:iCs/>
          <w:sz w:val="20"/>
          <w:szCs w:val="20"/>
        </w:rPr>
        <w:t>International journal of molecular sciences</w:t>
      </w:r>
      <w:r w:rsidRPr="0072364F">
        <w:rPr>
          <w:rFonts w:ascii="Arial" w:hAnsi="Arial" w:cs="Arial"/>
          <w:sz w:val="20"/>
          <w:szCs w:val="20"/>
        </w:rPr>
        <w:t>, </w:t>
      </w:r>
      <w:r w:rsidRPr="0072364F">
        <w:rPr>
          <w:rFonts w:ascii="Arial" w:hAnsi="Arial" w:cs="Arial"/>
          <w:i/>
          <w:iCs/>
          <w:sz w:val="20"/>
          <w:szCs w:val="20"/>
        </w:rPr>
        <w:t>25</w:t>
      </w:r>
      <w:r w:rsidRPr="0072364F">
        <w:rPr>
          <w:rFonts w:ascii="Arial" w:hAnsi="Arial" w:cs="Arial"/>
          <w:sz w:val="20"/>
          <w:szCs w:val="20"/>
        </w:rPr>
        <w:t>(7), 3835.</w:t>
      </w:r>
    </w:p>
    <w:p w14:paraId="00FC4BE8"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Zha, X. L., Wang, H., Sun, W., Zhang, H. Y., Wen, J., Huang, X. Z., ... &amp; Shen, Y. H. (2021). Characteristics of the peritrophic matrix of the silkworm, Bombyx mori and factors influencing its formation. </w:t>
      </w:r>
      <w:r w:rsidRPr="0072364F">
        <w:rPr>
          <w:rFonts w:ascii="Arial" w:hAnsi="Arial" w:cs="Arial"/>
          <w:i/>
          <w:iCs/>
          <w:sz w:val="20"/>
          <w:szCs w:val="20"/>
        </w:rPr>
        <w:t>Insects</w:t>
      </w:r>
      <w:r w:rsidRPr="0072364F">
        <w:rPr>
          <w:rFonts w:ascii="Arial" w:hAnsi="Arial" w:cs="Arial"/>
          <w:sz w:val="20"/>
          <w:szCs w:val="20"/>
        </w:rPr>
        <w:t>, </w:t>
      </w:r>
      <w:r w:rsidRPr="0072364F">
        <w:rPr>
          <w:rFonts w:ascii="Arial" w:hAnsi="Arial" w:cs="Arial"/>
          <w:i/>
          <w:iCs/>
          <w:sz w:val="20"/>
          <w:szCs w:val="20"/>
        </w:rPr>
        <w:t>12</w:t>
      </w:r>
      <w:r w:rsidRPr="0072364F">
        <w:rPr>
          <w:rFonts w:ascii="Arial" w:hAnsi="Arial" w:cs="Arial"/>
          <w:sz w:val="20"/>
          <w:szCs w:val="20"/>
        </w:rPr>
        <w:t>(6), 516.</w:t>
      </w:r>
    </w:p>
    <w:p w14:paraId="69F8BA47"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Wang, Q., Yang, L., Tian, T., Sun, Y., Dong, H., Gong, J., &amp; Hou, Y. (2023). Proteomic analysis of the midgut contents of silkworm in the pupal stage. Insects, 14(12), 953.</w:t>
      </w:r>
    </w:p>
    <w:p w14:paraId="060F1C13"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Tang, J. W., Wang, Q., Jiang, Y. M., Jiang, Y. R., Wang, Y., &amp; Liu, W. (2024). Group V chitin deacetylases are responsible for the structure and barrier function of the gut peritrophic matrix in the chinese oak silkworm antheraea pernyi. </w:t>
      </w:r>
      <w:r w:rsidRPr="0072364F">
        <w:rPr>
          <w:rFonts w:ascii="Arial" w:hAnsi="Arial" w:cs="Arial"/>
          <w:i/>
          <w:iCs/>
          <w:sz w:val="20"/>
          <w:szCs w:val="20"/>
        </w:rPr>
        <w:t>International Journal of Molecular Sciences</w:t>
      </w:r>
      <w:r w:rsidRPr="0072364F">
        <w:rPr>
          <w:rFonts w:ascii="Arial" w:hAnsi="Arial" w:cs="Arial"/>
          <w:sz w:val="20"/>
          <w:szCs w:val="20"/>
        </w:rPr>
        <w:t>, </w:t>
      </w:r>
      <w:r w:rsidRPr="0072364F">
        <w:rPr>
          <w:rFonts w:ascii="Arial" w:hAnsi="Arial" w:cs="Arial"/>
          <w:i/>
          <w:iCs/>
          <w:sz w:val="20"/>
          <w:szCs w:val="20"/>
        </w:rPr>
        <w:t>26</w:t>
      </w:r>
      <w:r w:rsidRPr="0072364F">
        <w:rPr>
          <w:rFonts w:ascii="Arial" w:hAnsi="Arial" w:cs="Arial"/>
          <w:sz w:val="20"/>
          <w:szCs w:val="20"/>
        </w:rPr>
        <w:t>(1), 296.</w:t>
      </w:r>
    </w:p>
    <w:p w14:paraId="0CB4C186"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Tungjitwitayakul, J., &amp; Tatun, N. (2019). Hemocyte Types based on total and differential counts in Samia cynthia ricini (Lepidoptera; Saturniidae) reared on host plants versus an artificial diet. </w:t>
      </w:r>
      <w:r w:rsidRPr="0072364F">
        <w:rPr>
          <w:rFonts w:ascii="Arial" w:hAnsi="Arial" w:cs="Arial"/>
          <w:i/>
          <w:iCs/>
          <w:sz w:val="20"/>
          <w:szCs w:val="20"/>
        </w:rPr>
        <w:t>Asian Health, Science and Technology Reports</w:t>
      </w:r>
      <w:r w:rsidRPr="0072364F">
        <w:rPr>
          <w:rFonts w:ascii="Arial" w:hAnsi="Arial" w:cs="Arial"/>
          <w:sz w:val="20"/>
          <w:szCs w:val="20"/>
        </w:rPr>
        <w:t>, </w:t>
      </w:r>
      <w:r w:rsidRPr="0072364F">
        <w:rPr>
          <w:rFonts w:ascii="Arial" w:hAnsi="Arial" w:cs="Arial"/>
          <w:i/>
          <w:iCs/>
          <w:sz w:val="20"/>
          <w:szCs w:val="20"/>
        </w:rPr>
        <w:t>27</w:t>
      </w:r>
      <w:r w:rsidRPr="0072364F">
        <w:rPr>
          <w:rFonts w:ascii="Arial" w:hAnsi="Arial" w:cs="Arial"/>
          <w:sz w:val="20"/>
          <w:szCs w:val="20"/>
        </w:rPr>
        <w:t>(3), 82-94.</w:t>
      </w:r>
    </w:p>
    <w:p w14:paraId="0D70E323"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lastRenderedPageBreak/>
        <w:t>Liu, F. F., Liu, Z., Li, H., Zhang, W. T., Wang, Q., Zhang, B. X., ... &amp; Rao, X. J. (2022). CTL10 has multiple functions in the innate immune responses of the silkworm, Bombyx mori. </w:t>
      </w:r>
      <w:r w:rsidRPr="0072364F">
        <w:rPr>
          <w:rFonts w:ascii="Arial" w:hAnsi="Arial" w:cs="Arial"/>
          <w:i/>
          <w:iCs/>
          <w:sz w:val="20"/>
          <w:szCs w:val="20"/>
        </w:rPr>
        <w:t>Developmental &amp; Comparative Immunology</w:t>
      </w:r>
      <w:r w:rsidRPr="0072364F">
        <w:rPr>
          <w:rFonts w:ascii="Arial" w:hAnsi="Arial" w:cs="Arial"/>
          <w:sz w:val="20"/>
          <w:szCs w:val="20"/>
        </w:rPr>
        <w:t>, </w:t>
      </w:r>
      <w:r w:rsidRPr="0072364F">
        <w:rPr>
          <w:rFonts w:ascii="Arial" w:hAnsi="Arial" w:cs="Arial"/>
          <w:i/>
          <w:iCs/>
          <w:sz w:val="20"/>
          <w:szCs w:val="20"/>
        </w:rPr>
        <w:t>127</w:t>
      </w:r>
      <w:r w:rsidRPr="0072364F">
        <w:rPr>
          <w:rFonts w:ascii="Arial" w:hAnsi="Arial" w:cs="Arial"/>
          <w:sz w:val="20"/>
          <w:szCs w:val="20"/>
        </w:rPr>
        <w:t>, 104309.</w:t>
      </w:r>
    </w:p>
    <w:p w14:paraId="3EC664B2"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Archana, B. R., &amp; Hemadri, T. (2025). Insects immunity: types and mechanisms. </w:t>
      </w:r>
      <w:r w:rsidRPr="0072364F">
        <w:rPr>
          <w:rFonts w:ascii="Arial" w:hAnsi="Arial" w:cs="Arial"/>
          <w:i/>
          <w:iCs/>
          <w:sz w:val="20"/>
          <w:szCs w:val="20"/>
        </w:rPr>
        <w:t>INDIAN ENTOMOLOGIST</w:t>
      </w:r>
      <w:r w:rsidRPr="0072364F">
        <w:rPr>
          <w:rFonts w:ascii="Arial" w:hAnsi="Arial" w:cs="Arial"/>
          <w:sz w:val="20"/>
          <w:szCs w:val="20"/>
        </w:rPr>
        <w:t>, 43.</w:t>
      </w:r>
    </w:p>
    <w:p w14:paraId="5C11D63B"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Zdybicka-Barabas, A., Stączek, S., Kunat-Budzyńska, M., &amp; Cytryńska, M. (2025). Innate Immunity in Insects: The Lights and Shadows of Phenoloxidase System Activation. </w:t>
      </w:r>
      <w:r w:rsidRPr="0072364F">
        <w:rPr>
          <w:rFonts w:ascii="Arial" w:hAnsi="Arial" w:cs="Arial"/>
          <w:i/>
          <w:iCs/>
          <w:sz w:val="20"/>
          <w:szCs w:val="20"/>
        </w:rPr>
        <w:t>International Journal of Molecular Sciences</w:t>
      </w:r>
      <w:r w:rsidRPr="0072364F">
        <w:rPr>
          <w:rFonts w:ascii="Arial" w:hAnsi="Arial" w:cs="Arial"/>
          <w:sz w:val="20"/>
          <w:szCs w:val="20"/>
        </w:rPr>
        <w:t>, </w:t>
      </w:r>
      <w:r w:rsidRPr="0072364F">
        <w:rPr>
          <w:rFonts w:ascii="Arial" w:hAnsi="Arial" w:cs="Arial"/>
          <w:i/>
          <w:iCs/>
          <w:sz w:val="20"/>
          <w:szCs w:val="20"/>
        </w:rPr>
        <w:t>26</w:t>
      </w:r>
      <w:r w:rsidRPr="0072364F">
        <w:rPr>
          <w:rFonts w:ascii="Arial" w:hAnsi="Arial" w:cs="Arial"/>
          <w:sz w:val="20"/>
          <w:szCs w:val="20"/>
        </w:rPr>
        <w:t>(3), 1320.</w:t>
      </w:r>
    </w:p>
    <w:p w14:paraId="33547FE8"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Dastidar, D. G., Chakraborty, B., &amp; Halder, S. K. (2025). The origin, categorization, and therapeutic uses of insect antimicrobial peptides (AMPs). </w:t>
      </w:r>
      <w:r w:rsidRPr="0072364F">
        <w:rPr>
          <w:rFonts w:ascii="Arial" w:hAnsi="Arial" w:cs="Arial"/>
          <w:i/>
          <w:iCs/>
          <w:sz w:val="20"/>
          <w:szCs w:val="20"/>
        </w:rPr>
        <w:t>Proceedings of the Indian National Science Academy</w:t>
      </w:r>
      <w:r w:rsidRPr="0072364F">
        <w:rPr>
          <w:rFonts w:ascii="Arial" w:hAnsi="Arial" w:cs="Arial"/>
          <w:sz w:val="20"/>
          <w:szCs w:val="20"/>
        </w:rPr>
        <w:t>, 1-19.</w:t>
      </w:r>
    </w:p>
    <w:p w14:paraId="4BBBC564"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Zhou, Z. (2020). </w:t>
      </w:r>
      <w:r w:rsidRPr="0072364F">
        <w:rPr>
          <w:rFonts w:ascii="Arial" w:hAnsi="Arial" w:cs="Arial"/>
          <w:i/>
          <w:iCs/>
          <w:sz w:val="20"/>
          <w:szCs w:val="20"/>
        </w:rPr>
        <w:t>The role of miRNAs in regulating the expression of flavonol pathway genes and its possible impact on the crosstalk between UV-B and flg22 signal cascades in Arabidopsis thaliana</w:t>
      </w:r>
      <w:r w:rsidRPr="0072364F">
        <w:rPr>
          <w:rFonts w:ascii="Arial" w:hAnsi="Arial" w:cs="Arial"/>
          <w:sz w:val="20"/>
          <w:szCs w:val="20"/>
        </w:rPr>
        <w:t> (Doctoral dissertation).</w:t>
      </w:r>
    </w:p>
    <w:p w14:paraId="7D906C8F"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Jiang, L. (2021). Insights into the antiviral pathways of the silkworm Bombyx mori. </w:t>
      </w:r>
      <w:r w:rsidRPr="0072364F">
        <w:rPr>
          <w:rFonts w:ascii="Arial" w:hAnsi="Arial" w:cs="Arial"/>
          <w:i/>
          <w:iCs/>
          <w:sz w:val="20"/>
          <w:szCs w:val="20"/>
        </w:rPr>
        <w:t>Frontiers in immunology</w:t>
      </w:r>
      <w:r w:rsidRPr="0072364F">
        <w:rPr>
          <w:rFonts w:ascii="Arial" w:hAnsi="Arial" w:cs="Arial"/>
          <w:sz w:val="20"/>
          <w:szCs w:val="20"/>
        </w:rPr>
        <w:t>, </w:t>
      </w:r>
      <w:r w:rsidRPr="0072364F">
        <w:rPr>
          <w:rFonts w:ascii="Arial" w:hAnsi="Arial" w:cs="Arial"/>
          <w:i/>
          <w:iCs/>
          <w:sz w:val="20"/>
          <w:szCs w:val="20"/>
        </w:rPr>
        <w:t>12</w:t>
      </w:r>
      <w:r w:rsidRPr="0072364F">
        <w:rPr>
          <w:rFonts w:ascii="Arial" w:hAnsi="Arial" w:cs="Arial"/>
          <w:sz w:val="20"/>
          <w:szCs w:val="20"/>
        </w:rPr>
        <w:t>, 639092.</w:t>
      </w:r>
    </w:p>
    <w:p w14:paraId="28A1A4FC"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Kloc, M., Halasa, M., Kubiak, J. Z., &amp; Ghobrial, R. M. (2024). Invertebrate immunity, natural transplantation immunity, somatic and germ cell parasitism, and transposon defense. </w:t>
      </w:r>
      <w:r w:rsidRPr="0072364F">
        <w:rPr>
          <w:rFonts w:ascii="Arial" w:hAnsi="Arial" w:cs="Arial"/>
          <w:i/>
          <w:iCs/>
          <w:sz w:val="20"/>
          <w:szCs w:val="20"/>
        </w:rPr>
        <w:t>International Journal of Molecular Sciences</w:t>
      </w:r>
      <w:r w:rsidRPr="0072364F">
        <w:rPr>
          <w:rFonts w:ascii="Arial" w:hAnsi="Arial" w:cs="Arial"/>
          <w:sz w:val="20"/>
          <w:szCs w:val="20"/>
        </w:rPr>
        <w:t>, </w:t>
      </w:r>
      <w:r w:rsidRPr="0072364F">
        <w:rPr>
          <w:rFonts w:ascii="Arial" w:hAnsi="Arial" w:cs="Arial"/>
          <w:i/>
          <w:iCs/>
          <w:sz w:val="20"/>
          <w:szCs w:val="20"/>
        </w:rPr>
        <w:t>25</w:t>
      </w:r>
      <w:r w:rsidRPr="0072364F">
        <w:rPr>
          <w:rFonts w:ascii="Arial" w:hAnsi="Arial" w:cs="Arial"/>
          <w:sz w:val="20"/>
          <w:szCs w:val="20"/>
        </w:rPr>
        <w:t>(2), 1072.</w:t>
      </w:r>
    </w:p>
    <w:p w14:paraId="148625C9"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Lv, J. L., Zheng, K. Y., Wang, X. Y., &amp; Li, M. W. (2023). Advances in the extracellular signal</w:t>
      </w:r>
      <w:r w:rsidRPr="0072364F">
        <w:rPr>
          <w:rFonts w:ascii="Cambria Math" w:hAnsi="Cambria Math" w:cs="Cambria Math"/>
          <w:sz w:val="20"/>
          <w:szCs w:val="20"/>
        </w:rPr>
        <w:t>‐</w:t>
      </w:r>
      <w:r w:rsidRPr="0072364F">
        <w:rPr>
          <w:rFonts w:ascii="Arial" w:hAnsi="Arial" w:cs="Arial"/>
          <w:sz w:val="20"/>
          <w:szCs w:val="20"/>
        </w:rPr>
        <w:t>regulated kinase signalling pathway in silkworms, Bombyx mori (Lepidoptera). </w:t>
      </w:r>
      <w:r w:rsidRPr="0072364F">
        <w:rPr>
          <w:rFonts w:ascii="Arial" w:hAnsi="Arial" w:cs="Arial"/>
          <w:i/>
          <w:iCs/>
          <w:sz w:val="20"/>
          <w:szCs w:val="20"/>
        </w:rPr>
        <w:t>Archives of Insect Biochemistry and Physiology</w:t>
      </w:r>
      <w:r w:rsidRPr="0072364F">
        <w:rPr>
          <w:rFonts w:ascii="Arial" w:hAnsi="Arial" w:cs="Arial"/>
          <w:sz w:val="20"/>
          <w:szCs w:val="20"/>
        </w:rPr>
        <w:t>, </w:t>
      </w:r>
      <w:r w:rsidRPr="0072364F">
        <w:rPr>
          <w:rFonts w:ascii="Arial" w:hAnsi="Arial" w:cs="Arial"/>
          <w:i/>
          <w:iCs/>
          <w:sz w:val="20"/>
          <w:szCs w:val="20"/>
        </w:rPr>
        <w:t>114</w:t>
      </w:r>
      <w:r w:rsidRPr="0072364F">
        <w:rPr>
          <w:rFonts w:ascii="Arial" w:hAnsi="Arial" w:cs="Arial"/>
          <w:sz w:val="20"/>
          <w:szCs w:val="20"/>
        </w:rPr>
        <w:t>(4), e22054.</w:t>
      </w:r>
    </w:p>
    <w:p w14:paraId="79643C26"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Zhao, S., Chen, G., Kong, X., Chen, N., &amp; Wu, X. (2022). BmNPV p35 reduces the accumulation of virus-derived siRNAs and hinders the function of siRNAs to facilitate viral infection. </w:t>
      </w:r>
      <w:r w:rsidRPr="0072364F">
        <w:rPr>
          <w:rFonts w:ascii="Arial" w:hAnsi="Arial" w:cs="Arial"/>
          <w:i/>
          <w:iCs/>
          <w:sz w:val="20"/>
          <w:szCs w:val="20"/>
        </w:rPr>
        <w:t>Frontiers in Immunology</w:t>
      </w:r>
      <w:r w:rsidRPr="0072364F">
        <w:rPr>
          <w:rFonts w:ascii="Arial" w:hAnsi="Arial" w:cs="Arial"/>
          <w:sz w:val="20"/>
          <w:szCs w:val="20"/>
        </w:rPr>
        <w:t>, </w:t>
      </w:r>
      <w:r w:rsidRPr="0072364F">
        <w:rPr>
          <w:rFonts w:ascii="Arial" w:hAnsi="Arial" w:cs="Arial"/>
          <w:i/>
          <w:iCs/>
          <w:sz w:val="20"/>
          <w:szCs w:val="20"/>
        </w:rPr>
        <w:t>13</w:t>
      </w:r>
      <w:r w:rsidRPr="0072364F">
        <w:rPr>
          <w:rFonts w:ascii="Arial" w:hAnsi="Arial" w:cs="Arial"/>
          <w:sz w:val="20"/>
          <w:szCs w:val="20"/>
        </w:rPr>
        <w:t>, 845268.</w:t>
      </w:r>
    </w:p>
    <w:p w14:paraId="15647D7C"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Makwana, P., Rahul, K., Chattopadhaya, S., &amp; Shivaprasad, V. (2021). Effect of thermal stress on antioxidant responses in Bombyx mori. </w:t>
      </w:r>
      <w:r w:rsidRPr="0072364F">
        <w:rPr>
          <w:rFonts w:ascii="Arial" w:hAnsi="Arial" w:cs="Arial"/>
          <w:i/>
          <w:iCs/>
          <w:sz w:val="20"/>
          <w:szCs w:val="20"/>
        </w:rPr>
        <w:t>Chemical Science Review and Letters</w:t>
      </w:r>
      <w:r w:rsidRPr="0072364F">
        <w:rPr>
          <w:rFonts w:ascii="Arial" w:hAnsi="Arial" w:cs="Arial"/>
          <w:sz w:val="20"/>
          <w:szCs w:val="20"/>
        </w:rPr>
        <w:t>, </w:t>
      </w:r>
      <w:r w:rsidRPr="0072364F">
        <w:rPr>
          <w:rFonts w:ascii="Arial" w:hAnsi="Arial" w:cs="Arial"/>
          <w:i/>
          <w:iCs/>
          <w:sz w:val="20"/>
          <w:szCs w:val="20"/>
        </w:rPr>
        <w:t>10</w:t>
      </w:r>
      <w:r w:rsidRPr="0072364F">
        <w:rPr>
          <w:rFonts w:ascii="Arial" w:hAnsi="Arial" w:cs="Arial"/>
          <w:sz w:val="20"/>
          <w:szCs w:val="20"/>
        </w:rPr>
        <w:t>(38), 288-94.</w:t>
      </w:r>
    </w:p>
    <w:p w14:paraId="4B2EC54E"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Ashraf, H., &amp; Qamar, A. (2023). A review on heat stress altering the insect life history strategies and underlying mechanisms: Special reference to an economically important Lepidoptera, Bombyx mori (Linnaeus, 1758)(Lepidoptera: Bombycidae). </w:t>
      </w:r>
      <w:r w:rsidRPr="0072364F">
        <w:rPr>
          <w:rFonts w:ascii="Arial" w:hAnsi="Arial" w:cs="Arial"/>
          <w:i/>
          <w:iCs/>
          <w:sz w:val="20"/>
          <w:szCs w:val="20"/>
        </w:rPr>
        <w:t>SHILAP Revista de lepidopterología</w:t>
      </w:r>
      <w:r w:rsidRPr="0072364F">
        <w:rPr>
          <w:rFonts w:ascii="Arial" w:hAnsi="Arial" w:cs="Arial"/>
          <w:sz w:val="20"/>
          <w:szCs w:val="20"/>
        </w:rPr>
        <w:t>, </w:t>
      </w:r>
      <w:r w:rsidRPr="0072364F">
        <w:rPr>
          <w:rFonts w:ascii="Arial" w:hAnsi="Arial" w:cs="Arial"/>
          <w:i/>
          <w:iCs/>
          <w:sz w:val="20"/>
          <w:szCs w:val="20"/>
        </w:rPr>
        <w:t>51</w:t>
      </w:r>
      <w:r w:rsidRPr="0072364F">
        <w:rPr>
          <w:rFonts w:ascii="Arial" w:hAnsi="Arial" w:cs="Arial"/>
          <w:sz w:val="20"/>
          <w:szCs w:val="20"/>
        </w:rPr>
        <w:t>(202), 339-357.</w:t>
      </w:r>
    </w:p>
    <w:p w14:paraId="5C541135"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Gao, R., Li, C., Zhou, A., Wang, X., Lu, K., Zuo, W., ... &amp; Dai, F. (2024). QTL analysis to identify genes involved in the trade-off between silk protein synthesis and larva-pupa transition in silkworms. </w:t>
      </w:r>
      <w:r w:rsidRPr="0072364F">
        <w:rPr>
          <w:rFonts w:ascii="Arial" w:hAnsi="Arial" w:cs="Arial"/>
          <w:i/>
          <w:iCs/>
          <w:sz w:val="20"/>
          <w:szCs w:val="20"/>
        </w:rPr>
        <w:t>Genetics Selection Evolution</w:t>
      </w:r>
      <w:r w:rsidRPr="0072364F">
        <w:rPr>
          <w:rFonts w:ascii="Arial" w:hAnsi="Arial" w:cs="Arial"/>
          <w:sz w:val="20"/>
          <w:szCs w:val="20"/>
        </w:rPr>
        <w:t>, </w:t>
      </w:r>
      <w:r w:rsidRPr="0072364F">
        <w:rPr>
          <w:rFonts w:ascii="Arial" w:hAnsi="Arial" w:cs="Arial"/>
          <w:i/>
          <w:iCs/>
          <w:sz w:val="20"/>
          <w:szCs w:val="20"/>
        </w:rPr>
        <w:t>56</w:t>
      </w:r>
      <w:r w:rsidRPr="0072364F">
        <w:rPr>
          <w:rFonts w:ascii="Arial" w:hAnsi="Arial" w:cs="Arial"/>
          <w:sz w:val="20"/>
          <w:szCs w:val="20"/>
        </w:rPr>
        <w:t>(1), 68.</w:t>
      </w:r>
    </w:p>
    <w:p w14:paraId="20251039"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Sharma, A., Sharma, P., Thakur, J., Murali, S., &amp; Bali, K. (2020). Viral diseases of Mulberry Silkworm, Bombyx mori L. A review. </w:t>
      </w:r>
      <w:r w:rsidRPr="0072364F">
        <w:rPr>
          <w:rFonts w:ascii="Arial" w:hAnsi="Arial" w:cs="Arial"/>
          <w:i/>
          <w:iCs/>
          <w:sz w:val="20"/>
          <w:szCs w:val="20"/>
        </w:rPr>
        <w:t>Journal of Pharmacognosy and Phytochemistry</w:t>
      </w:r>
      <w:r w:rsidRPr="0072364F">
        <w:rPr>
          <w:rFonts w:ascii="Arial" w:hAnsi="Arial" w:cs="Arial"/>
          <w:sz w:val="20"/>
          <w:szCs w:val="20"/>
        </w:rPr>
        <w:t>, </w:t>
      </w:r>
      <w:r w:rsidRPr="0072364F">
        <w:rPr>
          <w:rFonts w:ascii="Arial" w:hAnsi="Arial" w:cs="Arial"/>
          <w:i/>
          <w:iCs/>
          <w:sz w:val="20"/>
          <w:szCs w:val="20"/>
        </w:rPr>
        <w:t>9</w:t>
      </w:r>
      <w:r w:rsidRPr="0072364F">
        <w:rPr>
          <w:rFonts w:ascii="Arial" w:hAnsi="Arial" w:cs="Arial"/>
          <w:sz w:val="20"/>
          <w:szCs w:val="20"/>
        </w:rPr>
        <w:t>(2), 415-423.</w:t>
      </w:r>
    </w:p>
    <w:p w14:paraId="48EC18BF"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Ito, K., Ponnuvel, K. M., &amp; Kadono-Okuda, K. (2021). Host response against virus infection in an insect: Bidensovirus infection effect on silkworm (Bombyx mori). </w:t>
      </w:r>
      <w:r w:rsidRPr="0072364F">
        <w:rPr>
          <w:rFonts w:ascii="Arial" w:hAnsi="Arial" w:cs="Arial"/>
          <w:i/>
          <w:iCs/>
          <w:sz w:val="20"/>
          <w:szCs w:val="20"/>
        </w:rPr>
        <w:t>Antioxidants</w:t>
      </w:r>
      <w:r w:rsidRPr="0072364F">
        <w:rPr>
          <w:rFonts w:ascii="Arial" w:hAnsi="Arial" w:cs="Arial"/>
          <w:sz w:val="20"/>
          <w:szCs w:val="20"/>
        </w:rPr>
        <w:t>, </w:t>
      </w:r>
      <w:r w:rsidRPr="0072364F">
        <w:rPr>
          <w:rFonts w:ascii="Arial" w:hAnsi="Arial" w:cs="Arial"/>
          <w:i/>
          <w:iCs/>
          <w:sz w:val="20"/>
          <w:szCs w:val="20"/>
        </w:rPr>
        <w:t>10</w:t>
      </w:r>
      <w:r w:rsidRPr="0072364F">
        <w:rPr>
          <w:rFonts w:ascii="Arial" w:hAnsi="Arial" w:cs="Arial"/>
          <w:sz w:val="20"/>
          <w:szCs w:val="20"/>
        </w:rPr>
        <w:t>(4), 522.</w:t>
      </w:r>
    </w:p>
    <w:p w14:paraId="247E4083"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Kadono-Okuda, K., Ito, K., Murthy, G. N., Sivaprasad, V., &amp; Ponnuvel, K. M. (2014). Molecular mechanism of densovirus resistance in silkworm, Bombyx mori. </w:t>
      </w:r>
      <w:r w:rsidRPr="0072364F">
        <w:rPr>
          <w:rFonts w:ascii="Arial" w:hAnsi="Arial" w:cs="Arial"/>
          <w:i/>
          <w:iCs/>
          <w:sz w:val="20"/>
          <w:szCs w:val="20"/>
        </w:rPr>
        <w:t>Sericologia</w:t>
      </w:r>
      <w:r w:rsidRPr="0072364F">
        <w:rPr>
          <w:rFonts w:ascii="Arial" w:hAnsi="Arial" w:cs="Arial"/>
          <w:sz w:val="20"/>
          <w:szCs w:val="20"/>
        </w:rPr>
        <w:t>, </w:t>
      </w:r>
      <w:r w:rsidRPr="0072364F">
        <w:rPr>
          <w:rFonts w:ascii="Arial" w:hAnsi="Arial" w:cs="Arial"/>
          <w:i/>
          <w:iCs/>
          <w:sz w:val="20"/>
          <w:szCs w:val="20"/>
        </w:rPr>
        <w:t>54</w:t>
      </w:r>
      <w:r w:rsidRPr="0072364F">
        <w:rPr>
          <w:rFonts w:ascii="Arial" w:hAnsi="Arial" w:cs="Arial"/>
          <w:sz w:val="20"/>
          <w:szCs w:val="20"/>
        </w:rPr>
        <w:t>(1), 1-10.</w:t>
      </w:r>
    </w:p>
    <w:p w14:paraId="1A7DB55D"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 xml:space="preserve">Cheng, H. H., Perumbakkam, S., Pyrkosz, A. B., Dunn, J. R., Legarra, A., &amp; Muir, W. M. (2015). Fine mapping of QTL and genomic prediction using allele-specific expression </w:t>
      </w:r>
      <w:r w:rsidRPr="0072364F">
        <w:rPr>
          <w:rFonts w:ascii="Arial" w:hAnsi="Arial" w:cs="Arial"/>
          <w:sz w:val="20"/>
          <w:szCs w:val="20"/>
        </w:rPr>
        <w:lastRenderedPageBreak/>
        <w:t>SNPs demonstrates that the complex trait of genetic resistance to Marek’s disease is predominantly determined by transcriptional regulation. </w:t>
      </w:r>
      <w:r w:rsidRPr="0072364F">
        <w:rPr>
          <w:rFonts w:ascii="Arial" w:hAnsi="Arial" w:cs="Arial"/>
          <w:i/>
          <w:iCs/>
          <w:sz w:val="20"/>
          <w:szCs w:val="20"/>
        </w:rPr>
        <w:t>BMC genomics</w:t>
      </w:r>
      <w:r w:rsidRPr="0072364F">
        <w:rPr>
          <w:rFonts w:ascii="Arial" w:hAnsi="Arial" w:cs="Arial"/>
          <w:sz w:val="20"/>
          <w:szCs w:val="20"/>
        </w:rPr>
        <w:t>, </w:t>
      </w:r>
      <w:r w:rsidRPr="0072364F">
        <w:rPr>
          <w:rFonts w:ascii="Arial" w:hAnsi="Arial" w:cs="Arial"/>
          <w:i/>
          <w:iCs/>
          <w:sz w:val="20"/>
          <w:szCs w:val="20"/>
        </w:rPr>
        <w:t>16</w:t>
      </w:r>
      <w:r w:rsidRPr="0072364F">
        <w:rPr>
          <w:rFonts w:ascii="Arial" w:hAnsi="Arial" w:cs="Arial"/>
          <w:sz w:val="20"/>
          <w:szCs w:val="20"/>
        </w:rPr>
        <w:t>(1), 816.</w:t>
      </w:r>
    </w:p>
    <w:p w14:paraId="63A3671B"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Yu, S., Wang, C., Li, K., Yang, Y., He, Y. Z., &amp; Wu, Y. (2022). Transcriptional analysis of cotton bollworm strains with different genetic mechanisms of resistance and their response to Bacillus thuringiensis Cry1Ac toxin. </w:t>
      </w:r>
      <w:r w:rsidRPr="0072364F">
        <w:rPr>
          <w:rFonts w:ascii="Arial" w:hAnsi="Arial" w:cs="Arial"/>
          <w:i/>
          <w:iCs/>
          <w:sz w:val="20"/>
          <w:szCs w:val="20"/>
        </w:rPr>
        <w:t>Toxins</w:t>
      </w:r>
      <w:r w:rsidRPr="0072364F">
        <w:rPr>
          <w:rFonts w:ascii="Arial" w:hAnsi="Arial" w:cs="Arial"/>
          <w:sz w:val="20"/>
          <w:szCs w:val="20"/>
        </w:rPr>
        <w:t>, </w:t>
      </w:r>
      <w:r w:rsidRPr="0072364F">
        <w:rPr>
          <w:rFonts w:ascii="Arial" w:hAnsi="Arial" w:cs="Arial"/>
          <w:i/>
          <w:iCs/>
          <w:sz w:val="20"/>
          <w:szCs w:val="20"/>
        </w:rPr>
        <w:t>14</w:t>
      </w:r>
      <w:r w:rsidRPr="0072364F">
        <w:rPr>
          <w:rFonts w:ascii="Arial" w:hAnsi="Arial" w:cs="Arial"/>
          <w:sz w:val="20"/>
          <w:szCs w:val="20"/>
        </w:rPr>
        <w:t>(6), 366.</w:t>
      </w:r>
    </w:p>
    <w:p w14:paraId="0EB76B1A"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Zhao, Z. Q., Zheng, K. Y., Zhu, Y. T., Lv, J. L., Su, Z. H., Zhang, X. Y., ... &amp; Wang, X. Y. (2023). Transcriptomic analysis of the fat body of resistant and susceptible silkworm strains, Bombyx mori (Lepidoptera), after oral treatment with fenpropathrin. </w:t>
      </w:r>
      <w:r w:rsidRPr="0072364F">
        <w:rPr>
          <w:rFonts w:ascii="Arial" w:hAnsi="Arial" w:cs="Arial"/>
          <w:i/>
          <w:iCs/>
          <w:sz w:val="20"/>
          <w:szCs w:val="20"/>
        </w:rPr>
        <w:t>Pesticide Biochemistry and Physiology</w:t>
      </w:r>
      <w:r w:rsidRPr="0072364F">
        <w:rPr>
          <w:rFonts w:ascii="Arial" w:hAnsi="Arial" w:cs="Arial"/>
          <w:sz w:val="20"/>
          <w:szCs w:val="20"/>
        </w:rPr>
        <w:t>, </w:t>
      </w:r>
      <w:r w:rsidRPr="0072364F">
        <w:rPr>
          <w:rFonts w:ascii="Arial" w:hAnsi="Arial" w:cs="Arial"/>
          <w:i/>
          <w:iCs/>
          <w:sz w:val="20"/>
          <w:szCs w:val="20"/>
        </w:rPr>
        <w:t>194</w:t>
      </w:r>
      <w:r w:rsidRPr="0072364F">
        <w:rPr>
          <w:rFonts w:ascii="Arial" w:hAnsi="Arial" w:cs="Arial"/>
          <w:sz w:val="20"/>
          <w:szCs w:val="20"/>
        </w:rPr>
        <w:t>, 105485.</w:t>
      </w:r>
    </w:p>
    <w:p w14:paraId="2D947453"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Chen, H. Q., Yao, Q., Bao, F., Chen, K. P., Liu, X. Y., Li, J., &amp; Wang, L. (2011). Comparative proteome analysis of silkworm in its susceptibility and resistance responses to Bombyx mori densonucleosis virus. </w:t>
      </w:r>
      <w:r w:rsidRPr="0072364F">
        <w:rPr>
          <w:rFonts w:ascii="Arial" w:hAnsi="Arial" w:cs="Arial"/>
          <w:i/>
          <w:iCs/>
          <w:sz w:val="20"/>
          <w:szCs w:val="20"/>
        </w:rPr>
        <w:t>Intervirology</w:t>
      </w:r>
      <w:r w:rsidRPr="0072364F">
        <w:rPr>
          <w:rFonts w:ascii="Arial" w:hAnsi="Arial" w:cs="Arial"/>
          <w:sz w:val="20"/>
          <w:szCs w:val="20"/>
        </w:rPr>
        <w:t>, </w:t>
      </w:r>
      <w:r w:rsidRPr="0072364F">
        <w:rPr>
          <w:rFonts w:ascii="Arial" w:hAnsi="Arial" w:cs="Arial"/>
          <w:i/>
          <w:iCs/>
          <w:sz w:val="20"/>
          <w:szCs w:val="20"/>
        </w:rPr>
        <w:t>55</w:t>
      </w:r>
      <w:r w:rsidRPr="0072364F">
        <w:rPr>
          <w:rFonts w:ascii="Arial" w:hAnsi="Arial" w:cs="Arial"/>
          <w:sz w:val="20"/>
          <w:szCs w:val="20"/>
        </w:rPr>
        <w:t>(1), 21-28.</w:t>
      </w:r>
    </w:p>
    <w:p w14:paraId="333F709D"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Lingaiah, K., Satish, L., Raviraj, V. S., Moorthy, S. M., &amp; Sivaprasad, V. (2024). An Insight into Transcriptomics of the Mulberry Silkworm, Bombyx mori: A Review. </w:t>
      </w:r>
      <w:r w:rsidRPr="0072364F">
        <w:rPr>
          <w:rFonts w:ascii="Arial" w:hAnsi="Arial" w:cs="Arial"/>
          <w:i/>
          <w:iCs/>
          <w:sz w:val="20"/>
          <w:szCs w:val="20"/>
        </w:rPr>
        <w:t>Biotechnology for Silkworm Crop Enhancement: Tools and Applications</w:t>
      </w:r>
      <w:r w:rsidRPr="0072364F">
        <w:rPr>
          <w:rFonts w:ascii="Arial" w:hAnsi="Arial" w:cs="Arial"/>
          <w:sz w:val="20"/>
          <w:szCs w:val="20"/>
        </w:rPr>
        <w:t>, 33-43.</w:t>
      </w:r>
    </w:p>
    <w:p w14:paraId="23D0166C"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Kausar, S., Liu, R., Gul, I., Abbas, M. N., &amp; Cui, H. (2022). Transcriptome sequencing highlights the regulatory role of DNA methylation in immune-related genes’ expression of chinese oak silkworm, Antheraea pernyi. </w:t>
      </w:r>
      <w:r w:rsidRPr="0072364F">
        <w:rPr>
          <w:rFonts w:ascii="Arial" w:hAnsi="Arial" w:cs="Arial"/>
          <w:i/>
          <w:iCs/>
          <w:sz w:val="20"/>
          <w:szCs w:val="20"/>
        </w:rPr>
        <w:t>Insects</w:t>
      </w:r>
      <w:r w:rsidRPr="0072364F">
        <w:rPr>
          <w:rFonts w:ascii="Arial" w:hAnsi="Arial" w:cs="Arial"/>
          <w:sz w:val="20"/>
          <w:szCs w:val="20"/>
        </w:rPr>
        <w:t>, </w:t>
      </w:r>
      <w:r w:rsidRPr="0072364F">
        <w:rPr>
          <w:rFonts w:ascii="Arial" w:hAnsi="Arial" w:cs="Arial"/>
          <w:i/>
          <w:iCs/>
          <w:sz w:val="20"/>
          <w:szCs w:val="20"/>
        </w:rPr>
        <w:t>13</w:t>
      </w:r>
      <w:r w:rsidRPr="0072364F">
        <w:rPr>
          <w:rFonts w:ascii="Arial" w:hAnsi="Arial" w:cs="Arial"/>
          <w:sz w:val="20"/>
          <w:szCs w:val="20"/>
        </w:rPr>
        <w:t>(3), 296.</w:t>
      </w:r>
    </w:p>
    <w:p w14:paraId="00F8E97B"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Chandrakanth, N., Suresh, R. V., Gadwala, M., &amp; Moorthy, S. M. (2024). Applications of Marker Assisted Selection in Silkworm Breeding for Abiotic Stress Tolerance. In </w:t>
      </w:r>
      <w:r w:rsidRPr="0072364F">
        <w:rPr>
          <w:rFonts w:ascii="Arial" w:hAnsi="Arial" w:cs="Arial"/>
          <w:i/>
          <w:iCs/>
          <w:sz w:val="20"/>
          <w:szCs w:val="20"/>
        </w:rPr>
        <w:t>Biotechnology for Silkworm Crop Enhancement: Tools and Applications</w:t>
      </w:r>
      <w:r w:rsidRPr="0072364F">
        <w:rPr>
          <w:rFonts w:ascii="Arial" w:hAnsi="Arial" w:cs="Arial"/>
          <w:sz w:val="20"/>
          <w:szCs w:val="20"/>
        </w:rPr>
        <w:t> (pp. 69-95). Singapore: Springer Nature Singapore.</w:t>
      </w:r>
    </w:p>
    <w:p w14:paraId="6821C8A8"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Yang, X., Zhang, X., Liu, Y., Yang, D., Liu, Z., Chen, K., ... &amp; Huang, Y. (2021). Transgenic genome editing-derived antiviral therapy to nucleopolyhedrovirus infection in the industrial strain of the silkworm. </w:t>
      </w:r>
      <w:r w:rsidRPr="0072364F">
        <w:rPr>
          <w:rFonts w:ascii="Arial" w:hAnsi="Arial" w:cs="Arial"/>
          <w:i/>
          <w:iCs/>
          <w:sz w:val="20"/>
          <w:szCs w:val="20"/>
        </w:rPr>
        <w:t>Insect Biochemistry and Molecular Biology</w:t>
      </w:r>
      <w:r w:rsidRPr="0072364F">
        <w:rPr>
          <w:rFonts w:ascii="Arial" w:hAnsi="Arial" w:cs="Arial"/>
          <w:sz w:val="20"/>
          <w:szCs w:val="20"/>
        </w:rPr>
        <w:t>, </w:t>
      </w:r>
      <w:r w:rsidRPr="0072364F">
        <w:rPr>
          <w:rFonts w:ascii="Arial" w:hAnsi="Arial" w:cs="Arial"/>
          <w:i/>
          <w:iCs/>
          <w:sz w:val="20"/>
          <w:szCs w:val="20"/>
        </w:rPr>
        <w:t>139</w:t>
      </w:r>
      <w:r w:rsidRPr="0072364F">
        <w:rPr>
          <w:rFonts w:ascii="Arial" w:hAnsi="Arial" w:cs="Arial"/>
          <w:sz w:val="20"/>
          <w:szCs w:val="20"/>
        </w:rPr>
        <w:t>, 103672.</w:t>
      </w:r>
    </w:p>
    <w:p w14:paraId="731BBEFA"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Chen, S., Hou, C., Bi, H., Wang, Y., Xu, J., Li, M., ... &amp; Tan, A. (2017). Transgenic clustered regularly interspaced short palindromic repeat/Cas9-mediated viral gene targeting for antiviral therapy of Bombyx mori nucleopolyhedrovirus. </w:t>
      </w:r>
      <w:r w:rsidRPr="0072364F">
        <w:rPr>
          <w:rFonts w:ascii="Arial" w:hAnsi="Arial" w:cs="Arial"/>
          <w:i/>
          <w:iCs/>
          <w:sz w:val="20"/>
          <w:szCs w:val="20"/>
        </w:rPr>
        <w:t>Journal of virology</w:t>
      </w:r>
      <w:r w:rsidRPr="0072364F">
        <w:rPr>
          <w:rFonts w:ascii="Arial" w:hAnsi="Arial" w:cs="Arial"/>
          <w:sz w:val="20"/>
          <w:szCs w:val="20"/>
        </w:rPr>
        <w:t>, </w:t>
      </w:r>
      <w:r w:rsidRPr="0072364F">
        <w:rPr>
          <w:rFonts w:ascii="Arial" w:hAnsi="Arial" w:cs="Arial"/>
          <w:i/>
          <w:iCs/>
          <w:sz w:val="20"/>
          <w:szCs w:val="20"/>
        </w:rPr>
        <w:t>91</w:t>
      </w:r>
      <w:r w:rsidRPr="0072364F">
        <w:rPr>
          <w:rFonts w:ascii="Arial" w:hAnsi="Arial" w:cs="Arial"/>
          <w:sz w:val="20"/>
          <w:szCs w:val="20"/>
        </w:rPr>
        <w:t>(8), 10-1128.</w:t>
      </w:r>
    </w:p>
    <w:p w14:paraId="0A7A8259"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Liu, Y., Chen, D., Zhang, X., Chen, S., Yang, D., Tang, L., ... &amp; Huang, Y. (2021). Construction of baculovirus-inducible CRISPR/Cas9 antiviral system targeting BmNPV in Bombyx mori. </w:t>
      </w:r>
      <w:r w:rsidRPr="0072364F">
        <w:rPr>
          <w:rFonts w:ascii="Arial" w:hAnsi="Arial" w:cs="Arial"/>
          <w:i/>
          <w:iCs/>
          <w:sz w:val="20"/>
          <w:szCs w:val="20"/>
        </w:rPr>
        <w:t>Viruses</w:t>
      </w:r>
      <w:r w:rsidRPr="0072364F">
        <w:rPr>
          <w:rFonts w:ascii="Arial" w:hAnsi="Arial" w:cs="Arial"/>
          <w:sz w:val="20"/>
          <w:szCs w:val="20"/>
        </w:rPr>
        <w:t>, </w:t>
      </w:r>
      <w:r w:rsidRPr="0072364F">
        <w:rPr>
          <w:rFonts w:ascii="Arial" w:hAnsi="Arial" w:cs="Arial"/>
          <w:i/>
          <w:iCs/>
          <w:sz w:val="20"/>
          <w:szCs w:val="20"/>
        </w:rPr>
        <w:t>14</w:t>
      </w:r>
      <w:r w:rsidRPr="0072364F">
        <w:rPr>
          <w:rFonts w:ascii="Arial" w:hAnsi="Arial" w:cs="Arial"/>
          <w:sz w:val="20"/>
          <w:szCs w:val="20"/>
        </w:rPr>
        <w:t>(1), 59.</w:t>
      </w:r>
    </w:p>
    <w:p w14:paraId="18E737D2"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Tang, Y. H., Zhang, X., Dai, Z. C., Li, H., Yang, Y., Zhao, T. J., ... &amp; Cheng, D. J. (2024). CRISPR-Cas13-mediated RNA editing in the silkworm Bombyx mori. </w:t>
      </w:r>
      <w:r w:rsidRPr="0072364F">
        <w:rPr>
          <w:rFonts w:ascii="Arial" w:hAnsi="Arial" w:cs="Arial"/>
          <w:i/>
          <w:iCs/>
          <w:sz w:val="20"/>
          <w:szCs w:val="20"/>
        </w:rPr>
        <w:t>Zoological Research</w:t>
      </w:r>
      <w:r w:rsidRPr="0072364F">
        <w:rPr>
          <w:rFonts w:ascii="Arial" w:hAnsi="Arial" w:cs="Arial"/>
          <w:sz w:val="20"/>
          <w:szCs w:val="20"/>
        </w:rPr>
        <w:t>, </w:t>
      </w:r>
      <w:r w:rsidRPr="0072364F">
        <w:rPr>
          <w:rFonts w:ascii="Arial" w:hAnsi="Arial" w:cs="Arial"/>
          <w:i/>
          <w:iCs/>
          <w:sz w:val="20"/>
          <w:szCs w:val="20"/>
        </w:rPr>
        <w:t>45</w:t>
      </w:r>
      <w:r w:rsidRPr="0072364F">
        <w:rPr>
          <w:rFonts w:ascii="Arial" w:hAnsi="Arial" w:cs="Arial"/>
          <w:sz w:val="20"/>
          <w:szCs w:val="20"/>
        </w:rPr>
        <w:t>(6), 1249.</w:t>
      </w:r>
    </w:p>
    <w:p w14:paraId="7955428F"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Xu, J., Luo, X., Fang, G., Zhan, S., Wu, J., Wang, D., &amp; Huang, Y. (2020). Transgenic expression of antimicrobial peptides from black soldier fly enhance resistance against entomopathogenic bacteria in the silkworm, Bombyx mori. </w:t>
      </w:r>
      <w:r w:rsidRPr="0072364F">
        <w:rPr>
          <w:rFonts w:ascii="Arial" w:hAnsi="Arial" w:cs="Arial"/>
          <w:i/>
          <w:iCs/>
          <w:sz w:val="20"/>
          <w:szCs w:val="20"/>
        </w:rPr>
        <w:t>Insect Biochemistry and Molecular Biology</w:t>
      </w:r>
      <w:r w:rsidRPr="0072364F">
        <w:rPr>
          <w:rFonts w:ascii="Arial" w:hAnsi="Arial" w:cs="Arial"/>
          <w:sz w:val="20"/>
          <w:szCs w:val="20"/>
        </w:rPr>
        <w:t>, </w:t>
      </w:r>
      <w:r w:rsidRPr="0072364F">
        <w:rPr>
          <w:rFonts w:ascii="Arial" w:hAnsi="Arial" w:cs="Arial"/>
          <w:i/>
          <w:iCs/>
          <w:sz w:val="20"/>
          <w:szCs w:val="20"/>
        </w:rPr>
        <w:t>127</w:t>
      </w:r>
      <w:r w:rsidRPr="0072364F">
        <w:rPr>
          <w:rFonts w:ascii="Arial" w:hAnsi="Arial" w:cs="Arial"/>
          <w:sz w:val="20"/>
          <w:szCs w:val="20"/>
        </w:rPr>
        <w:t>, 103487.</w:t>
      </w:r>
    </w:p>
    <w:p w14:paraId="56E76EE5"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Deng, X., Liu, L., Deng, J., &amp; Zha, X. (2023). Specific expression of antimicrobial peptides from the black soldier fly in the midgut of silkworms (Bombyx mori) regulates silkworm immunity. </w:t>
      </w:r>
      <w:r w:rsidRPr="0072364F">
        <w:rPr>
          <w:rFonts w:ascii="Arial" w:hAnsi="Arial" w:cs="Arial"/>
          <w:i/>
          <w:iCs/>
          <w:sz w:val="20"/>
          <w:szCs w:val="20"/>
        </w:rPr>
        <w:t>Insects</w:t>
      </w:r>
      <w:r w:rsidRPr="0072364F">
        <w:rPr>
          <w:rFonts w:ascii="Arial" w:hAnsi="Arial" w:cs="Arial"/>
          <w:sz w:val="20"/>
          <w:szCs w:val="20"/>
        </w:rPr>
        <w:t>, </w:t>
      </w:r>
      <w:r w:rsidRPr="0072364F">
        <w:rPr>
          <w:rFonts w:ascii="Arial" w:hAnsi="Arial" w:cs="Arial"/>
          <w:i/>
          <w:iCs/>
          <w:sz w:val="20"/>
          <w:szCs w:val="20"/>
        </w:rPr>
        <w:t>14</w:t>
      </w:r>
      <w:r w:rsidRPr="0072364F">
        <w:rPr>
          <w:rFonts w:ascii="Arial" w:hAnsi="Arial" w:cs="Arial"/>
          <w:sz w:val="20"/>
          <w:szCs w:val="20"/>
        </w:rPr>
        <w:t>(5), 443.</w:t>
      </w:r>
    </w:p>
    <w:p w14:paraId="07962647"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 xml:space="preserve">Yang, L., Sun, Y., Chang, M., Zhang, Y., Qiao, H., Huang, S., ... &amp; Ayra-Pardo, C. (2022). RNA interference-mediated knockdown of Bombyx mori haemocyte-specific cathepsin L </w:t>
      </w:r>
      <w:r w:rsidRPr="0072364F">
        <w:rPr>
          <w:rFonts w:ascii="Arial" w:hAnsi="Arial" w:cs="Arial"/>
          <w:sz w:val="20"/>
          <w:szCs w:val="20"/>
        </w:rPr>
        <w:lastRenderedPageBreak/>
        <w:t>(Cat L)-like cysteine protease gene increases Bacillus thuringiensis kurstaki toxicity and reproduction in insect cadavers. </w:t>
      </w:r>
      <w:r w:rsidRPr="0072364F">
        <w:rPr>
          <w:rFonts w:ascii="Arial" w:hAnsi="Arial" w:cs="Arial"/>
          <w:i/>
          <w:iCs/>
          <w:sz w:val="20"/>
          <w:szCs w:val="20"/>
        </w:rPr>
        <w:t>Toxins</w:t>
      </w:r>
      <w:r w:rsidRPr="0072364F">
        <w:rPr>
          <w:rFonts w:ascii="Arial" w:hAnsi="Arial" w:cs="Arial"/>
          <w:sz w:val="20"/>
          <w:szCs w:val="20"/>
        </w:rPr>
        <w:t>, </w:t>
      </w:r>
      <w:r w:rsidRPr="0072364F">
        <w:rPr>
          <w:rFonts w:ascii="Arial" w:hAnsi="Arial" w:cs="Arial"/>
          <w:i/>
          <w:iCs/>
          <w:sz w:val="20"/>
          <w:szCs w:val="20"/>
        </w:rPr>
        <w:t>14</w:t>
      </w:r>
      <w:r w:rsidRPr="0072364F">
        <w:rPr>
          <w:rFonts w:ascii="Arial" w:hAnsi="Arial" w:cs="Arial"/>
          <w:sz w:val="20"/>
          <w:szCs w:val="20"/>
        </w:rPr>
        <w:t>(6), 394.</w:t>
      </w:r>
    </w:p>
    <w:p w14:paraId="26473887"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Xiang, H., Zhu, J., Chen, Q., Dai, F., Li, X., Li, M., ... &amp; Wang, J. (2010). Single base–resolution methylome of the silkworm reveals a sparse epigenomic map. </w:t>
      </w:r>
      <w:r w:rsidRPr="0072364F">
        <w:rPr>
          <w:rFonts w:ascii="Arial" w:hAnsi="Arial" w:cs="Arial"/>
          <w:i/>
          <w:iCs/>
          <w:sz w:val="20"/>
          <w:szCs w:val="20"/>
        </w:rPr>
        <w:t>Nature biotechnology</w:t>
      </w:r>
      <w:r w:rsidRPr="0072364F">
        <w:rPr>
          <w:rFonts w:ascii="Arial" w:hAnsi="Arial" w:cs="Arial"/>
          <w:sz w:val="20"/>
          <w:szCs w:val="20"/>
        </w:rPr>
        <w:t>, </w:t>
      </w:r>
      <w:r w:rsidRPr="0072364F">
        <w:rPr>
          <w:rFonts w:ascii="Arial" w:hAnsi="Arial" w:cs="Arial"/>
          <w:i/>
          <w:iCs/>
          <w:sz w:val="20"/>
          <w:szCs w:val="20"/>
        </w:rPr>
        <w:t>28</w:t>
      </w:r>
      <w:r w:rsidRPr="0072364F">
        <w:rPr>
          <w:rFonts w:ascii="Arial" w:hAnsi="Arial" w:cs="Arial"/>
          <w:sz w:val="20"/>
          <w:szCs w:val="20"/>
        </w:rPr>
        <w:t>(5), 516-520.</w:t>
      </w:r>
    </w:p>
    <w:p w14:paraId="15505881"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Xiao, R., Yuan, Y., Zhu, F., He, S., Ge, Q., Wang, X., ... &amp; Chen, K. (2020). Transcriptomics and proteomics-based analysis of heterosis on main economic traits of silkworm, Bombyx mori. </w:t>
      </w:r>
      <w:r w:rsidRPr="0072364F">
        <w:rPr>
          <w:rFonts w:ascii="Arial" w:hAnsi="Arial" w:cs="Arial"/>
          <w:i/>
          <w:iCs/>
          <w:sz w:val="20"/>
          <w:szCs w:val="20"/>
        </w:rPr>
        <w:t>Journal of Proteomics</w:t>
      </w:r>
      <w:r w:rsidRPr="0072364F">
        <w:rPr>
          <w:rFonts w:ascii="Arial" w:hAnsi="Arial" w:cs="Arial"/>
          <w:sz w:val="20"/>
          <w:szCs w:val="20"/>
        </w:rPr>
        <w:t>, </w:t>
      </w:r>
      <w:r w:rsidRPr="0072364F">
        <w:rPr>
          <w:rFonts w:ascii="Arial" w:hAnsi="Arial" w:cs="Arial"/>
          <w:i/>
          <w:iCs/>
          <w:sz w:val="20"/>
          <w:szCs w:val="20"/>
        </w:rPr>
        <w:t>229</w:t>
      </w:r>
      <w:r w:rsidRPr="0072364F">
        <w:rPr>
          <w:rFonts w:ascii="Arial" w:hAnsi="Arial" w:cs="Arial"/>
          <w:sz w:val="20"/>
          <w:szCs w:val="20"/>
        </w:rPr>
        <w:t>, 103941.</w:t>
      </w:r>
    </w:p>
    <w:p w14:paraId="46600EF3"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Ge, W. J., Hu, F., Hong, T. T., Thakur, K., Tang, S. M., Zhang, J. G., &amp; Wei, Z. J. (2025). MiRNA Omics Reveal the Mechanisms of the Dual Effects of Selenium Supplementation on the Development of the Silkworm (Bombyx mori). </w:t>
      </w:r>
      <w:r w:rsidRPr="0072364F">
        <w:rPr>
          <w:rFonts w:ascii="Arial" w:hAnsi="Arial" w:cs="Arial"/>
          <w:i/>
          <w:iCs/>
          <w:sz w:val="20"/>
          <w:szCs w:val="20"/>
        </w:rPr>
        <w:t>International Journal of Molecular Sciences</w:t>
      </w:r>
      <w:r w:rsidRPr="0072364F">
        <w:rPr>
          <w:rFonts w:ascii="Arial" w:hAnsi="Arial" w:cs="Arial"/>
          <w:sz w:val="20"/>
          <w:szCs w:val="20"/>
        </w:rPr>
        <w:t>, </w:t>
      </w:r>
      <w:r w:rsidRPr="0072364F">
        <w:rPr>
          <w:rFonts w:ascii="Arial" w:hAnsi="Arial" w:cs="Arial"/>
          <w:i/>
          <w:iCs/>
          <w:sz w:val="20"/>
          <w:szCs w:val="20"/>
        </w:rPr>
        <w:t>26</w:t>
      </w:r>
      <w:r w:rsidRPr="0072364F">
        <w:rPr>
          <w:rFonts w:ascii="Arial" w:hAnsi="Arial" w:cs="Arial"/>
          <w:sz w:val="20"/>
          <w:szCs w:val="20"/>
        </w:rPr>
        <w:t>(7), 3394.</w:t>
      </w:r>
    </w:p>
    <w:p w14:paraId="6E2A620E"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Feng, M., Fei, S., Zou, J., Xia, J., Lai, W., Huang, Y., ... &amp; Sun, J. (2024). Single-nucleus sequencing of silkworm larval brain reveals the key role of lysozyme in the antiviral immune response in brain hemocytes. </w:t>
      </w:r>
      <w:r w:rsidRPr="0072364F">
        <w:rPr>
          <w:rFonts w:ascii="Arial" w:hAnsi="Arial" w:cs="Arial"/>
          <w:i/>
          <w:iCs/>
          <w:sz w:val="20"/>
          <w:szCs w:val="20"/>
        </w:rPr>
        <w:t>Journal of Innate Immunity</w:t>
      </w:r>
      <w:r w:rsidRPr="0072364F">
        <w:rPr>
          <w:rFonts w:ascii="Arial" w:hAnsi="Arial" w:cs="Arial"/>
          <w:sz w:val="20"/>
          <w:szCs w:val="20"/>
        </w:rPr>
        <w:t>, </w:t>
      </w:r>
      <w:r w:rsidRPr="0072364F">
        <w:rPr>
          <w:rFonts w:ascii="Arial" w:hAnsi="Arial" w:cs="Arial"/>
          <w:i/>
          <w:iCs/>
          <w:sz w:val="20"/>
          <w:szCs w:val="20"/>
        </w:rPr>
        <w:t>16</w:t>
      </w:r>
      <w:r w:rsidRPr="0072364F">
        <w:rPr>
          <w:rFonts w:ascii="Arial" w:hAnsi="Arial" w:cs="Arial"/>
          <w:sz w:val="20"/>
          <w:szCs w:val="20"/>
        </w:rPr>
        <w:t>(1), 173-187.</w:t>
      </w:r>
    </w:p>
    <w:p w14:paraId="6B00B4DC"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Ma, Y., Li, Q., Tang, Y., Zhang, Z., Liu, R., Luo, Q., ... &amp; Xu, H. (2024). The architecture of silk-secreting organs during the final larval stage of silkworms revealed by single-nucleus and spatial transcriptomics. </w:t>
      </w:r>
      <w:r w:rsidRPr="0072364F">
        <w:rPr>
          <w:rFonts w:ascii="Arial" w:hAnsi="Arial" w:cs="Arial"/>
          <w:i/>
          <w:iCs/>
          <w:sz w:val="20"/>
          <w:szCs w:val="20"/>
        </w:rPr>
        <w:t>Cell Reports</w:t>
      </w:r>
      <w:r w:rsidRPr="0072364F">
        <w:rPr>
          <w:rFonts w:ascii="Arial" w:hAnsi="Arial" w:cs="Arial"/>
          <w:sz w:val="20"/>
          <w:szCs w:val="20"/>
        </w:rPr>
        <w:t>, </w:t>
      </w:r>
      <w:r w:rsidRPr="0072364F">
        <w:rPr>
          <w:rFonts w:ascii="Arial" w:hAnsi="Arial" w:cs="Arial"/>
          <w:i/>
          <w:iCs/>
          <w:sz w:val="20"/>
          <w:szCs w:val="20"/>
        </w:rPr>
        <w:t>43</w:t>
      </w:r>
      <w:r w:rsidRPr="0072364F">
        <w:rPr>
          <w:rFonts w:ascii="Arial" w:hAnsi="Arial" w:cs="Arial"/>
          <w:sz w:val="20"/>
          <w:szCs w:val="20"/>
        </w:rPr>
        <w:t>(7).</w:t>
      </w:r>
    </w:p>
    <w:p w14:paraId="15274CD7" w14:textId="77777777" w:rsidR="0072364F" w:rsidRPr="0072364F" w:rsidRDefault="0072364F" w:rsidP="0072364F">
      <w:pPr>
        <w:pStyle w:val="ListParagraph"/>
        <w:numPr>
          <w:ilvl w:val="0"/>
          <w:numId w:val="37"/>
        </w:numPr>
        <w:jc w:val="both"/>
        <w:rPr>
          <w:rFonts w:ascii="Arial" w:hAnsi="Arial" w:cs="Arial"/>
          <w:sz w:val="20"/>
          <w:szCs w:val="20"/>
        </w:rPr>
      </w:pPr>
      <w:r w:rsidRPr="0072364F">
        <w:rPr>
          <w:rFonts w:ascii="Arial" w:hAnsi="Arial" w:cs="Arial"/>
          <w:sz w:val="20"/>
          <w:szCs w:val="20"/>
        </w:rPr>
        <w:t>Hansen, L. S., Laursen, S. F., Bahrndorff, S., Sørensen, J. G., Sahana, G., Kristensen, T. N., &amp; Nielsen, H. M. (2025). The unpaved road towards efficient selective breeding in insects for food and feed—A review. </w:t>
      </w:r>
      <w:r w:rsidRPr="0072364F">
        <w:rPr>
          <w:rFonts w:ascii="Arial" w:hAnsi="Arial" w:cs="Arial"/>
          <w:i/>
          <w:iCs/>
          <w:sz w:val="20"/>
          <w:szCs w:val="20"/>
        </w:rPr>
        <w:t>Entomologia Experimentalis et Applicata</w:t>
      </w:r>
      <w:r w:rsidRPr="0072364F">
        <w:rPr>
          <w:rFonts w:ascii="Arial" w:hAnsi="Arial" w:cs="Arial"/>
          <w:sz w:val="20"/>
          <w:szCs w:val="20"/>
        </w:rPr>
        <w:t>, </w:t>
      </w:r>
      <w:r w:rsidRPr="0072364F">
        <w:rPr>
          <w:rFonts w:ascii="Arial" w:hAnsi="Arial" w:cs="Arial"/>
          <w:i/>
          <w:iCs/>
          <w:sz w:val="20"/>
          <w:szCs w:val="20"/>
        </w:rPr>
        <w:t>173</w:t>
      </w:r>
      <w:r w:rsidRPr="0072364F">
        <w:rPr>
          <w:rFonts w:ascii="Arial" w:hAnsi="Arial" w:cs="Arial"/>
          <w:sz w:val="20"/>
          <w:szCs w:val="20"/>
        </w:rPr>
        <w:t>(6), 498-521.</w:t>
      </w:r>
    </w:p>
    <w:p w14:paraId="549C69D6" w14:textId="34235BE4" w:rsidR="004D4277" w:rsidRPr="0072364F" w:rsidRDefault="004D4277" w:rsidP="0072364F">
      <w:pPr>
        <w:pStyle w:val="Appendix"/>
        <w:spacing w:after="0"/>
        <w:jc w:val="both"/>
        <w:rPr>
          <w:rFonts w:ascii="Arial" w:hAnsi="Arial" w:cs="Arial"/>
          <w:b w:val="0"/>
          <w:sz w:val="20"/>
        </w:rPr>
        <w:sectPr w:rsidR="004D4277" w:rsidRPr="0072364F" w:rsidSect="007B2AE6">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F952B42" w14:textId="77777777" w:rsidR="00B01FCD" w:rsidRPr="0072364F" w:rsidRDefault="00B01FCD" w:rsidP="0072364F">
      <w:pPr>
        <w:pStyle w:val="Appendix"/>
        <w:spacing w:after="0"/>
        <w:jc w:val="both"/>
        <w:rPr>
          <w:rFonts w:ascii="Arial" w:hAnsi="Arial" w:cs="Arial"/>
          <w:b w:val="0"/>
          <w:sz w:val="20"/>
        </w:rPr>
      </w:pPr>
    </w:p>
    <w:sectPr w:rsidR="00B01FCD" w:rsidRPr="0072364F" w:rsidSect="007B2AE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D4BDA" w14:textId="77777777" w:rsidR="003B5D42" w:rsidRDefault="003B5D42" w:rsidP="00C37E61">
      <w:r>
        <w:separator/>
      </w:r>
    </w:p>
  </w:endnote>
  <w:endnote w:type="continuationSeparator" w:id="0">
    <w:p w14:paraId="6052C472" w14:textId="77777777" w:rsidR="003B5D42" w:rsidRDefault="003B5D4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7E34" w14:textId="77777777" w:rsidR="007B2AE6" w:rsidRDefault="007B2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27E3" w14:textId="77777777" w:rsidR="007B2AE6" w:rsidRDefault="007B2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DB4D5" w14:textId="61B98732" w:rsidR="00754C9A" w:rsidRPr="000042DF" w:rsidRDefault="00754C9A" w:rsidP="000042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F9E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A8265" w14:textId="77777777" w:rsidR="003B5D42" w:rsidRDefault="003B5D42" w:rsidP="00C37E61">
      <w:r>
        <w:separator/>
      </w:r>
    </w:p>
  </w:footnote>
  <w:footnote w:type="continuationSeparator" w:id="0">
    <w:p w14:paraId="503522D0" w14:textId="77777777" w:rsidR="003B5D42" w:rsidRDefault="003B5D4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FEC0" w14:textId="784A2DFF" w:rsidR="007B2AE6" w:rsidRDefault="00000000">
    <w:pPr>
      <w:pStyle w:val="Header"/>
    </w:pPr>
    <w:r>
      <w:rPr>
        <w:noProof/>
      </w:rPr>
      <w:pict w14:anchorId="2B97C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17354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DB92" w14:textId="25719BCF" w:rsidR="007B2AE6" w:rsidRDefault="00000000">
    <w:pPr>
      <w:pStyle w:val="Header"/>
    </w:pPr>
    <w:r>
      <w:rPr>
        <w:noProof/>
      </w:rPr>
      <w:pict w14:anchorId="72D66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17354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D5A6" w14:textId="5781676C" w:rsidR="00296529" w:rsidRPr="00296529" w:rsidRDefault="00000000" w:rsidP="00296529">
    <w:pPr>
      <w:ind w:left="2160"/>
      <w:jc w:val="center"/>
      <w:rPr>
        <w:rFonts w:ascii="Times New Roman" w:eastAsia="Calibri" w:hAnsi="Times New Roman"/>
        <w:i/>
        <w:sz w:val="18"/>
        <w:szCs w:val="22"/>
      </w:rPr>
    </w:pPr>
    <w:r>
      <w:rPr>
        <w:noProof/>
      </w:rPr>
      <w:pict w14:anchorId="21C32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17354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EB43BC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36773C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2D2663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CA78D7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EBE1E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455D0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7EE2" w14:textId="661C7682" w:rsidR="007B2AE6" w:rsidRDefault="00000000">
    <w:pPr>
      <w:pStyle w:val="Header"/>
    </w:pPr>
    <w:r>
      <w:rPr>
        <w:noProof/>
      </w:rPr>
      <w:pict w14:anchorId="2F979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17355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C2B4" w14:textId="6FB32E1D" w:rsidR="007B2AE6" w:rsidRDefault="00000000">
    <w:pPr>
      <w:pStyle w:val="Header"/>
    </w:pPr>
    <w:r>
      <w:rPr>
        <w:noProof/>
      </w:rPr>
      <w:pict w14:anchorId="28EEE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17355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B346" w14:textId="36528E11" w:rsidR="007B2AE6" w:rsidRDefault="00000000">
    <w:pPr>
      <w:pStyle w:val="Header"/>
    </w:pPr>
    <w:r>
      <w:rPr>
        <w:noProof/>
      </w:rPr>
      <w:pict w14:anchorId="6FF8C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17354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DF648B"/>
    <w:multiLevelType w:val="hybridMultilevel"/>
    <w:tmpl w:val="95BCDE30"/>
    <w:lvl w:ilvl="0" w:tplc="AD7AC7E0">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17C05E3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F5B82"/>
    <w:multiLevelType w:val="multilevel"/>
    <w:tmpl w:val="3118D00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eastAsiaTheme="majorEastAsia" w:hint="default"/>
        <w:b/>
      </w:rPr>
    </w:lvl>
    <w:lvl w:ilvl="2">
      <w:start w:val="1"/>
      <w:numFmt w:val="decimal"/>
      <w:isLgl/>
      <w:lvlText w:val="%1.%2.%3."/>
      <w:lvlJc w:val="left"/>
      <w:pPr>
        <w:ind w:left="1080" w:hanging="720"/>
      </w:pPr>
      <w:rPr>
        <w:rFonts w:eastAsiaTheme="majorEastAsia" w:hint="default"/>
        <w:b/>
      </w:rPr>
    </w:lvl>
    <w:lvl w:ilvl="3">
      <w:start w:val="1"/>
      <w:numFmt w:val="decimal"/>
      <w:isLgl/>
      <w:lvlText w:val="%1.%2.%3.%4."/>
      <w:lvlJc w:val="left"/>
      <w:pPr>
        <w:ind w:left="1080" w:hanging="720"/>
      </w:pPr>
      <w:rPr>
        <w:rFonts w:eastAsiaTheme="majorEastAsia" w:hint="default"/>
        <w:b/>
      </w:rPr>
    </w:lvl>
    <w:lvl w:ilvl="4">
      <w:start w:val="1"/>
      <w:numFmt w:val="decimal"/>
      <w:isLgl/>
      <w:lvlText w:val="%1.%2.%3.%4.%5."/>
      <w:lvlJc w:val="left"/>
      <w:pPr>
        <w:ind w:left="1440" w:hanging="1080"/>
      </w:pPr>
      <w:rPr>
        <w:rFonts w:eastAsiaTheme="majorEastAsia" w:hint="default"/>
        <w:b/>
      </w:rPr>
    </w:lvl>
    <w:lvl w:ilvl="5">
      <w:start w:val="1"/>
      <w:numFmt w:val="decimal"/>
      <w:isLgl/>
      <w:lvlText w:val="%1.%2.%3.%4.%5.%6."/>
      <w:lvlJc w:val="left"/>
      <w:pPr>
        <w:ind w:left="1440" w:hanging="1080"/>
      </w:pPr>
      <w:rPr>
        <w:rFonts w:eastAsiaTheme="majorEastAsia" w:hint="default"/>
        <w:b/>
      </w:rPr>
    </w:lvl>
    <w:lvl w:ilvl="6">
      <w:start w:val="1"/>
      <w:numFmt w:val="decimal"/>
      <w:isLgl/>
      <w:lvlText w:val="%1.%2.%3.%4.%5.%6.%7."/>
      <w:lvlJc w:val="left"/>
      <w:pPr>
        <w:ind w:left="1800" w:hanging="1440"/>
      </w:pPr>
      <w:rPr>
        <w:rFonts w:eastAsiaTheme="majorEastAsia" w:hint="default"/>
        <w:b/>
      </w:rPr>
    </w:lvl>
    <w:lvl w:ilvl="7">
      <w:start w:val="1"/>
      <w:numFmt w:val="decimal"/>
      <w:isLgl/>
      <w:lvlText w:val="%1.%2.%3.%4.%5.%6.%7.%8."/>
      <w:lvlJc w:val="left"/>
      <w:pPr>
        <w:ind w:left="1800" w:hanging="1440"/>
      </w:pPr>
      <w:rPr>
        <w:rFonts w:eastAsiaTheme="majorEastAsia" w:hint="default"/>
        <w:b/>
      </w:rPr>
    </w:lvl>
    <w:lvl w:ilvl="8">
      <w:start w:val="1"/>
      <w:numFmt w:val="decimal"/>
      <w:isLgl/>
      <w:lvlText w:val="%1.%2.%3.%4.%5.%6.%7.%8.%9."/>
      <w:lvlJc w:val="left"/>
      <w:pPr>
        <w:ind w:left="2160" w:hanging="1800"/>
      </w:pPr>
      <w:rPr>
        <w:rFonts w:eastAsiaTheme="majorEastAsia" w:hint="default"/>
        <w:b/>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E55C8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6D7765"/>
    <w:multiLevelType w:val="multilevel"/>
    <w:tmpl w:val="80584170"/>
    <w:lvl w:ilvl="0">
      <w:start w:val="4"/>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0364D30"/>
    <w:multiLevelType w:val="hybridMultilevel"/>
    <w:tmpl w:val="DD5A7E2E"/>
    <w:lvl w:ilvl="0" w:tplc="650847FC">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49E294C"/>
    <w:multiLevelType w:val="multilevel"/>
    <w:tmpl w:val="1938D154"/>
    <w:lvl w:ilvl="0">
      <w:start w:val="4"/>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759282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09114949">
    <w:abstractNumId w:val="20"/>
  </w:num>
  <w:num w:numId="3" w16cid:durableId="1980724232">
    <w:abstractNumId w:val="29"/>
  </w:num>
  <w:num w:numId="4" w16cid:durableId="122961312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75281683">
    <w:abstractNumId w:val="9"/>
  </w:num>
  <w:num w:numId="6" w16cid:durableId="663320746">
    <w:abstractNumId w:val="6"/>
  </w:num>
  <w:num w:numId="7" w16cid:durableId="1372342359">
    <w:abstractNumId w:val="1"/>
  </w:num>
  <w:num w:numId="8" w16cid:durableId="61951494">
    <w:abstractNumId w:val="15"/>
  </w:num>
  <w:num w:numId="9" w16cid:durableId="745960636">
    <w:abstractNumId w:val="32"/>
  </w:num>
  <w:num w:numId="10" w16cid:durableId="737438753">
    <w:abstractNumId w:val="2"/>
  </w:num>
  <w:num w:numId="11" w16cid:durableId="1625426292">
    <w:abstractNumId w:val="24"/>
  </w:num>
  <w:num w:numId="12" w16cid:durableId="655954472">
    <w:abstractNumId w:val="3"/>
  </w:num>
  <w:num w:numId="13" w16cid:durableId="558708762">
    <w:abstractNumId w:val="22"/>
  </w:num>
  <w:num w:numId="14" w16cid:durableId="536435450">
    <w:abstractNumId w:val="10"/>
  </w:num>
  <w:num w:numId="15" w16cid:durableId="518356893">
    <w:abstractNumId w:val="27"/>
  </w:num>
  <w:num w:numId="16" w16cid:durableId="1986230082">
    <w:abstractNumId w:val="5"/>
  </w:num>
  <w:num w:numId="17" w16cid:durableId="2013485629">
    <w:abstractNumId w:val="28"/>
  </w:num>
  <w:num w:numId="18" w16cid:durableId="1631520505">
    <w:abstractNumId w:val="17"/>
  </w:num>
  <w:num w:numId="19" w16cid:durableId="1974360638">
    <w:abstractNumId w:val="35"/>
  </w:num>
  <w:num w:numId="20" w16cid:durableId="1304041412">
    <w:abstractNumId w:val="14"/>
  </w:num>
  <w:num w:numId="21" w16cid:durableId="1190069047">
    <w:abstractNumId w:val="11"/>
  </w:num>
  <w:num w:numId="22" w16cid:durableId="433328972">
    <w:abstractNumId w:val="16"/>
  </w:num>
  <w:num w:numId="23" w16cid:durableId="379016151">
    <w:abstractNumId w:val="25"/>
  </w:num>
  <w:num w:numId="24" w16cid:durableId="273055223">
    <w:abstractNumId w:val="33"/>
  </w:num>
  <w:num w:numId="25" w16cid:durableId="387723818">
    <w:abstractNumId w:val="4"/>
  </w:num>
  <w:num w:numId="26" w16cid:durableId="1253394160">
    <w:abstractNumId w:val="21"/>
  </w:num>
  <w:num w:numId="27" w16cid:durableId="4481777">
    <w:abstractNumId w:val="26"/>
  </w:num>
  <w:num w:numId="28" w16cid:durableId="1242712980">
    <w:abstractNumId w:val="34"/>
  </w:num>
  <w:num w:numId="29" w16cid:durableId="910189047">
    <w:abstractNumId w:val="31"/>
  </w:num>
  <w:num w:numId="30" w16cid:durableId="433211901">
    <w:abstractNumId w:val="12"/>
  </w:num>
  <w:num w:numId="31" w16cid:durableId="339040224">
    <w:abstractNumId w:val="13"/>
  </w:num>
  <w:num w:numId="32" w16cid:durableId="1943174485">
    <w:abstractNumId w:val="23"/>
  </w:num>
  <w:num w:numId="33" w16cid:durableId="364137510">
    <w:abstractNumId w:val="8"/>
  </w:num>
  <w:num w:numId="34" w16cid:durableId="1784614377">
    <w:abstractNumId w:val="18"/>
  </w:num>
  <w:num w:numId="35" w16cid:durableId="28262939">
    <w:abstractNumId w:val="30"/>
  </w:num>
  <w:num w:numId="36" w16cid:durableId="2006738967">
    <w:abstractNumId w:val="19"/>
  </w:num>
  <w:num w:numId="37" w16cid:durableId="1912356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2DF"/>
    <w:rsid w:val="00005542"/>
    <w:rsid w:val="00022BB1"/>
    <w:rsid w:val="00030174"/>
    <w:rsid w:val="0004579C"/>
    <w:rsid w:val="000A47FA"/>
    <w:rsid w:val="000A65D3"/>
    <w:rsid w:val="000B1E33"/>
    <w:rsid w:val="000D689F"/>
    <w:rsid w:val="000E7B7B"/>
    <w:rsid w:val="000E7D62"/>
    <w:rsid w:val="00103357"/>
    <w:rsid w:val="00106AFB"/>
    <w:rsid w:val="0011308D"/>
    <w:rsid w:val="00123C9F"/>
    <w:rsid w:val="00126190"/>
    <w:rsid w:val="00130F17"/>
    <w:rsid w:val="001320BF"/>
    <w:rsid w:val="00163BC4"/>
    <w:rsid w:val="001652FC"/>
    <w:rsid w:val="00191062"/>
    <w:rsid w:val="00192B72"/>
    <w:rsid w:val="001A29D8"/>
    <w:rsid w:val="001A5CAA"/>
    <w:rsid w:val="001B0427"/>
    <w:rsid w:val="001D3A51"/>
    <w:rsid w:val="001E10D2"/>
    <w:rsid w:val="001E25B4"/>
    <w:rsid w:val="001E44FE"/>
    <w:rsid w:val="00200595"/>
    <w:rsid w:val="00204835"/>
    <w:rsid w:val="00231920"/>
    <w:rsid w:val="0023195C"/>
    <w:rsid w:val="00231BD3"/>
    <w:rsid w:val="0024282C"/>
    <w:rsid w:val="002460DC"/>
    <w:rsid w:val="00250985"/>
    <w:rsid w:val="002556F6"/>
    <w:rsid w:val="002759D8"/>
    <w:rsid w:val="00283105"/>
    <w:rsid w:val="00284C4C"/>
    <w:rsid w:val="00287E68"/>
    <w:rsid w:val="00296529"/>
    <w:rsid w:val="002B27FB"/>
    <w:rsid w:val="002B685A"/>
    <w:rsid w:val="002C57D2"/>
    <w:rsid w:val="002D7938"/>
    <w:rsid w:val="002E0D56"/>
    <w:rsid w:val="00315186"/>
    <w:rsid w:val="0033343E"/>
    <w:rsid w:val="003512C2"/>
    <w:rsid w:val="00371FB6"/>
    <w:rsid w:val="003763C1"/>
    <w:rsid w:val="00376BBE"/>
    <w:rsid w:val="0039224F"/>
    <w:rsid w:val="003A43A4"/>
    <w:rsid w:val="003A7E18"/>
    <w:rsid w:val="003B5D42"/>
    <w:rsid w:val="003C4C86"/>
    <w:rsid w:val="003C6258"/>
    <w:rsid w:val="003E2904"/>
    <w:rsid w:val="00401927"/>
    <w:rsid w:val="004030F3"/>
    <w:rsid w:val="0041027F"/>
    <w:rsid w:val="00412475"/>
    <w:rsid w:val="00423789"/>
    <w:rsid w:val="00440F43"/>
    <w:rsid w:val="00441B6F"/>
    <w:rsid w:val="00446221"/>
    <w:rsid w:val="00450E62"/>
    <w:rsid w:val="004539DB"/>
    <w:rsid w:val="00471A80"/>
    <w:rsid w:val="004766E1"/>
    <w:rsid w:val="004D305E"/>
    <w:rsid w:val="004D4277"/>
    <w:rsid w:val="00502516"/>
    <w:rsid w:val="00505F06"/>
    <w:rsid w:val="00506828"/>
    <w:rsid w:val="00510674"/>
    <w:rsid w:val="005148F4"/>
    <w:rsid w:val="0053056E"/>
    <w:rsid w:val="00554FDA"/>
    <w:rsid w:val="00574B71"/>
    <w:rsid w:val="005B01DE"/>
    <w:rsid w:val="005B566B"/>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4806"/>
    <w:rsid w:val="00717456"/>
    <w:rsid w:val="0072364F"/>
    <w:rsid w:val="007369E6"/>
    <w:rsid w:val="00743581"/>
    <w:rsid w:val="00743B66"/>
    <w:rsid w:val="00746E59"/>
    <w:rsid w:val="00754C9A"/>
    <w:rsid w:val="0075599A"/>
    <w:rsid w:val="00761D52"/>
    <w:rsid w:val="0077749E"/>
    <w:rsid w:val="00790ADA"/>
    <w:rsid w:val="007B2AE6"/>
    <w:rsid w:val="007D2288"/>
    <w:rsid w:val="007E088F"/>
    <w:rsid w:val="007F7B32"/>
    <w:rsid w:val="00804BC2"/>
    <w:rsid w:val="0081431A"/>
    <w:rsid w:val="0083216F"/>
    <w:rsid w:val="00841CB0"/>
    <w:rsid w:val="00860000"/>
    <w:rsid w:val="00863BD3"/>
    <w:rsid w:val="008641ED"/>
    <w:rsid w:val="00866D66"/>
    <w:rsid w:val="008671C6"/>
    <w:rsid w:val="00875803"/>
    <w:rsid w:val="008B459E"/>
    <w:rsid w:val="008E13AE"/>
    <w:rsid w:val="008E1506"/>
    <w:rsid w:val="008E710C"/>
    <w:rsid w:val="008F69D6"/>
    <w:rsid w:val="00902823"/>
    <w:rsid w:val="00907BE8"/>
    <w:rsid w:val="00915CA6"/>
    <w:rsid w:val="00927834"/>
    <w:rsid w:val="009500A6"/>
    <w:rsid w:val="00957C18"/>
    <w:rsid w:val="00964544"/>
    <w:rsid w:val="009659BA"/>
    <w:rsid w:val="00983040"/>
    <w:rsid w:val="009B3FB9"/>
    <w:rsid w:val="009C2465"/>
    <w:rsid w:val="009D35A0"/>
    <w:rsid w:val="009D7EB7"/>
    <w:rsid w:val="009E048A"/>
    <w:rsid w:val="009E08E9"/>
    <w:rsid w:val="009E3DB9"/>
    <w:rsid w:val="009E6E35"/>
    <w:rsid w:val="009F0EDA"/>
    <w:rsid w:val="00A03B96"/>
    <w:rsid w:val="00A04664"/>
    <w:rsid w:val="00A05B19"/>
    <w:rsid w:val="00A1134E"/>
    <w:rsid w:val="00A24E7E"/>
    <w:rsid w:val="00A258C3"/>
    <w:rsid w:val="00A27EC5"/>
    <w:rsid w:val="00A347C0"/>
    <w:rsid w:val="00A51431"/>
    <w:rsid w:val="00A539AD"/>
    <w:rsid w:val="00A82F09"/>
    <w:rsid w:val="00A94063"/>
    <w:rsid w:val="00A94AE3"/>
    <w:rsid w:val="00AA6219"/>
    <w:rsid w:val="00AA74E0"/>
    <w:rsid w:val="00AB703F"/>
    <w:rsid w:val="00AC6BB8"/>
    <w:rsid w:val="00AE008F"/>
    <w:rsid w:val="00B01FCD"/>
    <w:rsid w:val="00B1776C"/>
    <w:rsid w:val="00B52583"/>
    <w:rsid w:val="00B52896"/>
    <w:rsid w:val="00B76C8D"/>
    <w:rsid w:val="00B95236"/>
    <w:rsid w:val="00B96BD9"/>
    <w:rsid w:val="00BA1B01"/>
    <w:rsid w:val="00BA2641"/>
    <w:rsid w:val="00BB37AA"/>
    <w:rsid w:val="00BC53A0"/>
    <w:rsid w:val="00BE62AD"/>
    <w:rsid w:val="00BF121F"/>
    <w:rsid w:val="00BF1F80"/>
    <w:rsid w:val="00C131A5"/>
    <w:rsid w:val="00C166EF"/>
    <w:rsid w:val="00C17EB0"/>
    <w:rsid w:val="00C26FFD"/>
    <w:rsid w:val="00C27F5F"/>
    <w:rsid w:val="00C30A0F"/>
    <w:rsid w:val="00C37E61"/>
    <w:rsid w:val="00C44F09"/>
    <w:rsid w:val="00C467F2"/>
    <w:rsid w:val="00C70F1B"/>
    <w:rsid w:val="00C71A47"/>
    <w:rsid w:val="00C7464C"/>
    <w:rsid w:val="00C85588"/>
    <w:rsid w:val="00CD6755"/>
    <w:rsid w:val="00CD6856"/>
    <w:rsid w:val="00CE0089"/>
    <w:rsid w:val="00CE793C"/>
    <w:rsid w:val="00CF193C"/>
    <w:rsid w:val="00D173F1"/>
    <w:rsid w:val="00D74CB0"/>
    <w:rsid w:val="00D8295D"/>
    <w:rsid w:val="00DA2C33"/>
    <w:rsid w:val="00DC2A65"/>
    <w:rsid w:val="00DD0617"/>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F05C64E"/>
  <w15:docId w15:val="{C8D14587-74F8-4944-988F-2CE42ED5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C131A5"/>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1652FC"/>
    <w:pPr>
      <w:spacing w:after="160" w:line="278" w:lineRule="auto"/>
      <w:ind w:left="720"/>
      <w:contextualSpacing/>
    </w:pPr>
    <w:rPr>
      <w:rFonts w:asciiTheme="minorHAnsi" w:eastAsiaTheme="minorHAnsi" w:hAnsiTheme="minorHAnsi" w:cstheme="minorBidi"/>
      <w:kern w:val="2"/>
      <w:sz w:val="24"/>
      <w:szCs w:val="24"/>
      <w:lang w:val="en-IN"/>
    </w:rPr>
  </w:style>
  <w:style w:type="character" w:styleId="Strong">
    <w:name w:val="Strong"/>
    <w:basedOn w:val="DefaultParagraphFont"/>
    <w:uiPriority w:val="22"/>
    <w:qFormat/>
    <w:rsid w:val="001652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0A242-3426-4FC0-B84A-DD80676D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406</TotalTime>
  <Pages>15</Pages>
  <Words>7292</Words>
  <Characters>41566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48761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Anna Kaushik</cp:lastModifiedBy>
  <cp:revision>11</cp:revision>
  <cp:lastPrinted>1999-07-06T11:00:00Z</cp:lastPrinted>
  <dcterms:created xsi:type="dcterms:W3CDTF">2014-10-25T14:34:00Z</dcterms:created>
  <dcterms:modified xsi:type="dcterms:W3CDTF">2025-08-26T19:41:00Z</dcterms:modified>
</cp:coreProperties>
</file>