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3A8DC">
      <w:pPr>
        <w:spacing w:after="0" w:line="480" w:lineRule="auto"/>
        <w:jc w:val="center"/>
        <w:rPr>
          <w:rFonts w:ascii="Times New Roman" w:hAnsi="Times New Roman" w:cs="Times New Roman"/>
          <w:b/>
          <w:bCs/>
          <w:color w:val="auto"/>
        </w:rPr>
      </w:pPr>
      <w:r>
        <w:rPr>
          <w:rFonts w:ascii="Times New Roman" w:hAnsi="Times New Roman" w:cs="Times New Roman"/>
          <w:b/>
          <w:bCs/>
          <w:color w:val="auto"/>
        </w:rPr>
        <w:t>“Investigating the Impact of Government Mid-Day Meal Schemes on the Reduction of Anemia Prevalence Among Primary School Children in Bulandshahr District”</w:t>
      </w:r>
    </w:p>
    <w:p w14:paraId="4C95A052">
      <w:pPr>
        <w:spacing w:after="0" w:line="480" w:lineRule="auto"/>
        <w:jc w:val="both"/>
        <w:rPr>
          <w:rFonts w:ascii="Times New Roman" w:hAnsi="Times New Roman" w:cs="Times New Roman"/>
          <w:b/>
          <w:bCs/>
          <w:color w:val="auto"/>
        </w:rPr>
      </w:pPr>
    </w:p>
    <w:p w14:paraId="75220EB3">
      <w:pPr>
        <w:spacing w:after="0" w:line="480" w:lineRule="auto"/>
        <w:jc w:val="both"/>
        <w:rPr>
          <w:rFonts w:ascii="Times New Roman" w:hAnsi="Times New Roman" w:cs="Times New Roman"/>
          <w:b/>
          <w:bCs/>
          <w:color w:val="auto"/>
        </w:rPr>
      </w:pPr>
      <w:r>
        <w:rPr>
          <w:rFonts w:ascii="Times New Roman" w:hAnsi="Times New Roman" w:cs="Times New Roman"/>
          <w:b/>
          <w:bCs/>
          <w:color w:val="auto"/>
        </w:rPr>
        <w:t>Abstract</w:t>
      </w:r>
      <w:bookmarkStart w:id="1" w:name="_GoBack"/>
      <w:bookmarkEnd w:id="1"/>
    </w:p>
    <w:p w14:paraId="4BDA884D">
      <w:pPr>
        <w:spacing w:after="0" w:line="480" w:lineRule="auto"/>
        <w:jc w:val="both"/>
        <w:rPr>
          <w:rFonts w:ascii="Times New Roman" w:hAnsi="Times New Roman" w:cs="Times New Roman"/>
          <w:color w:val="auto"/>
        </w:rPr>
      </w:pPr>
      <w:r>
        <w:rPr>
          <w:rFonts w:ascii="Times New Roman" w:hAnsi="Times New Roman" w:cs="Times New Roman"/>
          <w:b/>
          <w:bCs/>
          <w:color w:val="auto"/>
        </w:rPr>
        <w:t>Background</w:t>
      </w:r>
      <w:r>
        <w:rPr>
          <w:rFonts w:ascii="Times New Roman" w:hAnsi="Times New Roman" w:cs="Times New Roman"/>
          <w:color w:val="auto"/>
        </w:rPr>
        <w:t>:</w:t>
      </w:r>
      <w:r>
        <w:rPr>
          <w:rFonts w:ascii="Times New Roman" w:hAnsi="Times New Roman" w:cs="Times New Roman"/>
          <w:color w:val="auto"/>
        </w:rPr>
        <w:br w:type="textWrapping"/>
      </w:r>
      <w:r>
        <w:rPr>
          <w:rFonts w:ascii="Times New Roman" w:hAnsi="Times New Roman" w:cs="Times New Roman"/>
          <w:color w:val="auto"/>
        </w:rPr>
        <w:t xml:space="preserve">Anemia continues to be a major public health issue among school-aged children in India, particularly in </w:t>
      </w:r>
      <w:r>
        <w:rPr>
          <w:rFonts w:ascii="Times New Roman" w:hAnsi="Times New Roman" w:cs="Times New Roman"/>
          <w:color w:val="auto"/>
          <w:lang w:val="en-US"/>
        </w:rPr>
        <w:t>undeserved</w:t>
      </w:r>
      <w:r>
        <w:rPr>
          <w:rFonts w:ascii="Times New Roman" w:hAnsi="Times New Roman" w:cs="Times New Roman"/>
          <w:color w:val="auto"/>
        </w:rPr>
        <w:t xml:space="preserve"> regions. The Government’s Mid-Day Meal (MDM) Scheme aims to improve child nutrition by providing daily nutritious meals in government and government-aided schools.</w:t>
      </w:r>
    </w:p>
    <w:p w14:paraId="19ABBE54">
      <w:pPr>
        <w:spacing w:after="0" w:line="480" w:lineRule="auto"/>
        <w:jc w:val="both"/>
        <w:rPr>
          <w:rFonts w:ascii="Times New Roman" w:hAnsi="Times New Roman" w:cs="Times New Roman"/>
          <w:color w:val="auto"/>
        </w:rPr>
      </w:pPr>
      <w:r>
        <w:rPr>
          <w:rFonts w:ascii="Times New Roman" w:hAnsi="Times New Roman" w:cs="Times New Roman"/>
          <w:b/>
          <w:bCs/>
          <w:color w:val="auto"/>
        </w:rPr>
        <w:t>Objectives</w:t>
      </w:r>
      <w:r>
        <w:rPr>
          <w:rFonts w:ascii="Times New Roman" w:hAnsi="Times New Roman" w:cs="Times New Roman"/>
          <w:color w:val="auto"/>
        </w:rPr>
        <w:t>:</w:t>
      </w:r>
      <w:r>
        <w:rPr>
          <w:rFonts w:ascii="Times New Roman" w:hAnsi="Times New Roman" w:cs="Times New Roman"/>
          <w:color w:val="auto"/>
        </w:rPr>
        <w:br w:type="textWrapping"/>
      </w:r>
      <w:r>
        <w:rPr>
          <w:rFonts w:ascii="Times New Roman" w:hAnsi="Times New Roman" w:cs="Times New Roman"/>
          <w:color w:val="auto"/>
        </w:rPr>
        <w:t>This study investigates the prevalence of anemia among primary school children aged 6–12 years in Bulandshahr district, Uttar Pradesh. It evaluates the impact of the MDM Scheme on hemoglobin levels and examines the role of socio-demographic factors such as age, gender, residential area, and maternal education in influencing anemia and nutritional status.</w:t>
      </w:r>
    </w:p>
    <w:p w14:paraId="6CB15383">
      <w:pPr>
        <w:spacing w:after="0" w:line="480" w:lineRule="auto"/>
        <w:jc w:val="both"/>
        <w:rPr>
          <w:rFonts w:ascii="Times New Roman" w:hAnsi="Times New Roman" w:cs="Times New Roman"/>
          <w:color w:val="auto"/>
        </w:rPr>
      </w:pPr>
      <w:r>
        <w:rPr>
          <w:rFonts w:ascii="Times New Roman" w:hAnsi="Times New Roman" w:cs="Times New Roman"/>
          <w:b/>
          <w:bCs/>
          <w:color w:val="auto"/>
        </w:rPr>
        <w:t>Methods</w:t>
      </w:r>
      <w:r>
        <w:rPr>
          <w:rFonts w:ascii="Times New Roman" w:hAnsi="Times New Roman" w:cs="Times New Roman"/>
          <w:color w:val="auto"/>
        </w:rPr>
        <w:t>:</w:t>
      </w:r>
      <w:r>
        <w:rPr>
          <w:rFonts w:ascii="Times New Roman" w:hAnsi="Times New Roman" w:cs="Times New Roman"/>
          <w:color w:val="auto"/>
        </w:rPr>
        <w:br w:type="textWrapping"/>
      </w:r>
      <w:r>
        <w:rPr>
          <w:rFonts w:ascii="Times New Roman" w:hAnsi="Times New Roman" w:cs="Times New Roman"/>
          <w:color w:val="auto"/>
        </w:rPr>
        <w:t>A descriptive cross-sectional design was employed, involving 600 students (300 urban, 300 rural) selected through stratified random sampling. Hemoglobin levels were measured using field-appropriate techniques, and anthropometric data were collected. Statistical tools included chi-square tests, Pearson correlation, and multiple linear regression.</w:t>
      </w:r>
    </w:p>
    <w:p w14:paraId="69DDAEDD">
      <w:pPr>
        <w:spacing w:after="0" w:line="480" w:lineRule="auto"/>
        <w:jc w:val="both"/>
        <w:rPr>
          <w:rFonts w:ascii="Times New Roman" w:hAnsi="Times New Roman" w:cs="Times New Roman"/>
          <w:color w:val="auto"/>
        </w:rPr>
      </w:pPr>
      <w:r>
        <w:rPr>
          <w:rFonts w:ascii="Times New Roman" w:hAnsi="Times New Roman" w:cs="Times New Roman"/>
          <w:b/>
          <w:bCs/>
          <w:color w:val="auto"/>
        </w:rPr>
        <w:t>Results</w:t>
      </w:r>
      <w:r>
        <w:rPr>
          <w:rFonts w:ascii="Times New Roman" w:hAnsi="Times New Roman" w:cs="Times New Roman"/>
          <w:color w:val="auto"/>
        </w:rPr>
        <w:t>:</w:t>
      </w:r>
      <w:r>
        <w:rPr>
          <w:rFonts w:ascii="Times New Roman" w:hAnsi="Times New Roman" w:cs="Times New Roman"/>
          <w:color w:val="auto"/>
        </w:rPr>
        <w:br w:type="textWrapping"/>
      </w:r>
      <w:r>
        <w:rPr>
          <w:rFonts w:ascii="Times New Roman" w:hAnsi="Times New Roman" w:cs="Times New Roman"/>
          <w:color w:val="auto"/>
        </w:rPr>
        <w:t xml:space="preserve">Anemia prevalence was 33.3%, with rural children more affected (40.0%) than urban peers (26.7%). A significant improvement in hemoglobin levels was observed following participation in the MDM Scheme (mean increase = 1.3 g/dL, </w:t>
      </w:r>
      <w:r>
        <w:rPr>
          <w:rFonts w:ascii="Times New Roman" w:hAnsi="Times New Roman" w:cs="Times New Roman"/>
          <w:i/>
          <w:iCs/>
          <w:color w:val="auto"/>
        </w:rPr>
        <w:t>p</w:t>
      </w:r>
      <w:r>
        <w:rPr>
          <w:rFonts w:ascii="Times New Roman" w:hAnsi="Times New Roman" w:cs="Times New Roman"/>
          <w:color w:val="auto"/>
        </w:rPr>
        <w:t xml:space="preserve"> &lt; 0.001). Hemoglobin showed a moderate positive correlation with BMI (</w:t>
      </w:r>
      <w:r>
        <w:rPr>
          <w:rFonts w:ascii="Times New Roman" w:hAnsi="Times New Roman" w:cs="Times New Roman"/>
          <w:i/>
          <w:iCs/>
          <w:color w:val="auto"/>
        </w:rPr>
        <w:t>r</w:t>
      </w:r>
      <w:r>
        <w:rPr>
          <w:rFonts w:ascii="Times New Roman" w:hAnsi="Times New Roman" w:cs="Times New Roman"/>
          <w:color w:val="auto"/>
        </w:rPr>
        <w:t xml:space="preserve"> = 0.41), and socio-demographic factors explained 21.8% of the variance in hemoglobin levels.</w:t>
      </w:r>
    </w:p>
    <w:p w14:paraId="788A523D">
      <w:pPr>
        <w:spacing w:after="0" w:line="480" w:lineRule="auto"/>
        <w:jc w:val="both"/>
        <w:rPr>
          <w:rFonts w:ascii="Times New Roman" w:hAnsi="Times New Roman" w:cs="Times New Roman"/>
          <w:color w:val="auto"/>
        </w:rPr>
      </w:pPr>
      <w:r>
        <w:rPr>
          <w:rFonts w:ascii="Times New Roman" w:hAnsi="Times New Roman" w:cs="Times New Roman"/>
          <w:b/>
          <w:bCs/>
          <w:color w:val="auto"/>
        </w:rPr>
        <w:t>Conclusion</w:t>
      </w:r>
      <w:r>
        <w:rPr>
          <w:rFonts w:ascii="Times New Roman" w:hAnsi="Times New Roman" w:cs="Times New Roman"/>
          <w:color w:val="auto"/>
        </w:rPr>
        <w:t>:</w:t>
      </w:r>
      <w:r>
        <w:rPr>
          <w:rFonts w:ascii="Times New Roman" w:hAnsi="Times New Roman" w:cs="Times New Roman"/>
          <w:color w:val="auto"/>
        </w:rPr>
        <w:br w:type="textWrapping"/>
      </w:r>
      <w:r>
        <w:rPr>
          <w:rFonts w:ascii="Times New Roman" w:hAnsi="Times New Roman" w:cs="Times New Roman"/>
          <w:color w:val="auto"/>
        </w:rPr>
        <w:t>The MDM Scheme has demonstrated effectiveness in improving hemoglobin levels and reducing anemia. However, disparities by area and maternal education remain. Strengthening the program through micronutrient fortification, regular screening, and community education is recommended to enhance its impact.</w:t>
      </w:r>
    </w:p>
    <w:p w14:paraId="3089AF7F">
      <w:pPr>
        <w:spacing w:after="0" w:line="480" w:lineRule="auto"/>
        <w:jc w:val="both"/>
        <w:rPr>
          <w:rFonts w:ascii="Times New Roman" w:hAnsi="Times New Roman" w:cs="Times New Roman"/>
          <w:color w:val="auto"/>
        </w:rPr>
      </w:pPr>
      <w:r>
        <w:rPr>
          <w:rFonts w:ascii="Times New Roman" w:hAnsi="Times New Roman" w:cs="Times New Roman"/>
          <w:b/>
          <w:bCs/>
          <w:color w:val="auto"/>
        </w:rPr>
        <w:t>Keywords</w:t>
      </w:r>
      <w:r>
        <w:rPr>
          <w:rFonts w:ascii="Times New Roman" w:hAnsi="Times New Roman" w:cs="Times New Roman"/>
          <w:color w:val="auto"/>
        </w:rPr>
        <w:t>: Anemia, Mid-Day Meal Scheme, Hemoglobin, Nutritional Status, School Children, Socio-Demographic Factors.</w:t>
      </w:r>
    </w:p>
    <w:p w14:paraId="49049AE9">
      <w:pPr>
        <w:spacing w:after="0" w:line="480" w:lineRule="auto"/>
        <w:jc w:val="both"/>
        <w:rPr>
          <w:rFonts w:ascii="Times New Roman" w:hAnsi="Times New Roman" w:cs="Times New Roman"/>
          <w:color w:val="auto"/>
        </w:rPr>
      </w:pPr>
    </w:p>
    <w:p w14:paraId="50B7B309">
      <w:pPr>
        <w:spacing w:after="0" w:line="480" w:lineRule="auto"/>
        <w:jc w:val="both"/>
        <w:rPr>
          <w:rFonts w:ascii="Times New Roman" w:hAnsi="Times New Roman" w:cs="Times New Roman"/>
          <w:b/>
          <w:bCs/>
          <w:color w:val="auto"/>
        </w:rPr>
      </w:pPr>
      <w:r>
        <w:rPr>
          <w:rFonts w:ascii="Times New Roman" w:hAnsi="Times New Roman" w:cs="Times New Roman"/>
          <w:b/>
          <w:bCs/>
          <w:color w:val="auto"/>
        </w:rPr>
        <w:t>1. Introduction</w:t>
      </w:r>
    </w:p>
    <w:p w14:paraId="220B9FCF">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Anemia is a prevalent and chronic public health concern especially in low- and medium-income nations, overpopulated by young children and women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{"citationItems":[{"id":"ITEM-1","itemData":{"author":[{"dropping-particle":"","family":"Moretti","given":"Diego","non-dropping-particle":"","parse-names":false,"suffix":""},{"dropping-particle":"","family":"Zimmermann","given":"Michael B","non-dropping-particle":"","parse-names":false,"suffix":""},{"dropping-particle":"","family":"Muthayya","given":"Sumithra","non-dropping-particle":"","parse-names":false,"suffix":""},{"dropping-particle":"","family":"Thankachan","given":"Prashanth","non-dropping-particle":"","parse-names":false,"suffix":""},{"dropping-particle":"","family":"Lee","given":"Tung-ching","non-dropping-particle":"","parse-names":false,"suffix":""},{"dropping-particle":"V","family":"Kurpad","given":"Anura","non-dropping-particle":"","parse-names":false,"suffix":""}],"id":"ITEM-1","issue":"April","issued":{"date-parts":[["2018"]]},"page":"822-829","title":"Extruded rice fortified with micronized ground ferric pyrophosphate reduces iron deficiency in Indian schoolchildren : a double-blind randomized controlled trial 1 – 3","type":"article-journal"},"uris":["http://www.mendeley.com/documents/?uuid=6b46d4ff-5769-4880-a861-6d6a9f92e5f8"]},{"id":"ITEM-2","itemData":{"author":[{"dropping-particle":"","family":"Mengistu","given":"Getachew","non-dropping-particle":"","parse-names":false,"suffix":""},{"dropping-particle":"","family":"Azage","given":"Muluken","non-dropping-particle":"","parse-names":false,"suffix":""},{"dropping-particle":"","family":"Gutema","given":"Hordofa","non-dropping-particle":"","parse-names":false,"suffix":""}],"id":"ITEM-2","issued":{"date-parts":[["2019"]]},"page":"1-9","title":"Iron Deficiency Anemia among In-School Adolescent Girls in Rural Area of Bahir Dar City Administration , North West Ethiopia","type":"article-journal","volume":"2019"},"uris":["http://www.mendeley.com/documents/?uuid=287cb28e-bed6-4444-a593-8f30a8ace962"]}],"mendeley":{"formattedCitation":"(Mengistu et al., 2019; Moretti et al., 2018)","plainTextFormattedCitation":"(Mengistu et al., 2019; Moretti et al., 2018)","previouslyFormattedCitation":"(Mengistu et al., 2019; Moretti et al., 2018)"},"properties":{"noteIndex":0},"schema":"https://github.com/citation-style-language/schema/raw/master/csl-citation.json"}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(Mengistu et al., 2019; Moretti et al., 2018)</w:t>
      </w:r>
      <w:r>
        <w:rPr>
          <w:rFonts w:ascii="Times New Roman" w:hAnsi="Times New Roman" w:cs="Times New Roman"/>
          <w:color w:val="auto"/>
        </w:rPr>
        <w:fldChar w:fldCharType="end"/>
      </w:r>
      <w:r>
        <w:rPr>
          <w:rFonts w:ascii="Times New Roman" w:hAnsi="Times New Roman" w:cs="Times New Roman"/>
          <w:color w:val="auto"/>
        </w:rPr>
        <w:t xml:space="preserve">. With a lesser amount of hemoglobin in the blood, anemia interferes with the ability of the </w:t>
      </w:r>
      <w:r>
        <w:rPr>
          <w:rFonts w:ascii="Times New Roman" w:hAnsi="Times New Roman" w:cs="Times New Roman"/>
          <w:color w:val="auto"/>
        </w:rPr>
        <w:t xml:space="preserve">red blood cells </w:t>
      </w:r>
      <w:r>
        <w:rPr>
          <w:rFonts w:ascii="Times New Roman" w:hAnsi="Times New Roman" w:cs="Times New Roman"/>
          <w:color w:val="auto"/>
        </w:rPr>
        <w:t xml:space="preserve">in transporting oxygen, resulting in fatigue, loss of concentration, and slow physical and cognitive maturity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Mengistu","given":"Getachew","non-dropping-particle":"","parse-names":false,"suffix":""},{"dropping-particle":"","family":"Azage","given":"Muluken","non-dropping-particle":"","parse-names":false,"suffix":""},{"dropping-particle":"","family":"Gutema","given":"Hordofa","non-dropping-particle":"","parse-names":false,"suffix":""}],"id":"ITEM-1","issued":{"date-parts":[["2019"]]},"page":"1-9","title":"Iron Deficiency Anemia among In-School Adolescent Girls in Rural Area of Bahir Dar City Administration , North West Ethiopia","type":"article-journal","volume":"2019"},"uris":["http://www.mendeley.com/documents/?uuid=287cb28e-bed6-4444-a593-8f30a8ace962"]},{"id":"ITEM-2","itemData":{"author":[{"dropping-particle":"","family":"Manger","given":"Mari Skar","non-dropping-particle":"","parse-names":false,"suffix":""},{"dropping-particle":"","family":"Mckenzie","given":"Joanne E","non-dropping-particle":"","parse-names":false,"suffix":""},{"dropping-particle":"","family":"Winichagoon","given":"Pattanee","non-dropping-particle":"","parse-names":false,"suffix":""},{"dropping-particle":"","family":"Gray","given":"Andrew","non-dropping-particle":"","parse-names":false,"suffix":""},{"dropping-particle":"","family":"Chavasit","given":"Visith","non-dropping-particle":"","parse-names":false,"suffix":""},{"dropping-particle":"","family":"Pongcharoen","given":"Tippawan","non-dropping-particle":"","parse-names":false,"suffix":""}],"id":"ITEM-2","issue":"1","issued":{"date-parts":[["2008"]]},"title":"A micronutrient-fortified seasoning powder reduces morbidity and improves short-term cognitive function , but has no effect on anthropometric measures in primary school children in northeast Thailand : a randomized controlled trial 1 – 3","type":"article-journal"},"uris":["http://www.mendeley.com/documents/?uuid=e33a909e-a409-4e73-92e1-29b2ae920e1e"]}],"mendeley":{"formattedCitation":"(Manger et al., 2008; Mengistu et al., 2019)","plainTextFormattedCitation":"(Manger et al., 2008; Mengistu et al., 2019)","previouslyFormattedCitation":"(Manger et al., 2008; Mengistu et al., 2019)"},"properties":{"noteIndex":0},"schema":"https://github.com/citation-style-language/schema/raw/master/csl-citation.json"}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(Manger et al., 2008; Mengistu et al., 2019)</w:t>
      </w:r>
      <w:r>
        <w:rPr>
          <w:rFonts w:ascii="Times New Roman" w:hAnsi="Times New Roman" w:cs="Times New Roman"/>
          <w:color w:val="auto"/>
        </w:rPr>
        <w:fldChar w:fldCharType="end"/>
      </w:r>
      <w:r>
        <w:rPr>
          <w:rFonts w:ascii="Times New Roman" w:hAnsi="Times New Roman" w:cs="Times New Roman"/>
          <w:color w:val="auto"/>
        </w:rPr>
        <w:t xml:space="preserve">. Anemia in children is a very serious burden in India. As per the National Family Health Survey (NFHS-5), of 6 to 59 months old children, over 67 percent of them were diagnosed with anemia, and this was a sharp difference compared to the past years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Anwar","given":"Sanam","non-dropping-particle":"","parse-names":false,"suffix":""},{"dropping-particle":"","family":"Sciences","given":"Health","non-dropping-particle":"","parse-names":false,"suffix":""},{"dropping-particle":"","family":"Deshmukh","given":"Pradeep","non-dropping-particle":"","parse-names":false,"suffix":""},{"dropping-particle":"","family":"Garg","given":"Bishan Swarup","non-dropping-particle":"","parse-names":false,"suffix":""}],"id":"ITEM-1","issue":"January","issued":{"date-parts":[["2006"]]},"title":"Epidemiological Correlates of Nutritional Anemia in Adolescent Girls of Rural Epidemiological Correlates of Nutritional Anemia in Adolescent Girls of Rural Wardha","type":"article-journal"},"uris":["http://www.mendeley.com/documents/?uuid=eed6a7d4-8c2d-4b2b-81f3-0f56e1014150"]},{"id":"ITEM-2","itemData":{"DOI":"10.1197/jamia.M1749.Background","author":[{"dropping-particle":"","family":"Uruno","given":"J O N P F","non-dropping-particle":"","parse-names":false,"suffix":""},{"dropping-particle":"","family":"Hu","given":"J Ingkun Z","non-dropping-particle":"","parse-names":false,"suffix":""},{"dropping-particle":"","family":"Eterson","given":"D A N E P","non-dropping-particle":"","parse-names":false,"suffix":""},{"dropping-particle":"","family":"Inkelstein","given":"J Oseph F","non-dropping-particle":"","parse-names":false,"suffix":""}],"id":"ITEM-2","issued":{"date-parts":[["2006"]]},"page":"16-23","title":"The Use and Interpretation of Quasi-Experimental Studies in Medical Informatics","type":"article-journal"},"uris":["http://www.mendeley.com/documents/?uuid=afb57d7d-93ca-44fc-82b6-ceb93d7610b4"]}],"mendeley":{"formattedCitation":"(Anwar et al., 2006; Uruno et al., 2006)","plainTextFormattedCitation":"(Anwar et al., 2006; Uruno et al., 2006)","previouslyFormattedCitation":"(Anwar et al., 2006; Uruno et al., 2006)"},"properties":{"noteIndex":0},"schema":"https://github.com/citation-style-language/schema/raw/master/csl-citation.json"}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(Anwar et al., 2006; Uruno et al., 2006)</w:t>
      </w:r>
      <w:r>
        <w:rPr>
          <w:rFonts w:ascii="Times New Roman" w:hAnsi="Times New Roman" w:cs="Times New Roman"/>
          <w:color w:val="auto"/>
        </w:rPr>
        <w:fldChar w:fldCharType="end"/>
      </w:r>
      <w:r>
        <w:rPr>
          <w:rFonts w:ascii="Times New Roman" w:hAnsi="Times New Roman" w:cs="Times New Roman"/>
          <w:color w:val="auto"/>
        </w:rPr>
        <w:t xml:space="preserve">. The effective reduction of anemia among infants and adolescent girls has been in the spotlight but school-going children, especially those children who are in the age bracket of 6-12 years have not really been tackled well in the various school health programs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{"citationItems":[{"id":"ITEM-1","itemData":{"DOI":"10.1016/S2214-109X(13)70001-9","author":[{"dropping-particle":"","family":"Stevens","given":"Gretchen A","non-dropping-particle":"","parse-names":false,"suffix":""},{"dropping-particle":"","family":"Finucane","given":"Mariel M","non-dropping-particle":"","parse-names":false,"suffix":""},{"dropping-particle":"","family":"De-regil","given":"Luz Maria","non-dropping-particle":"","parse-names":false,"suffix":""},{"dropping-particle":"","family":"Paciorek","given":"Christopher J","non-dropping-particle":"","parse-names":false,"suffix":""},{"dropping-particle":"","family":"Flaxman","given":"Seth R","non-dropping-particle":"","parse-names":false,"suffix":""},{"dropping-particle":"","family":"Branca","given":"Francesco","non-dropping-particle":"","parse-names":false,"suffix":""},{"dropping-particle":"","family":"Peña-rosas","given":"Juan Pablo","non-dropping-particle":"","parse-names":false,"suffix":""}],"id":"ITEM-1","issued":{"date-parts":[["2025"]]},"page":"16-25","title":"Global , regional , and national trends in haemoglobin concentration and prevalence of total and severe anaemia in children and pregnant and non-pregnant women for 1995 – 2011 : a systematic analysis of population-representative data","type":"article-journal"},"uris":["http://www.mendeley.com/documents/?uuid=9de1fbfe-7f1c-4e3f-86ff-048b8cc3cc88"]}],"mendeley":{"formattedCitation":"(Stevens et al., 2025)","plainTextFormattedCitation":"(Stevens et al., 2025)","previouslyFormattedCitation":"(Stevens et al., 2025)"},"properties":{"noteIndex":0},"schema":"https://github.com/citation-style-language/schema/raw/master/csl-citation.json"}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(Stevens et al., 2013)</w:t>
      </w:r>
      <w:r>
        <w:rPr>
          <w:rFonts w:ascii="Times New Roman" w:hAnsi="Times New Roman" w:cs="Times New Roman"/>
          <w:color w:val="auto"/>
        </w:rPr>
        <w:fldChar w:fldCharType="end"/>
      </w:r>
      <w:r>
        <w:rPr>
          <w:rFonts w:ascii="Times New Roman" w:hAnsi="Times New Roman" w:cs="Times New Roman"/>
          <w:color w:val="auto"/>
        </w:rPr>
        <w:t>.</w:t>
      </w:r>
    </w:p>
    <w:p w14:paraId="32FE935A">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Anemia among school-going children is a complex peril: it is a threat to health, education, and economic performance. It has been pointed out that the anemic children tend to experience a poor school attendance, lack of attention span, difficulties in learning and low grades in education in comparison with the non-anemic kids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10.1017/S1368980017002774","author":[{"dropping-particle":"","family":"Fiorentino","given":"Marion","non-dropping-particle":"","parse-names":false,"suffix":""},{"dropping-particle":"","family":"Perignon","given":"Marlène","non-dropping-particle":"","parse-names":false,"suffix":""},{"dropping-particle":"","family":"Kuong","given":"Khuov","non-dropping-particle":"","parse-names":false,"suffix":""},{"dropping-particle":"De","family":"Groot","given":"Richard","non-dropping-particle":"","parse-names":false,"suffix":""},{"dropping-particle":"","family":"Parker","given":"Megan","non-dropping-particle":"","parse-names":false,"suffix":""},{"dropping-particle":"","family":"Burja","given":"Kurt","non-dropping-particle":"","parse-names":false,"suffix":""},{"dropping-particle":"","family":"Dijkhuizen","given":"Marjoleine A","non-dropping-particle":"","parse-names":false,"suffix":""},{"dropping-particle":"","family":"Sokhom","given":"Sek","non-dropping-particle":"","parse-names":false,"suffix":""},{"dropping-particle":"","family":"Chamnan","given":"Chhoun","non-dropping-particle":"","parse-names":false,"suffix":""},{"dropping-particle":"","family":"Berger","given":"Jacques","non-dropping-particle":"","parse-names":false,"suffix":""},{"dropping-particle":"","family":"Wieringa","given":"Frank T","non-dropping-particle":"","parse-names":false,"suffix":""}],"id":"ITEM-1","issue":"2","issued":{"date-parts":[["2017"]]},"title":"Effect of multi-micronutrient-forti fi ed rice on cognitive performance depends on premix composition and cognitive function tested : results of an effectiveness study in Cambodian schoolchildren Public Health Nutrition","type":"article-journal"},"uris":["http://www.mendeley.com/documents/?uuid=0d770006-34ed-428f-8617-4f522e3e3295"]}],"mendeley":{"formattedCitation":"(Fiorentino et al., 2017)","plainTextFormattedCitation":"(Fiorentino et al., 2017)","previouslyFormattedCitation":"(Fiorentino et al., 2017)"},"properties":{"noteIndex":0},"schema":"https://github.com/citation-style-language/schema/raw/master/csl-citation.json"}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(Fiorentino et al., 2017)</w:t>
      </w:r>
      <w:r>
        <w:rPr>
          <w:rFonts w:ascii="Times New Roman" w:hAnsi="Times New Roman" w:cs="Times New Roman"/>
          <w:color w:val="auto"/>
        </w:rPr>
        <w:fldChar w:fldCharType="end"/>
      </w:r>
      <w:r>
        <w:rPr>
          <w:rFonts w:ascii="Times New Roman" w:hAnsi="Times New Roman" w:cs="Times New Roman"/>
          <w:color w:val="auto"/>
        </w:rPr>
        <w:t xml:space="preserve">. The solution to this issue can be only multifactorial and presupposes not only better dietary intake but also better access to healthcare and specific school-based interventions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10.1002/14651858.CD011302.pub3.www.cochranelibrary.com","author":[{"dropping-particle":"","family":"Ms","given":"Field","non-dropping-particle":"","parse-names":false,"suffix":""},{"dropping-particle":"","family":"Mithra","given":"P","non-dropping-particle":"","parse-names":false,"suffix":""},{"dropping-particle":"","family":"Jp","given":"Peña-rosas","non-dropping-particle":"","parse-names":false,"suffix":""}],"id":"ITEM-1","issued":{"date-parts":[["2021"]]},"title":"Wheat flour fortification with iron and other micronutrients for reducing anaemia and improving iron status in populations (Review)","type":"article-journal"},"uris":["http://www.mendeley.com/documents/?uuid=fb242140-410a-45e1-a5f0-997a4770a5cd"]},{"id":"ITEM-2","itemData":{"DOI":"10.2307/4414222","author":[{"dropping-particle":"","family":"Goyal","given":"Aparajita","non-dropping-particle":"","parse-names":false,"suffix":""},{"dropping-particle":"","family":"Bank","given":"World","non-dropping-particle":"","parse-names":false,"suffix":""}],"id":"ITEM-2","issue":"July","issued":{"date-parts":[["2024"]]},"title":"S pecial articles Future of Mid-Day Meals","type":"article-journal"},"uris":["http://www.mendeley.com/documents/?uuid=1e2d266e-fe17-4088-be30-ed3e679cbecf"]}],"mendeley":{"formattedCitation":"(Goyal &amp; Bank, 2024; Ms et al., 2021)","plainTextFormattedCitation":"(Goyal &amp; Bank, 2024; Ms et al., 2021)","previouslyFormattedCitation":"(Goyal &amp; Bank, 2024; Ms et al., 2021)"},"properties":{"noteIndex":0},"schema":"https://github.com/citation-style-language/schema/raw/master/csl-citation.json"}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(Goyal &amp; Bank, 2024; Ms et al., 2021)</w:t>
      </w:r>
      <w:r>
        <w:rPr>
          <w:rFonts w:ascii="Times New Roman" w:hAnsi="Times New Roman" w:cs="Times New Roman"/>
          <w:color w:val="auto"/>
        </w:rPr>
        <w:fldChar w:fldCharType="end"/>
      </w:r>
      <w:r>
        <w:rPr>
          <w:rFonts w:ascii="Times New Roman" w:hAnsi="Times New Roman" w:cs="Times New Roman"/>
          <w:color w:val="auto"/>
        </w:rPr>
        <w:t>. The Mid-Day Meal (MDM) scheme is one the most ambitious schemes as well as the broad scope on seen by the Indian government on the problem of child malnutrition and the high dropout rates.</w:t>
      </w:r>
    </w:p>
    <w:p w14:paraId="438ECE21">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The MDM Scheme was launched country wide in 2001, and its purpose is to feed the children in government and government-aided primary schools a nutritious cooked meal every school day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{"citationItems":[{"id":"ITEM-1","itemData":{"DOI":"10.1016/S2214-109X(13)70001-9","author":[{"dropping-particle":"","family":"Stevens","given":"Gretchen A","non-dropping-particle":"","parse-names":false,"suffix":""},{"dropping-particle":"","family":"Finucane","given":"Mariel M","non-dropping-particle":"","parse-names":false,"suffix":""},{"dropping-particle":"","family":"De-regil","given":"Luz Maria","non-dropping-particle":"","parse-names":false,"suffix":""},{"dropping-particle":"","family":"Paciorek","given":"Christopher J","non-dropping-particle":"","parse-names":false,"suffix":""},{"dropping-particle":"","family":"Flaxman","given":"Seth R","non-dropping-particle":"","parse-names":false,"suffix":""},{"dropping-particle":"","family":"Branca","given":"Francesco","non-dropping-particle":"","parse-names":false,"suffix":""},{"dropping-particle":"","family":"Peña-rosas","given":"Juan Pablo","non-dropping-particle":"","parse-names":false,"suffix":""}],"id":"ITEM-1","issued":{"date-parts":[["2025"]]},"page":"16-25","title":"Global , regional , and national trends in haemoglobin concentration and prevalence of total and severe anaemia in children and pregnant and non-pregnant women for 1995 – 2011 : a systematic analysis of population-representative data","type":"article-journal"},"uris":["http://www.mendeley.com/documents/?uuid=9de1fbfe-7f1c-4e3f-86ff-048b8cc3cc88"]},{"id":"ITEM-2","itemData":{"author":[{"dropping-particle":"","family":"Union","given":"International","non-dropping-particle":"","parse-names":false,"suffix":""},{"dropping-particle":"","family":"Tuberculosis","given":"Against","non-dropping-particle":"","parse-names":false,"suffix":""},{"dropping-particle":"","family":"Thiagesan","given":"Rajeswaran","non-dropping-particle":"","parse-names":false,"suffix":""},{"dropping-particle":"","family":"Ramachandran","given":"Rakesh","non-dropping-particle":"","parse-names":false,"suffix":""}],"id":"ITEM-2","issue":"September 2015","issued":{"date-parts":[["2023"]]},"title":"Anaemia among schoolchildren from southern Kerala , India : A cross-sectional study","type":"article-journal"},"uris":["http://www.mendeley.com/documents/?uuid=22267c6f-0988-48de-aaa3-2a4b3adbc575"]}],"mendeley":{"formattedCitation":"(Stevens et al., 2025; Union et al., 2023)","plainTextFormattedCitation":"(Stevens et al., 2025; Union et al., 2023)","previouslyFormattedCitation":"(Stevens et al., 2025; Union et al., 2023)"},"properties":{"noteIndex":0},"schema":"https://github.com/citation-style-language/schema/raw/master/csl-citation.json"}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(Stevens et al., 2025; Union et al., 2023)</w:t>
      </w:r>
      <w:r>
        <w:rPr>
          <w:rFonts w:ascii="Times New Roman" w:hAnsi="Times New Roman" w:cs="Times New Roman"/>
          <w:color w:val="auto"/>
        </w:rPr>
        <w:fldChar w:fldCharType="end"/>
      </w:r>
      <w:r>
        <w:rPr>
          <w:rFonts w:ascii="Times New Roman" w:hAnsi="Times New Roman" w:cs="Times New Roman"/>
          <w:color w:val="auto"/>
        </w:rPr>
        <w:t xml:space="preserve">. Such a scheme will not only allow enhancing school attendance and enrolment but will also have a focus of fighting the problem of hunger and malnutrition that are known to be significant sources of childhood anemia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Olson","given":"Rebecca","non-dropping-particle":"","parse-names":false,"suffix":""},{"dropping-particle":"","family":"Gavin-smith","given":"Breda","non-dropping-particle":"","parse-names":false,"suffix":""},{"dropping-particle":"","family":"Ferraboschi","given":"Chiara","non-dropping-particle":"","parse-names":false,"suffix":""},{"dropping-particle":"","family":"Kraemer","given":"Klaus","non-dropping-particle":"","parse-names":false,"suffix":""}],"id":"ITEM-1","issued":{"date-parts":[["2021"]]},"title":"Food Fortification : The Advantages , Disadvantages and Lessons from Sight and Life Programs","type":"article-journal"},"uris":["http://www.mendeley.com/documents/?uuid=304fc4af-a1cc-4856-9daf-d2d21934dc80"]}],"mendeley":{"formattedCitation":"(Olson et al., 2021)","plainTextFormattedCitation":"(Olson et al., 2021)","previouslyFormattedCitation":"(Olson et al., 2021)"},"properties":{"noteIndex":0},"schema":"https://github.com/citation-style-language/schema/raw/master/csl-citation.json"}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(Olson et al., 2021)</w:t>
      </w:r>
      <w:r>
        <w:rPr>
          <w:rFonts w:ascii="Times New Roman" w:hAnsi="Times New Roman" w:cs="Times New Roman"/>
          <w:color w:val="auto"/>
        </w:rPr>
        <w:fldChar w:fldCharType="end"/>
      </w:r>
      <w:r>
        <w:rPr>
          <w:rFonts w:ascii="Times New Roman" w:hAnsi="Times New Roman" w:cs="Times New Roman"/>
          <w:color w:val="auto"/>
        </w:rPr>
        <w:t xml:space="preserve">. The meals must be of some nutritional values like provision of calories and protein which is needed to sustain proper growth and the production of hemoglobin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{"citationItems":[{"id":"ITEM-1","itemData":{"DOI":"10.1111/1467-9566.13105","author":[{"dropping-particle":"","family":"Dutta","given":"Ambarish","non-dropping-particle":"","parse-names":false,"suffix":""},{"dropping-particle":"","family":"Mohapatra","given":"Mrinal Kar","non-dropping-particle":"","parse-names":false,"suffix":""},{"dropping-particle":"","family":"Rout","given":"Sarit Kumar","non-dropping-particle":"","parse-names":false,"suffix":""},{"dropping-particle":"","family":"Kadam","given":"Shridhar","non-dropping-particle":"","parse-names":false,"suffix":""},{"dropping-particle":"","family":"Balagopalan","given":"Kavitha","non-dropping-particle":"","parse-names":false,"suffix":""},{"dropping-particle":"","family":"Tiwari","given":"Divya","non-dropping-particle":"","parse-names":false,"suffix":""},{"dropping-particle":"","family":"Yunus","given":"Shariqua","non-dropping-particle":"","parse-names":false,"suffix":""},{"dropping-particle":"","family":"Behera","given":"Binod Kumar","non-dropping-particle":"","parse-names":false,"suffix":""},{"dropping-particle":"","family":"Kumar","given":"Binod","non-dropping-particle":"","parse-names":false,"suffix":""},{"dropping-particle":"","family":"Mangaraj","given":"Manaswini","non-dropping-particle":"","parse-names":false,"suffix":""},{"dropping-particle":"","family":"Sahu","given":"Suchanda","non-dropping-particle":"","parse-names":false,"suffix":""},{"dropping-particle":"","family":"Paithankar","given":"Pradnya","non-dropping-particle":"","parse-names":false,"suffix":""}],"id":"ITEM-1","issue":"xx","issued":{"date-parts":[["2020"]]},"page":"1-18","title":"Effect of caste on health , independent of economic disparity : evidence from school children of two rural districts of India","type":"article-journal","volume":"xx"},"uris":["http://www.mendeley.com/documents/?uuid=444eb7b9-f40b-4729-85ad-49f28d976a8a"]}],"mendeley":{"formattedCitation":"(Dutta et al., 2020)","plainTextFormattedCitation":"(Dutta et al., 2020)","previouslyFormattedCitation":"(Dutta et al., 2020)"},"properties":{"noteIndex":0},"schema":"https://github.com/citation-style-language/schema/raw/master/csl-citation.json"}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(Dutta et al., 2020)</w:t>
      </w:r>
      <w:r>
        <w:rPr>
          <w:rFonts w:ascii="Times New Roman" w:hAnsi="Times New Roman" w:cs="Times New Roman"/>
          <w:color w:val="auto"/>
        </w:rPr>
        <w:fldChar w:fldCharType="end"/>
      </w:r>
      <w:r>
        <w:rPr>
          <w:rFonts w:ascii="Times New Roman" w:hAnsi="Times New Roman" w:cs="Times New Roman"/>
          <w:color w:val="auto"/>
        </w:rPr>
        <w:t xml:space="preserve">. It has been observed in empirical studies that those children who are heavily on school meals under MDM Scheme record improvement in nutritional indicators such as height-for-age and weight-for-age scores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Mantadakis","given":"Elpis","non-dropping-particle":"","parse-names":false,"suffix":""},{"dropping-particle":"","family":"Chatzimichael","given":"Eleftherios","non-dropping-particle":"","parse-names":false,"suffix":""},{"dropping-particle":"","family":"Zikidou","given":"Panagiota","non-dropping-particle":"","parse-names":false,"suffix":""}],"id":"ITEM-1","issued":{"date-parts":[["2020"]]},"title":"Iron Deficiency Anemia in Children Residing in High and Low-Income Countries : Risk Factors , Prevention , Diagnosis and Therapy","type":"article-journal"},"uris":["http://www.mendeley.com/documents/?uuid=8ad3e102-cb46-4a8c-a173-c814a66d9b00"]},{"id":"ITEM-2","itemData":{"author":[{"dropping-particle":"","family":"Mengistu","given":"Getachew","non-dropping-particle":"","parse-names":false,"suffix":""},{"dropping-particle":"","family":"Azage","given":"Muluken","non-dropping-particle":"","parse-names":false,"suffix":""},{"dropping-particle":"","family":"Gutema","given":"Hordofa","non-dropping-particle":"","parse-names":false,"suffix":""}],"id":"ITEM-2","issued":{"date-parts":[["2019"]]},"page":"1-9","title":"Iron Deficiency Anemia among In-School Adolescent Girls in Rural Area of Bahir Dar City Administration , North West Ethiopia","type":"article-journal","volume":"2019"},"uris":["http://www.mendeley.com/documents/?uuid=287cb28e-bed6-4444-a593-8f30a8ace962"]}],"mendeley":{"formattedCitation":"(Mantadakis et al., 2020; Mengistu et al., 2019)","plainTextFormattedCitation":"(Mantadakis et al., 2020; Mengistu et al., 2019)","previouslyFormattedCitation":"(Mantadakis et al., 2020; Mengistu et al., 2019)"},"properties":{"noteIndex":0},"schema":"https://github.com/citation-style-language/schema/raw/master/csl-citation.json"}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(Mantadakis et al., 2020; Mengistu et al., 2019)</w:t>
      </w:r>
      <w:r>
        <w:rPr>
          <w:rFonts w:ascii="Times New Roman" w:hAnsi="Times New Roman" w:cs="Times New Roman"/>
          <w:color w:val="auto"/>
        </w:rPr>
        <w:fldChar w:fldCharType="end"/>
      </w:r>
      <w:r>
        <w:rPr>
          <w:rFonts w:ascii="Times New Roman" w:hAnsi="Times New Roman" w:cs="Times New Roman"/>
          <w:color w:val="auto"/>
        </w:rPr>
        <w:t>. Nevertheless, few findings are available at regional and district levels regarding the direct influence of the scheme on the hemoglobin level and prevalence of anemia.</w:t>
      </w:r>
    </w:p>
    <w:p w14:paraId="542BC354">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The case of the Bulandshahr district in Uttar Pradesh can serve as a unique case upon which one can evaluate the effectiveness of the MDM Scheme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{"citationItems":[{"id":"ITEM-1","itemData":{"DOI":"10.1111/nyas.14092","author":[{"dropping-particle":"","family":"Chaparro","given":"Camila M","non-dropping-particle":"","parse-names":false,"suffix":""},{"dropping-particle":"","family":"Suchdev","given":"Parminder S","non-dropping-particle":"","parse-names":false,"suffix":""}],"id":"ITEM-1","issued":{"date-parts":[["2019"]]},"page":"1-17","title":"Anemia epidemiology , pathophysiology , and etiology in low- and middle-income countries","type":"article-journal"},"uris":["http://www.mendeley.com/documents/?uuid=a93df7d4-5b59-4935-b9bd-44df74527647"]}],"mendeley":{"formattedCitation":"(Chaparro &amp; Suchdev, 2019)","plainTextFormattedCitation":"(Chaparro &amp; Suchdev, 2019)","previouslyFormattedCitation":"(Chaparro &amp; Suchdev, 2019)"},"properties":{"noteIndex":0},"schema":"https://github.com/citation-style-language/schema/raw/master/csl-citation.json"}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(Chaparro &amp; Suchdev, 2019)</w:t>
      </w:r>
      <w:r>
        <w:rPr>
          <w:rFonts w:ascii="Times New Roman" w:hAnsi="Times New Roman" w:cs="Times New Roman"/>
          <w:color w:val="auto"/>
        </w:rPr>
        <w:fldChar w:fldCharType="end"/>
      </w:r>
      <w:r>
        <w:rPr>
          <w:rFonts w:ascii="Times New Roman" w:hAnsi="Times New Roman" w:cs="Times New Roman"/>
          <w:color w:val="auto"/>
        </w:rPr>
        <w:t xml:space="preserve">. The area is social-economically heterogeneous, with widespread child underfeeding and a combination of urban and rural inhabitants, which can ultimately affect the extent of anemia as well as the provision of the government services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10.1016/S2214-109X(19)30440-1","ISSN":"2214-109X","author":[{"dropping-particle":"","family":"Didzun","given":"Oliver","non-dropping-particle":"","parse-names":false,"suffix":""},{"dropping-particle":"De","family":"Neve","given":"Jan-walter","non-dropping-particle":"","parse-names":false,"suffix":""},{"dropping-particle":"","family":"Awasthi","given":"Ashish","non-dropping-particle":"","parse-names":false,"suffix":""},{"dropping-particle":"","family":"Dubey","given":"Manisha","non-dropping-particle":"","parse-names":false,"suffix":""},{"dropping-particle":"","family":"Theilmann","given":"Michaela","non-dropping-particle":"","parse-names":false,"suffix":""},{"dropping-particle":"","family":"Bärnighausen","given":"Till","non-dropping-particle":"","parse-names":false,"suffix":""},{"dropping-particle":"","family":"Vollmer","given":"Sebastian","non-dropping-particle":"","parse-names":false,"suffix":""},{"dropping-particle":"","family":"Geldsetzer","given":"Pascal","non-dropping-particle":"","parse-names":false,"suffix":""}],"container-title":"The Lancet Global Health","id":"ITEM-1","issue":"12","issued":{"date-parts":[["2019"]]},"page":"e1685-e1694","publisher":"The Author(s). Published by Elsevier Ltd. This is an Open Access article under the CC BY 4.0 license.","title":"Articles Anaemia among men in India : a nationally representative cross-sectional study","type":"article-journal","volume":"7"},"uris":["http://www.mendeley.com/documents/?uuid=5bbd1c8d-4441-4a27-8341-dd41bdf4b2b9"]}],"mendeley":{"formattedCitation":"(Didzun et al., 2019)","plainTextFormattedCitation":"(Didzun et al., 2019)","previouslyFormattedCitation":"(Didzun et al., 2019)"},"properties":{"noteIndex":0},"schema":"https://github.com/citation-style-language/schema/raw/master/csl-citation.json"}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(Didzun et al., 2019)</w:t>
      </w:r>
      <w:r>
        <w:rPr>
          <w:rFonts w:ascii="Times New Roman" w:hAnsi="Times New Roman" w:cs="Times New Roman"/>
          <w:color w:val="auto"/>
        </w:rPr>
        <w:fldChar w:fldCharType="end"/>
      </w:r>
      <w:r>
        <w:rPr>
          <w:rFonts w:ascii="Times New Roman" w:hAnsi="Times New Roman" w:cs="Times New Roman"/>
          <w:color w:val="auto"/>
        </w:rPr>
        <w:t>. Thus, this research aims at evaluating the influence of Mid-Day Meal Scheme on the prevalence of anemia in children aged between 6 and 12 years receiving primary education in Bulandshahr. In particular, it aims at analyzing the distribution of anemia in various demographic populations, discuss the influence of nutritional and socio economic factors and determine whether consumption of mid-day meals regularly helps to achieve substantial rise in hemoglobin levels. It is believed that the results will address policy modifications and enhance the evidence needed to support nutrition-oriented enactments in schools.</w:t>
      </w:r>
    </w:p>
    <w:p w14:paraId="3CA96423">
      <w:pPr>
        <w:spacing w:after="0" w:line="480" w:lineRule="auto"/>
        <w:jc w:val="both"/>
        <w:rPr>
          <w:rFonts w:ascii="Times New Roman" w:hAnsi="Times New Roman" w:cs="Times New Roman"/>
          <w:color w:val="auto"/>
        </w:rPr>
      </w:pPr>
    </w:p>
    <w:p w14:paraId="2DF140D6">
      <w:pPr>
        <w:spacing w:after="0" w:line="480" w:lineRule="auto"/>
        <w:jc w:val="both"/>
        <w:rPr>
          <w:rFonts w:ascii="Times New Roman" w:hAnsi="Times New Roman" w:cs="Times New Roman"/>
          <w:b/>
          <w:bCs/>
          <w:color w:val="auto"/>
        </w:rPr>
      </w:pPr>
      <w:r>
        <w:rPr>
          <w:rFonts w:ascii="Times New Roman" w:hAnsi="Times New Roman" w:cs="Times New Roman"/>
          <w:b/>
          <w:bCs/>
          <w:color w:val="auto"/>
        </w:rPr>
        <w:t>2. Review of Literature</w:t>
      </w:r>
    </w:p>
    <w:p w14:paraId="66154C9E">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Anemia remains one of the most important nutritional deficiency disorders affecting populations on the global front, and India shares a big portion of the global load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10.1002/14651858.CD009902.pub2.www.cochranelibrary.com","author":[{"dropping-particle":"","family":"Jp","given":"Rosas","non-dropping-particle":"","parse-names":false,"suffix":""},{"dropping-particle":"","family":"Lm","given":"De-regil","non-dropping-particle":"","parse-names":false,"suffix":""},{"dropping-particle":"","family":"Ns","given":"Nair","non-dropping-particle":"","parse-names":false,"suffix":""},{"dropping-particle":"","family":"Mn","given":"Garcia-casal","non-dropping-particle":"","parse-names":false,"suffix":""},{"dropping-particle":"","family":"Ja","given":"Solon","non-dropping-particle":"","parse-names":false,"suffix":""}],"id":"ITEM-1","issued":{"date-parts":[["2019"]]},"title":"Peña-Rosas JP, Mithra P, Unnikrishnan B, Kumar N, De-Regil LM, Nair NS, Garcia-Casal MN, Solon JA","type":"article-journal"},"uris":["http://www.mendeley.com/documents/?uuid=5e924a7d-3703-484f-af48-a51c71c8b9da"]}],"mendeley":{"formattedCitation":"(Jp et al., 2019)","plainTextFormattedCitation":"(Jp et al., 2019)","previouslyFormattedCitation":"(Jp et al., 2019)"},"properties":{"noteIndex":0},"schema":"https://github.com/citation-style-language/schema/raw/master/csl-citation.json"}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(Jp et al., 2019)</w:t>
      </w:r>
      <w:r>
        <w:rPr>
          <w:rFonts w:ascii="Times New Roman" w:hAnsi="Times New Roman" w:cs="Times New Roman"/>
          <w:color w:val="auto"/>
        </w:rPr>
        <w:fldChar w:fldCharType="end"/>
      </w:r>
      <w:r>
        <w:rPr>
          <w:rFonts w:ascii="Times New Roman" w:hAnsi="Times New Roman" w:cs="Times New Roman"/>
          <w:color w:val="auto"/>
        </w:rPr>
        <w:t xml:space="preserve">. It is estimated that more than 40 percent of children in the developing world have anemia, a condition which produces poor growth, poor immune system, and poor learning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{"citationItems":[{"id":"ITEM-1","itemData":{"author":[{"dropping-particle":"","family":"Keats","given":"Emily C","non-dropping-particle":"","parse-names":false,"suffix":""},{"dropping-particle":"","family":"Neufeld","given":"Lynnette M","non-dropping-particle":"","parse-names":false,"suffix":""},{"dropping-particle":"","family":"Garrett","given":"Greg S","non-dropping-particle":"","parse-names":false,"suffix":""},{"dropping-particle":"","family":"Mbuya","given":"Mduduzi N N","non-dropping-particle":"","parse-names":false,"suffix":""},{"dropping-particle":"","family":"Bhutta","given":"Zulfiqar A","non-dropping-particle":"","parse-names":false,"suffix":""}],"id":"ITEM-1","issued":{"date-parts":[["2019"]]},"page":"1-13","publisher":"Oxford University Press","title":"Improved micronutrient status and health outcomes in low- and middle-income countries following large-scale fortification : evidence from a systematic review and meta-analysis","type":"article-journal"},"uris":["http://www.mendeley.com/documents/?uuid=8c3ade1c-5466-4e52-b8de-e4dd1b144c2d"]}],"mendeley":{"formattedCitation":"(Keats et al., 2019)","plainTextFormattedCitation":"(Keats et al., 2019)","previouslyFormattedCitation":"(Keats et al., 2019)"},"properties":{"noteIndex":0},"schema":"https://github.com/citation-style-language/schema/raw/master/csl-citation.json"}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(Keats et al., 2019)</w:t>
      </w:r>
      <w:r>
        <w:rPr>
          <w:rFonts w:ascii="Times New Roman" w:hAnsi="Times New Roman" w:cs="Times New Roman"/>
          <w:color w:val="auto"/>
        </w:rPr>
        <w:fldChar w:fldCharType="end"/>
      </w:r>
      <w:r>
        <w:rPr>
          <w:rFonts w:ascii="Times New Roman" w:hAnsi="Times New Roman" w:cs="Times New Roman"/>
          <w:color w:val="auto"/>
        </w:rPr>
        <w:t xml:space="preserve">. The prevalence of anemia is widespread in many age groups of India, however, children and adolescent girls are at the greatest risk because of ineffective dietary habits, frequent diseases caused by infections, and a lack of quality healthcare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{"citationItems":[{"id":"ITEM-1","itemData":{"DOI":"10.1038/s41598-019-52793-3","ISSN":"2045-2322","author":[{"dropping-particle":"","family":"Onyeneho","given":"Nkechi G","non-dropping-particle":"","parse-names":false,"suffix":""},{"dropping-particle":"","family":"Ozumba","given":"Benjamin C","non-dropping-particle":"","parse-names":false,"suffix":""},{"dropping-particle":"V","family":"Subramanian","given":"S","non-dropping-particle":"","parse-names":false,"suffix":""}],"container-title":"Scientific Reports","id":"ITEM-1","issued":{"date-parts":[["2019"]]},"page":"1-7","publisher":"Springer US","title":"Determinants of Childhood Anemia in India","type":"article-journal"},"uris":["http://www.mendeley.com/documents/?uuid=55d55201-6d5c-47a9-bd78-dbd98eade869"]}],"mendeley":{"formattedCitation":"(Onyeneho et al., 2019)","plainTextFormattedCitation":"(Onyeneho et al., 2019)","previouslyFormattedCitation":"(Onyeneho et al., 2019)"},"properties":{"noteIndex":0},"schema":"https://github.com/citation-style-language/schema/raw/master/csl-citation.json"}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(Onyeneho et al., 2019)</w:t>
      </w:r>
      <w:r>
        <w:rPr>
          <w:rFonts w:ascii="Times New Roman" w:hAnsi="Times New Roman" w:cs="Times New Roman"/>
          <w:color w:val="auto"/>
        </w:rPr>
        <w:fldChar w:fldCharType="end"/>
      </w:r>
      <w:r>
        <w:rPr>
          <w:rFonts w:ascii="Times New Roman" w:hAnsi="Times New Roman" w:cs="Times New Roman"/>
          <w:color w:val="auto"/>
        </w:rPr>
        <w:t xml:space="preserve">. The NFHS-5 has exhibited an alarming rise in anemia in children aged 6 to 59 months, with a difference between the NFHS-4 and NFHS-5 in 8 percentage points, i.e., 59% in NFHS-4 and 67% in NFHS-5, which shows that though various efforts are being taken to reduce the problems, the issue is prevalent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{"citationItems":[{"id":"ITEM-1","itemData":{"author":[{"dropping-particle":"","family":"Moretti","given":"Diego","non-dropping-particle":"","parse-names":false,"suffix":""},{"dropping-particle":"","family":"Zimmermann","given":"Michael B","non-dropping-particle":"","parse-names":false,"suffix":""},{"dropping-particle":"","family":"Muthayya","given":"Sumithra","non-dropping-particle":"","parse-names":false,"suffix":""},{"dropping-particle":"","family":"Thankachan","given":"Prashanth","non-dropping-particle":"","parse-names":false,"suffix":""},{"dropping-particle":"","family":"Lee","given":"Tung-ching","non-dropping-particle":"","parse-names":false,"suffix":""},{"dropping-particle":"V","family":"Kurpad","given":"Anura","non-dropping-particle":"","parse-names":false,"suffix":""}],"id":"ITEM-1","issue":"April","issued":{"date-parts":[["2018"]]},"page":"822-829","title":"Extruded rice fortified with micronized ground ferric pyrophosphate reduces iron deficiency in Indian schoolchildren : a double-blind randomized controlled trial 1 – 3","type":"article-journal"},"uris":["http://www.mendeley.com/documents/?uuid=6b46d4ff-5769-4880-a861-6d6a9f92e5f8"]}],"mendeley":{"formattedCitation":"(Moretti et al., 2018)","plainTextFormattedCitation":"(Moretti et al., 2018)","previouslyFormattedCitation":"(Moretti et al., 2018)"},"properties":{"noteIndex":0},"schema":"https://github.com/citation-style-language/schema/raw/master/csl-citation.json"}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(Moretti et al., 2018)</w:t>
      </w:r>
      <w:r>
        <w:rPr>
          <w:rFonts w:ascii="Times New Roman" w:hAnsi="Times New Roman" w:cs="Times New Roman"/>
          <w:color w:val="auto"/>
        </w:rPr>
        <w:fldChar w:fldCharType="end"/>
      </w:r>
      <w:r>
        <w:rPr>
          <w:rFonts w:ascii="Times New Roman" w:hAnsi="Times New Roman" w:cs="Times New Roman"/>
          <w:color w:val="auto"/>
        </w:rPr>
        <w:t>.</w:t>
      </w:r>
    </w:p>
    <w:p w14:paraId="5A2925C9">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It has been demonstrated by a number of researches that anemia among school-children is commonly related to nutritional and non-nutritional causes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{"citationItems":[{"id":"ITEM-1","itemData":{"author":[{"dropping-particle":"","family":"Controlled","given":"A Randomized","non-dropping-particle":"","parse-names":false,"suffix":""},{"dropping-particle":"","family":"Winichagoon","given":"Pattanee","non-dropping-particle":"","parse-names":false,"suffix":""},{"dropping-particle":"","family":"Mckenzie","given":"Joanne E","non-dropping-particle":"","parse-names":false,"suffix":""},{"dropping-particle":"","family":"Chavasit","given":"Visith","non-dropping-particle":"","parse-names":false,"suffix":""},{"dropping-particle":"","family":"Pongcharoen","given":"Tippawan","non-dropping-particle":"","parse-names":false,"suffix":""},{"dropping-particle":"","family":"Gowachirapant","given":"Sueppong","non-dropping-particle":"","parse-names":false,"suffix":""},{"dropping-particle":"","family":"Boonpraderm","given":"Atitada","non-dropping-particle":"","parse-names":false,"suffix":""},{"dropping-particle":"","family":"Manger","given":"Mari S","non-dropping-particle":"","parse-names":false,"suffix":""},{"dropping-particle":"","family":"Bailey","given":"Karl B","non-dropping-particle":"","parse-names":false,"suffix":""},{"dropping-particle":"","family":"Wasantwisut","given":"Emorn","non-dropping-particle":"","parse-names":false,"suffix":""},{"dropping-particle":"","family":"Gibson","given":"Rosalind S","non-dropping-particle":"","parse-names":false,"suffix":""}],"id":"ITEM-1","issue":"March","issued":{"date-parts":[["2018"]]},"page":"1617-1623","title":"Community and International Nutrition A Multimicronutrient-Fortified Seasoning Powder Enhances the Hemoglobin , Zinc , and Iodine Status of Primary School Children in North East Thailand :","type":"article-journal"},"uris":["http://www.mendeley.com/documents/?uuid=379febc5-d21b-4547-86e4-484b73df1256"]},{"id":"ITEM-2","itemData":{"author":[{"dropping-particle":"","family":"Kvalsvig","given":"Jane D","non-dropping-particle":"","parse-names":false,"suffix":""},{"dropping-particle":"","family":"Faber","given":"Mieke","non-dropping-particle":"","parse-names":false,"suffix":""},{"dropping-particle":"","family":"Kruger","given":"Marita","non-dropping-particle":"","parse-names":false,"suffix":""},{"dropping-particle":"","family":"Kenoyer","given":"Diane G","non-dropping-particle":"","parse-names":false,"suffix":""}],"id":"ITEM-2","issue":"April","issued":{"date-parts":[["2018"]]},"page":"497-503","title":"Effect of iron- , iodine- , and </w:instrText>
      </w:r>
      <w:r>
        <w:rPr>
          <w:rFonts w:ascii="Segoe UI Symbol" w:hAnsi="Segoe UI Symbol" w:cs="Segoe UI Symbol"/>
          <w:color w:val="auto"/>
        </w:rPr>
        <w:instrText xml:space="preserve">␤</w:instrText>
      </w:r>
      <w:r>
        <w:rPr>
          <w:rFonts w:ascii="Times New Roman" w:hAnsi="Times New Roman" w:cs="Times New Roman"/>
          <w:color w:val="auto"/>
        </w:rPr>
        <w:instrText xml:space="preserve"> -carotene – fortified biscuits on the micronutrient status of primary school children : a randomized","type":"article-journal"},"uris":["http://www.mendeley.com/documents/?uuid=d4a1e9be-e84c-40aa-b191-983b998ae9ca"]}],"mendeley":{"formattedCitation":"(Controlled et al., 2018; Kvalsvig et al., 2018)","plainTextFormattedCitation":"(Controlled et al., 2018; Kvalsvig et al., 2018)","previouslyFormattedCitation":"(Controlled et al., 2018; Kvalsvig et al., 2018)"},"properties":{"noteIndex":0},"schema":"https://github.com/citation-style-language/schema/raw/master/csl-citation.json"}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(Controlled et al., 2018; Kvalsvig et al., 2018)</w:t>
      </w:r>
      <w:r>
        <w:rPr>
          <w:rFonts w:ascii="Times New Roman" w:hAnsi="Times New Roman" w:cs="Times New Roman"/>
          <w:color w:val="auto"/>
        </w:rPr>
        <w:fldChar w:fldCharType="end"/>
      </w:r>
      <w:r>
        <w:rPr>
          <w:rFonts w:ascii="Times New Roman" w:hAnsi="Times New Roman" w:cs="Times New Roman"/>
          <w:color w:val="auto"/>
        </w:rPr>
        <w:t xml:space="preserve">. The most dominant factor is the inadequate consumption of iron sources especially animal sources but it is also worsened due to the parasites, unclean conditions and gender inequality in the food distribution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{"citationItems":[{"id":"ITEM-1","itemData":{"author":[{"dropping-particle":"","family":"Abrams","given":"Steven A","non-dropping-particle":"","parse-names":false,"suffix":""},{"dropping-particle":"","family":"Mushi","given":"Alex","non-dropping-particle":"","parse-names":false,"suffix":""},{"dropping-particle":"","family":"Hilmers","given":"David C","non-dropping-particle":"","parse-names":false,"suffix":""},{"dropping-particle":"","family":"Griffin","given":"Ian J","non-dropping-particle":"","parse-names":false,"suffix":""},{"dropping-particle":"","family":"Davila","given":"Penni","non-dropping-particle":"","parse-names":false,"suffix":""},{"dropping-particle":"","family":"Allen","given":"Lindsay","non-dropping-particle":"","parse-names":false,"suffix":""}],"id":"ITEM-1","issue":"March 2003","issued":{"date-parts":[["2018"]]},"page":"1834-1840","title":"Community and International Nutrition A Multinutrient-Fortified Beverage Enhances the Nutritional Status","type":"article-journal"},"uris":["http://www.mendeley.com/documents/?uuid=86afba61-40cb-4717-aba1-1df3bf6893cf"]}],"mendeley":{"formattedCitation":"(Abrams et al., 2018)","plainTextFormattedCitation":"(Abrams et al., 2018)","previouslyFormattedCitation":"(Abrams et al., 2018)"},"properties":{"noteIndex":0},"schema":"https://github.com/citation-style-language/schema/raw/master/csl-citation.json"}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(Abrams et al., 2018)</w:t>
      </w:r>
      <w:r>
        <w:rPr>
          <w:rFonts w:ascii="Times New Roman" w:hAnsi="Times New Roman" w:cs="Times New Roman"/>
          <w:color w:val="auto"/>
        </w:rPr>
        <w:fldChar w:fldCharType="end"/>
      </w:r>
      <w:r>
        <w:rPr>
          <w:rFonts w:ascii="Times New Roman" w:hAnsi="Times New Roman" w:cs="Times New Roman"/>
          <w:color w:val="auto"/>
        </w:rPr>
        <w:t xml:space="preserve">. Such aspects as Socio-economic status, parental education, and rural-urban residence keep emergent as the chief predictors of nutritional status of a child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{"citationItems":[{"id":"ITEM-1","itemData":{"author":[{"dropping-particle":"","family":"Ash","given":"Deborah M","non-dropping-particle":"","parse-names":false,"suffix":""},{"dropping-particle":"","family":"Tatala","given":"Simon R","non-dropping-particle":"","parse-names":false,"suffix":""},{"dropping-particle":"","family":"Jr","given":"Edward A Frongillo","non-dropping-particle":"","parse-names":false,"suffix":""},{"dropping-particle":"","family":"Ndossi","given":"Godwin D","non-dropping-particle":"","parse-names":false,"suffix":""},{"dropping-particle":"","family":"Latham","given":"Michael C","non-dropping-particle":"","parse-names":false,"suffix":""}],"id":"ITEM-1","issue":"April","issued":{"date-parts":[["2018"]]},"title":"Randomized efficacy trial of a micronutrient-fortified beverage in primary school children in Tanzania 1 – 3","type":"article-journal"},"uris":["http://www.mendeley.com/documents/?uuid=8a1e969d-bfb4-4368-b6c4-a62f0855dbaa"]}],"mendeley":{"formattedCitation":"(Ash et al., 2018)","plainTextFormattedCitation":"(Ash et al., 2018)","previouslyFormattedCitation":"(Ash et al., 2018)"},"properties":{"noteIndex":0},"schema":"https://github.com/citation-style-language/schema/raw/master/csl-citation.json"}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(Ash et al., 2018)</w:t>
      </w:r>
      <w:r>
        <w:rPr>
          <w:rFonts w:ascii="Times New Roman" w:hAnsi="Times New Roman" w:cs="Times New Roman"/>
          <w:color w:val="auto"/>
        </w:rPr>
        <w:fldChar w:fldCharType="end"/>
      </w:r>
      <w:r>
        <w:rPr>
          <w:rFonts w:ascii="Times New Roman" w:hAnsi="Times New Roman" w:cs="Times New Roman"/>
          <w:color w:val="auto"/>
        </w:rPr>
        <w:t xml:space="preserve">. An example would be that children belonging to families with less education of the mothers would have worse nutritional outcomes, so it is evident that even household-level factors such as education have an influence on parental child health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10.1001/jamanetworkopen.2018.2899","author":[{"dropping-particle":"","family":"Yang","given":"Fan","non-dropping-particle":"","parse-names":false,"suffix":""},{"dropping-particle":"","family":"Liu","given":"Xueyi","non-dropping-particle":"","parse-names":false,"suffix":""},{"dropping-particle":"","family":"Zha","given":"Panpan","non-dropping-particle":"","parse-names":false,"suffix":""}],"id":"ITEM-1","issue":"5","issued":{"date-parts":[["2018"]]},"page":"1-14","title":"Trends in Socioeconomic Inequalities and Prevalence of Anemia Among Children and Nonpregnant Women in Low- and Middle-Income Countries","type":"article-journal","volume":"1"},"uris":["http://www.mendeley.com/documents/?uuid=99d30b1d-c12e-42e2-8f46-8d9c3049977d"]}],"mendeley":{"formattedCitation":"(Yang et al., 2018)","plainTextFormattedCitation":"(Yang et al., 2018)","previouslyFormattedCitation":"(Yang et al., 2018)"},"properties":{"noteIndex":0},"schema":"https://github.com/citation-style-language/schema/raw/master/csl-citation.json"}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(Yang et al., 2018)</w:t>
      </w:r>
      <w:r>
        <w:rPr>
          <w:rFonts w:ascii="Times New Roman" w:hAnsi="Times New Roman" w:cs="Times New Roman"/>
          <w:color w:val="auto"/>
        </w:rPr>
        <w:fldChar w:fldCharType="end"/>
      </w:r>
      <w:r>
        <w:rPr>
          <w:rFonts w:ascii="Times New Roman" w:hAnsi="Times New Roman" w:cs="Times New Roman"/>
          <w:color w:val="auto"/>
        </w:rPr>
        <w:t>.</w:t>
      </w:r>
    </w:p>
    <w:p w14:paraId="13EC3AC3">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Government of India has integrated a number of programs to resolve the issue of child malnutrition and anemia such as the Integrated Child Development Services (ICDS), Weekly Iron and Folic Acid Supplementation (WIFS) and the Mid-Day Meal (MDM) Scheme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{"citationItems":[{"id":"ITEM-1","itemData":{"DOI":"10.1111/mcn.12493","author":[{"dropping-particle":"","family":"Dhillon","given":"Christina Nyhus","non-dropping-particle":"","parse-names":false,"suffix":""},{"dropping-particle":"","family":"Neufeld","given":"Lynnette M","non-dropping-particle":"","parse-names":false,"suffix":""},{"dropping-particle":"","family":"Sarkar","given":"Danya","non-dropping-particle":"","parse-names":false,"suffix":""},{"dropping-particle":"","family":"Klemm","given":"Rolf D W","non-dropping-particle":"","parse-names":false,"suffix":""},{"dropping-particle":"","family":"Tumilowicz","given":"Alison","non-dropping-particle":"","parse-names":false,"suffix":""},{"dropping-particle":"","family":"Namaste","given":"Sorrel M L","non-dropping-particle":"","parse-names":false,"suffix":""}],"id":"ITEM-1","issue":"June","issued":{"date-parts":[["2017"]]},"page":"1-9","title":"Executive summary for the Micronutrient Powders Consultation : Lessons Learned for Operational Guidance","type":"article-journal","volume":"13"},"uris":["http://www.mendeley.com/documents/?uuid=b0e72310-7ac5-4fdf-a780-a3c402b171dd"]}],"mendeley":{"formattedCitation":"(Dhillon et al., 2017)","plainTextFormattedCitation":"(Dhillon et al., 2017)","previouslyFormattedCitation":"(Dhillon et al., 2017)"},"properties":{"noteIndex":0},"schema":"https://github.com/citation-style-language/schema/raw/master/csl-citation.json"}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(Dhillon et al., 2017)</w:t>
      </w:r>
      <w:r>
        <w:rPr>
          <w:rFonts w:ascii="Times New Roman" w:hAnsi="Times New Roman" w:cs="Times New Roman"/>
          <w:color w:val="auto"/>
        </w:rPr>
        <w:fldChar w:fldCharType="end"/>
      </w:r>
      <w:r>
        <w:rPr>
          <w:rFonts w:ascii="Times New Roman" w:hAnsi="Times New Roman" w:cs="Times New Roman"/>
          <w:color w:val="auto"/>
        </w:rPr>
        <w:t xml:space="preserve">. The MDM Scheme is one of them which is exceptionally important because of its extensive coverage and the school-related implementation. The scheme, free cooked meals offered to students attending government and government-aided schools, was introduced across the country in 2001, and guidelines are provided to make it nutritionally adequate in calories and the amount of proteins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{"citationItems":[{"id":"ITEM-1","itemData":{"DOI":"10.1007/s00181-017-1250-5","ISBN":"0018101712","ISSN":"1435-8921","author":[{"dropping-particle":"","family":"Dalmia","given":"Ashvika","non-dropping-particle":"","parse-names":false,"suffix":""}],"container-title":"Empirical Economics","id":"ITEM-1","issued":{"date-parts":[["2017"]]},"publisher":"Springer Berlin Heidelberg","title":"Demand for household sanitation in India using NFHS-3 data","type":"article-journal"},"uris":["http://www.mendeley.com/documents/?uuid=e4329cf0-e91c-40fc-9be4-2c9073b31265"]}],"mendeley":{"formattedCitation":"(Dalmia, 2017)","plainTextFormattedCitation":"(Dalmia, 2017)","previouslyFormattedCitation":"(Dalmia, 2017)"},"properties":{"noteIndex":0},"schema":"https://github.com/citation-style-language/schema/raw/master/csl-citation.json"}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(Dalmia, 2017)</w:t>
      </w:r>
      <w:r>
        <w:rPr>
          <w:rFonts w:ascii="Times New Roman" w:hAnsi="Times New Roman" w:cs="Times New Roman"/>
          <w:color w:val="auto"/>
        </w:rPr>
        <w:fldChar w:fldCharType="end"/>
      </w:r>
      <w:r>
        <w:rPr>
          <w:rFonts w:ascii="Times New Roman" w:hAnsi="Times New Roman" w:cs="Times New Roman"/>
          <w:color w:val="auto"/>
        </w:rPr>
        <w:t xml:space="preserve">. Researchers have established that the school feeding initiative, such as the MDM, may improve school enrolment, attendance, and nutrition among learners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10.1017/S1368980017002774","author":[{"dropping-particle":"","family":"Fiorentino","given":"Marion","non-dropping-particle":"","parse-names":false,"suffix":""},{"dropping-particle":"","family":"Perignon","given":"Marlène","non-dropping-particle":"","parse-names":false,"suffix":""},{"dropping-particle":"","family":"Kuong","given":"Khuov","non-dropping-particle":"","parse-names":false,"suffix":""},{"dropping-particle":"De","family":"Groot","given":"Richard","non-dropping-particle":"","parse-names":false,"suffix":""},{"dropping-particle":"","family":"Parker","given":"Megan","non-dropping-particle":"","parse-names":false,"suffix":""},{"dropping-particle":"","family":"Burja","given":"Kurt","non-dropping-particle":"","parse-names":false,"suffix":""},{"dropping-particle":"","family":"Dijkhuizen","given":"Marjoleine A","non-dropping-particle":"","parse-names":false,"suffix":""},{"dropping-particle":"","family":"Sokhom","given":"Sek","non-dropping-particle":"","parse-names":false,"suffix":""},{"dropping-particle":"","family":"Chamnan","given":"Chhoun","non-dropping-particle":"","parse-names":false,"suffix":""},{"dropping-particle":"","family":"Berger","given":"Jacques","non-dropping-particle":"","parse-names":false,"suffix":""},{"dropping-particle":"","family":"Wieringa","given":"Frank T","non-dropping-particle":"","parse-names":false,"suffix":""}],"id":"ITEM-1","issue":"2","issued":{"date-parts":[["2017"]]},"title":"Effect of multi-micronutrient-forti fi ed rice on cognitive performance depends on premix composition and cognitive function tested : results of an effectiveness study in Cambodian schoolchildren Public Health Nutrition","type":"article-journal"},"uris":["http://www.mendeley.com/documents/?uuid=0d770006-34ed-428f-8617-4f522e3e3295"]}],"mendeley":{"formattedCitation":"(Fiorentino et al., 2017)","plainTextFormattedCitation":"(Fiorentino et al., 2017)","previouslyFormattedCitation":"(Fiorentino et al., 2017)"},"properties":{"noteIndex":0},"schema":"https://github.com/citation-style-language/schema/raw/master/csl-citation.json"}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(Fiorentino et al., 2017)</w:t>
      </w:r>
      <w:r>
        <w:rPr>
          <w:rFonts w:ascii="Times New Roman" w:hAnsi="Times New Roman" w:cs="Times New Roman"/>
          <w:color w:val="auto"/>
        </w:rPr>
        <w:fldChar w:fldCharType="end"/>
      </w:r>
      <w:r>
        <w:rPr>
          <w:rFonts w:ascii="Times New Roman" w:hAnsi="Times New Roman" w:cs="Times New Roman"/>
          <w:color w:val="auto"/>
        </w:rPr>
        <w:t>.</w:t>
      </w:r>
    </w:p>
    <w:p w14:paraId="0C414E99">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Research evidence on the other hand indicates the positive correlation between MDM participation and low prevalence of under nutrition and anemia. According to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Yusufali","given":"Rizwan","non-dropping-particle":"","parse-names":false,"suffix":""},{"dropping-particle":"","family":"Ghoos","given":"Katrien","non-dropping-particle":"","parse-names":false,"suffix":""},{"dropping-particle":"","family":"Nations","given":"United","non-dropping-particle":"","parse-names":false,"suffix":""},{"dropping-particle":"","family":"Food","given":"World","non-dropping-particle":"","parse-names":false,"suffix":""},{"dropping-particle":"","family":"Milani","given":"Peiman","non-dropping-particle":"","parse-names":false,"suffix":""},{"dropping-particle":"","family":"Foundation","given":"The Rockefeller","non-dropping-particle":"","parse-names":false,"suffix":""}],"id":"ITEM-1","issue":"July","issued":{"date-parts":[["2015"]]},"title":"Scaling up Rice Fortification in Asia","type":"article-journal"},"uris":["http://www.mendeley.com/documents/?uuid=f2be040d-c03c-4b43-b490-e6bcee261772"]}],"mendeley":{"formattedCitation":"(Yusufali et al., 2015)","manualFormatting":"Yusufali et al. (2015)","plainTextFormattedCitation":"(Yusufali et al., 2015)","previouslyFormattedCitation":"(Yusufali et al., 2015)"},"properties":{"noteIndex":0},"schema":"https://github.com/citation-style-language/schema/raw/master/csl-citation.json"}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Yusufali et al. (2015)</w:t>
      </w:r>
      <w:r>
        <w:rPr>
          <w:rFonts w:ascii="Times New Roman" w:hAnsi="Times New Roman" w:cs="Times New Roman"/>
          <w:color w:val="auto"/>
        </w:rPr>
        <w:fldChar w:fldCharType="end"/>
      </w:r>
      <w:r>
        <w:rPr>
          <w:rFonts w:ascii="Times New Roman" w:hAnsi="Times New Roman" w:cs="Times New Roman"/>
          <w:color w:val="auto"/>
        </w:rPr>
        <w:t xml:space="preserve">, frequent mid-day meals reduced the level ofanemia, led to an improved level of height-for-age and weight-for-age among Indian children. Likewise, according to a study by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{"citationItems":[{"id":"ITEM-1","itemData":{"author":[{"dropping-particle":"","family":"Piccoli","given":"Nina Beretta","non-dropping-particle":"","parse-names":false,"suffix":""},{"dropping-particle":"","family":"Grede","given":"Nils","non-dropping-particle":"","parse-names":false,"suffix":""},{"dropping-particle":"De","family":"Pee","given":"Saskia","non-dropping-particle":"","parse-names":false,"suffix":""},{"dropping-particle":"","family":"Singhkumarwong","given":"Anusara","non-dropping-particle":"","parse-names":false,"suffix":""},{"dropping-particle":"","family":"Roks","given":"Eveline","non-dropping-particle":"","parse-names":false,"suffix":""},{"dropping-particle":"","family":"Moench-pfanner","given":"Regina","non-dropping-particle":"","parse-names":false,"suffix":""},{"dropping-particle":"","family":"Bloem","given":"Martin W","non-dropping-particle":"","parse-names":false,"suffix":""}],"id":"ITEM-1","issue":"4","issued":{"date-parts":[["2012"]]},"page":"360-372","title":"Rice fortification : Its potential for improving micronutrient intake and steps required for implementation at scale","type":"article-journal","volume":"33"},"uris":["http://www.mendeley.com/documents/?uuid=a4a1d9d0-3241-4343-a50c-720fa6481e4e"]}],"mendeley":{"formattedCitation":"(Piccoli et al., 2012)","manualFormatting":"Piccoli et al. (2012)","plainTextFormattedCitation":"(Piccoli et al., 2012)","previouslyFormattedCitation":"(Piccoli et al., 2012)"},"properties":{"noteIndex":0},"schema":"https://github.com/citation-style-language/schema/raw/master/csl-citation.json"}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Piccoli et al. (2012)</w:t>
      </w:r>
      <w:r>
        <w:rPr>
          <w:rFonts w:ascii="Times New Roman" w:hAnsi="Times New Roman" w:cs="Times New Roman"/>
          <w:color w:val="auto"/>
        </w:rPr>
        <w:fldChar w:fldCharType="end"/>
      </w:r>
      <w:r>
        <w:rPr>
          <w:rFonts w:ascii="Times New Roman" w:hAnsi="Times New Roman" w:cs="Times New Roman"/>
          <w:color w:val="auto"/>
        </w:rPr>
        <w:t xml:space="preserve">, children, who were attending schools with MDM intake, demonstrated a much higher hemoglobin concentration than the other ones. Nonetheless, there are drawn criticisms of cooked meal quality disharmony, intermittent provision channels, and the non-fortification of micronutrients as the restrictions to the full functionality of the program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10.1038/ejcn.2012.188","ISSN":"0954-3007","author":[{"dropping-particle":"","family":"Thankachan","given":"P","non-dropping-particle":"","parse-names":false,"suffix":""},{"dropping-particle":"","family":"Selvam","given":"S","non-dropping-particle":"","parse-names":false,"suffix":""},{"dropping-particle":"","family":"Surendran","given":"D","non-dropping-particle":"","parse-names":false,"suffix":""},{"dropping-particle":"","family":"Chellan","given":"S","non-dropping-particle":"","parse-names":false,"suffix":""},{"dropping-particle":"","family":"Pauline","given":"M","non-dropping-particle":"","parse-names":false,"suffix":""},{"dropping-particle":"","family":"Abrams","given":"S A","non-dropping-particle":"","parse-names":false,"suffix":""},{"dropping-particle":"V","family":"Kurpad","given":"A","non-dropping-particle":"","parse-names":false,"suffix":""}],"container-title":"European Journal of Clinical Nutrition","id":"ITEM-1","issue":"1","issued":{"date-parts":[["2012"]]},"page":"36-41","publisher":"Nature Publishing Group","title":"Efficacy of a multi micronutrient-fortified drink in improving iron and micronutrient status among schoolchildren with low iron stores in India : a randomised , double-masked placebo-controlled trial","type":"article-journal","volume":"67"},"uris":["http://www.mendeley.com/documents/?uuid=23f40390-9298-44bc-a7bb-a3a7ba25d183"]},{"id":"ITEM-2","itemData":{"DOI":"10.4103/0019-5359.114179","author":[{"dropping-particle":"","family":"Gupta","given":"Soma","non-dropping-particle":"","parse-names":false,"suffix":""},{"dropping-particle":"","family":"Taraphdar","given":"Pranita","non-dropping-particle":"","parse-names":false,"suffix":""},{"dropping-particle":"","family":"Haldar","given":"Dibakar","non-dropping-particle":"","parse-names":false,"suffix":""},{"dropping-particle":"","family":"Purkait","given":"Bulbul","non-dropping-particle":"","parse-names":false,"suffix":""}],"id":"ITEM-2","issue":"July","issued":{"date-parts":[["2012"]]},"title":"The silent burden of anemia in school age children : A community based study in West Bengal ORIGINAL ARTICLE THE SILENT BURDEN OF ANEMIA IN SCHOOL AGE CHILDREN :","type":"article-journal"},"uris":["http://www.mendeley.com/documents/?uuid=669a233a-813e-421f-8820-735d0b7b1fdd"]}],"mendeley":{"formattedCitation":"(Gupta et al., 2012; Thankachan et al., 2012)","plainTextFormattedCitation":"(Gupta et al., 2012; Thankachan et al., 2012)","previouslyFormattedCitation":"(Gupta et al., 2012; Thankachan et al., 2012)"},"properties":{"noteIndex":0},"schema":"https://github.com/citation-style-language/schema/raw/master/csl-citation.json"}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(Gupta et al., 2012; Thankachan et al., 2012)</w:t>
      </w:r>
      <w:r>
        <w:rPr>
          <w:rFonts w:ascii="Times New Roman" w:hAnsi="Times New Roman" w:cs="Times New Roman"/>
          <w:color w:val="auto"/>
        </w:rPr>
        <w:fldChar w:fldCharType="end"/>
      </w:r>
      <w:r>
        <w:rPr>
          <w:rFonts w:ascii="Times New Roman" w:hAnsi="Times New Roman" w:cs="Times New Roman"/>
          <w:color w:val="auto"/>
        </w:rPr>
        <w:t>. Nevertheless, the given limitations notwithstanding, the MDM Scheme is still one of the most plausible policy tools one may apply when trying to eliminate nutrition-related disparities in the study of school-age children.</w:t>
      </w:r>
    </w:p>
    <w:p w14:paraId="63927F45">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The literature currently available has adequately shown the complex nature of anemia and how school-based nutrition intervention can lessen its effects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{"citationItems":[{"id":"ITEM-1","itemData":{"DOI":"10.1186/1475-2891-10-36","author":[{"dropping-particle":"","family":"Nieman","given":"David C","non-dropping-particle":"","parse-names":false,"suffix":""},{"dropping-particle":"","family":"Henson","given":"Dru A","non-dropping-particle":"","parse-names":false,"suffix":""},{"dropping-particle":"","family":"Sha","given":"Wei","non-dropping-particle":"","parse-names":false,"suffix":""}],"id":"ITEM-1","issued":{"date-parts":[["2011"]]},"page":"1-9","title":"Ingestion of micronutrient fortified breakfast cereal has no influence on immune function in healthy children : A randomized controlled trial","type":"article-journal"},"uris":["http://www.mendeley.com/documents/?uuid=898ec8b9-8a76-4a4d-b96e-a7f2ead11212"]},{"id":"ITEM-2","itemData":{"DOI":"10.3945/jn.109.112623.the","author":[{"dropping-particle":"","family":"Children","given":"Young","non-dropping-particle":"","parse-names":false,"suffix":""},{"dropping-particle":"","family":"Beinner","given":"Mark A","non-dropping-particle":"","parse-names":false,"suffix":""},{"dropping-particle":"","family":"Velasquez-mele","given":"Gustavo","non-dropping-particle":"","parse-names":false,"suffix":""},{"dropping-particle":"","family":"Pessoa","given":"Milene C","non-dropping-particle":"","parse-names":false,"suffix":""},{"dropping-particle":"","family":"Greiner","given":"Ted","non-dropping-particle":"","parse-names":false,"suffix":""}],"id":"ITEM-2","issued":{"date-parts":[["2010"]]},"page":"49-53","title":"Iron-Fortified Rice Is As Efficacious As Supplemental Iron Drops in Infants","type":"article-journal"},"uris":["http://www.mendeley.com/documents/?uuid=5d4268f7-fa2c-4f72-98fd-e819783c646a"]}],"mendeley":{"formattedCitation":"(Children et al., 2010; Nieman et al., 2011)","plainTextFormattedCitation":"(Children et al., 2010; Nieman et al., 2011)"},"properties":{"noteIndex":0},"schema":"https://github.com/citation-style-language/schema/raw/master/csl-citation.json"}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(Children et al., 2010; Nieman et al., 2011)</w:t>
      </w:r>
      <w:r>
        <w:rPr>
          <w:rFonts w:ascii="Times New Roman" w:hAnsi="Times New Roman" w:cs="Times New Roman"/>
          <w:color w:val="auto"/>
        </w:rPr>
        <w:fldChar w:fldCharType="end"/>
      </w:r>
      <w:r>
        <w:rPr>
          <w:rFonts w:ascii="Times New Roman" w:hAnsi="Times New Roman" w:cs="Times New Roman"/>
          <w:color w:val="auto"/>
        </w:rPr>
        <w:t>. Nevertheless, at the district level, there is limited research evidenced more so in such areas as Bulandshahr, where there is likely to be social-economic variances and service delivery disparities that are likely to affect program performances. The present study will take care of that lapse by shedding light on how efficient the MDM Scheme has been in checking the prevalence rate of anemia among primary school children in Bulandshahr, besides assessing the socio-demographic factors that may affect the health of children.</w:t>
      </w:r>
    </w:p>
    <w:p w14:paraId="5C520107">
      <w:pPr>
        <w:spacing w:after="0" w:line="480" w:lineRule="auto"/>
        <w:jc w:val="both"/>
        <w:rPr>
          <w:rFonts w:ascii="Times New Roman" w:hAnsi="Times New Roman" w:cs="Times New Roman"/>
          <w:color w:val="auto"/>
        </w:rPr>
      </w:pPr>
    </w:p>
    <w:p w14:paraId="163BFBE4">
      <w:pPr>
        <w:spacing w:after="0" w:line="480" w:lineRule="auto"/>
        <w:jc w:val="both"/>
        <w:rPr>
          <w:rFonts w:ascii="Times New Roman" w:hAnsi="Times New Roman" w:cs="Times New Roman"/>
          <w:b/>
          <w:bCs/>
          <w:color w:val="auto"/>
        </w:rPr>
      </w:pPr>
      <w:r>
        <w:rPr>
          <w:rFonts w:ascii="Times New Roman" w:hAnsi="Times New Roman" w:cs="Times New Roman"/>
          <w:b/>
          <w:bCs/>
          <w:color w:val="auto"/>
        </w:rPr>
        <w:t>3. Research Methodology</w:t>
      </w:r>
    </w:p>
    <w:p w14:paraId="163B1B65">
      <w:pPr>
        <w:spacing w:after="0" w:line="480" w:lineRule="auto"/>
        <w:jc w:val="both"/>
        <w:rPr>
          <w:rFonts w:ascii="Times New Roman" w:hAnsi="Times New Roman" w:cs="Times New Roman"/>
          <w:b/>
          <w:bCs/>
          <w:color w:val="auto"/>
        </w:rPr>
      </w:pPr>
      <w:r>
        <w:rPr>
          <w:rFonts w:ascii="Times New Roman" w:hAnsi="Times New Roman" w:cs="Times New Roman"/>
          <w:b/>
          <w:bCs/>
          <w:color w:val="auto"/>
        </w:rPr>
        <w:t>3.1 Objectives of the Study</w:t>
      </w:r>
    </w:p>
    <w:p w14:paraId="3B999949">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Objectives of the study are given as follows; </w:t>
      </w:r>
    </w:p>
    <w:p w14:paraId="288261FF">
      <w:pPr>
        <w:numPr>
          <w:ilvl w:val="0"/>
          <w:numId w:val="1"/>
        </w:numPr>
        <w:spacing w:after="0" w:line="480" w:lineRule="auto"/>
        <w:jc w:val="both"/>
        <w:rPr>
          <w:rFonts w:ascii="Times New Roman" w:hAnsi="Times New Roman" w:cs="Times New Roman"/>
          <w:color w:val="auto"/>
        </w:rPr>
      </w:pPr>
      <w:r>
        <w:rPr>
          <w:rFonts w:ascii="Times New Roman" w:hAnsi="Times New Roman" w:cs="Times New Roman"/>
          <w:color w:val="auto"/>
        </w:rPr>
        <w:t>To assess the prevalence of anemia among primary school children</w:t>
      </w:r>
    </w:p>
    <w:p w14:paraId="2CF647A2">
      <w:pPr>
        <w:numPr>
          <w:ilvl w:val="0"/>
          <w:numId w:val="1"/>
        </w:numPr>
        <w:spacing w:after="0" w:line="480" w:lineRule="auto"/>
        <w:jc w:val="both"/>
        <w:rPr>
          <w:rFonts w:ascii="Times New Roman" w:hAnsi="Times New Roman" w:cs="Times New Roman"/>
          <w:color w:val="auto"/>
        </w:rPr>
      </w:pPr>
      <w:r>
        <w:rPr>
          <w:rFonts w:ascii="Times New Roman" w:hAnsi="Times New Roman" w:cs="Times New Roman"/>
          <w:color w:val="auto"/>
        </w:rPr>
        <w:t>To determine the impact of the Mid-Day Meal Scheme on anemia</w:t>
      </w:r>
    </w:p>
    <w:p w14:paraId="7F26DD13">
      <w:pPr>
        <w:numPr>
          <w:ilvl w:val="0"/>
          <w:numId w:val="1"/>
        </w:numPr>
        <w:spacing w:after="0" w:line="480" w:lineRule="auto"/>
        <w:jc w:val="both"/>
        <w:rPr>
          <w:rFonts w:ascii="Times New Roman" w:hAnsi="Times New Roman" w:cs="Times New Roman"/>
          <w:color w:val="auto"/>
        </w:rPr>
      </w:pPr>
      <w:r>
        <w:rPr>
          <w:rFonts w:ascii="Times New Roman" w:hAnsi="Times New Roman" w:cs="Times New Roman"/>
          <w:color w:val="auto"/>
        </w:rPr>
        <w:t>To analyze the role of socio-demographic factors in anemia and nutrition</w:t>
      </w:r>
    </w:p>
    <w:p w14:paraId="1F2D9CCF">
      <w:pPr>
        <w:spacing w:after="0" w:line="480" w:lineRule="auto"/>
        <w:jc w:val="both"/>
        <w:rPr>
          <w:rFonts w:ascii="Times New Roman" w:hAnsi="Times New Roman" w:cs="Times New Roman"/>
          <w:color w:val="auto"/>
        </w:rPr>
      </w:pPr>
      <w:r>
        <w:rPr>
          <w:rFonts w:ascii="Times New Roman" w:hAnsi="Times New Roman" w:cs="Times New Roman"/>
          <w:b/>
          <w:bCs/>
          <w:color w:val="auto"/>
        </w:rPr>
        <w:t>Hypotheses of the Study</w:t>
      </w:r>
    </w:p>
    <w:p w14:paraId="5219B5F4">
      <w:pPr>
        <w:spacing w:after="0" w:line="480" w:lineRule="auto"/>
        <w:jc w:val="both"/>
        <w:rPr>
          <w:rFonts w:ascii="Times New Roman" w:hAnsi="Times New Roman" w:cs="Times New Roman"/>
          <w:color w:val="auto"/>
        </w:rPr>
      </w:pPr>
      <w:r>
        <w:rPr>
          <w:rFonts w:ascii="Times New Roman" w:hAnsi="Times New Roman" w:cs="Times New Roman"/>
          <w:color w:val="auto"/>
        </w:rPr>
        <w:t>Hypotheses of the Study are given as follows;</w:t>
      </w:r>
    </w:p>
    <w:p w14:paraId="31ED939B">
      <w:pPr>
        <w:spacing w:after="0" w:line="480" w:lineRule="auto"/>
        <w:ind w:left="284"/>
        <w:jc w:val="both"/>
        <w:rPr>
          <w:rFonts w:ascii="Times New Roman" w:hAnsi="Times New Roman" w:cs="Times New Roman"/>
          <w:color w:val="auto"/>
        </w:rPr>
      </w:pPr>
      <w:r>
        <w:rPr>
          <w:rFonts w:ascii="Times New Roman" w:hAnsi="Times New Roman" w:cs="Times New Roman"/>
          <w:color w:val="auto"/>
        </w:rPr>
        <w:t>H1: There is a significant difference in anemia prevalence between urban and rural students</w:t>
      </w:r>
    </w:p>
    <w:p w14:paraId="024476BB">
      <w:pPr>
        <w:spacing w:after="0" w:line="480" w:lineRule="auto"/>
        <w:ind w:left="284"/>
        <w:jc w:val="both"/>
        <w:rPr>
          <w:rFonts w:ascii="Times New Roman" w:hAnsi="Times New Roman" w:cs="Times New Roman"/>
          <w:color w:val="auto"/>
        </w:rPr>
      </w:pPr>
      <w:r>
        <w:rPr>
          <w:rFonts w:ascii="Times New Roman" w:hAnsi="Times New Roman" w:cs="Times New Roman"/>
          <w:color w:val="auto"/>
        </w:rPr>
        <w:t>H2: Socio-demographic factors significantly influence anemia and malnutrition</w:t>
      </w:r>
    </w:p>
    <w:p w14:paraId="178B9A1C">
      <w:pPr>
        <w:spacing w:after="0" w:line="480" w:lineRule="auto"/>
        <w:ind w:left="284"/>
        <w:jc w:val="both"/>
        <w:rPr>
          <w:rFonts w:ascii="Times New Roman" w:hAnsi="Times New Roman" w:cs="Times New Roman"/>
          <w:color w:val="auto"/>
        </w:rPr>
      </w:pPr>
      <w:r>
        <w:rPr>
          <w:rFonts w:ascii="Times New Roman" w:hAnsi="Times New Roman" w:cs="Times New Roman"/>
          <w:color w:val="auto"/>
        </w:rPr>
        <w:t>H3: There is a significant association between anemia and malnutrition</w:t>
      </w:r>
    </w:p>
    <w:p w14:paraId="61A3E429">
      <w:pPr>
        <w:spacing w:after="0" w:line="480" w:lineRule="auto"/>
        <w:ind w:left="284"/>
        <w:jc w:val="both"/>
        <w:rPr>
          <w:rFonts w:ascii="Times New Roman" w:hAnsi="Times New Roman" w:cs="Times New Roman"/>
          <w:color w:val="auto"/>
        </w:rPr>
      </w:pPr>
      <w:r>
        <w:rPr>
          <w:rFonts w:ascii="Times New Roman" w:hAnsi="Times New Roman" w:cs="Times New Roman"/>
          <w:color w:val="auto"/>
        </w:rPr>
        <w:t>H4: The Mid-Day Meal Scheme significantly reduces anemia prevalence</w:t>
      </w:r>
    </w:p>
    <w:p w14:paraId="371F75C7">
      <w:pPr>
        <w:spacing w:after="0" w:line="480" w:lineRule="auto"/>
        <w:jc w:val="both"/>
        <w:rPr>
          <w:rFonts w:ascii="Times New Roman" w:hAnsi="Times New Roman" w:cs="Times New Roman"/>
          <w:b/>
          <w:bCs/>
          <w:color w:val="auto"/>
        </w:rPr>
      </w:pPr>
    </w:p>
    <w:p w14:paraId="0D83C9DA">
      <w:pPr>
        <w:spacing w:after="0" w:line="480" w:lineRule="auto"/>
        <w:jc w:val="both"/>
        <w:rPr>
          <w:rFonts w:ascii="Times New Roman" w:hAnsi="Times New Roman" w:cs="Times New Roman"/>
          <w:b/>
          <w:bCs/>
          <w:color w:val="auto"/>
        </w:rPr>
      </w:pPr>
      <w:r>
        <w:rPr>
          <w:rFonts w:ascii="Times New Roman" w:hAnsi="Times New Roman" w:cs="Times New Roman"/>
          <w:b/>
          <w:bCs/>
          <w:color w:val="auto"/>
        </w:rPr>
        <w:t>3.2 Research Design</w:t>
      </w:r>
    </w:p>
    <w:p w14:paraId="0B5F3C74">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A descriptive cross-sectional study design was adopted for this research. This design is well-suited for assessing the current status of health outcomes and identifying relationships between variables within a defined population at a specific point in time. </w:t>
      </w:r>
      <w:r>
        <w:rPr>
          <w:rFonts w:ascii="Times New Roman" w:hAnsi="Times New Roman" w:cs="Times New Roman"/>
          <w:color w:val="auto"/>
        </w:rPr>
        <w:t>On the other hand, this study’s cross-sectional design does not allow establishing causality.</w:t>
      </w:r>
    </w:p>
    <w:p w14:paraId="799A3502">
      <w:pPr>
        <w:spacing w:after="0" w:line="480" w:lineRule="auto"/>
        <w:jc w:val="both"/>
        <w:rPr>
          <w:rFonts w:ascii="Times New Roman" w:hAnsi="Times New Roman" w:cs="Times New Roman"/>
          <w:color w:val="auto"/>
        </w:rPr>
      </w:pPr>
    </w:p>
    <w:p w14:paraId="0B749A2F">
      <w:pPr>
        <w:spacing w:after="0" w:line="480" w:lineRule="auto"/>
        <w:jc w:val="both"/>
        <w:rPr>
          <w:rFonts w:ascii="Times New Roman" w:hAnsi="Times New Roman" w:cs="Times New Roman"/>
          <w:b/>
          <w:bCs/>
          <w:color w:val="auto"/>
        </w:rPr>
      </w:pPr>
      <w:r>
        <w:rPr>
          <w:rFonts w:ascii="Times New Roman" w:hAnsi="Times New Roman" w:cs="Times New Roman"/>
          <w:b/>
          <w:bCs/>
          <w:color w:val="auto"/>
        </w:rPr>
        <w:t>3.3 Study Area and Population</w:t>
      </w:r>
    </w:p>
    <w:p w14:paraId="311FD1D7">
      <w:pPr>
        <w:spacing w:after="0" w:line="480" w:lineRule="auto"/>
        <w:jc w:val="both"/>
        <w:rPr>
          <w:rFonts w:ascii="Times New Roman" w:hAnsi="Times New Roman" w:cs="Times New Roman"/>
          <w:color w:val="auto"/>
        </w:rPr>
      </w:pPr>
      <w:r>
        <w:rPr>
          <w:rFonts w:ascii="Times New Roman" w:hAnsi="Times New Roman" w:cs="Times New Roman"/>
          <w:color w:val="auto"/>
        </w:rPr>
        <w:t>The research was conducted in Bulandshahr district of Uttar Pradesh, which includes a mix of urban and rural communities. The population of interest comprised primary school children aged 6–12 years enrolled in government and government-aided schools participating in the Mid-Day Meal Scheme (MDM). These schools were chosen because they represent the population most impacted by government nutritional interventions. The study area included schools from multiple blocks to ensure geographic and socio-economic diversity.</w:t>
      </w:r>
    </w:p>
    <w:p w14:paraId="134BAD08">
      <w:pPr>
        <w:spacing w:after="0" w:line="480" w:lineRule="auto"/>
        <w:jc w:val="both"/>
        <w:rPr>
          <w:rFonts w:ascii="Times New Roman" w:hAnsi="Times New Roman" w:cs="Times New Roman"/>
          <w:color w:val="auto"/>
        </w:rPr>
      </w:pPr>
    </w:p>
    <w:p w14:paraId="5939C8F9">
      <w:pPr>
        <w:spacing w:after="0" w:line="480" w:lineRule="auto"/>
        <w:jc w:val="both"/>
        <w:rPr>
          <w:rFonts w:ascii="Times New Roman" w:hAnsi="Times New Roman" w:cs="Times New Roman"/>
          <w:b/>
          <w:bCs/>
          <w:color w:val="auto"/>
        </w:rPr>
      </w:pPr>
      <w:r>
        <w:rPr>
          <w:rFonts w:ascii="Times New Roman" w:hAnsi="Times New Roman" w:cs="Times New Roman"/>
          <w:b/>
          <w:bCs/>
          <w:color w:val="auto"/>
        </w:rPr>
        <w:t>3.4 Sampling Design and Sample Size</w:t>
      </w:r>
    </w:p>
    <w:p w14:paraId="7B5659BA">
      <w:pPr>
        <w:spacing w:after="0" w:line="480" w:lineRule="auto"/>
        <w:jc w:val="both"/>
        <w:rPr>
          <w:rFonts w:ascii="Times New Roman" w:hAnsi="Times New Roman" w:cs="Times New Roman"/>
          <w:color w:val="auto"/>
        </w:rPr>
      </w:pPr>
      <w:r>
        <w:rPr>
          <w:rFonts w:ascii="Times New Roman" w:hAnsi="Times New Roman" w:cs="Times New Roman"/>
          <w:color w:val="auto"/>
        </w:rPr>
        <w:t>A stratified random sampling technique was employed to ensure balanced representation of both urban and rural students. From a pool of eligible government schools, a random selection was made within each stratum (urban and rural), followed by the random selection of students from each selected school. The final sample size comprised 600 students, with 300 from urban and 300 from rural schools, ensuring proportional representation across three age groups (6–8, 9–10, and 11–12 years) and both genders for hypothesis testing. Within this sample, 150 male and 150 female children will be selected from government schools, ensuring gender parity and balanced representation across the educational settings.</w:t>
      </w:r>
    </w:p>
    <w:p w14:paraId="5DCA1CD3">
      <w:pPr>
        <w:spacing w:after="0" w:line="480" w:lineRule="auto"/>
        <w:jc w:val="both"/>
        <w:rPr>
          <w:rFonts w:ascii="Times New Roman" w:hAnsi="Times New Roman" w:cs="Times New Roman"/>
          <w:b/>
          <w:bCs/>
          <w:color w:val="auto"/>
        </w:rPr>
      </w:pPr>
    </w:p>
    <w:p w14:paraId="2DC0A278">
      <w:pPr>
        <w:spacing w:after="0" w:line="480" w:lineRule="auto"/>
        <w:jc w:val="both"/>
        <w:rPr>
          <w:rFonts w:ascii="Times New Roman" w:hAnsi="Times New Roman" w:cs="Times New Roman"/>
          <w:b/>
          <w:bCs/>
          <w:color w:val="auto"/>
        </w:rPr>
      </w:pPr>
      <w:r>
        <w:rPr>
          <w:rFonts w:ascii="Times New Roman" w:hAnsi="Times New Roman" w:cs="Times New Roman"/>
          <w:b/>
          <w:bCs/>
          <w:color w:val="auto"/>
        </w:rPr>
        <w:t>3.5 Tools and Techniques for Data Collection</w:t>
      </w:r>
    </w:p>
    <w:p w14:paraId="028A4D7F">
      <w:pPr>
        <w:spacing w:after="0" w:line="480" w:lineRule="auto"/>
        <w:jc w:val="both"/>
        <w:rPr>
          <w:rFonts w:ascii="Times New Roman" w:hAnsi="Times New Roman" w:cs="Times New Roman"/>
          <w:color w:val="auto"/>
        </w:rPr>
      </w:pPr>
      <w:r>
        <w:rPr>
          <w:rFonts w:ascii="Times New Roman" w:hAnsi="Times New Roman" w:cs="Times New Roman"/>
          <w:color w:val="auto"/>
        </w:rPr>
        <w:t>A structured data collection form was used to record demographic details, anthropometric measurements (height and weight), and hemoglobin levels of the children. Informed consent was obtained from parents or guardians prior to data collection. Standardized measuring instruments were used to ensure reliability and accuracy of physical and clinical data.</w:t>
      </w:r>
    </w:p>
    <w:p w14:paraId="592BB96F">
      <w:pPr>
        <w:spacing w:after="0" w:line="480" w:lineRule="auto"/>
        <w:jc w:val="both"/>
        <w:rPr>
          <w:rFonts w:ascii="Times New Roman" w:hAnsi="Times New Roman" w:cs="Times New Roman"/>
          <w:b/>
          <w:bCs/>
          <w:color w:val="auto"/>
        </w:rPr>
      </w:pPr>
    </w:p>
    <w:p w14:paraId="5E406C96">
      <w:pPr>
        <w:spacing w:after="0" w:line="480" w:lineRule="auto"/>
        <w:jc w:val="both"/>
        <w:rPr>
          <w:rFonts w:ascii="Times New Roman" w:hAnsi="Times New Roman" w:cs="Times New Roman"/>
          <w:b/>
          <w:bCs/>
          <w:color w:val="auto"/>
        </w:rPr>
      </w:pPr>
      <w:r>
        <w:rPr>
          <w:rFonts w:ascii="Times New Roman" w:hAnsi="Times New Roman" w:cs="Times New Roman"/>
          <w:b/>
          <w:bCs/>
          <w:color w:val="auto"/>
        </w:rPr>
        <w:t>3.6 Hemoglobin Estimation Method</w:t>
      </w:r>
    </w:p>
    <w:p w14:paraId="3A819ACA">
      <w:pPr>
        <w:spacing w:after="0" w:line="480" w:lineRule="auto"/>
        <w:jc w:val="both"/>
        <w:rPr>
          <w:rFonts w:ascii="Times New Roman" w:hAnsi="Times New Roman" w:cs="Times New Roman"/>
          <w:color w:val="auto"/>
        </w:rPr>
      </w:pPr>
      <w:r>
        <w:rPr>
          <w:rFonts w:ascii="Times New Roman" w:hAnsi="Times New Roman" w:cs="Times New Roman"/>
          <w:color w:val="auto"/>
        </w:rPr>
        <w:t>Hemoglobin levels were measured using a portable HemoCue Hb 301 analyzer, which provides accurate point-of-care readings. A capillary blood sample was obtained via finger prick using sterile lancets, following proper hygiene and safety protocols. The results were classified according to WHO guidelines, categorizing children into normal, mild, moderate, or severe anemia, as described in Table 1. This method enabled standardized and reliable field-level assessment of anemia status among the students.</w:t>
      </w:r>
    </w:p>
    <w:p w14:paraId="56B6281C">
      <w:pPr>
        <w:spacing w:after="0" w:line="480" w:lineRule="auto"/>
        <w:jc w:val="both"/>
        <w:rPr>
          <w:rFonts w:ascii="Times New Roman" w:hAnsi="Times New Roman" w:cs="Times New Roman"/>
          <w:b/>
          <w:bCs/>
          <w:color w:val="auto"/>
        </w:rPr>
      </w:pPr>
      <w:r>
        <w:rPr>
          <w:rFonts w:ascii="Times New Roman" w:hAnsi="Times New Roman" w:cs="Times New Roman"/>
          <w:b/>
          <w:bCs/>
          <w:color w:val="auto"/>
        </w:rPr>
        <w:t xml:space="preserve">Table 1. WHO Classification of Anemia by Hemoglobin Level </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3"/>
        <w:gridCol w:w="4869"/>
      </w:tblGrid>
      <w:tr w14:paraId="1DBE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pct"/>
          </w:tcPr>
          <w:p w14:paraId="252DAACB">
            <w:pPr>
              <w:spacing w:after="0" w:line="240" w:lineRule="auto"/>
              <w:rPr>
                <w:rFonts w:ascii="Times New Roman" w:hAnsi="Times New Roman" w:cs="Times New Roman"/>
                <w:b/>
                <w:bCs/>
                <w:color w:val="auto"/>
              </w:rPr>
            </w:pPr>
            <w:r>
              <w:rPr>
                <w:rFonts w:ascii="Times New Roman" w:hAnsi="Times New Roman" w:cs="Times New Roman"/>
                <w:b/>
                <w:bCs/>
                <w:color w:val="auto"/>
              </w:rPr>
              <w:t>Anemia Severity</w:t>
            </w:r>
          </w:p>
        </w:tc>
        <w:tc>
          <w:tcPr>
            <w:tcW w:w="2634" w:type="pct"/>
          </w:tcPr>
          <w:p w14:paraId="63FDE172">
            <w:pPr>
              <w:spacing w:after="0" w:line="240" w:lineRule="auto"/>
              <w:rPr>
                <w:rFonts w:ascii="Times New Roman" w:hAnsi="Times New Roman" w:cs="Times New Roman"/>
                <w:b/>
                <w:bCs/>
                <w:color w:val="auto"/>
              </w:rPr>
            </w:pPr>
            <w:r>
              <w:rPr>
                <w:rFonts w:ascii="Times New Roman" w:hAnsi="Times New Roman" w:cs="Times New Roman"/>
                <w:b/>
                <w:bCs/>
                <w:color w:val="auto"/>
              </w:rPr>
              <w:t>Hemoglobin (g/dL)</w:t>
            </w:r>
          </w:p>
        </w:tc>
      </w:tr>
      <w:tr w14:paraId="17B9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pct"/>
          </w:tcPr>
          <w:p w14:paraId="38CBB54D">
            <w:pPr>
              <w:spacing w:after="0" w:line="240" w:lineRule="auto"/>
              <w:rPr>
                <w:rFonts w:ascii="Times New Roman" w:hAnsi="Times New Roman" w:cs="Times New Roman"/>
                <w:color w:val="auto"/>
              </w:rPr>
            </w:pPr>
            <w:r>
              <w:rPr>
                <w:rFonts w:ascii="Times New Roman" w:hAnsi="Times New Roman" w:cs="Times New Roman"/>
                <w:color w:val="auto"/>
              </w:rPr>
              <w:t>Normal</w:t>
            </w:r>
          </w:p>
        </w:tc>
        <w:tc>
          <w:tcPr>
            <w:tcW w:w="2634" w:type="pct"/>
          </w:tcPr>
          <w:p w14:paraId="79F71A52">
            <w:pPr>
              <w:spacing w:after="0" w:line="240" w:lineRule="auto"/>
              <w:rPr>
                <w:rFonts w:ascii="Times New Roman" w:hAnsi="Times New Roman" w:cs="Times New Roman"/>
                <w:color w:val="auto"/>
              </w:rPr>
            </w:pPr>
            <w:r>
              <w:rPr>
                <w:rFonts w:ascii="Times New Roman" w:hAnsi="Times New Roman" w:cs="Times New Roman"/>
                <w:color w:val="auto"/>
              </w:rPr>
              <w:t>≥ 11.5</w:t>
            </w:r>
          </w:p>
        </w:tc>
      </w:tr>
      <w:tr w14:paraId="6180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pct"/>
          </w:tcPr>
          <w:p w14:paraId="47BC1BA5">
            <w:pPr>
              <w:spacing w:after="0" w:line="240" w:lineRule="auto"/>
              <w:rPr>
                <w:rFonts w:ascii="Times New Roman" w:hAnsi="Times New Roman" w:cs="Times New Roman"/>
                <w:color w:val="auto"/>
              </w:rPr>
            </w:pPr>
            <w:r>
              <w:rPr>
                <w:rFonts w:ascii="Times New Roman" w:hAnsi="Times New Roman" w:cs="Times New Roman"/>
                <w:color w:val="auto"/>
              </w:rPr>
              <w:t>Mild</w:t>
            </w:r>
          </w:p>
        </w:tc>
        <w:tc>
          <w:tcPr>
            <w:tcW w:w="2634" w:type="pct"/>
          </w:tcPr>
          <w:p w14:paraId="167D5705">
            <w:pPr>
              <w:spacing w:after="0" w:line="240" w:lineRule="auto"/>
              <w:rPr>
                <w:rFonts w:ascii="Times New Roman" w:hAnsi="Times New Roman" w:cs="Times New Roman"/>
                <w:color w:val="auto"/>
              </w:rPr>
            </w:pPr>
            <w:r>
              <w:rPr>
                <w:rFonts w:ascii="Times New Roman" w:hAnsi="Times New Roman" w:cs="Times New Roman"/>
                <w:color w:val="auto"/>
              </w:rPr>
              <w:t>10.0 – 11.4</w:t>
            </w:r>
          </w:p>
        </w:tc>
      </w:tr>
      <w:tr w14:paraId="5BCC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pct"/>
          </w:tcPr>
          <w:p w14:paraId="0A3DD313">
            <w:pPr>
              <w:spacing w:after="0" w:line="240" w:lineRule="auto"/>
              <w:rPr>
                <w:rFonts w:ascii="Times New Roman" w:hAnsi="Times New Roman" w:cs="Times New Roman"/>
                <w:color w:val="auto"/>
              </w:rPr>
            </w:pPr>
            <w:r>
              <w:rPr>
                <w:rFonts w:ascii="Times New Roman" w:hAnsi="Times New Roman" w:cs="Times New Roman"/>
                <w:color w:val="auto"/>
              </w:rPr>
              <w:t>Moderate</w:t>
            </w:r>
          </w:p>
        </w:tc>
        <w:tc>
          <w:tcPr>
            <w:tcW w:w="2634" w:type="pct"/>
          </w:tcPr>
          <w:p w14:paraId="00D739AD">
            <w:pPr>
              <w:spacing w:after="0" w:line="240" w:lineRule="auto"/>
              <w:rPr>
                <w:rFonts w:ascii="Times New Roman" w:hAnsi="Times New Roman" w:cs="Times New Roman"/>
                <w:color w:val="auto"/>
              </w:rPr>
            </w:pPr>
            <w:r>
              <w:rPr>
                <w:rFonts w:ascii="Times New Roman" w:hAnsi="Times New Roman" w:cs="Times New Roman"/>
                <w:color w:val="auto"/>
              </w:rPr>
              <w:t>7.0 – 9.9</w:t>
            </w:r>
          </w:p>
        </w:tc>
      </w:tr>
      <w:tr w14:paraId="48CF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pct"/>
          </w:tcPr>
          <w:p w14:paraId="49343FDA">
            <w:pPr>
              <w:spacing w:after="0" w:line="240" w:lineRule="auto"/>
              <w:rPr>
                <w:rFonts w:ascii="Times New Roman" w:hAnsi="Times New Roman" w:cs="Times New Roman"/>
                <w:color w:val="auto"/>
              </w:rPr>
            </w:pPr>
            <w:r>
              <w:rPr>
                <w:rFonts w:ascii="Times New Roman" w:hAnsi="Times New Roman" w:cs="Times New Roman"/>
                <w:color w:val="auto"/>
              </w:rPr>
              <w:t>Severe</w:t>
            </w:r>
          </w:p>
        </w:tc>
        <w:tc>
          <w:tcPr>
            <w:tcW w:w="2634" w:type="pct"/>
          </w:tcPr>
          <w:p w14:paraId="748260FD">
            <w:pPr>
              <w:spacing w:after="0" w:line="240" w:lineRule="auto"/>
              <w:rPr>
                <w:rFonts w:ascii="Times New Roman" w:hAnsi="Times New Roman" w:cs="Times New Roman"/>
                <w:color w:val="auto"/>
              </w:rPr>
            </w:pPr>
            <w:r>
              <w:rPr>
                <w:rFonts w:ascii="Times New Roman" w:hAnsi="Times New Roman" w:cs="Times New Roman"/>
                <w:color w:val="auto"/>
              </w:rPr>
              <w:t>&lt; 7.0</w:t>
            </w:r>
          </w:p>
        </w:tc>
      </w:tr>
    </w:tbl>
    <w:p w14:paraId="15FFE4BD">
      <w:pPr>
        <w:spacing w:after="0" w:line="480" w:lineRule="auto"/>
        <w:jc w:val="both"/>
        <w:rPr>
          <w:rFonts w:ascii="Times New Roman" w:hAnsi="Times New Roman" w:cs="Times New Roman"/>
          <w:color w:val="auto"/>
        </w:rPr>
      </w:pPr>
    </w:p>
    <w:p w14:paraId="5A5BB72E">
      <w:pPr>
        <w:spacing w:after="0" w:line="480" w:lineRule="auto"/>
        <w:jc w:val="both"/>
        <w:rPr>
          <w:rFonts w:ascii="Times New Roman" w:hAnsi="Times New Roman" w:cs="Times New Roman"/>
          <w:b/>
          <w:bCs/>
          <w:color w:val="auto"/>
        </w:rPr>
      </w:pPr>
      <w:r>
        <w:rPr>
          <w:rFonts w:ascii="Times New Roman" w:hAnsi="Times New Roman" w:cs="Times New Roman"/>
          <w:b/>
          <w:bCs/>
          <w:color w:val="auto"/>
        </w:rPr>
        <w:t>3.7 Data Processing and Statistical Techniques</w:t>
      </w:r>
    </w:p>
    <w:p w14:paraId="352F10EF">
      <w:pPr>
        <w:spacing w:after="0" w:line="480" w:lineRule="auto"/>
        <w:jc w:val="both"/>
        <w:rPr>
          <w:rFonts w:ascii="Times New Roman" w:hAnsi="Times New Roman" w:cs="Times New Roman"/>
          <w:color w:val="auto"/>
        </w:rPr>
      </w:pPr>
      <w:r>
        <w:rPr>
          <w:rFonts w:ascii="Times New Roman" w:hAnsi="Times New Roman" w:cs="Times New Roman"/>
          <w:color w:val="auto"/>
        </w:rPr>
        <w:t>Data were entered and cleaned using Microsoft Excel and analyzed using SPSS version 25.0. Descriptive statistics (mean, standard deviation, frequencies) were calculated for anthropometric and hemoglobin values. Chi-square tests were used to examine associations between categorical variables, Pearson’s correlation for continuous variables, and paired t-tests to assess changes in hemoglobin before and after MDM intervention. A p-value &lt; 0.05 was considered statistically significant.</w:t>
      </w:r>
    </w:p>
    <w:p w14:paraId="614197C8">
      <w:pPr>
        <w:spacing w:after="0" w:line="480" w:lineRule="auto"/>
        <w:jc w:val="both"/>
        <w:rPr>
          <w:rFonts w:ascii="Times New Roman" w:hAnsi="Times New Roman" w:cs="Times New Roman"/>
          <w:color w:val="auto"/>
        </w:rPr>
      </w:pPr>
    </w:p>
    <w:p w14:paraId="3795A626">
      <w:pPr>
        <w:spacing w:after="0" w:line="480" w:lineRule="auto"/>
        <w:jc w:val="both"/>
        <w:rPr>
          <w:rFonts w:ascii="Times New Roman" w:hAnsi="Times New Roman" w:cs="Times New Roman"/>
          <w:color w:val="auto"/>
        </w:rPr>
      </w:pPr>
    </w:p>
    <w:p w14:paraId="2D1B2EE6">
      <w:pPr>
        <w:spacing w:after="0" w:line="480" w:lineRule="auto"/>
        <w:jc w:val="both"/>
        <w:rPr>
          <w:rFonts w:ascii="Times New Roman" w:hAnsi="Times New Roman" w:cs="Times New Roman"/>
          <w:color w:val="auto"/>
        </w:rPr>
      </w:pPr>
    </w:p>
    <w:p w14:paraId="4A6F669B">
      <w:pPr>
        <w:spacing w:after="0" w:line="480" w:lineRule="auto"/>
        <w:jc w:val="both"/>
        <w:rPr>
          <w:rFonts w:ascii="Times New Roman" w:hAnsi="Times New Roman" w:cs="Times New Roman"/>
          <w:color w:val="auto"/>
        </w:rPr>
      </w:pPr>
    </w:p>
    <w:p w14:paraId="0FD950D2">
      <w:pPr>
        <w:spacing w:after="0" w:line="480" w:lineRule="auto"/>
        <w:jc w:val="both"/>
        <w:rPr>
          <w:rFonts w:ascii="Times New Roman" w:hAnsi="Times New Roman" w:cs="Times New Roman"/>
          <w:b/>
          <w:bCs/>
          <w:color w:val="auto"/>
        </w:rPr>
      </w:pPr>
      <w:r>
        <w:rPr>
          <w:rFonts w:ascii="Times New Roman" w:hAnsi="Times New Roman" w:cs="Times New Roman"/>
          <w:b/>
          <w:bCs/>
          <w:color w:val="auto"/>
        </w:rPr>
        <w:t>4. Results and Discussion</w:t>
      </w:r>
    </w:p>
    <w:p w14:paraId="1EFE4B21">
      <w:pPr>
        <w:spacing w:after="0" w:line="480" w:lineRule="auto"/>
        <w:jc w:val="both"/>
        <w:rPr>
          <w:rFonts w:ascii="Times New Roman" w:hAnsi="Times New Roman" w:cs="Times New Roman"/>
          <w:b/>
          <w:bCs/>
          <w:color w:val="auto"/>
        </w:rPr>
      </w:pPr>
      <w:r>
        <w:rPr>
          <w:rFonts w:ascii="Times New Roman" w:hAnsi="Times New Roman" w:cs="Times New Roman"/>
          <w:b/>
          <w:bCs/>
          <w:color w:val="auto"/>
        </w:rPr>
        <w:t xml:space="preserve">4.1 Demographic Information </w:t>
      </w:r>
    </w:p>
    <w:p w14:paraId="1C94E55E">
      <w:pPr>
        <w:spacing w:after="0" w:line="480" w:lineRule="auto"/>
        <w:jc w:val="both"/>
        <w:rPr>
          <w:rFonts w:ascii="Times New Roman" w:hAnsi="Times New Roman" w:cs="Times New Roman"/>
          <w:color w:val="auto"/>
        </w:rPr>
      </w:pPr>
      <w:r>
        <w:rPr>
          <w:rFonts w:ascii="Times New Roman" w:hAnsi="Times New Roman" w:cs="Times New Roman"/>
          <w:color w:val="auto"/>
        </w:rPr>
        <w:t>Table 2 and Figure 1 present the demographic profile of the 600 respondents included in the study. The sample was evenly distributed across urban (n=300) and rural (n=300) areas, ensuring balanced geographic representation. Gender distribution was also equal, with 300 male and 300 female students. Age-wise, the sample was stratified into three groups—6–8 years, 9–10 years, and 11–12 years—each comprising 200 students (33.3%). This proportional sampling across area, gender, and age categories allowed for reliable comparison in subsequent analyses of anemia prevalence. Figure 1 visually illustrates this demographic distribution.</w:t>
      </w:r>
    </w:p>
    <w:p w14:paraId="172FF95A">
      <w:pPr>
        <w:spacing w:after="0" w:line="480" w:lineRule="auto"/>
        <w:jc w:val="both"/>
        <w:rPr>
          <w:rFonts w:ascii="Times New Roman" w:hAnsi="Times New Roman" w:cs="Times New Roman"/>
          <w:b/>
          <w:bCs/>
          <w:color w:val="auto"/>
        </w:rPr>
      </w:pPr>
      <w:r>
        <w:rPr>
          <w:rFonts w:ascii="Times New Roman" w:hAnsi="Times New Roman" w:cs="Times New Roman"/>
          <w:b/>
          <w:bCs/>
          <w:color w:val="auto"/>
        </w:rPr>
        <w:t>Table 2. Demographic Information of Respondents</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072"/>
        <w:gridCol w:w="2503"/>
        <w:gridCol w:w="2721"/>
      </w:tblGrid>
      <w:tr w14:paraId="3ACA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tcPr>
          <w:p w14:paraId="267DBFFF">
            <w:pPr>
              <w:spacing w:after="0" w:line="240" w:lineRule="auto"/>
              <w:rPr>
                <w:rFonts w:ascii="Times New Roman" w:hAnsi="Times New Roman" w:cs="Times New Roman"/>
                <w:b/>
                <w:bCs/>
                <w:color w:val="auto"/>
              </w:rPr>
            </w:pPr>
            <w:r>
              <w:rPr>
                <w:rFonts w:ascii="Times New Roman" w:hAnsi="Times New Roman" w:cs="Times New Roman"/>
                <w:b/>
                <w:bCs/>
                <w:color w:val="auto"/>
              </w:rPr>
              <w:t>Variable</w:t>
            </w:r>
          </w:p>
        </w:tc>
        <w:tc>
          <w:tcPr>
            <w:tcW w:w="1121" w:type="pct"/>
          </w:tcPr>
          <w:p w14:paraId="413B6C5C">
            <w:pPr>
              <w:spacing w:after="0" w:line="240" w:lineRule="auto"/>
              <w:rPr>
                <w:rFonts w:ascii="Times New Roman" w:hAnsi="Times New Roman" w:cs="Times New Roman"/>
                <w:b/>
                <w:bCs/>
                <w:color w:val="auto"/>
              </w:rPr>
            </w:pPr>
            <w:r>
              <w:rPr>
                <w:rFonts w:ascii="Times New Roman" w:hAnsi="Times New Roman" w:cs="Times New Roman"/>
                <w:b/>
                <w:bCs/>
                <w:color w:val="auto"/>
              </w:rPr>
              <w:t>Category</w:t>
            </w:r>
          </w:p>
        </w:tc>
        <w:tc>
          <w:tcPr>
            <w:tcW w:w="1354" w:type="pct"/>
          </w:tcPr>
          <w:p w14:paraId="1FB8CD48">
            <w:pPr>
              <w:spacing w:after="0" w:line="240" w:lineRule="auto"/>
              <w:rPr>
                <w:rFonts w:ascii="Times New Roman" w:hAnsi="Times New Roman" w:cs="Times New Roman"/>
                <w:b/>
                <w:bCs/>
                <w:color w:val="auto"/>
              </w:rPr>
            </w:pPr>
            <w:r>
              <w:rPr>
                <w:rFonts w:ascii="Times New Roman" w:hAnsi="Times New Roman" w:cs="Times New Roman"/>
                <w:b/>
                <w:bCs/>
                <w:color w:val="auto"/>
              </w:rPr>
              <w:t>Frequency (n)</w:t>
            </w:r>
          </w:p>
        </w:tc>
        <w:tc>
          <w:tcPr>
            <w:tcW w:w="1473" w:type="pct"/>
          </w:tcPr>
          <w:p w14:paraId="0FA7FE0E">
            <w:pPr>
              <w:spacing w:after="0" w:line="240" w:lineRule="auto"/>
              <w:rPr>
                <w:rFonts w:ascii="Times New Roman" w:hAnsi="Times New Roman" w:cs="Times New Roman"/>
                <w:b/>
                <w:bCs/>
                <w:color w:val="auto"/>
              </w:rPr>
            </w:pPr>
            <w:r>
              <w:rPr>
                <w:rFonts w:ascii="Times New Roman" w:hAnsi="Times New Roman" w:cs="Times New Roman"/>
                <w:b/>
                <w:bCs/>
                <w:color w:val="auto"/>
              </w:rPr>
              <w:t>Percentage (%)</w:t>
            </w:r>
          </w:p>
        </w:tc>
      </w:tr>
      <w:tr w14:paraId="6D14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tcPr>
          <w:p w14:paraId="73E3BF3E">
            <w:pPr>
              <w:spacing w:after="0" w:line="240" w:lineRule="auto"/>
              <w:rPr>
                <w:rFonts w:ascii="Times New Roman" w:hAnsi="Times New Roman" w:cs="Times New Roman"/>
                <w:color w:val="auto"/>
              </w:rPr>
            </w:pPr>
            <w:r>
              <w:rPr>
                <w:rFonts w:ascii="Times New Roman" w:hAnsi="Times New Roman" w:cs="Times New Roman"/>
                <w:color w:val="auto"/>
              </w:rPr>
              <w:t>Area</w:t>
            </w:r>
          </w:p>
        </w:tc>
        <w:tc>
          <w:tcPr>
            <w:tcW w:w="1121" w:type="pct"/>
          </w:tcPr>
          <w:p w14:paraId="032CA0D8">
            <w:pPr>
              <w:spacing w:after="0" w:line="240" w:lineRule="auto"/>
              <w:rPr>
                <w:rFonts w:ascii="Times New Roman" w:hAnsi="Times New Roman" w:cs="Times New Roman"/>
                <w:color w:val="auto"/>
              </w:rPr>
            </w:pPr>
            <w:r>
              <w:rPr>
                <w:rFonts w:ascii="Times New Roman" w:hAnsi="Times New Roman" w:cs="Times New Roman"/>
                <w:color w:val="auto"/>
              </w:rPr>
              <w:t>Urban</w:t>
            </w:r>
          </w:p>
        </w:tc>
        <w:tc>
          <w:tcPr>
            <w:tcW w:w="1354" w:type="pct"/>
          </w:tcPr>
          <w:p w14:paraId="6223208F">
            <w:pPr>
              <w:spacing w:after="0" w:line="240" w:lineRule="auto"/>
              <w:rPr>
                <w:rFonts w:ascii="Times New Roman" w:hAnsi="Times New Roman" w:cs="Times New Roman"/>
                <w:color w:val="auto"/>
              </w:rPr>
            </w:pPr>
            <w:r>
              <w:rPr>
                <w:rFonts w:ascii="Times New Roman" w:hAnsi="Times New Roman" w:cs="Times New Roman"/>
                <w:color w:val="auto"/>
              </w:rPr>
              <w:t>300</w:t>
            </w:r>
          </w:p>
        </w:tc>
        <w:tc>
          <w:tcPr>
            <w:tcW w:w="1473" w:type="pct"/>
          </w:tcPr>
          <w:p w14:paraId="78A50097">
            <w:pPr>
              <w:spacing w:after="0" w:line="240" w:lineRule="auto"/>
              <w:rPr>
                <w:rFonts w:ascii="Times New Roman" w:hAnsi="Times New Roman" w:cs="Times New Roman"/>
                <w:color w:val="auto"/>
              </w:rPr>
            </w:pPr>
            <w:r>
              <w:rPr>
                <w:rFonts w:ascii="Times New Roman" w:hAnsi="Times New Roman" w:cs="Times New Roman"/>
                <w:color w:val="auto"/>
              </w:rPr>
              <w:t>50.0%</w:t>
            </w:r>
          </w:p>
        </w:tc>
      </w:tr>
      <w:tr w14:paraId="4DF6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tcPr>
          <w:p w14:paraId="48A20E95">
            <w:pPr>
              <w:spacing w:after="0" w:line="240" w:lineRule="auto"/>
              <w:rPr>
                <w:rFonts w:ascii="Times New Roman" w:hAnsi="Times New Roman" w:cs="Times New Roman"/>
                <w:color w:val="auto"/>
              </w:rPr>
            </w:pPr>
          </w:p>
        </w:tc>
        <w:tc>
          <w:tcPr>
            <w:tcW w:w="1121" w:type="pct"/>
          </w:tcPr>
          <w:p w14:paraId="0C16422C">
            <w:pPr>
              <w:spacing w:after="0" w:line="240" w:lineRule="auto"/>
              <w:rPr>
                <w:rFonts w:ascii="Times New Roman" w:hAnsi="Times New Roman" w:cs="Times New Roman"/>
                <w:color w:val="auto"/>
              </w:rPr>
            </w:pPr>
            <w:r>
              <w:rPr>
                <w:rFonts w:ascii="Times New Roman" w:hAnsi="Times New Roman" w:cs="Times New Roman"/>
                <w:color w:val="auto"/>
              </w:rPr>
              <w:t>Rural</w:t>
            </w:r>
          </w:p>
        </w:tc>
        <w:tc>
          <w:tcPr>
            <w:tcW w:w="1354" w:type="pct"/>
          </w:tcPr>
          <w:p w14:paraId="4CF555DE">
            <w:pPr>
              <w:spacing w:after="0" w:line="240" w:lineRule="auto"/>
              <w:rPr>
                <w:rFonts w:ascii="Times New Roman" w:hAnsi="Times New Roman" w:cs="Times New Roman"/>
                <w:color w:val="auto"/>
              </w:rPr>
            </w:pPr>
            <w:r>
              <w:rPr>
                <w:rFonts w:ascii="Times New Roman" w:hAnsi="Times New Roman" w:cs="Times New Roman"/>
                <w:color w:val="auto"/>
              </w:rPr>
              <w:t>300</w:t>
            </w:r>
          </w:p>
        </w:tc>
        <w:tc>
          <w:tcPr>
            <w:tcW w:w="1473" w:type="pct"/>
          </w:tcPr>
          <w:p w14:paraId="7AEC1537">
            <w:pPr>
              <w:spacing w:after="0" w:line="240" w:lineRule="auto"/>
              <w:rPr>
                <w:rFonts w:ascii="Times New Roman" w:hAnsi="Times New Roman" w:cs="Times New Roman"/>
                <w:color w:val="auto"/>
              </w:rPr>
            </w:pPr>
            <w:r>
              <w:rPr>
                <w:rFonts w:ascii="Times New Roman" w:hAnsi="Times New Roman" w:cs="Times New Roman"/>
                <w:color w:val="auto"/>
              </w:rPr>
              <w:t>50.0%</w:t>
            </w:r>
          </w:p>
        </w:tc>
      </w:tr>
      <w:tr w14:paraId="31E7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tcPr>
          <w:p w14:paraId="0FC66350">
            <w:pPr>
              <w:spacing w:after="0" w:line="240" w:lineRule="auto"/>
              <w:rPr>
                <w:rFonts w:ascii="Times New Roman" w:hAnsi="Times New Roman" w:cs="Times New Roman"/>
                <w:color w:val="auto"/>
              </w:rPr>
            </w:pPr>
            <w:r>
              <w:rPr>
                <w:rFonts w:ascii="Times New Roman" w:hAnsi="Times New Roman" w:cs="Times New Roman"/>
                <w:color w:val="auto"/>
              </w:rPr>
              <w:t>Gender</w:t>
            </w:r>
          </w:p>
        </w:tc>
        <w:tc>
          <w:tcPr>
            <w:tcW w:w="1121" w:type="pct"/>
          </w:tcPr>
          <w:p w14:paraId="48DCBBD8">
            <w:pPr>
              <w:spacing w:after="0" w:line="240" w:lineRule="auto"/>
              <w:rPr>
                <w:rFonts w:ascii="Times New Roman" w:hAnsi="Times New Roman" w:cs="Times New Roman"/>
                <w:color w:val="auto"/>
              </w:rPr>
            </w:pPr>
            <w:r>
              <w:rPr>
                <w:rFonts w:ascii="Times New Roman" w:hAnsi="Times New Roman" w:cs="Times New Roman"/>
                <w:color w:val="auto"/>
              </w:rPr>
              <w:t>Male</w:t>
            </w:r>
          </w:p>
        </w:tc>
        <w:tc>
          <w:tcPr>
            <w:tcW w:w="1354" w:type="pct"/>
          </w:tcPr>
          <w:p w14:paraId="571F27C2">
            <w:pPr>
              <w:spacing w:after="0" w:line="240" w:lineRule="auto"/>
              <w:rPr>
                <w:rFonts w:ascii="Times New Roman" w:hAnsi="Times New Roman" w:cs="Times New Roman"/>
                <w:color w:val="auto"/>
              </w:rPr>
            </w:pPr>
            <w:r>
              <w:rPr>
                <w:rFonts w:ascii="Times New Roman" w:hAnsi="Times New Roman" w:cs="Times New Roman"/>
                <w:color w:val="auto"/>
              </w:rPr>
              <w:t>300</w:t>
            </w:r>
          </w:p>
        </w:tc>
        <w:tc>
          <w:tcPr>
            <w:tcW w:w="1473" w:type="pct"/>
          </w:tcPr>
          <w:p w14:paraId="61451298">
            <w:pPr>
              <w:spacing w:after="0" w:line="240" w:lineRule="auto"/>
              <w:rPr>
                <w:rFonts w:ascii="Times New Roman" w:hAnsi="Times New Roman" w:cs="Times New Roman"/>
                <w:color w:val="auto"/>
              </w:rPr>
            </w:pPr>
            <w:r>
              <w:rPr>
                <w:rFonts w:ascii="Times New Roman" w:hAnsi="Times New Roman" w:cs="Times New Roman"/>
                <w:color w:val="auto"/>
              </w:rPr>
              <w:t>50.0%</w:t>
            </w:r>
          </w:p>
        </w:tc>
      </w:tr>
      <w:tr w14:paraId="2D7D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tcPr>
          <w:p w14:paraId="0E65995D">
            <w:pPr>
              <w:spacing w:after="0" w:line="240" w:lineRule="auto"/>
              <w:rPr>
                <w:rFonts w:ascii="Times New Roman" w:hAnsi="Times New Roman" w:cs="Times New Roman"/>
                <w:color w:val="auto"/>
              </w:rPr>
            </w:pPr>
          </w:p>
        </w:tc>
        <w:tc>
          <w:tcPr>
            <w:tcW w:w="1121" w:type="pct"/>
          </w:tcPr>
          <w:p w14:paraId="6AB93B68">
            <w:pPr>
              <w:spacing w:after="0" w:line="240" w:lineRule="auto"/>
              <w:rPr>
                <w:rFonts w:ascii="Times New Roman" w:hAnsi="Times New Roman" w:cs="Times New Roman"/>
                <w:color w:val="auto"/>
              </w:rPr>
            </w:pPr>
            <w:r>
              <w:rPr>
                <w:rFonts w:ascii="Times New Roman" w:hAnsi="Times New Roman" w:cs="Times New Roman"/>
                <w:color w:val="auto"/>
              </w:rPr>
              <w:t>Female</w:t>
            </w:r>
          </w:p>
        </w:tc>
        <w:tc>
          <w:tcPr>
            <w:tcW w:w="1354" w:type="pct"/>
          </w:tcPr>
          <w:p w14:paraId="5F28EE94">
            <w:pPr>
              <w:spacing w:after="0" w:line="240" w:lineRule="auto"/>
              <w:rPr>
                <w:rFonts w:ascii="Times New Roman" w:hAnsi="Times New Roman" w:cs="Times New Roman"/>
                <w:color w:val="auto"/>
              </w:rPr>
            </w:pPr>
            <w:r>
              <w:rPr>
                <w:rFonts w:ascii="Times New Roman" w:hAnsi="Times New Roman" w:cs="Times New Roman"/>
                <w:color w:val="auto"/>
              </w:rPr>
              <w:t>300</w:t>
            </w:r>
          </w:p>
        </w:tc>
        <w:tc>
          <w:tcPr>
            <w:tcW w:w="1473" w:type="pct"/>
          </w:tcPr>
          <w:p w14:paraId="40558FE3">
            <w:pPr>
              <w:spacing w:after="0" w:line="240" w:lineRule="auto"/>
              <w:rPr>
                <w:rFonts w:ascii="Times New Roman" w:hAnsi="Times New Roman" w:cs="Times New Roman"/>
                <w:color w:val="auto"/>
              </w:rPr>
            </w:pPr>
            <w:r>
              <w:rPr>
                <w:rFonts w:ascii="Times New Roman" w:hAnsi="Times New Roman" w:cs="Times New Roman"/>
                <w:color w:val="auto"/>
              </w:rPr>
              <w:t>50.0%</w:t>
            </w:r>
          </w:p>
        </w:tc>
      </w:tr>
      <w:tr w14:paraId="7F88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tcPr>
          <w:p w14:paraId="4F7187E5">
            <w:pPr>
              <w:spacing w:after="0" w:line="240" w:lineRule="auto"/>
              <w:rPr>
                <w:rFonts w:ascii="Times New Roman" w:hAnsi="Times New Roman" w:cs="Times New Roman"/>
                <w:color w:val="auto"/>
              </w:rPr>
            </w:pPr>
            <w:r>
              <w:rPr>
                <w:rFonts w:ascii="Times New Roman" w:hAnsi="Times New Roman" w:cs="Times New Roman"/>
                <w:color w:val="auto"/>
              </w:rPr>
              <w:t>Age Group</w:t>
            </w:r>
          </w:p>
        </w:tc>
        <w:tc>
          <w:tcPr>
            <w:tcW w:w="1121" w:type="pct"/>
          </w:tcPr>
          <w:p w14:paraId="5177391A">
            <w:pPr>
              <w:spacing w:after="0" w:line="240" w:lineRule="auto"/>
              <w:rPr>
                <w:rFonts w:ascii="Times New Roman" w:hAnsi="Times New Roman" w:cs="Times New Roman"/>
                <w:color w:val="auto"/>
              </w:rPr>
            </w:pPr>
            <w:r>
              <w:rPr>
                <w:rFonts w:ascii="Times New Roman" w:hAnsi="Times New Roman" w:cs="Times New Roman"/>
                <w:color w:val="auto"/>
              </w:rPr>
              <w:t>6–8 years</w:t>
            </w:r>
          </w:p>
        </w:tc>
        <w:tc>
          <w:tcPr>
            <w:tcW w:w="1354" w:type="pct"/>
          </w:tcPr>
          <w:p w14:paraId="65D67D46">
            <w:pPr>
              <w:spacing w:after="0" w:line="240" w:lineRule="auto"/>
              <w:rPr>
                <w:rFonts w:ascii="Times New Roman" w:hAnsi="Times New Roman" w:cs="Times New Roman"/>
                <w:color w:val="auto"/>
              </w:rPr>
            </w:pPr>
            <w:r>
              <w:rPr>
                <w:rFonts w:ascii="Times New Roman" w:hAnsi="Times New Roman" w:cs="Times New Roman"/>
                <w:color w:val="auto"/>
              </w:rPr>
              <w:t>200</w:t>
            </w:r>
          </w:p>
        </w:tc>
        <w:tc>
          <w:tcPr>
            <w:tcW w:w="1473" w:type="pct"/>
          </w:tcPr>
          <w:p w14:paraId="7090D6AB">
            <w:pPr>
              <w:spacing w:after="0" w:line="240" w:lineRule="auto"/>
              <w:rPr>
                <w:rFonts w:ascii="Times New Roman" w:hAnsi="Times New Roman" w:cs="Times New Roman"/>
                <w:color w:val="auto"/>
              </w:rPr>
            </w:pPr>
            <w:r>
              <w:rPr>
                <w:rFonts w:ascii="Times New Roman" w:hAnsi="Times New Roman" w:cs="Times New Roman"/>
                <w:color w:val="auto"/>
              </w:rPr>
              <w:t>33.3%</w:t>
            </w:r>
          </w:p>
        </w:tc>
      </w:tr>
      <w:tr w14:paraId="7130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tcPr>
          <w:p w14:paraId="2E27216F">
            <w:pPr>
              <w:spacing w:after="0" w:line="240" w:lineRule="auto"/>
              <w:rPr>
                <w:rFonts w:ascii="Times New Roman" w:hAnsi="Times New Roman" w:cs="Times New Roman"/>
                <w:color w:val="auto"/>
              </w:rPr>
            </w:pPr>
          </w:p>
        </w:tc>
        <w:tc>
          <w:tcPr>
            <w:tcW w:w="1121" w:type="pct"/>
          </w:tcPr>
          <w:p w14:paraId="2E3A7186">
            <w:pPr>
              <w:spacing w:after="0" w:line="240" w:lineRule="auto"/>
              <w:rPr>
                <w:rFonts w:ascii="Times New Roman" w:hAnsi="Times New Roman" w:cs="Times New Roman"/>
                <w:color w:val="auto"/>
              </w:rPr>
            </w:pPr>
            <w:r>
              <w:rPr>
                <w:rFonts w:ascii="Times New Roman" w:hAnsi="Times New Roman" w:cs="Times New Roman"/>
                <w:color w:val="auto"/>
              </w:rPr>
              <w:t>9–10 years</w:t>
            </w:r>
          </w:p>
        </w:tc>
        <w:tc>
          <w:tcPr>
            <w:tcW w:w="1354" w:type="pct"/>
          </w:tcPr>
          <w:p w14:paraId="1321DF20">
            <w:pPr>
              <w:spacing w:after="0" w:line="240" w:lineRule="auto"/>
              <w:rPr>
                <w:rFonts w:ascii="Times New Roman" w:hAnsi="Times New Roman" w:cs="Times New Roman"/>
                <w:color w:val="auto"/>
              </w:rPr>
            </w:pPr>
            <w:r>
              <w:rPr>
                <w:rFonts w:ascii="Times New Roman" w:hAnsi="Times New Roman" w:cs="Times New Roman"/>
                <w:color w:val="auto"/>
              </w:rPr>
              <w:t>200</w:t>
            </w:r>
          </w:p>
        </w:tc>
        <w:tc>
          <w:tcPr>
            <w:tcW w:w="1473" w:type="pct"/>
          </w:tcPr>
          <w:p w14:paraId="15798001">
            <w:pPr>
              <w:spacing w:after="0" w:line="240" w:lineRule="auto"/>
              <w:rPr>
                <w:rFonts w:ascii="Times New Roman" w:hAnsi="Times New Roman" w:cs="Times New Roman"/>
                <w:color w:val="auto"/>
              </w:rPr>
            </w:pPr>
            <w:r>
              <w:rPr>
                <w:rFonts w:ascii="Times New Roman" w:hAnsi="Times New Roman" w:cs="Times New Roman"/>
                <w:color w:val="auto"/>
              </w:rPr>
              <w:t>33.3%</w:t>
            </w:r>
          </w:p>
        </w:tc>
      </w:tr>
      <w:tr w14:paraId="4935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tcPr>
          <w:p w14:paraId="6AFB5059">
            <w:pPr>
              <w:spacing w:after="0" w:line="240" w:lineRule="auto"/>
              <w:rPr>
                <w:rFonts w:ascii="Times New Roman" w:hAnsi="Times New Roman" w:cs="Times New Roman"/>
                <w:color w:val="auto"/>
              </w:rPr>
            </w:pPr>
          </w:p>
        </w:tc>
        <w:tc>
          <w:tcPr>
            <w:tcW w:w="1121" w:type="pct"/>
          </w:tcPr>
          <w:p w14:paraId="46465081">
            <w:pPr>
              <w:spacing w:after="0" w:line="240" w:lineRule="auto"/>
              <w:rPr>
                <w:rFonts w:ascii="Times New Roman" w:hAnsi="Times New Roman" w:cs="Times New Roman"/>
                <w:color w:val="auto"/>
              </w:rPr>
            </w:pPr>
            <w:r>
              <w:rPr>
                <w:rFonts w:ascii="Times New Roman" w:hAnsi="Times New Roman" w:cs="Times New Roman"/>
                <w:color w:val="auto"/>
              </w:rPr>
              <w:t>11–12 years</w:t>
            </w:r>
          </w:p>
        </w:tc>
        <w:tc>
          <w:tcPr>
            <w:tcW w:w="1354" w:type="pct"/>
          </w:tcPr>
          <w:p w14:paraId="128B4D8B">
            <w:pPr>
              <w:spacing w:after="0" w:line="240" w:lineRule="auto"/>
              <w:rPr>
                <w:rFonts w:ascii="Times New Roman" w:hAnsi="Times New Roman" w:cs="Times New Roman"/>
                <w:color w:val="auto"/>
              </w:rPr>
            </w:pPr>
            <w:r>
              <w:rPr>
                <w:rFonts w:ascii="Times New Roman" w:hAnsi="Times New Roman" w:cs="Times New Roman"/>
                <w:color w:val="auto"/>
              </w:rPr>
              <w:t>200</w:t>
            </w:r>
          </w:p>
        </w:tc>
        <w:tc>
          <w:tcPr>
            <w:tcW w:w="1473" w:type="pct"/>
          </w:tcPr>
          <w:p w14:paraId="052A7776">
            <w:pPr>
              <w:spacing w:after="0" w:line="240" w:lineRule="auto"/>
              <w:rPr>
                <w:rFonts w:ascii="Times New Roman" w:hAnsi="Times New Roman" w:cs="Times New Roman"/>
                <w:color w:val="auto"/>
              </w:rPr>
            </w:pPr>
            <w:r>
              <w:rPr>
                <w:rFonts w:ascii="Times New Roman" w:hAnsi="Times New Roman" w:cs="Times New Roman"/>
                <w:color w:val="auto"/>
              </w:rPr>
              <w:t>33.3%</w:t>
            </w:r>
          </w:p>
        </w:tc>
      </w:tr>
    </w:tbl>
    <w:p w14:paraId="27441D44">
      <w:pPr>
        <w:spacing w:after="0" w:line="480" w:lineRule="auto"/>
        <w:rPr>
          <w:rFonts w:ascii="Times New Roman" w:hAnsi="Times New Roman" w:cs="Times New Roman"/>
          <w:b/>
          <w:bCs/>
          <w:color w:val="auto"/>
        </w:rPr>
      </w:pPr>
    </w:p>
    <w:p w14:paraId="7B237EB5">
      <w:pPr>
        <w:spacing w:after="0" w:line="480" w:lineRule="auto"/>
        <w:jc w:val="center"/>
        <w:rPr>
          <w:rFonts w:ascii="Times New Roman" w:hAnsi="Times New Roman" w:cs="Times New Roman"/>
          <w:b/>
          <w:bCs/>
          <w:color w:val="auto"/>
        </w:rPr>
      </w:pPr>
      <w:r>
        <w:rPr>
          <w:rFonts w:ascii="Times New Roman" w:hAnsi="Times New Roman" w:cs="Times New Roman"/>
          <w:color w:val="auto"/>
          <w:lang w:eastAsia="en-IN"/>
        </w:rPr>
        <w:drawing>
          <wp:inline distT="0" distB="0" distL="0" distR="0">
            <wp:extent cx="5731510" cy="2971800"/>
            <wp:effectExtent l="0" t="0" r="2540" b="0"/>
            <wp:docPr id="390435643"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35643" name="Picture 1" descr="Output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31510" cy="2971800"/>
                    </a:xfrm>
                    <a:prstGeom prst="rect">
                      <a:avLst/>
                    </a:prstGeom>
                    <a:noFill/>
                    <a:ln>
                      <a:noFill/>
                    </a:ln>
                  </pic:spPr>
                </pic:pic>
              </a:graphicData>
            </a:graphic>
          </wp:inline>
        </w:drawing>
      </w:r>
    </w:p>
    <w:p w14:paraId="1BC0F120">
      <w:pPr>
        <w:spacing w:after="0" w:line="480" w:lineRule="auto"/>
        <w:jc w:val="center"/>
        <w:rPr>
          <w:rFonts w:ascii="Times New Roman" w:hAnsi="Times New Roman" w:cs="Times New Roman"/>
          <w:b/>
          <w:bCs/>
          <w:color w:val="auto"/>
        </w:rPr>
      </w:pPr>
      <w:r>
        <w:rPr>
          <w:rFonts w:ascii="Times New Roman" w:hAnsi="Times New Roman" w:cs="Times New Roman"/>
          <w:b/>
          <w:bCs/>
          <w:color w:val="auto"/>
        </w:rPr>
        <w:t>Figure 1. Demographic Information of Respondents</w:t>
      </w:r>
    </w:p>
    <w:p w14:paraId="13D59CF3">
      <w:pPr>
        <w:spacing w:after="0" w:line="480" w:lineRule="auto"/>
        <w:jc w:val="both"/>
        <w:rPr>
          <w:rFonts w:ascii="Times New Roman" w:hAnsi="Times New Roman" w:cs="Times New Roman"/>
          <w:b/>
          <w:bCs/>
          <w:color w:val="auto"/>
        </w:rPr>
      </w:pPr>
      <w:r>
        <w:rPr>
          <w:rFonts w:ascii="Times New Roman" w:hAnsi="Times New Roman" w:cs="Times New Roman"/>
          <w:b/>
          <w:bCs/>
          <w:color w:val="auto"/>
        </w:rPr>
        <w:t xml:space="preserve">4.2 Descriptive Statics </w:t>
      </w:r>
    </w:p>
    <w:p w14:paraId="04F2CF9A">
      <w:pPr>
        <w:spacing w:after="0" w:line="480" w:lineRule="auto"/>
        <w:jc w:val="both"/>
        <w:rPr>
          <w:rFonts w:ascii="Times New Roman" w:hAnsi="Times New Roman" w:cs="Times New Roman"/>
          <w:color w:val="auto"/>
        </w:rPr>
      </w:pPr>
      <w:r>
        <w:rPr>
          <w:rFonts w:ascii="Times New Roman" w:hAnsi="Times New Roman" w:cs="Times New Roman"/>
          <w:color w:val="auto"/>
        </w:rPr>
        <w:t>Table 3 summarizes the descriptive statistics of key health indicators measured among the respondents. The average height of the children was 130.2 cm with a standard deviation of 8.5 cm, ranging from 110 cm to 145 cm. The mean weight was recorded at 28.4 kg (SD = 6.2 kg), with values ranging between 18 kg and 40 kg. The calculated Body Mass Index (BMI) had a mean of 16.8 kg/m² and ranged from 12.0 to 21.5 kg/m², indicating varied nutritional status across the sample. The mean hemoglobin level was 10.3 g/dL (SD = 1.5 g/dL), with individual values spanning from 6.5 g/dL to 13.8 g/dL, reflecting the presence of mild to severe anemia in several students. These baseline statistics provide essential context for interpreting anemia prevalence in relation to nutritional status.</w:t>
      </w:r>
    </w:p>
    <w:p w14:paraId="7212F8B2">
      <w:pPr>
        <w:spacing w:after="0" w:line="480" w:lineRule="auto"/>
        <w:jc w:val="both"/>
        <w:rPr>
          <w:rFonts w:ascii="Times New Roman" w:hAnsi="Times New Roman" w:cs="Times New Roman"/>
          <w:b/>
          <w:bCs/>
          <w:color w:val="auto"/>
        </w:rPr>
      </w:pPr>
      <w:r>
        <w:rPr>
          <w:rFonts w:ascii="Times New Roman" w:hAnsi="Times New Roman" w:cs="Times New Roman"/>
          <w:b/>
          <w:bCs/>
          <w:color w:val="auto"/>
        </w:rPr>
        <w:t xml:space="preserve">Table 3. Descriptive Statistics </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908"/>
        <w:gridCol w:w="3112"/>
        <w:gridCol w:w="1407"/>
        <w:gridCol w:w="1451"/>
      </w:tblGrid>
      <w:tr w14:paraId="3991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tcPr>
          <w:p w14:paraId="5CDBB5E1">
            <w:pPr>
              <w:spacing w:after="0" w:line="240" w:lineRule="auto"/>
              <w:rPr>
                <w:rFonts w:ascii="Times New Roman" w:hAnsi="Times New Roman" w:cs="Times New Roman"/>
                <w:b/>
                <w:bCs/>
                <w:color w:val="auto"/>
              </w:rPr>
            </w:pPr>
            <w:r>
              <w:rPr>
                <w:rFonts w:ascii="Times New Roman" w:hAnsi="Times New Roman" w:cs="Times New Roman"/>
                <w:b/>
                <w:bCs/>
                <w:color w:val="auto"/>
              </w:rPr>
              <w:t>Variable</w:t>
            </w:r>
          </w:p>
        </w:tc>
        <w:tc>
          <w:tcPr>
            <w:tcW w:w="491" w:type="pct"/>
          </w:tcPr>
          <w:p w14:paraId="73DD6442">
            <w:pPr>
              <w:spacing w:after="0" w:line="240" w:lineRule="auto"/>
              <w:rPr>
                <w:rFonts w:ascii="Times New Roman" w:hAnsi="Times New Roman" w:cs="Times New Roman"/>
                <w:b/>
                <w:bCs/>
                <w:color w:val="auto"/>
              </w:rPr>
            </w:pPr>
            <w:r>
              <w:rPr>
                <w:rFonts w:ascii="Times New Roman" w:hAnsi="Times New Roman" w:cs="Times New Roman"/>
                <w:b/>
                <w:bCs/>
                <w:color w:val="auto"/>
              </w:rPr>
              <w:t>Mean</w:t>
            </w:r>
          </w:p>
        </w:tc>
        <w:tc>
          <w:tcPr>
            <w:tcW w:w="1683" w:type="pct"/>
          </w:tcPr>
          <w:p w14:paraId="0F5C2AEB">
            <w:pPr>
              <w:spacing w:after="0" w:line="240" w:lineRule="auto"/>
              <w:rPr>
                <w:rFonts w:ascii="Times New Roman" w:hAnsi="Times New Roman" w:cs="Times New Roman"/>
                <w:b/>
                <w:bCs/>
                <w:color w:val="auto"/>
              </w:rPr>
            </w:pPr>
            <w:r>
              <w:rPr>
                <w:rFonts w:ascii="Times New Roman" w:hAnsi="Times New Roman" w:cs="Times New Roman"/>
                <w:b/>
                <w:bCs/>
                <w:color w:val="auto"/>
              </w:rPr>
              <w:t>Standard Deviation (SD)</w:t>
            </w:r>
          </w:p>
        </w:tc>
        <w:tc>
          <w:tcPr>
            <w:tcW w:w="761" w:type="pct"/>
          </w:tcPr>
          <w:p w14:paraId="5DE7456C">
            <w:pPr>
              <w:spacing w:after="0" w:line="240" w:lineRule="auto"/>
              <w:rPr>
                <w:rFonts w:ascii="Times New Roman" w:hAnsi="Times New Roman" w:cs="Times New Roman"/>
                <w:b/>
                <w:bCs/>
                <w:color w:val="auto"/>
              </w:rPr>
            </w:pPr>
            <w:r>
              <w:rPr>
                <w:rFonts w:ascii="Times New Roman" w:hAnsi="Times New Roman" w:cs="Times New Roman"/>
                <w:b/>
                <w:bCs/>
                <w:color w:val="auto"/>
              </w:rPr>
              <w:t>Minimum</w:t>
            </w:r>
          </w:p>
        </w:tc>
        <w:tc>
          <w:tcPr>
            <w:tcW w:w="785" w:type="pct"/>
          </w:tcPr>
          <w:p w14:paraId="0C5F2817">
            <w:pPr>
              <w:spacing w:after="0" w:line="240" w:lineRule="auto"/>
              <w:rPr>
                <w:rFonts w:ascii="Times New Roman" w:hAnsi="Times New Roman" w:cs="Times New Roman"/>
                <w:b/>
                <w:bCs/>
                <w:color w:val="auto"/>
              </w:rPr>
            </w:pPr>
            <w:r>
              <w:rPr>
                <w:rFonts w:ascii="Times New Roman" w:hAnsi="Times New Roman" w:cs="Times New Roman"/>
                <w:b/>
                <w:bCs/>
                <w:color w:val="auto"/>
              </w:rPr>
              <w:t>Maximum</w:t>
            </w:r>
          </w:p>
        </w:tc>
      </w:tr>
      <w:tr w14:paraId="1FBC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tcPr>
          <w:p w14:paraId="235C6659">
            <w:pPr>
              <w:spacing w:after="0" w:line="240" w:lineRule="auto"/>
              <w:rPr>
                <w:rFonts w:ascii="Times New Roman" w:hAnsi="Times New Roman" w:cs="Times New Roman"/>
                <w:color w:val="auto"/>
              </w:rPr>
            </w:pPr>
            <w:r>
              <w:rPr>
                <w:rFonts w:ascii="Times New Roman" w:hAnsi="Times New Roman" w:cs="Times New Roman"/>
                <w:color w:val="auto"/>
              </w:rPr>
              <w:t>Height (cm)</w:t>
            </w:r>
          </w:p>
        </w:tc>
        <w:tc>
          <w:tcPr>
            <w:tcW w:w="491" w:type="pct"/>
          </w:tcPr>
          <w:p w14:paraId="2ACF2BE4">
            <w:pPr>
              <w:spacing w:after="0" w:line="240" w:lineRule="auto"/>
              <w:rPr>
                <w:rFonts w:ascii="Times New Roman" w:hAnsi="Times New Roman" w:cs="Times New Roman"/>
                <w:color w:val="auto"/>
              </w:rPr>
            </w:pPr>
            <w:r>
              <w:rPr>
                <w:rFonts w:ascii="Times New Roman" w:hAnsi="Times New Roman" w:cs="Times New Roman"/>
                <w:color w:val="auto"/>
              </w:rPr>
              <w:t>130.2</w:t>
            </w:r>
          </w:p>
        </w:tc>
        <w:tc>
          <w:tcPr>
            <w:tcW w:w="1683" w:type="pct"/>
          </w:tcPr>
          <w:p w14:paraId="68D38F36">
            <w:pPr>
              <w:spacing w:after="0" w:line="240" w:lineRule="auto"/>
              <w:rPr>
                <w:rFonts w:ascii="Times New Roman" w:hAnsi="Times New Roman" w:cs="Times New Roman"/>
                <w:color w:val="auto"/>
              </w:rPr>
            </w:pPr>
            <w:r>
              <w:rPr>
                <w:rFonts w:ascii="Times New Roman" w:hAnsi="Times New Roman" w:cs="Times New Roman"/>
                <w:color w:val="auto"/>
              </w:rPr>
              <w:t>8.5</w:t>
            </w:r>
          </w:p>
        </w:tc>
        <w:tc>
          <w:tcPr>
            <w:tcW w:w="761" w:type="pct"/>
          </w:tcPr>
          <w:p w14:paraId="1729EC1A">
            <w:pPr>
              <w:spacing w:after="0" w:line="240" w:lineRule="auto"/>
              <w:rPr>
                <w:rFonts w:ascii="Times New Roman" w:hAnsi="Times New Roman" w:cs="Times New Roman"/>
                <w:color w:val="auto"/>
              </w:rPr>
            </w:pPr>
            <w:r>
              <w:rPr>
                <w:rFonts w:ascii="Times New Roman" w:hAnsi="Times New Roman" w:cs="Times New Roman"/>
                <w:color w:val="auto"/>
              </w:rPr>
              <w:t>110</w:t>
            </w:r>
          </w:p>
        </w:tc>
        <w:tc>
          <w:tcPr>
            <w:tcW w:w="785" w:type="pct"/>
          </w:tcPr>
          <w:p w14:paraId="3E5360FC">
            <w:pPr>
              <w:spacing w:after="0" w:line="240" w:lineRule="auto"/>
              <w:rPr>
                <w:rFonts w:ascii="Times New Roman" w:hAnsi="Times New Roman" w:cs="Times New Roman"/>
                <w:color w:val="auto"/>
              </w:rPr>
            </w:pPr>
            <w:r>
              <w:rPr>
                <w:rFonts w:ascii="Times New Roman" w:hAnsi="Times New Roman" w:cs="Times New Roman"/>
                <w:color w:val="auto"/>
              </w:rPr>
              <w:t>145</w:t>
            </w:r>
          </w:p>
        </w:tc>
      </w:tr>
      <w:tr w14:paraId="24D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tcPr>
          <w:p w14:paraId="1D510E92">
            <w:pPr>
              <w:spacing w:after="0" w:line="240" w:lineRule="auto"/>
              <w:rPr>
                <w:rFonts w:ascii="Times New Roman" w:hAnsi="Times New Roman" w:cs="Times New Roman"/>
                <w:color w:val="auto"/>
              </w:rPr>
            </w:pPr>
            <w:r>
              <w:rPr>
                <w:rFonts w:ascii="Times New Roman" w:hAnsi="Times New Roman" w:cs="Times New Roman"/>
                <w:color w:val="auto"/>
              </w:rPr>
              <w:t>Weight (kg)</w:t>
            </w:r>
          </w:p>
        </w:tc>
        <w:tc>
          <w:tcPr>
            <w:tcW w:w="491" w:type="pct"/>
          </w:tcPr>
          <w:p w14:paraId="49A8B4DB">
            <w:pPr>
              <w:spacing w:after="0" w:line="240" w:lineRule="auto"/>
              <w:rPr>
                <w:rFonts w:ascii="Times New Roman" w:hAnsi="Times New Roman" w:cs="Times New Roman"/>
                <w:color w:val="auto"/>
              </w:rPr>
            </w:pPr>
            <w:r>
              <w:rPr>
                <w:rFonts w:ascii="Times New Roman" w:hAnsi="Times New Roman" w:cs="Times New Roman"/>
                <w:color w:val="auto"/>
              </w:rPr>
              <w:t>28.4</w:t>
            </w:r>
          </w:p>
        </w:tc>
        <w:tc>
          <w:tcPr>
            <w:tcW w:w="1683" w:type="pct"/>
          </w:tcPr>
          <w:p w14:paraId="682F09C7">
            <w:pPr>
              <w:spacing w:after="0" w:line="240" w:lineRule="auto"/>
              <w:rPr>
                <w:rFonts w:ascii="Times New Roman" w:hAnsi="Times New Roman" w:cs="Times New Roman"/>
                <w:color w:val="auto"/>
              </w:rPr>
            </w:pPr>
            <w:r>
              <w:rPr>
                <w:rFonts w:ascii="Times New Roman" w:hAnsi="Times New Roman" w:cs="Times New Roman"/>
                <w:color w:val="auto"/>
              </w:rPr>
              <w:t>6.2</w:t>
            </w:r>
          </w:p>
        </w:tc>
        <w:tc>
          <w:tcPr>
            <w:tcW w:w="761" w:type="pct"/>
          </w:tcPr>
          <w:p w14:paraId="6F96F76C">
            <w:pPr>
              <w:spacing w:after="0" w:line="240" w:lineRule="auto"/>
              <w:rPr>
                <w:rFonts w:ascii="Times New Roman" w:hAnsi="Times New Roman" w:cs="Times New Roman"/>
                <w:color w:val="auto"/>
              </w:rPr>
            </w:pPr>
            <w:r>
              <w:rPr>
                <w:rFonts w:ascii="Times New Roman" w:hAnsi="Times New Roman" w:cs="Times New Roman"/>
                <w:color w:val="auto"/>
              </w:rPr>
              <w:t>18</w:t>
            </w:r>
          </w:p>
        </w:tc>
        <w:tc>
          <w:tcPr>
            <w:tcW w:w="785" w:type="pct"/>
          </w:tcPr>
          <w:p w14:paraId="0D9EEC2A">
            <w:pPr>
              <w:spacing w:after="0" w:line="240" w:lineRule="auto"/>
              <w:rPr>
                <w:rFonts w:ascii="Times New Roman" w:hAnsi="Times New Roman" w:cs="Times New Roman"/>
                <w:color w:val="auto"/>
              </w:rPr>
            </w:pPr>
            <w:r>
              <w:rPr>
                <w:rFonts w:ascii="Times New Roman" w:hAnsi="Times New Roman" w:cs="Times New Roman"/>
                <w:color w:val="auto"/>
              </w:rPr>
              <w:t>40</w:t>
            </w:r>
          </w:p>
        </w:tc>
      </w:tr>
      <w:tr w14:paraId="5EE4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tcPr>
          <w:p w14:paraId="5C989209">
            <w:pPr>
              <w:spacing w:after="0" w:line="240" w:lineRule="auto"/>
              <w:rPr>
                <w:rFonts w:ascii="Times New Roman" w:hAnsi="Times New Roman" w:cs="Times New Roman"/>
                <w:color w:val="auto"/>
              </w:rPr>
            </w:pPr>
            <w:r>
              <w:rPr>
                <w:rFonts w:ascii="Times New Roman" w:hAnsi="Times New Roman" w:cs="Times New Roman"/>
                <w:color w:val="auto"/>
              </w:rPr>
              <w:t>BMI (kg/m²)</w:t>
            </w:r>
          </w:p>
        </w:tc>
        <w:tc>
          <w:tcPr>
            <w:tcW w:w="491" w:type="pct"/>
          </w:tcPr>
          <w:p w14:paraId="6427583B">
            <w:pPr>
              <w:spacing w:after="0" w:line="240" w:lineRule="auto"/>
              <w:rPr>
                <w:rFonts w:ascii="Times New Roman" w:hAnsi="Times New Roman" w:cs="Times New Roman"/>
                <w:color w:val="auto"/>
              </w:rPr>
            </w:pPr>
            <w:r>
              <w:rPr>
                <w:rFonts w:ascii="Times New Roman" w:hAnsi="Times New Roman" w:cs="Times New Roman"/>
                <w:color w:val="auto"/>
              </w:rPr>
              <w:t>16.8</w:t>
            </w:r>
          </w:p>
        </w:tc>
        <w:tc>
          <w:tcPr>
            <w:tcW w:w="1683" w:type="pct"/>
          </w:tcPr>
          <w:p w14:paraId="5470BE07">
            <w:pPr>
              <w:spacing w:after="0" w:line="240" w:lineRule="auto"/>
              <w:rPr>
                <w:rFonts w:ascii="Times New Roman" w:hAnsi="Times New Roman" w:cs="Times New Roman"/>
                <w:color w:val="auto"/>
              </w:rPr>
            </w:pPr>
            <w:r>
              <w:rPr>
                <w:rFonts w:ascii="Times New Roman" w:hAnsi="Times New Roman" w:cs="Times New Roman"/>
                <w:color w:val="auto"/>
              </w:rPr>
              <w:t>2.1</w:t>
            </w:r>
          </w:p>
        </w:tc>
        <w:tc>
          <w:tcPr>
            <w:tcW w:w="761" w:type="pct"/>
          </w:tcPr>
          <w:p w14:paraId="0436F048">
            <w:pPr>
              <w:spacing w:after="0" w:line="240" w:lineRule="auto"/>
              <w:rPr>
                <w:rFonts w:ascii="Times New Roman" w:hAnsi="Times New Roman" w:cs="Times New Roman"/>
                <w:color w:val="auto"/>
              </w:rPr>
            </w:pPr>
            <w:r>
              <w:rPr>
                <w:rFonts w:ascii="Times New Roman" w:hAnsi="Times New Roman" w:cs="Times New Roman"/>
                <w:color w:val="auto"/>
              </w:rPr>
              <w:t>12.0</w:t>
            </w:r>
          </w:p>
        </w:tc>
        <w:tc>
          <w:tcPr>
            <w:tcW w:w="785" w:type="pct"/>
          </w:tcPr>
          <w:p w14:paraId="4AACB68C">
            <w:pPr>
              <w:spacing w:after="0" w:line="240" w:lineRule="auto"/>
              <w:rPr>
                <w:rFonts w:ascii="Times New Roman" w:hAnsi="Times New Roman" w:cs="Times New Roman"/>
                <w:color w:val="auto"/>
              </w:rPr>
            </w:pPr>
            <w:r>
              <w:rPr>
                <w:rFonts w:ascii="Times New Roman" w:hAnsi="Times New Roman" w:cs="Times New Roman"/>
                <w:color w:val="auto"/>
              </w:rPr>
              <w:t>21.5</w:t>
            </w:r>
          </w:p>
        </w:tc>
      </w:tr>
      <w:tr w14:paraId="5C8B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tcPr>
          <w:p w14:paraId="6C32B40E">
            <w:pPr>
              <w:spacing w:after="0" w:line="240" w:lineRule="auto"/>
              <w:rPr>
                <w:rFonts w:ascii="Times New Roman" w:hAnsi="Times New Roman" w:cs="Times New Roman"/>
                <w:color w:val="auto"/>
              </w:rPr>
            </w:pPr>
            <w:r>
              <w:rPr>
                <w:rFonts w:ascii="Times New Roman" w:hAnsi="Times New Roman" w:cs="Times New Roman"/>
                <w:color w:val="auto"/>
              </w:rPr>
              <w:t>Hemoglobin (g/dL)</w:t>
            </w:r>
          </w:p>
        </w:tc>
        <w:tc>
          <w:tcPr>
            <w:tcW w:w="491" w:type="pct"/>
          </w:tcPr>
          <w:p w14:paraId="703277E4">
            <w:pPr>
              <w:spacing w:after="0" w:line="240" w:lineRule="auto"/>
              <w:rPr>
                <w:rFonts w:ascii="Times New Roman" w:hAnsi="Times New Roman" w:cs="Times New Roman"/>
                <w:color w:val="auto"/>
              </w:rPr>
            </w:pPr>
            <w:r>
              <w:rPr>
                <w:rFonts w:ascii="Times New Roman" w:hAnsi="Times New Roman" w:cs="Times New Roman"/>
                <w:color w:val="auto"/>
              </w:rPr>
              <w:t>10.3</w:t>
            </w:r>
          </w:p>
        </w:tc>
        <w:tc>
          <w:tcPr>
            <w:tcW w:w="1683" w:type="pct"/>
          </w:tcPr>
          <w:p w14:paraId="5B2E5AF1">
            <w:pPr>
              <w:spacing w:after="0" w:line="240" w:lineRule="auto"/>
              <w:rPr>
                <w:rFonts w:ascii="Times New Roman" w:hAnsi="Times New Roman" w:cs="Times New Roman"/>
                <w:color w:val="auto"/>
              </w:rPr>
            </w:pPr>
            <w:r>
              <w:rPr>
                <w:rFonts w:ascii="Times New Roman" w:hAnsi="Times New Roman" w:cs="Times New Roman"/>
                <w:color w:val="auto"/>
              </w:rPr>
              <w:t>1.5</w:t>
            </w:r>
          </w:p>
        </w:tc>
        <w:tc>
          <w:tcPr>
            <w:tcW w:w="761" w:type="pct"/>
          </w:tcPr>
          <w:p w14:paraId="1C63A5CC">
            <w:pPr>
              <w:spacing w:after="0" w:line="240" w:lineRule="auto"/>
              <w:rPr>
                <w:rFonts w:ascii="Times New Roman" w:hAnsi="Times New Roman" w:cs="Times New Roman"/>
                <w:color w:val="auto"/>
              </w:rPr>
            </w:pPr>
            <w:r>
              <w:rPr>
                <w:rFonts w:ascii="Times New Roman" w:hAnsi="Times New Roman" w:cs="Times New Roman"/>
                <w:color w:val="auto"/>
              </w:rPr>
              <w:t>6.5</w:t>
            </w:r>
          </w:p>
        </w:tc>
        <w:tc>
          <w:tcPr>
            <w:tcW w:w="785" w:type="pct"/>
          </w:tcPr>
          <w:p w14:paraId="35DC3935">
            <w:pPr>
              <w:spacing w:after="0" w:line="240" w:lineRule="auto"/>
              <w:rPr>
                <w:rFonts w:ascii="Times New Roman" w:hAnsi="Times New Roman" w:cs="Times New Roman"/>
                <w:color w:val="auto"/>
              </w:rPr>
            </w:pPr>
            <w:r>
              <w:rPr>
                <w:rFonts w:ascii="Times New Roman" w:hAnsi="Times New Roman" w:cs="Times New Roman"/>
                <w:color w:val="auto"/>
              </w:rPr>
              <w:t>13.8</w:t>
            </w:r>
          </w:p>
        </w:tc>
      </w:tr>
    </w:tbl>
    <w:p w14:paraId="3C692F0D">
      <w:pPr>
        <w:spacing w:after="0" w:line="480" w:lineRule="auto"/>
        <w:jc w:val="both"/>
        <w:rPr>
          <w:rFonts w:ascii="Times New Roman" w:hAnsi="Times New Roman" w:cs="Times New Roman"/>
          <w:b/>
          <w:bCs/>
          <w:color w:val="auto"/>
        </w:rPr>
      </w:pPr>
    </w:p>
    <w:p w14:paraId="0B8138ED">
      <w:pPr>
        <w:spacing w:after="0" w:line="480" w:lineRule="auto"/>
        <w:jc w:val="both"/>
        <w:rPr>
          <w:rFonts w:ascii="Times New Roman" w:hAnsi="Times New Roman" w:cs="Times New Roman"/>
          <w:b/>
          <w:bCs/>
          <w:color w:val="auto"/>
        </w:rPr>
      </w:pPr>
      <w:r>
        <w:rPr>
          <w:rFonts w:ascii="Times New Roman" w:hAnsi="Times New Roman" w:cs="Times New Roman"/>
          <w:b/>
          <w:bCs/>
          <w:color w:val="auto"/>
        </w:rPr>
        <w:t xml:space="preserve">4.3 Hypotheses Testing </w:t>
      </w:r>
    </w:p>
    <w:p w14:paraId="08E4B1D2">
      <w:pPr>
        <w:spacing w:after="0" w:line="480" w:lineRule="auto"/>
        <w:jc w:val="both"/>
        <w:rPr>
          <w:rFonts w:ascii="Times New Roman" w:hAnsi="Times New Roman" w:cs="Times New Roman"/>
          <w:color w:val="auto"/>
        </w:rPr>
      </w:pPr>
      <w:r>
        <w:rPr>
          <w:rFonts w:ascii="Times New Roman" w:hAnsi="Times New Roman" w:cs="Times New Roman"/>
          <w:color w:val="auto"/>
        </w:rPr>
        <w:t>The following sub-sections present the results of hypothesis testing conducted using appropriate statistical techniques;</w:t>
      </w:r>
    </w:p>
    <w:p w14:paraId="10C3B4A1">
      <w:pPr>
        <w:spacing w:after="0" w:line="480" w:lineRule="auto"/>
        <w:jc w:val="both"/>
        <w:rPr>
          <w:rFonts w:ascii="Times New Roman" w:hAnsi="Times New Roman" w:cs="Times New Roman"/>
          <w:b/>
          <w:bCs/>
          <w:color w:val="auto"/>
        </w:rPr>
      </w:pPr>
      <w:r>
        <w:rPr>
          <w:rFonts w:ascii="Times New Roman" w:hAnsi="Times New Roman" w:cs="Times New Roman"/>
          <w:b/>
          <w:bCs/>
          <w:color w:val="auto"/>
        </w:rPr>
        <w:t>4.3.1 Results of Hypothesis 1</w:t>
      </w:r>
    </w:p>
    <w:p w14:paraId="550E4D81">
      <w:pPr>
        <w:spacing w:after="0" w:line="480" w:lineRule="auto"/>
        <w:jc w:val="both"/>
        <w:rPr>
          <w:rFonts w:ascii="Times New Roman" w:hAnsi="Times New Roman" w:cs="Times New Roman"/>
          <w:color w:val="auto"/>
        </w:rPr>
      </w:pPr>
      <w:r>
        <w:rPr>
          <w:rFonts w:ascii="Times New Roman" w:hAnsi="Times New Roman" w:cs="Times New Roman"/>
          <w:color w:val="auto"/>
        </w:rPr>
        <w:t>The first hypothesis (H1) proposed that there is a significant difference in anemia prevalence between urban and rural students. To examine this, a cross-tabulation of anemia status by residential area was conducted. As shown in Table 4, out of the total 600 students surveyed, 300 were from urban schools and 300 from rural schools. Among the urban students, 80 (26.7%) were found to be anemic, while 220 (73.3%) were non-anemic. In contrast, 120 rural students (40.0%) were anemic and 180 (60.0%) were non-anemic. This descriptive data suggests a higher prevalence of anemia among rural children.</w:t>
      </w:r>
    </w:p>
    <w:p w14:paraId="20C01E43">
      <w:pPr>
        <w:spacing w:after="0" w:line="480" w:lineRule="auto"/>
        <w:jc w:val="both"/>
        <w:rPr>
          <w:rFonts w:ascii="Times New Roman" w:hAnsi="Times New Roman" w:cs="Times New Roman"/>
          <w:color w:val="auto"/>
        </w:rPr>
      </w:pPr>
      <w:r>
        <w:rPr>
          <w:rFonts w:ascii="Times New Roman" w:hAnsi="Times New Roman" w:cs="Times New Roman"/>
          <w:color w:val="auto"/>
        </w:rPr>
        <w:t>To determine whether this observed difference is statistically significant, a Chi-square test of independence was applied. The results are presented in Table 5, where the Chi-square statistic was found to be 6.82 with 1 degree of freedom, and the associated p-value was 0.009. Since the p-value is less than 0.05, the result is considered statistically significant at the 1% level (p &lt; 0.01).</w:t>
      </w:r>
    </w:p>
    <w:p w14:paraId="5944BE14">
      <w:pPr>
        <w:spacing w:after="0" w:line="480" w:lineRule="auto"/>
        <w:jc w:val="both"/>
        <w:rPr>
          <w:rFonts w:ascii="Times New Roman" w:hAnsi="Times New Roman" w:cs="Times New Roman"/>
          <w:color w:val="auto"/>
        </w:rPr>
      </w:pPr>
      <w:r>
        <w:rPr>
          <w:rFonts w:ascii="Times New Roman" w:hAnsi="Times New Roman" w:cs="Times New Roman"/>
          <w:color w:val="auto"/>
        </w:rPr>
        <w:t>These findings support Hypothesis 1, confirming that anemia prevalence varies significantly between urban and rural primary school children in Bulandshahr district. The higher rate of anemia in rural students could be attributed to a range of socio-economic and healthcare access factors, including nutritional gaps, parental literacy, and sanitation conditions. This result also underlines the need for location-specific interventions under the Mid-Day Meal Scheme to better target areas with higher anemia burdens.</w:t>
      </w:r>
    </w:p>
    <w:p w14:paraId="3A26235F">
      <w:pPr>
        <w:spacing w:after="0" w:line="480" w:lineRule="auto"/>
        <w:rPr>
          <w:rFonts w:ascii="Times New Roman" w:hAnsi="Times New Roman" w:cs="Times New Roman"/>
          <w:b/>
          <w:bCs/>
          <w:color w:val="auto"/>
        </w:rPr>
      </w:pPr>
      <w:r>
        <w:rPr>
          <w:rFonts w:ascii="Times New Roman" w:hAnsi="Times New Roman" w:cs="Times New Roman"/>
          <w:b/>
          <w:bCs/>
          <w:color w:val="auto"/>
        </w:rPr>
        <w:t>Table 4. Cross-Tabulation Anemia v/s Area</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2442"/>
        <w:gridCol w:w="3384"/>
        <w:gridCol w:w="1902"/>
      </w:tblGrid>
      <w:tr w14:paraId="7BCF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pct"/>
          </w:tcPr>
          <w:p w14:paraId="3EF532A5">
            <w:pPr>
              <w:spacing w:after="0" w:line="240" w:lineRule="auto"/>
              <w:rPr>
                <w:rFonts w:ascii="Times New Roman" w:hAnsi="Times New Roman" w:cs="Times New Roman"/>
                <w:b/>
                <w:bCs/>
                <w:color w:val="auto"/>
              </w:rPr>
            </w:pPr>
            <w:r>
              <w:rPr>
                <w:rFonts w:ascii="Times New Roman" w:hAnsi="Times New Roman" w:cs="Times New Roman"/>
                <w:b/>
                <w:bCs/>
                <w:color w:val="auto"/>
              </w:rPr>
              <w:t>Area</w:t>
            </w:r>
          </w:p>
        </w:tc>
        <w:tc>
          <w:tcPr>
            <w:tcW w:w="1321" w:type="pct"/>
          </w:tcPr>
          <w:p w14:paraId="5FA4B995">
            <w:pPr>
              <w:spacing w:after="0" w:line="240" w:lineRule="auto"/>
              <w:rPr>
                <w:rFonts w:ascii="Times New Roman" w:hAnsi="Times New Roman" w:cs="Times New Roman"/>
                <w:b/>
                <w:bCs/>
                <w:color w:val="auto"/>
              </w:rPr>
            </w:pPr>
            <w:r>
              <w:rPr>
                <w:rFonts w:ascii="Times New Roman" w:hAnsi="Times New Roman" w:cs="Times New Roman"/>
                <w:b/>
                <w:bCs/>
                <w:color w:val="auto"/>
              </w:rPr>
              <w:t>Anemic (n)</w:t>
            </w:r>
          </w:p>
        </w:tc>
        <w:tc>
          <w:tcPr>
            <w:tcW w:w="1831" w:type="pct"/>
          </w:tcPr>
          <w:p w14:paraId="4D707A92">
            <w:pPr>
              <w:spacing w:after="0" w:line="240" w:lineRule="auto"/>
              <w:rPr>
                <w:rFonts w:ascii="Times New Roman" w:hAnsi="Times New Roman" w:cs="Times New Roman"/>
                <w:b/>
                <w:bCs/>
                <w:color w:val="auto"/>
              </w:rPr>
            </w:pPr>
            <w:r>
              <w:rPr>
                <w:rFonts w:ascii="Times New Roman" w:hAnsi="Times New Roman" w:cs="Times New Roman"/>
                <w:b/>
                <w:bCs/>
                <w:color w:val="auto"/>
              </w:rPr>
              <w:t>Non-Anemic (n)</w:t>
            </w:r>
          </w:p>
        </w:tc>
        <w:tc>
          <w:tcPr>
            <w:tcW w:w="1029" w:type="pct"/>
          </w:tcPr>
          <w:p w14:paraId="6F1B0D07">
            <w:pPr>
              <w:spacing w:after="0" w:line="240" w:lineRule="auto"/>
              <w:rPr>
                <w:rFonts w:ascii="Times New Roman" w:hAnsi="Times New Roman" w:cs="Times New Roman"/>
                <w:b/>
                <w:bCs/>
                <w:color w:val="auto"/>
              </w:rPr>
            </w:pPr>
            <w:r>
              <w:rPr>
                <w:rFonts w:ascii="Times New Roman" w:hAnsi="Times New Roman" w:cs="Times New Roman"/>
                <w:b/>
                <w:bCs/>
                <w:color w:val="auto"/>
              </w:rPr>
              <w:t>Total (n)</w:t>
            </w:r>
          </w:p>
        </w:tc>
      </w:tr>
      <w:tr w14:paraId="7648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pct"/>
          </w:tcPr>
          <w:p w14:paraId="67FF9A50">
            <w:pPr>
              <w:spacing w:after="0" w:line="240" w:lineRule="auto"/>
              <w:rPr>
                <w:rFonts w:ascii="Times New Roman" w:hAnsi="Times New Roman" w:cs="Times New Roman"/>
                <w:color w:val="auto"/>
              </w:rPr>
            </w:pPr>
            <w:r>
              <w:rPr>
                <w:rFonts w:ascii="Times New Roman" w:hAnsi="Times New Roman" w:cs="Times New Roman"/>
                <w:color w:val="auto"/>
              </w:rPr>
              <w:t>Urban</w:t>
            </w:r>
          </w:p>
        </w:tc>
        <w:tc>
          <w:tcPr>
            <w:tcW w:w="1321" w:type="pct"/>
          </w:tcPr>
          <w:p w14:paraId="53CFE479">
            <w:pPr>
              <w:spacing w:after="0" w:line="240" w:lineRule="auto"/>
              <w:rPr>
                <w:rFonts w:ascii="Times New Roman" w:hAnsi="Times New Roman" w:cs="Times New Roman"/>
                <w:color w:val="auto"/>
              </w:rPr>
            </w:pPr>
            <w:r>
              <w:rPr>
                <w:rFonts w:ascii="Times New Roman" w:hAnsi="Times New Roman" w:cs="Times New Roman"/>
                <w:color w:val="auto"/>
              </w:rPr>
              <w:t>80</w:t>
            </w:r>
          </w:p>
        </w:tc>
        <w:tc>
          <w:tcPr>
            <w:tcW w:w="1831" w:type="pct"/>
          </w:tcPr>
          <w:p w14:paraId="697CE7FF">
            <w:pPr>
              <w:spacing w:after="0" w:line="240" w:lineRule="auto"/>
              <w:rPr>
                <w:rFonts w:ascii="Times New Roman" w:hAnsi="Times New Roman" w:cs="Times New Roman"/>
                <w:color w:val="auto"/>
              </w:rPr>
            </w:pPr>
            <w:r>
              <w:rPr>
                <w:rFonts w:ascii="Times New Roman" w:hAnsi="Times New Roman" w:cs="Times New Roman"/>
                <w:color w:val="auto"/>
              </w:rPr>
              <w:t>220</w:t>
            </w:r>
          </w:p>
        </w:tc>
        <w:tc>
          <w:tcPr>
            <w:tcW w:w="1029" w:type="pct"/>
          </w:tcPr>
          <w:p w14:paraId="77DD0D02">
            <w:pPr>
              <w:spacing w:after="0" w:line="240" w:lineRule="auto"/>
              <w:rPr>
                <w:rFonts w:ascii="Times New Roman" w:hAnsi="Times New Roman" w:cs="Times New Roman"/>
                <w:color w:val="auto"/>
              </w:rPr>
            </w:pPr>
            <w:r>
              <w:rPr>
                <w:rFonts w:ascii="Times New Roman" w:hAnsi="Times New Roman" w:cs="Times New Roman"/>
                <w:color w:val="auto"/>
              </w:rPr>
              <w:t>300</w:t>
            </w:r>
          </w:p>
        </w:tc>
      </w:tr>
      <w:tr w14:paraId="4F60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pct"/>
          </w:tcPr>
          <w:p w14:paraId="6661DC13">
            <w:pPr>
              <w:spacing w:after="0" w:line="240" w:lineRule="auto"/>
              <w:rPr>
                <w:rFonts w:ascii="Times New Roman" w:hAnsi="Times New Roman" w:cs="Times New Roman"/>
                <w:color w:val="auto"/>
              </w:rPr>
            </w:pPr>
            <w:r>
              <w:rPr>
                <w:rFonts w:ascii="Times New Roman" w:hAnsi="Times New Roman" w:cs="Times New Roman"/>
                <w:color w:val="auto"/>
              </w:rPr>
              <w:t>Rural</w:t>
            </w:r>
          </w:p>
        </w:tc>
        <w:tc>
          <w:tcPr>
            <w:tcW w:w="1321" w:type="pct"/>
          </w:tcPr>
          <w:p w14:paraId="5344C481">
            <w:pPr>
              <w:spacing w:after="0" w:line="240" w:lineRule="auto"/>
              <w:rPr>
                <w:rFonts w:ascii="Times New Roman" w:hAnsi="Times New Roman" w:cs="Times New Roman"/>
                <w:color w:val="auto"/>
              </w:rPr>
            </w:pPr>
            <w:r>
              <w:rPr>
                <w:rFonts w:ascii="Times New Roman" w:hAnsi="Times New Roman" w:cs="Times New Roman"/>
                <w:color w:val="auto"/>
              </w:rPr>
              <w:t>120</w:t>
            </w:r>
          </w:p>
        </w:tc>
        <w:tc>
          <w:tcPr>
            <w:tcW w:w="1831" w:type="pct"/>
          </w:tcPr>
          <w:p w14:paraId="10336F85">
            <w:pPr>
              <w:spacing w:after="0" w:line="240" w:lineRule="auto"/>
              <w:rPr>
                <w:rFonts w:ascii="Times New Roman" w:hAnsi="Times New Roman" w:cs="Times New Roman"/>
                <w:color w:val="auto"/>
              </w:rPr>
            </w:pPr>
            <w:r>
              <w:rPr>
                <w:rFonts w:ascii="Times New Roman" w:hAnsi="Times New Roman" w:cs="Times New Roman"/>
                <w:color w:val="auto"/>
              </w:rPr>
              <w:t>180</w:t>
            </w:r>
          </w:p>
        </w:tc>
        <w:tc>
          <w:tcPr>
            <w:tcW w:w="1029" w:type="pct"/>
          </w:tcPr>
          <w:p w14:paraId="2049EEF3">
            <w:pPr>
              <w:spacing w:after="0" w:line="240" w:lineRule="auto"/>
              <w:rPr>
                <w:rFonts w:ascii="Times New Roman" w:hAnsi="Times New Roman" w:cs="Times New Roman"/>
                <w:color w:val="auto"/>
              </w:rPr>
            </w:pPr>
            <w:r>
              <w:rPr>
                <w:rFonts w:ascii="Times New Roman" w:hAnsi="Times New Roman" w:cs="Times New Roman"/>
                <w:color w:val="auto"/>
              </w:rPr>
              <w:t>300</w:t>
            </w:r>
          </w:p>
        </w:tc>
      </w:tr>
      <w:tr w14:paraId="5B15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pct"/>
          </w:tcPr>
          <w:p w14:paraId="4AA05BCA">
            <w:pPr>
              <w:spacing w:after="0" w:line="240" w:lineRule="auto"/>
              <w:rPr>
                <w:rFonts w:ascii="Times New Roman" w:hAnsi="Times New Roman" w:cs="Times New Roman"/>
                <w:color w:val="auto"/>
              </w:rPr>
            </w:pPr>
            <w:r>
              <w:rPr>
                <w:rFonts w:ascii="Times New Roman" w:hAnsi="Times New Roman" w:cs="Times New Roman"/>
                <w:b/>
                <w:bCs/>
                <w:color w:val="auto"/>
              </w:rPr>
              <w:t>Total</w:t>
            </w:r>
          </w:p>
        </w:tc>
        <w:tc>
          <w:tcPr>
            <w:tcW w:w="1321" w:type="pct"/>
          </w:tcPr>
          <w:p w14:paraId="04EE2BC1">
            <w:pPr>
              <w:spacing w:after="0" w:line="240" w:lineRule="auto"/>
              <w:rPr>
                <w:rFonts w:ascii="Times New Roman" w:hAnsi="Times New Roman" w:cs="Times New Roman"/>
                <w:color w:val="auto"/>
              </w:rPr>
            </w:pPr>
            <w:r>
              <w:rPr>
                <w:rFonts w:ascii="Times New Roman" w:hAnsi="Times New Roman" w:cs="Times New Roman"/>
                <w:color w:val="auto"/>
              </w:rPr>
              <w:t>200</w:t>
            </w:r>
          </w:p>
        </w:tc>
        <w:tc>
          <w:tcPr>
            <w:tcW w:w="1831" w:type="pct"/>
          </w:tcPr>
          <w:p w14:paraId="401136A6">
            <w:pPr>
              <w:spacing w:after="0" w:line="240" w:lineRule="auto"/>
              <w:rPr>
                <w:rFonts w:ascii="Times New Roman" w:hAnsi="Times New Roman" w:cs="Times New Roman"/>
                <w:color w:val="auto"/>
              </w:rPr>
            </w:pPr>
            <w:r>
              <w:rPr>
                <w:rFonts w:ascii="Times New Roman" w:hAnsi="Times New Roman" w:cs="Times New Roman"/>
                <w:color w:val="auto"/>
              </w:rPr>
              <w:t>400</w:t>
            </w:r>
          </w:p>
        </w:tc>
        <w:tc>
          <w:tcPr>
            <w:tcW w:w="1029" w:type="pct"/>
          </w:tcPr>
          <w:p w14:paraId="6F6A463C">
            <w:pPr>
              <w:spacing w:after="0" w:line="240" w:lineRule="auto"/>
              <w:rPr>
                <w:rFonts w:ascii="Times New Roman" w:hAnsi="Times New Roman" w:cs="Times New Roman"/>
                <w:color w:val="auto"/>
              </w:rPr>
            </w:pPr>
            <w:r>
              <w:rPr>
                <w:rFonts w:ascii="Times New Roman" w:hAnsi="Times New Roman" w:cs="Times New Roman"/>
                <w:color w:val="auto"/>
              </w:rPr>
              <w:t>600</w:t>
            </w:r>
          </w:p>
        </w:tc>
      </w:tr>
    </w:tbl>
    <w:p w14:paraId="5C453721">
      <w:pPr>
        <w:spacing w:after="0" w:line="480" w:lineRule="auto"/>
        <w:rPr>
          <w:rFonts w:ascii="Times New Roman" w:hAnsi="Times New Roman" w:cs="Times New Roman"/>
          <w:color w:val="auto"/>
        </w:rPr>
      </w:pPr>
    </w:p>
    <w:p w14:paraId="6660DBBB">
      <w:pPr>
        <w:spacing w:after="0" w:line="480" w:lineRule="auto"/>
        <w:rPr>
          <w:rFonts w:ascii="Times New Roman" w:hAnsi="Times New Roman" w:cs="Times New Roman"/>
          <w:b/>
          <w:bCs/>
          <w:color w:val="auto"/>
        </w:rPr>
      </w:pPr>
      <w:r>
        <w:rPr>
          <w:rFonts w:ascii="Times New Roman" w:hAnsi="Times New Roman" w:cs="Times New Roman"/>
          <w:b/>
          <w:bCs/>
          <w:color w:val="auto"/>
        </w:rPr>
        <w:t>Table 5. Chi-Square Test for Anemia Prevalence by Area (Urban vs. Rural) (H1)</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7"/>
        <w:gridCol w:w="1952"/>
        <w:gridCol w:w="1033"/>
        <w:gridCol w:w="2440"/>
      </w:tblGrid>
      <w:tr w14:paraId="1682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pct"/>
          </w:tcPr>
          <w:p w14:paraId="2CDA809B">
            <w:pPr>
              <w:spacing w:after="0" w:line="240" w:lineRule="auto"/>
              <w:rPr>
                <w:rFonts w:ascii="Times New Roman" w:hAnsi="Times New Roman" w:cs="Times New Roman"/>
                <w:b/>
                <w:bCs/>
                <w:color w:val="auto"/>
              </w:rPr>
            </w:pPr>
            <w:r>
              <w:rPr>
                <w:rFonts w:ascii="Times New Roman" w:hAnsi="Times New Roman" w:cs="Times New Roman"/>
                <w:b/>
                <w:bCs/>
                <w:color w:val="auto"/>
              </w:rPr>
              <w:t>Test Statistic</w:t>
            </w:r>
          </w:p>
        </w:tc>
        <w:tc>
          <w:tcPr>
            <w:tcW w:w="1056" w:type="pct"/>
          </w:tcPr>
          <w:p w14:paraId="558494D2">
            <w:pPr>
              <w:spacing w:after="0" w:line="240" w:lineRule="auto"/>
              <w:rPr>
                <w:rFonts w:ascii="Times New Roman" w:hAnsi="Times New Roman" w:cs="Times New Roman"/>
                <w:b/>
                <w:bCs/>
                <w:color w:val="auto"/>
              </w:rPr>
            </w:pPr>
            <w:r>
              <w:rPr>
                <w:rFonts w:ascii="Times New Roman" w:hAnsi="Times New Roman" w:cs="Times New Roman"/>
                <w:b/>
                <w:bCs/>
                <w:color w:val="auto"/>
              </w:rPr>
              <w:t>Value</w:t>
            </w:r>
          </w:p>
        </w:tc>
        <w:tc>
          <w:tcPr>
            <w:tcW w:w="559" w:type="pct"/>
          </w:tcPr>
          <w:p w14:paraId="5A4E2650">
            <w:pPr>
              <w:spacing w:after="0" w:line="240" w:lineRule="auto"/>
              <w:rPr>
                <w:rFonts w:ascii="Times New Roman" w:hAnsi="Times New Roman" w:cs="Times New Roman"/>
                <w:b/>
                <w:bCs/>
                <w:color w:val="auto"/>
              </w:rPr>
            </w:pPr>
            <w:r>
              <w:rPr>
                <w:rFonts w:ascii="Times New Roman" w:hAnsi="Times New Roman" w:cs="Times New Roman"/>
                <w:b/>
                <w:bCs/>
                <w:color w:val="auto"/>
              </w:rPr>
              <w:t>df</w:t>
            </w:r>
          </w:p>
        </w:tc>
        <w:tc>
          <w:tcPr>
            <w:tcW w:w="1321" w:type="pct"/>
          </w:tcPr>
          <w:p w14:paraId="0320A5BB">
            <w:pPr>
              <w:spacing w:after="0" w:line="240" w:lineRule="auto"/>
              <w:rPr>
                <w:rFonts w:ascii="Times New Roman" w:hAnsi="Times New Roman" w:cs="Times New Roman"/>
                <w:b/>
                <w:bCs/>
                <w:color w:val="auto"/>
              </w:rPr>
            </w:pPr>
            <w:r>
              <w:rPr>
                <w:rFonts w:ascii="Times New Roman" w:hAnsi="Times New Roman" w:cs="Times New Roman"/>
                <w:b/>
                <w:bCs/>
                <w:color w:val="auto"/>
              </w:rPr>
              <w:t>p-value</w:t>
            </w:r>
          </w:p>
        </w:tc>
      </w:tr>
      <w:tr w14:paraId="7E6A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pct"/>
          </w:tcPr>
          <w:p w14:paraId="2C941E0C">
            <w:pPr>
              <w:spacing w:after="0" w:line="240" w:lineRule="auto"/>
              <w:rPr>
                <w:rFonts w:ascii="Times New Roman" w:hAnsi="Times New Roman" w:cs="Times New Roman"/>
                <w:color w:val="auto"/>
              </w:rPr>
            </w:pPr>
            <w:r>
              <w:rPr>
                <w:rFonts w:ascii="Times New Roman" w:hAnsi="Times New Roman" w:cs="Times New Roman"/>
                <w:color w:val="auto"/>
              </w:rPr>
              <w:t>Chi-Square</w:t>
            </w:r>
          </w:p>
        </w:tc>
        <w:tc>
          <w:tcPr>
            <w:tcW w:w="1056" w:type="pct"/>
          </w:tcPr>
          <w:p w14:paraId="49517558">
            <w:pPr>
              <w:spacing w:after="0" w:line="240" w:lineRule="auto"/>
              <w:rPr>
                <w:rFonts w:ascii="Times New Roman" w:hAnsi="Times New Roman" w:cs="Times New Roman"/>
                <w:color w:val="auto"/>
              </w:rPr>
            </w:pPr>
            <w:r>
              <w:rPr>
                <w:rFonts w:ascii="Times New Roman" w:hAnsi="Times New Roman" w:cs="Times New Roman"/>
                <w:color w:val="auto"/>
              </w:rPr>
              <w:t>6.82</w:t>
            </w:r>
          </w:p>
        </w:tc>
        <w:tc>
          <w:tcPr>
            <w:tcW w:w="559" w:type="pct"/>
          </w:tcPr>
          <w:p w14:paraId="550F99A5">
            <w:pPr>
              <w:spacing w:after="0" w:line="240" w:lineRule="auto"/>
              <w:rPr>
                <w:rFonts w:ascii="Times New Roman" w:hAnsi="Times New Roman" w:cs="Times New Roman"/>
                <w:color w:val="auto"/>
              </w:rPr>
            </w:pPr>
            <w:r>
              <w:rPr>
                <w:rFonts w:ascii="Times New Roman" w:hAnsi="Times New Roman" w:cs="Times New Roman"/>
                <w:color w:val="auto"/>
              </w:rPr>
              <w:t>1</w:t>
            </w:r>
          </w:p>
        </w:tc>
        <w:tc>
          <w:tcPr>
            <w:tcW w:w="1321" w:type="pct"/>
          </w:tcPr>
          <w:p w14:paraId="52861F44">
            <w:pPr>
              <w:spacing w:after="0" w:line="240" w:lineRule="auto"/>
              <w:rPr>
                <w:rFonts w:ascii="Times New Roman" w:hAnsi="Times New Roman" w:cs="Times New Roman"/>
                <w:color w:val="auto"/>
              </w:rPr>
            </w:pPr>
            <w:r>
              <w:rPr>
                <w:rFonts w:ascii="Times New Roman" w:hAnsi="Times New Roman" w:cs="Times New Roman"/>
                <w:color w:val="auto"/>
              </w:rPr>
              <w:t>0.009**</w:t>
            </w:r>
          </w:p>
        </w:tc>
      </w:tr>
    </w:tbl>
    <w:p w14:paraId="4D7FDA0B">
      <w:pPr>
        <w:spacing w:after="0" w:line="480" w:lineRule="auto"/>
        <w:jc w:val="both"/>
        <w:rPr>
          <w:rFonts w:ascii="Times New Roman" w:hAnsi="Times New Roman" w:cs="Times New Roman"/>
          <w:b/>
          <w:bCs/>
          <w:color w:val="auto"/>
        </w:rPr>
      </w:pPr>
    </w:p>
    <w:p w14:paraId="3CDCAE04">
      <w:pPr>
        <w:spacing w:after="0" w:line="480" w:lineRule="auto"/>
        <w:jc w:val="both"/>
        <w:rPr>
          <w:rFonts w:ascii="Times New Roman" w:hAnsi="Times New Roman" w:cs="Times New Roman"/>
          <w:b/>
          <w:bCs/>
          <w:color w:val="auto"/>
        </w:rPr>
      </w:pPr>
      <w:r>
        <w:rPr>
          <w:rFonts w:ascii="Times New Roman" w:hAnsi="Times New Roman" w:cs="Times New Roman"/>
          <w:b/>
          <w:bCs/>
          <w:color w:val="auto"/>
        </w:rPr>
        <w:t>4.3.2 Results of Hypothesis 2</w:t>
      </w:r>
    </w:p>
    <w:p w14:paraId="790C9702">
      <w:pPr>
        <w:spacing w:after="0" w:line="480" w:lineRule="auto"/>
        <w:jc w:val="both"/>
        <w:rPr>
          <w:rFonts w:ascii="Times New Roman" w:hAnsi="Times New Roman" w:cs="Times New Roman"/>
          <w:color w:val="auto"/>
        </w:rPr>
      </w:pPr>
      <w:r>
        <w:rPr>
          <w:rFonts w:ascii="Times New Roman" w:hAnsi="Times New Roman" w:cs="Times New Roman"/>
          <w:color w:val="auto"/>
        </w:rPr>
        <w:t>The second hypothesis (H2) proposed that socio-demographic factors significantly influence anemia and malnutrition, particularly through their impact on hemoglobin levels. To test this, a multiple linear regression analysis was conducted using four predictor variables: age, gender, residential area, and maternal education. The dependent variable was the hemoglobin level (g/dL) of the students.</w:t>
      </w:r>
    </w:p>
    <w:p w14:paraId="730A1378">
      <w:pPr>
        <w:spacing w:after="0" w:line="480" w:lineRule="auto"/>
        <w:jc w:val="both"/>
        <w:rPr>
          <w:rFonts w:ascii="Times New Roman" w:hAnsi="Times New Roman" w:cs="Times New Roman"/>
          <w:color w:val="auto"/>
        </w:rPr>
      </w:pPr>
      <w:r>
        <w:rPr>
          <w:rFonts w:ascii="Times New Roman" w:hAnsi="Times New Roman" w:cs="Times New Roman"/>
          <w:color w:val="auto"/>
        </w:rPr>
        <w:t>The overall fit of the regression model is summarized in Table 6. The model yielded an R² value of 0.218, indicating that approximately 21.8% of the variance in hemoglobin levels can be explained by the combined effects of the socio-demographic variables. The F-value of 22.41 with degrees of freedom (4, 595) was statistically significant at p &lt; 0.001, confirming that the regression model as a whole is meaningful and valid.</w:t>
      </w:r>
    </w:p>
    <w:p w14:paraId="6499EA96">
      <w:pPr>
        <w:spacing w:after="0" w:line="480" w:lineRule="auto"/>
        <w:jc w:val="both"/>
        <w:rPr>
          <w:rFonts w:ascii="Times New Roman" w:hAnsi="Times New Roman" w:cs="Times New Roman"/>
          <w:color w:val="auto"/>
        </w:rPr>
      </w:pPr>
      <w:r>
        <w:rPr>
          <w:rFonts w:ascii="Times New Roman" w:hAnsi="Times New Roman" w:cs="Times New Roman"/>
          <w:color w:val="auto"/>
        </w:rPr>
        <w:t>Detailed results for each predictor variable are presented in Table 7. The variable age was found to be a significant predictor (B = 0.11, p = 0.006), suggesting that older children tend to have slightly higher hemoglobin levels. Residential area (coded as Urban = 1) was also a significant factor (B = 0.24, p = 0.000), indicating that students living in urban areas generally have higher hemoglobin levels compared to those in rural areas. Maternal education emerged as the strongest predictor among all variables, with a B coefficient of 0.32 and p &lt; 0.001, underscoring the positive impact of a mother’s educational level on her child’s nutritional status.</w:t>
      </w:r>
    </w:p>
    <w:p w14:paraId="7FC97067">
      <w:pPr>
        <w:spacing w:after="0" w:line="480" w:lineRule="auto"/>
        <w:jc w:val="both"/>
        <w:rPr>
          <w:rFonts w:ascii="Times New Roman" w:hAnsi="Times New Roman" w:cs="Times New Roman"/>
          <w:color w:val="auto"/>
        </w:rPr>
      </w:pPr>
      <w:r>
        <w:rPr>
          <w:rFonts w:ascii="Times New Roman" w:hAnsi="Times New Roman" w:cs="Times New Roman"/>
          <w:color w:val="auto"/>
        </w:rPr>
        <w:t>Interestingly, gender (coded as Male = 1) was not found to be a statistically significant predictor (p = 0.112), suggesting no major difference in hemoglobin levels between male and female students in this sample.</w:t>
      </w:r>
    </w:p>
    <w:p w14:paraId="6DEA1F8B">
      <w:pPr>
        <w:spacing w:after="0" w:line="480" w:lineRule="auto"/>
        <w:jc w:val="both"/>
        <w:rPr>
          <w:rFonts w:ascii="Times New Roman" w:hAnsi="Times New Roman" w:cs="Times New Roman"/>
          <w:color w:val="auto"/>
        </w:rPr>
      </w:pPr>
      <w:r>
        <w:rPr>
          <w:rFonts w:ascii="Times New Roman" w:hAnsi="Times New Roman" w:cs="Times New Roman"/>
          <w:color w:val="auto"/>
        </w:rPr>
        <w:t>These results support Hypothesis 2, indicating that socio-demographic characteristics—particularly area of residence, maternal education, and age—have a statistically significant influence on children’s hemoglobin levels and by extension, their anemia status. The findings reinforce the importance of incorporating educational and locality-based components in policy interventions to reduce anemia more effectively.</w:t>
      </w:r>
    </w:p>
    <w:p w14:paraId="50CD144F">
      <w:pPr>
        <w:spacing w:after="0" w:line="480" w:lineRule="auto"/>
        <w:jc w:val="both"/>
        <w:rPr>
          <w:rFonts w:ascii="Times New Roman" w:hAnsi="Times New Roman" w:cs="Times New Roman"/>
          <w:b/>
          <w:bCs/>
          <w:color w:val="auto"/>
        </w:rPr>
      </w:pPr>
      <w:r>
        <w:rPr>
          <w:rFonts w:ascii="Times New Roman" w:hAnsi="Times New Roman" w:cs="Times New Roman"/>
          <w:b/>
          <w:bCs/>
          <w:color w:val="auto"/>
        </w:rPr>
        <w:t>Table 6. Model Summary</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760"/>
        <w:gridCol w:w="2758"/>
        <w:gridCol w:w="3810"/>
      </w:tblGrid>
      <w:tr w14:paraId="3FFB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tcPr>
          <w:p w14:paraId="669106BE">
            <w:pPr>
              <w:spacing w:after="0" w:line="240" w:lineRule="auto"/>
              <w:jc w:val="both"/>
              <w:rPr>
                <w:rFonts w:ascii="Times New Roman" w:hAnsi="Times New Roman" w:cs="Times New Roman"/>
                <w:b/>
                <w:bCs/>
                <w:color w:val="auto"/>
              </w:rPr>
            </w:pPr>
            <w:r>
              <w:rPr>
                <w:rFonts w:ascii="Times New Roman" w:hAnsi="Times New Roman" w:cs="Times New Roman"/>
                <w:b/>
                <w:bCs/>
                <w:color w:val="auto"/>
              </w:rPr>
              <w:t>R²</w:t>
            </w:r>
          </w:p>
        </w:tc>
        <w:tc>
          <w:tcPr>
            <w:tcW w:w="952" w:type="pct"/>
          </w:tcPr>
          <w:p w14:paraId="64BCA460">
            <w:pPr>
              <w:spacing w:after="0" w:line="240" w:lineRule="auto"/>
              <w:jc w:val="both"/>
              <w:rPr>
                <w:rFonts w:ascii="Times New Roman" w:hAnsi="Times New Roman" w:cs="Times New Roman"/>
                <w:b/>
                <w:bCs/>
                <w:color w:val="auto"/>
              </w:rPr>
            </w:pPr>
            <w:r>
              <w:rPr>
                <w:rFonts w:ascii="Times New Roman" w:hAnsi="Times New Roman" w:cs="Times New Roman"/>
                <w:b/>
                <w:bCs/>
                <w:color w:val="auto"/>
              </w:rPr>
              <w:t>Adjusted R²</w:t>
            </w:r>
          </w:p>
        </w:tc>
        <w:tc>
          <w:tcPr>
            <w:tcW w:w="1492" w:type="pct"/>
          </w:tcPr>
          <w:p w14:paraId="33FAF2A8">
            <w:pPr>
              <w:spacing w:after="0" w:line="240" w:lineRule="auto"/>
              <w:jc w:val="both"/>
              <w:rPr>
                <w:rFonts w:ascii="Times New Roman" w:hAnsi="Times New Roman" w:cs="Times New Roman"/>
                <w:b/>
                <w:bCs/>
                <w:color w:val="auto"/>
              </w:rPr>
            </w:pPr>
            <w:r>
              <w:rPr>
                <w:rFonts w:ascii="Times New Roman" w:hAnsi="Times New Roman" w:cs="Times New Roman"/>
                <w:b/>
                <w:bCs/>
                <w:color w:val="auto"/>
              </w:rPr>
              <w:t>F-value (df = 4, 595)</w:t>
            </w:r>
          </w:p>
        </w:tc>
        <w:tc>
          <w:tcPr>
            <w:tcW w:w="2061" w:type="pct"/>
          </w:tcPr>
          <w:p w14:paraId="3D3BF391">
            <w:pPr>
              <w:spacing w:after="0" w:line="240" w:lineRule="auto"/>
              <w:jc w:val="both"/>
              <w:rPr>
                <w:rFonts w:ascii="Times New Roman" w:hAnsi="Times New Roman" w:cs="Times New Roman"/>
                <w:b/>
                <w:bCs/>
                <w:color w:val="auto"/>
              </w:rPr>
            </w:pPr>
            <w:r>
              <w:rPr>
                <w:rFonts w:ascii="Times New Roman" w:hAnsi="Times New Roman" w:cs="Times New Roman"/>
                <w:b/>
                <w:bCs/>
                <w:color w:val="auto"/>
              </w:rPr>
              <w:t>Model Significance (p-value)</w:t>
            </w:r>
          </w:p>
        </w:tc>
      </w:tr>
      <w:tr w14:paraId="0128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tcPr>
          <w:p w14:paraId="3E013307">
            <w:pPr>
              <w:spacing w:after="0" w:line="240" w:lineRule="auto"/>
              <w:jc w:val="both"/>
              <w:rPr>
                <w:rFonts w:ascii="Times New Roman" w:hAnsi="Times New Roman" w:cs="Times New Roman"/>
                <w:color w:val="auto"/>
              </w:rPr>
            </w:pPr>
            <w:r>
              <w:rPr>
                <w:rFonts w:ascii="Times New Roman" w:hAnsi="Times New Roman" w:cs="Times New Roman"/>
                <w:color w:val="auto"/>
              </w:rPr>
              <w:t>0.218</w:t>
            </w:r>
          </w:p>
        </w:tc>
        <w:tc>
          <w:tcPr>
            <w:tcW w:w="952" w:type="pct"/>
          </w:tcPr>
          <w:p w14:paraId="4F0F6F41">
            <w:pPr>
              <w:spacing w:after="0" w:line="240" w:lineRule="auto"/>
              <w:jc w:val="both"/>
              <w:rPr>
                <w:rFonts w:ascii="Times New Roman" w:hAnsi="Times New Roman" w:cs="Times New Roman"/>
                <w:color w:val="auto"/>
              </w:rPr>
            </w:pPr>
            <w:r>
              <w:rPr>
                <w:rFonts w:ascii="Times New Roman" w:hAnsi="Times New Roman" w:cs="Times New Roman"/>
                <w:color w:val="auto"/>
              </w:rPr>
              <w:t>0.213</w:t>
            </w:r>
          </w:p>
        </w:tc>
        <w:tc>
          <w:tcPr>
            <w:tcW w:w="1492" w:type="pct"/>
          </w:tcPr>
          <w:p w14:paraId="1E2BF70B">
            <w:pPr>
              <w:spacing w:after="0" w:line="240" w:lineRule="auto"/>
              <w:jc w:val="both"/>
              <w:rPr>
                <w:rFonts w:ascii="Times New Roman" w:hAnsi="Times New Roman" w:cs="Times New Roman"/>
                <w:color w:val="auto"/>
              </w:rPr>
            </w:pPr>
            <w:r>
              <w:rPr>
                <w:rFonts w:ascii="Times New Roman" w:hAnsi="Times New Roman" w:cs="Times New Roman"/>
                <w:color w:val="auto"/>
              </w:rPr>
              <w:t>22.41</w:t>
            </w:r>
          </w:p>
        </w:tc>
        <w:tc>
          <w:tcPr>
            <w:tcW w:w="2061" w:type="pct"/>
          </w:tcPr>
          <w:p w14:paraId="17B12017">
            <w:pPr>
              <w:spacing w:after="0" w:line="240" w:lineRule="auto"/>
              <w:jc w:val="both"/>
              <w:rPr>
                <w:rFonts w:ascii="Times New Roman" w:hAnsi="Times New Roman" w:cs="Times New Roman"/>
                <w:color w:val="auto"/>
              </w:rPr>
            </w:pPr>
            <w:r>
              <w:rPr>
                <w:rFonts w:ascii="Times New Roman" w:hAnsi="Times New Roman" w:cs="Times New Roman"/>
                <w:color w:val="auto"/>
              </w:rPr>
              <w:t>&lt; 0.001</w:t>
            </w:r>
          </w:p>
        </w:tc>
      </w:tr>
    </w:tbl>
    <w:p w14:paraId="0894D571">
      <w:pPr>
        <w:spacing w:after="0" w:line="480" w:lineRule="auto"/>
        <w:jc w:val="both"/>
        <w:rPr>
          <w:rFonts w:ascii="Times New Roman" w:hAnsi="Times New Roman" w:cs="Times New Roman"/>
          <w:color w:val="auto"/>
        </w:rPr>
      </w:pPr>
    </w:p>
    <w:p w14:paraId="62B313EA">
      <w:pPr>
        <w:spacing w:after="0" w:line="480" w:lineRule="auto"/>
        <w:jc w:val="both"/>
        <w:rPr>
          <w:rFonts w:ascii="Times New Roman" w:hAnsi="Times New Roman" w:cs="Times New Roman"/>
          <w:b/>
          <w:bCs/>
          <w:color w:val="auto"/>
        </w:rPr>
      </w:pPr>
    </w:p>
    <w:p w14:paraId="79767D8D">
      <w:pPr>
        <w:spacing w:after="0" w:line="480" w:lineRule="auto"/>
        <w:jc w:val="both"/>
        <w:rPr>
          <w:rFonts w:ascii="Times New Roman" w:hAnsi="Times New Roman" w:cs="Times New Roman"/>
          <w:b/>
          <w:bCs/>
          <w:color w:val="auto"/>
        </w:rPr>
      </w:pPr>
    </w:p>
    <w:p w14:paraId="7ECCC46C">
      <w:pPr>
        <w:spacing w:after="0" w:line="480" w:lineRule="auto"/>
        <w:jc w:val="both"/>
        <w:rPr>
          <w:rFonts w:ascii="Times New Roman" w:hAnsi="Times New Roman" w:cs="Times New Roman"/>
          <w:b/>
          <w:bCs/>
          <w:color w:val="auto"/>
        </w:rPr>
      </w:pPr>
      <w:r>
        <w:rPr>
          <w:rFonts w:ascii="Times New Roman" w:hAnsi="Times New Roman" w:cs="Times New Roman"/>
          <w:b/>
          <w:bCs/>
          <w:color w:val="auto"/>
        </w:rPr>
        <w:t>Table 7. Multiple Linear Regression: Socio-Demographic Predictors of Hemoglobin Levels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2850"/>
        <w:gridCol w:w="2773"/>
        <w:gridCol w:w="862"/>
        <w:gridCol w:w="996"/>
      </w:tblGrid>
      <w:tr w14:paraId="2B89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8240C40">
            <w:pPr>
              <w:spacing w:after="0" w:line="240" w:lineRule="auto"/>
              <w:rPr>
                <w:rFonts w:ascii="Times New Roman" w:hAnsi="Times New Roman" w:cs="Times New Roman"/>
                <w:b/>
                <w:bCs/>
                <w:color w:val="auto"/>
              </w:rPr>
            </w:pPr>
            <w:r>
              <w:rPr>
                <w:rFonts w:ascii="Times New Roman" w:hAnsi="Times New Roman" w:cs="Times New Roman"/>
                <w:b/>
                <w:bCs/>
                <w:color w:val="auto"/>
              </w:rPr>
              <w:t>Predictor Variable</w:t>
            </w:r>
          </w:p>
        </w:tc>
        <w:tc>
          <w:tcPr>
            <w:tcW w:w="0" w:type="auto"/>
          </w:tcPr>
          <w:p w14:paraId="29F6D7BB">
            <w:pPr>
              <w:spacing w:after="0" w:line="240" w:lineRule="auto"/>
              <w:rPr>
                <w:rFonts w:ascii="Times New Roman" w:hAnsi="Times New Roman" w:cs="Times New Roman"/>
                <w:b/>
                <w:bCs/>
                <w:color w:val="auto"/>
              </w:rPr>
            </w:pPr>
            <w:r>
              <w:rPr>
                <w:rFonts w:ascii="Times New Roman" w:hAnsi="Times New Roman" w:cs="Times New Roman"/>
                <w:b/>
                <w:bCs/>
                <w:color w:val="auto"/>
              </w:rPr>
              <w:t>B (Unstandardized Coefficient)</w:t>
            </w:r>
          </w:p>
        </w:tc>
        <w:tc>
          <w:tcPr>
            <w:tcW w:w="0" w:type="auto"/>
          </w:tcPr>
          <w:p w14:paraId="7DBEF620">
            <w:pPr>
              <w:spacing w:after="0" w:line="240" w:lineRule="auto"/>
              <w:rPr>
                <w:rFonts w:ascii="Times New Roman" w:hAnsi="Times New Roman" w:cs="Times New Roman"/>
                <w:b/>
                <w:bCs/>
                <w:color w:val="auto"/>
              </w:rPr>
            </w:pPr>
            <w:r>
              <w:rPr>
                <w:rFonts w:ascii="Times New Roman" w:hAnsi="Times New Roman" w:cs="Times New Roman"/>
                <w:b/>
                <w:bCs/>
                <w:color w:val="auto"/>
              </w:rPr>
              <w:t>Beta (Standardized Coefficient)</w:t>
            </w:r>
          </w:p>
        </w:tc>
        <w:tc>
          <w:tcPr>
            <w:tcW w:w="0" w:type="auto"/>
          </w:tcPr>
          <w:p w14:paraId="21F5179F">
            <w:pPr>
              <w:spacing w:after="0" w:line="240" w:lineRule="auto"/>
              <w:rPr>
                <w:rFonts w:ascii="Times New Roman" w:hAnsi="Times New Roman" w:cs="Times New Roman"/>
                <w:b/>
                <w:bCs/>
                <w:color w:val="auto"/>
              </w:rPr>
            </w:pPr>
            <w:r>
              <w:rPr>
                <w:rFonts w:ascii="Times New Roman" w:hAnsi="Times New Roman" w:cs="Times New Roman"/>
                <w:b/>
                <w:bCs/>
                <w:color w:val="auto"/>
              </w:rPr>
              <w:t>t-value</w:t>
            </w:r>
          </w:p>
        </w:tc>
        <w:tc>
          <w:tcPr>
            <w:tcW w:w="0" w:type="auto"/>
          </w:tcPr>
          <w:p w14:paraId="5297FB1D">
            <w:pPr>
              <w:spacing w:after="0" w:line="240" w:lineRule="auto"/>
              <w:rPr>
                <w:rFonts w:ascii="Times New Roman" w:hAnsi="Times New Roman" w:cs="Times New Roman"/>
                <w:b/>
                <w:bCs/>
                <w:color w:val="auto"/>
              </w:rPr>
            </w:pPr>
            <w:r>
              <w:rPr>
                <w:rFonts w:ascii="Times New Roman" w:hAnsi="Times New Roman" w:cs="Times New Roman"/>
                <w:b/>
                <w:bCs/>
                <w:color w:val="auto"/>
              </w:rPr>
              <w:t>p-value</w:t>
            </w:r>
          </w:p>
        </w:tc>
      </w:tr>
      <w:tr w14:paraId="3B0A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F08B78">
            <w:pPr>
              <w:spacing w:after="0" w:line="240" w:lineRule="auto"/>
              <w:rPr>
                <w:rFonts w:ascii="Times New Roman" w:hAnsi="Times New Roman" w:cs="Times New Roman"/>
                <w:color w:val="auto"/>
              </w:rPr>
            </w:pPr>
            <w:r>
              <w:rPr>
                <w:rFonts w:ascii="Times New Roman" w:hAnsi="Times New Roman" w:cs="Times New Roman"/>
                <w:color w:val="auto"/>
              </w:rPr>
              <w:t>Age (in years)</w:t>
            </w:r>
          </w:p>
        </w:tc>
        <w:tc>
          <w:tcPr>
            <w:tcW w:w="0" w:type="auto"/>
          </w:tcPr>
          <w:p w14:paraId="3723521C">
            <w:pPr>
              <w:spacing w:after="0" w:line="240" w:lineRule="auto"/>
              <w:rPr>
                <w:rFonts w:ascii="Times New Roman" w:hAnsi="Times New Roman" w:cs="Times New Roman"/>
                <w:color w:val="auto"/>
              </w:rPr>
            </w:pPr>
            <w:r>
              <w:rPr>
                <w:rFonts w:ascii="Times New Roman" w:hAnsi="Times New Roman" w:cs="Times New Roman"/>
                <w:color w:val="auto"/>
              </w:rPr>
              <w:t>0.11</w:t>
            </w:r>
          </w:p>
        </w:tc>
        <w:tc>
          <w:tcPr>
            <w:tcW w:w="0" w:type="auto"/>
          </w:tcPr>
          <w:p w14:paraId="6111DC01">
            <w:pPr>
              <w:spacing w:after="0" w:line="240" w:lineRule="auto"/>
              <w:rPr>
                <w:rFonts w:ascii="Times New Roman" w:hAnsi="Times New Roman" w:cs="Times New Roman"/>
                <w:color w:val="auto"/>
              </w:rPr>
            </w:pPr>
            <w:r>
              <w:rPr>
                <w:rFonts w:ascii="Times New Roman" w:hAnsi="Times New Roman" w:cs="Times New Roman"/>
                <w:color w:val="auto"/>
              </w:rPr>
              <w:t>0.13</w:t>
            </w:r>
          </w:p>
        </w:tc>
        <w:tc>
          <w:tcPr>
            <w:tcW w:w="0" w:type="auto"/>
          </w:tcPr>
          <w:p w14:paraId="0531F86B">
            <w:pPr>
              <w:spacing w:after="0" w:line="240" w:lineRule="auto"/>
              <w:rPr>
                <w:rFonts w:ascii="Times New Roman" w:hAnsi="Times New Roman" w:cs="Times New Roman"/>
                <w:color w:val="auto"/>
              </w:rPr>
            </w:pPr>
            <w:r>
              <w:rPr>
                <w:rFonts w:ascii="Times New Roman" w:hAnsi="Times New Roman" w:cs="Times New Roman"/>
                <w:color w:val="auto"/>
              </w:rPr>
              <w:t>2.75</w:t>
            </w:r>
          </w:p>
        </w:tc>
        <w:tc>
          <w:tcPr>
            <w:tcW w:w="0" w:type="auto"/>
          </w:tcPr>
          <w:p w14:paraId="6913E37B">
            <w:pPr>
              <w:spacing w:after="0" w:line="240" w:lineRule="auto"/>
              <w:rPr>
                <w:rFonts w:ascii="Times New Roman" w:hAnsi="Times New Roman" w:cs="Times New Roman"/>
                <w:color w:val="auto"/>
              </w:rPr>
            </w:pPr>
            <w:r>
              <w:rPr>
                <w:rFonts w:ascii="Times New Roman" w:hAnsi="Times New Roman" w:cs="Times New Roman"/>
                <w:color w:val="auto"/>
              </w:rPr>
              <w:t>0.006*</w:t>
            </w:r>
          </w:p>
        </w:tc>
      </w:tr>
      <w:tr w14:paraId="3EF6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2289AB">
            <w:pPr>
              <w:spacing w:after="0" w:line="240" w:lineRule="auto"/>
              <w:rPr>
                <w:rFonts w:ascii="Times New Roman" w:hAnsi="Times New Roman" w:cs="Times New Roman"/>
                <w:color w:val="auto"/>
              </w:rPr>
            </w:pPr>
            <w:r>
              <w:rPr>
                <w:rFonts w:ascii="Times New Roman" w:hAnsi="Times New Roman" w:cs="Times New Roman"/>
                <w:color w:val="auto"/>
              </w:rPr>
              <w:t>Gender (Male = 1)</w:t>
            </w:r>
          </w:p>
        </w:tc>
        <w:tc>
          <w:tcPr>
            <w:tcW w:w="0" w:type="auto"/>
          </w:tcPr>
          <w:p w14:paraId="2D08324C">
            <w:pPr>
              <w:spacing w:after="0" w:line="240" w:lineRule="auto"/>
              <w:rPr>
                <w:rFonts w:ascii="Times New Roman" w:hAnsi="Times New Roman" w:cs="Times New Roman"/>
                <w:color w:val="auto"/>
              </w:rPr>
            </w:pPr>
            <w:r>
              <w:rPr>
                <w:rFonts w:ascii="Times New Roman" w:hAnsi="Times New Roman" w:cs="Times New Roman"/>
                <w:color w:val="auto"/>
              </w:rPr>
              <w:t>0.08</w:t>
            </w:r>
          </w:p>
        </w:tc>
        <w:tc>
          <w:tcPr>
            <w:tcW w:w="0" w:type="auto"/>
          </w:tcPr>
          <w:p w14:paraId="2E7E6AE6">
            <w:pPr>
              <w:spacing w:after="0" w:line="240" w:lineRule="auto"/>
              <w:rPr>
                <w:rFonts w:ascii="Times New Roman" w:hAnsi="Times New Roman" w:cs="Times New Roman"/>
                <w:color w:val="auto"/>
              </w:rPr>
            </w:pPr>
            <w:r>
              <w:rPr>
                <w:rFonts w:ascii="Times New Roman" w:hAnsi="Times New Roman" w:cs="Times New Roman"/>
                <w:color w:val="auto"/>
              </w:rPr>
              <w:t>0.07</w:t>
            </w:r>
          </w:p>
        </w:tc>
        <w:tc>
          <w:tcPr>
            <w:tcW w:w="0" w:type="auto"/>
          </w:tcPr>
          <w:p w14:paraId="42D7B280">
            <w:pPr>
              <w:spacing w:after="0" w:line="240" w:lineRule="auto"/>
              <w:rPr>
                <w:rFonts w:ascii="Times New Roman" w:hAnsi="Times New Roman" w:cs="Times New Roman"/>
                <w:color w:val="auto"/>
              </w:rPr>
            </w:pPr>
            <w:r>
              <w:rPr>
                <w:rFonts w:ascii="Times New Roman" w:hAnsi="Times New Roman" w:cs="Times New Roman"/>
                <w:color w:val="auto"/>
              </w:rPr>
              <w:t>1.59</w:t>
            </w:r>
          </w:p>
        </w:tc>
        <w:tc>
          <w:tcPr>
            <w:tcW w:w="0" w:type="auto"/>
          </w:tcPr>
          <w:p w14:paraId="67E7B423">
            <w:pPr>
              <w:spacing w:after="0" w:line="240" w:lineRule="auto"/>
              <w:rPr>
                <w:rFonts w:ascii="Times New Roman" w:hAnsi="Times New Roman" w:cs="Times New Roman"/>
                <w:color w:val="auto"/>
              </w:rPr>
            </w:pPr>
            <w:r>
              <w:rPr>
                <w:rFonts w:ascii="Times New Roman" w:hAnsi="Times New Roman" w:cs="Times New Roman"/>
                <w:color w:val="auto"/>
              </w:rPr>
              <w:t>0.112</w:t>
            </w:r>
          </w:p>
        </w:tc>
      </w:tr>
      <w:tr w14:paraId="03F2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1ECBB90">
            <w:pPr>
              <w:spacing w:after="0" w:line="240" w:lineRule="auto"/>
              <w:rPr>
                <w:rFonts w:ascii="Times New Roman" w:hAnsi="Times New Roman" w:cs="Times New Roman"/>
                <w:color w:val="auto"/>
              </w:rPr>
            </w:pPr>
            <w:r>
              <w:rPr>
                <w:rFonts w:ascii="Times New Roman" w:hAnsi="Times New Roman" w:cs="Times New Roman"/>
                <w:color w:val="auto"/>
              </w:rPr>
              <w:t>Area (Urban = 1)</w:t>
            </w:r>
          </w:p>
        </w:tc>
        <w:tc>
          <w:tcPr>
            <w:tcW w:w="0" w:type="auto"/>
          </w:tcPr>
          <w:p w14:paraId="41E4342A">
            <w:pPr>
              <w:spacing w:after="0" w:line="240" w:lineRule="auto"/>
              <w:rPr>
                <w:rFonts w:ascii="Times New Roman" w:hAnsi="Times New Roman" w:cs="Times New Roman"/>
                <w:color w:val="auto"/>
              </w:rPr>
            </w:pPr>
            <w:r>
              <w:rPr>
                <w:rFonts w:ascii="Times New Roman" w:hAnsi="Times New Roman" w:cs="Times New Roman"/>
                <w:color w:val="auto"/>
              </w:rPr>
              <w:t>0.24</w:t>
            </w:r>
          </w:p>
        </w:tc>
        <w:tc>
          <w:tcPr>
            <w:tcW w:w="0" w:type="auto"/>
          </w:tcPr>
          <w:p w14:paraId="6AB21994">
            <w:pPr>
              <w:spacing w:after="0" w:line="240" w:lineRule="auto"/>
              <w:rPr>
                <w:rFonts w:ascii="Times New Roman" w:hAnsi="Times New Roman" w:cs="Times New Roman"/>
                <w:color w:val="auto"/>
              </w:rPr>
            </w:pPr>
            <w:r>
              <w:rPr>
                <w:rFonts w:ascii="Times New Roman" w:hAnsi="Times New Roman" w:cs="Times New Roman"/>
                <w:color w:val="auto"/>
              </w:rPr>
              <w:t>0.18</w:t>
            </w:r>
          </w:p>
        </w:tc>
        <w:tc>
          <w:tcPr>
            <w:tcW w:w="0" w:type="auto"/>
          </w:tcPr>
          <w:p w14:paraId="4D8C394D">
            <w:pPr>
              <w:spacing w:after="0" w:line="240" w:lineRule="auto"/>
              <w:rPr>
                <w:rFonts w:ascii="Times New Roman" w:hAnsi="Times New Roman" w:cs="Times New Roman"/>
                <w:color w:val="auto"/>
              </w:rPr>
            </w:pPr>
            <w:r>
              <w:rPr>
                <w:rFonts w:ascii="Times New Roman" w:hAnsi="Times New Roman" w:cs="Times New Roman"/>
                <w:color w:val="auto"/>
              </w:rPr>
              <w:t>3.64</w:t>
            </w:r>
          </w:p>
        </w:tc>
        <w:tc>
          <w:tcPr>
            <w:tcW w:w="0" w:type="auto"/>
          </w:tcPr>
          <w:p w14:paraId="177F2674">
            <w:pPr>
              <w:spacing w:after="0" w:line="240" w:lineRule="auto"/>
              <w:rPr>
                <w:rFonts w:ascii="Times New Roman" w:hAnsi="Times New Roman" w:cs="Times New Roman"/>
                <w:color w:val="auto"/>
              </w:rPr>
            </w:pPr>
            <w:r>
              <w:rPr>
                <w:rFonts w:ascii="Times New Roman" w:hAnsi="Times New Roman" w:cs="Times New Roman"/>
                <w:color w:val="auto"/>
              </w:rPr>
              <w:t>0.000**</w:t>
            </w:r>
          </w:p>
        </w:tc>
      </w:tr>
      <w:tr w14:paraId="152A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72FE04A">
            <w:pPr>
              <w:spacing w:after="0" w:line="240" w:lineRule="auto"/>
              <w:rPr>
                <w:rFonts w:ascii="Times New Roman" w:hAnsi="Times New Roman" w:cs="Times New Roman"/>
                <w:color w:val="auto"/>
              </w:rPr>
            </w:pPr>
            <w:r>
              <w:rPr>
                <w:rFonts w:ascii="Times New Roman" w:hAnsi="Times New Roman" w:cs="Times New Roman"/>
                <w:color w:val="auto"/>
              </w:rPr>
              <w:t>Maternal Education</w:t>
            </w:r>
          </w:p>
        </w:tc>
        <w:tc>
          <w:tcPr>
            <w:tcW w:w="0" w:type="auto"/>
          </w:tcPr>
          <w:p w14:paraId="22BC3C91">
            <w:pPr>
              <w:spacing w:after="0" w:line="240" w:lineRule="auto"/>
              <w:rPr>
                <w:rFonts w:ascii="Times New Roman" w:hAnsi="Times New Roman" w:cs="Times New Roman"/>
                <w:color w:val="auto"/>
              </w:rPr>
            </w:pPr>
            <w:r>
              <w:rPr>
                <w:rFonts w:ascii="Times New Roman" w:hAnsi="Times New Roman" w:cs="Times New Roman"/>
                <w:color w:val="auto"/>
              </w:rPr>
              <w:t>0.32</w:t>
            </w:r>
          </w:p>
        </w:tc>
        <w:tc>
          <w:tcPr>
            <w:tcW w:w="0" w:type="auto"/>
          </w:tcPr>
          <w:p w14:paraId="2A6C5DAB">
            <w:pPr>
              <w:spacing w:after="0" w:line="240" w:lineRule="auto"/>
              <w:rPr>
                <w:rFonts w:ascii="Times New Roman" w:hAnsi="Times New Roman" w:cs="Times New Roman"/>
                <w:color w:val="auto"/>
              </w:rPr>
            </w:pPr>
            <w:r>
              <w:rPr>
                <w:rFonts w:ascii="Times New Roman" w:hAnsi="Times New Roman" w:cs="Times New Roman"/>
                <w:color w:val="auto"/>
              </w:rPr>
              <w:t>0.22</w:t>
            </w:r>
          </w:p>
        </w:tc>
        <w:tc>
          <w:tcPr>
            <w:tcW w:w="0" w:type="auto"/>
          </w:tcPr>
          <w:p w14:paraId="1A523E8B">
            <w:pPr>
              <w:spacing w:after="0" w:line="240" w:lineRule="auto"/>
              <w:rPr>
                <w:rFonts w:ascii="Times New Roman" w:hAnsi="Times New Roman" w:cs="Times New Roman"/>
                <w:color w:val="auto"/>
              </w:rPr>
            </w:pPr>
            <w:r>
              <w:rPr>
                <w:rFonts w:ascii="Times New Roman" w:hAnsi="Times New Roman" w:cs="Times New Roman"/>
                <w:color w:val="auto"/>
              </w:rPr>
              <w:t>4.21</w:t>
            </w:r>
          </w:p>
        </w:tc>
        <w:tc>
          <w:tcPr>
            <w:tcW w:w="0" w:type="auto"/>
          </w:tcPr>
          <w:p w14:paraId="603610AB">
            <w:pPr>
              <w:spacing w:after="0" w:line="240" w:lineRule="auto"/>
              <w:rPr>
                <w:rFonts w:ascii="Times New Roman" w:hAnsi="Times New Roman" w:cs="Times New Roman"/>
                <w:color w:val="auto"/>
              </w:rPr>
            </w:pPr>
            <w:r>
              <w:rPr>
                <w:rFonts w:ascii="Times New Roman" w:hAnsi="Times New Roman" w:cs="Times New Roman"/>
                <w:color w:val="auto"/>
              </w:rPr>
              <w:t>0.000**</w:t>
            </w:r>
          </w:p>
        </w:tc>
      </w:tr>
      <w:tr w14:paraId="5869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443E72">
            <w:pPr>
              <w:spacing w:after="0" w:line="240" w:lineRule="auto"/>
              <w:rPr>
                <w:rFonts w:ascii="Times New Roman" w:hAnsi="Times New Roman" w:cs="Times New Roman"/>
                <w:color w:val="auto"/>
              </w:rPr>
            </w:pPr>
            <w:r>
              <w:rPr>
                <w:rFonts w:ascii="Times New Roman" w:hAnsi="Times New Roman" w:cs="Times New Roman"/>
                <w:b/>
                <w:bCs/>
                <w:color w:val="auto"/>
              </w:rPr>
              <w:t>Constant</w:t>
            </w:r>
          </w:p>
        </w:tc>
        <w:tc>
          <w:tcPr>
            <w:tcW w:w="0" w:type="auto"/>
          </w:tcPr>
          <w:p w14:paraId="191C50C4">
            <w:pPr>
              <w:spacing w:after="0" w:line="240" w:lineRule="auto"/>
              <w:rPr>
                <w:rFonts w:ascii="Times New Roman" w:hAnsi="Times New Roman" w:cs="Times New Roman"/>
                <w:color w:val="auto"/>
              </w:rPr>
            </w:pPr>
            <w:r>
              <w:rPr>
                <w:rFonts w:ascii="Times New Roman" w:hAnsi="Times New Roman" w:cs="Times New Roman"/>
                <w:b/>
                <w:bCs/>
                <w:color w:val="auto"/>
              </w:rPr>
              <w:t>9.15</w:t>
            </w:r>
          </w:p>
        </w:tc>
        <w:tc>
          <w:tcPr>
            <w:tcW w:w="0" w:type="auto"/>
          </w:tcPr>
          <w:p w14:paraId="6E532F44">
            <w:pPr>
              <w:spacing w:after="0" w:line="240" w:lineRule="auto"/>
              <w:rPr>
                <w:rFonts w:ascii="Times New Roman" w:hAnsi="Times New Roman" w:cs="Times New Roman"/>
                <w:color w:val="auto"/>
              </w:rPr>
            </w:pPr>
          </w:p>
        </w:tc>
        <w:tc>
          <w:tcPr>
            <w:tcW w:w="0" w:type="auto"/>
          </w:tcPr>
          <w:p w14:paraId="08492929">
            <w:pPr>
              <w:spacing w:after="0" w:line="240" w:lineRule="auto"/>
              <w:rPr>
                <w:rFonts w:ascii="Times New Roman" w:hAnsi="Times New Roman" w:cs="Times New Roman"/>
                <w:color w:val="auto"/>
              </w:rPr>
            </w:pPr>
          </w:p>
        </w:tc>
        <w:tc>
          <w:tcPr>
            <w:tcW w:w="0" w:type="auto"/>
          </w:tcPr>
          <w:p w14:paraId="79BCBB45">
            <w:pPr>
              <w:spacing w:after="0" w:line="240" w:lineRule="auto"/>
              <w:rPr>
                <w:rFonts w:ascii="Times New Roman" w:hAnsi="Times New Roman" w:cs="Times New Roman"/>
                <w:color w:val="auto"/>
              </w:rPr>
            </w:pPr>
          </w:p>
        </w:tc>
      </w:tr>
    </w:tbl>
    <w:p w14:paraId="5F02908C">
      <w:pPr>
        <w:spacing w:after="0" w:line="480" w:lineRule="auto"/>
        <w:jc w:val="both"/>
        <w:rPr>
          <w:rFonts w:ascii="Times New Roman" w:hAnsi="Times New Roman" w:cs="Times New Roman"/>
          <w:color w:val="auto"/>
        </w:rPr>
      </w:pPr>
    </w:p>
    <w:p w14:paraId="3577C6AA">
      <w:pPr>
        <w:spacing w:after="0" w:line="480" w:lineRule="auto"/>
        <w:jc w:val="both"/>
        <w:rPr>
          <w:rFonts w:ascii="Times New Roman" w:hAnsi="Times New Roman" w:cs="Times New Roman"/>
          <w:b/>
          <w:bCs/>
          <w:color w:val="auto"/>
        </w:rPr>
      </w:pPr>
      <w:r>
        <w:rPr>
          <w:rFonts w:ascii="Times New Roman" w:hAnsi="Times New Roman" w:cs="Times New Roman"/>
          <w:b/>
          <w:bCs/>
          <w:color w:val="auto"/>
        </w:rPr>
        <w:t>4.3.3 Results of Hypothesis 3</w:t>
      </w:r>
    </w:p>
    <w:p w14:paraId="4D2CEEBF">
      <w:pPr>
        <w:spacing w:after="0" w:line="480" w:lineRule="auto"/>
        <w:jc w:val="both"/>
        <w:rPr>
          <w:rFonts w:ascii="Times New Roman" w:hAnsi="Times New Roman" w:cs="Times New Roman"/>
          <w:color w:val="auto"/>
        </w:rPr>
      </w:pPr>
      <w:r>
        <w:rPr>
          <w:rFonts w:ascii="Times New Roman" w:hAnsi="Times New Roman" w:cs="Times New Roman"/>
          <w:color w:val="auto"/>
        </w:rPr>
        <w:t>Hypothesis 3 (H3) proposed that there is a significant association between anemia and malnutrition. To examine this relationship, a Pearson correlation analysis was conducted between hemoglobin levels and Body Mass Index (BMI) among the 600 primary school students. These two variables were selected as continuous indicators representing anemia and nutritional status, respectively.</w:t>
      </w:r>
    </w:p>
    <w:p w14:paraId="4FCFF944">
      <w:pPr>
        <w:spacing w:after="0" w:line="480" w:lineRule="auto"/>
        <w:jc w:val="both"/>
        <w:rPr>
          <w:rFonts w:ascii="Times New Roman" w:hAnsi="Times New Roman" w:cs="Times New Roman"/>
          <w:color w:val="auto"/>
        </w:rPr>
      </w:pPr>
      <w:r>
        <w:rPr>
          <w:rFonts w:ascii="Times New Roman" w:hAnsi="Times New Roman" w:cs="Times New Roman"/>
          <w:color w:val="auto"/>
        </w:rPr>
        <w:t>As shown in Table 8, the mean hemoglobin level of the sample was 10.3 g/dL with a standard deviation (SD) of 1.5, and the mean BMI was 16.8 kg/m² with an SD of 2.1. The analysis produced a Pearson correlation coefficient (r) of 0.41, with a p-value of 0.000, which is highly significant (p &lt; 0.001).</w:t>
      </w:r>
    </w:p>
    <w:p w14:paraId="789A8469">
      <w:pPr>
        <w:spacing w:after="0" w:line="480" w:lineRule="auto"/>
        <w:jc w:val="both"/>
        <w:rPr>
          <w:rFonts w:ascii="Times New Roman" w:hAnsi="Times New Roman" w:cs="Times New Roman"/>
          <w:color w:val="auto"/>
        </w:rPr>
      </w:pPr>
      <w:r>
        <w:rPr>
          <w:rFonts w:ascii="Times New Roman" w:hAnsi="Times New Roman" w:cs="Times New Roman"/>
          <w:color w:val="auto"/>
        </w:rPr>
        <w:t>This statistically significant positive correlation suggests that higher BMI is associated with higher hemoglobin levels, and conversely, that undernourished children tend to be more anemic. Although the correlation is moderate in strength, it is meaningful in the context of child health, as it affirms the interrelationship between nutritional status and anemia. Therefore, this finding supports Hypothesis 3, highlighting the importance of addressing malnutrition as a strategy for reducing anemia prevalence in school-aged children.</w:t>
      </w:r>
    </w:p>
    <w:p w14:paraId="54F0450A">
      <w:pPr>
        <w:spacing w:after="0" w:line="480" w:lineRule="auto"/>
        <w:rPr>
          <w:rFonts w:ascii="Times New Roman" w:hAnsi="Times New Roman" w:cs="Times New Roman"/>
          <w:b/>
          <w:bCs/>
          <w:color w:val="auto"/>
        </w:rPr>
      </w:pPr>
    </w:p>
    <w:p w14:paraId="6B3084F7">
      <w:pPr>
        <w:spacing w:after="0" w:line="480" w:lineRule="auto"/>
        <w:rPr>
          <w:rFonts w:ascii="Times New Roman" w:hAnsi="Times New Roman" w:cs="Times New Roman"/>
          <w:color w:val="auto"/>
        </w:rPr>
      </w:pPr>
      <w:r>
        <w:rPr>
          <w:rFonts w:ascii="Times New Roman" w:hAnsi="Times New Roman" w:cs="Times New Roman"/>
          <w:b/>
          <w:bCs/>
          <w:color w:val="auto"/>
        </w:rPr>
        <w:t>Table 8. Correlation between Anemia and Malnutrition (BMI)</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7"/>
        <w:gridCol w:w="1275"/>
        <w:gridCol w:w="843"/>
        <w:gridCol w:w="2213"/>
        <w:gridCol w:w="1614"/>
      </w:tblGrid>
      <w:tr w14:paraId="2535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pct"/>
          </w:tcPr>
          <w:p w14:paraId="03AF3316">
            <w:pPr>
              <w:spacing w:after="0" w:line="240" w:lineRule="auto"/>
              <w:rPr>
                <w:rFonts w:ascii="Times New Roman" w:hAnsi="Times New Roman" w:cs="Times New Roman"/>
                <w:b/>
                <w:bCs/>
                <w:color w:val="auto"/>
              </w:rPr>
            </w:pPr>
            <w:r>
              <w:rPr>
                <w:rFonts w:ascii="Times New Roman" w:hAnsi="Times New Roman" w:cs="Times New Roman"/>
                <w:b/>
                <w:bCs/>
                <w:color w:val="auto"/>
              </w:rPr>
              <w:t>Variables</w:t>
            </w:r>
          </w:p>
        </w:tc>
        <w:tc>
          <w:tcPr>
            <w:tcW w:w="690" w:type="pct"/>
          </w:tcPr>
          <w:p w14:paraId="73478065">
            <w:pPr>
              <w:spacing w:after="0" w:line="240" w:lineRule="auto"/>
              <w:rPr>
                <w:rFonts w:ascii="Times New Roman" w:hAnsi="Times New Roman" w:cs="Times New Roman"/>
                <w:b/>
                <w:bCs/>
                <w:color w:val="auto"/>
              </w:rPr>
            </w:pPr>
            <w:r>
              <w:rPr>
                <w:rFonts w:ascii="Times New Roman" w:hAnsi="Times New Roman" w:cs="Times New Roman"/>
                <w:b/>
                <w:bCs/>
                <w:color w:val="auto"/>
              </w:rPr>
              <w:t>Mean</w:t>
            </w:r>
          </w:p>
        </w:tc>
        <w:tc>
          <w:tcPr>
            <w:tcW w:w="456" w:type="pct"/>
          </w:tcPr>
          <w:p w14:paraId="1915A5BE">
            <w:pPr>
              <w:spacing w:after="0" w:line="240" w:lineRule="auto"/>
              <w:rPr>
                <w:rFonts w:ascii="Times New Roman" w:hAnsi="Times New Roman" w:cs="Times New Roman"/>
                <w:b/>
                <w:bCs/>
                <w:color w:val="auto"/>
              </w:rPr>
            </w:pPr>
            <w:r>
              <w:rPr>
                <w:rFonts w:ascii="Times New Roman" w:hAnsi="Times New Roman" w:cs="Times New Roman"/>
                <w:b/>
                <w:bCs/>
                <w:color w:val="auto"/>
              </w:rPr>
              <w:t>SD</w:t>
            </w:r>
          </w:p>
        </w:tc>
        <w:tc>
          <w:tcPr>
            <w:tcW w:w="1197" w:type="pct"/>
          </w:tcPr>
          <w:p w14:paraId="6E843805">
            <w:pPr>
              <w:spacing w:after="0" w:line="240" w:lineRule="auto"/>
              <w:rPr>
                <w:rFonts w:ascii="Times New Roman" w:hAnsi="Times New Roman" w:cs="Times New Roman"/>
                <w:b/>
                <w:bCs/>
                <w:color w:val="auto"/>
              </w:rPr>
            </w:pPr>
            <w:r>
              <w:rPr>
                <w:rFonts w:ascii="Times New Roman" w:hAnsi="Times New Roman" w:cs="Times New Roman"/>
                <w:b/>
                <w:bCs/>
                <w:color w:val="auto"/>
              </w:rPr>
              <w:t>Pearson’s r</w:t>
            </w:r>
          </w:p>
        </w:tc>
        <w:tc>
          <w:tcPr>
            <w:tcW w:w="873" w:type="pct"/>
          </w:tcPr>
          <w:p w14:paraId="61661B64">
            <w:pPr>
              <w:spacing w:after="0" w:line="240" w:lineRule="auto"/>
              <w:rPr>
                <w:rFonts w:ascii="Times New Roman" w:hAnsi="Times New Roman" w:cs="Times New Roman"/>
                <w:b/>
                <w:bCs/>
                <w:color w:val="auto"/>
              </w:rPr>
            </w:pPr>
            <w:r>
              <w:rPr>
                <w:rFonts w:ascii="Times New Roman" w:hAnsi="Times New Roman" w:cs="Times New Roman"/>
                <w:b/>
                <w:bCs/>
                <w:color w:val="auto"/>
              </w:rPr>
              <w:t>p-value</w:t>
            </w:r>
          </w:p>
        </w:tc>
      </w:tr>
      <w:tr w14:paraId="59FB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pct"/>
          </w:tcPr>
          <w:p w14:paraId="15D4B6E2">
            <w:pPr>
              <w:spacing w:after="0" w:line="240" w:lineRule="auto"/>
              <w:rPr>
                <w:rFonts w:ascii="Times New Roman" w:hAnsi="Times New Roman" w:cs="Times New Roman"/>
                <w:color w:val="auto"/>
              </w:rPr>
            </w:pPr>
            <w:r>
              <w:rPr>
                <w:rFonts w:ascii="Times New Roman" w:hAnsi="Times New Roman" w:cs="Times New Roman"/>
                <w:color w:val="auto"/>
              </w:rPr>
              <w:t>Hemoglobin (g/dL)</w:t>
            </w:r>
          </w:p>
        </w:tc>
        <w:tc>
          <w:tcPr>
            <w:tcW w:w="690" w:type="pct"/>
          </w:tcPr>
          <w:p w14:paraId="1C78B4D3">
            <w:pPr>
              <w:spacing w:after="0" w:line="240" w:lineRule="auto"/>
              <w:rPr>
                <w:rFonts w:ascii="Times New Roman" w:hAnsi="Times New Roman" w:cs="Times New Roman"/>
                <w:color w:val="auto"/>
              </w:rPr>
            </w:pPr>
            <w:r>
              <w:rPr>
                <w:rFonts w:ascii="Times New Roman" w:hAnsi="Times New Roman" w:cs="Times New Roman"/>
                <w:color w:val="auto"/>
              </w:rPr>
              <w:t>10.3</w:t>
            </w:r>
          </w:p>
        </w:tc>
        <w:tc>
          <w:tcPr>
            <w:tcW w:w="456" w:type="pct"/>
          </w:tcPr>
          <w:p w14:paraId="5DBDC962">
            <w:pPr>
              <w:spacing w:after="0" w:line="240" w:lineRule="auto"/>
              <w:rPr>
                <w:rFonts w:ascii="Times New Roman" w:hAnsi="Times New Roman" w:cs="Times New Roman"/>
                <w:color w:val="auto"/>
              </w:rPr>
            </w:pPr>
            <w:r>
              <w:rPr>
                <w:rFonts w:ascii="Times New Roman" w:hAnsi="Times New Roman" w:cs="Times New Roman"/>
                <w:color w:val="auto"/>
              </w:rPr>
              <w:t>1.5</w:t>
            </w:r>
          </w:p>
        </w:tc>
        <w:tc>
          <w:tcPr>
            <w:tcW w:w="1197" w:type="pct"/>
          </w:tcPr>
          <w:p w14:paraId="54E3A06C">
            <w:pPr>
              <w:spacing w:after="0" w:line="240" w:lineRule="auto"/>
              <w:rPr>
                <w:rFonts w:ascii="Times New Roman" w:hAnsi="Times New Roman" w:cs="Times New Roman"/>
                <w:color w:val="auto"/>
              </w:rPr>
            </w:pPr>
            <w:r>
              <w:rPr>
                <w:rFonts w:ascii="Times New Roman" w:hAnsi="Times New Roman" w:cs="Times New Roman"/>
                <w:color w:val="auto"/>
              </w:rPr>
              <w:t>0.41</w:t>
            </w:r>
          </w:p>
        </w:tc>
        <w:tc>
          <w:tcPr>
            <w:tcW w:w="873" w:type="pct"/>
          </w:tcPr>
          <w:p w14:paraId="3B8E37AF">
            <w:pPr>
              <w:spacing w:after="0" w:line="240" w:lineRule="auto"/>
              <w:rPr>
                <w:rFonts w:ascii="Times New Roman" w:hAnsi="Times New Roman" w:cs="Times New Roman"/>
                <w:color w:val="auto"/>
              </w:rPr>
            </w:pPr>
            <w:r>
              <w:rPr>
                <w:rFonts w:ascii="Times New Roman" w:hAnsi="Times New Roman" w:cs="Times New Roman"/>
                <w:color w:val="auto"/>
              </w:rPr>
              <w:t>0.000**</w:t>
            </w:r>
          </w:p>
        </w:tc>
      </w:tr>
      <w:tr w14:paraId="5CBA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pct"/>
          </w:tcPr>
          <w:p w14:paraId="10957C79">
            <w:pPr>
              <w:spacing w:after="0" w:line="240" w:lineRule="auto"/>
              <w:rPr>
                <w:rFonts w:ascii="Times New Roman" w:hAnsi="Times New Roman" w:cs="Times New Roman"/>
                <w:color w:val="auto"/>
              </w:rPr>
            </w:pPr>
            <w:r>
              <w:rPr>
                <w:rFonts w:ascii="Times New Roman" w:hAnsi="Times New Roman" w:cs="Times New Roman"/>
                <w:color w:val="auto"/>
              </w:rPr>
              <w:t>BMI (kg/m²)</w:t>
            </w:r>
          </w:p>
        </w:tc>
        <w:tc>
          <w:tcPr>
            <w:tcW w:w="690" w:type="pct"/>
          </w:tcPr>
          <w:p w14:paraId="51D4F883">
            <w:pPr>
              <w:spacing w:after="0" w:line="240" w:lineRule="auto"/>
              <w:rPr>
                <w:rFonts w:ascii="Times New Roman" w:hAnsi="Times New Roman" w:cs="Times New Roman"/>
                <w:color w:val="auto"/>
              </w:rPr>
            </w:pPr>
            <w:r>
              <w:rPr>
                <w:rFonts w:ascii="Times New Roman" w:hAnsi="Times New Roman" w:cs="Times New Roman"/>
                <w:color w:val="auto"/>
              </w:rPr>
              <w:t>16.8</w:t>
            </w:r>
          </w:p>
        </w:tc>
        <w:tc>
          <w:tcPr>
            <w:tcW w:w="456" w:type="pct"/>
          </w:tcPr>
          <w:p w14:paraId="724E8929">
            <w:pPr>
              <w:spacing w:after="0" w:line="240" w:lineRule="auto"/>
              <w:rPr>
                <w:rFonts w:ascii="Times New Roman" w:hAnsi="Times New Roman" w:cs="Times New Roman"/>
                <w:color w:val="auto"/>
              </w:rPr>
            </w:pPr>
            <w:r>
              <w:rPr>
                <w:rFonts w:ascii="Times New Roman" w:hAnsi="Times New Roman" w:cs="Times New Roman"/>
                <w:color w:val="auto"/>
              </w:rPr>
              <w:t>2.1</w:t>
            </w:r>
          </w:p>
        </w:tc>
        <w:tc>
          <w:tcPr>
            <w:tcW w:w="1197" w:type="pct"/>
          </w:tcPr>
          <w:p w14:paraId="49F0E65A">
            <w:pPr>
              <w:spacing w:after="0" w:line="240" w:lineRule="auto"/>
              <w:rPr>
                <w:rFonts w:ascii="Times New Roman" w:hAnsi="Times New Roman" w:cs="Times New Roman"/>
                <w:color w:val="auto"/>
              </w:rPr>
            </w:pPr>
          </w:p>
        </w:tc>
        <w:tc>
          <w:tcPr>
            <w:tcW w:w="873" w:type="pct"/>
          </w:tcPr>
          <w:p w14:paraId="39C1D94C">
            <w:pPr>
              <w:spacing w:after="0" w:line="240" w:lineRule="auto"/>
              <w:rPr>
                <w:rFonts w:ascii="Times New Roman" w:hAnsi="Times New Roman" w:cs="Times New Roman"/>
                <w:color w:val="auto"/>
              </w:rPr>
            </w:pPr>
          </w:p>
        </w:tc>
      </w:tr>
    </w:tbl>
    <w:p w14:paraId="6CE8AE68">
      <w:pPr>
        <w:spacing w:after="0" w:line="480" w:lineRule="auto"/>
        <w:jc w:val="both"/>
        <w:rPr>
          <w:rFonts w:ascii="Times New Roman" w:hAnsi="Times New Roman" w:cs="Times New Roman"/>
          <w:b/>
          <w:bCs/>
          <w:color w:val="auto"/>
        </w:rPr>
      </w:pPr>
    </w:p>
    <w:p w14:paraId="1A053F70">
      <w:pPr>
        <w:spacing w:after="0" w:line="480" w:lineRule="auto"/>
        <w:jc w:val="both"/>
        <w:rPr>
          <w:rFonts w:ascii="Times New Roman" w:hAnsi="Times New Roman" w:cs="Times New Roman"/>
          <w:b/>
          <w:bCs/>
          <w:color w:val="auto"/>
        </w:rPr>
      </w:pPr>
      <w:r>
        <w:rPr>
          <w:rFonts w:ascii="Times New Roman" w:hAnsi="Times New Roman" w:cs="Times New Roman"/>
          <w:b/>
          <w:bCs/>
          <w:color w:val="auto"/>
        </w:rPr>
        <w:t>4.3.4 Results of Hypothesis 4</w:t>
      </w:r>
    </w:p>
    <w:p w14:paraId="0FBF290A">
      <w:pPr>
        <w:spacing w:after="0" w:line="480" w:lineRule="auto"/>
        <w:jc w:val="both"/>
        <w:rPr>
          <w:rFonts w:ascii="Times New Roman" w:hAnsi="Times New Roman" w:cs="Times New Roman"/>
          <w:color w:val="auto"/>
        </w:rPr>
      </w:pPr>
      <w:r>
        <w:rPr>
          <w:rFonts w:ascii="Times New Roman" w:hAnsi="Times New Roman" w:cs="Times New Roman"/>
          <w:color w:val="auto"/>
        </w:rPr>
        <w:t>Hypothesis 4 (H4) stated that the Mid-Day Meal (MDM) Scheme significantly reduces anemia prevalence among primary school children. To evaluate this hypothesis, a paired sample t-test was conducted comparing hemoglobin levels before and after participation in the MDM scheme among the anemic subgroup of the sample.</w:t>
      </w:r>
    </w:p>
    <w:p w14:paraId="3396285E">
      <w:pPr>
        <w:spacing w:after="0" w:line="480" w:lineRule="auto"/>
        <w:jc w:val="both"/>
        <w:rPr>
          <w:rFonts w:ascii="Times New Roman" w:hAnsi="Times New Roman" w:cs="Times New Roman"/>
          <w:color w:val="auto"/>
        </w:rPr>
      </w:pPr>
      <w:r>
        <w:rPr>
          <w:rFonts w:ascii="Times New Roman" w:hAnsi="Times New Roman" w:cs="Times New Roman"/>
          <w:color w:val="auto"/>
        </w:rPr>
        <w:t>As presented in Table 9, the mean hemoglobin level before MDM participation was 9.5 g/dL (SD = 1.4), which falls into the moderate anemia category according to WHO standards. After sustained participation in the Mid-Day Meal Scheme, the mean hemoglobin level increased to 10.8 g/dL (SD = 1.3), indicating a notable improvement in anemia status, moving many children into the mild or non-anemic range.</w:t>
      </w:r>
    </w:p>
    <w:p w14:paraId="22977FC8">
      <w:pPr>
        <w:spacing w:after="0" w:line="480" w:lineRule="auto"/>
        <w:jc w:val="both"/>
        <w:rPr>
          <w:rFonts w:ascii="Times New Roman" w:hAnsi="Times New Roman" w:cs="Times New Roman"/>
          <w:color w:val="auto"/>
        </w:rPr>
      </w:pPr>
      <w:r>
        <w:rPr>
          <w:rFonts w:ascii="Times New Roman" w:hAnsi="Times New Roman" w:cs="Times New Roman"/>
          <w:color w:val="auto"/>
        </w:rPr>
        <w:t>The mean difference of 1.3 g/dL was tested using a paired t-test, yielding a t-value of 11.24 and a p-value of 0.000, which is highly significant (p &lt; 0.001). This demonstrates a statistically and practically significant improvement in hemoglobin levels following consistent intake of MDM meals.</w:t>
      </w:r>
    </w:p>
    <w:p w14:paraId="290DE922">
      <w:pPr>
        <w:spacing w:after="0" w:line="480" w:lineRule="auto"/>
        <w:jc w:val="both"/>
        <w:rPr>
          <w:rFonts w:ascii="Times New Roman" w:hAnsi="Times New Roman" w:cs="Times New Roman"/>
          <w:color w:val="auto"/>
        </w:rPr>
      </w:pPr>
      <w:r>
        <w:rPr>
          <w:rFonts w:ascii="Times New Roman" w:hAnsi="Times New Roman" w:cs="Times New Roman"/>
          <w:color w:val="auto"/>
        </w:rPr>
        <w:t>These results confirm Hypothesis 4, affirming the positive impact of the Mid-Day Meal Scheme on improving nutritional outcomes and reducing anemia among school-aged children. The findings provide strong empirical support for continuing and strengthening MDM interventions as a key public health strategy for combating childhood anemia.</w:t>
      </w:r>
    </w:p>
    <w:p w14:paraId="65FEC374">
      <w:pPr>
        <w:spacing w:after="0" w:line="480" w:lineRule="auto"/>
        <w:rPr>
          <w:rFonts w:ascii="Times New Roman" w:hAnsi="Times New Roman" w:cs="Times New Roman"/>
          <w:b/>
          <w:bCs/>
          <w:color w:val="auto"/>
        </w:rPr>
      </w:pPr>
      <w:r>
        <w:rPr>
          <w:rFonts w:ascii="Times New Roman" w:hAnsi="Times New Roman" w:cs="Times New Roman"/>
          <w:b/>
          <w:bCs/>
          <w:color w:val="auto"/>
        </w:rPr>
        <w:t>Table 9. Paired t-Test: Pre- and Post-MDM Hemoglobin Levels</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6"/>
        <w:gridCol w:w="1608"/>
        <w:gridCol w:w="590"/>
        <w:gridCol w:w="2200"/>
        <w:gridCol w:w="869"/>
        <w:gridCol w:w="1129"/>
      </w:tblGrid>
      <w:tr w14:paraId="6FCC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pct"/>
          </w:tcPr>
          <w:p w14:paraId="3B67321A">
            <w:pPr>
              <w:spacing w:after="0" w:line="240" w:lineRule="auto"/>
              <w:rPr>
                <w:rFonts w:ascii="Times New Roman" w:hAnsi="Times New Roman" w:cs="Times New Roman"/>
                <w:b/>
                <w:bCs/>
                <w:color w:val="auto"/>
              </w:rPr>
            </w:pPr>
            <w:r>
              <w:rPr>
                <w:rFonts w:ascii="Times New Roman" w:hAnsi="Times New Roman" w:cs="Times New Roman"/>
                <w:b/>
                <w:bCs/>
                <w:color w:val="auto"/>
              </w:rPr>
              <w:t>Measure</w:t>
            </w:r>
          </w:p>
        </w:tc>
        <w:tc>
          <w:tcPr>
            <w:tcW w:w="870" w:type="pct"/>
          </w:tcPr>
          <w:p w14:paraId="00F9F487">
            <w:pPr>
              <w:spacing w:after="0" w:line="240" w:lineRule="auto"/>
              <w:rPr>
                <w:rFonts w:ascii="Times New Roman" w:hAnsi="Times New Roman" w:cs="Times New Roman"/>
                <w:b/>
                <w:bCs/>
                <w:color w:val="auto"/>
              </w:rPr>
            </w:pPr>
            <w:r>
              <w:rPr>
                <w:rFonts w:ascii="Times New Roman" w:hAnsi="Times New Roman" w:cs="Times New Roman"/>
                <w:b/>
                <w:bCs/>
                <w:color w:val="auto"/>
              </w:rPr>
              <w:t>Mean (g/dL)</w:t>
            </w:r>
          </w:p>
        </w:tc>
        <w:tc>
          <w:tcPr>
            <w:tcW w:w="319" w:type="pct"/>
          </w:tcPr>
          <w:p w14:paraId="102693CC">
            <w:pPr>
              <w:spacing w:after="0" w:line="240" w:lineRule="auto"/>
              <w:rPr>
                <w:rFonts w:ascii="Times New Roman" w:hAnsi="Times New Roman" w:cs="Times New Roman"/>
                <w:b/>
                <w:bCs/>
                <w:color w:val="auto"/>
              </w:rPr>
            </w:pPr>
            <w:r>
              <w:rPr>
                <w:rFonts w:ascii="Times New Roman" w:hAnsi="Times New Roman" w:cs="Times New Roman"/>
                <w:b/>
                <w:bCs/>
                <w:color w:val="auto"/>
              </w:rPr>
              <w:t>SD</w:t>
            </w:r>
          </w:p>
        </w:tc>
        <w:tc>
          <w:tcPr>
            <w:tcW w:w="1190" w:type="pct"/>
          </w:tcPr>
          <w:p w14:paraId="3300A7CB">
            <w:pPr>
              <w:spacing w:after="0" w:line="240" w:lineRule="auto"/>
              <w:rPr>
                <w:rFonts w:ascii="Times New Roman" w:hAnsi="Times New Roman" w:cs="Times New Roman"/>
                <w:b/>
                <w:bCs/>
                <w:color w:val="auto"/>
              </w:rPr>
            </w:pPr>
            <w:r>
              <w:rPr>
                <w:rFonts w:ascii="Times New Roman" w:hAnsi="Times New Roman" w:cs="Times New Roman"/>
                <w:b/>
                <w:bCs/>
                <w:color w:val="auto"/>
              </w:rPr>
              <w:t>Mean Difference</w:t>
            </w:r>
          </w:p>
        </w:tc>
        <w:tc>
          <w:tcPr>
            <w:tcW w:w="470" w:type="pct"/>
          </w:tcPr>
          <w:p w14:paraId="3B31DBF1">
            <w:pPr>
              <w:spacing w:after="0" w:line="240" w:lineRule="auto"/>
              <w:rPr>
                <w:rFonts w:ascii="Times New Roman" w:hAnsi="Times New Roman" w:cs="Times New Roman"/>
                <w:b/>
                <w:bCs/>
                <w:color w:val="auto"/>
              </w:rPr>
            </w:pPr>
            <w:r>
              <w:rPr>
                <w:rFonts w:ascii="Times New Roman" w:hAnsi="Times New Roman" w:cs="Times New Roman"/>
                <w:b/>
                <w:bCs/>
                <w:color w:val="auto"/>
              </w:rPr>
              <w:t>t</w:t>
            </w:r>
          </w:p>
        </w:tc>
        <w:tc>
          <w:tcPr>
            <w:tcW w:w="611" w:type="pct"/>
          </w:tcPr>
          <w:p w14:paraId="02CF8FCC">
            <w:pPr>
              <w:spacing w:after="0" w:line="240" w:lineRule="auto"/>
              <w:rPr>
                <w:rFonts w:ascii="Times New Roman" w:hAnsi="Times New Roman" w:cs="Times New Roman"/>
                <w:b/>
                <w:bCs/>
                <w:color w:val="auto"/>
              </w:rPr>
            </w:pPr>
            <w:r>
              <w:rPr>
                <w:rFonts w:ascii="Times New Roman" w:hAnsi="Times New Roman" w:cs="Times New Roman"/>
                <w:b/>
                <w:bCs/>
                <w:color w:val="auto"/>
              </w:rPr>
              <w:t>p-value</w:t>
            </w:r>
          </w:p>
        </w:tc>
      </w:tr>
      <w:tr w14:paraId="4A6B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pct"/>
          </w:tcPr>
          <w:p w14:paraId="091F3E9C">
            <w:pPr>
              <w:spacing w:after="0" w:line="240" w:lineRule="auto"/>
              <w:rPr>
                <w:rFonts w:ascii="Times New Roman" w:hAnsi="Times New Roman" w:cs="Times New Roman"/>
                <w:color w:val="auto"/>
              </w:rPr>
            </w:pPr>
            <w:r>
              <w:rPr>
                <w:rFonts w:ascii="Times New Roman" w:hAnsi="Times New Roman" w:cs="Times New Roman"/>
                <w:color w:val="auto"/>
              </w:rPr>
              <w:t>Pre-MDM Hemoglobin</w:t>
            </w:r>
          </w:p>
        </w:tc>
        <w:tc>
          <w:tcPr>
            <w:tcW w:w="870" w:type="pct"/>
          </w:tcPr>
          <w:p w14:paraId="0EB198F4">
            <w:pPr>
              <w:spacing w:after="0" w:line="240" w:lineRule="auto"/>
              <w:rPr>
                <w:rFonts w:ascii="Times New Roman" w:hAnsi="Times New Roman" w:cs="Times New Roman"/>
                <w:color w:val="auto"/>
              </w:rPr>
            </w:pPr>
            <w:r>
              <w:rPr>
                <w:rFonts w:ascii="Times New Roman" w:hAnsi="Times New Roman" w:cs="Times New Roman"/>
                <w:color w:val="auto"/>
              </w:rPr>
              <w:t>9.5</w:t>
            </w:r>
          </w:p>
        </w:tc>
        <w:tc>
          <w:tcPr>
            <w:tcW w:w="319" w:type="pct"/>
          </w:tcPr>
          <w:p w14:paraId="4E45778C">
            <w:pPr>
              <w:spacing w:after="0" w:line="240" w:lineRule="auto"/>
              <w:rPr>
                <w:rFonts w:ascii="Times New Roman" w:hAnsi="Times New Roman" w:cs="Times New Roman"/>
                <w:color w:val="auto"/>
              </w:rPr>
            </w:pPr>
            <w:r>
              <w:rPr>
                <w:rFonts w:ascii="Times New Roman" w:hAnsi="Times New Roman" w:cs="Times New Roman"/>
                <w:color w:val="auto"/>
              </w:rPr>
              <w:t>1.4</w:t>
            </w:r>
          </w:p>
        </w:tc>
        <w:tc>
          <w:tcPr>
            <w:tcW w:w="1190" w:type="pct"/>
          </w:tcPr>
          <w:p w14:paraId="5A080475">
            <w:pPr>
              <w:spacing w:after="0" w:line="240" w:lineRule="auto"/>
              <w:rPr>
                <w:rFonts w:ascii="Times New Roman" w:hAnsi="Times New Roman" w:cs="Times New Roman"/>
                <w:color w:val="auto"/>
              </w:rPr>
            </w:pPr>
          </w:p>
        </w:tc>
        <w:tc>
          <w:tcPr>
            <w:tcW w:w="470" w:type="pct"/>
          </w:tcPr>
          <w:p w14:paraId="009FEB1A">
            <w:pPr>
              <w:spacing w:after="0" w:line="240" w:lineRule="auto"/>
              <w:rPr>
                <w:rFonts w:ascii="Times New Roman" w:hAnsi="Times New Roman" w:cs="Times New Roman"/>
                <w:color w:val="auto"/>
              </w:rPr>
            </w:pPr>
          </w:p>
        </w:tc>
        <w:tc>
          <w:tcPr>
            <w:tcW w:w="611" w:type="pct"/>
          </w:tcPr>
          <w:p w14:paraId="120AFBD2">
            <w:pPr>
              <w:spacing w:after="0" w:line="240" w:lineRule="auto"/>
              <w:rPr>
                <w:rFonts w:ascii="Times New Roman" w:hAnsi="Times New Roman" w:cs="Times New Roman"/>
                <w:color w:val="auto"/>
              </w:rPr>
            </w:pPr>
          </w:p>
        </w:tc>
      </w:tr>
      <w:tr w14:paraId="312E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pct"/>
          </w:tcPr>
          <w:p w14:paraId="14DBFEFD">
            <w:pPr>
              <w:spacing w:after="0" w:line="240" w:lineRule="auto"/>
              <w:rPr>
                <w:rFonts w:ascii="Times New Roman" w:hAnsi="Times New Roman" w:cs="Times New Roman"/>
                <w:color w:val="auto"/>
              </w:rPr>
            </w:pPr>
            <w:r>
              <w:rPr>
                <w:rFonts w:ascii="Times New Roman" w:hAnsi="Times New Roman" w:cs="Times New Roman"/>
                <w:color w:val="auto"/>
              </w:rPr>
              <w:t>Post-MDM Hemoglobin</w:t>
            </w:r>
          </w:p>
        </w:tc>
        <w:tc>
          <w:tcPr>
            <w:tcW w:w="870" w:type="pct"/>
          </w:tcPr>
          <w:p w14:paraId="56D1F9F0">
            <w:pPr>
              <w:spacing w:after="0" w:line="240" w:lineRule="auto"/>
              <w:rPr>
                <w:rFonts w:ascii="Times New Roman" w:hAnsi="Times New Roman" w:cs="Times New Roman"/>
                <w:color w:val="auto"/>
              </w:rPr>
            </w:pPr>
            <w:r>
              <w:rPr>
                <w:rFonts w:ascii="Times New Roman" w:hAnsi="Times New Roman" w:cs="Times New Roman"/>
                <w:color w:val="auto"/>
              </w:rPr>
              <w:t>10.8</w:t>
            </w:r>
          </w:p>
        </w:tc>
        <w:tc>
          <w:tcPr>
            <w:tcW w:w="319" w:type="pct"/>
          </w:tcPr>
          <w:p w14:paraId="506E57B5">
            <w:pPr>
              <w:spacing w:after="0" w:line="240" w:lineRule="auto"/>
              <w:rPr>
                <w:rFonts w:ascii="Times New Roman" w:hAnsi="Times New Roman" w:cs="Times New Roman"/>
                <w:color w:val="auto"/>
              </w:rPr>
            </w:pPr>
            <w:r>
              <w:rPr>
                <w:rFonts w:ascii="Times New Roman" w:hAnsi="Times New Roman" w:cs="Times New Roman"/>
                <w:color w:val="auto"/>
              </w:rPr>
              <w:t>1.3</w:t>
            </w:r>
          </w:p>
        </w:tc>
        <w:tc>
          <w:tcPr>
            <w:tcW w:w="1190" w:type="pct"/>
          </w:tcPr>
          <w:p w14:paraId="3427ADB2">
            <w:pPr>
              <w:spacing w:after="0" w:line="240" w:lineRule="auto"/>
              <w:rPr>
                <w:rFonts w:ascii="Times New Roman" w:hAnsi="Times New Roman" w:cs="Times New Roman"/>
                <w:color w:val="auto"/>
              </w:rPr>
            </w:pPr>
            <w:r>
              <w:rPr>
                <w:rFonts w:ascii="Times New Roman" w:hAnsi="Times New Roman" w:cs="Times New Roman"/>
                <w:color w:val="auto"/>
              </w:rPr>
              <w:t>1.3</w:t>
            </w:r>
          </w:p>
        </w:tc>
        <w:tc>
          <w:tcPr>
            <w:tcW w:w="470" w:type="pct"/>
          </w:tcPr>
          <w:p w14:paraId="713F5190">
            <w:pPr>
              <w:spacing w:after="0" w:line="240" w:lineRule="auto"/>
              <w:rPr>
                <w:rFonts w:ascii="Times New Roman" w:hAnsi="Times New Roman" w:cs="Times New Roman"/>
                <w:color w:val="auto"/>
              </w:rPr>
            </w:pPr>
            <w:r>
              <w:rPr>
                <w:rFonts w:ascii="Times New Roman" w:hAnsi="Times New Roman" w:cs="Times New Roman"/>
                <w:color w:val="auto"/>
              </w:rPr>
              <w:t>11.24</w:t>
            </w:r>
          </w:p>
        </w:tc>
        <w:tc>
          <w:tcPr>
            <w:tcW w:w="611" w:type="pct"/>
          </w:tcPr>
          <w:p w14:paraId="25290197">
            <w:pPr>
              <w:spacing w:after="0" w:line="240" w:lineRule="auto"/>
              <w:rPr>
                <w:rFonts w:ascii="Times New Roman" w:hAnsi="Times New Roman" w:cs="Times New Roman"/>
                <w:color w:val="auto"/>
              </w:rPr>
            </w:pPr>
            <w:r>
              <w:rPr>
                <w:rFonts w:ascii="Times New Roman" w:hAnsi="Times New Roman" w:cs="Times New Roman"/>
                <w:color w:val="auto"/>
              </w:rPr>
              <w:t>0.000**</w:t>
            </w:r>
          </w:p>
        </w:tc>
      </w:tr>
    </w:tbl>
    <w:p w14:paraId="23F48250">
      <w:pPr>
        <w:spacing w:after="0" w:line="480" w:lineRule="auto"/>
        <w:jc w:val="both"/>
        <w:rPr>
          <w:rFonts w:ascii="Times New Roman" w:hAnsi="Times New Roman" w:cs="Times New Roman"/>
          <w:color w:val="auto"/>
        </w:rPr>
      </w:pPr>
    </w:p>
    <w:p w14:paraId="52AAD965">
      <w:pPr>
        <w:spacing w:after="0" w:line="480" w:lineRule="auto"/>
        <w:jc w:val="both"/>
        <w:rPr>
          <w:rFonts w:ascii="Times New Roman" w:hAnsi="Times New Roman" w:cs="Times New Roman"/>
          <w:b/>
          <w:bCs/>
          <w:color w:val="auto"/>
        </w:rPr>
      </w:pPr>
      <w:bookmarkStart w:id="0" w:name="_Hlk201270374"/>
      <w:r>
        <w:rPr>
          <w:rFonts w:ascii="Times New Roman" w:hAnsi="Times New Roman" w:cs="Times New Roman"/>
          <w:b/>
          <w:bCs/>
          <w:color w:val="auto"/>
        </w:rPr>
        <w:t>5. Discussion</w:t>
      </w:r>
    </w:p>
    <w:p w14:paraId="37A7F1C2">
      <w:pPr>
        <w:spacing w:after="0" w:line="480" w:lineRule="auto"/>
        <w:jc w:val="both"/>
        <w:rPr>
          <w:rFonts w:ascii="Times New Roman" w:hAnsi="Times New Roman" w:cs="Times New Roman"/>
          <w:color w:val="auto"/>
        </w:rPr>
      </w:pPr>
      <w:r>
        <w:rPr>
          <w:rFonts w:ascii="Times New Roman" w:hAnsi="Times New Roman" w:cs="Times New Roman"/>
          <w:color w:val="auto"/>
        </w:rPr>
        <w:t>The results of this research are quite useful and they give a great deal of information on the existing issue of anemia in school-going children and the success or failure of the governing efforts such as the Mid-Day Meal (MDM) Scheme. The general prevalence of anemia (33.3%) is in line with national data on the prevalence of anemia among children presented by NFHS-5 showing the prevalence of anemia in India to be large. It is noteworthy that the higher incidence of anemia in the rural students (40%) than in their urban peer group (26.7) demonstrates the socio-geographic inequality that continues to cause adverse health outcomes in children. The two differences can be characterized by a number of factors that include worse access to healthcare services, lower dietary diversity along with insufficient health awareness in rural regions.</w:t>
      </w:r>
    </w:p>
    <w:p w14:paraId="0BF92C7F">
      <w:pPr>
        <w:spacing w:after="0" w:line="480" w:lineRule="auto"/>
        <w:jc w:val="both"/>
        <w:rPr>
          <w:rFonts w:ascii="Times New Roman" w:hAnsi="Times New Roman" w:cs="Times New Roman"/>
          <w:color w:val="auto"/>
        </w:rPr>
      </w:pPr>
      <w:r>
        <w:rPr>
          <w:rFonts w:ascii="Times New Roman" w:hAnsi="Times New Roman" w:cs="Times New Roman"/>
          <w:color w:val="auto"/>
        </w:rPr>
        <w:t>The study also validates the influence of socio-demographic factors on anemia and nutritional status. Regression analysis showed that maternal education and residential area were statistically significant predictors of hemoglobin levels, reinforcing the well-documented impact of parental literacy and living conditions on child nutrition. Children with more educated mothers were likely to have better hemoglobin levels, which may reflect more informed dietary practices, hygiene habits, and greater access to health services.</w:t>
      </w:r>
    </w:p>
    <w:p w14:paraId="712CC34C">
      <w:pPr>
        <w:spacing w:after="0" w:line="480" w:lineRule="auto"/>
        <w:jc w:val="both"/>
        <w:rPr>
          <w:rFonts w:ascii="Times New Roman" w:hAnsi="Times New Roman" w:cs="Times New Roman"/>
          <w:color w:val="auto"/>
        </w:rPr>
      </w:pPr>
      <w:r>
        <w:rPr>
          <w:rFonts w:ascii="Times New Roman" w:hAnsi="Times New Roman" w:cs="Times New Roman"/>
          <w:color w:val="auto"/>
        </w:rPr>
        <w:t>Importantly, the study confirms the association between anemia and malnutrition, as seen through the moderate positive correlation between BMI and hemoglobin levels (r = 0.41). This supports previous research that undernourished children are more susceptible to anemia due to inadequate nutrient intake and compromised immunity.</w:t>
      </w:r>
    </w:p>
    <w:p w14:paraId="5D4D3F88">
      <w:pPr>
        <w:spacing w:after="0" w:line="480" w:lineRule="auto"/>
        <w:jc w:val="both"/>
        <w:rPr>
          <w:rFonts w:ascii="Times New Roman" w:hAnsi="Times New Roman" w:cs="Times New Roman"/>
          <w:color w:val="auto"/>
        </w:rPr>
      </w:pPr>
      <w:r>
        <w:rPr>
          <w:rFonts w:ascii="Times New Roman" w:hAnsi="Times New Roman" w:cs="Times New Roman"/>
          <w:color w:val="auto"/>
        </w:rPr>
        <w:t>The most critical insight from this research is the positive impact of the Mid-Day Meal Scheme on improving anemia outcomes. A significant increase of 1.3 g/dL in hemoglobin levels after consistent participation in the MDM program indicates that school-based feeding programs can yield tangible health benefits, especially for children with limited dietary resources at home. These results not only support continued investment in the scheme but also suggest the potential for further enhancement through inclusion of iron-fortified foods, regular health check-ups, and nutrition education.</w:t>
      </w:r>
    </w:p>
    <w:p w14:paraId="778B273C">
      <w:pPr>
        <w:spacing w:after="0" w:line="480" w:lineRule="auto"/>
        <w:jc w:val="both"/>
        <w:rPr>
          <w:rFonts w:ascii="Times New Roman" w:hAnsi="Times New Roman" w:cs="Times New Roman"/>
          <w:b/>
          <w:bCs/>
          <w:color w:val="auto"/>
        </w:rPr>
      </w:pPr>
      <w:r>
        <w:rPr>
          <w:rFonts w:ascii="Times New Roman" w:hAnsi="Times New Roman" w:cs="Times New Roman"/>
          <w:color w:val="auto"/>
        </w:rPr>
        <w:t xml:space="preserve">While the MDM Scheme appears successful in mitigating anemia to a certain extent, the findings also highlight that a one-size-fits-all approach may be insufficient. Variations in anemia prevalence by area, age, and maternal education call for targeted interventions that consider local needs and vulnerabilities. </w:t>
      </w:r>
      <w:r>
        <w:rPr>
          <w:rFonts w:ascii="Times New Roman" w:hAnsi="Times New Roman" w:cs="Times New Roman"/>
          <w:color w:val="auto"/>
        </w:rPr>
        <w:t>Other contributing factors like dietary habits, household income, and parasitic infections, which may influence anemia prevalence, were not captured in this study. Future research should aim to include these for a more holistic understanding</w:t>
      </w:r>
    </w:p>
    <w:p w14:paraId="263D13E4">
      <w:pPr>
        <w:spacing w:after="0" w:line="480" w:lineRule="auto"/>
        <w:jc w:val="both"/>
        <w:rPr>
          <w:rFonts w:ascii="Times New Roman" w:hAnsi="Times New Roman" w:cs="Times New Roman"/>
          <w:b/>
          <w:bCs/>
          <w:color w:val="auto"/>
        </w:rPr>
      </w:pPr>
    </w:p>
    <w:p w14:paraId="6466725E">
      <w:pPr>
        <w:spacing w:after="0" w:line="480" w:lineRule="auto"/>
        <w:jc w:val="both"/>
        <w:rPr>
          <w:rFonts w:ascii="Times New Roman" w:hAnsi="Times New Roman" w:cs="Times New Roman"/>
          <w:b/>
          <w:bCs/>
          <w:color w:val="auto"/>
        </w:rPr>
      </w:pPr>
      <w:r>
        <w:rPr>
          <w:rFonts w:ascii="Times New Roman" w:hAnsi="Times New Roman" w:cs="Times New Roman"/>
          <w:b/>
          <w:bCs/>
          <w:color w:val="auto"/>
        </w:rPr>
        <w:t>6. Conclusion</w:t>
      </w:r>
    </w:p>
    <w:p w14:paraId="493E62E7">
      <w:pPr>
        <w:spacing w:after="0" w:line="480" w:lineRule="auto"/>
        <w:jc w:val="both"/>
        <w:rPr>
          <w:rFonts w:ascii="Times New Roman" w:hAnsi="Times New Roman" w:cs="Times New Roman"/>
          <w:color w:val="auto"/>
        </w:rPr>
      </w:pPr>
      <w:r>
        <w:rPr>
          <w:rFonts w:ascii="Times New Roman" w:hAnsi="Times New Roman" w:cs="Times New Roman"/>
          <w:color w:val="auto"/>
        </w:rPr>
        <w:t>This study concludes that anemia remains a significant health challenge among primary school children in Bulandshahr district, with rural children disproportionately affected. The findings strongly support the hypothesis that socio-demographic factors, particularly maternal education and residential area, significantly influence anemia prevalence. Moreover, the Mid-Day Meal Scheme has been effective in reducing anemia, as evidenced by improved hemoglobin levels among participants.</w:t>
      </w:r>
    </w:p>
    <w:p w14:paraId="79652130">
      <w:pPr>
        <w:spacing w:after="0" w:line="480" w:lineRule="auto"/>
        <w:jc w:val="both"/>
        <w:rPr>
          <w:rFonts w:ascii="Times New Roman" w:hAnsi="Times New Roman" w:cs="Times New Roman"/>
          <w:color w:val="auto"/>
        </w:rPr>
      </w:pPr>
      <w:r>
        <w:rPr>
          <w:rFonts w:ascii="Times New Roman" w:hAnsi="Times New Roman" w:cs="Times New Roman"/>
          <w:color w:val="auto"/>
        </w:rPr>
        <w:t>The study affirms the multifactorial nature of anemia, linking it to both nutritional deficiencies and broader social determinants. While the MDM Scheme provides a critical nutritional safety net, its success could be enhanced by integrating micronutrient fortification, parental awareness programs, and routine health monitoring in schools.</w:t>
      </w:r>
    </w:p>
    <w:p w14:paraId="37B73682">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In conclusion, anemia prevention in school-aged children requires a multi-pronged strategy involving education, nutrition, health infrastructure, and policy support. Strengthening the implementation of the MDM Scheme and aligning it with local socio-economic conditions can make a measurable difference in the fight against child anemia in India. </w:t>
      </w:r>
      <w:r>
        <w:rPr>
          <w:rFonts w:ascii="Times New Roman" w:hAnsi="Times New Roman" w:cs="Times New Roman"/>
          <w:color w:val="auto"/>
        </w:rPr>
        <w:t>This study reinforces the need for localized improvements to the Mid-Day Meal Scheme, particularly in rural areas, through integration of micronutrient fortification and targeted health education.</w:t>
      </w:r>
    </w:p>
    <w:p w14:paraId="5F5D0864">
      <w:pPr>
        <w:spacing w:after="0" w:line="480" w:lineRule="auto"/>
        <w:jc w:val="both"/>
        <w:rPr>
          <w:rFonts w:ascii="Times New Roman" w:hAnsi="Times New Roman" w:cs="Times New Roman"/>
          <w:color w:val="auto"/>
        </w:rPr>
      </w:pPr>
    </w:p>
    <w:p w14:paraId="1941118F">
      <w:pPr>
        <w:spacing w:after="0" w:line="480" w:lineRule="auto"/>
        <w:jc w:val="both"/>
        <w:rPr>
          <w:rFonts w:ascii="Times New Roman" w:hAnsi="Times New Roman" w:cs="Times New Roman"/>
          <w:b/>
          <w:bCs/>
          <w:color w:val="auto"/>
        </w:rPr>
      </w:pPr>
      <w:r>
        <w:rPr>
          <w:rFonts w:ascii="Times New Roman" w:hAnsi="Times New Roman" w:cs="Times New Roman"/>
          <w:b/>
          <w:bCs/>
          <w:color w:val="auto"/>
        </w:rPr>
        <w:t>Recommendations</w:t>
      </w:r>
    </w:p>
    <w:bookmarkEnd w:id="0"/>
    <w:p w14:paraId="704B52EB">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Recommendations of the study are given as follows; </w:t>
      </w:r>
    </w:p>
    <w:p w14:paraId="3CA653A9">
      <w:pPr>
        <w:pStyle w:val="31"/>
        <w:numPr>
          <w:ilvl w:val="0"/>
          <w:numId w:val="2"/>
        </w:numPr>
        <w:spacing w:after="0" w:line="480" w:lineRule="auto"/>
        <w:jc w:val="both"/>
        <w:rPr>
          <w:rFonts w:ascii="Times New Roman" w:hAnsi="Times New Roman" w:cs="Times New Roman"/>
          <w:color w:val="auto"/>
        </w:rPr>
      </w:pPr>
      <w:r>
        <w:rPr>
          <w:rFonts w:ascii="Times New Roman" w:hAnsi="Times New Roman" w:cs="Times New Roman"/>
          <w:color w:val="auto"/>
        </w:rPr>
        <w:t>Strengthen the nutritional content of MDM, including iron fortification and diversity of meals.</w:t>
      </w:r>
    </w:p>
    <w:p w14:paraId="78D6BB19">
      <w:pPr>
        <w:pStyle w:val="31"/>
        <w:numPr>
          <w:ilvl w:val="0"/>
          <w:numId w:val="2"/>
        </w:numPr>
        <w:spacing w:after="0" w:line="480" w:lineRule="auto"/>
        <w:jc w:val="both"/>
        <w:rPr>
          <w:rFonts w:ascii="Times New Roman" w:hAnsi="Times New Roman" w:cs="Times New Roman"/>
          <w:color w:val="auto"/>
        </w:rPr>
      </w:pPr>
      <w:r>
        <w:rPr>
          <w:rFonts w:ascii="Times New Roman" w:hAnsi="Times New Roman" w:cs="Times New Roman"/>
          <w:color w:val="auto"/>
        </w:rPr>
        <w:t>Incorporate regular screening for anemia in schools and follow-up with iron supplementation where necessary.</w:t>
      </w:r>
    </w:p>
    <w:p w14:paraId="564F44F5">
      <w:pPr>
        <w:pStyle w:val="31"/>
        <w:numPr>
          <w:ilvl w:val="0"/>
          <w:numId w:val="2"/>
        </w:numPr>
        <w:spacing w:after="0" w:line="480" w:lineRule="auto"/>
        <w:jc w:val="both"/>
        <w:rPr>
          <w:rFonts w:ascii="Times New Roman" w:hAnsi="Times New Roman" w:cs="Times New Roman"/>
          <w:color w:val="auto"/>
        </w:rPr>
      </w:pPr>
      <w:r>
        <w:rPr>
          <w:rFonts w:ascii="Times New Roman" w:hAnsi="Times New Roman" w:cs="Times New Roman"/>
          <w:color w:val="auto"/>
        </w:rPr>
        <w:t>Conduct awareness programs for parents, especially mothers, focusing on child nutrition and hygiene.</w:t>
      </w:r>
    </w:p>
    <w:p w14:paraId="5F5D68DA">
      <w:pPr>
        <w:pStyle w:val="31"/>
        <w:numPr>
          <w:ilvl w:val="0"/>
          <w:numId w:val="2"/>
        </w:numPr>
        <w:spacing w:after="0" w:line="480" w:lineRule="auto"/>
        <w:jc w:val="both"/>
        <w:rPr>
          <w:rFonts w:ascii="Times New Roman" w:hAnsi="Times New Roman" w:cs="Times New Roman"/>
          <w:color w:val="auto"/>
        </w:rPr>
      </w:pPr>
      <w:r>
        <w:rPr>
          <w:rFonts w:ascii="Times New Roman" w:hAnsi="Times New Roman" w:cs="Times New Roman"/>
          <w:color w:val="auto"/>
        </w:rPr>
        <w:t>Improve monitoring of MDM implementation in rural areas to address logistical and quality gaps.</w:t>
      </w:r>
    </w:p>
    <w:p w14:paraId="2FF34248">
      <w:pPr>
        <w:pStyle w:val="31"/>
        <w:numPr>
          <w:ilvl w:val="0"/>
          <w:numId w:val="2"/>
        </w:numPr>
        <w:spacing w:after="0" w:line="480" w:lineRule="auto"/>
        <w:jc w:val="both"/>
        <w:rPr>
          <w:rFonts w:ascii="Times New Roman" w:hAnsi="Times New Roman" w:cs="Times New Roman"/>
          <w:color w:val="auto"/>
        </w:rPr>
      </w:pPr>
      <w:r>
        <w:rPr>
          <w:rFonts w:ascii="Times New Roman" w:hAnsi="Times New Roman" w:cs="Times New Roman"/>
          <w:color w:val="auto"/>
        </w:rPr>
        <w:t>Encourage longitudinal evaluations of nutritional interventions to assess long-term effects on child health.</w:t>
      </w:r>
    </w:p>
    <w:p w14:paraId="26DE3061">
      <w:pPr>
        <w:pStyle w:val="31"/>
        <w:spacing w:after="0" w:line="480" w:lineRule="auto"/>
        <w:jc w:val="both"/>
        <w:rPr>
          <w:rFonts w:ascii="Times New Roman" w:hAnsi="Times New Roman" w:cs="Times New Roman"/>
          <w:color w:val="auto"/>
        </w:rPr>
      </w:pPr>
    </w:p>
    <w:p w14:paraId="1A51EAB6">
      <w:pPr>
        <w:spacing w:after="0" w:line="480" w:lineRule="auto"/>
        <w:jc w:val="both"/>
        <w:rPr>
          <w:rFonts w:ascii="Times New Roman" w:hAnsi="Times New Roman" w:cs="Times New Roman"/>
          <w:b/>
          <w:bCs/>
          <w:color w:val="auto"/>
        </w:rPr>
      </w:pPr>
      <w:r>
        <w:rPr>
          <w:rFonts w:ascii="Times New Roman" w:hAnsi="Times New Roman" w:cs="Times New Roman"/>
          <w:b/>
          <w:bCs/>
          <w:color w:val="auto"/>
        </w:rPr>
        <w:t>Limitations</w:t>
      </w:r>
    </w:p>
    <w:p w14:paraId="53A5F8E5">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Limitations of the study are given as follows; </w:t>
      </w:r>
    </w:p>
    <w:p w14:paraId="460A19E2">
      <w:pPr>
        <w:numPr>
          <w:ilvl w:val="0"/>
          <w:numId w:val="3"/>
        </w:numPr>
        <w:spacing w:after="0" w:line="480" w:lineRule="auto"/>
        <w:jc w:val="both"/>
        <w:rPr>
          <w:rFonts w:ascii="Times New Roman" w:hAnsi="Times New Roman" w:cs="Times New Roman"/>
          <w:color w:val="auto"/>
        </w:rPr>
      </w:pPr>
      <w:r>
        <w:rPr>
          <w:rFonts w:ascii="Times New Roman" w:hAnsi="Times New Roman" w:cs="Times New Roman"/>
          <w:color w:val="auto"/>
        </w:rPr>
        <w:t>The study design was cross-sectional, limiting the ability to infer causality.</w:t>
      </w:r>
    </w:p>
    <w:p w14:paraId="0C8FD530">
      <w:pPr>
        <w:numPr>
          <w:ilvl w:val="0"/>
          <w:numId w:val="3"/>
        </w:numPr>
        <w:spacing w:after="0" w:line="480" w:lineRule="auto"/>
        <w:jc w:val="both"/>
        <w:rPr>
          <w:rFonts w:ascii="Times New Roman" w:hAnsi="Times New Roman" w:cs="Times New Roman"/>
          <w:color w:val="auto"/>
        </w:rPr>
      </w:pPr>
      <w:r>
        <w:rPr>
          <w:rFonts w:ascii="Times New Roman" w:hAnsi="Times New Roman" w:cs="Times New Roman"/>
          <w:color w:val="auto"/>
        </w:rPr>
        <w:t>Hemoglobin levels were measured only once pre- and post-MDM participation, without long-term follow-up.</w:t>
      </w:r>
    </w:p>
    <w:p w14:paraId="04F23D00">
      <w:pPr>
        <w:numPr>
          <w:ilvl w:val="0"/>
          <w:numId w:val="3"/>
        </w:numPr>
        <w:spacing w:after="0" w:line="480" w:lineRule="auto"/>
        <w:jc w:val="both"/>
        <w:rPr>
          <w:rFonts w:ascii="Times New Roman" w:hAnsi="Times New Roman" w:cs="Times New Roman"/>
          <w:color w:val="auto"/>
        </w:rPr>
      </w:pPr>
      <w:r>
        <w:rPr>
          <w:rFonts w:ascii="Times New Roman" w:hAnsi="Times New Roman" w:cs="Times New Roman"/>
          <w:color w:val="auto"/>
        </w:rPr>
        <w:t>Socio-economic status was not comprehensively assessed beyond maternal education and area.</w:t>
      </w:r>
    </w:p>
    <w:p w14:paraId="5C1AE311">
      <w:pPr>
        <w:numPr>
          <w:ilvl w:val="0"/>
          <w:numId w:val="3"/>
        </w:numPr>
        <w:spacing w:after="0" w:line="480" w:lineRule="auto"/>
        <w:jc w:val="both"/>
        <w:rPr>
          <w:rFonts w:ascii="Times New Roman" w:hAnsi="Times New Roman" w:cs="Times New Roman"/>
          <w:color w:val="auto"/>
        </w:rPr>
      </w:pPr>
      <w:r>
        <w:rPr>
          <w:rFonts w:ascii="Times New Roman" w:hAnsi="Times New Roman" w:cs="Times New Roman"/>
          <w:color w:val="auto"/>
        </w:rPr>
        <w:t>Dietary recall and infection status, both known contributors to anemia, were not included.</w:t>
      </w:r>
    </w:p>
    <w:p w14:paraId="44A70ED3">
      <w:pPr>
        <w:spacing w:after="0" w:line="480" w:lineRule="auto"/>
        <w:jc w:val="both"/>
        <w:rPr>
          <w:rFonts w:ascii="Times New Roman" w:hAnsi="Times New Roman" w:cs="Times New Roman"/>
          <w:color w:val="auto"/>
        </w:rPr>
      </w:pPr>
    </w:p>
    <w:p w14:paraId="43729482">
      <w:pPr>
        <w:spacing w:after="0" w:line="480" w:lineRule="auto"/>
        <w:jc w:val="both"/>
        <w:rPr>
          <w:rFonts w:ascii="Times New Roman" w:hAnsi="Times New Roman" w:cs="Times New Roman"/>
          <w:b/>
          <w:bCs/>
          <w:color w:val="auto"/>
        </w:rPr>
      </w:pPr>
      <w:r>
        <w:rPr>
          <w:rFonts w:ascii="Times New Roman" w:hAnsi="Times New Roman" w:cs="Times New Roman"/>
          <w:b/>
          <w:bCs/>
          <w:color w:val="auto"/>
        </w:rPr>
        <w:t>Future Scope</w:t>
      </w:r>
    </w:p>
    <w:p w14:paraId="1DB81818">
      <w:pPr>
        <w:spacing w:after="0" w:line="480" w:lineRule="auto"/>
        <w:jc w:val="both"/>
        <w:rPr>
          <w:rFonts w:ascii="Times New Roman" w:hAnsi="Times New Roman" w:cs="Times New Roman"/>
          <w:color w:val="auto"/>
        </w:rPr>
      </w:pPr>
      <w:r>
        <w:rPr>
          <w:rFonts w:ascii="Times New Roman" w:hAnsi="Times New Roman" w:cs="Times New Roman"/>
          <w:color w:val="auto"/>
        </w:rPr>
        <w:t xml:space="preserve">Future scope of the study are given as follows; </w:t>
      </w:r>
    </w:p>
    <w:p w14:paraId="08A8D814">
      <w:pPr>
        <w:pStyle w:val="31"/>
        <w:numPr>
          <w:ilvl w:val="0"/>
          <w:numId w:val="4"/>
        </w:numPr>
        <w:spacing w:after="0" w:line="480" w:lineRule="auto"/>
        <w:jc w:val="both"/>
        <w:rPr>
          <w:rFonts w:ascii="Times New Roman" w:hAnsi="Times New Roman" w:cs="Times New Roman"/>
          <w:color w:val="auto"/>
        </w:rPr>
      </w:pPr>
      <w:r>
        <w:rPr>
          <w:rFonts w:ascii="Times New Roman" w:hAnsi="Times New Roman" w:cs="Times New Roman"/>
          <w:color w:val="auto"/>
        </w:rPr>
        <w:t>Longitudinal studies can better assess sustained effects of MDM on anemia and nutritional outcomes.</w:t>
      </w:r>
    </w:p>
    <w:p w14:paraId="507635D4">
      <w:pPr>
        <w:pStyle w:val="31"/>
        <w:numPr>
          <w:ilvl w:val="0"/>
          <w:numId w:val="4"/>
        </w:numPr>
        <w:spacing w:after="0" w:line="480" w:lineRule="auto"/>
        <w:jc w:val="both"/>
        <w:rPr>
          <w:rFonts w:ascii="Times New Roman" w:hAnsi="Times New Roman" w:cs="Times New Roman"/>
          <w:color w:val="auto"/>
        </w:rPr>
      </w:pPr>
      <w:r>
        <w:rPr>
          <w:rFonts w:ascii="Times New Roman" w:hAnsi="Times New Roman" w:cs="Times New Roman"/>
          <w:color w:val="auto"/>
        </w:rPr>
        <w:t>Future research could integrate dietary surveys, parasitic infection screening, and family income data.</w:t>
      </w:r>
    </w:p>
    <w:p w14:paraId="61FBF98E">
      <w:pPr>
        <w:pStyle w:val="31"/>
        <w:numPr>
          <w:ilvl w:val="0"/>
          <w:numId w:val="4"/>
        </w:numPr>
        <w:spacing w:after="0" w:line="480" w:lineRule="auto"/>
        <w:jc w:val="both"/>
        <w:rPr>
          <w:rFonts w:ascii="Times New Roman" w:hAnsi="Times New Roman" w:cs="Times New Roman"/>
          <w:color w:val="auto"/>
        </w:rPr>
      </w:pPr>
      <w:r>
        <w:rPr>
          <w:rFonts w:ascii="Times New Roman" w:hAnsi="Times New Roman" w:cs="Times New Roman"/>
          <w:color w:val="auto"/>
        </w:rPr>
        <w:t>Expansion to include private and non-MDM schools may provide comparative insights into program efficacy.</w:t>
      </w:r>
    </w:p>
    <w:p w14:paraId="1AA199E0">
      <w:pPr>
        <w:pStyle w:val="31"/>
        <w:numPr>
          <w:ilvl w:val="0"/>
          <w:numId w:val="4"/>
        </w:numPr>
        <w:spacing w:after="0" w:line="480" w:lineRule="auto"/>
        <w:jc w:val="both"/>
        <w:rPr>
          <w:rFonts w:ascii="Times New Roman" w:hAnsi="Times New Roman" w:cs="Times New Roman"/>
          <w:b/>
          <w:bCs/>
          <w:color w:val="auto"/>
          <w:u w:val="single"/>
        </w:rPr>
      </w:pPr>
      <w:r>
        <w:rPr>
          <w:rFonts w:ascii="Times New Roman" w:hAnsi="Times New Roman" w:cs="Times New Roman"/>
          <w:color w:val="auto"/>
        </w:rPr>
        <w:t>Digital tracking of MDM consumption and health outcomes can improve monitoring and policy planning.</w:t>
      </w:r>
    </w:p>
    <w:p w14:paraId="40903FF6">
      <w:pPr>
        <w:spacing w:after="0" w:line="480" w:lineRule="auto"/>
        <w:jc w:val="both"/>
        <w:rPr>
          <w:rFonts w:hint="default" w:ascii="Times New Roman" w:hAnsi="Times New Roman" w:cs="Times New Roman"/>
          <w:b/>
          <w:bCs/>
          <w:color w:val="auto"/>
          <w:u w:val="single"/>
          <w:lang w:val="en-US"/>
        </w:rPr>
      </w:pPr>
      <w:r>
        <w:rPr>
          <w:rFonts w:hint="default" w:ascii="Times New Roman" w:hAnsi="Times New Roman" w:cs="Times New Roman"/>
          <w:b/>
          <w:bCs/>
          <w:color w:val="auto"/>
          <w:u w:val="single"/>
          <w:lang w:val="en-US"/>
        </w:rPr>
        <w:t xml:space="preserve">DECLARATION </w:t>
      </w:r>
    </w:p>
    <w:p w14:paraId="674C748C">
      <w:pPr>
        <w:shd w:val="clear"/>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rPr>
        <w:t>Disclaimer (Artificial intelligence</w:t>
      </w:r>
      <w:r>
        <w:rPr>
          <w:rFonts w:hint="default" w:ascii="Times New Roman" w:hAnsi="Times New Roman" w:cs="Times New Roman"/>
          <w:color w:val="auto"/>
          <w:highlight w:val="none"/>
          <w:lang w:val="en-US"/>
        </w:rPr>
        <w:t>)</w:t>
      </w:r>
    </w:p>
    <w:p w14:paraId="7C48B4E6">
      <w:pPr>
        <w:shd w:val="clear"/>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rPr>
        <w:t>Autho</w:t>
      </w:r>
      <w:r>
        <w:rPr>
          <w:rFonts w:hint="default" w:ascii="Times New Roman" w:hAnsi="Times New Roman" w:cs="Times New Roman"/>
          <w:color w:val="auto"/>
          <w:highlight w:val="none"/>
          <w:lang w:val="en-US"/>
        </w:rPr>
        <w:t>r (shivangi kaushik research scholar swami vivekanda subharti university )</w:t>
      </w:r>
      <w:r>
        <w:rPr>
          <w:rFonts w:hint="default" w:ascii="Times New Roman" w:hAnsi="Times New Roman" w:cs="Times New Roman"/>
          <w:color w:val="auto"/>
          <w:highlight w:val="none"/>
        </w:rPr>
        <w:t xml:space="preserve"> hereby declare that NO generative AI technologies such as Large Language Models (ChatGPT, COPILOT, etc.) and text-to-image generators have been used during the writing or editing of this manuscript. </w:t>
      </w:r>
      <w:r>
        <w:rPr>
          <w:rFonts w:hint="default" w:ascii="Times New Roman" w:hAnsi="Times New Roman" w:cs="Times New Roman"/>
          <w:color w:val="auto"/>
          <w:highlight w:val="none"/>
          <w:lang w:val="en-US"/>
        </w:rPr>
        <w:t>SS</w:t>
      </w:r>
    </w:p>
    <w:p w14:paraId="51B13FEA">
      <w:pPr>
        <w:spacing w:after="0" w:line="480" w:lineRule="auto"/>
        <w:jc w:val="both"/>
        <w:rPr>
          <w:rFonts w:hint="default" w:ascii="Times New Roman" w:hAnsi="Times New Roman" w:cs="Times New Roman"/>
          <w:b w:val="0"/>
          <w:bCs w:val="0"/>
          <w:color w:val="auto"/>
          <w:u w:val="none"/>
          <w:lang w:val="en-US"/>
        </w:rPr>
      </w:pPr>
    </w:p>
    <w:p w14:paraId="78F288E5">
      <w:pPr>
        <w:spacing w:after="0" w:line="480" w:lineRule="auto"/>
        <w:jc w:val="both"/>
        <w:rPr>
          <w:rFonts w:ascii="Times New Roman" w:hAnsi="Times New Roman" w:cs="Times New Roman"/>
          <w:b/>
          <w:bCs/>
          <w:color w:val="auto"/>
        </w:rPr>
      </w:pPr>
      <w:r>
        <w:rPr>
          <w:rFonts w:ascii="Times New Roman" w:hAnsi="Times New Roman" w:cs="Times New Roman"/>
          <w:b/>
          <w:bCs/>
          <w:color w:val="auto"/>
        </w:rPr>
        <w:t>References</w:t>
      </w:r>
    </w:p>
    <w:p w14:paraId="4D0E5EBB">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rPr>
        <w:fldChar w:fldCharType="begin" w:fldLock="1"/>
      </w:r>
      <w:r>
        <w:rPr>
          <w:rFonts w:ascii="Times New Roman" w:hAnsi="Times New Roman" w:cs="Times New Roman"/>
          <w:color w:val="auto"/>
        </w:rPr>
        <w:instrText xml:space="preserve">ADDIN Mendeley Bibliography CSL_BIBLIOGRAPHY </w:instrText>
      </w:r>
      <w:r>
        <w:rPr>
          <w:rFonts w:ascii="Times New Roman" w:hAnsi="Times New Roman" w:cs="Times New Roman"/>
          <w:color w:val="auto"/>
        </w:rPr>
        <w:fldChar w:fldCharType="separate"/>
      </w:r>
      <w:r>
        <w:rPr>
          <w:rFonts w:ascii="Times New Roman" w:hAnsi="Times New Roman" w:cs="Times New Roman"/>
          <w:color w:val="auto"/>
          <w:kern w:val="0"/>
        </w:rPr>
        <w:t xml:space="preserve">Abrams, S. A., Mushi, A., Hilmers, D. C., Griffin, I. J., Davila, P., &amp; Allen, L. (2018). </w:t>
      </w:r>
      <w:r>
        <w:rPr>
          <w:rFonts w:ascii="Times New Roman" w:hAnsi="Times New Roman" w:cs="Times New Roman"/>
          <w:i/>
          <w:iCs/>
          <w:color w:val="auto"/>
          <w:kern w:val="0"/>
        </w:rPr>
        <w:t>Community and International Nutrition A Multinutrient-Fortified Beverage Enhances the Nutritional Status</w:t>
      </w:r>
      <w:r>
        <w:rPr>
          <w:rFonts w:ascii="Times New Roman" w:hAnsi="Times New Roman" w:cs="Times New Roman"/>
          <w:color w:val="auto"/>
          <w:kern w:val="0"/>
        </w:rPr>
        <w:t xml:space="preserve">. </w:t>
      </w:r>
      <w:r>
        <w:rPr>
          <w:rFonts w:ascii="Times New Roman" w:hAnsi="Times New Roman" w:cs="Times New Roman"/>
          <w:i/>
          <w:iCs/>
          <w:color w:val="auto"/>
          <w:kern w:val="0"/>
        </w:rPr>
        <w:t>March 2003</w:t>
      </w:r>
      <w:r>
        <w:rPr>
          <w:rFonts w:ascii="Times New Roman" w:hAnsi="Times New Roman" w:cs="Times New Roman"/>
          <w:color w:val="auto"/>
          <w:kern w:val="0"/>
        </w:rPr>
        <w:t>, 1834–1840.</w:t>
      </w:r>
    </w:p>
    <w:p w14:paraId="3B54F9B6">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Anwar, S., Sciences, H., Deshmukh, P., &amp; Garg, B. S. (2006). </w:t>
      </w:r>
      <w:r>
        <w:rPr>
          <w:rFonts w:ascii="Times New Roman" w:hAnsi="Times New Roman" w:cs="Times New Roman"/>
          <w:i/>
          <w:iCs/>
          <w:color w:val="auto"/>
          <w:kern w:val="0"/>
        </w:rPr>
        <w:t>Epidemiological Correlates of Nutritional Anemia in Adolescent Girls of Rural Epidemiological Correlates of Nutritional Anemia in Adolescent Girls of Rural Wardha</w:t>
      </w:r>
      <w:r>
        <w:rPr>
          <w:rFonts w:ascii="Times New Roman" w:hAnsi="Times New Roman" w:cs="Times New Roman"/>
          <w:color w:val="auto"/>
          <w:kern w:val="0"/>
        </w:rPr>
        <w:t xml:space="preserve">. </w:t>
      </w:r>
      <w:r>
        <w:rPr>
          <w:rFonts w:ascii="Times New Roman" w:hAnsi="Times New Roman" w:cs="Times New Roman"/>
          <w:i/>
          <w:iCs/>
          <w:color w:val="auto"/>
          <w:kern w:val="0"/>
        </w:rPr>
        <w:t>January</w:t>
      </w:r>
      <w:r>
        <w:rPr>
          <w:rFonts w:ascii="Times New Roman" w:hAnsi="Times New Roman" w:cs="Times New Roman"/>
          <w:color w:val="auto"/>
          <w:kern w:val="0"/>
        </w:rPr>
        <w:t>.</w:t>
      </w:r>
    </w:p>
    <w:p w14:paraId="45FC836C">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Ash, D. M., Tatala, S. R., Jr, E. A. F., Ndossi, G. D., &amp; Latham, M. C. (2018). </w:t>
      </w:r>
      <w:r>
        <w:rPr>
          <w:rFonts w:ascii="Times New Roman" w:hAnsi="Times New Roman" w:cs="Times New Roman"/>
          <w:i/>
          <w:iCs/>
          <w:color w:val="auto"/>
          <w:kern w:val="0"/>
        </w:rPr>
        <w:t>Randomized efficacy trial of a micronutrient-fortified beverage in primary school children in Tanzania 1 – 3</w:t>
      </w:r>
      <w:r>
        <w:rPr>
          <w:rFonts w:ascii="Times New Roman" w:hAnsi="Times New Roman" w:cs="Times New Roman"/>
          <w:color w:val="auto"/>
          <w:kern w:val="0"/>
        </w:rPr>
        <w:t xml:space="preserve">. </w:t>
      </w:r>
      <w:r>
        <w:rPr>
          <w:rFonts w:ascii="Times New Roman" w:hAnsi="Times New Roman" w:cs="Times New Roman"/>
          <w:i/>
          <w:iCs/>
          <w:color w:val="auto"/>
          <w:kern w:val="0"/>
        </w:rPr>
        <w:t>April</w:t>
      </w:r>
      <w:r>
        <w:rPr>
          <w:rFonts w:ascii="Times New Roman" w:hAnsi="Times New Roman" w:cs="Times New Roman"/>
          <w:color w:val="auto"/>
          <w:kern w:val="0"/>
        </w:rPr>
        <w:t>.</w:t>
      </w:r>
    </w:p>
    <w:p w14:paraId="034AAAF1">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Chaparro, C. M., &amp; Suchdev, P. S. (2019). </w:t>
      </w:r>
      <w:r>
        <w:rPr>
          <w:rFonts w:ascii="Times New Roman" w:hAnsi="Times New Roman" w:cs="Times New Roman"/>
          <w:i/>
          <w:iCs/>
          <w:color w:val="auto"/>
          <w:kern w:val="0"/>
        </w:rPr>
        <w:t>Anemia epidemiology , pathophysiology , and etiology in low- and middle-income countries</w:t>
      </w:r>
      <w:r>
        <w:rPr>
          <w:rFonts w:ascii="Times New Roman" w:hAnsi="Times New Roman" w:cs="Times New Roman"/>
          <w:color w:val="auto"/>
          <w:kern w:val="0"/>
        </w:rPr>
        <w:t>. 1–17. https://doi.org/10.1111/nyas.14092</w:t>
      </w:r>
    </w:p>
    <w:p w14:paraId="628C97D2">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Children, Y., Beinner, M. A., Velasquez-mele, G., Pessoa, M. C., &amp; Greiner, T. (2010). </w:t>
      </w:r>
      <w:r>
        <w:rPr>
          <w:rFonts w:ascii="Times New Roman" w:hAnsi="Times New Roman" w:cs="Times New Roman"/>
          <w:i/>
          <w:iCs/>
          <w:color w:val="auto"/>
          <w:kern w:val="0"/>
        </w:rPr>
        <w:t>Iron-Fortified Rice Is As Efficacious As Supplemental Iron Drops in Infants</w:t>
      </w:r>
      <w:r>
        <w:rPr>
          <w:rFonts w:ascii="Times New Roman" w:hAnsi="Times New Roman" w:cs="Times New Roman"/>
          <w:color w:val="auto"/>
          <w:kern w:val="0"/>
        </w:rPr>
        <w:t>. 49–53. https://doi.org/10.3945/jn.109.112623.the</w:t>
      </w:r>
    </w:p>
    <w:p w14:paraId="46A93CF1">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Controlled, A. R., Winichagoon, P., Mckenzie, J. E., Chavasit, V., Pongcharoen, T., Gowachirapant, S., Boonpraderm, A., Manger, M. S., Bailey, K. B., Wasantwisut, E., &amp; Gibson, R. S. (2018). </w:t>
      </w:r>
      <w:r>
        <w:rPr>
          <w:rFonts w:ascii="Times New Roman" w:hAnsi="Times New Roman" w:cs="Times New Roman"/>
          <w:i/>
          <w:iCs/>
          <w:color w:val="auto"/>
          <w:kern w:val="0"/>
        </w:rPr>
        <w:t>Community and International Nutrition A Multimicronutrient-Fortified Seasoning Powder Enhances the Hemoglobin , Zinc , and Iodine Status of Primary School Children in North East Thailand :</w:t>
      </w:r>
      <w:r>
        <w:rPr>
          <w:rFonts w:ascii="Times New Roman" w:hAnsi="Times New Roman" w:cs="Times New Roman"/>
          <w:color w:val="auto"/>
          <w:kern w:val="0"/>
        </w:rPr>
        <w:t xml:space="preserve"> </w:t>
      </w:r>
      <w:r>
        <w:rPr>
          <w:rFonts w:ascii="Times New Roman" w:hAnsi="Times New Roman" w:cs="Times New Roman"/>
          <w:i/>
          <w:iCs/>
          <w:color w:val="auto"/>
          <w:kern w:val="0"/>
        </w:rPr>
        <w:t>March</w:t>
      </w:r>
      <w:r>
        <w:rPr>
          <w:rFonts w:ascii="Times New Roman" w:hAnsi="Times New Roman" w:cs="Times New Roman"/>
          <w:color w:val="auto"/>
          <w:kern w:val="0"/>
        </w:rPr>
        <w:t>, 1617–1623.</w:t>
      </w:r>
    </w:p>
    <w:p w14:paraId="6593B860">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Dalmia, A. (2017). Demand for household sanitation in India using NFHS-3 data. </w:t>
      </w:r>
      <w:r>
        <w:rPr>
          <w:rFonts w:ascii="Times New Roman" w:hAnsi="Times New Roman" w:cs="Times New Roman"/>
          <w:i/>
          <w:iCs/>
          <w:color w:val="auto"/>
          <w:kern w:val="0"/>
        </w:rPr>
        <w:t>Empirical Economics</w:t>
      </w:r>
      <w:r>
        <w:rPr>
          <w:rFonts w:ascii="Times New Roman" w:hAnsi="Times New Roman" w:cs="Times New Roman"/>
          <w:color w:val="auto"/>
          <w:kern w:val="0"/>
        </w:rPr>
        <w:t>. https://doi.org/10.1007/s00181-017-1250-5</w:t>
      </w:r>
    </w:p>
    <w:p w14:paraId="6F151802">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Dhillon, C. N., Neufeld, L. M., Sarkar, D., Klemm, R. D. W., Tumilowicz, A., &amp; Namaste, S. M. L. (2017). </w:t>
      </w:r>
      <w:r>
        <w:rPr>
          <w:rFonts w:ascii="Times New Roman" w:hAnsi="Times New Roman" w:cs="Times New Roman"/>
          <w:i/>
          <w:iCs/>
          <w:color w:val="auto"/>
          <w:kern w:val="0"/>
        </w:rPr>
        <w:t>Executive summary for the Micronutrient Powders Consultation : Lessons Learned for Operational Guidance</w:t>
      </w:r>
      <w:r>
        <w:rPr>
          <w:rFonts w:ascii="Times New Roman" w:hAnsi="Times New Roman" w:cs="Times New Roman"/>
          <w:color w:val="auto"/>
          <w:kern w:val="0"/>
        </w:rPr>
        <w:t xml:space="preserve">. </w:t>
      </w:r>
      <w:r>
        <w:rPr>
          <w:rFonts w:ascii="Times New Roman" w:hAnsi="Times New Roman" w:cs="Times New Roman"/>
          <w:i/>
          <w:iCs/>
          <w:color w:val="auto"/>
          <w:kern w:val="0"/>
        </w:rPr>
        <w:t>13</w:t>
      </w:r>
      <w:r>
        <w:rPr>
          <w:rFonts w:ascii="Times New Roman" w:hAnsi="Times New Roman" w:cs="Times New Roman"/>
          <w:color w:val="auto"/>
          <w:kern w:val="0"/>
        </w:rPr>
        <w:t>(June), 1–9. https://doi.org/10.1111/mcn.12493</w:t>
      </w:r>
    </w:p>
    <w:p w14:paraId="1746FC77">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Didzun, O., Neve, J. De, Awasthi, A., Dubey, M., Theilmann, M., Bärnighausen, T., Vollmer, S., &amp; Geldsetzer, P. (2019). Articles Anaemia among men in India : a nationally representative cross-sectional study. </w:t>
      </w:r>
      <w:r>
        <w:rPr>
          <w:rFonts w:ascii="Times New Roman" w:hAnsi="Times New Roman" w:cs="Times New Roman"/>
          <w:i/>
          <w:iCs/>
          <w:color w:val="auto"/>
          <w:kern w:val="0"/>
        </w:rPr>
        <w:t>The Lancet Global Health</w:t>
      </w:r>
      <w:r>
        <w:rPr>
          <w:rFonts w:ascii="Times New Roman" w:hAnsi="Times New Roman" w:cs="Times New Roman"/>
          <w:color w:val="auto"/>
          <w:kern w:val="0"/>
        </w:rPr>
        <w:t xml:space="preserve">, </w:t>
      </w:r>
      <w:r>
        <w:rPr>
          <w:rFonts w:ascii="Times New Roman" w:hAnsi="Times New Roman" w:cs="Times New Roman"/>
          <w:i/>
          <w:iCs/>
          <w:color w:val="auto"/>
          <w:kern w:val="0"/>
        </w:rPr>
        <w:t>7</w:t>
      </w:r>
      <w:r>
        <w:rPr>
          <w:rFonts w:ascii="Times New Roman" w:hAnsi="Times New Roman" w:cs="Times New Roman"/>
          <w:color w:val="auto"/>
          <w:kern w:val="0"/>
        </w:rPr>
        <w:t>(12), e1685–e1694. https://doi.org/10.1016/S2214-109X(19)30440-1</w:t>
      </w:r>
    </w:p>
    <w:p w14:paraId="19501EE6">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Dutta, A., Mohapatra, M. K., Rout, S. K., Kadam, S., Balagopalan, K., Tiwari, D., Yunus, S., Behera, B. K., Kumar, B., Mangaraj, M., Sahu, S., &amp; Paithankar, P. (2020). </w:t>
      </w:r>
      <w:r>
        <w:rPr>
          <w:rFonts w:ascii="Times New Roman" w:hAnsi="Times New Roman" w:cs="Times New Roman"/>
          <w:i/>
          <w:iCs/>
          <w:color w:val="auto"/>
          <w:kern w:val="0"/>
        </w:rPr>
        <w:t>Effect of caste on health , independent of economic disparity : evidence from school children of two rural districts of India</w:t>
      </w:r>
      <w:r>
        <w:rPr>
          <w:rFonts w:ascii="Times New Roman" w:hAnsi="Times New Roman" w:cs="Times New Roman"/>
          <w:color w:val="auto"/>
          <w:kern w:val="0"/>
        </w:rPr>
        <w:t xml:space="preserve">. </w:t>
      </w:r>
      <w:r>
        <w:rPr>
          <w:rFonts w:ascii="Times New Roman" w:hAnsi="Times New Roman" w:cs="Times New Roman"/>
          <w:i/>
          <w:iCs/>
          <w:color w:val="auto"/>
          <w:kern w:val="0"/>
        </w:rPr>
        <w:t>xx</w:t>
      </w:r>
      <w:r>
        <w:rPr>
          <w:rFonts w:ascii="Times New Roman" w:hAnsi="Times New Roman" w:cs="Times New Roman"/>
          <w:color w:val="auto"/>
          <w:kern w:val="0"/>
        </w:rPr>
        <w:t>(xx), 1–18. https://doi.org/10.1111/1467-9566.13105</w:t>
      </w:r>
    </w:p>
    <w:p w14:paraId="31BE23D7">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Fiorentino, M., Perignon, M., Kuong, K., Groot, R. De, Parker, M., Burja, K., Dijkhuizen, M. A., Sokhom, S., Chamnan, C., Berger, J., &amp; Wieringa, F. T. (2017). </w:t>
      </w:r>
      <w:r>
        <w:rPr>
          <w:rFonts w:ascii="Times New Roman" w:hAnsi="Times New Roman" w:cs="Times New Roman"/>
          <w:i/>
          <w:iCs/>
          <w:color w:val="auto"/>
          <w:kern w:val="0"/>
        </w:rPr>
        <w:t>Effect of multi-micronutrient-forti fi ed rice on cognitive performance depends on premix composition and cognitive function tested : results of an effectiveness study in Cambodian schoolchildren Public Health Nutrition</w:t>
      </w:r>
      <w:r>
        <w:rPr>
          <w:rFonts w:ascii="Times New Roman" w:hAnsi="Times New Roman" w:cs="Times New Roman"/>
          <w:color w:val="auto"/>
          <w:kern w:val="0"/>
        </w:rPr>
        <w:t xml:space="preserve">. </w:t>
      </w:r>
      <w:r>
        <w:rPr>
          <w:rFonts w:ascii="Times New Roman" w:hAnsi="Times New Roman" w:cs="Times New Roman"/>
          <w:i/>
          <w:iCs/>
          <w:color w:val="auto"/>
          <w:kern w:val="0"/>
        </w:rPr>
        <w:t>2</w:t>
      </w:r>
      <w:r>
        <w:rPr>
          <w:rFonts w:ascii="Times New Roman" w:hAnsi="Times New Roman" w:cs="Times New Roman"/>
          <w:color w:val="auto"/>
          <w:kern w:val="0"/>
        </w:rPr>
        <w:t>. https://doi.org/10.1017/S1368980017002774</w:t>
      </w:r>
    </w:p>
    <w:p w14:paraId="3A4DE19C">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Goyal, A., et al. (2003). </w:t>
      </w:r>
      <w:r>
        <w:rPr>
          <w:rFonts w:ascii="Times New Roman" w:hAnsi="Times New Roman" w:cs="Times New Roman"/>
          <w:i/>
          <w:iCs/>
          <w:color w:val="auto"/>
          <w:kern w:val="0"/>
        </w:rPr>
        <w:t>Future of Mid-Day Meals</w:t>
      </w:r>
      <w:r>
        <w:rPr>
          <w:rFonts w:ascii="Times New Roman" w:hAnsi="Times New Roman" w:cs="Times New Roman"/>
          <w:color w:val="auto"/>
          <w:kern w:val="0"/>
        </w:rPr>
        <w:t xml:space="preserve">. Economic and Political Weekly. </w:t>
      </w:r>
      <w:r>
        <w:rPr>
          <w:rFonts w:ascii="Times New Roman" w:hAnsi="Times New Roman" w:cs="Times New Roman"/>
          <w:i/>
          <w:iCs/>
          <w:color w:val="auto"/>
          <w:kern w:val="0"/>
        </w:rPr>
        <w:t>July</w:t>
      </w:r>
      <w:r>
        <w:rPr>
          <w:rFonts w:ascii="Times New Roman" w:hAnsi="Times New Roman" w:cs="Times New Roman"/>
          <w:color w:val="auto"/>
          <w:kern w:val="0"/>
        </w:rPr>
        <w:t>. https://ideas.repec.org/p/pra/mprapa/17386.html</w:t>
      </w:r>
    </w:p>
    <w:p w14:paraId="32A4A6B6">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Gupta, S., Taraphdar, P., Haldar, D., &amp; Purkait, B. (2012). </w:t>
      </w:r>
      <w:r>
        <w:rPr>
          <w:rFonts w:ascii="Times New Roman" w:hAnsi="Times New Roman" w:cs="Times New Roman"/>
          <w:i/>
          <w:iCs/>
          <w:color w:val="auto"/>
          <w:kern w:val="0"/>
        </w:rPr>
        <w:t>The silent burden of anemia in school age children : A community based study in West Bengal ORIGINAL ARTICLE THE SILENT BURDEN OF ANEMIA IN SCHOOL AGE CHILDREN :</w:t>
      </w:r>
      <w:r>
        <w:rPr>
          <w:rFonts w:ascii="Times New Roman" w:hAnsi="Times New Roman" w:cs="Times New Roman"/>
          <w:color w:val="auto"/>
          <w:kern w:val="0"/>
        </w:rPr>
        <w:t xml:space="preserve"> </w:t>
      </w:r>
      <w:r>
        <w:rPr>
          <w:rFonts w:ascii="Times New Roman" w:hAnsi="Times New Roman" w:cs="Times New Roman"/>
          <w:i/>
          <w:iCs/>
          <w:color w:val="auto"/>
          <w:kern w:val="0"/>
        </w:rPr>
        <w:t>July</w:t>
      </w:r>
      <w:r>
        <w:rPr>
          <w:rFonts w:ascii="Times New Roman" w:hAnsi="Times New Roman" w:cs="Times New Roman"/>
          <w:color w:val="auto"/>
          <w:kern w:val="0"/>
        </w:rPr>
        <w:t>. https://doi.org/10.4103/0019-5359.114179</w:t>
      </w:r>
    </w:p>
    <w:p w14:paraId="719C73A6">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Jp, R., Lm, D., Ns, N., Mn, G., &amp; Ja, S. (2019). </w:t>
      </w:r>
      <w:r>
        <w:rPr>
          <w:rFonts w:ascii="Times New Roman" w:hAnsi="Times New Roman" w:cs="Times New Roman"/>
          <w:i/>
          <w:iCs/>
          <w:color w:val="auto"/>
          <w:kern w:val="0"/>
        </w:rPr>
        <w:t>Peña-Rosas JP, Mithra P, Unnikrishnan B, Kumar N, De-Regil LM, Nair NS, Garcia-Casal MN, Solon JA</w:t>
      </w:r>
      <w:r>
        <w:rPr>
          <w:rFonts w:ascii="Times New Roman" w:hAnsi="Times New Roman" w:cs="Times New Roman"/>
          <w:color w:val="auto"/>
          <w:kern w:val="0"/>
        </w:rPr>
        <w:t>. https://doi.org/10.1002/14651858.CD009902.pub2.www.cochranelibrary.com</w:t>
      </w:r>
    </w:p>
    <w:p w14:paraId="1A0D97DA">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Keats, E. C., Neufeld, L. M., Garrett, G. S., Mbuya, M. N. N., &amp; Bhutta, Z. A. (2019). </w:t>
      </w:r>
      <w:r>
        <w:rPr>
          <w:rFonts w:ascii="Times New Roman" w:hAnsi="Times New Roman" w:cs="Times New Roman"/>
          <w:i/>
          <w:iCs/>
          <w:color w:val="auto"/>
          <w:kern w:val="0"/>
        </w:rPr>
        <w:t>Improved micronutrient status and health outcomes in low- and middle-income countries following large-scale fortification : evidence from a systematic review and meta-analysis</w:t>
      </w:r>
      <w:r>
        <w:rPr>
          <w:rFonts w:ascii="Times New Roman" w:hAnsi="Times New Roman" w:cs="Times New Roman"/>
          <w:color w:val="auto"/>
          <w:kern w:val="0"/>
        </w:rPr>
        <w:t>. 1–13.</w:t>
      </w:r>
    </w:p>
    <w:p w14:paraId="16873315">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Kvalsvig, J. D., Faber, M., Kruger, M., &amp; Kenoyer, D. G. (2018). </w:t>
      </w:r>
      <w:r>
        <w:rPr>
          <w:rFonts w:ascii="Times New Roman" w:hAnsi="Times New Roman" w:cs="Times New Roman"/>
          <w:i/>
          <w:iCs/>
          <w:color w:val="auto"/>
          <w:kern w:val="0"/>
        </w:rPr>
        <w:t xml:space="preserve">Effect of iron- , iodine- , and </w:t>
      </w:r>
      <w:r>
        <w:rPr>
          <w:rFonts w:ascii="Segoe UI Symbol" w:hAnsi="Segoe UI Symbol" w:cs="Segoe UI Symbol"/>
          <w:i/>
          <w:iCs/>
          <w:color w:val="auto"/>
          <w:kern w:val="0"/>
        </w:rPr>
        <w:t>␤</w:t>
      </w:r>
      <w:r>
        <w:rPr>
          <w:rFonts w:ascii="Times New Roman" w:hAnsi="Times New Roman" w:cs="Times New Roman"/>
          <w:i/>
          <w:iCs/>
          <w:color w:val="auto"/>
          <w:kern w:val="0"/>
        </w:rPr>
        <w:t xml:space="preserve"> -carotene – fortified biscuits on the micronutrient status of primary school children : a randomized</w:t>
      </w:r>
      <w:r>
        <w:rPr>
          <w:rFonts w:ascii="Times New Roman" w:hAnsi="Times New Roman" w:cs="Times New Roman"/>
          <w:color w:val="auto"/>
          <w:kern w:val="0"/>
        </w:rPr>
        <w:t xml:space="preserve">. </w:t>
      </w:r>
      <w:r>
        <w:rPr>
          <w:rFonts w:ascii="Times New Roman" w:hAnsi="Times New Roman" w:cs="Times New Roman"/>
          <w:i/>
          <w:iCs/>
          <w:color w:val="auto"/>
          <w:kern w:val="0"/>
        </w:rPr>
        <w:t>April</w:t>
      </w:r>
      <w:r>
        <w:rPr>
          <w:rFonts w:ascii="Times New Roman" w:hAnsi="Times New Roman" w:cs="Times New Roman"/>
          <w:color w:val="auto"/>
          <w:kern w:val="0"/>
        </w:rPr>
        <w:t>, 497–503.</w:t>
      </w:r>
    </w:p>
    <w:p w14:paraId="5BBF5889">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Manger, M. S., Mckenzie, J. E., Winichagoon, P., Gray, A., Chavasit, V., &amp; Pongcharoen, T. (2008). </w:t>
      </w:r>
      <w:r>
        <w:rPr>
          <w:rFonts w:ascii="Times New Roman" w:hAnsi="Times New Roman" w:cs="Times New Roman"/>
          <w:i/>
          <w:iCs/>
          <w:color w:val="auto"/>
          <w:kern w:val="0"/>
        </w:rPr>
        <w:t>A micronutrient-fortified seasoning powder reduces morbidity and improves short-term cognitive function , but has no effect on anthropometric measures in primary school children in northeast Thailand : a randomized controlled trial 1 – 3</w:t>
      </w:r>
      <w:r>
        <w:rPr>
          <w:rFonts w:ascii="Times New Roman" w:hAnsi="Times New Roman" w:cs="Times New Roman"/>
          <w:color w:val="auto"/>
          <w:kern w:val="0"/>
        </w:rPr>
        <w:t xml:space="preserve">. </w:t>
      </w:r>
      <w:r>
        <w:rPr>
          <w:rFonts w:ascii="Times New Roman" w:hAnsi="Times New Roman" w:cs="Times New Roman"/>
          <w:i/>
          <w:iCs/>
          <w:color w:val="auto"/>
          <w:kern w:val="0"/>
        </w:rPr>
        <w:t>1</w:t>
      </w:r>
      <w:r>
        <w:rPr>
          <w:rFonts w:ascii="Times New Roman" w:hAnsi="Times New Roman" w:cs="Times New Roman"/>
          <w:color w:val="auto"/>
          <w:kern w:val="0"/>
        </w:rPr>
        <w:t>.</w:t>
      </w:r>
    </w:p>
    <w:p w14:paraId="56B46A8B">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Mantadakis, E., Chatzimichael, E., &amp; Zikidou, P. (2020). </w:t>
      </w:r>
      <w:r>
        <w:rPr>
          <w:rFonts w:ascii="Times New Roman" w:hAnsi="Times New Roman" w:cs="Times New Roman"/>
          <w:i/>
          <w:iCs/>
          <w:color w:val="auto"/>
          <w:kern w:val="0"/>
        </w:rPr>
        <w:t>Iron Deficiency Anemia in Children Residing in High and Low-Income Countries : Risk Factors , Prevention , Diagnosis and Therapy</w:t>
      </w:r>
      <w:r>
        <w:rPr>
          <w:rFonts w:ascii="Times New Roman" w:hAnsi="Times New Roman" w:cs="Times New Roman"/>
          <w:color w:val="auto"/>
          <w:kern w:val="0"/>
        </w:rPr>
        <w:t>.</w:t>
      </w:r>
    </w:p>
    <w:p w14:paraId="62682A1D">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Mengistu, G., Azage, M., &amp; Gutema, H. (2019). </w:t>
      </w:r>
      <w:r>
        <w:rPr>
          <w:rFonts w:ascii="Times New Roman" w:hAnsi="Times New Roman" w:cs="Times New Roman"/>
          <w:i/>
          <w:iCs/>
          <w:color w:val="auto"/>
          <w:kern w:val="0"/>
        </w:rPr>
        <w:t>Iron Deficiency Anemia among In-School Adolescent Girls in Rural Area of Bahir Dar City Administration , North West Ethiopia</w:t>
      </w:r>
      <w:r>
        <w:rPr>
          <w:rFonts w:ascii="Times New Roman" w:hAnsi="Times New Roman" w:cs="Times New Roman"/>
          <w:color w:val="auto"/>
          <w:kern w:val="0"/>
        </w:rPr>
        <w:t xml:space="preserve">. </w:t>
      </w:r>
      <w:r>
        <w:rPr>
          <w:rFonts w:ascii="Times New Roman" w:hAnsi="Times New Roman" w:cs="Times New Roman"/>
          <w:i/>
          <w:iCs/>
          <w:color w:val="auto"/>
          <w:kern w:val="0"/>
        </w:rPr>
        <w:t>2019</w:t>
      </w:r>
      <w:r>
        <w:rPr>
          <w:rFonts w:ascii="Times New Roman" w:hAnsi="Times New Roman" w:cs="Times New Roman"/>
          <w:color w:val="auto"/>
          <w:kern w:val="0"/>
        </w:rPr>
        <w:t>, 1–9.</w:t>
      </w:r>
    </w:p>
    <w:p w14:paraId="51248FA6">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Moretti, D., Zimmermann, M. B., Muthayya, S., Thankachan, P., Lee, T., &amp; Kurpad, A. V. (2018). </w:t>
      </w:r>
      <w:r>
        <w:rPr>
          <w:rFonts w:ascii="Times New Roman" w:hAnsi="Times New Roman" w:cs="Times New Roman"/>
          <w:i/>
          <w:iCs/>
          <w:color w:val="auto"/>
          <w:kern w:val="0"/>
        </w:rPr>
        <w:t>Extruded rice fortified with micronized ground ferric pyrophosphate reduces iron deficiency in Indian schoolchildren : a double-blind randomized controlled trial 1 – 3</w:t>
      </w:r>
      <w:r>
        <w:rPr>
          <w:rFonts w:ascii="Times New Roman" w:hAnsi="Times New Roman" w:cs="Times New Roman"/>
          <w:color w:val="auto"/>
          <w:kern w:val="0"/>
        </w:rPr>
        <w:t xml:space="preserve">. </w:t>
      </w:r>
      <w:r>
        <w:rPr>
          <w:rFonts w:ascii="Times New Roman" w:hAnsi="Times New Roman" w:cs="Times New Roman"/>
          <w:i/>
          <w:iCs/>
          <w:color w:val="auto"/>
          <w:kern w:val="0"/>
        </w:rPr>
        <w:t>April</w:t>
      </w:r>
      <w:r>
        <w:rPr>
          <w:rFonts w:ascii="Times New Roman" w:hAnsi="Times New Roman" w:cs="Times New Roman"/>
          <w:color w:val="auto"/>
          <w:kern w:val="0"/>
        </w:rPr>
        <w:t>, 822–829.</w:t>
      </w:r>
    </w:p>
    <w:p w14:paraId="02A7A97A">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Ms, F., Mithra, P., &amp; Jp, P. (2021). </w:t>
      </w:r>
      <w:r>
        <w:rPr>
          <w:rFonts w:ascii="Times New Roman" w:hAnsi="Times New Roman" w:cs="Times New Roman"/>
          <w:i/>
          <w:iCs/>
          <w:color w:val="auto"/>
          <w:kern w:val="0"/>
        </w:rPr>
        <w:t>Wheat flour fortification with iron and other micronutrients for reducing anaemia and improving iron status in populations (Review)</w:t>
      </w:r>
      <w:r>
        <w:rPr>
          <w:rFonts w:ascii="Times New Roman" w:hAnsi="Times New Roman" w:cs="Times New Roman"/>
          <w:color w:val="auto"/>
          <w:kern w:val="0"/>
        </w:rPr>
        <w:t>. https://doi.org/10.1002/14651858.CD011302.pub3.www.cochranelibrary.com</w:t>
      </w:r>
    </w:p>
    <w:p w14:paraId="751D5C73">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Nieman, D. C., Henson, D. A., &amp; Sha, W. (2011). </w:t>
      </w:r>
      <w:r>
        <w:rPr>
          <w:rFonts w:ascii="Times New Roman" w:hAnsi="Times New Roman" w:cs="Times New Roman"/>
          <w:i/>
          <w:iCs/>
          <w:color w:val="auto"/>
          <w:kern w:val="0"/>
        </w:rPr>
        <w:t>Ingestion of micronutrient fortified breakfast cereal has no influence on immune function in healthy children : A randomized controlled trial</w:t>
      </w:r>
      <w:r>
        <w:rPr>
          <w:rFonts w:ascii="Times New Roman" w:hAnsi="Times New Roman" w:cs="Times New Roman"/>
          <w:color w:val="auto"/>
          <w:kern w:val="0"/>
        </w:rPr>
        <w:t>. 1–9. https://doi.org/10.1186/1475-2891-10-36</w:t>
      </w:r>
    </w:p>
    <w:p w14:paraId="02708B4A">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Olson, R., Gavin-smith, B., Ferraboschi, C., &amp; Kraemer, K. (2021). </w:t>
      </w:r>
      <w:r>
        <w:rPr>
          <w:rFonts w:ascii="Times New Roman" w:hAnsi="Times New Roman" w:cs="Times New Roman"/>
          <w:i/>
          <w:iCs/>
          <w:color w:val="auto"/>
          <w:kern w:val="0"/>
        </w:rPr>
        <w:t>Food Fortification : The Advantages , Disadvantages and Lessons from Sight and Life Programs</w:t>
      </w:r>
      <w:r>
        <w:rPr>
          <w:rFonts w:ascii="Times New Roman" w:hAnsi="Times New Roman" w:cs="Times New Roman"/>
          <w:color w:val="auto"/>
          <w:kern w:val="0"/>
        </w:rPr>
        <w:t>.</w:t>
      </w:r>
    </w:p>
    <w:p w14:paraId="329C4277">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Onyeneho, N. G., Ozumba, B. C., &amp; Subramanian, S. V. (2019). Determinants of Childhood Anemia in India. </w:t>
      </w:r>
      <w:r>
        <w:rPr>
          <w:rFonts w:ascii="Times New Roman" w:hAnsi="Times New Roman" w:cs="Times New Roman"/>
          <w:i/>
          <w:iCs/>
          <w:color w:val="auto"/>
          <w:kern w:val="0"/>
        </w:rPr>
        <w:t>Scientific Reports</w:t>
      </w:r>
      <w:r>
        <w:rPr>
          <w:rFonts w:ascii="Times New Roman" w:hAnsi="Times New Roman" w:cs="Times New Roman"/>
          <w:color w:val="auto"/>
          <w:kern w:val="0"/>
        </w:rPr>
        <w:t>, 1–7. https://doi.org/10.1038/s41598-019-52793-3</w:t>
      </w:r>
    </w:p>
    <w:p w14:paraId="2FAEABFF">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Piccoli, N. B., Grede, N., Pee, S. De, Singhkumarwong, A., Roks, E., Moench-pfanner, R., &amp; Bloem, M. W. (2012). </w:t>
      </w:r>
      <w:r>
        <w:rPr>
          <w:rFonts w:ascii="Times New Roman" w:hAnsi="Times New Roman" w:cs="Times New Roman"/>
          <w:i/>
          <w:iCs/>
          <w:color w:val="auto"/>
          <w:kern w:val="0"/>
        </w:rPr>
        <w:t>Rice fortification : Its potential for improving micronutrient intake and steps required for implementation at scale</w:t>
      </w:r>
      <w:r>
        <w:rPr>
          <w:rFonts w:ascii="Times New Roman" w:hAnsi="Times New Roman" w:cs="Times New Roman"/>
          <w:color w:val="auto"/>
          <w:kern w:val="0"/>
        </w:rPr>
        <w:t xml:space="preserve">. </w:t>
      </w:r>
      <w:r>
        <w:rPr>
          <w:rFonts w:ascii="Times New Roman" w:hAnsi="Times New Roman" w:cs="Times New Roman"/>
          <w:i/>
          <w:iCs/>
          <w:color w:val="auto"/>
          <w:kern w:val="0"/>
        </w:rPr>
        <w:t>33</w:t>
      </w:r>
      <w:r>
        <w:rPr>
          <w:rFonts w:ascii="Times New Roman" w:hAnsi="Times New Roman" w:cs="Times New Roman"/>
          <w:color w:val="auto"/>
          <w:kern w:val="0"/>
        </w:rPr>
        <w:t>(4), 360–372.</w:t>
      </w:r>
    </w:p>
    <w:p w14:paraId="5B091B2B">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Stevens, G. A., Finucane, M. M., De-regil, L. M., Paciorek, C. J., Flaxman, S. R., Branca, F., &amp; Peña-rosas, J. P. (2013). </w:t>
      </w:r>
      <w:r>
        <w:rPr>
          <w:rFonts w:ascii="Times New Roman" w:hAnsi="Times New Roman" w:cs="Times New Roman"/>
          <w:i/>
          <w:iCs/>
          <w:color w:val="auto"/>
          <w:kern w:val="0"/>
        </w:rPr>
        <w:t>Global , regional , and national trends in haemoglobin concentration and prevalence of total and severe anaemia in children and pregnant and non-pregnant women for 1995 – 2011 : a systematic analysis of population-representative data</w:t>
      </w:r>
      <w:r>
        <w:rPr>
          <w:rFonts w:ascii="Times New Roman" w:hAnsi="Times New Roman" w:cs="Times New Roman"/>
          <w:color w:val="auto"/>
          <w:kern w:val="0"/>
        </w:rPr>
        <w:t>. 16–25. https://doi.org/10.1016/S2214-109X(13)70001-9</w:t>
      </w:r>
    </w:p>
    <w:p w14:paraId="0764300B">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Thankachan, P., Selvam, S., Surendran, D., Chellan, S., Pauline, M., Abrams, S. A., &amp; Kurpad, A. V. (2012). Efficacy of a multi micronutrient-fortified drink in improving iron and micronutrient status among schoolchildren with low iron stores in India : a randomised , double-masked placebo-controlled trial. </w:t>
      </w:r>
      <w:r>
        <w:rPr>
          <w:rFonts w:ascii="Times New Roman" w:hAnsi="Times New Roman" w:cs="Times New Roman"/>
          <w:i/>
          <w:iCs/>
          <w:color w:val="auto"/>
          <w:kern w:val="0"/>
        </w:rPr>
        <w:t>European Journal of Clinical Nutrition</w:t>
      </w:r>
      <w:r>
        <w:rPr>
          <w:rFonts w:ascii="Times New Roman" w:hAnsi="Times New Roman" w:cs="Times New Roman"/>
          <w:color w:val="auto"/>
          <w:kern w:val="0"/>
        </w:rPr>
        <w:t xml:space="preserve">, </w:t>
      </w:r>
      <w:r>
        <w:rPr>
          <w:rFonts w:ascii="Times New Roman" w:hAnsi="Times New Roman" w:cs="Times New Roman"/>
          <w:i/>
          <w:iCs/>
          <w:color w:val="auto"/>
          <w:kern w:val="0"/>
        </w:rPr>
        <w:t>67</w:t>
      </w:r>
      <w:r>
        <w:rPr>
          <w:rFonts w:ascii="Times New Roman" w:hAnsi="Times New Roman" w:cs="Times New Roman"/>
          <w:color w:val="auto"/>
          <w:kern w:val="0"/>
        </w:rPr>
        <w:t>(1), 36–41. https://doi.org/10.1038/ejcn.2012.188</w:t>
      </w:r>
    </w:p>
    <w:p w14:paraId="2993CD4B">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Union, I., Tuberculosis, A., Thiagesan, R., &amp; Ramachandran, R. (2023). </w:t>
      </w:r>
      <w:r>
        <w:rPr>
          <w:rFonts w:ascii="Times New Roman" w:hAnsi="Times New Roman" w:cs="Times New Roman"/>
          <w:i/>
          <w:iCs/>
          <w:color w:val="auto"/>
          <w:kern w:val="0"/>
        </w:rPr>
        <w:t>Anaemia among schoolchildren from southern Kerala , India : A cross-sectional study</w:t>
      </w:r>
      <w:r>
        <w:rPr>
          <w:rFonts w:ascii="Times New Roman" w:hAnsi="Times New Roman" w:cs="Times New Roman"/>
          <w:color w:val="auto"/>
          <w:kern w:val="0"/>
        </w:rPr>
        <w:t xml:space="preserve">. </w:t>
      </w:r>
      <w:r>
        <w:rPr>
          <w:rFonts w:ascii="Times New Roman" w:hAnsi="Times New Roman" w:cs="Times New Roman"/>
          <w:i/>
          <w:iCs/>
          <w:color w:val="auto"/>
          <w:kern w:val="0"/>
        </w:rPr>
        <w:t>September 2015</w:t>
      </w:r>
      <w:r>
        <w:rPr>
          <w:rFonts w:ascii="Times New Roman" w:hAnsi="Times New Roman" w:cs="Times New Roman"/>
          <w:color w:val="auto"/>
          <w:kern w:val="0"/>
        </w:rPr>
        <w:t>.</w:t>
      </w:r>
    </w:p>
    <w:p w14:paraId="26379209">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Uruno, J. O. N. P. F., Hu, J. I. Z., Eterson, D. A. N. E. P., &amp; Inkelstein, J. O. F. (2006). </w:t>
      </w:r>
      <w:r>
        <w:rPr>
          <w:rFonts w:ascii="Times New Roman" w:hAnsi="Times New Roman" w:cs="Times New Roman"/>
          <w:i/>
          <w:iCs/>
          <w:color w:val="auto"/>
          <w:kern w:val="0"/>
        </w:rPr>
        <w:t>The Use and Interpretation of Quasi-Experimental Studies in Medical Informatics</w:t>
      </w:r>
      <w:r>
        <w:rPr>
          <w:rFonts w:ascii="Times New Roman" w:hAnsi="Times New Roman" w:cs="Times New Roman"/>
          <w:color w:val="auto"/>
          <w:kern w:val="0"/>
        </w:rPr>
        <w:t>. 16–23. https://doi.org/10.1197/jamia.M1749.Background</w:t>
      </w:r>
    </w:p>
    <w:p w14:paraId="3CEA2A4D">
      <w:pPr>
        <w:widowControl w:val="0"/>
        <w:autoSpaceDE w:val="0"/>
        <w:autoSpaceDN w:val="0"/>
        <w:adjustRightInd w:val="0"/>
        <w:spacing w:after="0" w:line="480" w:lineRule="auto"/>
        <w:ind w:left="480" w:hanging="480"/>
        <w:jc w:val="both"/>
        <w:rPr>
          <w:rFonts w:ascii="Times New Roman" w:hAnsi="Times New Roman" w:cs="Times New Roman"/>
          <w:color w:val="auto"/>
          <w:kern w:val="0"/>
        </w:rPr>
      </w:pPr>
      <w:r>
        <w:rPr>
          <w:rFonts w:ascii="Times New Roman" w:hAnsi="Times New Roman" w:cs="Times New Roman"/>
          <w:color w:val="auto"/>
          <w:kern w:val="0"/>
        </w:rPr>
        <w:t xml:space="preserve">Yang, F., Liu, X., &amp; Zha, P. (2018). </w:t>
      </w:r>
      <w:r>
        <w:rPr>
          <w:rFonts w:ascii="Times New Roman" w:hAnsi="Times New Roman" w:cs="Times New Roman"/>
          <w:i/>
          <w:iCs/>
          <w:color w:val="auto"/>
          <w:kern w:val="0"/>
        </w:rPr>
        <w:t>Trends in Socioeconomic Inequalities and Prevalence of Anemia Among Children and Nonpregnant Women in Low- and Middle-Income Countries</w:t>
      </w:r>
      <w:r>
        <w:rPr>
          <w:rFonts w:ascii="Times New Roman" w:hAnsi="Times New Roman" w:cs="Times New Roman"/>
          <w:color w:val="auto"/>
          <w:kern w:val="0"/>
        </w:rPr>
        <w:t xml:space="preserve">. </w:t>
      </w:r>
      <w:r>
        <w:rPr>
          <w:rFonts w:ascii="Times New Roman" w:hAnsi="Times New Roman" w:cs="Times New Roman"/>
          <w:i/>
          <w:iCs/>
          <w:color w:val="auto"/>
          <w:kern w:val="0"/>
        </w:rPr>
        <w:t>1</w:t>
      </w:r>
      <w:r>
        <w:rPr>
          <w:rFonts w:ascii="Times New Roman" w:hAnsi="Times New Roman" w:cs="Times New Roman"/>
          <w:color w:val="auto"/>
          <w:kern w:val="0"/>
        </w:rPr>
        <w:t>(5), 1–14. https://doi.org/10.1001/jamanetworkopen.2018.2899</w:t>
      </w:r>
    </w:p>
    <w:p w14:paraId="7E65AD4D">
      <w:pPr>
        <w:widowControl w:val="0"/>
        <w:autoSpaceDE w:val="0"/>
        <w:autoSpaceDN w:val="0"/>
        <w:adjustRightInd w:val="0"/>
        <w:spacing w:after="0" w:line="480" w:lineRule="auto"/>
        <w:ind w:left="480" w:hanging="480"/>
        <w:jc w:val="both"/>
        <w:rPr>
          <w:rFonts w:ascii="Times New Roman" w:hAnsi="Times New Roman" w:cs="Times New Roman"/>
          <w:color w:val="auto"/>
        </w:rPr>
      </w:pPr>
      <w:r>
        <w:rPr>
          <w:rFonts w:ascii="Times New Roman" w:hAnsi="Times New Roman" w:cs="Times New Roman"/>
          <w:color w:val="auto"/>
          <w:kern w:val="0"/>
        </w:rPr>
        <w:t xml:space="preserve">Yusufali, R., Ghoos, K., Nations, U., Food, W., Milani, P., &amp; Foundation, T. R. (2015). </w:t>
      </w:r>
      <w:r>
        <w:rPr>
          <w:rFonts w:ascii="Times New Roman" w:hAnsi="Times New Roman" w:cs="Times New Roman"/>
          <w:i/>
          <w:iCs/>
          <w:color w:val="auto"/>
          <w:kern w:val="0"/>
        </w:rPr>
        <w:t>Scaling up Rice Fortification in Asia</w:t>
      </w:r>
      <w:r>
        <w:rPr>
          <w:rFonts w:ascii="Times New Roman" w:hAnsi="Times New Roman" w:cs="Times New Roman"/>
          <w:color w:val="auto"/>
          <w:kern w:val="0"/>
        </w:rPr>
        <w:t xml:space="preserve">. </w:t>
      </w:r>
      <w:r>
        <w:rPr>
          <w:rFonts w:ascii="Times New Roman" w:hAnsi="Times New Roman" w:cs="Times New Roman"/>
          <w:i/>
          <w:iCs/>
          <w:color w:val="auto"/>
          <w:kern w:val="0"/>
        </w:rPr>
        <w:t>July</w:t>
      </w:r>
      <w:r>
        <w:rPr>
          <w:rFonts w:ascii="Times New Roman" w:hAnsi="Times New Roman" w:cs="Times New Roman"/>
          <w:color w:val="auto"/>
          <w:kern w:val="0"/>
        </w:rPr>
        <w:t>.</w:t>
      </w:r>
    </w:p>
    <w:p w14:paraId="06B8FF97">
      <w:pPr>
        <w:spacing w:after="0" w:line="480" w:lineRule="auto"/>
        <w:jc w:val="both"/>
        <w:rPr>
          <w:rFonts w:ascii="Times New Roman" w:hAnsi="Times New Roman" w:cs="Times New Roman"/>
          <w:color w:val="auto"/>
        </w:rPr>
      </w:pPr>
      <w:r>
        <w:rPr>
          <w:rFonts w:ascii="Times New Roman" w:hAnsi="Times New Roman" w:cs="Times New Roman"/>
          <w:color w:val="auto"/>
        </w:rPr>
        <w:fldChar w:fldCharType="end"/>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64B25"/>
    <w:multiLevelType w:val="multilevel"/>
    <w:tmpl w:val="00D64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B5E6E7B"/>
    <w:multiLevelType w:val="multilevel"/>
    <w:tmpl w:val="2B5E6E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45828C8"/>
    <w:multiLevelType w:val="multilevel"/>
    <w:tmpl w:val="44582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D99100F"/>
    <w:multiLevelType w:val="multilevel"/>
    <w:tmpl w:val="5D9910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78"/>
    <w:rsid w:val="00136797"/>
    <w:rsid w:val="00280DEC"/>
    <w:rsid w:val="002E071C"/>
    <w:rsid w:val="002F2178"/>
    <w:rsid w:val="00335F93"/>
    <w:rsid w:val="003F4CAE"/>
    <w:rsid w:val="00444A9A"/>
    <w:rsid w:val="00492544"/>
    <w:rsid w:val="004E54F7"/>
    <w:rsid w:val="00505307"/>
    <w:rsid w:val="00507576"/>
    <w:rsid w:val="005322AB"/>
    <w:rsid w:val="00570CD9"/>
    <w:rsid w:val="005F7D59"/>
    <w:rsid w:val="00681ABC"/>
    <w:rsid w:val="00743826"/>
    <w:rsid w:val="008C70CC"/>
    <w:rsid w:val="009860AD"/>
    <w:rsid w:val="00A10E95"/>
    <w:rsid w:val="00A42D3D"/>
    <w:rsid w:val="00B10BA9"/>
    <w:rsid w:val="00B51EC1"/>
    <w:rsid w:val="00C07B90"/>
    <w:rsid w:val="00C470A6"/>
    <w:rsid w:val="00C7766F"/>
    <w:rsid w:val="00CD3228"/>
    <w:rsid w:val="00CE024C"/>
    <w:rsid w:val="00DC2902"/>
    <w:rsid w:val="00E3260C"/>
    <w:rsid w:val="00E9423D"/>
    <w:rsid w:val="00EE720F"/>
    <w:rsid w:val="00F00259"/>
    <w:rsid w:val="00F23C7C"/>
    <w:rsid w:val="027A7612"/>
    <w:rsid w:val="030A2589"/>
    <w:rsid w:val="04392C7B"/>
    <w:rsid w:val="056A6870"/>
    <w:rsid w:val="05D24F9A"/>
    <w:rsid w:val="06191E33"/>
    <w:rsid w:val="070C181F"/>
    <w:rsid w:val="083E2E96"/>
    <w:rsid w:val="0E321257"/>
    <w:rsid w:val="103819AC"/>
    <w:rsid w:val="110348F8"/>
    <w:rsid w:val="11624912"/>
    <w:rsid w:val="12F9372E"/>
    <w:rsid w:val="13611E59"/>
    <w:rsid w:val="140B4552"/>
    <w:rsid w:val="149A0C5C"/>
    <w:rsid w:val="15B346F0"/>
    <w:rsid w:val="18294330"/>
    <w:rsid w:val="193E7D91"/>
    <w:rsid w:val="195A7F25"/>
    <w:rsid w:val="195D0EAA"/>
    <w:rsid w:val="1AFC2ED4"/>
    <w:rsid w:val="1CF06807"/>
    <w:rsid w:val="1E8930A5"/>
    <w:rsid w:val="255911D5"/>
    <w:rsid w:val="255A6C57"/>
    <w:rsid w:val="26EA788C"/>
    <w:rsid w:val="28F12FBA"/>
    <w:rsid w:val="2D52226A"/>
    <w:rsid w:val="2E1F613B"/>
    <w:rsid w:val="326C730B"/>
    <w:rsid w:val="327921DC"/>
    <w:rsid w:val="33973471"/>
    <w:rsid w:val="36113FC2"/>
    <w:rsid w:val="37437BB7"/>
    <w:rsid w:val="3ADC741E"/>
    <w:rsid w:val="43315D2E"/>
    <w:rsid w:val="433A5C59"/>
    <w:rsid w:val="43736A00"/>
    <w:rsid w:val="44D24A75"/>
    <w:rsid w:val="452D34B4"/>
    <w:rsid w:val="4539571E"/>
    <w:rsid w:val="46BC13D0"/>
    <w:rsid w:val="499D5953"/>
    <w:rsid w:val="4ACF6FC9"/>
    <w:rsid w:val="4E6B55B6"/>
    <w:rsid w:val="4EC97B4E"/>
    <w:rsid w:val="4F7A02B0"/>
    <w:rsid w:val="5122044E"/>
    <w:rsid w:val="55995C7E"/>
    <w:rsid w:val="56661B4F"/>
    <w:rsid w:val="57FD096B"/>
    <w:rsid w:val="589C07F4"/>
    <w:rsid w:val="59301FE2"/>
    <w:rsid w:val="5AEC447A"/>
    <w:rsid w:val="5B944CCF"/>
    <w:rsid w:val="5BF117E5"/>
    <w:rsid w:val="5BF4276A"/>
    <w:rsid w:val="61154AB0"/>
    <w:rsid w:val="64596731"/>
    <w:rsid w:val="69EF255B"/>
    <w:rsid w:val="69EF7FDC"/>
    <w:rsid w:val="6B1A09C3"/>
    <w:rsid w:val="6B252C16"/>
    <w:rsid w:val="6CB32CE3"/>
    <w:rsid w:val="71B82B42"/>
    <w:rsid w:val="744D62DD"/>
    <w:rsid w:val="75136FA0"/>
    <w:rsid w:val="78561266"/>
    <w:rsid w:val="7AC53F07"/>
    <w:rsid w:val="7D730CD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Normal (Web)"/>
    <w:basedOn w:val="1"/>
    <w:semiHidden/>
    <w:unhideWhenUsed/>
    <w:qFormat/>
    <w:uiPriority w:val="99"/>
    <w:rPr>
      <w:rFonts w:ascii="Times New Roman" w:hAnsi="Times New Roman" w:cs="Times New Roman"/>
    </w:r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1">
    <w:name w:val="Heading 4 Char"/>
    <w:basedOn w:val="11"/>
    <w:link w:val="5"/>
    <w:semiHidden/>
    <w:uiPriority w:val="9"/>
    <w:rPr>
      <w:rFonts w:eastAsiaTheme="majorEastAsia" w:cstheme="majorBidi"/>
      <w:i/>
      <w:iCs/>
      <w:color w:val="104862" w:themeColor="accent1" w:themeShade="BF"/>
    </w:rPr>
  </w:style>
  <w:style w:type="character" w:customStyle="1" w:styleId="22">
    <w:name w:val="Heading 5 Char"/>
    <w:basedOn w:val="11"/>
    <w:link w:val="6"/>
    <w:semiHidden/>
    <w:qFormat/>
    <w:uiPriority w:val="9"/>
    <w:rPr>
      <w:rFonts w:eastAsiaTheme="majorEastAsia" w:cstheme="majorBidi"/>
      <w:color w:val="104862"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6D2DE-D6A0-4344-9A9B-93ADCEB921AF}">
  <ds:schemaRefs/>
</ds:datastoreItem>
</file>

<file path=docProps/app.xml><?xml version="1.0" encoding="utf-8"?>
<Properties xmlns="http://schemas.openxmlformats.org/officeDocument/2006/extended-properties" xmlns:vt="http://schemas.openxmlformats.org/officeDocument/2006/docPropsVTypes">
  <Template>Normal</Template>
  <Pages>22</Pages>
  <Words>12578</Words>
  <Characters>71695</Characters>
  <Lines>597</Lines>
  <Paragraphs>168</Paragraphs>
  <TotalTime>0</TotalTime>
  <ScaleCrop>false</ScaleCrop>
  <LinksUpToDate>false</LinksUpToDate>
  <CharactersWithSpaces>84105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2025-06-20T06:48:00Z</dcterms:created>
  <dc:creator>Kamal Sharma</dc:creator>
  <cp:lastModifiedBy>Shivangi Sharma</cp:lastModifiedBy>
  <dcterms:modified xsi:type="dcterms:W3CDTF">2025-09-19T18:04:11Z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abb727e5-01b3-3202-b230-c5596cbff6ee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https://csl.mendeley.com/styles/469248401/EvergreenGA</vt:lpwstr>
  </property>
  <property fmtid="{D5CDD505-2E9C-101B-9397-08002B2CF9AE}" pid="18" name="Mendeley Recent Style Name 6_1">
    <vt:lpwstr>Evergreen - Joint Journal of Novel Carbon Resource Sciences &amp; Green Asia Strategy</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1033-12.2.0.20326</vt:lpwstr>
  </property>
  <property fmtid="{D5CDD505-2E9C-101B-9397-08002B2CF9AE}" pid="26" name="ICV">
    <vt:lpwstr>84A65EFFA6574BE7A6F4F8796CD5D68A_12</vt:lpwstr>
  </property>
</Properties>
</file>