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98D27" w14:textId="403EEA75" w:rsidR="00CA7116" w:rsidRDefault="00CA7116" w:rsidP="00CA7116">
      <w:pPr>
        <w:jc w:val="center"/>
        <w:rPr>
          <w:rFonts w:ascii="Times New Roman" w:hAnsi="Times New Roman" w:cs="Times New Roman"/>
          <w:b/>
          <w:bCs/>
          <w:sz w:val="32"/>
          <w:szCs w:val="32"/>
        </w:rPr>
      </w:pPr>
      <w:r w:rsidRPr="00B125C7">
        <w:rPr>
          <w:rFonts w:ascii="Times New Roman" w:hAnsi="Times New Roman" w:cs="Times New Roman"/>
          <w:b/>
          <w:bCs/>
          <w:sz w:val="32"/>
          <w:szCs w:val="32"/>
        </w:rPr>
        <w:t xml:space="preserve">Efficacy of fungicides against </w:t>
      </w:r>
      <w:r>
        <w:rPr>
          <w:rFonts w:ascii="Times New Roman" w:hAnsi="Times New Roman" w:cs="Times New Roman"/>
          <w:b/>
          <w:bCs/>
          <w:sz w:val="32"/>
          <w:szCs w:val="32"/>
        </w:rPr>
        <w:t>powdery</w:t>
      </w:r>
      <w:r w:rsidRPr="00B125C7">
        <w:rPr>
          <w:rFonts w:ascii="Times New Roman" w:hAnsi="Times New Roman" w:cs="Times New Roman"/>
          <w:b/>
          <w:bCs/>
          <w:sz w:val="32"/>
          <w:szCs w:val="32"/>
        </w:rPr>
        <w:t xml:space="preserve"> mildew in </w:t>
      </w:r>
      <w:r w:rsidR="008D79A4" w:rsidRPr="008D79A4">
        <w:rPr>
          <w:rFonts w:ascii="Times New Roman" w:hAnsi="Times New Roman" w:cs="Times New Roman"/>
          <w:b/>
          <w:bCs/>
          <w:i/>
          <w:iCs/>
          <w:sz w:val="32"/>
          <w:szCs w:val="32"/>
        </w:rPr>
        <w:t>Luffa cylindrica</w:t>
      </w:r>
      <w:r w:rsidR="008D79A4" w:rsidRPr="00B125C7">
        <w:rPr>
          <w:rFonts w:ascii="Times New Roman" w:hAnsi="Times New Roman" w:cs="Times New Roman"/>
          <w:b/>
          <w:bCs/>
          <w:sz w:val="32"/>
          <w:szCs w:val="32"/>
        </w:rPr>
        <w:t xml:space="preserve"> </w:t>
      </w:r>
      <w:r w:rsidRPr="00B125C7">
        <w:rPr>
          <w:rFonts w:ascii="Times New Roman" w:hAnsi="Times New Roman" w:cs="Times New Roman"/>
          <w:b/>
          <w:bCs/>
          <w:sz w:val="32"/>
          <w:szCs w:val="32"/>
        </w:rPr>
        <w:t xml:space="preserve">under </w:t>
      </w:r>
      <w:r w:rsidR="008D79A4" w:rsidRPr="008D79A4">
        <w:rPr>
          <w:rFonts w:ascii="Times New Roman" w:hAnsi="Times New Roman" w:cs="Times New Roman"/>
          <w:b/>
          <w:bCs/>
          <w:sz w:val="32"/>
          <w:szCs w:val="32"/>
        </w:rPr>
        <w:t>field</w:t>
      </w:r>
      <w:r w:rsidRPr="008D79A4">
        <w:rPr>
          <w:rFonts w:ascii="Times New Roman" w:hAnsi="Times New Roman" w:cs="Times New Roman"/>
          <w:b/>
          <w:bCs/>
          <w:sz w:val="32"/>
          <w:szCs w:val="32"/>
        </w:rPr>
        <w:t xml:space="preserve"> </w:t>
      </w:r>
      <w:r w:rsidR="00E120D4" w:rsidRPr="008D79A4">
        <w:rPr>
          <w:rFonts w:ascii="Times New Roman" w:hAnsi="Times New Roman" w:cs="Times New Roman"/>
          <w:b/>
          <w:bCs/>
          <w:sz w:val="32"/>
          <w:szCs w:val="32"/>
        </w:rPr>
        <w:t>and</w:t>
      </w:r>
      <w:r w:rsidR="00E120D4">
        <w:rPr>
          <w:rFonts w:ascii="Times New Roman" w:hAnsi="Times New Roman" w:cs="Times New Roman"/>
          <w:b/>
          <w:bCs/>
          <w:sz w:val="32"/>
          <w:szCs w:val="32"/>
        </w:rPr>
        <w:t xml:space="preserve"> </w:t>
      </w:r>
      <w:r w:rsidR="003760C6" w:rsidRPr="003760C6">
        <w:rPr>
          <w:rFonts w:ascii="Times New Roman" w:hAnsi="Times New Roman" w:cs="Times New Roman"/>
          <w:b/>
          <w:bCs/>
          <w:i/>
          <w:iCs/>
          <w:sz w:val="32"/>
          <w:szCs w:val="32"/>
        </w:rPr>
        <w:t>in vitro</w:t>
      </w:r>
      <w:r w:rsidR="00E120D4">
        <w:rPr>
          <w:rFonts w:ascii="Times New Roman" w:hAnsi="Times New Roman" w:cs="Times New Roman"/>
          <w:b/>
          <w:bCs/>
          <w:sz w:val="32"/>
          <w:szCs w:val="32"/>
        </w:rPr>
        <w:t xml:space="preserve"> </w:t>
      </w:r>
      <w:r w:rsidRPr="00B125C7">
        <w:rPr>
          <w:rFonts w:ascii="Times New Roman" w:hAnsi="Times New Roman" w:cs="Times New Roman"/>
          <w:b/>
          <w:bCs/>
          <w:sz w:val="32"/>
          <w:szCs w:val="32"/>
        </w:rPr>
        <w:t>conditions</w:t>
      </w:r>
    </w:p>
    <w:p w14:paraId="48B565D7" w14:textId="77777777" w:rsidR="00272FC1" w:rsidRDefault="00272FC1" w:rsidP="00CA7116">
      <w:pPr>
        <w:jc w:val="center"/>
        <w:rPr>
          <w:rFonts w:ascii="Times New Roman" w:hAnsi="Times New Roman" w:cs="Times New Roman"/>
          <w:b/>
          <w:bCs/>
          <w:sz w:val="32"/>
          <w:szCs w:val="32"/>
        </w:rPr>
      </w:pPr>
    </w:p>
    <w:p w14:paraId="007E0103" w14:textId="29259774" w:rsidR="00CA7116" w:rsidRDefault="00B91966" w:rsidP="00345F90">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0C3E3F56" w14:textId="1C584605" w:rsidR="00630766" w:rsidRPr="00630766" w:rsidRDefault="00630766" w:rsidP="00345F90">
      <w:pPr>
        <w:jc w:val="both"/>
        <w:rPr>
          <w:rFonts w:ascii="Times New Roman" w:hAnsi="Times New Roman" w:cs="Times New Roman"/>
          <w:sz w:val="24"/>
          <w:szCs w:val="24"/>
        </w:rPr>
      </w:pPr>
      <w:r w:rsidRPr="00630766">
        <w:rPr>
          <w:rFonts w:ascii="Times New Roman" w:hAnsi="Times New Roman" w:cs="Times New Roman"/>
          <w:sz w:val="24"/>
          <w:szCs w:val="24"/>
        </w:rPr>
        <w:t xml:space="preserve">A field and laboratory study were conducted in </w:t>
      </w:r>
      <w:r w:rsidRPr="00630766">
        <w:rPr>
          <w:rFonts w:ascii="Times New Roman" w:hAnsi="Times New Roman" w:cs="Times New Roman"/>
          <w:i/>
          <w:iCs/>
          <w:sz w:val="24"/>
          <w:szCs w:val="24"/>
        </w:rPr>
        <w:t>Kharif</w:t>
      </w:r>
      <w:r w:rsidRPr="00630766">
        <w:rPr>
          <w:rFonts w:ascii="Times New Roman" w:hAnsi="Times New Roman" w:cs="Times New Roman"/>
          <w:sz w:val="24"/>
          <w:szCs w:val="24"/>
        </w:rPr>
        <w:t xml:space="preserve"> 2024 to evaluate the efficacy of various fungicides against powdery mildew (</w:t>
      </w:r>
      <w:r w:rsidRPr="00630766">
        <w:rPr>
          <w:rFonts w:ascii="Times New Roman" w:hAnsi="Times New Roman" w:cs="Times New Roman"/>
          <w:i/>
          <w:iCs/>
          <w:sz w:val="24"/>
          <w:szCs w:val="24"/>
        </w:rPr>
        <w:t xml:space="preserve">Erysiphe </w:t>
      </w:r>
      <w:proofErr w:type="spellStart"/>
      <w:r w:rsidRPr="00630766">
        <w:rPr>
          <w:rFonts w:ascii="Times New Roman" w:hAnsi="Times New Roman" w:cs="Times New Roman"/>
          <w:i/>
          <w:iCs/>
          <w:sz w:val="24"/>
          <w:szCs w:val="24"/>
        </w:rPr>
        <w:t>cichoracearum</w:t>
      </w:r>
      <w:proofErr w:type="spellEnd"/>
      <w:r w:rsidRPr="00630766">
        <w:rPr>
          <w:rFonts w:ascii="Times New Roman" w:hAnsi="Times New Roman" w:cs="Times New Roman"/>
          <w:sz w:val="24"/>
          <w:szCs w:val="24"/>
        </w:rPr>
        <w:t>) in sponge gourd (</w:t>
      </w:r>
      <w:r w:rsidRPr="00630766">
        <w:rPr>
          <w:rFonts w:ascii="Times New Roman" w:hAnsi="Times New Roman" w:cs="Times New Roman"/>
          <w:i/>
          <w:iCs/>
          <w:sz w:val="24"/>
          <w:szCs w:val="24"/>
        </w:rPr>
        <w:t>Luffa cylindrica</w:t>
      </w:r>
      <w:r w:rsidRPr="00630766">
        <w:rPr>
          <w:rFonts w:ascii="Times New Roman" w:hAnsi="Times New Roman" w:cs="Times New Roman"/>
          <w:sz w:val="24"/>
          <w:szCs w:val="24"/>
        </w:rPr>
        <w:t>). The experiment involved eight treatments, including both chemical fungicides and a control, applied as foliar sprays in a randomized block design with three replications. Disease severity was assessed using the 0</w:t>
      </w:r>
      <w:r w:rsidR="00D9235B">
        <w:rPr>
          <w:rFonts w:ascii="Times New Roman" w:hAnsi="Times New Roman" w:cs="Times New Roman"/>
          <w:sz w:val="24"/>
          <w:szCs w:val="24"/>
        </w:rPr>
        <w:t xml:space="preserve"> to </w:t>
      </w:r>
      <w:r w:rsidRPr="00630766">
        <w:rPr>
          <w:rFonts w:ascii="Times New Roman" w:hAnsi="Times New Roman" w:cs="Times New Roman"/>
          <w:sz w:val="24"/>
          <w:szCs w:val="24"/>
        </w:rPr>
        <w:t>9 disease rating scale, and the effectiveness of treatments w</w:t>
      </w:r>
      <w:r w:rsidR="00C777E9">
        <w:rPr>
          <w:rFonts w:ascii="Times New Roman" w:hAnsi="Times New Roman" w:cs="Times New Roman"/>
          <w:sz w:val="24"/>
          <w:szCs w:val="24"/>
        </w:rPr>
        <w:t>ere</w:t>
      </w:r>
      <w:r w:rsidRPr="00630766">
        <w:rPr>
          <w:rFonts w:ascii="Times New Roman" w:hAnsi="Times New Roman" w:cs="Times New Roman"/>
          <w:sz w:val="24"/>
          <w:szCs w:val="24"/>
        </w:rPr>
        <w:t xml:space="preserve"> determined by measuring mean </w:t>
      </w:r>
      <w:r w:rsidR="00D9235B">
        <w:rPr>
          <w:rFonts w:ascii="Times New Roman" w:hAnsi="Times New Roman" w:cs="Times New Roman"/>
          <w:sz w:val="24"/>
          <w:szCs w:val="24"/>
        </w:rPr>
        <w:t>per cent</w:t>
      </w:r>
      <w:r w:rsidRPr="00630766">
        <w:rPr>
          <w:rFonts w:ascii="Times New Roman" w:hAnsi="Times New Roman" w:cs="Times New Roman"/>
          <w:sz w:val="24"/>
          <w:szCs w:val="24"/>
        </w:rPr>
        <w:t xml:space="preserve"> disease severity, </w:t>
      </w:r>
      <w:r w:rsidR="00D9235B">
        <w:rPr>
          <w:rFonts w:ascii="Times New Roman" w:hAnsi="Times New Roman" w:cs="Times New Roman"/>
          <w:sz w:val="24"/>
          <w:szCs w:val="24"/>
        </w:rPr>
        <w:t>per cent</w:t>
      </w:r>
      <w:r w:rsidRPr="00630766">
        <w:rPr>
          <w:rFonts w:ascii="Times New Roman" w:hAnsi="Times New Roman" w:cs="Times New Roman"/>
          <w:sz w:val="24"/>
          <w:szCs w:val="24"/>
        </w:rPr>
        <w:t xml:space="preserve"> disease control, and </w:t>
      </w:r>
      <w:r w:rsidR="00C777E9">
        <w:rPr>
          <w:rFonts w:ascii="Times New Roman" w:hAnsi="Times New Roman" w:cs="Times New Roman"/>
          <w:sz w:val="24"/>
          <w:szCs w:val="24"/>
        </w:rPr>
        <w:t>area under the disease progress curve</w:t>
      </w:r>
      <w:r w:rsidRPr="00630766">
        <w:rPr>
          <w:rFonts w:ascii="Times New Roman" w:hAnsi="Times New Roman" w:cs="Times New Roman"/>
          <w:sz w:val="24"/>
          <w:szCs w:val="24"/>
        </w:rPr>
        <w:t xml:space="preserve"> values. Among the tested fungicides, Azoxystrobin 11% w/w + Tebuconazole 18.3% at 0.15% (T₃) and </w:t>
      </w:r>
      <w:proofErr w:type="spellStart"/>
      <w:r w:rsidRPr="00630766">
        <w:rPr>
          <w:rFonts w:ascii="Times New Roman" w:hAnsi="Times New Roman" w:cs="Times New Roman"/>
          <w:sz w:val="24"/>
          <w:szCs w:val="24"/>
        </w:rPr>
        <w:t>Kresoxim</w:t>
      </w:r>
      <w:proofErr w:type="spellEnd"/>
      <w:r w:rsidRPr="00630766">
        <w:rPr>
          <w:rFonts w:ascii="Times New Roman" w:hAnsi="Times New Roman" w:cs="Times New Roman"/>
          <w:sz w:val="24"/>
          <w:szCs w:val="24"/>
        </w:rPr>
        <w:t xml:space="preserve"> methyl 18% + Mancozeb 54% WP at 0.2% (T₆) provided the greatest reduction in disease severity (12.28% and 15.18%), highest disease control (66.23% and 59.51%), and the lowest AUDPC values (311.10 and 531.15). </w:t>
      </w:r>
      <w:r w:rsidR="003760C6" w:rsidRPr="003760C6">
        <w:rPr>
          <w:rFonts w:ascii="Times New Roman" w:hAnsi="Times New Roman" w:cs="Times New Roman"/>
          <w:i/>
          <w:iCs/>
          <w:sz w:val="24"/>
          <w:szCs w:val="24"/>
        </w:rPr>
        <w:t>In vitro</w:t>
      </w:r>
      <w:r w:rsidRPr="00630766">
        <w:rPr>
          <w:rFonts w:ascii="Times New Roman" w:hAnsi="Times New Roman" w:cs="Times New Roman"/>
          <w:sz w:val="24"/>
          <w:szCs w:val="24"/>
        </w:rPr>
        <w:t xml:space="preserve"> evaluations </w:t>
      </w:r>
      <w:r w:rsidR="00D9235B">
        <w:rPr>
          <w:rFonts w:ascii="Times New Roman" w:hAnsi="Times New Roman" w:cs="Times New Roman"/>
          <w:sz w:val="24"/>
          <w:szCs w:val="24"/>
        </w:rPr>
        <w:t>supported</w:t>
      </w:r>
      <w:r w:rsidRPr="00630766">
        <w:rPr>
          <w:rFonts w:ascii="Times New Roman" w:hAnsi="Times New Roman" w:cs="Times New Roman"/>
          <w:sz w:val="24"/>
          <w:szCs w:val="24"/>
        </w:rPr>
        <w:t xml:space="preserve"> these results, with T₃ and T₆ exhibiting the lowest disease severity ratings and </w:t>
      </w:r>
      <w:r w:rsidR="00D9235B">
        <w:rPr>
          <w:rFonts w:ascii="Times New Roman" w:hAnsi="Times New Roman" w:cs="Times New Roman"/>
          <w:sz w:val="24"/>
          <w:szCs w:val="24"/>
        </w:rPr>
        <w:t>maximum</w:t>
      </w:r>
      <w:r w:rsidRPr="00630766">
        <w:rPr>
          <w:rFonts w:ascii="Times New Roman" w:hAnsi="Times New Roman" w:cs="Times New Roman"/>
          <w:sz w:val="24"/>
          <w:szCs w:val="24"/>
        </w:rPr>
        <w:t xml:space="preserve"> resistance in leaf disc assays. In contrast, the control plot (water spray) showed maximum disease progression and severity. The study concludes that Azoxystrobin 11% w/w + Tebuconazole 18.3% and </w:t>
      </w:r>
      <w:proofErr w:type="spellStart"/>
      <w:r w:rsidRPr="00630766">
        <w:rPr>
          <w:rFonts w:ascii="Times New Roman" w:hAnsi="Times New Roman" w:cs="Times New Roman"/>
          <w:sz w:val="24"/>
          <w:szCs w:val="24"/>
        </w:rPr>
        <w:t>Kresoxim</w:t>
      </w:r>
      <w:proofErr w:type="spellEnd"/>
      <w:r w:rsidRPr="00630766">
        <w:rPr>
          <w:rFonts w:ascii="Times New Roman" w:hAnsi="Times New Roman" w:cs="Times New Roman"/>
          <w:sz w:val="24"/>
          <w:szCs w:val="24"/>
        </w:rPr>
        <w:t xml:space="preserve"> methyl 18% + Mancozeb 54% WP are highly effective for managing powdery mildew in sponge gourd under both field and laboratory conditions, offering promising options for integrated disease management strategies.</w:t>
      </w:r>
    </w:p>
    <w:p w14:paraId="5C13190B" w14:textId="783065DC" w:rsidR="00B91966" w:rsidRDefault="00B91966" w:rsidP="00345F90">
      <w:pPr>
        <w:jc w:val="both"/>
        <w:rPr>
          <w:rFonts w:ascii="Times New Roman" w:hAnsi="Times New Roman" w:cs="Times New Roman"/>
          <w:b/>
          <w:bCs/>
          <w:sz w:val="24"/>
          <w:szCs w:val="24"/>
        </w:rPr>
      </w:pPr>
      <w:r>
        <w:rPr>
          <w:rFonts w:ascii="Times New Roman" w:hAnsi="Times New Roman" w:cs="Times New Roman"/>
          <w:b/>
          <w:bCs/>
          <w:sz w:val="24"/>
          <w:szCs w:val="24"/>
        </w:rPr>
        <w:t>Keywords:</w:t>
      </w:r>
      <w:r w:rsidR="003C0390" w:rsidRPr="003C0390">
        <w:rPr>
          <w:rFonts w:ascii="Times New Roman" w:hAnsi="Times New Roman" w:cs="Times New Roman"/>
          <w:i/>
          <w:iCs/>
          <w:sz w:val="24"/>
          <w:szCs w:val="24"/>
        </w:rPr>
        <w:t xml:space="preserve"> </w:t>
      </w:r>
      <w:r w:rsidR="003C0390" w:rsidRPr="00630766">
        <w:rPr>
          <w:rFonts w:ascii="Times New Roman" w:hAnsi="Times New Roman" w:cs="Times New Roman"/>
          <w:i/>
          <w:iCs/>
          <w:sz w:val="24"/>
          <w:szCs w:val="24"/>
        </w:rPr>
        <w:t xml:space="preserve">Erysiphe </w:t>
      </w:r>
      <w:proofErr w:type="spellStart"/>
      <w:r w:rsidR="003C0390" w:rsidRPr="00630766">
        <w:rPr>
          <w:rFonts w:ascii="Times New Roman" w:hAnsi="Times New Roman" w:cs="Times New Roman"/>
          <w:i/>
          <w:iCs/>
          <w:sz w:val="24"/>
          <w:szCs w:val="24"/>
        </w:rPr>
        <w:t>cichoracearum</w:t>
      </w:r>
      <w:proofErr w:type="spellEnd"/>
      <w:r w:rsidR="003C0390">
        <w:rPr>
          <w:rFonts w:ascii="Times New Roman" w:hAnsi="Times New Roman" w:cs="Times New Roman"/>
          <w:i/>
          <w:iCs/>
          <w:sz w:val="24"/>
          <w:szCs w:val="24"/>
        </w:rPr>
        <w:t xml:space="preserve">, </w:t>
      </w:r>
      <w:r w:rsidR="003C0390">
        <w:rPr>
          <w:rFonts w:ascii="Times New Roman" w:hAnsi="Times New Roman" w:cs="Times New Roman"/>
          <w:sz w:val="24"/>
          <w:szCs w:val="24"/>
        </w:rPr>
        <w:t>sponge gourd, powdery mildew</w:t>
      </w:r>
      <w:r w:rsidR="009E394D">
        <w:rPr>
          <w:rFonts w:ascii="Times New Roman" w:hAnsi="Times New Roman" w:cs="Times New Roman"/>
          <w:sz w:val="24"/>
          <w:szCs w:val="24"/>
        </w:rPr>
        <w:t>, per cent disease control, AUDPC, leaf disc bioassay.</w:t>
      </w:r>
    </w:p>
    <w:p w14:paraId="25A45E43" w14:textId="77777777" w:rsidR="00B91966" w:rsidRDefault="00B91966" w:rsidP="00345F90">
      <w:pPr>
        <w:jc w:val="both"/>
        <w:rPr>
          <w:rFonts w:ascii="Times New Roman" w:hAnsi="Times New Roman" w:cs="Times New Roman"/>
          <w:b/>
          <w:bCs/>
          <w:sz w:val="24"/>
          <w:szCs w:val="24"/>
        </w:rPr>
      </w:pPr>
    </w:p>
    <w:p w14:paraId="2762ECF5" w14:textId="2FB9A865" w:rsidR="00FD13CA" w:rsidRDefault="00FD13CA" w:rsidP="00345F90">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7CC265B0" w14:textId="3A076098" w:rsidR="00BB3B04" w:rsidRPr="00716103" w:rsidRDefault="00BB3B04" w:rsidP="00C63DFB">
      <w:pPr>
        <w:spacing w:after="0" w:line="240" w:lineRule="auto"/>
        <w:jc w:val="both"/>
        <w:rPr>
          <w:rFonts w:ascii="Times New Roman" w:hAnsi="Times New Roman" w:cs="Times New Roman"/>
          <w:sz w:val="24"/>
          <w:szCs w:val="24"/>
          <w:lang w:val="en-GB"/>
        </w:rPr>
      </w:pPr>
      <w:r w:rsidRPr="00B70BE8">
        <w:rPr>
          <w:rFonts w:ascii="Times New Roman" w:hAnsi="Times New Roman" w:cs="Times New Roman"/>
          <w:sz w:val="24"/>
          <w:szCs w:val="24"/>
        </w:rPr>
        <w:t xml:space="preserve">Powdery mildew, caused by the airborne fungi </w:t>
      </w:r>
      <w:r w:rsidRPr="00B70BE8">
        <w:rPr>
          <w:rFonts w:ascii="Times New Roman" w:hAnsi="Times New Roman" w:cs="Times New Roman"/>
          <w:i/>
          <w:iCs/>
          <w:sz w:val="24"/>
          <w:szCs w:val="24"/>
        </w:rPr>
        <w:t xml:space="preserve">Erysiphe </w:t>
      </w:r>
      <w:proofErr w:type="spellStart"/>
      <w:r w:rsidRPr="00B70BE8">
        <w:rPr>
          <w:rFonts w:ascii="Times New Roman" w:hAnsi="Times New Roman" w:cs="Times New Roman"/>
          <w:i/>
          <w:iCs/>
          <w:sz w:val="24"/>
          <w:szCs w:val="24"/>
        </w:rPr>
        <w:t>cichoracearum</w:t>
      </w:r>
      <w:proofErr w:type="spellEnd"/>
      <w:r w:rsidRPr="00B70BE8">
        <w:rPr>
          <w:rFonts w:ascii="Times New Roman" w:hAnsi="Times New Roman" w:cs="Times New Roman"/>
          <w:sz w:val="24"/>
          <w:szCs w:val="24"/>
        </w:rPr>
        <w:t xml:space="preserve"> and </w:t>
      </w:r>
      <w:proofErr w:type="spellStart"/>
      <w:r w:rsidRPr="00B70BE8">
        <w:rPr>
          <w:rFonts w:ascii="Times New Roman" w:hAnsi="Times New Roman" w:cs="Times New Roman"/>
          <w:i/>
          <w:iCs/>
          <w:sz w:val="24"/>
          <w:szCs w:val="24"/>
        </w:rPr>
        <w:t>Sphaerotheca</w:t>
      </w:r>
      <w:proofErr w:type="spellEnd"/>
      <w:r w:rsidRPr="00B70BE8">
        <w:rPr>
          <w:rFonts w:ascii="Times New Roman" w:hAnsi="Times New Roman" w:cs="Times New Roman"/>
          <w:i/>
          <w:iCs/>
          <w:sz w:val="24"/>
          <w:szCs w:val="24"/>
        </w:rPr>
        <w:t xml:space="preserve"> </w:t>
      </w:r>
      <w:proofErr w:type="spellStart"/>
      <w:r w:rsidRPr="00B70BE8">
        <w:rPr>
          <w:rFonts w:ascii="Times New Roman" w:hAnsi="Times New Roman" w:cs="Times New Roman"/>
          <w:i/>
          <w:iCs/>
          <w:sz w:val="24"/>
          <w:szCs w:val="24"/>
        </w:rPr>
        <w:t>fuliginea</w:t>
      </w:r>
      <w:proofErr w:type="spellEnd"/>
      <w:r w:rsidRPr="00B70BE8">
        <w:rPr>
          <w:rFonts w:ascii="Times New Roman" w:hAnsi="Times New Roman" w:cs="Times New Roman"/>
          <w:sz w:val="24"/>
          <w:szCs w:val="24"/>
        </w:rPr>
        <w:t xml:space="preserve"> (the </w:t>
      </w:r>
      <w:r w:rsidR="00F0031E" w:rsidRPr="00B70BE8">
        <w:rPr>
          <w:rFonts w:ascii="Times New Roman" w:hAnsi="Times New Roman" w:cs="Times New Roman"/>
          <w:sz w:val="24"/>
          <w:szCs w:val="24"/>
        </w:rPr>
        <w:t>latter</w:t>
      </w:r>
      <w:r w:rsidRPr="00B70BE8">
        <w:rPr>
          <w:rFonts w:ascii="Times New Roman" w:hAnsi="Times New Roman" w:cs="Times New Roman"/>
          <w:sz w:val="24"/>
          <w:szCs w:val="24"/>
        </w:rPr>
        <w:t xml:space="preserve"> being the anamorphic stage), is a widespread and destructive disease affecting cucurbits in both field and greenhouse settings. </w:t>
      </w:r>
      <w:r w:rsidR="00536B1E">
        <w:rPr>
          <w:rFonts w:ascii="Times New Roman" w:hAnsi="Times New Roman" w:cs="Times New Roman"/>
          <w:sz w:val="24"/>
          <w:szCs w:val="24"/>
        </w:rPr>
        <w:t>In India, s</w:t>
      </w:r>
      <w:r w:rsidR="00536B1E" w:rsidRPr="00536B1E">
        <w:rPr>
          <w:rFonts w:ascii="Times New Roman" w:hAnsi="Times New Roman" w:cs="Times New Roman"/>
          <w:sz w:val="24"/>
          <w:szCs w:val="24"/>
        </w:rPr>
        <w:t xml:space="preserve">ponge gourd </w:t>
      </w:r>
      <w:r w:rsidR="00536B1E">
        <w:rPr>
          <w:rFonts w:ascii="Times New Roman" w:hAnsi="Times New Roman" w:cs="Times New Roman"/>
          <w:sz w:val="24"/>
          <w:szCs w:val="24"/>
        </w:rPr>
        <w:t xml:space="preserve">is </w:t>
      </w:r>
      <w:r w:rsidR="00536B1E" w:rsidRPr="00536B1E">
        <w:rPr>
          <w:rFonts w:ascii="Times New Roman" w:hAnsi="Times New Roman" w:cs="Times New Roman"/>
          <w:sz w:val="24"/>
          <w:szCs w:val="24"/>
        </w:rPr>
        <w:t>culti</w:t>
      </w:r>
      <w:r w:rsidR="00536B1E">
        <w:rPr>
          <w:rFonts w:ascii="Times New Roman" w:hAnsi="Times New Roman" w:cs="Times New Roman"/>
          <w:sz w:val="24"/>
          <w:szCs w:val="24"/>
        </w:rPr>
        <w:t>vated in an area of</w:t>
      </w:r>
      <w:r w:rsidR="00536B1E" w:rsidRPr="00536B1E">
        <w:rPr>
          <w:rFonts w:ascii="Times New Roman" w:hAnsi="Times New Roman" w:cs="Times New Roman"/>
          <w:sz w:val="24"/>
          <w:szCs w:val="24"/>
        </w:rPr>
        <w:t xml:space="preserve"> 7.21 lakh ha with</w:t>
      </w:r>
      <w:r w:rsidR="00536B1E">
        <w:rPr>
          <w:rFonts w:ascii="Times New Roman" w:hAnsi="Times New Roman" w:cs="Times New Roman"/>
          <w:sz w:val="24"/>
          <w:szCs w:val="24"/>
        </w:rPr>
        <w:t xml:space="preserve"> a</w:t>
      </w:r>
      <w:r w:rsidR="00536B1E" w:rsidRPr="00536B1E">
        <w:rPr>
          <w:rFonts w:ascii="Times New Roman" w:hAnsi="Times New Roman" w:cs="Times New Roman"/>
          <w:sz w:val="24"/>
          <w:szCs w:val="24"/>
        </w:rPr>
        <w:t xml:space="preserve"> production of 12.87 lakh </w:t>
      </w:r>
      <w:proofErr w:type="spellStart"/>
      <w:r w:rsidR="00536B1E" w:rsidRPr="00536B1E">
        <w:rPr>
          <w:rFonts w:ascii="Times New Roman" w:hAnsi="Times New Roman" w:cs="Times New Roman"/>
          <w:sz w:val="24"/>
          <w:szCs w:val="24"/>
        </w:rPr>
        <w:t>tonnes</w:t>
      </w:r>
      <w:proofErr w:type="spellEnd"/>
      <w:r w:rsidR="00536B1E" w:rsidRPr="00536B1E">
        <w:rPr>
          <w:rFonts w:ascii="Times New Roman" w:hAnsi="Times New Roman" w:cs="Times New Roman"/>
          <w:sz w:val="24"/>
          <w:szCs w:val="24"/>
        </w:rPr>
        <w:t xml:space="preserve">. The productivity of this crop is 10.52 </w:t>
      </w:r>
      <w:proofErr w:type="spellStart"/>
      <w:r w:rsidR="00536B1E" w:rsidRPr="00536B1E">
        <w:rPr>
          <w:rFonts w:ascii="Times New Roman" w:hAnsi="Times New Roman" w:cs="Times New Roman"/>
          <w:sz w:val="24"/>
          <w:szCs w:val="24"/>
        </w:rPr>
        <w:t>tonnes</w:t>
      </w:r>
      <w:proofErr w:type="spellEnd"/>
      <w:r w:rsidR="00536B1E" w:rsidRPr="00536B1E">
        <w:rPr>
          <w:rFonts w:ascii="Times New Roman" w:hAnsi="Times New Roman" w:cs="Times New Roman"/>
          <w:sz w:val="24"/>
          <w:szCs w:val="24"/>
        </w:rPr>
        <w:t xml:space="preserve"> per hectare (Anon., 2022)</w:t>
      </w:r>
      <w:r w:rsidR="00536B1E">
        <w:rPr>
          <w:rFonts w:ascii="Times New Roman" w:hAnsi="Times New Roman" w:cs="Times New Roman"/>
          <w:sz w:val="24"/>
          <w:szCs w:val="24"/>
          <w:lang w:val="en-GB"/>
        </w:rPr>
        <w:t xml:space="preserve">. </w:t>
      </w:r>
      <w:r w:rsidR="008A27BC">
        <w:rPr>
          <w:rFonts w:ascii="Times New Roman" w:hAnsi="Times New Roman" w:cs="Times New Roman"/>
          <w:sz w:val="24"/>
          <w:szCs w:val="24"/>
        </w:rPr>
        <w:t xml:space="preserve">Powdery mildew </w:t>
      </w:r>
      <w:r w:rsidRPr="00B70BE8">
        <w:rPr>
          <w:rFonts w:ascii="Times New Roman" w:hAnsi="Times New Roman" w:cs="Times New Roman"/>
          <w:sz w:val="24"/>
          <w:szCs w:val="24"/>
        </w:rPr>
        <w:t xml:space="preserve">can result in </w:t>
      </w:r>
      <w:r w:rsidR="008A27BC">
        <w:rPr>
          <w:rFonts w:ascii="Times New Roman" w:hAnsi="Times New Roman" w:cs="Times New Roman"/>
          <w:sz w:val="24"/>
          <w:szCs w:val="24"/>
        </w:rPr>
        <w:t xml:space="preserve">an </w:t>
      </w:r>
      <w:r w:rsidRPr="00B70BE8">
        <w:rPr>
          <w:rFonts w:ascii="Times New Roman" w:hAnsi="Times New Roman" w:cs="Times New Roman"/>
          <w:sz w:val="24"/>
          <w:szCs w:val="24"/>
        </w:rPr>
        <w:t xml:space="preserve">yield loss of 30–50%, particularly after fruit set and in densely planted fields. </w:t>
      </w:r>
      <w:r w:rsidRPr="00536271">
        <w:rPr>
          <w:rFonts w:ascii="Times New Roman" w:hAnsi="Times New Roman" w:cs="Times New Roman"/>
          <w:sz w:val="24"/>
          <w:szCs w:val="24"/>
        </w:rPr>
        <w:t>The yield loss is proportional to the severity of the disease and the length of time that plants have been infected (Mossler and Nesheim</w:t>
      </w:r>
      <w:r w:rsidR="00C777E9">
        <w:rPr>
          <w:rFonts w:ascii="Times New Roman" w:hAnsi="Times New Roman" w:cs="Times New Roman"/>
          <w:sz w:val="24"/>
          <w:szCs w:val="24"/>
        </w:rPr>
        <w:t xml:space="preserve">, </w:t>
      </w:r>
      <w:r w:rsidRPr="00536271">
        <w:rPr>
          <w:rFonts w:ascii="Times New Roman" w:hAnsi="Times New Roman" w:cs="Times New Roman"/>
          <w:sz w:val="24"/>
          <w:szCs w:val="24"/>
        </w:rPr>
        <w:t xml:space="preserve">2005). </w:t>
      </w:r>
      <w:r w:rsidRPr="00B70BE8">
        <w:rPr>
          <w:rFonts w:ascii="Times New Roman" w:hAnsi="Times New Roman" w:cs="Times New Roman"/>
          <w:sz w:val="24"/>
          <w:szCs w:val="24"/>
        </w:rPr>
        <w:t xml:space="preserve">The disease initially appears as white, talc-like patches on the undersides of older leaves, with conidia spreading rapidly </w:t>
      </w:r>
      <w:r w:rsidRPr="00C63DFB">
        <w:rPr>
          <w:rFonts w:ascii="Times New Roman" w:hAnsi="Times New Roman" w:cs="Times New Roman"/>
          <w:i/>
          <w:iCs/>
          <w:sz w:val="24"/>
          <w:szCs w:val="24"/>
        </w:rPr>
        <w:t>via</w:t>
      </w:r>
      <w:r w:rsidRPr="00B70BE8">
        <w:rPr>
          <w:rFonts w:ascii="Times New Roman" w:hAnsi="Times New Roman" w:cs="Times New Roman"/>
          <w:sz w:val="24"/>
          <w:szCs w:val="24"/>
        </w:rPr>
        <w:t xml:space="preserve"> wind to adjacent foliage. As infection progresses, these patches merge, covering entire leaf surfaces, leading to yellowing, necrosis, and premature leaf drop. This reduces photosynthetic capacity, stunts plant growth, and impairs fruit development, compromising both yield and quality</w:t>
      </w:r>
      <w:r w:rsidR="00EF5E88">
        <w:rPr>
          <w:rFonts w:ascii="Times New Roman" w:hAnsi="Times New Roman" w:cs="Times New Roman"/>
          <w:sz w:val="24"/>
          <w:szCs w:val="24"/>
        </w:rPr>
        <w:t xml:space="preserve">. </w:t>
      </w:r>
      <w:r w:rsidRPr="00B70BE8">
        <w:rPr>
          <w:rFonts w:ascii="Times New Roman" w:hAnsi="Times New Roman" w:cs="Times New Roman"/>
          <w:sz w:val="24"/>
          <w:szCs w:val="24"/>
        </w:rPr>
        <w:t xml:space="preserve">Optimal conditions for powdery mildew include temperatures around </w:t>
      </w:r>
      <w:r w:rsidR="00C777E9">
        <w:rPr>
          <w:rFonts w:ascii="Times New Roman" w:hAnsi="Times New Roman" w:cs="Times New Roman"/>
          <w:sz w:val="24"/>
          <w:szCs w:val="24"/>
        </w:rPr>
        <w:t>35 degrees Celsius (</w:t>
      </w:r>
      <w:r w:rsidRPr="00B70BE8">
        <w:rPr>
          <w:rFonts w:ascii="Times New Roman" w:hAnsi="Times New Roman" w:cs="Times New Roman"/>
          <w:sz w:val="24"/>
          <w:szCs w:val="24"/>
        </w:rPr>
        <w:t>35°C</w:t>
      </w:r>
      <w:r w:rsidR="00C777E9">
        <w:rPr>
          <w:rFonts w:ascii="Times New Roman" w:hAnsi="Times New Roman" w:cs="Times New Roman"/>
          <w:sz w:val="24"/>
          <w:szCs w:val="24"/>
        </w:rPr>
        <w:t>)</w:t>
      </w:r>
      <w:r w:rsidRPr="00B70BE8">
        <w:rPr>
          <w:rFonts w:ascii="Times New Roman" w:hAnsi="Times New Roman" w:cs="Times New Roman"/>
          <w:sz w:val="24"/>
          <w:szCs w:val="24"/>
        </w:rPr>
        <w:t xml:space="preserve"> and relative humidity above </w:t>
      </w:r>
      <w:r w:rsidR="00C777E9">
        <w:rPr>
          <w:rFonts w:ascii="Times New Roman" w:hAnsi="Times New Roman" w:cs="Times New Roman"/>
          <w:sz w:val="24"/>
          <w:szCs w:val="24"/>
        </w:rPr>
        <w:t>70 per cent (</w:t>
      </w:r>
      <w:r w:rsidRPr="00B70BE8">
        <w:rPr>
          <w:rFonts w:ascii="Times New Roman" w:hAnsi="Times New Roman" w:cs="Times New Roman"/>
          <w:sz w:val="24"/>
          <w:szCs w:val="24"/>
        </w:rPr>
        <w:t>70%</w:t>
      </w:r>
      <w:r w:rsidR="00C777E9">
        <w:rPr>
          <w:rFonts w:ascii="Times New Roman" w:hAnsi="Times New Roman" w:cs="Times New Roman"/>
          <w:sz w:val="24"/>
          <w:szCs w:val="24"/>
        </w:rPr>
        <w:t>)</w:t>
      </w:r>
      <w:r w:rsidRPr="00B70BE8">
        <w:rPr>
          <w:rFonts w:ascii="Times New Roman" w:hAnsi="Times New Roman" w:cs="Times New Roman"/>
          <w:sz w:val="24"/>
          <w:szCs w:val="24"/>
        </w:rPr>
        <w:t xml:space="preserve">, with heavy dew enhancing severity, though excessive leaf wetness may inhibit fungal growth </w:t>
      </w:r>
      <w:r w:rsidRPr="00536271">
        <w:rPr>
          <w:rFonts w:ascii="Times New Roman" w:hAnsi="Times New Roman" w:cs="Times New Roman"/>
          <w:sz w:val="24"/>
          <w:szCs w:val="24"/>
        </w:rPr>
        <w:t xml:space="preserve">(Ali </w:t>
      </w:r>
      <w:r w:rsidR="00742633" w:rsidRPr="00742633">
        <w:rPr>
          <w:rFonts w:ascii="Times New Roman" w:hAnsi="Times New Roman" w:cs="Times New Roman"/>
          <w:i/>
          <w:iCs/>
          <w:sz w:val="24"/>
          <w:szCs w:val="24"/>
        </w:rPr>
        <w:t>et al</w:t>
      </w:r>
      <w:r w:rsidRPr="00536271">
        <w:rPr>
          <w:rFonts w:ascii="Times New Roman" w:hAnsi="Times New Roman" w:cs="Times New Roman"/>
          <w:sz w:val="24"/>
          <w:szCs w:val="24"/>
        </w:rPr>
        <w:t>.</w:t>
      </w:r>
      <w:r w:rsidR="00C777E9">
        <w:rPr>
          <w:rFonts w:ascii="Times New Roman" w:hAnsi="Times New Roman" w:cs="Times New Roman"/>
          <w:sz w:val="24"/>
          <w:szCs w:val="24"/>
        </w:rPr>
        <w:t>,</w:t>
      </w:r>
      <w:r w:rsidRPr="00536271">
        <w:rPr>
          <w:rFonts w:ascii="Times New Roman" w:hAnsi="Times New Roman" w:cs="Times New Roman"/>
          <w:sz w:val="24"/>
          <w:szCs w:val="24"/>
        </w:rPr>
        <w:t xml:space="preserve"> 2013).</w:t>
      </w:r>
      <w:r w:rsidR="00EF5E88">
        <w:rPr>
          <w:rFonts w:ascii="Times New Roman" w:hAnsi="Times New Roman" w:cs="Times New Roman"/>
          <w:sz w:val="24"/>
          <w:szCs w:val="24"/>
        </w:rPr>
        <w:t xml:space="preserve"> </w:t>
      </w:r>
      <w:r w:rsidRPr="00B70BE8">
        <w:rPr>
          <w:rFonts w:ascii="Times New Roman" w:hAnsi="Times New Roman" w:cs="Times New Roman"/>
          <w:sz w:val="24"/>
          <w:szCs w:val="24"/>
        </w:rPr>
        <w:t xml:space="preserve">Management strategies include cultural practices such as planting resistant or tolerant varieties and ensuring adequate spacing for aeration and </w:t>
      </w:r>
      <w:r w:rsidRPr="00B70BE8">
        <w:rPr>
          <w:rFonts w:ascii="Times New Roman" w:hAnsi="Times New Roman" w:cs="Times New Roman"/>
          <w:sz w:val="24"/>
          <w:szCs w:val="24"/>
        </w:rPr>
        <w:lastRenderedPageBreak/>
        <w:t xml:space="preserve">sunlight exposure. </w:t>
      </w:r>
      <w:r w:rsidR="00C63DFB">
        <w:rPr>
          <w:rFonts w:ascii="Times New Roman" w:hAnsi="Times New Roman" w:cs="Times New Roman"/>
          <w:sz w:val="24"/>
          <w:szCs w:val="24"/>
        </w:rPr>
        <w:t>It</w:t>
      </w:r>
      <w:r w:rsidR="00C63DFB" w:rsidRPr="00C63DFB">
        <w:rPr>
          <w:rFonts w:ascii="Times New Roman" w:hAnsi="Times New Roman" w:cs="Times New Roman"/>
          <w:sz w:val="24"/>
          <w:szCs w:val="24"/>
        </w:rPr>
        <w:t xml:space="preserve"> can be effectively managed with both protective and systemic fungicides. Sulphur formulations (wettable </w:t>
      </w:r>
      <w:proofErr w:type="spellStart"/>
      <w:r w:rsidR="00C63DFB" w:rsidRPr="00C63DFB">
        <w:rPr>
          <w:rFonts w:ascii="Times New Roman" w:hAnsi="Times New Roman" w:cs="Times New Roman"/>
          <w:sz w:val="24"/>
          <w:szCs w:val="24"/>
        </w:rPr>
        <w:t>sulphur</w:t>
      </w:r>
      <w:proofErr w:type="spellEnd"/>
      <w:r w:rsidR="00C63DFB" w:rsidRPr="00C63DFB">
        <w:rPr>
          <w:rFonts w:ascii="Times New Roman" w:hAnsi="Times New Roman" w:cs="Times New Roman"/>
          <w:sz w:val="24"/>
          <w:szCs w:val="24"/>
        </w:rPr>
        <w:t xml:space="preserve"> 0.2% or dusting </w:t>
      </w:r>
      <w:proofErr w:type="spellStart"/>
      <w:r w:rsidR="00C63DFB" w:rsidRPr="00C63DFB">
        <w:rPr>
          <w:rFonts w:ascii="Times New Roman" w:hAnsi="Times New Roman" w:cs="Times New Roman"/>
          <w:sz w:val="24"/>
          <w:szCs w:val="24"/>
        </w:rPr>
        <w:t>sulphur</w:t>
      </w:r>
      <w:proofErr w:type="spellEnd"/>
      <w:r w:rsidR="00C63DFB" w:rsidRPr="00C63DFB">
        <w:rPr>
          <w:rFonts w:ascii="Times New Roman" w:hAnsi="Times New Roman" w:cs="Times New Roman"/>
          <w:sz w:val="24"/>
          <w:szCs w:val="24"/>
        </w:rPr>
        <w:t xml:space="preserve"> 20–25 kg/ha) are economical and widely used, while triazoles (hexaconazole, propiconazole) and strobilurins (azoxystrobin, </w:t>
      </w:r>
      <w:proofErr w:type="spellStart"/>
      <w:r w:rsidR="00C63DFB" w:rsidRPr="00C63DFB">
        <w:rPr>
          <w:rFonts w:ascii="Times New Roman" w:hAnsi="Times New Roman" w:cs="Times New Roman"/>
          <w:sz w:val="24"/>
          <w:szCs w:val="24"/>
        </w:rPr>
        <w:t>trifloxystrobin</w:t>
      </w:r>
      <w:proofErr w:type="spellEnd"/>
      <w:r w:rsidR="00C63DFB" w:rsidRPr="00C63DFB">
        <w:rPr>
          <w:rFonts w:ascii="Times New Roman" w:hAnsi="Times New Roman" w:cs="Times New Roman"/>
          <w:sz w:val="24"/>
          <w:szCs w:val="24"/>
        </w:rPr>
        <w:t>, or their combination with tebuconazole) have shown high efficacy.</w:t>
      </w:r>
      <w:r w:rsidR="00C63DFB">
        <w:rPr>
          <w:rFonts w:ascii="Times New Roman" w:hAnsi="Times New Roman" w:cs="Times New Roman"/>
          <w:sz w:val="24"/>
          <w:szCs w:val="24"/>
        </w:rPr>
        <w:t xml:space="preserve"> </w:t>
      </w:r>
      <w:r w:rsidR="00C63DFB" w:rsidRPr="00C63DFB">
        <w:rPr>
          <w:rFonts w:ascii="Times New Roman" w:hAnsi="Times New Roman" w:cs="Times New Roman"/>
          <w:sz w:val="24"/>
          <w:szCs w:val="24"/>
        </w:rPr>
        <w:t>Hence, the present investigation was carried out to assess the effectiveness of various fungicides in controlling powdery mildew of sponge gourd.</w:t>
      </w:r>
    </w:p>
    <w:p w14:paraId="09536169" w14:textId="77777777" w:rsidR="007D0E9D" w:rsidRDefault="007D0E9D" w:rsidP="00345F90">
      <w:pPr>
        <w:jc w:val="both"/>
        <w:rPr>
          <w:rFonts w:ascii="Times New Roman" w:hAnsi="Times New Roman" w:cs="Times New Roman"/>
          <w:b/>
          <w:bCs/>
          <w:sz w:val="24"/>
          <w:szCs w:val="24"/>
        </w:rPr>
      </w:pPr>
    </w:p>
    <w:p w14:paraId="106F2980" w14:textId="1753EA62" w:rsidR="00345F90" w:rsidRPr="00F14DE9" w:rsidRDefault="00345F90" w:rsidP="00345F90">
      <w:pPr>
        <w:jc w:val="both"/>
        <w:rPr>
          <w:rFonts w:ascii="Times New Roman" w:hAnsi="Times New Roman" w:cs="Times New Roman"/>
          <w:b/>
          <w:bCs/>
          <w:sz w:val="24"/>
          <w:szCs w:val="24"/>
        </w:rPr>
      </w:pPr>
      <w:r w:rsidRPr="00F14DE9">
        <w:rPr>
          <w:rFonts w:ascii="Times New Roman" w:hAnsi="Times New Roman" w:cs="Times New Roman"/>
          <w:b/>
          <w:bCs/>
          <w:sz w:val="24"/>
          <w:szCs w:val="24"/>
        </w:rPr>
        <w:t>MATERIALS AND METHODS</w:t>
      </w:r>
    </w:p>
    <w:p w14:paraId="33BF861F" w14:textId="4A07C269" w:rsidR="00345F90" w:rsidRPr="00C777E9" w:rsidRDefault="003C0390" w:rsidP="00C777E9">
      <w:pPr>
        <w:shd w:val="clear" w:color="auto" w:fill="FFFFFF"/>
        <w:spacing w:after="0"/>
        <w:ind w:firstLine="720"/>
        <w:jc w:val="both"/>
        <w:rPr>
          <w:rFonts w:ascii="Times New Roman" w:eastAsia="Times New Roman" w:hAnsi="Times New Roman" w:cs="Times New Roman"/>
          <w:bCs/>
          <w:color w:val="000000"/>
          <w:sz w:val="24"/>
          <w:szCs w:val="24"/>
          <w:lang w:val="en-GB" w:eastAsia="en-GB"/>
        </w:rPr>
      </w:pPr>
      <w:r w:rsidRPr="003C0390">
        <w:rPr>
          <w:rFonts w:ascii="Times New Roman" w:eastAsia="Times New Roman" w:hAnsi="Times New Roman" w:cs="Times New Roman"/>
          <w:bCs/>
          <w:color w:val="000000"/>
          <w:sz w:val="24"/>
          <w:szCs w:val="24"/>
          <w:lang w:eastAsia="en-GB"/>
        </w:rPr>
        <w:t xml:space="preserve">A field experiment was conducted during </w:t>
      </w:r>
      <w:r w:rsidRPr="003C0390">
        <w:rPr>
          <w:rFonts w:ascii="Times New Roman" w:eastAsia="Times New Roman" w:hAnsi="Times New Roman" w:cs="Times New Roman"/>
          <w:i/>
          <w:iCs/>
          <w:color w:val="000000"/>
          <w:sz w:val="24"/>
          <w:szCs w:val="24"/>
          <w:lang w:eastAsia="en-GB"/>
        </w:rPr>
        <w:t>kharif</w:t>
      </w:r>
      <w:r w:rsidRPr="003C0390">
        <w:rPr>
          <w:rFonts w:ascii="Times New Roman" w:eastAsia="Times New Roman" w:hAnsi="Times New Roman" w:cs="Times New Roman"/>
          <w:b/>
          <w:bCs/>
          <w:color w:val="000000"/>
          <w:sz w:val="24"/>
          <w:szCs w:val="24"/>
          <w:lang w:eastAsia="en-GB"/>
        </w:rPr>
        <w:t xml:space="preserve"> </w:t>
      </w:r>
      <w:r w:rsidRPr="003C0390">
        <w:rPr>
          <w:rFonts w:ascii="Times New Roman" w:eastAsia="Times New Roman" w:hAnsi="Times New Roman" w:cs="Times New Roman"/>
          <w:color w:val="000000"/>
          <w:sz w:val="24"/>
          <w:szCs w:val="24"/>
          <w:lang w:eastAsia="en-GB"/>
        </w:rPr>
        <w:t>2024</w:t>
      </w:r>
      <w:r w:rsidRPr="003C0390">
        <w:rPr>
          <w:rFonts w:ascii="Times New Roman" w:eastAsia="Times New Roman" w:hAnsi="Times New Roman" w:cs="Times New Roman"/>
          <w:bCs/>
          <w:color w:val="000000"/>
          <w:sz w:val="24"/>
          <w:szCs w:val="24"/>
          <w:lang w:eastAsia="en-GB"/>
        </w:rPr>
        <w:t xml:space="preserve"> to evaluate the efficacy of fungicides against </w:t>
      </w:r>
      <w:r>
        <w:rPr>
          <w:rFonts w:ascii="Times New Roman" w:eastAsia="Times New Roman" w:hAnsi="Times New Roman" w:cs="Times New Roman"/>
          <w:bCs/>
          <w:color w:val="000000"/>
          <w:sz w:val="24"/>
          <w:szCs w:val="24"/>
          <w:lang w:eastAsia="en-GB"/>
        </w:rPr>
        <w:t>powdery</w:t>
      </w:r>
      <w:r w:rsidRPr="003C0390">
        <w:rPr>
          <w:rFonts w:ascii="Times New Roman" w:eastAsia="Times New Roman" w:hAnsi="Times New Roman" w:cs="Times New Roman"/>
          <w:bCs/>
          <w:color w:val="000000"/>
          <w:sz w:val="24"/>
          <w:szCs w:val="24"/>
          <w:lang w:eastAsia="en-GB"/>
        </w:rPr>
        <w:t xml:space="preserve"> mildew of sponge gourd. Seeds of cv. </w:t>
      </w:r>
      <w:r w:rsidRPr="003C0390">
        <w:rPr>
          <w:rFonts w:ascii="Times New Roman" w:eastAsia="Times New Roman" w:hAnsi="Times New Roman" w:cs="Times New Roman"/>
          <w:bCs/>
          <w:i/>
          <w:iCs/>
          <w:color w:val="000000"/>
          <w:sz w:val="24"/>
          <w:szCs w:val="24"/>
          <w:lang w:eastAsia="en-GB"/>
        </w:rPr>
        <w:t>Phule Prajakta</w:t>
      </w:r>
      <w:r w:rsidRPr="003C0390">
        <w:rPr>
          <w:rFonts w:ascii="Times New Roman" w:eastAsia="Times New Roman" w:hAnsi="Times New Roman" w:cs="Times New Roman"/>
          <w:bCs/>
          <w:color w:val="000000"/>
          <w:sz w:val="24"/>
          <w:szCs w:val="24"/>
          <w:lang w:eastAsia="en-GB"/>
        </w:rPr>
        <w:t xml:space="preserve"> were sown on </w:t>
      </w:r>
      <w:r w:rsidRPr="003C0390">
        <w:rPr>
          <w:rFonts w:ascii="Times New Roman" w:eastAsia="Times New Roman" w:hAnsi="Times New Roman" w:cs="Times New Roman"/>
          <w:color w:val="000000"/>
          <w:sz w:val="24"/>
          <w:szCs w:val="24"/>
          <w:lang w:eastAsia="en-GB"/>
        </w:rPr>
        <w:t>15 August 2024</w:t>
      </w:r>
      <w:r w:rsidRPr="003C0390">
        <w:rPr>
          <w:rFonts w:ascii="Times New Roman" w:eastAsia="Times New Roman" w:hAnsi="Times New Roman" w:cs="Times New Roman"/>
          <w:bCs/>
          <w:color w:val="000000"/>
          <w:sz w:val="24"/>
          <w:szCs w:val="24"/>
          <w:lang w:eastAsia="en-GB"/>
        </w:rPr>
        <w:t xml:space="preserve"> at a spacing of </w:t>
      </w:r>
      <w:r w:rsidRPr="003C0390">
        <w:rPr>
          <w:rFonts w:ascii="Times New Roman" w:eastAsia="Times New Roman" w:hAnsi="Times New Roman" w:cs="Times New Roman"/>
          <w:color w:val="000000"/>
          <w:sz w:val="24"/>
          <w:szCs w:val="24"/>
          <w:lang w:eastAsia="en-GB"/>
        </w:rPr>
        <w:t>150 × 100 cm</w:t>
      </w:r>
      <w:r w:rsidRPr="003C0390">
        <w:rPr>
          <w:rFonts w:ascii="Times New Roman" w:eastAsia="Times New Roman" w:hAnsi="Times New Roman" w:cs="Times New Roman"/>
          <w:bCs/>
          <w:color w:val="000000"/>
          <w:sz w:val="24"/>
          <w:szCs w:val="24"/>
          <w:lang w:eastAsia="en-GB"/>
        </w:rPr>
        <w:t>, and the crop was raised using standard agronomic practices. Fungicidal treatments were initiated at the first appearance of disease symptoms, followed by two subsequent sprays at 10-day intervals.</w:t>
      </w:r>
      <w:r w:rsidR="00C777E9">
        <w:rPr>
          <w:rFonts w:ascii="Times New Roman" w:eastAsia="Times New Roman" w:hAnsi="Times New Roman" w:cs="Times New Roman"/>
          <w:bCs/>
          <w:color w:val="000000"/>
          <w:sz w:val="24"/>
          <w:szCs w:val="24"/>
          <w:lang w:eastAsia="en-GB"/>
        </w:rPr>
        <w:t xml:space="preserve"> The experiment was laid out in Randomized Block Design (RBD) with three replications and eight treatments. A total of three sprays were given at 10 days interval.</w:t>
      </w:r>
      <w:r w:rsidR="007D0E9D" w:rsidRPr="007D0E9D">
        <w:rPr>
          <w:rFonts w:ascii="Arial" w:hAnsi="Arial" w:cs="Arial"/>
          <w:bCs/>
          <w:kern w:val="2"/>
          <w:sz w:val="20"/>
          <w:szCs w:val="20"/>
          <w:lang w:val="en-GB"/>
        </w:rPr>
        <w:t xml:space="preserve"> </w:t>
      </w:r>
      <w:r w:rsidR="007D0E9D" w:rsidRPr="007D0E9D">
        <w:rPr>
          <w:rFonts w:ascii="Times New Roman" w:eastAsia="Times New Roman" w:hAnsi="Times New Roman" w:cs="Times New Roman"/>
          <w:bCs/>
          <w:color w:val="000000"/>
          <w:sz w:val="24"/>
          <w:szCs w:val="24"/>
          <w:lang w:val="en-GB" w:eastAsia="en-GB"/>
        </w:rPr>
        <w:t>The details of the treatments are presented in Table 1.</w:t>
      </w:r>
    </w:p>
    <w:p w14:paraId="4A7A0E6D" w14:textId="77777777" w:rsidR="00C777E9" w:rsidRDefault="00C777E9" w:rsidP="007D0E9D">
      <w:pPr>
        <w:shd w:val="clear" w:color="auto" w:fill="FFFFFF"/>
        <w:spacing w:after="0"/>
        <w:jc w:val="both"/>
        <w:rPr>
          <w:rFonts w:ascii="Times New Roman" w:eastAsia="Times New Roman" w:hAnsi="Times New Roman" w:cs="Times New Roman"/>
          <w:b/>
          <w:color w:val="000000"/>
          <w:sz w:val="24"/>
          <w:szCs w:val="24"/>
          <w:lang w:eastAsia="en-GB"/>
        </w:rPr>
      </w:pPr>
    </w:p>
    <w:p w14:paraId="5AA37736" w14:textId="26BA0C64" w:rsidR="007D0E9D" w:rsidRPr="007D0E9D" w:rsidRDefault="007D0E9D" w:rsidP="007D0E9D">
      <w:pPr>
        <w:shd w:val="clear" w:color="auto" w:fill="FFFFFF"/>
        <w:spacing w:after="0"/>
        <w:jc w:val="both"/>
        <w:rPr>
          <w:rFonts w:ascii="Times New Roman" w:eastAsia="Times New Roman" w:hAnsi="Times New Roman" w:cs="Times New Roman"/>
          <w:b/>
          <w:color w:val="000000"/>
          <w:sz w:val="24"/>
          <w:szCs w:val="24"/>
          <w:lang w:val="en-GB" w:eastAsia="en-GB"/>
        </w:rPr>
      </w:pPr>
      <w:r>
        <w:rPr>
          <w:rFonts w:ascii="Times New Roman" w:eastAsia="Times New Roman" w:hAnsi="Times New Roman" w:cs="Times New Roman"/>
          <w:b/>
          <w:color w:val="000000"/>
          <w:sz w:val="24"/>
          <w:szCs w:val="24"/>
          <w:lang w:eastAsia="en-GB"/>
        </w:rPr>
        <w:t xml:space="preserve">Table 1. </w:t>
      </w:r>
      <w:r w:rsidRPr="007D0E9D">
        <w:rPr>
          <w:rFonts w:ascii="Times New Roman" w:eastAsia="Times New Roman" w:hAnsi="Times New Roman" w:cs="Times New Roman"/>
          <w:b/>
          <w:color w:val="000000"/>
          <w:sz w:val="24"/>
          <w:szCs w:val="24"/>
          <w:lang w:val="en-GB" w:eastAsia="en-GB"/>
        </w:rPr>
        <w:t>Fungicides/chemicals and their concentrations used in different treatments</w:t>
      </w:r>
    </w:p>
    <w:p w14:paraId="558932CB" w14:textId="4C213AC4" w:rsidR="00345F90" w:rsidRPr="00F14DE9" w:rsidRDefault="00345F90" w:rsidP="00345F90">
      <w:pPr>
        <w:shd w:val="clear" w:color="auto" w:fill="FFFFFF"/>
        <w:spacing w:after="0"/>
        <w:jc w:val="both"/>
        <w:rPr>
          <w:rFonts w:ascii="Times New Roman" w:eastAsia="Times New Roman" w:hAnsi="Times New Roman" w:cs="Times New Roman"/>
          <w:b/>
          <w:color w:val="000000"/>
          <w:sz w:val="24"/>
          <w:szCs w:val="24"/>
          <w:lang w:eastAsia="en-GB"/>
        </w:rPr>
      </w:pPr>
    </w:p>
    <w:tbl>
      <w:tblPr>
        <w:tblW w:w="93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5"/>
        <w:gridCol w:w="5547"/>
        <w:gridCol w:w="2199"/>
      </w:tblGrid>
      <w:tr w:rsidR="00345F90" w:rsidRPr="00DC5D12" w14:paraId="3E7786F8" w14:textId="77777777" w:rsidTr="00676757">
        <w:trPr>
          <w:trHeight w:val="517"/>
        </w:trPr>
        <w:tc>
          <w:tcPr>
            <w:tcW w:w="1605" w:type="dxa"/>
          </w:tcPr>
          <w:p w14:paraId="0B6E864B"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
                <w:color w:val="000000"/>
                <w:sz w:val="20"/>
                <w:szCs w:val="20"/>
                <w:lang w:eastAsia="en-GB"/>
              </w:rPr>
            </w:pPr>
            <w:r w:rsidRPr="00DC5D12">
              <w:rPr>
                <w:rFonts w:ascii="Times New Roman" w:eastAsia="Times New Roman" w:hAnsi="Times New Roman" w:cs="Times New Roman"/>
                <w:b/>
                <w:color w:val="000000"/>
                <w:sz w:val="20"/>
                <w:szCs w:val="20"/>
                <w:lang w:eastAsia="en-GB"/>
              </w:rPr>
              <w:t>Treatments</w:t>
            </w:r>
          </w:p>
        </w:tc>
        <w:tc>
          <w:tcPr>
            <w:tcW w:w="5547" w:type="dxa"/>
          </w:tcPr>
          <w:p w14:paraId="2A2297FB"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
                <w:color w:val="000000"/>
                <w:sz w:val="20"/>
                <w:szCs w:val="20"/>
                <w:lang w:eastAsia="en-GB"/>
              </w:rPr>
            </w:pPr>
            <w:r w:rsidRPr="00DC5D12">
              <w:rPr>
                <w:rFonts w:ascii="Times New Roman" w:eastAsia="Times New Roman" w:hAnsi="Times New Roman" w:cs="Times New Roman"/>
                <w:b/>
                <w:color w:val="000000"/>
                <w:sz w:val="20"/>
                <w:szCs w:val="20"/>
                <w:lang w:eastAsia="en-GB"/>
              </w:rPr>
              <w:t>Fungicides/chemicals</w:t>
            </w:r>
          </w:p>
        </w:tc>
        <w:tc>
          <w:tcPr>
            <w:tcW w:w="2199" w:type="dxa"/>
          </w:tcPr>
          <w:p w14:paraId="0C2D3C86" w14:textId="54B603FB" w:rsidR="00345F90" w:rsidRPr="00DC5D12" w:rsidRDefault="00345F90" w:rsidP="00676757">
            <w:pPr>
              <w:shd w:val="clear" w:color="auto" w:fill="FFFFFF"/>
              <w:spacing w:after="100" w:afterAutospacing="1"/>
              <w:jc w:val="center"/>
              <w:rPr>
                <w:rFonts w:ascii="Times New Roman" w:eastAsia="Times New Roman" w:hAnsi="Times New Roman" w:cs="Times New Roman"/>
                <w:b/>
                <w:color w:val="000000"/>
                <w:sz w:val="20"/>
                <w:szCs w:val="20"/>
                <w:lang w:eastAsia="en-GB"/>
              </w:rPr>
            </w:pPr>
            <w:r w:rsidRPr="00DC5D12">
              <w:rPr>
                <w:rFonts w:ascii="Times New Roman" w:eastAsia="Times New Roman" w:hAnsi="Times New Roman" w:cs="Times New Roman"/>
                <w:b/>
                <w:color w:val="000000"/>
                <w:sz w:val="20"/>
                <w:szCs w:val="20"/>
                <w:lang w:eastAsia="en-GB"/>
              </w:rPr>
              <w:t>Conc.</w:t>
            </w:r>
            <w:r w:rsidR="007D0E9D">
              <w:rPr>
                <w:rFonts w:ascii="Times New Roman" w:eastAsia="Times New Roman" w:hAnsi="Times New Roman" w:cs="Times New Roman"/>
                <w:b/>
                <w:color w:val="000000"/>
                <w:sz w:val="20"/>
                <w:szCs w:val="20"/>
                <w:lang w:eastAsia="en-GB"/>
              </w:rPr>
              <w:t xml:space="preserve"> </w:t>
            </w:r>
            <w:r w:rsidRPr="00DC5D12">
              <w:rPr>
                <w:rFonts w:ascii="Times New Roman" w:eastAsia="Times New Roman" w:hAnsi="Times New Roman" w:cs="Times New Roman"/>
                <w:b/>
                <w:color w:val="000000"/>
                <w:sz w:val="20"/>
                <w:szCs w:val="20"/>
                <w:lang w:eastAsia="en-GB"/>
              </w:rPr>
              <w:t>(%)</w:t>
            </w:r>
          </w:p>
        </w:tc>
      </w:tr>
      <w:tr w:rsidR="00345F90" w:rsidRPr="00DC5D12" w14:paraId="06FC4A6A" w14:textId="77777777" w:rsidTr="00676757">
        <w:trPr>
          <w:trHeight w:val="517"/>
        </w:trPr>
        <w:tc>
          <w:tcPr>
            <w:tcW w:w="1605" w:type="dxa"/>
          </w:tcPr>
          <w:p w14:paraId="0A81AAF8"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T1</w:t>
            </w:r>
          </w:p>
        </w:tc>
        <w:tc>
          <w:tcPr>
            <w:tcW w:w="5547" w:type="dxa"/>
          </w:tcPr>
          <w:p w14:paraId="2B889B86" w14:textId="77777777" w:rsidR="00345F90" w:rsidRPr="00DC5D12" w:rsidRDefault="00345F90" w:rsidP="00676757">
            <w:pPr>
              <w:shd w:val="clear" w:color="auto" w:fill="FFFFFF"/>
              <w:spacing w:after="100" w:afterAutospacing="1"/>
              <w:jc w:val="both"/>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Carbendazim 12%+ Mancozeb 63%</w:t>
            </w:r>
          </w:p>
        </w:tc>
        <w:tc>
          <w:tcPr>
            <w:tcW w:w="2199" w:type="dxa"/>
          </w:tcPr>
          <w:p w14:paraId="32C33CB2"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0.15</w:t>
            </w:r>
          </w:p>
        </w:tc>
      </w:tr>
      <w:tr w:rsidR="00345F90" w:rsidRPr="00DC5D12" w14:paraId="364AB52A" w14:textId="77777777" w:rsidTr="00676757">
        <w:trPr>
          <w:trHeight w:val="517"/>
        </w:trPr>
        <w:tc>
          <w:tcPr>
            <w:tcW w:w="1605" w:type="dxa"/>
          </w:tcPr>
          <w:p w14:paraId="17BF7E81"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T2</w:t>
            </w:r>
          </w:p>
        </w:tc>
        <w:tc>
          <w:tcPr>
            <w:tcW w:w="5547" w:type="dxa"/>
          </w:tcPr>
          <w:p w14:paraId="2864E4F8" w14:textId="77777777" w:rsidR="00345F90" w:rsidRPr="00DC5D12" w:rsidRDefault="00345F90" w:rsidP="00676757">
            <w:pPr>
              <w:shd w:val="clear" w:color="auto" w:fill="FFFFFF"/>
              <w:spacing w:after="100" w:afterAutospacing="1"/>
              <w:jc w:val="both"/>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Azoxystrobin 4.8% w/w + Chlorothalonil 40% w/w SC</w:t>
            </w:r>
          </w:p>
        </w:tc>
        <w:tc>
          <w:tcPr>
            <w:tcW w:w="2199" w:type="dxa"/>
          </w:tcPr>
          <w:p w14:paraId="41B0CA39"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0.6</w:t>
            </w:r>
          </w:p>
        </w:tc>
      </w:tr>
      <w:tr w:rsidR="00345F90" w:rsidRPr="00DC5D12" w14:paraId="3F026D42" w14:textId="77777777" w:rsidTr="00676757">
        <w:trPr>
          <w:trHeight w:val="517"/>
        </w:trPr>
        <w:tc>
          <w:tcPr>
            <w:tcW w:w="1605" w:type="dxa"/>
          </w:tcPr>
          <w:p w14:paraId="6B14D888"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T3</w:t>
            </w:r>
          </w:p>
        </w:tc>
        <w:tc>
          <w:tcPr>
            <w:tcW w:w="5547" w:type="dxa"/>
          </w:tcPr>
          <w:p w14:paraId="19C3D62A" w14:textId="77777777" w:rsidR="00345F90" w:rsidRPr="00DC5D12" w:rsidRDefault="00345F90" w:rsidP="00676757">
            <w:pPr>
              <w:shd w:val="clear" w:color="auto" w:fill="FFFFFF"/>
              <w:spacing w:after="100" w:afterAutospacing="1"/>
              <w:jc w:val="both"/>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Azoxystrobin 11% w/w + Tebuconazole 18.3</w:t>
            </w:r>
          </w:p>
        </w:tc>
        <w:tc>
          <w:tcPr>
            <w:tcW w:w="2199" w:type="dxa"/>
          </w:tcPr>
          <w:p w14:paraId="08FBCD5F"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0.15</w:t>
            </w:r>
          </w:p>
        </w:tc>
      </w:tr>
      <w:tr w:rsidR="00345F90" w:rsidRPr="00DC5D12" w14:paraId="5979C448" w14:textId="77777777" w:rsidTr="00676757">
        <w:trPr>
          <w:trHeight w:val="517"/>
        </w:trPr>
        <w:tc>
          <w:tcPr>
            <w:tcW w:w="1605" w:type="dxa"/>
          </w:tcPr>
          <w:p w14:paraId="5B265C36"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T4</w:t>
            </w:r>
          </w:p>
        </w:tc>
        <w:tc>
          <w:tcPr>
            <w:tcW w:w="5547" w:type="dxa"/>
          </w:tcPr>
          <w:p w14:paraId="69AC5849" w14:textId="77777777" w:rsidR="00345F90" w:rsidRPr="00DC5D12" w:rsidRDefault="00345F90" w:rsidP="00676757">
            <w:pPr>
              <w:shd w:val="clear" w:color="auto" w:fill="FFFFFF"/>
              <w:spacing w:after="100" w:afterAutospacing="1"/>
              <w:jc w:val="both"/>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Aureofungin 46.25 w/w SP</w:t>
            </w:r>
          </w:p>
        </w:tc>
        <w:tc>
          <w:tcPr>
            <w:tcW w:w="2199" w:type="dxa"/>
          </w:tcPr>
          <w:p w14:paraId="13C3CC1A"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0.005</w:t>
            </w:r>
          </w:p>
        </w:tc>
      </w:tr>
      <w:tr w:rsidR="00345F90" w:rsidRPr="00DC5D12" w14:paraId="26C86E04" w14:textId="77777777" w:rsidTr="00676757">
        <w:trPr>
          <w:trHeight w:val="517"/>
        </w:trPr>
        <w:tc>
          <w:tcPr>
            <w:tcW w:w="1605" w:type="dxa"/>
          </w:tcPr>
          <w:p w14:paraId="2F6BD8E5"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T5</w:t>
            </w:r>
          </w:p>
        </w:tc>
        <w:tc>
          <w:tcPr>
            <w:tcW w:w="5547" w:type="dxa"/>
          </w:tcPr>
          <w:p w14:paraId="576CA1C1" w14:textId="77777777" w:rsidR="00345F90" w:rsidRPr="00DC5D12" w:rsidRDefault="00345F90" w:rsidP="00676757">
            <w:pPr>
              <w:shd w:val="clear" w:color="auto" w:fill="FFFFFF"/>
              <w:spacing w:after="100" w:afterAutospacing="1"/>
              <w:jc w:val="both"/>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Copper sulphate 47.15 + Mancozeb 30% WDG</w:t>
            </w:r>
          </w:p>
        </w:tc>
        <w:tc>
          <w:tcPr>
            <w:tcW w:w="2199" w:type="dxa"/>
          </w:tcPr>
          <w:p w14:paraId="7D865DC6"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0.5</w:t>
            </w:r>
          </w:p>
        </w:tc>
      </w:tr>
      <w:tr w:rsidR="00345F90" w:rsidRPr="00DC5D12" w14:paraId="60B27124" w14:textId="77777777" w:rsidTr="00676757">
        <w:trPr>
          <w:trHeight w:val="536"/>
        </w:trPr>
        <w:tc>
          <w:tcPr>
            <w:tcW w:w="1605" w:type="dxa"/>
          </w:tcPr>
          <w:p w14:paraId="7231574E"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T6</w:t>
            </w:r>
          </w:p>
        </w:tc>
        <w:tc>
          <w:tcPr>
            <w:tcW w:w="5547" w:type="dxa"/>
          </w:tcPr>
          <w:p w14:paraId="69EF52F4" w14:textId="77777777" w:rsidR="00345F90" w:rsidRPr="00DC5D12" w:rsidRDefault="00345F90" w:rsidP="00676757">
            <w:pPr>
              <w:shd w:val="clear" w:color="auto" w:fill="FFFFFF"/>
              <w:spacing w:after="100" w:afterAutospacing="1"/>
              <w:jc w:val="both"/>
              <w:rPr>
                <w:rFonts w:ascii="Times New Roman" w:eastAsia="Times New Roman" w:hAnsi="Times New Roman" w:cs="Times New Roman"/>
                <w:bCs/>
                <w:color w:val="000000"/>
                <w:sz w:val="20"/>
                <w:szCs w:val="20"/>
                <w:lang w:eastAsia="en-GB"/>
              </w:rPr>
            </w:pPr>
            <w:proofErr w:type="spellStart"/>
            <w:r w:rsidRPr="00DC5D12">
              <w:rPr>
                <w:rFonts w:ascii="Times New Roman" w:eastAsia="Times New Roman" w:hAnsi="Times New Roman" w:cs="Times New Roman"/>
                <w:bCs/>
                <w:color w:val="000000"/>
                <w:sz w:val="20"/>
                <w:szCs w:val="20"/>
                <w:lang w:eastAsia="en-GB"/>
              </w:rPr>
              <w:t>Kresoxim</w:t>
            </w:r>
            <w:proofErr w:type="spellEnd"/>
            <w:r w:rsidRPr="00DC5D12">
              <w:rPr>
                <w:rFonts w:ascii="Times New Roman" w:eastAsia="Times New Roman" w:hAnsi="Times New Roman" w:cs="Times New Roman"/>
                <w:bCs/>
                <w:color w:val="000000"/>
                <w:sz w:val="20"/>
                <w:szCs w:val="20"/>
                <w:lang w:eastAsia="en-GB"/>
              </w:rPr>
              <w:t xml:space="preserve"> methyl 18% +Mancozeb 54% WP</w:t>
            </w:r>
          </w:p>
        </w:tc>
        <w:tc>
          <w:tcPr>
            <w:tcW w:w="2199" w:type="dxa"/>
          </w:tcPr>
          <w:p w14:paraId="1D4E5227"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0.2</w:t>
            </w:r>
          </w:p>
        </w:tc>
      </w:tr>
      <w:tr w:rsidR="00345F90" w:rsidRPr="00DC5D12" w14:paraId="52165DD3" w14:textId="77777777" w:rsidTr="00676757">
        <w:trPr>
          <w:trHeight w:val="536"/>
        </w:trPr>
        <w:tc>
          <w:tcPr>
            <w:tcW w:w="1605" w:type="dxa"/>
          </w:tcPr>
          <w:p w14:paraId="38AB5D27"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T7</w:t>
            </w:r>
          </w:p>
        </w:tc>
        <w:tc>
          <w:tcPr>
            <w:tcW w:w="5547" w:type="dxa"/>
          </w:tcPr>
          <w:p w14:paraId="21216A4D" w14:textId="77777777" w:rsidR="00345F90" w:rsidRPr="00DC5D12" w:rsidRDefault="00345F90" w:rsidP="00676757">
            <w:pPr>
              <w:shd w:val="clear" w:color="auto" w:fill="FFFFFF"/>
              <w:spacing w:after="100" w:afterAutospacing="1"/>
              <w:jc w:val="both"/>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 xml:space="preserve">Potassium salt of </w:t>
            </w:r>
            <w:proofErr w:type="spellStart"/>
            <w:r w:rsidRPr="00DC5D12">
              <w:rPr>
                <w:rFonts w:ascii="Times New Roman" w:eastAsia="Times New Roman" w:hAnsi="Times New Roman" w:cs="Times New Roman"/>
                <w:bCs/>
                <w:color w:val="000000"/>
                <w:sz w:val="20"/>
                <w:szCs w:val="20"/>
                <w:lang w:eastAsia="en-GB"/>
              </w:rPr>
              <w:t>Phosphoeric</w:t>
            </w:r>
            <w:proofErr w:type="spellEnd"/>
            <w:r w:rsidRPr="00DC5D12">
              <w:rPr>
                <w:rFonts w:ascii="Times New Roman" w:eastAsia="Times New Roman" w:hAnsi="Times New Roman" w:cs="Times New Roman"/>
                <w:bCs/>
                <w:color w:val="000000"/>
                <w:sz w:val="20"/>
                <w:szCs w:val="20"/>
                <w:lang w:eastAsia="en-GB"/>
              </w:rPr>
              <w:t xml:space="preserve"> acid</w:t>
            </w:r>
          </w:p>
        </w:tc>
        <w:tc>
          <w:tcPr>
            <w:tcW w:w="2199" w:type="dxa"/>
          </w:tcPr>
          <w:p w14:paraId="19F7CA3E"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0.4</w:t>
            </w:r>
          </w:p>
        </w:tc>
      </w:tr>
      <w:tr w:rsidR="00345F90" w:rsidRPr="00DC5D12" w14:paraId="65004912" w14:textId="77777777" w:rsidTr="00676757">
        <w:trPr>
          <w:trHeight w:val="517"/>
        </w:trPr>
        <w:tc>
          <w:tcPr>
            <w:tcW w:w="1605" w:type="dxa"/>
          </w:tcPr>
          <w:p w14:paraId="3F1A556C"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T8</w:t>
            </w:r>
          </w:p>
        </w:tc>
        <w:tc>
          <w:tcPr>
            <w:tcW w:w="5547" w:type="dxa"/>
          </w:tcPr>
          <w:p w14:paraId="704BEE0B" w14:textId="77777777" w:rsidR="00345F90" w:rsidRPr="00DC5D12" w:rsidRDefault="00345F90" w:rsidP="00676757">
            <w:pPr>
              <w:shd w:val="clear" w:color="auto" w:fill="FFFFFF"/>
              <w:spacing w:after="100" w:afterAutospacing="1"/>
              <w:jc w:val="both"/>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Control (water spray)</w:t>
            </w:r>
          </w:p>
        </w:tc>
        <w:tc>
          <w:tcPr>
            <w:tcW w:w="2199" w:type="dxa"/>
          </w:tcPr>
          <w:p w14:paraId="2BF805B9"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w:t>
            </w:r>
          </w:p>
        </w:tc>
      </w:tr>
    </w:tbl>
    <w:p w14:paraId="57002096" w14:textId="5164C335" w:rsidR="00345F90" w:rsidRPr="006C194B" w:rsidRDefault="006C194B" w:rsidP="006C194B">
      <w:pPr>
        <w:spacing w:after="0" w:line="240" w:lineRule="auto"/>
        <w:jc w:val="center"/>
        <w:rPr>
          <w:rFonts w:ascii="Arial" w:eastAsia="Times New Roman" w:hAnsi="Arial" w:cs="Arial"/>
          <w:bCs/>
          <w:i/>
          <w:iCs/>
          <w:color w:val="000000"/>
          <w:kern w:val="2"/>
          <w:sz w:val="18"/>
          <w:szCs w:val="18"/>
          <w:lang w:val="en-GB" w:eastAsia="en-GB"/>
        </w:rPr>
      </w:pPr>
      <w:r w:rsidRPr="00B0396C">
        <w:rPr>
          <w:rFonts w:ascii="Arial" w:eastAsia="Times New Roman" w:hAnsi="Arial" w:cs="Arial"/>
          <w:bCs/>
          <w:i/>
          <w:iCs/>
          <w:color w:val="000000"/>
          <w:kern w:val="2"/>
          <w:sz w:val="18"/>
          <w:szCs w:val="18"/>
          <w:lang w:val="en-GB" w:eastAsia="en-GB"/>
        </w:rPr>
        <w:t>*T= Treatment; T1 To T8 represent the different fungicide treatments evaluated against downy mildew of sponge gourd</w:t>
      </w:r>
    </w:p>
    <w:p w14:paraId="3AEF0DA8" w14:textId="04EC87F8" w:rsidR="00345F90" w:rsidRDefault="00D826D7" w:rsidP="00345F90">
      <w:pPr>
        <w:shd w:val="clear" w:color="auto" w:fill="FFFFFF"/>
        <w:spacing w:after="0"/>
        <w:ind w:firstLine="720"/>
        <w:jc w:val="both"/>
        <w:rPr>
          <w:rFonts w:ascii="Times New Roman" w:eastAsia="Times New Roman" w:hAnsi="Times New Roman" w:cs="Times New Roman"/>
          <w:bCs/>
          <w:color w:val="000000"/>
          <w:sz w:val="24"/>
          <w:szCs w:val="24"/>
          <w:lang w:eastAsia="en-GB"/>
        </w:rPr>
      </w:pPr>
      <w:r w:rsidRPr="00D826D7">
        <w:rPr>
          <w:rFonts w:ascii="Times New Roman" w:eastAsia="Times New Roman" w:hAnsi="Times New Roman" w:cs="Times New Roman"/>
          <w:bCs/>
          <w:color w:val="000000"/>
          <w:sz w:val="24"/>
          <w:szCs w:val="24"/>
          <w:lang w:eastAsia="en-GB"/>
        </w:rPr>
        <w:t xml:space="preserve">Observations on powdery mildew intensity were taken at the initial appearance of the disease. Subsequent assessments were made one day prior to the first and second sprays, and 15 days after the third spray. For recording disease intensity, three plants were randomly selected and tagged in each replication. From each tagged plant, three leaves (one each from the lower, middle, and upper canopy) were assessed. Disease severity was recorded using the </w:t>
      </w:r>
      <w:r w:rsidRPr="00D826D7">
        <w:rPr>
          <w:rFonts w:ascii="Times New Roman" w:eastAsia="Times New Roman" w:hAnsi="Times New Roman" w:cs="Times New Roman"/>
          <w:color w:val="000000"/>
          <w:sz w:val="24"/>
          <w:szCs w:val="24"/>
          <w:lang w:eastAsia="en-GB"/>
        </w:rPr>
        <w:t>0–9 disease rating scale</w:t>
      </w:r>
      <w:r w:rsidRPr="00D826D7">
        <w:rPr>
          <w:rFonts w:ascii="Times New Roman" w:eastAsia="Times New Roman" w:hAnsi="Times New Roman" w:cs="Times New Roman"/>
          <w:bCs/>
          <w:color w:val="000000"/>
          <w:sz w:val="24"/>
          <w:szCs w:val="24"/>
          <w:lang w:eastAsia="en-GB"/>
        </w:rPr>
        <w:t xml:space="preserve"> proposed by Mayee and Datar (1986)</w:t>
      </w:r>
      <w:r w:rsidR="008D3698">
        <w:rPr>
          <w:rFonts w:ascii="Times New Roman" w:eastAsia="Times New Roman" w:hAnsi="Times New Roman" w:cs="Times New Roman"/>
          <w:bCs/>
          <w:color w:val="000000"/>
          <w:sz w:val="24"/>
          <w:szCs w:val="24"/>
          <w:lang w:eastAsia="en-GB"/>
        </w:rPr>
        <w:t xml:space="preserve"> as shown in table 2.</w:t>
      </w:r>
    </w:p>
    <w:p w14:paraId="3B911FA3" w14:textId="77777777" w:rsidR="002725AA" w:rsidRDefault="002725AA" w:rsidP="002725AA">
      <w:pPr>
        <w:shd w:val="clear" w:color="auto" w:fill="FFFFFF"/>
        <w:spacing w:after="0" w:line="240" w:lineRule="auto"/>
        <w:jc w:val="center"/>
        <w:rPr>
          <w:rFonts w:ascii="Arial" w:eastAsia="Times New Roman" w:hAnsi="Arial" w:cs="Arial"/>
          <w:b/>
          <w:color w:val="000000"/>
          <w:kern w:val="2"/>
          <w:sz w:val="20"/>
          <w:szCs w:val="20"/>
          <w:lang w:val="en-GB" w:eastAsia="en-GB"/>
        </w:rPr>
      </w:pPr>
    </w:p>
    <w:p w14:paraId="1AECE530" w14:textId="7E42AD31" w:rsidR="007D0E9D" w:rsidRPr="002725AA" w:rsidRDefault="002725AA" w:rsidP="002725AA">
      <w:pPr>
        <w:shd w:val="clear" w:color="auto" w:fill="FFFFFF"/>
        <w:spacing w:after="0" w:line="240" w:lineRule="auto"/>
        <w:jc w:val="center"/>
        <w:rPr>
          <w:rFonts w:ascii="Times New Roman" w:eastAsia="Times New Roman" w:hAnsi="Times New Roman" w:cs="Times New Roman"/>
          <w:b/>
          <w:color w:val="000000"/>
          <w:sz w:val="24"/>
          <w:szCs w:val="24"/>
          <w:lang w:eastAsia="en-GB"/>
        </w:rPr>
      </w:pPr>
      <w:r w:rsidRPr="002725AA">
        <w:rPr>
          <w:rFonts w:ascii="Times New Roman" w:eastAsia="Times New Roman" w:hAnsi="Times New Roman" w:cs="Times New Roman"/>
          <w:b/>
          <w:color w:val="000000"/>
          <w:sz w:val="24"/>
          <w:szCs w:val="24"/>
          <w:lang w:eastAsia="en-GB"/>
        </w:rPr>
        <w:lastRenderedPageBreak/>
        <w:t>Table 2.  Disease rating scale</w:t>
      </w:r>
      <w:r>
        <w:rPr>
          <w:rFonts w:ascii="Times New Roman" w:eastAsia="Times New Roman" w:hAnsi="Times New Roman" w:cs="Times New Roman"/>
          <w:b/>
          <w:color w:val="000000"/>
          <w:sz w:val="24"/>
          <w:szCs w:val="24"/>
          <w:lang w:eastAsia="en-GB"/>
        </w:rPr>
        <w:t xml:space="preserve"> </w:t>
      </w:r>
      <w:r w:rsidRPr="002725AA">
        <w:rPr>
          <w:rFonts w:ascii="Times New Roman" w:eastAsia="Times New Roman" w:hAnsi="Times New Roman" w:cs="Times New Roman"/>
          <w:b/>
          <w:color w:val="000000"/>
          <w:sz w:val="24"/>
          <w:szCs w:val="24"/>
          <w:lang w:eastAsia="en-GB"/>
        </w:rPr>
        <w:t>(0-</w:t>
      </w:r>
      <w:r>
        <w:rPr>
          <w:rFonts w:ascii="Times New Roman" w:eastAsia="Times New Roman" w:hAnsi="Times New Roman" w:cs="Times New Roman"/>
          <w:b/>
          <w:color w:val="000000"/>
          <w:sz w:val="24"/>
          <w:szCs w:val="24"/>
          <w:lang w:eastAsia="en-GB"/>
        </w:rPr>
        <w:t>9</w:t>
      </w:r>
      <w:r w:rsidRPr="002725AA">
        <w:rPr>
          <w:rFonts w:ascii="Times New Roman" w:eastAsia="Times New Roman" w:hAnsi="Times New Roman" w:cs="Times New Roman"/>
          <w:b/>
          <w:color w:val="000000"/>
          <w:sz w:val="24"/>
          <w:szCs w:val="24"/>
          <w:lang w:eastAsia="en-GB"/>
        </w:rPr>
        <w:t xml:space="preserve">) for assessing </w:t>
      </w:r>
      <w:r w:rsidR="003245A2">
        <w:rPr>
          <w:rFonts w:ascii="Times New Roman" w:eastAsia="Times New Roman" w:hAnsi="Times New Roman" w:cs="Times New Roman"/>
          <w:b/>
          <w:color w:val="000000"/>
          <w:sz w:val="24"/>
          <w:szCs w:val="24"/>
          <w:lang w:eastAsia="en-GB"/>
        </w:rPr>
        <w:t>powdery</w:t>
      </w:r>
      <w:r w:rsidRPr="002725AA">
        <w:rPr>
          <w:rFonts w:ascii="Times New Roman" w:eastAsia="Times New Roman" w:hAnsi="Times New Roman" w:cs="Times New Roman"/>
          <w:b/>
          <w:color w:val="000000"/>
          <w:sz w:val="24"/>
          <w:szCs w:val="24"/>
          <w:lang w:eastAsia="en-GB"/>
        </w:rPr>
        <w:t xml:space="preserve"> mildew severity in sponge gourd (Mayee and Datar,1986)</w:t>
      </w:r>
    </w:p>
    <w:tbl>
      <w:tblPr>
        <w:tblpPr w:leftFromText="180" w:rightFromText="180" w:vertAnchor="text" w:horzAnchor="margin" w:tblpY="17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5521"/>
        <w:gridCol w:w="2692"/>
      </w:tblGrid>
      <w:tr w:rsidR="00345F90" w:rsidRPr="00F14DE9" w14:paraId="4F3735AF" w14:textId="77777777" w:rsidTr="00676757">
        <w:trPr>
          <w:trHeight w:val="334"/>
        </w:trPr>
        <w:tc>
          <w:tcPr>
            <w:tcW w:w="1138" w:type="dxa"/>
          </w:tcPr>
          <w:p w14:paraId="7FEBC6D6" w14:textId="77777777" w:rsidR="00345F90" w:rsidRPr="00F14DE9" w:rsidRDefault="00345F90" w:rsidP="00676757">
            <w:pPr>
              <w:shd w:val="clear" w:color="auto" w:fill="FFFFFF"/>
              <w:spacing w:after="0"/>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Grade</w:t>
            </w:r>
          </w:p>
        </w:tc>
        <w:tc>
          <w:tcPr>
            <w:tcW w:w="5521" w:type="dxa"/>
          </w:tcPr>
          <w:p w14:paraId="1337F3A9" w14:textId="77777777" w:rsidR="00345F90" w:rsidRPr="00F14DE9" w:rsidRDefault="00345F90" w:rsidP="00676757">
            <w:pPr>
              <w:shd w:val="clear" w:color="auto" w:fill="FFFFFF"/>
              <w:spacing w:after="0"/>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Description</w:t>
            </w:r>
          </w:p>
        </w:tc>
        <w:tc>
          <w:tcPr>
            <w:tcW w:w="2692" w:type="dxa"/>
          </w:tcPr>
          <w:p w14:paraId="648B4DDE" w14:textId="77777777" w:rsidR="00345F90" w:rsidRPr="00F14DE9" w:rsidRDefault="00345F90" w:rsidP="00676757">
            <w:pPr>
              <w:shd w:val="clear" w:color="auto" w:fill="FFFFFF"/>
              <w:spacing w:after="0"/>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Reaction</w:t>
            </w:r>
          </w:p>
        </w:tc>
      </w:tr>
      <w:tr w:rsidR="00345F90" w:rsidRPr="00F14DE9" w14:paraId="4C14D074" w14:textId="77777777" w:rsidTr="00676757">
        <w:trPr>
          <w:trHeight w:val="317"/>
        </w:trPr>
        <w:tc>
          <w:tcPr>
            <w:tcW w:w="1138" w:type="dxa"/>
          </w:tcPr>
          <w:p w14:paraId="141353F7" w14:textId="77777777" w:rsidR="00345F90" w:rsidRPr="00F14DE9" w:rsidRDefault="00345F90" w:rsidP="00676757">
            <w:pPr>
              <w:shd w:val="clear" w:color="auto" w:fill="FFFFFF"/>
              <w:spacing w:after="0"/>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0</w:t>
            </w:r>
          </w:p>
        </w:tc>
        <w:tc>
          <w:tcPr>
            <w:tcW w:w="5521" w:type="dxa"/>
          </w:tcPr>
          <w:p w14:paraId="4488F8F5" w14:textId="77777777" w:rsidR="00345F90" w:rsidRPr="00F14DE9" w:rsidRDefault="00345F90" w:rsidP="00676757">
            <w:pPr>
              <w:shd w:val="clear" w:color="auto" w:fill="FFFFFF"/>
              <w:spacing w:after="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No symptom on leaves</w:t>
            </w:r>
          </w:p>
        </w:tc>
        <w:tc>
          <w:tcPr>
            <w:tcW w:w="2692" w:type="dxa"/>
          </w:tcPr>
          <w:p w14:paraId="55C39AC1" w14:textId="77777777" w:rsidR="00345F90" w:rsidRPr="00F14DE9" w:rsidRDefault="00345F90" w:rsidP="00676757">
            <w:pPr>
              <w:shd w:val="clear" w:color="auto" w:fill="FFFFFF"/>
              <w:spacing w:after="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Immune (I)</w:t>
            </w:r>
          </w:p>
        </w:tc>
      </w:tr>
      <w:tr w:rsidR="00345F90" w:rsidRPr="00F14DE9" w14:paraId="6334C290" w14:textId="77777777" w:rsidTr="00676757">
        <w:trPr>
          <w:trHeight w:val="633"/>
        </w:trPr>
        <w:tc>
          <w:tcPr>
            <w:tcW w:w="1138" w:type="dxa"/>
          </w:tcPr>
          <w:p w14:paraId="558DD306" w14:textId="77777777" w:rsidR="00345F90" w:rsidRPr="00F14DE9" w:rsidRDefault="00345F90" w:rsidP="00676757">
            <w:pPr>
              <w:shd w:val="clear" w:color="auto" w:fill="FFFFFF"/>
              <w:spacing w:after="0"/>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1</w:t>
            </w:r>
          </w:p>
        </w:tc>
        <w:tc>
          <w:tcPr>
            <w:tcW w:w="5521" w:type="dxa"/>
          </w:tcPr>
          <w:p w14:paraId="3CE561B3" w14:textId="77777777" w:rsidR="00345F90" w:rsidRPr="00F14DE9" w:rsidRDefault="00345F90" w:rsidP="00676757">
            <w:pPr>
              <w:shd w:val="clear" w:color="auto" w:fill="FFFFFF"/>
              <w:spacing w:after="0"/>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Small scattered specks covering 1% or less leaf area.</w:t>
            </w:r>
          </w:p>
        </w:tc>
        <w:tc>
          <w:tcPr>
            <w:tcW w:w="2692" w:type="dxa"/>
          </w:tcPr>
          <w:p w14:paraId="46E1E5AC" w14:textId="77777777" w:rsidR="00345F90" w:rsidRPr="00F14DE9" w:rsidRDefault="00345F90" w:rsidP="00676757">
            <w:pPr>
              <w:shd w:val="clear" w:color="auto" w:fill="FFFFFF"/>
              <w:spacing w:after="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Highly Resistant (HR)</w:t>
            </w:r>
          </w:p>
        </w:tc>
      </w:tr>
      <w:tr w:rsidR="00345F90" w:rsidRPr="00F14DE9" w14:paraId="60C5DCC4" w14:textId="77777777" w:rsidTr="00676757">
        <w:trPr>
          <w:trHeight w:val="651"/>
        </w:trPr>
        <w:tc>
          <w:tcPr>
            <w:tcW w:w="1138" w:type="dxa"/>
          </w:tcPr>
          <w:p w14:paraId="7A18E84C" w14:textId="77777777" w:rsidR="00345F90" w:rsidRPr="00F14DE9" w:rsidRDefault="00345F90" w:rsidP="00676757">
            <w:pPr>
              <w:shd w:val="clear" w:color="auto" w:fill="FFFFFF"/>
              <w:spacing w:after="0"/>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3</w:t>
            </w:r>
          </w:p>
        </w:tc>
        <w:tc>
          <w:tcPr>
            <w:tcW w:w="5521" w:type="dxa"/>
          </w:tcPr>
          <w:p w14:paraId="2894B195" w14:textId="77777777" w:rsidR="00345F90" w:rsidRPr="00F14DE9" w:rsidRDefault="00345F90" w:rsidP="00676757">
            <w:pPr>
              <w:shd w:val="clear" w:color="auto" w:fill="FFFFFF"/>
              <w:spacing w:after="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Small lesions covering 1 to 10% leaf area</w:t>
            </w:r>
          </w:p>
        </w:tc>
        <w:tc>
          <w:tcPr>
            <w:tcW w:w="2692" w:type="dxa"/>
          </w:tcPr>
          <w:p w14:paraId="6B6D7246" w14:textId="77777777" w:rsidR="00345F90" w:rsidRPr="00F14DE9" w:rsidRDefault="00345F90" w:rsidP="00676757">
            <w:pPr>
              <w:shd w:val="clear" w:color="auto" w:fill="FFFFFF"/>
              <w:spacing w:after="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Resistant (R)</w:t>
            </w:r>
          </w:p>
        </w:tc>
      </w:tr>
      <w:tr w:rsidR="00345F90" w:rsidRPr="00F14DE9" w14:paraId="7CD73BEE" w14:textId="77777777" w:rsidTr="00676757">
        <w:trPr>
          <w:trHeight w:val="633"/>
        </w:trPr>
        <w:tc>
          <w:tcPr>
            <w:tcW w:w="1138" w:type="dxa"/>
          </w:tcPr>
          <w:p w14:paraId="21B3366D" w14:textId="77777777" w:rsidR="00345F90" w:rsidRPr="00F14DE9" w:rsidRDefault="00345F90" w:rsidP="00676757">
            <w:pPr>
              <w:shd w:val="clear" w:color="auto" w:fill="FFFFFF"/>
              <w:spacing w:after="0"/>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5</w:t>
            </w:r>
          </w:p>
        </w:tc>
        <w:tc>
          <w:tcPr>
            <w:tcW w:w="5521" w:type="dxa"/>
          </w:tcPr>
          <w:p w14:paraId="733BCAA9" w14:textId="77777777" w:rsidR="00345F90" w:rsidRPr="00F14DE9" w:rsidRDefault="00345F90" w:rsidP="00676757">
            <w:pPr>
              <w:shd w:val="clear" w:color="auto" w:fill="FFFFFF"/>
              <w:spacing w:after="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Lesions enlarged covering 11 to 25 % leaf area</w:t>
            </w:r>
          </w:p>
        </w:tc>
        <w:tc>
          <w:tcPr>
            <w:tcW w:w="2692" w:type="dxa"/>
          </w:tcPr>
          <w:p w14:paraId="57DAB825" w14:textId="77777777" w:rsidR="00345F90" w:rsidRPr="00F14DE9" w:rsidRDefault="00345F90" w:rsidP="00676757">
            <w:pPr>
              <w:shd w:val="clear" w:color="auto" w:fill="FFFFFF"/>
              <w:spacing w:after="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Moderately Resistant (MR)</w:t>
            </w:r>
          </w:p>
        </w:tc>
      </w:tr>
      <w:tr w:rsidR="00345F90" w:rsidRPr="00F14DE9" w14:paraId="3B6629D6" w14:textId="77777777" w:rsidTr="00676757">
        <w:trPr>
          <w:trHeight w:val="651"/>
        </w:trPr>
        <w:tc>
          <w:tcPr>
            <w:tcW w:w="1138" w:type="dxa"/>
          </w:tcPr>
          <w:p w14:paraId="68230727" w14:textId="77777777" w:rsidR="00345F90" w:rsidRPr="00F14DE9" w:rsidRDefault="00345F90" w:rsidP="00676757">
            <w:pPr>
              <w:shd w:val="clear" w:color="auto" w:fill="FFFFFF"/>
              <w:spacing w:after="0"/>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7</w:t>
            </w:r>
          </w:p>
        </w:tc>
        <w:tc>
          <w:tcPr>
            <w:tcW w:w="5521" w:type="dxa"/>
          </w:tcPr>
          <w:p w14:paraId="22D66060" w14:textId="77777777" w:rsidR="00345F90" w:rsidRPr="00F14DE9" w:rsidRDefault="00345F90" w:rsidP="00676757">
            <w:pPr>
              <w:shd w:val="clear" w:color="auto" w:fill="FFFFFF"/>
              <w:spacing w:after="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Lesions coalesce to form big patches covering 26 to 50 % leaf area.</w:t>
            </w:r>
          </w:p>
        </w:tc>
        <w:tc>
          <w:tcPr>
            <w:tcW w:w="2692" w:type="dxa"/>
          </w:tcPr>
          <w:p w14:paraId="153C0A5C" w14:textId="77777777" w:rsidR="00345F90" w:rsidRPr="00F14DE9" w:rsidRDefault="00345F90" w:rsidP="00676757">
            <w:pPr>
              <w:shd w:val="clear" w:color="auto" w:fill="FFFFFF"/>
              <w:spacing w:after="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Susceptible (S)</w:t>
            </w:r>
          </w:p>
        </w:tc>
      </w:tr>
      <w:tr w:rsidR="00345F90" w:rsidRPr="00F14DE9" w14:paraId="5C9CE658" w14:textId="77777777" w:rsidTr="00676757">
        <w:trPr>
          <w:trHeight w:val="651"/>
        </w:trPr>
        <w:tc>
          <w:tcPr>
            <w:tcW w:w="1138" w:type="dxa"/>
          </w:tcPr>
          <w:p w14:paraId="595FDC58" w14:textId="77777777" w:rsidR="00345F90" w:rsidRPr="00F14DE9" w:rsidRDefault="00345F90" w:rsidP="00676757">
            <w:pPr>
              <w:shd w:val="clear" w:color="auto" w:fill="FFFFFF"/>
              <w:spacing w:after="0"/>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9</w:t>
            </w:r>
          </w:p>
        </w:tc>
        <w:tc>
          <w:tcPr>
            <w:tcW w:w="5521" w:type="dxa"/>
          </w:tcPr>
          <w:p w14:paraId="4D95017F" w14:textId="77777777" w:rsidR="00345F90" w:rsidRPr="00F14DE9" w:rsidRDefault="00345F90" w:rsidP="00676757">
            <w:pPr>
              <w:shd w:val="clear" w:color="auto" w:fill="FFFFFF"/>
              <w:spacing w:after="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Big patches covering 51% or more of leaf area and defoliation occur.</w:t>
            </w:r>
          </w:p>
        </w:tc>
        <w:tc>
          <w:tcPr>
            <w:tcW w:w="2692" w:type="dxa"/>
          </w:tcPr>
          <w:p w14:paraId="686743B2" w14:textId="77777777" w:rsidR="00345F90" w:rsidRPr="00F14DE9" w:rsidRDefault="00345F90" w:rsidP="00676757">
            <w:pPr>
              <w:shd w:val="clear" w:color="auto" w:fill="FFFFFF"/>
              <w:spacing w:after="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Highly Susceptible (HS)</w:t>
            </w:r>
          </w:p>
        </w:tc>
      </w:tr>
    </w:tbl>
    <w:p w14:paraId="0A3DA047" w14:textId="45C78FF6" w:rsidR="00345F90" w:rsidRPr="00F14DE9" w:rsidRDefault="008F3535" w:rsidP="00345F90">
      <w:pPr>
        <w:shd w:val="clear" w:color="auto" w:fill="FFFFFF"/>
        <w:spacing w:after="0"/>
        <w:jc w:val="both"/>
        <w:rPr>
          <w:rFonts w:ascii="Times New Roman" w:eastAsia="Times New Roman" w:hAnsi="Times New Roman" w:cs="Times New Roman"/>
          <w:bCs/>
          <w:color w:val="000000"/>
          <w:sz w:val="24"/>
          <w:szCs w:val="24"/>
          <w:lang w:eastAsia="en-GB"/>
        </w:rPr>
      </w:pPr>
      <w:r>
        <w:rPr>
          <w:noProof/>
        </w:rPr>
        <w:drawing>
          <wp:anchor distT="0" distB="0" distL="114300" distR="114300" simplePos="0" relativeHeight="251666432" behindDoc="0" locked="0" layoutInCell="1" allowOverlap="1" wp14:anchorId="75DD7DE1" wp14:editId="5F28789D">
            <wp:simplePos x="0" y="0"/>
            <wp:positionH relativeFrom="column">
              <wp:posOffset>3048000</wp:posOffset>
            </wp:positionH>
            <wp:positionV relativeFrom="paragraph">
              <wp:posOffset>2751455</wp:posOffset>
            </wp:positionV>
            <wp:extent cx="2011680" cy="2621280"/>
            <wp:effectExtent l="38100" t="38100" r="45720" b="45720"/>
            <wp:wrapThrough wrapText="bothSides">
              <wp:wrapPolygon edited="0">
                <wp:start x="-409" y="-314"/>
                <wp:lineTo x="-409" y="21820"/>
                <wp:lineTo x="21886" y="21820"/>
                <wp:lineTo x="21886" y="-314"/>
                <wp:lineTo x="-409" y="-314"/>
              </wp:wrapPolygon>
            </wp:wrapThrough>
            <wp:docPr id="18335610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1680" cy="2621280"/>
                    </a:xfrm>
                    <a:prstGeom prst="rect">
                      <a:avLst/>
                    </a:prstGeom>
                    <a:noFill/>
                    <a:ln w="38100">
                      <a:solidFill>
                        <a:schemeClr val="tx1"/>
                      </a:solidFill>
                    </a:ln>
                  </pic:spPr>
                </pic:pic>
              </a:graphicData>
            </a:graphic>
          </wp:anchor>
        </w:drawing>
      </w:r>
      <w:r w:rsidR="005571FB">
        <w:rPr>
          <w:noProof/>
        </w:rPr>
        <w:drawing>
          <wp:anchor distT="0" distB="0" distL="114300" distR="114300" simplePos="0" relativeHeight="251665408" behindDoc="0" locked="0" layoutInCell="1" allowOverlap="1" wp14:anchorId="0185B70F" wp14:editId="3EBC76DB">
            <wp:simplePos x="0" y="0"/>
            <wp:positionH relativeFrom="column">
              <wp:posOffset>906780</wp:posOffset>
            </wp:positionH>
            <wp:positionV relativeFrom="paragraph">
              <wp:posOffset>2774315</wp:posOffset>
            </wp:positionV>
            <wp:extent cx="1981200" cy="2621280"/>
            <wp:effectExtent l="38100" t="38100" r="38100" b="45720"/>
            <wp:wrapThrough wrapText="bothSides">
              <wp:wrapPolygon edited="0">
                <wp:start x="-415" y="-314"/>
                <wp:lineTo x="-415" y="21820"/>
                <wp:lineTo x="21808" y="21820"/>
                <wp:lineTo x="21808" y="-314"/>
                <wp:lineTo x="-415" y="-314"/>
              </wp:wrapPolygon>
            </wp:wrapThrough>
            <wp:docPr id="128081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0" cy="2621280"/>
                    </a:xfrm>
                    <a:prstGeom prst="rect">
                      <a:avLst/>
                    </a:prstGeom>
                    <a:noFill/>
                    <a:ln w="38100">
                      <a:solidFill>
                        <a:schemeClr val="tx1"/>
                      </a:solidFill>
                    </a:ln>
                  </pic:spPr>
                </pic:pic>
              </a:graphicData>
            </a:graphic>
            <wp14:sizeRelH relativeFrom="margin">
              <wp14:pctWidth>0</wp14:pctWidth>
            </wp14:sizeRelH>
            <wp14:sizeRelV relativeFrom="margin">
              <wp14:pctHeight>0</wp14:pctHeight>
            </wp14:sizeRelV>
          </wp:anchor>
        </w:drawing>
      </w:r>
    </w:p>
    <w:p w14:paraId="7ECAC250" w14:textId="487B85C4" w:rsidR="005571FB" w:rsidRDefault="005571FB" w:rsidP="00345F90">
      <w:pPr>
        <w:shd w:val="clear" w:color="auto" w:fill="FFFFFF"/>
        <w:spacing w:after="0"/>
        <w:jc w:val="both"/>
        <w:rPr>
          <w:noProof/>
        </w:rPr>
      </w:pPr>
      <w:r>
        <w:rPr>
          <w:noProof/>
        </w:rPr>
        <w:t xml:space="preserve">                              </w:t>
      </w:r>
    </w:p>
    <w:p w14:paraId="27E95C60" w14:textId="77777777" w:rsidR="008F3535" w:rsidRDefault="005571FB" w:rsidP="00345F90">
      <w:pPr>
        <w:shd w:val="clear" w:color="auto" w:fill="FFFFFF"/>
        <w:spacing w:after="0"/>
        <w:jc w:val="both"/>
        <w:rPr>
          <w:noProof/>
        </w:rPr>
      </w:pPr>
      <w:r>
        <w:rPr>
          <w:noProof/>
        </w:rPr>
        <w:t xml:space="preserve">                                         </w:t>
      </w:r>
    </w:p>
    <w:p w14:paraId="40375BE1" w14:textId="77777777" w:rsidR="008F3535" w:rsidRDefault="008F3535" w:rsidP="00345F90">
      <w:pPr>
        <w:shd w:val="clear" w:color="auto" w:fill="FFFFFF"/>
        <w:spacing w:after="0"/>
        <w:jc w:val="both"/>
        <w:rPr>
          <w:noProof/>
        </w:rPr>
      </w:pPr>
    </w:p>
    <w:p w14:paraId="136CDD1D" w14:textId="77777777" w:rsidR="008F3535" w:rsidRDefault="008F3535" w:rsidP="00345F90">
      <w:pPr>
        <w:shd w:val="clear" w:color="auto" w:fill="FFFFFF"/>
        <w:spacing w:after="0"/>
        <w:jc w:val="both"/>
        <w:rPr>
          <w:noProof/>
        </w:rPr>
      </w:pPr>
    </w:p>
    <w:p w14:paraId="7AF9A223" w14:textId="77777777" w:rsidR="008F3535" w:rsidRDefault="008F3535" w:rsidP="00345F90">
      <w:pPr>
        <w:shd w:val="clear" w:color="auto" w:fill="FFFFFF"/>
        <w:spacing w:after="0"/>
        <w:jc w:val="both"/>
        <w:rPr>
          <w:noProof/>
        </w:rPr>
      </w:pPr>
    </w:p>
    <w:p w14:paraId="5E820269" w14:textId="77777777" w:rsidR="008F3535" w:rsidRDefault="008F3535" w:rsidP="00345F90">
      <w:pPr>
        <w:shd w:val="clear" w:color="auto" w:fill="FFFFFF"/>
        <w:spacing w:after="0"/>
        <w:jc w:val="both"/>
        <w:rPr>
          <w:noProof/>
        </w:rPr>
      </w:pPr>
    </w:p>
    <w:p w14:paraId="61A7980D" w14:textId="77777777" w:rsidR="008F3535" w:rsidRDefault="008F3535" w:rsidP="00345F90">
      <w:pPr>
        <w:shd w:val="clear" w:color="auto" w:fill="FFFFFF"/>
        <w:spacing w:after="0"/>
        <w:jc w:val="both"/>
        <w:rPr>
          <w:noProof/>
        </w:rPr>
      </w:pPr>
    </w:p>
    <w:p w14:paraId="74D1D4DD" w14:textId="77777777" w:rsidR="008F3535" w:rsidRDefault="008F3535" w:rsidP="00345F90">
      <w:pPr>
        <w:shd w:val="clear" w:color="auto" w:fill="FFFFFF"/>
        <w:spacing w:after="0"/>
        <w:jc w:val="both"/>
        <w:rPr>
          <w:noProof/>
        </w:rPr>
      </w:pPr>
    </w:p>
    <w:p w14:paraId="22839C8E" w14:textId="77777777" w:rsidR="008F3535" w:rsidRDefault="008F3535" w:rsidP="00345F90">
      <w:pPr>
        <w:shd w:val="clear" w:color="auto" w:fill="FFFFFF"/>
        <w:spacing w:after="0"/>
        <w:jc w:val="both"/>
        <w:rPr>
          <w:noProof/>
        </w:rPr>
      </w:pPr>
    </w:p>
    <w:p w14:paraId="2B3EAA90" w14:textId="77777777" w:rsidR="008F3535" w:rsidRDefault="008F3535" w:rsidP="00345F90">
      <w:pPr>
        <w:shd w:val="clear" w:color="auto" w:fill="FFFFFF"/>
        <w:spacing w:after="0"/>
        <w:jc w:val="both"/>
        <w:rPr>
          <w:noProof/>
        </w:rPr>
      </w:pPr>
    </w:p>
    <w:p w14:paraId="1B87F46D" w14:textId="77777777" w:rsidR="008F3535" w:rsidRDefault="008F3535" w:rsidP="00345F90">
      <w:pPr>
        <w:shd w:val="clear" w:color="auto" w:fill="FFFFFF"/>
        <w:spacing w:after="0"/>
        <w:jc w:val="both"/>
        <w:rPr>
          <w:noProof/>
        </w:rPr>
      </w:pPr>
    </w:p>
    <w:p w14:paraId="5091B882" w14:textId="77777777" w:rsidR="008F3535" w:rsidRDefault="008F3535" w:rsidP="00345F90">
      <w:pPr>
        <w:shd w:val="clear" w:color="auto" w:fill="FFFFFF"/>
        <w:spacing w:after="0"/>
        <w:jc w:val="both"/>
        <w:rPr>
          <w:noProof/>
        </w:rPr>
      </w:pPr>
    </w:p>
    <w:p w14:paraId="62ECC87E" w14:textId="77777777" w:rsidR="008F3535" w:rsidRDefault="008F3535" w:rsidP="00345F90">
      <w:pPr>
        <w:shd w:val="clear" w:color="auto" w:fill="FFFFFF"/>
        <w:spacing w:after="0"/>
        <w:jc w:val="both"/>
        <w:rPr>
          <w:noProof/>
        </w:rPr>
      </w:pPr>
    </w:p>
    <w:p w14:paraId="5F5D36E7" w14:textId="77777777" w:rsidR="008F3535" w:rsidRDefault="008F3535" w:rsidP="00345F90">
      <w:pPr>
        <w:shd w:val="clear" w:color="auto" w:fill="FFFFFF"/>
        <w:spacing w:after="0"/>
        <w:jc w:val="both"/>
        <w:rPr>
          <w:noProof/>
        </w:rPr>
      </w:pPr>
    </w:p>
    <w:p w14:paraId="2A655247" w14:textId="6536E004" w:rsidR="005571FB" w:rsidRPr="005571FB" w:rsidRDefault="008F3535" w:rsidP="00345F90">
      <w:pPr>
        <w:shd w:val="clear" w:color="auto" w:fill="FFFFFF"/>
        <w:spacing w:after="0"/>
        <w:jc w:val="both"/>
        <w:rPr>
          <w:rFonts w:ascii="Times New Roman" w:hAnsi="Times New Roman" w:cs="Times New Roman"/>
          <w:noProof/>
        </w:rPr>
      </w:pPr>
      <w:r>
        <w:rPr>
          <w:rFonts w:ascii="Times New Roman" w:hAnsi="Times New Roman" w:cs="Times New Roman"/>
          <w:noProof/>
        </w:rPr>
        <w:t xml:space="preserve">                                     </w:t>
      </w:r>
      <w:r w:rsidR="004817E1">
        <w:rPr>
          <w:rFonts w:ascii="Times New Roman" w:hAnsi="Times New Roman" w:cs="Times New Roman"/>
          <w:noProof/>
        </w:rPr>
        <w:t xml:space="preserve">Plate </w:t>
      </w:r>
      <w:r w:rsidR="005571FB" w:rsidRPr="005571FB">
        <w:rPr>
          <w:rFonts w:ascii="Times New Roman" w:hAnsi="Times New Roman" w:cs="Times New Roman"/>
          <w:noProof/>
        </w:rPr>
        <w:t>1: Symptoms of powdery mildew on leaves</w:t>
      </w:r>
      <w:r w:rsidR="005571FB">
        <w:rPr>
          <w:rFonts w:ascii="Times New Roman" w:hAnsi="Times New Roman" w:cs="Times New Roman"/>
          <w:noProof/>
        </w:rPr>
        <w:t xml:space="preserve"> of s</w:t>
      </w:r>
      <w:r w:rsidR="0088067D">
        <w:rPr>
          <w:rFonts w:ascii="Times New Roman" w:hAnsi="Times New Roman" w:cs="Times New Roman"/>
          <w:noProof/>
        </w:rPr>
        <w:t>p</w:t>
      </w:r>
      <w:r w:rsidR="005571FB">
        <w:rPr>
          <w:rFonts w:ascii="Times New Roman" w:hAnsi="Times New Roman" w:cs="Times New Roman"/>
          <w:noProof/>
        </w:rPr>
        <w:t>onge gourd</w:t>
      </w:r>
    </w:p>
    <w:p w14:paraId="424A7D7A" w14:textId="77777777" w:rsidR="008F3535" w:rsidRDefault="008F3535" w:rsidP="00345F90">
      <w:pPr>
        <w:shd w:val="clear" w:color="auto" w:fill="FFFFFF"/>
        <w:spacing w:after="0"/>
        <w:jc w:val="both"/>
        <w:rPr>
          <w:rFonts w:ascii="Times New Roman" w:eastAsia="Times New Roman" w:hAnsi="Times New Roman" w:cs="Times New Roman"/>
          <w:bCs/>
          <w:color w:val="000000"/>
          <w:sz w:val="24"/>
          <w:szCs w:val="24"/>
          <w:lang w:eastAsia="en-GB"/>
        </w:rPr>
      </w:pPr>
    </w:p>
    <w:p w14:paraId="63F4B94A" w14:textId="507512D6" w:rsidR="00345F90" w:rsidRPr="00F14DE9" w:rsidRDefault="005571FB" w:rsidP="00345F90">
      <w:pPr>
        <w:shd w:val="clear" w:color="auto" w:fill="FFFFFF"/>
        <w:spacing w:after="0"/>
        <w:jc w:val="both"/>
        <w:rPr>
          <w:rFonts w:ascii="Times New Roman" w:eastAsia="Times New Roman" w:hAnsi="Times New Roman" w:cs="Times New Roman"/>
          <w:bCs/>
          <w:color w:val="000000"/>
          <w:sz w:val="24"/>
          <w:szCs w:val="24"/>
          <w:lang w:eastAsia="en-GB"/>
        </w:rPr>
      </w:pPr>
      <w:r w:rsidRPr="005571FB">
        <w:rPr>
          <w:rFonts w:ascii="Times New Roman" w:eastAsia="Times New Roman" w:hAnsi="Times New Roman" w:cs="Times New Roman"/>
          <w:bCs/>
          <w:color w:val="000000"/>
          <w:sz w:val="24"/>
          <w:szCs w:val="24"/>
          <w:lang w:eastAsia="en-GB"/>
        </w:rPr>
        <w:t xml:space="preserve"> </w:t>
      </w:r>
      <w:r w:rsidR="00345F90" w:rsidRPr="00F14DE9">
        <w:rPr>
          <w:rFonts w:ascii="Times New Roman" w:eastAsia="Times New Roman" w:hAnsi="Times New Roman" w:cs="Times New Roman"/>
          <w:bCs/>
          <w:color w:val="000000"/>
          <w:sz w:val="24"/>
          <w:szCs w:val="24"/>
          <w:lang w:eastAsia="en-GB"/>
        </w:rPr>
        <w:t>Further, per cent disease intensity (PDI) and its reduction over control (PDC) and area under disease progress curve were calculated by applying the following formulae Wheeler (1969)</w:t>
      </w:r>
    </w:p>
    <w:p w14:paraId="3E75305D" w14:textId="10199EEB" w:rsidR="00345F90" w:rsidRPr="00F14DE9" w:rsidRDefault="00345F90" w:rsidP="00345F90">
      <w:pPr>
        <w:shd w:val="clear" w:color="auto" w:fill="FFFFFF"/>
        <w:spacing w:after="0"/>
        <w:jc w:val="both"/>
        <w:rPr>
          <w:rFonts w:ascii="Times New Roman" w:eastAsia="Times New Roman" w:hAnsi="Times New Roman" w:cs="Times New Roman"/>
          <w:bCs/>
          <w:color w:val="000000"/>
          <w:sz w:val="24"/>
          <w:szCs w:val="24"/>
          <w:lang w:eastAsia="en-GB"/>
        </w:rPr>
      </w:pPr>
    </w:p>
    <w:p w14:paraId="30CD2984" w14:textId="103B1331" w:rsidR="00345F90" w:rsidRPr="00F14DE9" w:rsidRDefault="00345F90" w:rsidP="00345F90">
      <w:pPr>
        <w:pStyle w:val="ListParagraph"/>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 xml:space="preserve">Per cent Disease Index (PDI) by using 0-9 scale </w:t>
      </w:r>
    </w:p>
    <w:p w14:paraId="49BE7C9A" w14:textId="3B870F64" w:rsidR="00345F90" w:rsidRPr="00F14DE9" w:rsidRDefault="00345F90" w:rsidP="00345F90">
      <w:pPr>
        <w:shd w:val="clear" w:color="auto" w:fill="FFFFFF"/>
        <w:spacing w:after="0"/>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2336" behindDoc="0" locked="0" layoutInCell="1" allowOverlap="1" wp14:anchorId="7762BE79" wp14:editId="21F501D4">
                <wp:simplePos x="0" y="0"/>
                <wp:positionH relativeFrom="column">
                  <wp:posOffset>2293620</wp:posOffset>
                </wp:positionH>
                <wp:positionV relativeFrom="paragraph">
                  <wp:posOffset>231140</wp:posOffset>
                </wp:positionV>
                <wp:extent cx="2857500" cy="7620"/>
                <wp:effectExtent l="0" t="0" r="19050" b="30480"/>
                <wp:wrapNone/>
                <wp:docPr id="450031006" name="Straight Connector 9"/>
                <wp:cNvGraphicFramePr/>
                <a:graphic xmlns:a="http://schemas.openxmlformats.org/drawingml/2006/main">
                  <a:graphicData uri="http://schemas.microsoft.com/office/word/2010/wordprocessingShape">
                    <wps:wsp>
                      <wps:cNvCnPr/>
                      <wps:spPr>
                        <a:xfrm>
                          <a:off x="0" y="0"/>
                          <a:ext cx="2857500" cy="762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EE5ADD"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6pt,18.2pt" to="405.6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" strokecolor="black [3200]" strokeweight="1.5pt">
                <v:stroke joinstyle="miter"/>
              </v:line>
            </w:pict>
          </mc:Fallback>
        </mc:AlternateContent>
      </w:r>
      <w:r w:rsidRPr="00F14DE9">
        <w:rPr>
          <w:rFonts w:ascii="Times New Roman" w:eastAsia="Times New Roman" w:hAnsi="Times New Roman" w:cs="Times New Roman"/>
          <w:color w:val="000000"/>
          <w:sz w:val="24"/>
          <w:szCs w:val="24"/>
          <w:lang w:eastAsia="en-GB"/>
        </w:rPr>
        <w:t>PDI (</w:t>
      </w:r>
      <w:r w:rsidR="00D9235B">
        <w:rPr>
          <w:rFonts w:ascii="Times New Roman" w:eastAsia="Times New Roman" w:hAnsi="Times New Roman" w:cs="Times New Roman"/>
          <w:color w:val="000000"/>
          <w:sz w:val="24"/>
          <w:szCs w:val="24"/>
          <w:lang w:eastAsia="en-GB"/>
        </w:rPr>
        <w:t>Per cent</w:t>
      </w:r>
      <w:r w:rsidRPr="00F14DE9">
        <w:rPr>
          <w:rFonts w:ascii="Times New Roman" w:eastAsia="Times New Roman" w:hAnsi="Times New Roman" w:cs="Times New Roman"/>
          <w:color w:val="000000"/>
          <w:sz w:val="24"/>
          <w:szCs w:val="24"/>
          <w:lang w:eastAsia="en-GB"/>
        </w:rPr>
        <w:t> Disease Index)</w:t>
      </w:r>
      <w:r w:rsidR="00811376">
        <w:rPr>
          <w:rFonts w:ascii="Times New Roman" w:eastAsia="Times New Roman" w:hAnsi="Times New Roman" w:cs="Times New Roman"/>
          <w:color w:val="000000"/>
          <w:sz w:val="24"/>
          <w:szCs w:val="24"/>
          <w:lang w:eastAsia="en-GB"/>
        </w:rPr>
        <w:t xml:space="preserve"> </w:t>
      </w:r>
      <w:r w:rsidRPr="00F14DE9">
        <w:rPr>
          <w:rFonts w:ascii="Times New Roman" w:eastAsia="Times New Roman" w:hAnsi="Times New Roman" w:cs="Times New Roman"/>
          <w:color w:val="000000"/>
          <w:sz w:val="24"/>
          <w:szCs w:val="24"/>
          <w:lang w:eastAsia="en-GB"/>
        </w:rPr>
        <w:t xml:space="preserve">= </w:t>
      </w:r>
      <w:r w:rsidRPr="00F14DE9">
        <w:rPr>
          <w:rFonts w:ascii="Times New Roman" w:eastAsia="Times New Roman" w:hAnsi="Times New Roman" w:cs="Times New Roman"/>
          <w:color w:val="000000"/>
          <w:sz w:val="24"/>
          <w:szCs w:val="24"/>
          <w:lang w:eastAsia="en-GB"/>
        </w:rPr>
        <w:tab/>
        <w:t>∑ (Numerical Ratings​)</w:t>
      </w:r>
      <w:r w:rsidRPr="00F14DE9">
        <w:rPr>
          <w:rFonts w:ascii="Times New Roman" w:eastAsia="Times New Roman" w:hAnsi="Times New Roman" w:cs="Times New Roman"/>
          <w:color w:val="000000"/>
          <w:sz w:val="24"/>
          <w:szCs w:val="24"/>
          <w:lang w:eastAsia="en-GB"/>
        </w:rPr>
        <w:tab/>
      </w:r>
      <w:r w:rsidRPr="00F14DE9">
        <w:rPr>
          <w:rFonts w:ascii="Times New Roman" w:eastAsia="Times New Roman" w:hAnsi="Times New Roman" w:cs="Times New Roman"/>
          <w:color w:val="000000"/>
          <w:sz w:val="24"/>
          <w:szCs w:val="24"/>
          <w:lang w:eastAsia="en-GB"/>
        </w:rPr>
        <w:tab/>
        <w:t>×100</w:t>
      </w:r>
    </w:p>
    <w:p w14:paraId="2BBEFD02" w14:textId="1D5A04F6" w:rsidR="00345F90" w:rsidRPr="00F14DE9" w:rsidRDefault="00345F90" w:rsidP="00345F90">
      <w:pPr>
        <w:shd w:val="clear" w:color="auto" w:fill="FFFFFF"/>
        <w:spacing w:after="0"/>
        <w:ind w:left="2880" w:firstLine="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(Number of Plants </w:t>
      </w:r>
      <w:proofErr w:type="spellStart"/>
      <w:r w:rsidRPr="00F14DE9">
        <w:rPr>
          <w:rFonts w:ascii="Times New Roman" w:eastAsia="Times New Roman" w:hAnsi="Times New Roman" w:cs="Times New Roman"/>
          <w:color w:val="000000"/>
          <w:sz w:val="24"/>
          <w:szCs w:val="24"/>
          <w:lang w:eastAsia="en-GB"/>
        </w:rPr>
        <w:t>Assessed×Maximum</w:t>
      </w:r>
      <w:proofErr w:type="spellEnd"/>
      <w:r w:rsidRPr="00F14DE9">
        <w:rPr>
          <w:rFonts w:ascii="Times New Roman" w:eastAsia="Times New Roman" w:hAnsi="Times New Roman" w:cs="Times New Roman"/>
          <w:color w:val="000000"/>
          <w:sz w:val="24"/>
          <w:szCs w:val="24"/>
          <w:lang w:eastAsia="en-GB"/>
        </w:rPr>
        <w:t> Rating</w:t>
      </w:r>
    </w:p>
    <w:p w14:paraId="58FD0021" w14:textId="2A30A856" w:rsidR="00345F90" w:rsidRPr="00F14DE9" w:rsidRDefault="00345F90" w:rsidP="00345F90">
      <w:pPr>
        <w:pStyle w:val="ListParagraph"/>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Per cent disease reduction over control (PDC)</w:t>
      </w:r>
    </w:p>
    <w:p w14:paraId="7CFAD9FC" w14:textId="40A09237" w:rsidR="00345F90" w:rsidRPr="00F14DE9" w:rsidRDefault="00345F90" w:rsidP="00345F90">
      <w:pPr>
        <w:shd w:val="clear" w:color="auto" w:fill="FFFFFF"/>
        <w:spacing w:after="0"/>
        <w:ind w:firstLine="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 xml:space="preserve">PDC (%) = </w:t>
      </w:r>
      <w:r w:rsidRPr="00F14DE9">
        <w:rPr>
          <w:rFonts w:ascii="Times New Roman" w:eastAsia="Times New Roman" w:hAnsi="Times New Roman" w:cs="Times New Roman"/>
          <w:color w:val="000000"/>
          <w:sz w:val="24"/>
          <w:szCs w:val="24"/>
          <w:u w:val="single"/>
          <w:lang w:eastAsia="en-GB"/>
        </w:rPr>
        <w:t>(Disease severity in treatment – Disease severity in control)</w:t>
      </w:r>
      <w:r w:rsidRPr="00F14DE9">
        <w:rPr>
          <w:rFonts w:ascii="Times New Roman" w:eastAsia="Times New Roman" w:hAnsi="Times New Roman" w:cs="Times New Roman"/>
          <w:color w:val="000000"/>
          <w:sz w:val="24"/>
          <w:szCs w:val="24"/>
          <w:lang w:eastAsia="en-GB"/>
        </w:rPr>
        <w:t xml:space="preserve"> X 100</w:t>
      </w:r>
    </w:p>
    <w:p w14:paraId="3E899D3F" w14:textId="00316222" w:rsidR="00345F90" w:rsidRPr="00F14DE9" w:rsidRDefault="00345F90" w:rsidP="00345F90">
      <w:pPr>
        <w:shd w:val="clear" w:color="auto" w:fill="FFFFFF"/>
        <w:spacing w:after="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 xml:space="preserve">                                                         Disease severity in control</w:t>
      </w:r>
    </w:p>
    <w:p w14:paraId="60688315" w14:textId="77777777" w:rsidR="00A80672" w:rsidRDefault="00A80672" w:rsidP="00345F90">
      <w:pPr>
        <w:pStyle w:val="ListParagraph"/>
        <w:shd w:val="clear" w:color="auto" w:fill="FFFFFF"/>
        <w:spacing w:after="0" w:line="276" w:lineRule="auto"/>
        <w:jc w:val="both"/>
        <w:rPr>
          <w:rFonts w:ascii="Times New Roman" w:eastAsia="Times New Roman" w:hAnsi="Times New Roman" w:cs="Times New Roman"/>
          <w:b/>
          <w:bCs/>
          <w:color w:val="000000"/>
          <w:sz w:val="24"/>
          <w:szCs w:val="24"/>
          <w:lang w:eastAsia="en-GB"/>
        </w:rPr>
      </w:pPr>
    </w:p>
    <w:p w14:paraId="6CAA306B" w14:textId="77777777" w:rsidR="00A80672" w:rsidRDefault="00A80672" w:rsidP="00345F90">
      <w:pPr>
        <w:pStyle w:val="ListParagraph"/>
        <w:shd w:val="clear" w:color="auto" w:fill="FFFFFF"/>
        <w:spacing w:after="0" w:line="276" w:lineRule="auto"/>
        <w:jc w:val="both"/>
        <w:rPr>
          <w:rFonts w:ascii="Times New Roman" w:eastAsia="Times New Roman" w:hAnsi="Times New Roman" w:cs="Times New Roman"/>
          <w:b/>
          <w:bCs/>
          <w:color w:val="000000"/>
          <w:sz w:val="24"/>
          <w:szCs w:val="24"/>
          <w:lang w:eastAsia="en-GB"/>
        </w:rPr>
      </w:pPr>
    </w:p>
    <w:p w14:paraId="406247BD" w14:textId="03DDC2F8" w:rsidR="00345F90" w:rsidRPr="00F14DE9" w:rsidRDefault="00345F90" w:rsidP="00345F90">
      <w:pPr>
        <w:pStyle w:val="ListParagraph"/>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 xml:space="preserve">Area </w:t>
      </w:r>
      <w:r w:rsidR="00811376">
        <w:rPr>
          <w:rFonts w:ascii="Times New Roman" w:eastAsia="Times New Roman" w:hAnsi="Times New Roman" w:cs="Times New Roman"/>
          <w:b/>
          <w:bCs/>
          <w:color w:val="000000"/>
          <w:sz w:val="24"/>
          <w:szCs w:val="24"/>
          <w:lang w:eastAsia="en-GB"/>
        </w:rPr>
        <w:t>U</w:t>
      </w:r>
      <w:r w:rsidRPr="00F14DE9">
        <w:rPr>
          <w:rFonts w:ascii="Times New Roman" w:eastAsia="Times New Roman" w:hAnsi="Times New Roman" w:cs="Times New Roman"/>
          <w:b/>
          <w:bCs/>
          <w:color w:val="000000"/>
          <w:sz w:val="24"/>
          <w:szCs w:val="24"/>
          <w:lang w:eastAsia="en-GB"/>
        </w:rPr>
        <w:t xml:space="preserve">nder Disease </w:t>
      </w:r>
      <w:r w:rsidR="00811376">
        <w:rPr>
          <w:rFonts w:ascii="Times New Roman" w:eastAsia="Times New Roman" w:hAnsi="Times New Roman" w:cs="Times New Roman"/>
          <w:b/>
          <w:bCs/>
          <w:color w:val="000000"/>
          <w:sz w:val="24"/>
          <w:szCs w:val="24"/>
          <w:lang w:eastAsia="en-GB"/>
        </w:rPr>
        <w:t xml:space="preserve">Progress </w:t>
      </w:r>
      <w:r w:rsidRPr="00F14DE9">
        <w:rPr>
          <w:rFonts w:ascii="Times New Roman" w:eastAsia="Times New Roman" w:hAnsi="Times New Roman" w:cs="Times New Roman"/>
          <w:b/>
          <w:bCs/>
          <w:color w:val="000000"/>
          <w:sz w:val="24"/>
          <w:szCs w:val="24"/>
          <w:lang w:eastAsia="en-GB"/>
        </w:rPr>
        <w:t xml:space="preserve">Curve (AUDPC) </w:t>
      </w:r>
    </w:p>
    <w:p w14:paraId="3AC9C004" w14:textId="77777777" w:rsidR="00811376" w:rsidRPr="00811376" w:rsidRDefault="00811376" w:rsidP="00811376">
      <w:pPr>
        <w:shd w:val="clear" w:color="auto" w:fill="FFFFFF"/>
        <w:spacing w:after="0" w:line="240" w:lineRule="auto"/>
        <w:ind w:left="709"/>
        <w:jc w:val="both"/>
        <w:rPr>
          <w:rFonts w:ascii="Times New Roman" w:eastAsia="Times New Roman" w:hAnsi="Times New Roman" w:cs="Times New Roman"/>
          <w:noProof/>
          <w:color w:val="000000"/>
          <w:sz w:val="24"/>
          <w:szCs w:val="24"/>
          <w:lang w:eastAsia="en-GB"/>
        </w:rPr>
      </w:pPr>
      <w:r w:rsidRPr="00811376">
        <w:rPr>
          <w:rFonts w:ascii="Times New Roman" w:eastAsia="Times New Roman" w:hAnsi="Times New Roman" w:cs="Times New Roman"/>
          <w:noProof/>
          <w:color w:val="000000"/>
          <w:sz w:val="24"/>
          <w:szCs w:val="24"/>
          <w:lang w:eastAsia="en-GB"/>
        </w:rPr>
        <w:lastRenderedPageBreak/>
        <w:t>AUDPC = Σ (Xi+Xi+1)/2(Xi + Xi+1) / 2(Xi+Xi+1)/2 × Di, for i = 1 to K–1</w:t>
      </w:r>
    </w:p>
    <w:p w14:paraId="68D837A3" w14:textId="77777777" w:rsidR="00811376" w:rsidRPr="00811376" w:rsidRDefault="00811376" w:rsidP="00811376">
      <w:pPr>
        <w:shd w:val="clear" w:color="auto" w:fill="FFFFFF"/>
        <w:spacing w:after="0" w:line="240" w:lineRule="auto"/>
        <w:ind w:left="709"/>
        <w:jc w:val="both"/>
        <w:rPr>
          <w:rFonts w:ascii="Times New Roman" w:eastAsia="Times New Roman" w:hAnsi="Times New Roman" w:cs="Times New Roman"/>
          <w:noProof/>
          <w:color w:val="000000"/>
          <w:sz w:val="24"/>
          <w:szCs w:val="24"/>
          <w:lang w:eastAsia="en-GB"/>
        </w:rPr>
      </w:pPr>
    </w:p>
    <w:p w14:paraId="49DB4E6B" w14:textId="77777777" w:rsidR="00811376" w:rsidRPr="00811376" w:rsidRDefault="00811376" w:rsidP="00811376">
      <w:pPr>
        <w:shd w:val="clear" w:color="auto" w:fill="FFFFFF"/>
        <w:spacing w:after="0" w:line="240" w:lineRule="auto"/>
        <w:ind w:left="709"/>
        <w:jc w:val="both"/>
        <w:rPr>
          <w:rFonts w:ascii="Times New Roman" w:eastAsia="Times New Roman" w:hAnsi="Times New Roman" w:cs="Times New Roman"/>
          <w:noProof/>
          <w:color w:val="000000"/>
          <w:sz w:val="24"/>
          <w:szCs w:val="24"/>
          <w:lang w:eastAsia="en-GB"/>
        </w:rPr>
      </w:pPr>
      <w:r w:rsidRPr="00811376">
        <w:rPr>
          <w:rFonts w:ascii="Times New Roman" w:eastAsia="Times New Roman" w:hAnsi="Times New Roman" w:cs="Times New Roman"/>
          <w:noProof/>
          <w:color w:val="000000"/>
          <w:sz w:val="24"/>
          <w:szCs w:val="24"/>
          <w:lang w:eastAsia="en-GB"/>
        </w:rPr>
        <w:t>Where, Xi = Per cent disease index (PDI) at the end of the ith week.</w:t>
      </w:r>
    </w:p>
    <w:p w14:paraId="7D5C2F6A" w14:textId="77777777" w:rsidR="00811376" w:rsidRPr="00811376" w:rsidRDefault="00811376" w:rsidP="00811376">
      <w:pPr>
        <w:shd w:val="clear" w:color="auto" w:fill="FFFFFF"/>
        <w:spacing w:after="0" w:line="240" w:lineRule="auto"/>
        <w:ind w:left="709"/>
        <w:jc w:val="both"/>
        <w:rPr>
          <w:rFonts w:ascii="Times New Roman" w:eastAsia="Times New Roman" w:hAnsi="Times New Roman" w:cs="Times New Roman"/>
          <w:noProof/>
          <w:color w:val="000000"/>
          <w:sz w:val="24"/>
          <w:szCs w:val="24"/>
          <w:lang w:eastAsia="en-GB"/>
        </w:rPr>
      </w:pPr>
    </w:p>
    <w:p w14:paraId="5493FFD3" w14:textId="57FD1181" w:rsidR="00811376" w:rsidRPr="00811376" w:rsidRDefault="00811376" w:rsidP="00811376">
      <w:pPr>
        <w:shd w:val="clear" w:color="auto" w:fill="FFFFFF"/>
        <w:spacing w:after="0" w:line="240" w:lineRule="auto"/>
        <w:ind w:left="1134" w:hanging="450"/>
        <w:jc w:val="both"/>
        <w:rPr>
          <w:rFonts w:ascii="Times New Roman" w:eastAsia="Times New Roman" w:hAnsi="Times New Roman" w:cs="Times New Roman"/>
          <w:noProof/>
          <w:color w:val="000000"/>
          <w:sz w:val="24"/>
          <w:szCs w:val="24"/>
          <w:lang w:eastAsia="en-GB"/>
        </w:rPr>
      </w:pPr>
      <w:r w:rsidRPr="00811376">
        <w:rPr>
          <w:rFonts w:ascii="Times New Roman" w:eastAsia="Times New Roman" w:hAnsi="Times New Roman" w:cs="Times New Roman"/>
          <w:noProof/>
          <w:color w:val="000000"/>
          <w:sz w:val="24"/>
          <w:szCs w:val="24"/>
          <w:lang w:eastAsia="en-GB"/>
        </w:rPr>
        <w:t xml:space="preserve">K = number of successive evaluations of </w:t>
      </w:r>
      <w:r w:rsidR="003760C6">
        <w:rPr>
          <w:rFonts w:ascii="Times New Roman" w:eastAsia="Times New Roman" w:hAnsi="Times New Roman" w:cs="Times New Roman"/>
          <w:noProof/>
          <w:color w:val="000000"/>
          <w:sz w:val="24"/>
          <w:szCs w:val="24"/>
          <w:lang w:eastAsia="en-GB"/>
        </w:rPr>
        <w:t>powdery</w:t>
      </w:r>
      <w:r w:rsidRPr="00811376">
        <w:rPr>
          <w:rFonts w:ascii="Times New Roman" w:eastAsia="Times New Roman" w:hAnsi="Times New Roman" w:cs="Times New Roman"/>
          <w:noProof/>
          <w:color w:val="000000"/>
          <w:sz w:val="24"/>
          <w:szCs w:val="24"/>
          <w:lang w:eastAsia="en-GB"/>
        </w:rPr>
        <w:t xml:space="preserve"> mildew. </w:t>
      </w:r>
    </w:p>
    <w:p w14:paraId="4CCA277B" w14:textId="77777777" w:rsidR="00811376" w:rsidRPr="00811376" w:rsidRDefault="00811376" w:rsidP="00811376">
      <w:pPr>
        <w:shd w:val="clear" w:color="auto" w:fill="FFFFFF"/>
        <w:spacing w:after="0" w:line="240" w:lineRule="auto"/>
        <w:jc w:val="both"/>
        <w:rPr>
          <w:rFonts w:ascii="Times New Roman" w:eastAsia="Times New Roman" w:hAnsi="Times New Roman" w:cs="Times New Roman"/>
          <w:noProof/>
          <w:color w:val="000000"/>
          <w:sz w:val="24"/>
          <w:szCs w:val="24"/>
          <w:lang w:eastAsia="en-GB"/>
        </w:rPr>
      </w:pPr>
    </w:p>
    <w:p w14:paraId="141E0DCB" w14:textId="44DAB760" w:rsidR="00345F90" w:rsidRPr="00F14DE9" w:rsidRDefault="00811376" w:rsidP="00811376">
      <w:pPr>
        <w:shd w:val="clear" w:color="auto" w:fill="FFFFFF"/>
        <w:spacing w:after="0"/>
        <w:ind w:left="720"/>
        <w:jc w:val="both"/>
        <w:rPr>
          <w:rFonts w:ascii="Times New Roman" w:eastAsia="Times New Roman" w:hAnsi="Times New Roman" w:cs="Times New Roman"/>
          <w:noProof/>
          <w:color w:val="000000"/>
          <w:sz w:val="24"/>
          <w:szCs w:val="24"/>
          <w:lang w:eastAsia="en-GB"/>
        </w:rPr>
      </w:pPr>
      <w:r w:rsidRPr="00811376">
        <w:rPr>
          <w:rFonts w:ascii="Times New Roman" w:eastAsia="Times New Roman" w:hAnsi="Times New Roman" w:cs="Times New Roman"/>
          <w:noProof/>
          <w:color w:val="000000"/>
          <w:sz w:val="24"/>
          <w:szCs w:val="24"/>
          <w:lang w:eastAsia="en-GB"/>
        </w:rPr>
        <w:t>D = days interval between two observations</w:t>
      </w:r>
      <w:r w:rsidR="00345F90" w:rsidRPr="00F14DE9">
        <w:rPr>
          <w:rFonts w:ascii="Times New Roman" w:eastAsia="Times New Roman" w:hAnsi="Times New Roman" w:cs="Times New Roman"/>
          <w:noProof/>
          <w:color w:val="000000"/>
          <w:sz w:val="24"/>
          <w:szCs w:val="24"/>
          <w:lang w:eastAsia="en-GB"/>
        </w:rPr>
        <w:t>Where, Xi = Per cent disease index (PDI) at the end of the i</w:t>
      </w:r>
      <w:r w:rsidR="004A5D81" w:rsidRPr="004A5D81">
        <w:rPr>
          <w:rFonts w:ascii="Times New Roman" w:eastAsia="Times New Roman" w:hAnsi="Times New Roman" w:cs="Times New Roman"/>
          <w:noProof/>
          <w:color w:val="000000"/>
          <w:sz w:val="24"/>
          <w:szCs w:val="24"/>
          <w:vertAlign w:val="superscript"/>
          <w:lang w:eastAsia="en-GB"/>
        </w:rPr>
        <w:t>th</w:t>
      </w:r>
      <w:r w:rsidR="00345F90" w:rsidRPr="00F14DE9">
        <w:rPr>
          <w:rFonts w:ascii="Times New Roman" w:eastAsia="Times New Roman" w:hAnsi="Times New Roman" w:cs="Times New Roman"/>
          <w:noProof/>
          <w:color w:val="000000"/>
          <w:sz w:val="24"/>
          <w:szCs w:val="24"/>
          <w:lang w:eastAsia="en-GB"/>
        </w:rPr>
        <w:t xml:space="preserve"> week.</w:t>
      </w:r>
    </w:p>
    <w:p w14:paraId="6003E482" w14:textId="2A6B307F" w:rsidR="00345F90" w:rsidRPr="00F14DE9" w:rsidRDefault="00345F90" w:rsidP="00345F90">
      <w:pPr>
        <w:shd w:val="clear" w:color="auto" w:fill="FFFFFF"/>
        <w:spacing w:after="0"/>
        <w:ind w:left="720"/>
        <w:jc w:val="both"/>
        <w:rPr>
          <w:rFonts w:ascii="Times New Roman" w:eastAsia="Times New Roman" w:hAnsi="Times New Roman" w:cs="Times New Roman"/>
          <w:noProof/>
          <w:color w:val="000000"/>
          <w:sz w:val="24"/>
          <w:szCs w:val="24"/>
          <w:lang w:eastAsia="en-GB"/>
        </w:rPr>
      </w:pPr>
      <w:r w:rsidRPr="00F14DE9">
        <w:rPr>
          <w:rFonts w:ascii="Times New Roman" w:eastAsia="Times New Roman" w:hAnsi="Times New Roman" w:cs="Times New Roman"/>
          <w:noProof/>
          <w:color w:val="000000"/>
          <w:sz w:val="24"/>
          <w:szCs w:val="24"/>
          <w:lang w:eastAsia="en-GB"/>
        </w:rPr>
        <w:t xml:space="preserve">K = number of successive evaluations of </w:t>
      </w:r>
      <w:r w:rsidR="003C0390">
        <w:rPr>
          <w:rFonts w:ascii="Times New Roman" w:eastAsia="Times New Roman" w:hAnsi="Times New Roman" w:cs="Times New Roman"/>
          <w:noProof/>
          <w:color w:val="000000"/>
          <w:sz w:val="24"/>
          <w:szCs w:val="24"/>
          <w:lang w:eastAsia="en-GB"/>
        </w:rPr>
        <w:t>powdery</w:t>
      </w:r>
      <w:r w:rsidRPr="00F14DE9">
        <w:rPr>
          <w:rFonts w:ascii="Times New Roman" w:eastAsia="Times New Roman" w:hAnsi="Times New Roman" w:cs="Times New Roman"/>
          <w:noProof/>
          <w:color w:val="000000"/>
          <w:sz w:val="24"/>
          <w:szCs w:val="24"/>
          <w:lang w:eastAsia="en-GB"/>
        </w:rPr>
        <w:t xml:space="preserve"> mildew. </w:t>
      </w:r>
    </w:p>
    <w:p w14:paraId="10623F2C" w14:textId="77777777" w:rsidR="00345F90" w:rsidRPr="00F14DE9" w:rsidRDefault="00345F90" w:rsidP="00345F90">
      <w:pPr>
        <w:shd w:val="clear" w:color="auto" w:fill="FFFFFF"/>
        <w:spacing w:after="0"/>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noProof/>
          <w:color w:val="000000"/>
          <w:sz w:val="24"/>
          <w:szCs w:val="24"/>
          <w:lang w:eastAsia="en-GB"/>
        </w:rPr>
        <w:t>D = days interval between two observations.</w:t>
      </w:r>
    </w:p>
    <w:p w14:paraId="241E3CB3" w14:textId="77777777" w:rsidR="00345F90" w:rsidRPr="00F14DE9" w:rsidRDefault="00345F90" w:rsidP="00345F90">
      <w:pPr>
        <w:pStyle w:val="ListParagraph"/>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Apparent rate of infection</w:t>
      </w:r>
    </w:p>
    <w:p w14:paraId="370B5DF8" w14:textId="77777777" w:rsidR="00345F90" w:rsidRPr="00F14DE9" w:rsidRDefault="00345F90" w:rsidP="00345F90">
      <w:pPr>
        <w:shd w:val="clear" w:color="auto" w:fill="FFFFFF"/>
        <w:spacing w:after="0"/>
        <w:ind w:left="720"/>
        <w:jc w:val="both"/>
        <w:rPr>
          <w:rFonts w:ascii="Times New Roman" w:eastAsia="Times New Roman" w:hAnsi="Times New Roman" w:cs="Times New Roman"/>
          <w:noProof/>
          <w:color w:val="000000"/>
          <w:sz w:val="24"/>
          <w:szCs w:val="24"/>
          <w:lang w:eastAsia="en-GB"/>
        </w:rPr>
      </w:pPr>
      <w:r w:rsidRPr="00F14DE9">
        <w:rPr>
          <w:rFonts w:ascii="Times New Roman" w:eastAsia="Times New Roman" w:hAnsi="Times New Roman" w:cs="Times New Roman"/>
          <w:noProof/>
          <w:color w:val="000000"/>
          <w:sz w:val="24"/>
          <w:szCs w:val="24"/>
        </w:rPr>
        <w:drawing>
          <wp:anchor distT="0" distB="0" distL="114300" distR="114300" simplePos="0" relativeHeight="251663360" behindDoc="0" locked="0" layoutInCell="1" allowOverlap="1" wp14:anchorId="39A33C3A" wp14:editId="464A54BD">
            <wp:simplePos x="0" y="0"/>
            <wp:positionH relativeFrom="column">
              <wp:posOffset>2051050</wp:posOffset>
            </wp:positionH>
            <wp:positionV relativeFrom="paragraph">
              <wp:posOffset>6985</wp:posOffset>
            </wp:positionV>
            <wp:extent cx="1155065" cy="523240"/>
            <wp:effectExtent l="0" t="0" r="6985" b="0"/>
            <wp:wrapThrough wrapText="bothSides">
              <wp:wrapPolygon edited="0">
                <wp:start x="0" y="0"/>
                <wp:lineTo x="0" y="20447"/>
                <wp:lineTo x="21374" y="20447"/>
                <wp:lineTo x="21374" y="0"/>
                <wp:lineTo x="0" y="0"/>
              </wp:wrapPolygon>
            </wp:wrapThrough>
            <wp:docPr id="1255349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349052"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5065" cy="523240"/>
                    </a:xfrm>
                    <a:prstGeom prst="rect">
                      <a:avLst/>
                    </a:prstGeom>
                  </pic:spPr>
                </pic:pic>
              </a:graphicData>
            </a:graphic>
            <wp14:sizeRelH relativeFrom="margin">
              <wp14:pctWidth>0</wp14:pctWidth>
            </wp14:sizeRelH>
            <wp14:sizeRelV relativeFrom="margin">
              <wp14:pctHeight>0</wp14:pctHeight>
            </wp14:sizeRelV>
          </wp:anchor>
        </w:drawing>
      </w:r>
      <w:r w:rsidRPr="00F14DE9">
        <w:rPr>
          <w:rFonts w:ascii="Times New Roman" w:eastAsia="Times New Roman" w:hAnsi="Times New Roman" w:cs="Times New Roman"/>
          <w:noProof/>
          <w:color w:val="000000"/>
          <w:sz w:val="24"/>
          <w:szCs w:val="24"/>
          <w:lang w:eastAsia="en-GB"/>
        </w:rPr>
        <w:t xml:space="preserve">Rate of disease spread= </w:t>
      </w:r>
    </w:p>
    <w:p w14:paraId="4A20BCBF" w14:textId="77777777" w:rsidR="00345F90" w:rsidRPr="00F14DE9" w:rsidRDefault="00345F90" w:rsidP="00345F90">
      <w:pPr>
        <w:shd w:val="clear" w:color="auto" w:fill="FFFFFF"/>
        <w:spacing w:after="0"/>
        <w:jc w:val="both"/>
        <w:rPr>
          <w:rFonts w:ascii="Times New Roman" w:eastAsia="Times New Roman" w:hAnsi="Times New Roman" w:cs="Times New Roman"/>
          <w:color w:val="000000"/>
          <w:sz w:val="24"/>
          <w:szCs w:val="24"/>
          <w:lang w:eastAsia="en-GB"/>
        </w:rPr>
      </w:pPr>
    </w:p>
    <w:p w14:paraId="7D6F3051" w14:textId="77777777" w:rsidR="00DA15E6" w:rsidRDefault="00DA15E6" w:rsidP="00345F90">
      <w:pPr>
        <w:shd w:val="clear" w:color="auto" w:fill="FFFFFF"/>
        <w:spacing w:after="0"/>
        <w:ind w:left="720"/>
        <w:jc w:val="both"/>
        <w:rPr>
          <w:rFonts w:ascii="Times New Roman" w:eastAsia="Times New Roman" w:hAnsi="Times New Roman" w:cs="Times New Roman"/>
          <w:color w:val="000000"/>
          <w:sz w:val="24"/>
          <w:szCs w:val="24"/>
          <w:lang w:eastAsia="en-GB"/>
        </w:rPr>
      </w:pPr>
    </w:p>
    <w:p w14:paraId="64F5DA6E" w14:textId="554CC6B0" w:rsidR="00345F90" w:rsidRPr="00F14DE9" w:rsidRDefault="00345F90" w:rsidP="00345F90">
      <w:pPr>
        <w:shd w:val="clear" w:color="auto" w:fill="FFFFFF"/>
        <w:spacing w:after="0"/>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Where, r = apparent rate of infection/ spread</w:t>
      </w:r>
    </w:p>
    <w:p w14:paraId="46C98F25" w14:textId="77777777" w:rsidR="00345F90" w:rsidRPr="00F14DE9" w:rsidRDefault="00345F90" w:rsidP="00345F90">
      <w:pPr>
        <w:shd w:val="clear" w:color="auto" w:fill="FFFFFF"/>
        <w:spacing w:after="0"/>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X1 = PDI (Per cent disease intensity/index) at time t1</w:t>
      </w:r>
    </w:p>
    <w:p w14:paraId="3D854879" w14:textId="77777777" w:rsidR="00345F90" w:rsidRPr="00F14DE9" w:rsidRDefault="00345F90" w:rsidP="00345F90">
      <w:pPr>
        <w:shd w:val="clear" w:color="auto" w:fill="FFFFFF"/>
        <w:spacing w:after="0"/>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X2 = PDI (Per cent disease intensity/index) at time t2</w:t>
      </w:r>
    </w:p>
    <w:p w14:paraId="3D3A0F1E" w14:textId="77777777" w:rsidR="00345F90" w:rsidRPr="00F14DE9" w:rsidRDefault="00345F90" w:rsidP="00345F90">
      <w:pPr>
        <w:shd w:val="clear" w:color="auto" w:fill="FFFFFF"/>
        <w:spacing w:after="0"/>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t2-t1 = time interval in days between the two consecutive observations</w:t>
      </w:r>
    </w:p>
    <w:p w14:paraId="2E335129" w14:textId="77777777" w:rsidR="00541829" w:rsidRDefault="00541829" w:rsidP="006B1E82">
      <w:pPr>
        <w:pStyle w:val="ListParagraph"/>
        <w:shd w:val="clear" w:color="auto" w:fill="FFFFFF"/>
        <w:spacing w:after="0" w:line="360" w:lineRule="auto"/>
        <w:ind w:left="0"/>
        <w:jc w:val="both"/>
        <w:rPr>
          <w:rFonts w:ascii="Times New Roman" w:hAnsi="Times New Roman" w:cs="Times New Roman"/>
          <w:b/>
          <w:iCs/>
          <w:sz w:val="24"/>
          <w:szCs w:val="24"/>
          <w:u w:val="single"/>
        </w:rPr>
      </w:pPr>
    </w:p>
    <w:p w14:paraId="039E40AD" w14:textId="4FBF91B2" w:rsidR="00345F90" w:rsidRPr="000D331E" w:rsidRDefault="00345F90" w:rsidP="006B1E82">
      <w:pPr>
        <w:pStyle w:val="ListParagraph"/>
        <w:shd w:val="clear" w:color="auto" w:fill="FFFFFF"/>
        <w:spacing w:after="0" w:line="360" w:lineRule="auto"/>
        <w:ind w:left="0"/>
        <w:jc w:val="both"/>
        <w:rPr>
          <w:rFonts w:ascii="Times New Roman" w:eastAsia="Times New Roman" w:hAnsi="Times New Roman" w:cs="Times New Roman"/>
          <w:b/>
          <w:color w:val="000000"/>
          <w:sz w:val="24"/>
          <w:szCs w:val="24"/>
          <w:u w:val="single"/>
          <w:lang w:eastAsia="en-GB"/>
        </w:rPr>
      </w:pPr>
      <w:r w:rsidRPr="000D331E">
        <w:rPr>
          <w:rFonts w:ascii="Times New Roman" w:hAnsi="Times New Roman" w:cs="Times New Roman"/>
          <w:b/>
          <w:iCs/>
          <w:sz w:val="24"/>
          <w:szCs w:val="24"/>
          <w:u w:val="single"/>
        </w:rPr>
        <w:t xml:space="preserve">Collection of inoculum </w:t>
      </w:r>
      <w:r w:rsidR="006B1E82">
        <w:rPr>
          <w:rFonts w:ascii="Times New Roman" w:eastAsia="Times New Roman" w:hAnsi="Times New Roman" w:cs="Times New Roman"/>
          <w:b/>
          <w:color w:val="000000"/>
          <w:sz w:val="24"/>
          <w:szCs w:val="24"/>
          <w:u w:val="single"/>
          <w:lang w:eastAsia="en-GB"/>
        </w:rPr>
        <w:t>of</w:t>
      </w:r>
      <w:r w:rsidRPr="000D331E">
        <w:rPr>
          <w:rFonts w:ascii="Times New Roman" w:eastAsia="Times New Roman" w:hAnsi="Times New Roman" w:cs="Times New Roman"/>
          <w:b/>
          <w:color w:val="000000"/>
          <w:sz w:val="24"/>
          <w:szCs w:val="24"/>
          <w:u w:val="single"/>
          <w:lang w:eastAsia="en-GB"/>
        </w:rPr>
        <w:t xml:space="preserve"> powdery mildew (</w:t>
      </w:r>
      <w:r w:rsidRPr="000D331E">
        <w:rPr>
          <w:rFonts w:ascii="Times New Roman" w:eastAsia="Times New Roman" w:hAnsi="Times New Roman" w:cs="Times New Roman"/>
          <w:b/>
          <w:i/>
          <w:iCs/>
          <w:color w:val="000000"/>
          <w:sz w:val="24"/>
          <w:szCs w:val="24"/>
          <w:u w:val="single"/>
          <w:lang w:eastAsia="en-GB"/>
        </w:rPr>
        <w:t xml:space="preserve">Erysiphe </w:t>
      </w:r>
      <w:proofErr w:type="spellStart"/>
      <w:r w:rsidRPr="000D331E">
        <w:rPr>
          <w:rFonts w:ascii="Times New Roman" w:eastAsia="Times New Roman" w:hAnsi="Times New Roman" w:cs="Times New Roman"/>
          <w:b/>
          <w:i/>
          <w:iCs/>
          <w:color w:val="000000"/>
          <w:sz w:val="24"/>
          <w:szCs w:val="24"/>
          <w:u w:val="single"/>
          <w:lang w:eastAsia="en-GB"/>
        </w:rPr>
        <w:t>cichoracearum</w:t>
      </w:r>
      <w:proofErr w:type="spellEnd"/>
      <w:r w:rsidRPr="000D331E">
        <w:rPr>
          <w:rFonts w:ascii="Times New Roman" w:eastAsia="Times New Roman" w:hAnsi="Times New Roman" w:cs="Times New Roman"/>
          <w:b/>
          <w:i/>
          <w:iCs/>
          <w:color w:val="000000"/>
          <w:sz w:val="24"/>
          <w:szCs w:val="24"/>
          <w:u w:val="single"/>
          <w:lang w:eastAsia="en-GB"/>
        </w:rPr>
        <w:t>)</w:t>
      </w:r>
      <w:r w:rsidRPr="000D331E">
        <w:rPr>
          <w:rFonts w:ascii="Times New Roman" w:eastAsia="Times New Roman" w:hAnsi="Times New Roman" w:cs="Times New Roman"/>
          <w:b/>
          <w:color w:val="000000"/>
          <w:sz w:val="24"/>
          <w:szCs w:val="24"/>
          <w:u w:val="single"/>
          <w:lang w:eastAsia="en-GB"/>
        </w:rPr>
        <w:t xml:space="preserve"> o</w:t>
      </w:r>
      <w:r w:rsidR="006B1E82">
        <w:rPr>
          <w:rFonts w:ascii="Times New Roman" w:eastAsia="Times New Roman" w:hAnsi="Times New Roman" w:cs="Times New Roman"/>
          <w:b/>
          <w:color w:val="000000"/>
          <w:sz w:val="24"/>
          <w:szCs w:val="24"/>
          <w:u w:val="single"/>
          <w:lang w:eastAsia="en-GB"/>
        </w:rPr>
        <w:t>n</w:t>
      </w:r>
      <w:r w:rsidRPr="000D331E">
        <w:rPr>
          <w:rFonts w:ascii="Times New Roman" w:eastAsia="Times New Roman" w:hAnsi="Times New Roman" w:cs="Times New Roman"/>
          <w:b/>
          <w:color w:val="000000"/>
          <w:sz w:val="24"/>
          <w:szCs w:val="24"/>
          <w:u w:val="single"/>
          <w:lang w:eastAsia="en-GB"/>
        </w:rPr>
        <w:t xml:space="preserve"> sponge gourd</w:t>
      </w:r>
    </w:p>
    <w:p w14:paraId="28024BDC" w14:textId="6C45B791" w:rsidR="00046689" w:rsidRDefault="003C0390" w:rsidP="00046689">
      <w:pPr>
        <w:autoSpaceDE w:val="0"/>
        <w:autoSpaceDN w:val="0"/>
        <w:adjustRightInd w:val="0"/>
        <w:spacing w:before="240" w:line="360" w:lineRule="auto"/>
        <w:ind w:firstLine="720"/>
        <w:jc w:val="both"/>
        <w:rPr>
          <w:rFonts w:ascii="Times New Roman" w:hAnsi="Times New Roman" w:cs="Times New Roman"/>
          <w:sz w:val="24"/>
          <w:szCs w:val="24"/>
          <w:lang w:bidi="hi-IN"/>
        </w:rPr>
      </w:pPr>
      <w:r>
        <w:rPr>
          <w:rFonts w:ascii="Times New Roman" w:hAnsi="Times New Roman" w:cs="Times New Roman"/>
          <w:sz w:val="24"/>
          <w:szCs w:val="24"/>
        </w:rPr>
        <w:t>Powdery</w:t>
      </w:r>
      <w:r w:rsidR="00345F90" w:rsidRPr="000D331E">
        <w:rPr>
          <w:rFonts w:ascii="Times New Roman" w:hAnsi="Times New Roman" w:cs="Times New Roman"/>
          <w:sz w:val="24"/>
          <w:szCs w:val="24"/>
        </w:rPr>
        <w:t xml:space="preserve"> mildew infected sponge gourd leaf samples were collected from the field. </w:t>
      </w:r>
      <w:r w:rsidR="00345F90" w:rsidRPr="000D331E">
        <w:rPr>
          <w:rFonts w:ascii="Times New Roman" w:hAnsi="Times New Roman" w:cs="Times New Roman"/>
          <w:sz w:val="24"/>
          <w:szCs w:val="24"/>
          <w:lang w:bidi="hi-IN"/>
        </w:rPr>
        <w:t>To obtain a representative sample, lesions, from thirty to forty leaves was cut out with a scissor and placed in zip lock bags lined with wet blotting paper for transport to the laboratory.</w:t>
      </w:r>
      <w:r w:rsidR="00345F90" w:rsidRPr="000D331E">
        <w:rPr>
          <w:rFonts w:ascii="Times New Roman" w:hAnsi="Times New Roman" w:cs="Times New Roman"/>
          <w:sz w:val="24"/>
          <w:szCs w:val="24"/>
        </w:rPr>
        <w:t xml:space="preserve"> Sporulation was induced by incubating the leaves overnight in a humid chamber under darkness. For fungicide susceptibility assay, these sporangia w</w:t>
      </w:r>
      <w:r w:rsidR="00DA15E6">
        <w:rPr>
          <w:rFonts w:ascii="Times New Roman" w:hAnsi="Times New Roman" w:cs="Times New Roman"/>
          <w:sz w:val="24"/>
          <w:szCs w:val="24"/>
        </w:rPr>
        <w:t>ere</w:t>
      </w:r>
      <w:r w:rsidR="00345F90" w:rsidRPr="000D331E">
        <w:rPr>
          <w:rFonts w:ascii="Times New Roman" w:hAnsi="Times New Roman" w:cs="Times New Roman"/>
          <w:sz w:val="24"/>
          <w:szCs w:val="24"/>
        </w:rPr>
        <w:t xml:space="preserve"> used as inoculum</w:t>
      </w:r>
      <w:r w:rsidR="00345F90" w:rsidRPr="000D331E">
        <w:rPr>
          <w:rFonts w:ascii="Times New Roman" w:hAnsi="Times New Roman" w:cs="Times New Roman"/>
          <w:sz w:val="24"/>
          <w:szCs w:val="24"/>
          <w:lang w:bidi="hi-IN"/>
        </w:rPr>
        <w:t xml:space="preserve">. When fresh sporulation was visible the sporangia was collected by washing in sterilized water. </w:t>
      </w:r>
    </w:p>
    <w:p w14:paraId="21309884" w14:textId="7B24F5DC" w:rsidR="00345F90" w:rsidRPr="00046689" w:rsidRDefault="00345F90" w:rsidP="00046689">
      <w:pPr>
        <w:autoSpaceDE w:val="0"/>
        <w:autoSpaceDN w:val="0"/>
        <w:adjustRightInd w:val="0"/>
        <w:spacing w:before="240" w:line="360" w:lineRule="auto"/>
        <w:jc w:val="both"/>
        <w:rPr>
          <w:rFonts w:ascii="Times New Roman" w:hAnsi="Times New Roman" w:cs="Times New Roman"/>
          <w:sz w:val="24"/>
          <w:szCs w:val="24"/>
          <w:lang w:bidi="hi-IN"/>
        </w:rPr>
      </w:pPr>
      <w:r w:rsidRPr="000D331E">
        <w:rPr>
          <w:rFonts w:ascii="Times New Roman" w:hAnsi="Times New Roman" w:cs="Times New Roman"/>
          <w:b/>
          <w:sz w:val="24"/>
          <w:szCs w:val="24"/>
          <w:u w:val="single"/>
        </w:rPr>
        <w:t>Determination of fungicide sensitivity using leaf disc bioassay</w:t>
      </w:r>
    </w:p>
    <w:p w14:paraId="6057BD2B" w14:textId="2067D0DB" w:rsidR="00345F90" w:rsidRPr="000D331E" w:rsidRDefault="00345F90" w:rsidP="00345F90">
      <w:pPr>
        <w:pStyle w:val="ListParagraph"/>
        <w:spacing w:before="240" w:line="360" w:lineRule="auto"/>
        <w:ind w:left="0" w:firstLine="720"/>
        <w:jc w:val="both"/>
        <w:rPr>
          <w:rFonts w:ascii="Times New Roman" w:hAnsi="Times New Roman" w:cs="Times New Roman"/>
          <w:sz w:val="24"/>
          <w:szCs w:val="24"/>
        </w:rPr>
      </w:pPr>
      <w:r w:rsidRPr="000D331E">
        <w:rPr>
          <w:rFonts w:ascii="Times New Roman" w:hAnsi="Times New Roman" w:cs="Times New Roman"/>
          <w:sz w:val="24"/>
          <w:szCs w:val="24"/>
        </w:rPr>
        <w:t>The leaf</w:t>
      </w:r>
      <w:r w:rsidRPr="000D331E">
        <w:rPr>
          <w:rFonts w:ascii="Times New Roman" w:hAnsi="Times New Roman" w:cs="Times New Roman"/>
          <w:bCs/>
          <w:sz w:val="24"/>
          <w:szCs w:val="24"/>
        </w:rPr>
        <w:t xml:space="preserve"> disc bioassay method was used for determining sensitivity of </w:t>
      </w:r>
      <w:r w:rsidRPr="000D331E">
        <w:rPr>
          <w:rFonts w:ascii="Times New Roman" w:eastAsia="Times New Roman" w:hAnsi="Times New Roman" w:cs="Times New Roman"/>
          <w:bCs/>
          <w:color w:val="000000"/>
          <w:sz w:val="24"/>
          <w:szCs w:val="24"/>
          <w:lang w:eastAsia="en-GB"/>
        </w:rPr>
        <w:t>powdery mildew (</w:t>
      </w:r>
      <w:r w:rsidRPr="000D331E">
        <w:rPr>
          <w:rFonts w:ascii="Times New Roman" w:eastAsia="Times New Roman" w:hAnsi="Times New Roman" w:cs="Times New Roman"/>
          <w:bCs/>
          <w:i/>
          <w:iCs/>
          <w:color w:val="000000"/>
          <w:sz w:val="24"/>
          <w:szCs w:val="24"/>
          <w:lang w:eastAsia="en-GB"/>
        </w:rPr>
        <w:t>E</w:t>
      </w:r>
      <w:r w:rsidR="005B02EF">
        <w:rPr>
          <w:rFonts w:ascii="Times New Roman" w:eastAsia="Times New Roman" w:hAnsi="Times New Roman" w:cs="Times New Roman"/>
          <w:bCs/>
          <w:i/>
          <w:iCs/>
          <w:color w:val="000000"/>
          <w:sz w:val="24"/>
          <w:szCs w:val="24"/>
          <w:lang w:eastAsia="en-GB"/>
        </w:rPr>
        <w:t xml:space="preserve">. </w:t>
      </w:r>
      <w:proofErr w:type="spellStart"/>
      <w:r w:rsidRPr="000D331E">
        <w:rPr>
          <w:rFonts w:ascii="Times New Roman" w:eastAsia="Times New Roman" w:hAnsi="Times New Roman" w:cs="Times New Roman"/>
          <w:bCs/>
          <w:i/>
          <w:iCs/>
          <w:color w:val="000000"/>
          <w:sz w:val="24"/>
          <w:szCs w:val="24"/>
          <w:lang w:eastAsia="en-GB"/>
        </w:rPr>
        <w:t>cichoracearum</w:t>
      </w:r>
      <w:proofErr w:type="spellEnd"/>
      <w:r w:rsidRPr="000D331E">
        <w:rPr>
          <w:rFonts w:ascii="Times New Roman" w:eastAsia="Times New Roman" w:hAnsi="Times New Roman" w:cs="Times New Roman"/>
          <w:bCs/>
          <w:color w:val="000000"/>
          <w:sz w:val="24"/>
          <w:szCs w:val="24"/>
          <w:lang w:eastAsia="en-GB"/>
        </w:rPr>
        <w:t>)</w:t>
      </w:r>
      <w:r w:rsidRPr="000D331E">
        <w:rPr>
          <w:rFonts w:ascii="Times New Roman" w:hAnsi="Times New Roman" w:cs="Times New Roman"/>
          <w:bCs/>
          <w:sz w:val="24"/>
          <w:szCs w:val="24"/>
        </w:rPr>
        <w:t xml:space="preserve"> of sponge gourd </w:t>
      </w:r>
      <w:r w:rsidRPr="000D331E">
        <w:rPr>
          <w:rFonts w:ascii="Times New Roman" w:hAnsi="Times New Roman" w:cs="Times New Roman"/>
          <w:iCs/>
          <w:sz w:val="24"/>
          <w:szCs w:val="24"/>
        </w:rPr>
        <w:t>against fungicides/chemicals</w:t>
      </w:r>
      <w:r w:rsidR="002725AA">
        <w:rPr>
          <w:rFonts w:ascii="Times New Roman" w:hAnsi="Times New Roman" w:cs="Times New Roman"/>
          <w:iCs/>
          <w:sz w:val="24"/>
          <w:szCs w:val="24"/>
        </w:rPr>
        <w:t>.</w:t>
      </w:r>
      <w:r w:rsidRPr="000D331E">
        <w:rPr>
          <w:rFonts w:ascii="Times New Roman" w:hAnsi="Times New Roman" w:cs="Times New Roman"/>
          <w:iCs/>
          <w:sz w:val="24"/>
          <w:szCs w:val="24"/>
        </w:rPr>
        <w:t xml:space="preserve"> </w:t>
      </w:r>
      <w:r w:rsidRPr="000D331E">
        <w:rPr>
          <w:rFonts w:ascii="Times New Roman" w:hAnsi="Times New Roman" w:cs="Times New Roman"/>
          <w:sz w:val="24"/>
          <w:szCs w:val="24"/>
        </w:rPr>
        <w:t xml:space="preserve">The sporangia produced on infected leaves was collected using sterile distilled water with the help of brush and adjusted to a concentration of 50,000 mL/l by the use of a haemocytometer. </w:t>
      </w:r>
    </w:p>
    <w:p w14:paraId="210103D3" w14:textId="49C42824" w:rsidR="00345F90" w:rsidRPr="000D331E" w:rsidRDefault="00345F90" w:rsidP="00345F90">
      <w:pPr>
        <w:spacing w:before="120" w:after="120" w:line="360" w:lineRule="auto"/>
        <w:ind w:firstLine="720"/>
        <w:jc w:val="both"/>
        <w:rPr>
          <w:rFonts w:ascii="Times New Roman" w:hAnsi="Times New Roman" w:cs="Times New Roman"/>
          <w:sz w:val="24"/>
          <w:szCs w:val="24"/>
          <w:lang w:eastAsia="hi-IN"/>
        </w:rPr>
      </w:pPr>
      <w:r w:rsidRPr="000D331E">
        <w:rPr>
          <w:rFonts w:ascii="Times New Roman" w:hAnsi="Times New Roman" w:cs="Times New Roman"/>
          <w:iCs/>
          <w:sz w:val="24"/>
          <w:szCs w:val="24"/>
        </w:rPr>
        <w:t>Sponge gourd</w:t>
      </w:r>
      <w:r w:rsidRPr="000D331E">
        <w:rPr>
          <w:rFonts w:ascii="Times New Roman" w:hAnsi="Times New Roman" w:cs="Times New Roman"/>
          <w:sz w:val="24"/>
          <w:szCs w:val="24"/>
        </w:rPr>
        <w:t xml:space="preserve"> was grown in field separately and plants were kept free of </w:t>
      </w:r>
      <w:r w:rsidR="003C0390">
        <w:rPr>
          <w:rFonts w:ascii="Times New Roman" w:hAnsi="Times New Roman" w:cs="Times New Roman"/>
          <w:sz w:val="24"/>
          <w:szCs w:val="24"/>
        </w:rPr>
        <w:t>powdery</w:t>
      </w:r>
      <w:r w:rsidRPr="000D331E">
        <w:rPr>
          <w:rFonts w:ascii="Times New Roman" w:hAnsi="Times New Roman" w:cs="Times New Roman"/>
          <w:sz w:val="24"/>
          <w:szCs w:val="24"/>
        </w:rPr>
        <w:t xml:space="preserve"> mildew by the application of sulfur. No fungicide specific for </w:t>
      </w:r>
      <w:r w:rsidR="003C0390">
        <w:rPr>
          <w:rFonts w:ascii="Times New Roman" w:hAnsi="Times New Roman" w:cs="Times New Roman"/>
          <w:sz w:val="24"/>
          <w:szCs w:val="24"/>
        </w:rPr>
        <w:t>powdery</w:t>
      </w:r>
      <w:r w:rsidRPr="000D331E">
        <w:rPr>
          <w:rFonts w:ascii="Times New Roman" w:hAnsi="Times New Roman" w:cs="Times New Roman"/>
          <w:sz w:val="24"/>
          <w:szCs w:val="24"/>
        </w:rPr>
        <w:t xml:space="preserve"> mildew control was sprayed on the plants. Fully expanded young leaves from the shoot tip was used for the bio-assays.</w:t>
      </w:r>
      <w:r w:rsidRPr="000D331E">
        <w:rPr>
          <w:rFonts w:ascii="Times New Roman" w:hAnsi="Times New Roman" w:cs="Times New Roman"/>
          <w:sz w:val="24"/>
          <w:szCs w:val="24"/>
          <w:lang w:eastAsia="hi-IN"/>
        </w:rPr>
        <w:t xml:space="preserve"> Leaf disc of 15 mm diameter were cut from </w:t>
      </w:r>
      <w:r w:rsidRPr="000D331E">
        <w:rPr>
          <w:rFonts w:ascii="Times New Roman" w:hAnsi="Times New Roman" w:cs="Times New Roman"/>
          <w:sz w:val="24"/>
          <w:szCs w:val="24"/>
        </w:rPr>
        <w:t>the healthy leaves</w:t>
      </w:r>
      <w:r w:rsidRPr="000D331E">
        <w:rPr>
          <w:rFonts w:ascii="Times New Roman" w:hAnsi="Times New Roman" w:cs="Times New Roman"/>
          <w:sz w:val="24"/>
          <w:szCs w:val="24"/>
          <w:lang w:eastAsia="hi-IN"/>
        </w:rPr>
        <w:t xml:space="preserve">. Twenty-four-well plates was taken and one leaf disc was placed </w:t>
      </w:r>
      <w:r w:rsidRPr="000D331E">
        <w:rPr>
          <w:rFonts w:ascii="Times New Roman" w:hAnsi="Times New Roman" w:cs="Times New Roman"/>
          <w:sz w:val="24"/>
          <w:szCs w:val="24"/>
        </w:rPr>
        <w:t>upside down</w:t>
      </w:r>
      <w:r w:rsidRPr="000D331E">
        <w:rPr>
          <w:rFonts w:ascii="Times New Roman" w:hAnsi="Times New Roman" w:cs="Times New Roman"/>
          <w:sz w:val="24"/>
          <w:szCs w:val="24"/>
          <w:lang w:eastAsia="hi-IN"/>
        </w:rPr>
        <w:t xml:space="preserve"> in </w:t>
      </w:r>
      <w:r w:rsidRPr="000D331E">
        <w:rPr>
          <w:rFonts w:ascii="Times New Roman" w:hAnsi="Times New Roman" w:cs="Times New Roman"/>
          <w:sz w:val="24"/>
          <w:szCs w:val="24"/>
        </w:rPr>
        <w:t xml:space="preserve">individual </w:t>
      </w:r>
      <w:r w:rsidRPr="000D331E">
        <w:rPr>
          <w:rFonts w:ascii="Times New Roman" w:hAnsi="Times New Roman" w:cs="Times New Roman"/>
          <w:sz w:val="24"/>
          <w:szCs w:val="24"/>
          <w:lang w:eastAsia="hi-IN"/>
        </w:rPr>
        <w:t xml:space="preserve">wells. Each fungicide </w:t>
      </w:r>
      <w:r w:rsidRPr="000D331E">
        <w:rPr>
          <w:rFonts w:ascii="Times New Roman" w:hAnsi="Times New Roman" w:cs="Times New Roman"/>
          <w:sz w:val="24"/>
          <w:szCs w:val="24"/>
          <w:lang w:eastAsia="hi-IN"/>
        </w:rPr>
        <w:lastRenderedPageBreak/>
        <w:t xml:space="preserve">concentration was applied on four leaf discs with a camel hair brush. </w:t>
      </w:r>
      <w:r w:rsidR="002725AA">
        <w:rPr>
          <w:rFonts w:ascii="Times New Roman" w:hAnsi="Times New Roman" w:cs="Times New Roman"/>
          <w:sz w:val="24"/>
          <w:szCs w:val="24"/>
          <w:lang w:eastAsia="hi-IN"/>
        </w:rPr>
        <w:t>The treatment details are given in table 3.</w:t>
      </w:r>
    </w:p>
    <w:p w14:paraId="3EFC6A07" w14:textId="41F5F7A3" w:rsidR="00345F90" w:rsidRPr="000D331E" w:rsidRDefault="002725AA" w:rsidP="00345F90">
      <w:pPr>
        <w:spacing w:before="120" w:after="120" w:line="360" w:lineRule="auto"/>
        <w:jc w:val="both"/>
        <w:rPr>
          <w:rFonts w:ascii="Times New Roman" w:hAnsi="Times New Roman" w:cs="Times New Roman"/>
          <w:b/>
          <w:bCs/>
          <w:sz w:val="24"/>
          <w:szCs w:val="24"/>
          <w:lang w:eastAsia="hi-IN"/>
        </w:rPr>
      </w:pPr>
      <w:r>
        <w:rPr>
          <w:rFonts w:ascii="Times New Roman" w:hAnsi="Times New Roman" w:cs="Times New Roman"/>
          <w:b/>
          <w:bCs/>
          <w:sz w:val="24"/>
          <w:szCs w:val="24"/>
          <w:lang w:eastAsia="hi-IN"/>
        </w:rPr>
        <w:t xml:space="preserve">Table 3. </w:t>
      </w:r>
      <w:r w:rsidR="00345F90" w:rsidRPr="000D331E">
        <w:rPr>
          <w:rFonts w:ascii="Times New Roman" w:hAnsi="Times New Roman" w:cs="Times New Roman"/>
          <w:b/>
          <w:bCs/>
          <w:sz w:val="24"/>
          <w:szCs w:val="24"/>
          <w:lang w:eastAsia="hi-IN"/>
        </w:rPr>
        <w:t>Treatment details:</w:t>
      </w: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670"/>
        <w:gridCol w:w="2642"/>
      </w:tblGrid>
      <w:tr w:rsidR="00345F90" w:rsidRPr="000D331E" w14:paraId="36DF61F0" w14:textId="77777777" w:rsidTr="00676757">
        <w:trPr>
          <w:trHeight w:val="689"/>
        </w:trPr>
        <w:tc>
          <w:tcPr>
            <w:tcW w:w="1526" w:type="dxa"/>
          </w:tcPr>
          <w:p w14:paraId="747C671B" w14:textId="77777777" w:rsidR="00345F90" w:rsidRPr="000D331E" w:rsidRDefault="00345F90" w:rsidP="00676757">
            <w:pPr>
              <w:spacing w:after="0"/>
              <w:jc w:val="center"/>
              <w:rPr>
                <w:rFonts w:ascii="Times New Roman" w:hAnsi="Times New Roman" w:cs="Times New Roman"/>
                <w:b/>
                <w:sz w:val="24"/>
                <w:szCs w:val="24"/>
                <w:lang w:val="en-IN"/>
              </w:rPr>
            </w:pPr>
            <w:proofErr w:type="spellStart"/>
            <w:r>
              <w:rPr>
                <w:rFonts w:ascii="Times New Roman" w:hAnsi="Times New Roman" w:cs="Times New Roman"/>
                <w:b/>
                <w:sz w:val="24"/>
                <w:szCs w:val="24"/>
                <w:lang w:val="en-IN"/>
              </w:rPr>
              <w:t>Tr.No</w:t>
            </w:r>
            <w:proofErr w:type="spellEnd"/>
            <w:r w:rsidRPr="000D331E">
              <w:rPr>
                <w:rFonts w:ascii="Times New Roman" w:hAnsi="Times New Roman" w:cs="Times New Roman"/>
                <w:b/>
                <w:sz w:val="24"/>
                <w:szCs w:val="24"/>
                <w:lang w:val="en-IN"/>
              </w:rPr>
              <w:t>.</w:t>
            </w:r>
          </w:p>
        </w:tc>
        <w:tc>
          <w:tcPr>
            <w:tcW w:w="5670" w:type="dxa"/>
          </w:tcPr>
          <w:p w14:paraId="638C6B78" w14:textId="77777777" w:rsidR="00345F90" w:rsidRPr="000D331E" w:rsidRDefault="00345F90" w:rsidP="00676757">
            <w:pPr>
              <w:spacing w:after="0"/>
              <w:jc w:val="center"/>
              <w:rPr>
                <w:rFonts w:ascii="Times New Roman" w:hAnsi="Times New Roman" w:cs="Times New Roman"/>
                <w:b/>
                <w:sz w:val="24"/>
                <w:szCs w:val="24"/>
                <w:lang w:val="en-IN"/>
              </w:rPr>
            </w:pPr>
            <w:r w:rsidRPr="000D331E">
              <w:rPr>
                <w:rFonts w:ascii="Times New Roman" w:eastAsia="Times New Roman" w:hAnsi="Times New Roman" w:cs="Times New Roman"/>
                <w:b/>
                <w:color w:val="000000"/>
                <w:sz w:val="24"/>
                <w:szCs w:val="24"/>
                <w:lang w:eastAsia="en-GB"/>
              </w:rPr>
              <w:t>Fungicides/chemicals</w:t>
            </w:r>
          </w:p>
        </w:tc>
        <w:tc>
          <w:tcPr>
            <w:tcW w:w="2642" w:type="dxa"/>
          </w:tcPr>
          <w:p w14:paraId="1D03D3C1" w14:textId="77777777" w:rsidR="00345F90" w:rsidRPr="000D331E" w:rsidRDefault="00345F90" w:rsidP="00676757">
            <w:pPr>
              <w:spacing w:after="0"/>
              <w:jc w:val="center"/>
              <w:rPr>
                <w:rFonts w:ascii="Times New Roman" w:hAnsi="Times New Roman" w:cs="Times New Roman"/>
                <w:b/>
                <w:sz w:val="24"/>
                <w:szCs w:val="24"/>
                <w:lang w:val="en-IN"/>
              </w:rPr>
            </w:pPr>
            <w:r w:rsidRPr="000D331E">
              <w:rPr>
                <w:rFonts w:ascii="Times New Roman" w:hAnsi="Times New Roman" w:cs="Times New Roman"/>
                <w:b/>
                <w:sz w:val="24"/>
                <w:szCs w:val="24"/>
                <w:lang w:val="en-IN"/>
              </w:rPr>
              <w:t>Conc.</w:t>
            </w:r>
            <w:r>
              <w:rPr>
                <w:rFonts w:ascii="Times New Roman" w:hAnsi="Times New Roman" w:cs="Times New Roman"/>
                <w:b/>
                <w:sz w:val="24"/>
                <w:szCs w:val="24"/>
                <w:lang w:val="en-IN"/>
              </w:rPr>
              <w:t>(</w:t>
            </w:r>
            <w:r w:rsidRPr="000D331E">
              <w:rPr>
                <w:rFonts w:ascii="Times New Roman" w:hAnsi="Times New Roman" w:cs="Times New Roman"/>
                <w:b/>
                <w:sz w:val="24"/>
                <w:szCs w:val="24"/>
                <w:lang w:val="en-IN"/>
              </w:rPr>
              <w:t>%</w:t>
            </w:r>
            <w:r>
              <w:rPr>
                <w:rFonts w:ascii="Times New Roman" w:hAnsi="Times New Roman" w:cs="Times New Roman"/>
                <w:b/>
                <w:sz w:val="24"/>
                <w:szCs w:val="24"/>
                <w:lang w:val="en-IN"/>
              </w:rPr>
              <w:t>)</w:t>
            </w:r>
          </w:p>
        </w:tc>
      </w:tr>
      <w:tr w:rsidR="00345F90" w:rsidRPr="000D331E" w14:paraId="7BB6C2A8" w14:textId="77777777" w:rsidTr="00676757">
        <w:trPr>
          <w:trHeight w:val="282"/>
        </w:trPr>
        <w:tc>
          <w:tcPr>
            <w:tcW w:w="1526" w:type="dxa"/>
          </w:tcPr>
          <w:p w14:paraId="32BD1153" w14:textId="77777777" w:rsidR="00345F90" w:rsidRPr="006C194B" w:rsidRDefault="00345F90" w:rsidP="00676757">
            <w:pPr>
              <w:spacing w:after="0"/>
              <w:jc w:val="center"/>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T</w:t>
            </w:r>
            <w:r w:rsidRPr="006C194B">
              <w:rPr>
                <w:rFonts w:ascii="Times New Roman" w:eastAsia="Times New Roman" w:hAnsi="Times New Roman" w:cs="Times New Roman"/>
                <w:bCs/>
                <w:color w:val="000000"/>
                <w:sz w:val="16"/>
                <w:szCs w:val="16"/>
                <w:lang w:eastAsia="en-GB"/>
              </w:rPr>
              <w:t>1</w:t>
            </w:r>
          </w:p>
        </w:tc>
        <w:tc>
          <w:tcPr>
            <w:tcW w:w="5670" w:type="dxa"/>
          </w:tcPr>
          <w:p w14:paraId="1A4E6E87" w14:textId="77777777" w:rsidR="00345F90" w:rsidRPr="006C194B" w:rsidRDefault="00345F90" w:rsidP="00676757">
            <w:pPr>
              <w:spacing w:after="0"/>
              <w:jc w:val="both"/>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Carbendazim 12%+ Mancozeb 63%</w:t>
            </w:r>
          </w:p>
        </w:tc>
        <w:tc>
          <w:tcPr>
            <w:tcW w:w="2642" w:type="dxa"/>
          </w:tcPr>
          <w:p w14:paraId="4DF2EE8F" w14:textId="77777777" w:rsidR="00345F90" w:rsidRPr="006C194B" w:rsidRDefault="00345F90" w:rsidP="00676757">
            <w:pPr>
              <w:spacing w:after="0"/>
              <w:jc w:val="center"/>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0.15</w:t>
            </w:r>
          </w:p>
        </w:tc>
      </w:tr>
      <w:tr w:rsidR="00345F90" w:rsidRPr="000D331E" w14:paraId="523E9FA3" w14:textId="77777777" w:rsidTr="00676757">
        <w:trPr>
          <w:trHeight w:val="574"/>
        </w:trPr>
        <w:tc>
          <w:tcPr>
            <w:tcW w:w="1526" w:type="dxa"/>
          </w:tcPr>
          <w:p w14:paraId="2D5697A6" w14:textId="77777777" w:rsidR="00345F90" w:rsidRPr="006C194B" w:rsidRDefault="00345F90" w:rsidP="00676757">
            <w:pPr>
              <w:spacing w:after="0"/>
              <w:jc w:val="center"/>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T</w:t>
            </w:r>
            <w:r w:rsidRPr="006C194B">
              <w:rPr>
                <w:rFonts w:ascii="Times New Roman" w:eastAsia="Times New Roman" w:hAnsi="Times New Roman" w:cs="Times New Roman"/>
                <w:bCs/>
                <w:color w:val="000000"/>
                <w:sz w:val="18"/>
                <w:szCs w:val="18"/>
                <w:lang w:eastAsia="en-GB"/>
              </w:rPr>
              <w:t>2</w:t>
            </w:r>
          </w:p>
        </w:tc>
        <w:tc>
          <w:tcPr>
            <w:tcW w:w="5670" w:type="dxa"/>
          </w:tcPr>
          <w:p w14:paraId="6E049571" w14:textId="77777777" w:rsidR="00345F90" w:rsidRPr="006C194B" w:rsidRDefault="00345F90" w:rsidP="00676757">
            <w:pPr>
              <w:spacing w:after="0"/>
              <w:jc w:val="both"/>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Azoxystrobin 4.8% w/w + Chlorothalonil 40% w/w SC</w:t>
            </w:r>
          </w:p>
        </w:tc>
        <w:tc>
          <w:tcPr>
            <w:tcW w:w="2642" w:type="dxa"/>
          </w:tcPr>
          <w:p w14:paraId="40E5FD99" w14:textId="77777777" w:rsidR="00345F90" w:rsidRPr="006C194B" w:rsidRDefault="00345F90" w:rsidP="00676757">
            <w:pPr>
              <w:spacing w:after="0"/>
              <w:jc w:val="center"/>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0.6</w:t>
            </w:r>
          </w:p>
        </w:tc>
      </w:tr>
      <w:tr w:rsidR="00345F90" w:rsidRPr="000D331E" w14:paraId="15415838" w14:textId="77777777" w:rsidTr="00676757">
        <w:trPr>
          <w:trHeight w:val="282"/>
        </w:trPr>
        <w:tc>
          <w:tcPr>
            <w:tcW w:w="1526" w:type="dxa"/>
          </w:tcPr>
          <w:p w14:paraId="477F0DE0" w14:textId="77777777" w:rsidR="00345F90" w:rsidRPr="006C194B" w:rsidRDefault="00345F90" w:rsidP="00676757">
            <w:pPr>
              <w:spacing w:after="0"/>
              <w:jc w:val="center"/>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T</w:t>
            </w:r>
            <w:r w:rsidRPr="006C194B">
              <w:rPr>
                <w:rFonts w:ascii="Times New Roman" w:eastAsia="Times New Roman" w:hAnsi="Times New Roman" w:cs="Times New Roman"/>
                <w:bCs/>
                <w:color w:val="000000"/>
                <w:sz w:val="18"/>
                <w:szCs w:val="18"/>
                <w:lang w:eastAsia="en-GB"/>
              </w:rPr>
              <w:t>3</w:t>
            </w:r>
          </w:p>
        </w:tc>
        <w:tc>
          <w:tcPr>
            <w:tcW w:w="5670" w:type="dxa"/>
          </w:tcPr>
          <w:p w14:paraId="70442629" w14:textId="77777777" w:rsidR="00345F90" w:rsidRPr="006C194B" w:rsidRDefault="00345F90" w:rsidP="00676757">
            <w:pPr>
              <w:spacing w:after="0"/>
              <w:jc w:val="both"/>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Azoxystrobin 11% w/w + Tebuconazole 18.3</w:t>
            </w:r>
          </w:p>
        </w:tc>
        <w:tc>
          <w:tcPr>
            <w:tcW w:w="2642" w:type="dxa"/>
          </w:tcPr>
          <w:p w14:paraId="0178E04B" w14:textId="77777777" w:rsidR="00345F90" w:rsidRPr="006C194B" w:rsidRDefault="00345F90" w:rsidP="00676757">
            <w:pPr>
              <w:spacing w:after="0"/>
              <w:jc w:val="center"/>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0.15</w:t>
            </w:r>
          </w:p>
        </w:tc>
      </w:tr>
      <w:tr w:rsidR="00345F90" w:rsidRPr="000D331E" w14:paraId="43CE43D9" w14:textId="77777777" w:rsidTr="00676757">
        <w:trPr>
          <w:trHeight w:val="282"/>
        </w:trPr>
        <w:tc>
          <w:tcPr>
            <w:tcW w:w="1526" w:type="dxa"/>
          </w:tcPr>
          <w:p w14:paraId="06E20DF4" w14:textId="77777777" w:rsidR="00345F90" w:rsidRPr="006C194B" w:rsidRDefault="00345F90" w:rsidP="00676757">
            <w:pPr>
              <w:spacing w:after="0"/>
              <w:jc w:val="center"/>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T</w:t>
            </w:r>
            <w:r w:rsidRPr="006C194B">
              <w:rPr>
                <w:rFonts w:ascii="Times New Roman" w:eastAsia="Times New Roman" w:hAnsi="Times New Roman" w:cs="Times New Roman"/>
                <w:bCs/>
                <w:color w:val="000000"/>
                <w:sz w:val="18"/>
                <w:szCs w:val="18"/>
                <w:lang w:eastAsia="en-GB"/>
              </w:rPr>
              <w:t>4</w:t>
            </w:r>
          </w:p>
        </w:tc>
        <w:tc>
          <w:tcPr>
            <w:tcW w:w="5670" w:type="dxa"/>
          </w:tcPr>
          <w:p w14:paraId="293DEBB2" w14:textId="77777777" w:rsidR="00345F90" w:rsidRPr="006C194B" w:rsidRDefault="00345F90" w:rsidP="00676757">
            <w:pPr>
              <w:spacing w:after="0"/>
              <w:jc w:val="both"/>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Aureofungin 46.25 w/w SP</w:t>
            </w:r>
          </w:p>
        </w:tc>
        <w:tc>
          <w:tcPr>
            <w:tcW w:w="2642" w:type="dxa"/>
          </w:tcPr>
          <w:p w14:paraId="4787E7A3" w14:textId="77777777" w:rsidR="00345F90" w:rsidRPr="006C194B" w:rsidRDefault="00345F90" w:rsidP="00676757">
            <w:pPr>
              <w:spacing w:after="0"/>
              <w:jc w:val="center"/>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0.005</w:t>
            </w:r>
          </w:p>
        </w:tc>
      </w:tr>
      <w:tr w:rsidR="00345F90" w:rsidRPr="000D331E" w14:paraId="726CC45D" w14:textId="77777777" w:rsidTr="00676757">
        <w:trPr>
          <w:trHeight w:val="282"/>
        </w:trPr>
        <w:tc>
          <w:tcPr>
            <w:tcW w:w="1526" w:type="dxa"/>
          </w:tcPr>
          <w:p w14:paraId="5B0DC614" w14:textId="77777777" w:rsidR="00345F90" w:rsidRPr="006C194B" w:rsidRDefault="00345F90" w:rsidP="00676757">
            <w:pPr>
              <w:spacing w:after="0"/>
              <w:jc w:val="center"/>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T</w:t>
            </w:r>
            <w:r w:rsidRPr="006C194B">
              <w:rPr>
                <w:rFonts w:ascii="Times New Roman" w:eastAsia="Times New Roman" w:hAnsi="Times New Roman" w:cs="Times New Roman"/>
                <w:bCs/>
                <w:color w:val="000000"/>
                <w:sz w:val="18"/>
                <w:szCs w:val="18"/>
                <w:lang w:eastAsia="en-GB"/>
              </w:rPr>
              <w:t>5</w:t>
            </w:r>
          </w:p>
        </w:tc>
        <w:tc>
          <w:tcPr>
            <w:tcW w:w="5670" w:type="dxa"/>
          </w:tcPr>
          <w:p w14:paraId="3A74DCD6" w14:textId="77777777" w:rsidR="00345F90" w:rsidRPr="006C194B" w:rsidRDefault="00345F90" w:rsidP="00676757">
            <w:pPr>
              <w:spacing w:after="0"/>
              <w:jc w:val="both"/>
              <w:rPr>
                <w:rFonts w:ascii="Times New Roman" w:hAnsi="Times New Roman" w:cs="Times New Roman"/>
                <w:bCs/>
                <w:i/>
                <w:iCs/>
                <w:sz w:val="24"/>
                <w:szCs w:val="24"/>
                <w:lang w:val="en-IN"/>
              </w:rPr>
            </w:pPr>
            <w:r w:rsidRPr="006C194B">
              <w:rPr>
                <w:rFonts w:ascii="Times New Roman" w:eastAsia="Times New Roman" w:hAnsi="Times New Roman" w:cs="Times New Roman"/>
                <w:bCs/>
                <w:color w:val="000000"/>
                <w:sz w:val="24"/>
                <w:szCs w:val="24"/>
                <w:lang w:eastAsia="en-GB"/>
              </w:rPr>
              <w:t>Copper sulphate 47.15 + Mancozeb 30% WDG</w:t>
            </w:r>
          </w:p>
        </w:tc>
        <w:tc>
          <w:tcPr>
            <w:tcW w:w="2642" w:type="dxa"/>
          </w:tcPr>
          <w:p w14:paraId="3048C2FA" w14:textId="77777777" w:rsidR="00345F90" w:rsidRPr="006C194B" w:rsidRDefault="00345F90" w:rsidP="00676757">
            <w:pPr>
              <w:spacing w:after="0"/>
              <w:jc w:val="center"/>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1</w:t>
            </w:r>
          </w:p>
        </w:tc>
      </w:tr>
      <w:tr w:rsidR="00345F90" w:rsidRPr="000D331E" w14:paraId="0215EA76" w14:textId="77777777" w:rsidTr="00676757">
        <w:trPr>
          <w:trHeight w:val="282"/>
        </w:trPr>
        <w:tc>
          <w:tcPr>
            <w:tcW w:w="1526" w:type="dxa"/>
          </w:tcPr>
          <w:p w14:paraId="51B611EE" w14:textId="77777777" w:rsidR="00345F90" w:rsidRPr="006C194B" w:rsidRDefault="00345F90" w:rsidP="00676757">
            <w:pPr>
              <w:spacing w:after="0"/>
              <w:jc w:val="center"/>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T</w:t>
            </w:r>
            <w:r w:rsidRPr="006C194B">
              <w:rPr>
                <w:rFonts w:ascii="Times New Roman" w:eastAsia="Times New Roman" w:hAnsi="Times New Roman" w:cs="Times New Roman"/>
                <w:bCs/>
                <w:color w:val="000000"/>
                <w:sz w:val="18"/>
                <w:szCs w:val="18"/>
                <w:lang w:eastAsia="en-GB"/>
              </w:rPr>
              <w:t>6</w:t>
            </w:r>
          </w:p>
        </w:tc>
        <w:tc>
          <w:tcPr>
            <w:tcW w:w="5670" w:type="dxa"/>
          </w:tcPr>
          <w:p w14:paraId="50DAB1E6" w14:textId="77777777" w:rsidR="00345F90" w:rsidRPr="006C194B" w:rsidRDefault="00345F90" w:rsidP="00676757">
            <w:pPr>
              <w:spacing w:after="0"/>
              <w:jc w:val="both"/>
              <w:rPr>
                <w:rFonts w:ascii="Times New Roman" w:hAnsi="Times New Roman" w:cs="Times New Roman"/>
                <w:bCs/>
                <w:sz w:val="24"/>
                <w:szCs w:val="24"/>
                <w:lang w:val="en-IN"/>
              </w:rPr>
            </w:pPr>
            <w:proofErr w:type="spellStart"/>
            <w:r w:rsidRPr="006C194B">
              <w:rPr>
                <w:rFonts w:ascii="Times New Roman" w:eastAsia="Times New Roman" w:hAnsi="Times New Roman" w:cs="Times New Roman"/>
                <w:bCs/>
                <w:color w:val="000000"/>
                <w:sz w:val="24"/>
                <w:szCs w:val="24"/>
                <w:lang w:eastAsia="en-GB"/>
              </w:rPr>
              <w:t>Kresoxim</w:t>
            </w:r>
            <w:proofErr w:type="spellEnd"/>
            <w:r w:rsidRPr="006C194B">
              <w:rPr>
                <w:rFonts w:ascii="Times New Roman" w:eastAsia="Times New Roman" w:hAnsi="Times New Roman" w:cs="Times New Roman"/>
                <w:bCs/>
                <w:color w:val="000000"/>
                <w:sz w:val="24"/>
                <w:szCs w:val="24"/>
                <w:lang w:eastAsia="en-GB"/>
              </w:rPr>
              <w:t xml:space="preserve"> methyl 18% +Mancozeb 54% WP</w:t>
            </w:r>
          </w:p>
        </w:tc>
        <w:tc>
          <w:tcPr>
            <w:tcW w:w="2642" w:type="dxa"/>
          </w:tcPr>
          <w:p w14:paraId="70E7A79B" w14:textId="77777777" w:rsidR="00345F90" w:rsidRPr="006C194B" w:rsidRDefault="00345F90" w:rsidP="00676757">
            <w:pPr>
              <w:spacing w:after="0"/>
              <w:jc w:val="center"/>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0.3</w:t>
            </w:r>
          </w:p>
        </w:tc>
      </w:tr>
      <w:tr w:rsidR="00345F90" w:rsidRPr="000D331E" w14:paraId="19A2B281" w14:textId="77777777" w:rsidTr="00676757">
        <w:trPr>
          <w:trHeight w:val="282"/>
        </w:trPr>
        <w:tc>
          <w:tcPr>
            <w:tcW w:w="1526" w:type="dxa"/>
          </w:tcPr>
          <w:p w14:paraId="1DD05BCE" w14:textId="77777777" w:rsidR="00345F90" w:rsidRPr="006C194B" w:rsidRDefault="00345F90" w:rsidP="00676757">
            <w:pPr>
              <w:spacing w:after="0"/>
              <w:jc w:val="center"/>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T</w:t>
            </w:r>
            <w:r w:rsidRPr="006C194B">
              <w:rPr>
                <w:rFonts w:ascii="Times New Roman" w:eastAsia="Times New Roman" w:hAnsi="Times New Roman" w:cs="Times New Roman"/>
                <w:bCs/>
                <w:color w:val="000000"/>
                <w:sz w:val="18"/>
                <w:szCs w:val="18"/>
                <w:lang w:eastAsia="en-GB"/>
              </w:rPr>
              <w:t>7</w:t>
            </w:r>
          </w:p>
        </w:tc>
        <w:tc>
          <w:tcPr>
            <w:tcW w:w="5670" w:type="dxa"/>
          </w:tcPr>
          <w:p w14:paraId="5D5EA462" w14:textId="77777777" w:rsidR="00345F90" w:rsidRPr="006C194B" w:rsidRDefault="00345F90" w:rsidP="00676757">
            <w:pPr>
              <w:spacing w:after="0"/>
              <w:jc w:val="both"/>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 xml:space="preserve">Potassium salt of </w:t>
            </w:r>
            <w:proofErr w:type="spellStart"/>
            <w:r w:rsidRPr="006C194B">
              <w:rPr>
                <w:rFonts w:ascii="Times New Roman" w:eastAsia="Times New Roman" w:hAnsi="Times New Roman" w:cs="Times New Roman"/>
                <w:bCs/>
                <w:color w:val="000000"/>
                <w:sz w:val="24"/>
                <w:szCs w:val="24"/>
                <w:lang w:eastAsia="en-GB"/>
              </w:rPr>
              <w:t>Phosphoeric</w:t>
            </w:r>
            <w:proofErr w:type="spellEnd"/>
            <w:r w:rsidRPr="006C194B">
              <w:rPr>
                <w:rFonts w:ascii="Times New Roman" w:eastAsia="Times New Roman" w:hAnsi="Times New Roman" w:cs="Times New Roman"/>
                <w:bCs/>
                <w:color w:val="000000"/>
                <w:sz w:val="24"/>
                <w:szCs w:val="24"/>
                <w:lang w:eastAsia="en-GB"/>
              </w:rPr>
              <w:t xml:space="preserve"> acid</w:t>
            </w:r>
          </w:p>
        </w:tc>
        <w:tc>
          <w:tcPr>
            <w:tcW w:w="2642" w:type="dxa"/>
          </w:tcPr>
          <w:p w14:paraId="12D53D70" w14:textId="77777777" w:rsidR="00345F90" w:rsidRPr="006C194B" w:rsidRDefault="00345F90" w:rsidP="00676757">
            <w:pPr>
              <w:spacing w:after="0"/>
              <w:jc w:val="center"/>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0.4</w:t>
            </w:r>
          </w:p>
        </w:tc>
      </w:tr>
      <w:tr w:rsidR="00345F90" w:rsidRPr="000D331E" w14:paraId="44A6CBAB" w14:textId="77777777" w:rsidTr="00676757">
        <w:trPr>
          <w:trHeight w:val="282"/>
        </w:trPr>
        <w:tc>
          <w:tcPr>
            <w:tcW w:w="1526" w:type="dxa"/>
          </w:tcPr>
          <w:p w14:paraId="11A6B6EA" w14:textId="77777777" w:rsidR="00345F90" w:rsidRPr="006C194B" w:rsidRDefault="00345F90" w:rsidP="00676757">
            <w:pPr>
              <w:spacing w:after="0"/>
              <w:jc w:val="center"/>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T</w:t>
            </w:r>
            <w:r w:rsidRPr="006C194B">
              <w:rPr>
                <w:rFonts w:ascii="Times New Roman" w:eastAsia="Times New Roman" w:hAnsi="Times New Roman" w:cs="Times New Roman"/>
                <w:bCs/>
                <w:color w:val="000000"/>
                <w:sz w:val="18"/>
                <w:szCs w:val="18"/>
                <w:lang w:eastAsia="en-GB"/>
              </w:rPr>
              <w:t>8</w:t>
            </w:r>
          </w:p>
        </w:tc>
        <w:tc>
          <w:tcPr>
            <w:tcW w:w="5670" w:type="dxa"/>
          </w:tcPr>
          <w:p w14:paraId="43C3DD63" w14:textId="77777777" w:rsidR="00345F90" w:rsidRPr="006C194B" w:rsidRDefault="00345F90" w:rsidP="00676757">
            <w:pPr>
              <w:spacing w:after="0"/>
              <w:jc w:val="both"/>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Control (water spray)</w:t>
            </w:r>
          </w:p>
        </w:tc>
        <w:tc>
          <w:tcPr>
            <w:tcW w:w="2642" w:type="dxa"/>
          </w:tcPr>
          <w:p w14:paraId="4C110983" w14:textId="77777777" w:rsidR="00345F90" w:rsidRPr="006C194B" w:rsidRDefault="00345F90" w:rsidP="00676757">
            <w:pPr>
              <w:spacing w:after="0"/>
              <w:jc w:val="center"/>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w:t>
            </w:r>
          </w:p>
        </w:tc>
      </w:tr>
    </w:tbl>
    <w:p w14:paraId="4DE03A3C" w14:textId="6EE987BF" w:rsidR="00345F90" w:rsidRPr="006C194B" w:rsidRDefault="006C194B" w:rsidP="006C194B">
      <w:pPr>
        <w:spacing w:after="0" w:line="240" w:lineRule="auto"/>
        <w:jc w:val="center"/>
        <w:rPr>
          <w:rFonts w:ascii="Arial" w:eastAsia="Times New Roman" w:hAnsi="Arial" w:cs="Arial"/>
          <w:bCs/>
          <w:i/>
          <w:iCs/>
          <w:color w:val="000000"/>
          <w:kern w:val="2"/>
          <w:sz w:val="18"/>
          <w:szCs w:val="18"/>
          <w:lang w:val="en-GB" w:eastAsia="en-GB"/>
        </w:rPr>
      </w:pPr>
      <w:r w:rsidRPr="00B0396C">
        <w:rPr>
          <w:rFonts w:ascii="Arial" w:eastAsia="Times New Roman" w:hAnsi="Arial" w:cs="Arial"/>
          <w:bCs/>
          <w:i/>
          <w:iCs/>
          <w:color w:val="000000"/>
          <w:kern w:val="2"/>
          <w:sz w:val="18"/>
          <w:szCs w:val="18"/>
          <w:lang w:val="en-GB" w:eastAsia="en-GB"/>
        </w:rPr>
        <w:t>*T= Treatment; T1 To T8 represent the different fungicide treatments evaluated against downy mildew of sponge gourd</w:t>
      </w:r>
    </w:p>
    <w:p w14:paraId="2E26E4D8" w14:textId="0D2D4D8C" w:rsidR="00345F90" w:rsidRPr="000D331E" w:rsidRDefault="00345F90" w:rsidP="00345F90">
      <w:pPr>
        <w:spacing w:before="120" w:after="120" w:line="360" w:lineRule="auto"/>
        <w:ind w:firstLine="720"/>
        <w:jc w:val="both"/>
        <w:rPr>
          <w:rFonts w:ascii="Times New Roman" w:hAnsi="Times New Roman" w:cs="Times New Roman"/>
          <w:sz w:val="24"/>
          <w:szCs w:val="24"/>
          <w:lang w:eastAsia="hi-IN"/>
        </w:rPr>
      </w:pPr>
      <w:r w:rsidRPr="000D331E">
        <w:rPr>
          <w:rFonts w:ascii="Times New Roman" w:hAnsi="Times New Roman" w:cs="Times New Roman"/>
          <w:sz w:val="24"/>
          <w:szCs w:val="24"/>
          <w:lang w:eastAsia="hi-IN"/>
        </w:rPr>
        <w:t>After 24</w:t>
      </w:r>
      <w:r>
        <w:rPr>
          <w:rFonts w:ascii="Times New Roman" w:hAnsi="Times New Roman" w:cs="Times New Roman"/>
          <w:sz w:val="24"/>
          <w:szCs w:val="24"/>
          <w:lang w:eastAsia="hi-IN"/>
        </w:rPr>
        <w:t xml:space="preserve"> </w:t>
      </w:r>
      <w:proofErr w:type="spellStart"/>
      <w:r w:rsidRPr="000D331E">
        <w:rPr>
          <w:rFonts w:ascii="Times New Roman" w:hAnsi="Times New Roman" w:cs="Times New Roman"/>
          <w:sz w:val="24"/>
          <w:szCs w:val="24"/>
          <w:lang w:eastAsia="hi-IN"/>
        </w:rPr>
        <w:t>hrs</w:t>
      </w:r>
      <w:proofErr w:type="spellEnd"/>
      <w:r w:rsidRPr="000D331E">
        <w:rPr>
          <w:rFonts w:ascii="Times New Roman" w:hAnsi="Times New Roman" w:cs="Times New Roman"/>
          <w:sz w:val="24"/>
          <w:szCs w:val="24"/>
          <w:lang w:eastAsia="hi-IN"/>
        </w:rPr>
        <w:t xml:space="preserve"> each leaf disc was inoculated by placing 50 µl of </w:t>
      </w:r>
      <w:r w:rsidRPr="000D331E">
        <w:rPr>
          <w:rFonts w:ascii="Times New Roman" w:eastAsia="Times New Roman" w:hAnsi="Times New Roman" w:cs="Times New Roman"/>
          <w:bCs/>
          <w:i/>
          <w:iCs/>
          <w:color w:val="000000"/>
          <w:sz w:val="24"/>
          <w:szCs w:val="24"/>
          <w:lang w:eastAsia="en-GB"/>
        </w:rPr>
        <w:t xml:space="preserve">Erysiphe </w:t>
      </w:r>
      <w:proofErr w:type="spellStart"/>
      <w:r w:rsidRPr="000D331E">
        <w:rPr>
          <w:rFonts w:ascii="Times New Roman" w:eastAsia="Times New Roman" w:hAnsi="Times New Roman" w:cs="Times New Roman"/>
          <w:bCs/>
          <w:i/>
          <w:iCs/>
          <w:color w:val="000000"/>
          <w:sz w:val="24"/>
          <w:szCs w:val="24"/>
          <w:lang w:eastAsia="en-GB"/>
        </w:rPr>
        <w:t>cichoracearum</w:t>
      </w:r>
      <w:proofErr w:type="spellEnd"/>
      <w:r w:rsidRPr="000D331E">
        <w:rPr>
          <w:rFonts w:ascii="Times New Roman" w:eastAsia="Times New Roman" w:hAnsi="Times New Roman" w:cs="Times New Roman"/>
          <w:bCs/>
          <w:i/>
          <w:iCs/>
          <w:color w:val="000000"/>
          <w:sz w:val="24"/>
          <w:szCs w:val="24"/>
          <w:lang w:eastAsia="en-GB"/>
        </w:rPr>
        <w:t xml:space="preserve"> </w:t>
      </w:r>
      <w:r w:rsidRPr="000D331E">
        <w:rPr>
          <w:rFonts w:ascii="Times New Roman" w:hAnsi="Times New Roman" w:cs="Times New Roman"/>
          <w:sz w:val="24"/>
          <w:szCs w:val="24"/>
          <w:lang w:eastAsia="hi-IN"/>
        </w:rPr>
        <w:t xml:space="preserve">inoculum and </w:t>
      </w:r>
      <w:r w:rsidRPr="000D331E">
        <w:rPr>
          <w:rFonts w:ascii="Times New Roman" w:hAnsi="Times New Roman" w:cs="Times New Roman"/>
          <w:sz w:val="24"/>
          <w:szCs w:val="24"/>
        </w:rPr>
        <w:t xml:space="preserve">plates were incubated overnight </w:t>
      </w:r>
      <w:r w:rsidRPr="000D331E">
        <w:rPr>
          <w:rFonts w:ascii="Times New Roman" w:hAnsi="Times New Roman" w:cs="Times New Roman"/>
          <w:sz w:val="24"/>
          <w:szCs w:val="24"/>
          <w:lang w:eastAsia="hi-IN"/>
        </w:rPr>
        <w:t>at 22 ± 2</w:t>
      </w:r>
      <w:r w:rsidRPr="000D331E">
        <w:rPr>
          <w:rFonts w:ascii="Times New Roman" w:eastAsia="MTSY" w:hAnsi="Times New Roman" w:cs="Times New Roman"/>
          <w:sz w:val="24"/>
          <w:szCs w:val="24"/>
          <w:vertAlign w:val="superscript"/>
        </w:rPr>
        <w:t>⁰</w:t>
      </w:r>
      <w:r w:rsidRPr="000D331E">
        <w:rPr>
          <w:rFonts w:ascii="Times New Roman" w:hAnsi="Times New Roman" w:cs="Times New Roman"/>
          <w:sz w:val="24"/>
          <w:szCs w:val="24"/>
        </w:rPr>
        <w:t>C, in darkness, to allow infection. The drop was removed next morning from the leaf discs by using a pipette and t</w:t>
      </w:r>
      <w:r w:rsidRPr="000D331E">
        <w:rPr>
          <w:rFonts w:ascii="Times New Roman" w:hAnsi="Times New Roman" w:cs="Times New Roman"/>
          <w:sz w:val="24"/>
          <w:szCs w:val="24"/>
          <w:lang w:eastAsia="hi-IN"/>
        </w:rPr>
        <w:t>he plates were further incubated at 22</w:t>
      </w:r>
      <w:r w:rsidRPr="000D331E">
        <w:rPr>
          <w:rFonts w:ascii="Times New Roman" w:eastAsia="MTSY" w:hAnsi="Times New Roman" w:cs="Times New Roman"/>
          <w:sz w:val="24"/>
          <w:szCs w:val="24"/>
          <w:vertAlign w:val="superscript"/>
        </w:rPr>
        <w:t>⁰</w:t>
      </w:r>
      <w:r w:rsidRPr="000D331E">
        <w:rPr>
          <w:rFonts w:ascii="Times New Roman" w:hAnsi="Times New Roman" w:cs="Times New Roman"/>
          <w:sz w:val="24"/>
          <w:szCs w:val="24"/>
        </w:rPr>
        <w:t>C</w:t>
      </w:r>
      <w:r w:rsidRPr="000D331E">
        <w:rPr>
          <w:rFonts w:ascii="Times New Roman" w:hAnsi="Times New Roman" w:cs="Times New Roman"/>
          <w:sz w:val="24"/>
          <w:szCs w:val="24"/>
          <w:lang w:eastAsia="hi-IN"/>
        </w:rPr>
        <w:t xml:space="preserve"> with interchanging periods of 12 h</w:t>
      </w:r>
      <w:r w:rsidR="00D93F3D">
        <w:rPr>
          <w:rFonts w:ascii="Times New Roman" w:hAnsi="Times New Roman" w:cs="Times New Roman"/>
          <w:sz w:val="24"/>
          <w:szCs w:val="24"/>
          <w:lang w:eastAsia="hi-IN"/>
        </w:rPr>
        <w:t>ours</w:t>
      </w:r>
      <w:r w:rsidRPr="000D331E">
        <w:rPr>
          <w:rFonts w:ascii="Times New Roman" w:hAnsi="Times New Roman" w:cs="Times New Roman"/>
          <w:sz w:val="24"/>
          <w:szCs w:val="24"/>
          <w:lang w:eastAsia="hi-IN"/>
        </w:rPr>
        <w:t xml:space="preserve"> light and darkness. </w:t>
      </w:r>
    </w:p>
    <w:p w14:paraId="2525EC2A" w14:textId="741522F4" w:rsidR="00345F90" w:rsidRPr="000D331E" w:rsidRDefault="00345F90" w:rsidP="00345F90">
      <w:pPr>
        <w:spacing w:before="120" w:after="120" w:line="360" w:lineRule="auto"/>
        <w:ind w:firstLine="720"/>
        <w:jc w:val="both"/>
        <w:rPr>
          <w:rFonts w:ascii="Times New Roman" w:hAnsi="Times New Roman" w:cs="Times New Roman"/>
          <w:sz w:val="24"/>
          <w:szCs w:val="24"/>
        </w:rPr>
      </w:pPr>
      <w:r w:rsidRPr="000D331E">
        <w:rPr>
          <w:rFonts w:ascii="Times New Roman" w:hAnsi="Times New Roman" w:cs="Times New Roman"/>
          <w:sz w:val="24"/>
          <w:szCs w:val="24"/>
        </w:rPr>
        <w:t>After 7-8 days of incubation, each leaf disc w</w:t>
      </w:r>
      <w:r w:rsidR="00D93F3D">
        <w:rPr>
          <w:rFonts w:ascii="Times New Roman" w:hAnsi="Times New Roman" w:cs="Times New Roman"/>
          <w:sz w:val="24"/>
          <w:szCs w:val="24"/>
        </w:rPr>
        <w:t>as</w:t>
      </w:r>
      <w:r w:rsidRPr="000D331E">
        <w:rPr>
          <w:rFonts w:ascii="Times New Roman" w:hAnsi="Times New Roman" w:cs="Times New Roman"/>
          <w:sz w:val="24"/>
          <w:szCs w:val="24"/>
        </w:rPr>
        <w:t xml:space="preserve"> observed under 20 × magnifications stereo microscope and scored using the scale, where</w:t>
      </w:r>
    </w:p>
    <w:tbl>
      <w:tblPr>
        <w:tblW w:w="0" w:type="auto"/>
        <w:jc w:val="center"/>
        <w:tblBorders>
          <w:top w:val="single" w:sz="4" w:space="0" w:color="auto"/>
          <w:bottom w:val="single" w:sz="4" w:space="0" w:color="auto"/>
        </w:tblBorders>
        <w:tblLook w:val="04A0" w:firstRow="1" w:lastRow="0" w:firstColumn="1" w:lastColumn="0" w:noHBand="0" w:noVBand="1"/>
      </w:tblPr>
      <w:tblGrid>
        <w:gridCol w:w="5778"/>
      </w:tblGrid>
      <w:tr w:rsidR="00345F90" w:rsidRPr="000D331E" w14:paraId="05BC16D0" w14:textId="77777777" w:rsidTr="00676757">
        <w:trPr>
          <w:jc w:val="center"/>
        </w:trPr>
        <w:tc>
          <w:tcPr>
            <w:tcW w:w="5778" w:type="dxa"/>
          </w:tcPr>
          <w:p w14:paraId="3AE1DBDA" w14:textId="77777777" w:rsidR="00345F90" w:rsidRPr="000D331E" w:rsidRDefault="00345F90" w:rsidP="00676757">
            <w:pPr>
              <w:spacing w:after="0" w:line="360" w:lineRule="auto"/>
              <w:jc w:val="both"/>
              <w:rPr>
                <w:rFonts w:ascii="Times New Roman" w:hAnsi="Times New Roman" w:cs="Times New Roman"/>
                <w:sz w:val="24"/>
                <w:szCs w:val="24"/>
              </w:rPr>
            </w:pPr>
            <w:r w:rsidRPr="000D331E">
              <w:rPr>
                <w:rFonts w:ascii="Times New Roman" w:hAnsi="Times New Roman" w:cs="Times New Roman"/>
                <w:sz w:val="24"/>
                <w:szCs w:val="24"/>
              </w:rPr>
              <w:t>0= no visible symptoms</w:t>
            </w:r>
          </w:p>
        </w:tc>
      </w:tr>
      <w:tr w:rsidR="00345F90" w:rsidRPr="000D331E" w14:paraId="412F3AE5" w14:textId="77777777" w:rsidTr="00676757">
        <w:trPr>
          <w:jc w:val="center"/>
        </w:trPr>
        <w:tc>
          <w:tcPr>
            <w:tcW w:w="5778" w:type="dxa"/>
          </w:tcPr>
          <w:p w14:paraId="1BC3CA29" w14:textId="77777777" w:rsidR="00345F90" w:rsidRPr="000D331E" w:rsidRDefault="00345F90" w:rsidP="00676757">
            <w:pPr>
              <w:spacing w:after="0" w:line="360" w:lineRule="auto"/>
              <w:jc w:val="both"/>
              <w:rPr>
                <w:rFonts w:ascii="Times New Roman" w:hAnsi="Times New Roman" w:cs="Times New Roman"/>
                <w:sz w:val="24"/>
                <w:szCs w:val="24"/>
              </w:rPr>
            </w:pPr>
            <w:r w:rsidRPr="000D331E">
              <w:rPr>
                <w:rFonts w:ascii="Times New Roman" w:hAnsi="Times New Roman" w:cs="Times New Roman"/>
                <w:sz w:val="24"/>
                <w:szCs w:val="24"/>
              </w:rPr>
              <w:t>1= infection but no sporulation</w:t>
            </w:r>
          </w:p>
        </w:tc>
      </w:tr>
      <w:tr w:rsidR="00345F90" w:rsidRPr="000D331E" w14:paraId="4DCF69B3" w14:textId="77777777" w:rsidTr="00676757">
        <w:trPr>
          <w:jc w:val="center"/>
        </w:trPr>
        <w:tc>
          <w:tcPr>
            <w:tcW w:w="5778" w:type="dxa"/>
          </w:tcPr>
          <w:p w14:paraId="4BF33F47" w14:textId="77777777" w:rsidR="00345F90" w:rsidRPr="000D331E" w:rsidRDefault="00345F90" w:rsidP="00676757">
            <w:pPr>
              <w:spacing w:after="0" w:line="360" w:lineRule="auto"/>
              <w:jc w:val="both"/>
              <w:rPr>
                <w:rFonts w:ascii="Times New Roman" w:hAnsi="Times New Roman" w:cs="Times New Roman"/>
                <w:sz w:val="24"/>
                <w:szCs w:val="24"/>
              </w:rPr>
            </w:pPr>
            <w:r w:rsidRPr="000D331E">
              <w:rPr>
                <w:rFonts w:ascii="Times New Roman" w:hAnsi="Times New Roman" w:cs="Times New Roman"/>
                <w:sz w:val="24"/>
                <w:szCs w:val="24"/>
              </w:rPr>
              <w:t>2= little sporulation, lesion size smaller than droplet size,</w:t>
            </w:r>
          </w:p>
        </w:tc>
      </w:tr>
      <w:tr w:rsidR="00345F90" w:rsidRPr="000D331E" w14:paraId="6A2512D6" w14:textId="77777777" w:rsidTr="00676757">
        <w:trPr>
          <w:jc w:val="center"/>
        </w:trPr>
        <w:tc>
          <w:tcPr>
            <w:tcW w:w="5778" w:type="dxa"/>
          </w:tcPr>
          <w:p w14:paraId="2916C8E0" w14:textId="77777777" w:rsidR="00345F90" w:rsidRPr="000D331E" w:rsidRDefault="00345F90" w:rsidP="00676757">
            <w:pPr>
              <w:spacing w:after="0" w:line="360" w:lineRule="auto"/>
              <w:jc w:val="both"/>
              <w:rPr>
                <w:rFonts w:ascii="Times New Roman" w:hAnsi="Times New Roman" w:cs="Times New Roman"/>
                <w:sz w:val="24"/>
                <w:szCs w:val="24"/>
              </w:rPr>
            </w:pPr>
            <w:r w:rsidRPr="000D331E">
              <w:rPr>
                <w:rFonts w:ascii="Times New Roman" w:hAnsi="Times New Roman" w:cs="Times New Roman"/>
                <w:sz w:val="24"/>
                <w:szCs w:val="24"/>
              </w:rPr>
              <w:t>3= sporulation, lesion size same as droplet size</w:t>
            </w:r>
          </w:p>
        </w:tc>
      </w:tr>
      <w:tr w:rsidR="00345F90" w:rsidRPr="000D331E" w14:paraId="4DC92C9B" w14:textId="77777777" w:rsidTr="00676757">
        <w:trPr>
          <w:trHeight w:val="515"/>
          <w:jc w:val="center"/>
        </w:trPr>
        <w:tc>
          <w:tcPr>
            <w:tcW w:w="5778" w:type="dxa"/>
          </w:tcPr>
          <w:p w14:paraId="2B50974D" w14:textId="77777777" w:rsidR="00345F90" w:rsidRPr="000D331E" w:rsidRDefault="00345F90" w:rsidP="00676757">
            <w:pPr>
              <w:spacing w:after="0" w:line="360" w:lineRule="auto"/>
              <w:jc w:val="both"/>
              <w:rPr>
                <w:rFonts w:ascii="Times New Roman" w:hAnsi="Times New Roman" w:cs="Times New Roman"/>
                <w:sz w:val="24"/>
                <w:szCs w:val="24"/>
              </w:rPr>
            </w:pPr>
            <w:r w:rsidRPr="000D331E">
              <w:rPr>
                <w:rFonts w:ascii="Times New Roman" w:hAnsi="Times New Roman" w:cs="Times New Roman"/>
                <w:sz w:val="24"/>
                <w:szCs w:val="24"/>
              </w:rPr>
              <w:t>4= sporulation, lesion size larger than droplet size</w:t>
            </w:r>
          </w:p>
        </w:tc>
      </w:tr>
    </w:tbl>
    <w:p w14:paraId="39C102A9" w14:textId="77777777" w:rsidR="00345F90" w:rsidRPr="000D331E" w:rsidRDefault="00345F90" w:rsidP="00345F90">
      <w:pPr>
        <w:spacing w:before="120" w:after="120" w:line="360" w:lineRule="auto"/>
        <w:ind w:firstLine="720"/>
        <w:jc w:val="both"/>
        <w:rPr>
          <w:rFonts w:ascii="Times New Roman" w:hAnsi="Times New Roman" w:cs="Times New Roman"/>
          <w:sz w:val="24"/>
          <w:szCs w:val="24"/>
        </w:rPr>
      </w:pPr>
    </w:p>
    <w:p w14:paraId="3C8FEAC1" w14:textId="497B5DF9" w:rsidR="00345F90" w:rsidRDefault="00345F90" w:rsidP="00345F90">
      <w:pPr>
        <w:spacing w:before="120" w:after="120" w:line="360" w:lineRule="auto"/>
        <w:ind w:firstLine="720"/>
        <w:jc w:val="both"/>
        <w:rPr>
          <w:rFonts w:ascii="Times New Roman" w:hAnsi="Times New Roman" w:cs="Times New Roman"/>
          <w:sz w:val="24"/>
          <w:szCs w:val="24"/>
        </w:rPr>
      </w:pPr>
      <w:r w:rsidRPr="000D331E">
        <w:rPr>
          <w:rFonts w:ascii="Times New Roman" w:hAnsi="Times New Roman" w:cs="Times New Roman"/>
          <w:sz w:val="24"/>
          <w:szCs w:val="24"/>
        </w:rPr>
        <w:t xml:space="preserve">Positive test was considered when the average rating in control leaf disc was &gt;3. </w:t>
      </w:r>
      <w:r w:rsidRPr="000D331E">
        <w:rPr>
          <w:rFonts w:ascii="Times New Roman" w:hAnsi="Times New Roman" w:cs="Times New Roman"/>
          <w:sz w:val="24"/>
          <w:szCs w:val="24"/>
          <w:lang w:eastAsia="hi-IN"/>
        </w:rPr>
        <w:t>The minimum inhibitory concentration (MIC) is defined as the concentration at which the average rating was &lt; 2 (</w:t>
      </w:r>
      <w:r w:rsidRPr="000D331E">
        <w:rPr>
          <w:rFonts w:ascii="Times New Roman" w:hAnsi="Times New Roman" w:cs="Times New Roman"/>
          <w:bCs/>
          <w:sz w:val="24"/>
          <w:szCs w:val="24"/>
        </w:rPr>
        <w:t xml:space="preserve">Giraud </w:t>
      </w:r>
      <w:r w:rsidR="00742633" w:rsidRPr="00742633">
        <w:rPr>
          <w:rFonts w:ascii="Times New Roman" w:hAnsi="Times New Roman" w:cs="Times New Roman"/>
          <w:bCs/>
          <w:i/>
          <w:iCs/>
          <w:sz w:val="24"/>
          <w:szCs w:val="24"/>
        </w:rPr>
        <w:t>et al</w:t>
      </w:r>
      <w:r w:rsidRPr="000D331E">
        <w:rPr>
          <w:rFonts w:ascii="Times New Roman" w:hAnsi="Times New Roman" w:cs="Times New Roman"/>
          <w:bCs/>
          <w:sz w:val="24"/>
          <w:szCs w:val="24"/>
        </w:rPr>
        <w:t>., 2013</w:t>
      </w:r>
      <w:r w:rsidRPr="000D331E">
        <w:rPr>
          <w:rFonts w:ascii="Times New Roman" w:hAnsi="Times New Roman" w:cs="Times New Roman"/>
          <w:sz w:val="24"/>
          <w:szCs w:val="24"/>
          <w:lang w:eastAsia="hi-IN"/>
        </w:rPr>
        <w:t>).</w:t>
      </w:r>
      <w:r w:rsidRPr="000D331E">
        <w:rPr>
          <w:rFonts w:ascii="Times New Roman" w:hAnsi="Times New Roman" w:cs="Times New Roman"/>
          <w:sz w:val="24"/>
          <w:szCs w:val="24"/>
        </w:rPr>
        <w:t xml:space="preserve"> </w:t>
      </w:r>
    </w:p>
    <w:p w14:paraId="516BD043" w14:textId="6A264B63" w:rsidR="00345F90" w:rsidRDefault="00345F90" w:rsidP="00345F90">
      <w:pPr>
        <w:spacing w:before="120" w:after="120" w:line="360"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RESULTS AND DISCUSSION</w:t>
      </w:r>
    </w:p>
    <w:p w14:paraId="20D09008" w14:textId="580CD6D7" w:rsidR="00345F90" w:rsidRPr="004F1E2B" w:rsidRDefault="00345F90" w:rsidP="00345F90">
      <w:pPr>
        <w:spacing w:line="360" w:lineRule="auto"/>
        <w:jc w:val="both"/>
        <w:rPr>
          <w:rFonts w:ascii="Times New Roman" w:hAnsi="Times New Roman" w:cs="Times New Roman"/>
          <w:b/>
          <w:bCs/>
          <w:sz w:val="24"/>
          <w:szCs w:val="24"/>
        </w:rPr>
      </w:pPr>
      <w:r w:rsidRPr="004F1E2B">
        <w:rPr>
          <w:rFonts w:ascii="Times New Roman" w:hAnsi="Times New Roman" w:cs="Times New Roman"/>
          <w:b/>
          <w:bCs/>
          <w:sz w:val="24"/>
          <w:szCs w:val="24"/>
        </w:rPr>
        <w:t xml:space="preserve">Effect of Treatments on the Disease Intensity of </w:t>
      </w:r>
      <w:r>
        <w:rPr>
          <w:rFonts w:ascii="Times New Roman" w:hAnsi="Times New Roman" w:cs="Times New Roman"/>
          <w:b/>
          <w:bCs/>
          <w:sz w:val="24"/>
          <w:szCs w:val="24"/>
        </w:rPr>
        <w:t>Powdery</w:t>
      </w:r>
      <w:r w:rsidRPr="004F1E2B">
        <w:rPr>
          <w:rFonts w:ascii="Times New Roman" w:hAnsi="Times New Roman" w:cs="Times New Roman"/>
          <w:b/>
          <w:bCs/>
          <w:sz w:val="24"/>
          <w:szCs w:val="24"/>
        </w:rPr>
        <w:t xml:space="preserve"> mildew on sponge gourd</w:t>
      </w:r>
    </w:p>
    <w:p w14:paraId="7C323DDF" w14:textId="3197DB60" w:rsidR="00345F90" w:rsidRPr="00195CD4" w:rsidRDefault="00345F90" w:rsidP="00345F90">
      <w:pPr>
        <w:spacing w:line="360" w:lineRule="auto"/>
        <w:ind w:firstLine="720"/>
        <w:jc w:val="both"/>
        <w:rPr>
          <w:rFonts w:ascii="Times New Roman" w:hAnsi="Times New Roman" w:cs="Times New Roman"/>
          <w:sz w:val="24"/>
          <w:szCs w:val="24"/>
        </w:rPr>
      </w:pPr>
      <w:r w:rsidRPr="00195CD4">
        <w:rPr>
          <w:rFonts w:ascii="Times New Roman" w:hAnsi="Times New Roman" w:cs="Times New Roman"/>
          <w:sz w:val="24"/>
          <w:szCs w:val="24"/>
        </w:rPr>
        <w:lastRenderedPageBreak/>
        <w:t xml:space="preserve">Evaluating the effectiveness of different treatments for controlling </w:t>
      </w:r>
      <w:r>
        <w:rPr>
          <w:rFonts w:ascii="Times New Roman" w:hAnsi="Times New Roman" w:cs="Times New Roman"/>
          <w:sz w:val="24"/>
          <w:szCs w:val="24"/>
        </w:rPr>
        <w:t>Powdery</w:t>
      </w:r>
      <w:r w:rsidRPr="00195CD4">
        <w:rPr>
          <w:rFonts w:ascii="Times New Roman" w:hAnsi="Times New Roman" w:cs="Times New Roman"/>
          <w:sz w:val="24"/>
          <w:szCs w:val="24"/>
        </w:rPr>
        <w:t xml:space="preserve"> </w:t>
      </w:r>
      <w:r>
        <w:rPr>
          <w:rFonts w:ascii="Times New Roman" w:hAnsi="Times New Roman" w:cs="Times New Roman"/>
          <w:sz w:val="24"/>
          <w:szCs w:val="24"/>
        </w:rPr>
        <w:t>M</w:t>
      </w:r>
      <w:r w:rsidRPr="00195CD4">
        <w:rPr>
          <w:rFonts w:ascii="Times New Roman" w:hAnsi="Times New Roman" w:cs="Times New Roman"/>
          <w:sz w:val="24"/>
          <w:szCs w:val="24"/>
        </w:rPr>
        <w:t>ildew (</w:t>
      </w:r>
      <w:r w:rsidRPr="00195CD4">
        <w:rPr>
          <w:rFonts w:ascii="Times New Roman" w:hAnsi="Times New Roman" w:cs="Times New Roman"/>
          <w:i/>
          <w:iCs/>
          <w:sz w:val="24"/>
          <w:szCs w:val="24"/>
        </w:rPr>
        <w:t xml:space="preserve">Erysiphe </w:t>
      </w:r>
      <w:proofErr w:type="spellStart"/>
      <w:r w:rsidRPr="00195CD4">
        <w:rPr>
          <w:rFonts w:ascii="Times New Roman" w:hAnsi="Times New Roman" w:cs="Times New Roman"/>
          <w:i/>
          <w:iCs/>
          <w:sz w:val="24"/>
          <w:szCs w:val="24"/>
        </w:rPr>
        <w:t>cichoracearum</w:t>
      </w:r>
      <w:proofErr w:type="spellEnd"/>
      <w:r w:rsidRPr="00195CD4">
        <w:rPr>
          <w:rFonts w:ascii="Times New Roman" w:hAnsi="Times New Roman" w:cs="Times New Roman"/>
          <w:sz w:val="24"/>
          <w:szCs w:val="24"/>
        </w:rPr>
        <w:t xml:space="preserve">) in sponge gourd during the </w:t>
      </w:r>
      <w:r w:rsidRPr="00F477D1">
        <w:rPr>
          <w:rFonts w:ascii="Times New Roman" w:hAnsi="Times New Roman" w:cs="Times New Roman"/>
          <w:i/>
          <w:iCs/>
          <w:sz w:val="24"/>
          <w:szCs w:val="24"/>
        </w:rPr>
        <w:t>Kharif</w:t>
      </w:r>
      <w:r w:rsidRPr="00195CD4">
        <w:rPr>
          <w:rFonts w:ascii="Times New Roman" w:hAnsi="Times New Roman" w:cs="Times New Roman"/>
          <w:sz w:val="24"/>
          <w:szCs w:val="24"/>
        </w:rPr>
        <w:t xml:space="preserve"> 2024 season involved measuring mean </w:t>
      </w:r>
      <w:r w:rsidR="00D9235B">
        <w:rPr>
          <w:rFonts w:ascii="Times New Roman" w:hAnsi="Times New Roman" w:cs="Times New Roman"/>
          <w:sz w:val="24"/>
          <w:szCs w:val="24"/>
        </w:rPr>
        <w:t>per cent</w:t>
      </w:r>
      <w:r w:rsidRPr="00195CD4">
        <w:rPr>
          <w:rFonts w:ascii="Times New Roman" w:hAnsi="Times New Roman" w:cs="Times New Roman"/>
          <w:sz w:val="24"/>
          <w:szCs w:val="24"/>
        </w:rPr>
        <w:t xml:space="preserve"> disease severity and </w:t>
      </w:r>
      <w:r w:rsidR="00D9235B">
        <w:rPr>
          <w:rFonts w:ascii="Times New Roman" w:hAnsi="Times New Roman" w:cs="Times New Roman"/>
          <w:sz w:val="24"/>
          <w:szCs w:val="24"/>
        </w:rPr>
        <w:t>per cent</w:t>
      </w:r>
      <w:r w:rsidRPr="00195CD4">
        <w:rPr>
          <w:rFonts w:ascii="Times New Roman" w:hAnsi="Times New Roman" w:cs="Times New Roman"/>
          <w:sz w:val="24"/>
          <w:szCs w:val="24"/>
        </w:rPr>
        <w:t xml:space="preserve"> disease control. The results, presented in Table</w:t>
      </w:r>
      <w:r>
        <w:rPr>
          <w:rFonts w:ascii="Times New Roman" w:hAnsi="Times New Roman" w:cs="Times New Roman"/>
          <w:sz w:val="24"/>
          <w:szCs w:val="24"/>
        </w:rPr>
        <w:t xml:space="preserve"> </w:t>
      </w:r>
      <w:r w:rsidR="002C62E7">
        <w:rPr>
          <w:rFonts w:ascii="Times New Roman" w:hAnsi="Times New Roman" w:cs="Times New Roman"/>
          <w:sz w:val="24"/>
          <w:szCs w:val="24"/>
        </w:rPr>
        <w:t>4</w:t>
      </w:r>
      <w:r w:rsidRPr="00195CD4">
        <w:rPr>
          <w:rFonts w:ascii="Times New Roman" w:hAnsi="Times New Roman" w:cs="Times New Roman"/>
          <w:sz w:val="24"/>
          <w:szCs w:val="24"/>
        </w:rPr>
        <w:t>, demonstrate the varying effects of fungicidal and chemical treatments.</w:t>
      </w:r>
    </w:p>
    <w:p w14:paraId="2E7C9258" w14:textId="70202915" w:rsidR="00345F90" w:rsidRPr="00182ADF" w:rsidRDefault="00345F90" w:rsidP="00345F90">
      <w:pPr>
        <w:spacing w:line="360" w:lineRule="auto"/>
        <w:ind w:left="964" w:hanging="964"/>
        <w:jc w:val="both"/>
        <w:rPr>
          <w:rFonts w:ascii="Times New Roman" w:hAnsi="Times New Roman" w:cs="Times New Roman"/>
          <w:b/>
          <w:bCs/>
          <w:sz w:val="24"/>
          <w:szCs w:val="24"/>
        </w:rPr>
      </w:pPr>
      <w:r w:rsidRPr="00340D4F">
        <w:rPr>
          <w:rFonts w:ascii="Times New Roman" w:hAnsi="Times New Roman" w:cs="Times New Roman"/>
          <w:b/>
          <w:bCs/>
          <w:sz w:val="24"/>
          <w:szCs w:val="24"/>
        </w:rPr>
        <w:t xml:space="preserve">Table </w:t>
      </w:r>
      <w:r w:rsidR="002C62E7">
        <w:rPr>
          <w:rFonts w:ascii="Times New Roman" w:hAnsi="Times New Roman" w:cs="Times New Roman"/>
          <w:b/>
          <w:bCs/>
          <w:sz w:val="24"/>
          <w:szCs w:val="24"/>
        </w:rPr>
        <w:t>4.</w:t>
      </w:r>
      <w:r>
        <w:rPr>
          <w:rFonts w:ascii="Times New Roman" w:hAnsi="Times New Roman" w:cs="Times New Roman"/>
          <w:sz w:val="24"/>
          <w:szCs w:val="24"/>
        </w:rPr>
        <w:t xml:space="preserve"> </w:t>
      </w:r>
      <w:r w:rsidRPr="00182ADF">
        <w:rPr>
          <w:rFonts w:ascii="Times New Roman" w:hAnsi="Times New Roman" w:cs="Times New Roman"/>
          <w:b/>
          <w:bCs/>
          <w:sz w:val="24"/>
          <w:szCs w:val="24"/>
        </w:rPr>
        <w:t xml:space="preserve">Impact of treatments on </w:t>
      </w:r>
      <w:r w:rsidR="00D9235B">
        <w:rPr>
          <w:rFonts w:ascii="Times New Roman" w:hAnsi="Times New Roman" w:cs="Times New Roman"/>
          <w:b/>
          <w:bCs/>
          <w:sz w:val="24"/>
          <w:szCs w:val="24"/>
        </w:rPr>
        <w:t>per cent</w:t>
      </w:r>
      <w:r w:rsidRPr="00182ADF">
        <w:rPr>
          <w:rFonts w:ascii="Times New Roman" w:hAnsi="Times New Roman" w:cs="Times New Roman"/>
          <w:b/>
          <w:bCs/>
          <w:sz w:val="24"/>
          <w:szCs w:val="24"/>
        </w:rPr>
        <w:t xml:space="preserve"> disease severity and </w:t>
      </w:r>
      <w:r w:rsidR="00D9235B">
        <w:rPr>
          <w:rFonts w:ascii="Times New Roman" w:hAnsi="Times New Roman" w:cs="Times New Roman"/>
          <w:b/>
          <w:bCs/>
          <w:sz w:val="24"/>
          <w:szCs w:val="24"/>
        </w:rPr>
        <w:t>per cent</w:t>
      </w:r>
      <w:r w:rsidRPr="00182ADF">
        <w:rPr>
          <w:rFonts w:ascii="Times New Roman" w:hAnsi="Times New Roman" w:cs="Times New Roman"/>
          <w:b/>
          <w:bCs/>
          <w:sz w:val="24"/>
          <w:szCs w:val="24"/>
        </w:rPr>
        <w:t xml:space="preserve"> disease control for powdery mildew (</w:t>
      </w:r>
      <w:r w:rsidRPr="00182ADF">
        <w:rPr>
          <w:rFonts w:ascii="Times New Roman" w:hAnsi="Times New Roman" w:cs="Times New Roman"/>
          <w:b/>
          <w:bCs/>
          <w:i/>
          <w:iCs/>
          <w:sz w:val="24"/>
          <w:szCs w:val="24"/>
        </w:rPr>
        <w:t xml:space="preserve">Erysiphe </w:t>
      </w:r>
      <w:proofErr w:type="spellStart"/>
      <w:r w:rsidRPr="00182ADF">
        <w:rPr>
          <w:rFonts w:ascii="Times New Roman" w:hAnsi="Times New Roman" w:cs="Times New Roman"/>
          <w:b/>
          <w:bCs/>
          <w:i/>
          <w:iCs/>
          <w:sz w:val="24"/>
          <w:szCs w:val="24"/>
        </w:rPr>
        <w:t>cichoracearum</w:t>
      </w:r>
      <w:proofErr w:type="spellEnd"/>
      <w:r w:rsidRPr="00182ADF">
        <w:rPr>
          <w:rFonts w:ascii="Times New Roman" w:hAnsi="Times New Roman" w:cs="Times New Roman"/>
          <w:b/>
          <w:bCs/>
          <w:sz w:val="24"/>
          <w:szCs w:val="24"/>
        </w:rPr>
        <w:t>) in sponge gourd (</w:t>
      </w:r>
      <w:r w:rsidRPr="00182ADF">
        <w:rPr>
          <w:rFonts w:ascii="Times New Roman" w:hAnsi="Times New Roman" w:cs="Times New Roman"/>
          <w:b/>
          <w:bCs/>
          <w:i/>
          <w:iCs/>
          <w:sz w:val="24"/>
          <w:szCs w:val="24"/>
        </w:rPr>
        <w:t>Kharif</w:t>
      </w:r>
      <w:r w:rsidRPr="00182ADF">
        <w:rPr>
          <w:rFonts w:ascii="Times New Roman" w:hAnsi="Times New Roman" w:cs="Times New Roman"/>
          <w:b/>
          <w:bCs/>
          <w:sz w:val="24"/>
          <w:szCs w:val="24"/>
        </w:rPr>
        <w:t xml:space="preserve"> 2024).</w:t>
      </w:r>
    </w:p>
    <w:tbl>
      <w:tblPr>
        <w:tblW w:w="8981" w:type="dxa"/>
        <w:tblLook w:val="04A0" w:firstRow="1" w:lastRow="0" w:firstColumn="1" w:lastColumn="0" w:noHBand="0" w:noVBand="1"/>
      </w:tblPr>
      <w:tblGrid>
        <w:gridCol w:w="1165"/>
        <w:gridCol w:w="4121"/>
        <w:gridCol w:w="1427"/>
        <w:gridCol w:w="2268"/>
      </w:tblGrid>
      <w:tr w:rsidR="00D93F3D" w:rsidRPr="00E43212" w14:paraId="555B93F9" w14:textId="77777777" w:rsidTr="00D93F3D">
        <w:trPr>
          <w:trHeight w:val="349"/>
        </w:trPr>
        <w:tc>
          <w:tcPr>
            <w:tcW w:w="1165" w:type="dxa"/>
            <w:tcBorders>
              <w:top w:val="single" w:sz="4" w:space="0" w:color="auto"/>
              <w:left w:val="single" w:sz="4" w:space="0" w:color="auto"/>
              <w:bottom w:val="single" w:sz="4" w:space="0" w:color="auto"/>
              <w:right w:val="single" w:sz="4" w:space="0" w:color="auto"/>
            </w:tcBorders>
            <w:noWrap/>
            <w:vAlign w:val="center"/>
            <w:hideMark/>
          </w:tcPr>
          <w:p w14:paraId="7C06F708" w14:textId="77777777" w:rsidR="00D93F3D" w:rsidRPr="00AD1361" w:rsidRDefault="00D93F3D" w:rsidP="00676757">
            <w:pPr>
              <w:spacing w:after="0" w:line="240" w:lineRule="auto"/>
              <w:jc w:val="center"/>
              <w:rPr>
                <w:rFonts w:ascii="Times New Roman" w:hAnsi="Times New Roman" w:cs="Times New Roman"/>
                <w:b/>
                <w:bCs/>
                <w:sz w:val="24"/>
                <w:szCs w:val="24"/>
              </w:rPr>
            </w:pPr>
            <w:proofErr w:type="spellStart"/>
            <w:r w:rsidRPr="00AD1361">
              <w:rPr>
                <w:rFonts w:ascii="Times New Roman" w:hAnsi="Times New Roman" w:cs="Times New Roman"/>
                <w:b/>
                <w:bCs/>
                <w:sz w:val="24"/>
                <w:szCs w:val="24"/>
              </w:rPr>
              <w:t>Tr.No</w:t>
            </w:r>
            <w:proofErr w:type="spellEnd"/>
            <w:r w:rsidRPr="00AD1361">
              <w:rPr>
                <w:rFonts w:ascii="Times New Roman" w:hAnsi="Times New Roman" w:cs="Times New Roman"/>
                <w:b/>
                <w:bCs/>
                <w:sz w:val="24"/>
                <w:szCs w:val="24"/>
              </w:rPr>
              <w:t>.</w:t>
            </w:r>
          </w:p>
        </w:tc>
        <w:tc>
          <w:tcPr>
            <w:tcW w:w="4121" w:type="dxa"/>
            <w:tcBorders>
              <w:top w:val="single" w:sz="4" w:space="0" w:color="auto"/>
              <w:left w:val="nil"/>
              <w:bottom w:val="single" w:sz="4" w:space="0" w:color="auto"/>
              <w:right w:val="single" w:sz="4" w:space="0" w:color="auto"/>
            </w:tcBorders>
            <w:noWrap/>
            <w:vAlign w:val="center"/>
            <w:hideMark/>
          </w:tcPr>
          <w:p w14:paraId="323FEF89" w14:textId="77777777" w:rsidR="00D93F3D" w:rsidRPr="00AD1361" w:rsidRDefault="00D93F3D" w:rsidP="00676757">
            <w:pPr>
              <w:spacing w:after="0" w:line="240" w:lineRule="auto"/>
              <w:jc w:val="center"/>
              <w:rPr>
                <w:rFonts w:ascii="Times New Roman" w:hAnsi="Times New Roman" w:cs="Times New Roman"/>
                <w:b/>
                <w:bCs/>
                <w:sz w:val="24"/>
                <w:szCs w:val="24"/>
              </w:rPr>
            </w:pPr>
            <w:r w:rsidRPr="00AD1361">
              <w:rPr>
                <w:rFonts w:ascii="Times New Roman" w:hAnsi="Times New Roman" w:cs="Times New Roman"/>
                <w:b/>
                <w:bCs/>
                <w:sz w:val="24"/>
                <w:szCs w:val="24"/>
              </w:rPr>
              <w:t>Treatments</w:t>
            </w:r>
          </w:p>
        </w:tc>
        <w:tc>
          <w:tcPr>
            <w:tcW w:w="1427" w:type="dxa"/>
            <w:tcBorders>
              <w:top w:val="single" w:sz="4" w:space="0" w:color="auto"/>
              <w:left w:val="nil"/>
              <w:bottom w:val="single" w:sz="4" w:space="0" w:color="auto"/>
              <w:right w:val="single" w:sz="4" w:space="0" w:color="auto"/>
            </w:tcBorders>
            <w:noWrap/>
            <w:vAlign w:val="center"/>
            <w:hideMark/>
          </w:tcPr>
          <w:p w14:paraId="59D51789" w14:textId="77777777" w:rsidR="00D93F3D" w:rsidRPr="00AD1361" w:rsidRDefault="00D93F3D" w:rsidP="00676757">
            <w:pPr>
              <w:spacing w:after="0" w:line="240" w:lineRule="auto"/>
              <w:jc w:val="center"/>
              <w:rPr>
                <w:rFonts w:ascii="Times New Roman" w:hAnsi="Times New Roman" w:cs="Times New Roman"/>
                <w:b/>
                <w:bCs/>
                <w:sz w:val="24"/>
                <w:szCs w:val="24"/>
              </w:rPr>
            </w:pPr>
            <w:r w:rsidRPr="00AD1361">
              <w:rPr>
                <w:rFonts w:ascii="Times New Roman" w:hAnsi="Times New Roman" w:cs="Times New Roman"/>
                <w:b/>
                <w:bCs/>
                <w:sz w:val="24"/>
                <w:szCs w:val="24"/>
              </w:rPr>
              <w:t>Conc.(%)</w:t>
            </w:r>
          </w:p>
        </w:tc>
        <w:tc>
          <w:tcPr>
            <w:tcW w:w="2268" w:type="dxa"/>
            <w:tcBorders>
              <w:top w:val="single" w:sz="4" w:space="0" w:color="auto"/>
              <w:left w:val="nil"/>
              <w:bottom w:val="single" w:sz="4" w:space="0" w:color="auto"/>
              <w:right w:val="single" w:sz="4" w:space="0" w:color="auto"/>
            </w:tcBorders>
            <w:noWrap/>
            <w:vAlign w:val="center"/>
            <w:hideMark/>
          </w:tcPr>
          <w:p w14:paraId="5EF4C885" w14:textId="105C94B9" w:rsidR="00D93F3D" w:rsidRPr="00AD1361" w:rsidRDefault="00D93F3D" w:rsidP="00676757">
            <w:pPr>
              <w:spacing w:after="0" w:line="240" w:lineRule="auto"/>
              <w:jc w:val="center"/>
              <w:rPr>
                <w:rFonts w:ascii="Times New Roman" w:hAnsi="Times New Roman" w:cs="Times New Roman"/>
                <w:b/>
                <w:bCs/>
                <w:sz w:val="24"/>
                <w:szCs w:val="24"/>
              </w:rPr>
            </w:pPr>
            <w:r w:rsidRPr="00AD1361">
              <w:rPr>
                <w:rFonts w:ascii="Times New Roman" w:hAnsi="Times New Roman" w:cs="Times New Roman"/>
                <w:b/>
                <w:bCs/>
                <w:sz w:val="24"/>
                <w:szCs w:val="24"/>
              </w:rPr>
              <w:t xml:space="preserve">Mean </w:t>
            </w:r>
            <w:r>
              <w:rPr>
                <w:rFonts w:ascii="Times New Roman" w:hAnsi="Times New Roman" w:cs="Times New Roman"/>
                <w:b/>
                <w:bCs/>
                <w:sz w:val="24"/>
                <w:szCs w:val="24"/>
              </w:rPr>
              <w:t>Per cent</w:t>
            </w:r>
            <w:r w:rsidRPr="00AD1361">
              <w:rPr>
                <w:rFonts w:ascii="Times New Roman" w:hAnsi="Times New Roman" w:cs="Times New Roman"/>
                <w:b/>
                <w:bCs/>
                <w:sz w:val="24"/>
                <w:szCs w:val="24"/>
              </w:rPr>
              <w:t xml:space="preserve"> disease severity</w:t>
            </w:r>
          </w:p>
        </w:tc>
      </w:tr>
      <w:tr w:rsidR="00D93F3D" w:rsidRPr="00E43212" w14:paraId="6CD30C6F" w14:textId="77777777" w:rsidTr="00D93F3D">
        <w:trPr>
          <w:trHeight w:val="349"/>
        </w:trPr>
        <w:tc>
          <w:tcPr>
            <w:tcW w:w="1165" w:type="dxa"/>
            <w:tcBorders>
              <w:top w:val="nil"/>
              <w:left w:val="single" w:sz="4" w:space="0" w:color="auto"/>
              <w:bottom w:val="single" w:sz="4" w:space="0" w:color="auto"/>
              <w:right w:val="single" w:sz="4" w:space="0" w:color="auto"/>
            </w:tcBorders>
            <w:noWrap/>
            <w:vAlign w:val="center"/>
            <w:hideMark/>
          </w:tcPr>
          <w:p w14:paraId="35489AE3" w14:textId="77777777" w:rsidR="00D93F3D" w:rsidRPr="00195CD4" w:rsidRDefault="00D93F3D" w:rsidP="00676757">
            <w:pPr>
              <w:spacing w:after="0" w:line="240" w:lineRule="auto"/>
              <w:jc w:val="center"/>
              <w:rPr>
                <w:rFonts w:ascii="Times New Roman" w:hAnsi="Times New Roman" w:cs="Times New Roman"/>
                <w:sz w:val="24"/>
                <w:szCs w:val="24"/>
              </w:rPr>
            </w:pPr>
            <w:r w:rsidRPr="00083211">
              <w:rPr>
                <w:rFonts w:ascii="Times New Roman" w:hAnsi="Times New Roman" w:cs="Times New Roman"/>
                <w:sz w:val="24"/>
                <w:szCs w:val="24"/>
              </w:rPr>
              <w:t>T₁</w:t>
            </w:r>
          </w:p>
        </w:tc>
        <w:tc>
          <w:tcPr>
            <w:tcW w:w="4121" w:type="dxa"/>
            <w:tcBorders>
              <w:top w:val="nil"/>
              <w:left w:val="nil"/>
              <w:bottom w:val="single" w:sz="4" w:space="0" w:color="auto"/>
              <w:right w:val="single" w:sz="4" w:space="0" w:color="auto"/>
            </w:tcBorders>
            <w:noWrap/>
            <w:vAlign w:val="center"/>
            <w:hideMark/>
          </w:tcPr>
          <w:p w14:paraId="3D6AD1BA" w14:textId="77777777" w:rsidR="00D93F3D" w:rsidRPr="00195CD4" w:rsidRDefault="00D93F3D" w:rsidP="00676757">
            <w:pPr>
              <w:spacing w:after="0" w:line="240" w:lineRule="auto"/>
              <w:rPr>
                <w:rFonts w:ascii="Times New Roman" w:hAnsi="Times New Roman" w:cs="Times New Roman"/>
                <w:sz w:val="24"/>
                <w:szCs w:val="24"/>
              </w:rPr>
            </w:pPr>
            <w:r w:rsidRPr="00195CD4">
              <w:rPr>
                <w:rFonts w:ascii="Times New Roman" w:hAnsi="Times New Roman" w:cs="Times New Roman"/>
                <w:sz w:val="24"/>
                <w:szCs w:val="24"/>
              </w:rPr>
              <w:t>Carbendazim 12%+ Mancozeb 63%</w:t>
            </w:r>
          </w:p>
        </w:tc>
        <w:tc>
          <w:tcPr>
            <w:tcW w:w="1427" w:type="dxa"/>
            <w:tcBorders>
              <w:top w:val="nil"/>
              <w:left w:val="nil"/>
              <w:bottom w:val="single" w:sz="4" w:space="0" w:color="auto"/>
              <w:right w:val="single" w:sz="4" w:space="0" w:color="auto"/>
            </w:tcBorders>
            <w:noWrap/>
            <w:vAlign w:val="center"/>
            <w:hideMark/>
          </w:tcPr>
          <w:p w14:paraId="45FCAF8D" w14:textId="77777777" w:rsidR="00D93F3D" w:rsidRPr="00195CD4" w:rsidRDefault="00D93F3D" w:rsidP="00676757">
            <w:pPr>
              <w:spacing w:after="0" w:line="240" w:lineRule="auto"/>
              <w:jc w:val="center"/>
              <w:rPr>
                <w:rFonts w:ascii="Times New Roman" w:hAnsi="Times New Roman" w:cs="Times New Roman"/>
                <w:sz w:val="24"/>
                <w:szCs w:val="24"/>
              </w:rPr>
            </w:pPr>
            <w:r w:rsidRPr="00195CD4">
              <w:rPr>
                <w:rFonts w:ascii="Times New Roman" w:hAnsi="Times New Roman" w:cs="Times New Roman"/>
                <w:sz w:val="24"/>
                <w:szCs w:val="24"/>
              </w:rPr>
              <w:t>0.15</w:t>
            </w:r>
          </w:p>
        </w:tc>
        <w:tc>
          <w:tcPr>
            <w:tcW w:w="2268" w:type="dxa"/>
            <w:tcBorders>
              <w:top w:val="nil"/>
              <w:left w:val="nil"/>
              <w:bottom w:val="single" w:sz="4" w:space="0" w:color="auto"/>
              <w:right w:val="single" w:sz="4" w:space="0" w:color="auto"/>
            </w:tcBorders>
            <w:noWrap/>
            <w:vAlign w:val="center"/>
            <w:hideMark/>
          </w:tcPr>
          <w:p w14:paraId="09E78C0B" w14:textId="77777777" w:rsidR="00D93F3D" w:rsidRDefault="00D93F3D" w:rsidP="00676757">
            <w:pPr>
              <w:spacing w:after="0" w:line="240" w:lineRule="auto"/>
              <w:jc w:val="center"/>
              <w:rPr>
                <w:rFonts w:ascii="Times New Roman" w:hAnsi="Times New Roman" w:cs="Times New Roman"/>
                <w:sz w:val="24"/>
                <w:szCs w:val="24"/>
              </w:rPr>
            </w:pPr>
            <w:r w:rsidRPr="00C80650">
              <w:rPr>
                <w:rFonts w:ascii="Times New Roman" w:hAnsi="Times New Roman" w:cs="Times New Roman"/>
                <w:sz w:val="24"/>
                <w:szCs w:val="24"/>
              </w:rPr>
              <w:t>19.21</w:t>
            </w:r>
          </w:p>
          <w:p w14:paraId="12F430FB" w14:textId="77777777" w:rsidR="00D93F3D" w:rsidRPr="00195CD4" w:rsidRDefault="00D93F3D" w:rsidP="006767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(25.86)</w:t>
            </w:r>
          </w:p>
        </w:tc>
      </w:tr>
      <w:tr w:rsidR="00D93F3D" w:rsidRPr="00E43212" w14:paraId="662C339A" w14:textId="77777777" w:rsidTr="00D93F3D">
        <w:trPr>
          <w:trHeight w:val="349"/>
        </w:trPr>
        <w:tc>
          <w:tcPr>
            <w:tcW w:w="1165" w:type="dxa"/>
            <w:tcBorders>
              <w:top w:val="nil"/>
              <w:left w:val="single" w:sz="4" w:space="0" w:color="auto"/>
              <w:bottom w:val="single" w:sz="4" w:space="0" w:color="auto"/>
              <w:right w:val="single" w:sz="4" w:space="0" w:color="auto"/>
            </w:tcBorders>
            <w:noWrap/>
            <w:vAlign w:val="center"/>
            <w:hideMark/>
          </w:tcPr>
          <w:p w14:paraId="779102CB" w14:textId="77777777" w:rsidR="00D93F3D" w:rsidRPr="00195CD4" w:rsidRDefault="00D93F3D" w:rsidP="00676757">
            <w:pPr>
              <w:spacing w:after="0" w:line="240" w:lineRule="auto"/>
              <w:jc w:val="center"/>
              <w:rPr>
                <w:rFonts w:ascii="Times New Roman" w:hAnsi="Times New Roman" w:cs="Times New Roman"/>
                <w:sz w:val="24"/>
                <w:szCs w:val="24"/>
              </w:rPr>
            </w:pPr>
            <w:r w:rsidRPr="00083211">
              <w:rPr>
                <w:rFonts w:ascii="Times New Roman" w:hAnsi="Times New Roman" w:cs="Times New Roman"/>
                <w:sz w:val="24"/>
                <w:szCs w:val="24"/>
              </w:rPr>
              <w:t>T₂</w:t>
            </w:r>
          </w:p>
        </w:tc>
        <w:tc>
          <w:tcPr>
            <w:tcW w:w="4121" w:type="dxa"/>
            <w:tcBorders>
              <w:top w:val="nil"/>
              <w:left w:val="nil"/>
              <w:bottom w:val="single" w:sz="4" w:space="0" w:color="auto"/>
              <w:right w:val="single" w:sz="4" w:space="0" w:color="auto"/>
            </w:tcBorders>
            <w:noWrap/>
            <w:vAlign w:val="center"/>
            <w:hideMark/>
          </w:tcPr>
          <w:p w14:paraId="11252B59" w14:textId="77777777" w:rsidR="00D93F3D" w:rsidRPr="00195CD4" w:rsidRDefault="00D93F3D" w:rsidP="00676757">
            <w:pPr>
              <w:spacing w:after="0" w:line="240" w:lineRule="auto"/>
              <w:rPr>
                <w:rFonts w:ascii="Times New Roman" w:hAnsi="Times New Roman" w:cs="Times New Roman"/>
                <w:sz w:val="24"/>
                <w:szCs w:val="24"/>
              </w:rPr>
            </w:pPr>
            <w:r w:rsidRPr="00195CD4">
              <w:rPr>
                <w:rFonts w:ascii="Times New Roman" w:hAnsi="Times New Roman" w:cs="Times New Roman"/>
                <w:sz w:val="24"/>
                <w:szCs w:val="24"/>
              </w:rPr>
              <w:t>Azoxystrobin 4.8% w/w + Chlorothalonil 40% w/w SC</w:t>
            </w:r>
          </w:p>
        </w:tc>
        <w:tc>
          <w:tcPr>
            <w:tcW w:w="1427" w:type="dxa"/>
            <w:tcBorders>
              <w:top w:val="nil"/>
              <w:left w:val="nil"/>
              <w:bottom w:val="single" w:sz="4" w:space="0" w:color="auto"/>
              <w:right w:val="single" w:sz="4" w:space="0" w:color="auto"/>
            </w:tcBorders>
            <w:noWrap/>
            <w:vAlign w:val="center"/>
            <w:hideMark/>
          </w:tcPr>
          <w:p w14:paraId="59FCA3B6" w14:textId="77777777" w:rsidR="00D93F3D" w:rsidRPr="00195CD4" w:rsidRDefault="00D93F3D" w:rsidP="00676757">
            <w:pPr>
              <w:spacing w:after="0" w:line="240" w:lineRule="auto"/>
              <w:jc w:val="center"/>
              <w:rPr>
                <w:rFonts w:ascii="Times New Roman" w:hAnsi="Times New Roman" w:cs="Times New Roman"/>
                <w:sz w:val="24"/>
                <w:szCs w:val="24"/>
              </w:rPr>
            </w:pPr>
            <w:r w:rsidRPr="00195CD4">
              <w:rPr>
                <w:rFonts w:ascii="Times New Roman" w:hAnsi="Times New Roman" w:cs="Times New Roman"/>
                <w:sz w:val="24"/>
                <w:szCs w:val="24"/>
              </w:rPr>
              <w:t>0.6</w:t>
            </w:r>
          </w:p>
        </w:tc>
        <w:tc>
          <w:tcPr>
            <w:tcW w:w="2268" w:type="dxa"/>
            <w:tcBorders>
              <w:top w:val="nil"/>
              <w:left w:val="nil"/>
              <w:bottom w:val="single" w:sz="4" w:space="0" w:color="auto"/>
              <w:right w:val="single" w:sz="4" w:space="0" w:color="auto"/>
            </w:tcBorders>
            <w:noWrap/>
            <w:vAlign w:val="center"/>
            <w:hideMark/>
          </w:tcPr>
          <w:p w14:paraId="4C2167AA" w14:textId="77777777" w:rsidR="00D93F3D" w:rsidRDefault="00D93F3D" w:rsidP="00676757">
            <w:pPr>
              <w:spacing w:after="0" w:line="240" w:lineRule="auto"/>
              <w:jc w:val="center"/>
              <w:rPr>
                <w:rFonts w:ascii="Times New Roman" w:hAnsi="Times New Roman" w:cs="Times New Roman"/>
                <w:sz w:val="24"/>
                <w:szCs w:val="24"/>
              </w:rPr>
            </w:pPr>
            <w:r w:rsidRPr="00C80650">
              <w:rPr>
                <w:rFonts w:ascii="Times New Roman" w:hAnsi="Times New Roman" w:cs="Times New Roman"/>
                <w:sz w:val="24"/>
                <w:szCs w:val="24"/>
              </w:rPr>
              <w:t>18.76</w:t>
            </w:r>
          </w:p>
          <w:p w14:paraId="3892C9D6" w14:textId="77777777" w:rsidR="00D93F3D" w:rsidRPr="00195CD4" w:rsidRDefault="00D93F3D" w:rsidP="006767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(25.48)</w:t>
            </w:r>
          </w:p>
        </w:tc>
      </w:tr>
      <w:tr w:rsidR="00D93F3D" w:rsidRPr="00E43212" w14:paraId="2124ACB9" w14:textId="77777777" w:rsidTr="00D93F3D">
        <w:trPr>
          <w:trHeight w:val="349"/>
        </w:trPr>
        <w:tc>
          <w:tcPr>
            <w:tcW w:w="1165" w:type="dxa"/>
            <w:tcBorders>
              <w:top w:val="nil"/>
              <w:left w:val="single" w:sz="4" w:space="0" w:color="auto"/>
              <w:bottom w:val="single" w:sz="4" w:space="0" w:color="auto"/>
              <w:right w:val="single" w:sz="4" w:space="0" w:color="auto"/>
            </w:tcBorders>
            <w:noWrap/>
            <w:vAlign w:val="center"/>
            <w:hideMark/>
          </w:tcPr>
          <w:p w14:paraId="48C47B14" w14:textId="77777777" w:rsidR="00D93F3D" w:rsidRPr="00195CD4" w:rsidRDefault="00D93F3D" w:rsidP="00676757">
            <w:pPr>
              <w:spacing w:after="0" w:line="240" w:lineRule="auto"/>
              <w:jc w:val="center"/>
              <w:rPr>
                <w:rFonts w:ascii="Times New Roman" w:hAnsi="Times New Roman" w:cs="Times New Roman"/>
                <w:sz w:val="24"/>
                <w:szCs w:val="24"/>
              </w:rPr>
            </w:pPr>
            <w:r w:rsidRPr="00083211">
              <w:rPr>
                <w:rFonts w:ascii="Times New Roman" w:hAnsi="Times New Roman" w:cs="Times New Roman"/>
                <w:sz w:val="24"/>
                <w:szCs w:val="24"/>
              </w:rPr>
              <w:t>T₃</w:t>
            </w:r>
          </w:p>
        </w:tc>
        <w:tc>
          <w:tcPr>
            <w:tcW w:w="4121" w:type="dxa"/>
            <w:tcBorders>
              <w:top w:val="nil"/>
              <w:left w:val="nil"/>
              <w:bottom w:val="single" w:sz="4" w:space="0" w:color="auto"/>
              <w:right w:val="single" w:sz="4" w:space="0" w:color="auto"/>
            </w:tcBorders>
            <w:noWrap/>
            <w:vAlign w:val="center"/>
            <w:hideMark/>
          </w:tcPr>
          <w:p w14:paraId="34B289D4" w14:textId="77777777" w:rsidR="00D93F3D" w:rsidRPr="00195CD4" w:rsidRDefault="00D93F3D" w:rsidP="00676757">
            <w:pPr>
              <w:spacing w:after="0" w:line="240" w:lineRule="auto"/>
              <w:rPr>
                <w:rFonts w:ascii="Times New Roman" w:hAnsi="Times New Roman" w:cs="Times New Roman"/>
                <w:sz w:val="24"/>
                <w:szCs w:val="24"/>
              </w:rPr>
            </w:pPr>
            <w:r w:rsidRPr="00195CD4">
              <w:rPr>
                <w:rFonts w:ascii="Times New Roman" w:hAnsi="Times New Roman" w:cs="Times New Roman"/>
                <w:sz w:val="24"/>
                <w:szCs w:val="24"/>
              </w:rPr>
              <w:t>Azoxystrobin 11% w/w + Tebuconazole 18.3</w:t>
            </w:r>
          </w:p>
        </w:tc>
        <w:tc>
          <w:tcPr>
            <w:tcW w:w="1427" w:type="dxa"/>
            <w:tcBorders>
              <w:top w:val="nil"/>
              <w:left w:val="nil"/>
              <w:bottom w:val="single" w:sz="4" w:space="0" w:color="auto"/>
              <w:right w:val="single" w:sz="4" w:space="0" w:color="auto"/>
            </w:tcBorders>
            <w:noWrap/>
            <w:vAlign w:val="center"/>
            <w:hideMark/>
          </w:tcPr>
          <w:p w14:paraId="405E6282" w14:textId="77777777" w:rsidR="00D93F3D" w:rsidRPr="00195CD4" w:rsidRDefault="00D93F3D" w:rsidP="00676757">
            <w:pPr>
              <w:spacing w:after="0" w:line="240" w:lineRule="auto"/>
              <w:jc w:val="center"/>
              <w:rPr>
                <w:rFonts w:ascii="Times New Roman" w:hAnsi="Times New Roman" w:cs="Times New Roman"/>
                <w:sz w:val="24"/>
                <w:szCs w:val="24"/>
              </w:rPr>
            </w:pPr>
            <w:r w:rsidRPr="00195CD4">
              <w:rPr>
                <w:rFonts w:ascii="Times New Roman" w:hAnsi="Times New Roman" w:cs="Times New Roman"/>
                <w:sz w:val="24"/>
                <w:szCs w:val="24"/>
              </w:rPr>
              <w:t>0.15</w:t>
            </w:r>
          </w:p>
        </w:tc>
        <w:tc>
          <w:tcPr>
            <w:tcW w:w="2268" w:type="dxa"/>
            <w:tcBorders>
              <w:top w:val="nil"/>
              <w:left w:val="nil"/>
              <w:bottom w:val="single" w:sz="4" w:space="0" w:color="auto"/>
              <w:right w:val="single" w:sz="4" w:space="0" w:color="auto"/>
            </w:tcBorders>
            <w:noWrap/>
            <w:vAlign w:val="center"/>
            <w:hideMark/>
          </w:tcPr>
          <w:p w14:paraId="7FF5DC8E" w14:textId="77777777" w:rsidR="00D93F3D" w:rsidRDefault="00D93F3D" w:rsidP="00676757">
            <w:pPr>
              <w:spacing w:after="0" w:line="240" w:lineRule="auto"/>
              <w:jc w:val="center"/>
              <w:rPr>
                <w:rFonts w:ascii="Times New Roman" w:hAnsi="Times New Roman" w:cs="Times New Roman"/>
                <w:sz w:val="24"/>
                <w:szCs w:val="24"/>
              </w:rPr>
            </w:pPr>
            <w:r w:rsidRPr="00C80650">
              <w:rPr>
                <w:rFonts w:ascii="Times New Roman" w:hAnsi="Times New Roman" w:cs="Times New Roman"/>
                <w:sz w:val="24"/>
                <w:szCs w:val="24"/>
              </w:rPr>
              <w:t>12.28</w:t>
            </w:r>
          </w:p>
          <w:p w14:paraId="161B30CB" w14:textId="77777777" w:rsidR="00D93F3D" w:rsidRPr="00195CD4" w:rsidRDefault="00D93F3D" w:rsidP="006767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(20.41)</w:t>
            </w:r>
          </w:p>
        </w:tc>
      </w:tr>
      <w:tr w:rsidR="00D93F3D" w:rsidRPr="00E43212" w14:paraId="2CCBF963" w14:textId="77777777" w:rsidTr="00D93F3D">
        <w:trPr>
          <w:trHeight w:val="349"/>
        </w:trPr>
        <w:tc>
          <w:tcPr>
            <w:tcW w:w="1165" w:type="dxa"/>
            <w:tcBorders>
              <w:top w:val="nil"/>
              <w:left w:val="single" w:sz="4" w:space="0" w:color="auto"/>
              <w:bottom w:val="single" w:sz="4" w:space="0" w:color="auto"/>
              <w:right w:val="single" w:sz="4" w:space="0" w:color="auto"/>
            </w:tcBorders>
            <w:noWrap/>
            <w:vAlign w:val="center"/>
            <w:hideMark/>
          </w:tcPr>
          <w:p w14:paraId="1702F054" w14:textId="77777777" w:rsidR="00D93F3D" w:rsidRPr="00195CD4" w:rsidRDefault="00D93F3D" w:rsidP="00676757">
            <w:pPr>
              <w:spacing w:after="0" w:line="240" w:lineRule="auto"/>
              <w:jc w:val="center"/>
              <w:rPr>
                <w:rFonts w:ascii="Times New Roman" w:hAnsi="Times New Roman" w:cs="Times New Roman"/>
                <w:sz w:val="24"/>
                <w:szCs w:val="24"/>
              </w:rPr>
            </w:pPr>
            <w:r w:rsidRPr="00083211">
              <w:rPr>
                <w:rFonts w:ascii="Times New Roman" w:hAnsi="Times New Roman" w:cs="Times New Roman"/>
                <w:sz w:val="24"/>
                <w:szCs w:val="24"/>
              </w:rPr>
              <w:t>T₄</w:t>
            </w:r>
          </w:p>
        </w:tc>
        <w:tc>
          <w:tcPr>
            <w:tcW w:w="4121" w:type="dxa"/>
            <w:tcBorders>
              <w:top w:val="nil"/>
              <w:left w:val="nil"/>
              <w:bottom w:val="single" w:sz="4" w:space="0" w:color="auto"/>
              <w:right w:val="single" w:sz="4" w:space="0" w:color="auto"/>
            </w:tcBorders>
            <w:noWrap/>
            <w:vAlign w:val="center"/>
            <w:hideMark/>
          </w:tcPr>
          <w:p w14:paraId="66CA860E" w14:textId="77777777" w:rsidR="00D93F3D" w:rsidRPr="00195CD4" w:rsidRDefault="00D93F3D" w:rsidP="00676757">
            <w:pPr>
              <w:spacing w:after="0" w:line="240" w:lineRule="auto"/>
              <w:rPr>
                <w:rFonts w:ascii="Times New Roman" w:hAnsi="Times New Roman" w:cs="Times New Roman"/>
                <w:sz w:val="24"/>
                <w:szCs w:val="24"/>
              </w:rPr>
            </w:pPr>
            <w:r w:rsidRPr="00195CD4">
              <w:rPr>
                <w:rFonts w:ascii="Times New Roman" w:hAnsi="Times New Roman" w:cs="Times New Roman"/>
                <w:sz w:val="24"/>
                <w:szCs w:val="24"/>
              </w:rPr>
              <w:t>Aureofungin 46.25 w/w SP</w:t>
            </w:r>
          </w:p>
        </w:tc>
        <w:tc>
          <w:tcPr>
            <w:tcW w:w="1427" w:type="dxa"/>
            <w:tcBorders>
              <w:top w:val="nil"/>
              <w:left w:val="nil"/>
              <w:bottom w:val="single" w:sz="4" w:space="0" w:color="auto"/>
              <w:right w:val="single" w:sz="4" w:space="0" w:color="auto"/>
            </w:tcBorders>
            <w:noWrap/>
            <w:vAlign w:val="center"/>
            <w:hideMark/>
          </w:tcPr>
          <w:p w14:paraId="0285A221" w14:textId="77777777" w:rsidR="00D93F3D" w:rsidRPr="00195CD4" w:rsidRDefault="00D93F3D" w:rsidP="00676757">
            <w:pPr>
              <w:spacing w:after="0" w:line="240" w:lineRule="auto"/>
              <w:jc w:val="center"/>
              <w:rPr>
                <w:rFonts w:ascii="Times New Roman" w:hAnsi="Times New Roman" w:cs="Times New Roman"/>
                <w:sz w:val="24"/>
                <w:szCs w:val="24"/>
              </w:rPr>
            </w:pPr>
            <w:r w:rsidRPr="00195CD4">
              <w:rPr>
                <w:rFonts w:ascii="Times New Roman" w:hAnsi="Times New Roman" w:cs="Times New Roman"/>
                <w:sz w:val="24"/>
                <w:szCs w:val="24"/>
              </w:rPr>
              <w:t>0.005</w:t>
            </w:r>
          </w:p>
        </w:tc>
        <w:tc>
          <w:tcPr>
            <w:tcW w:w="2268" w:type="dxa"/>
            <w:tcBorders>
              <w:top w:val="nil"/>
              <w:left w:val="nil"/>
              <w:bottom w:val="single" w:sz="4" w:space="0" w:color="auto"/>
              <w:right w:val="single" w:sz="4" w:space="0" w:color="auto"/>
            </w:tcBorders>
            <w:noWrap/>
            <w:vAlign w:val="center"/>
            <w:hideMark/>
          </w:tcPr>
          <w:p w14:paraId="5BA973B3" w14:textId="77777777" w:rsidR="00D93F3D" w:rsidRDefault="00D93F3D" w:rsidP="00676757">
            <w:pPr>
              <w:spacing w:after="0" w:line="240" w:lineRule="auto"/>
              <w:jc w:val="center"/>
              <w:rPr>
                <w:rFonts w:ascii="Times New Roman" w:hAnsi="Times New Roman" w:cs="Times New Roman"/>
                <w:sz w:val="24"/>
                <w:szCs w:val="24"/>
              </w:rPr>
            </w:pPr>
            <w:r w:rsidRPr="00C80650">
              <w:rPr>
                <w:rFonts w:ascii="Times New Roman" w:hAnsi="Times New Roman" w:cs="Times New Roman"/>
                <w:sz w:val="24"/>
                <w:szCs w:val="24"/>
              </w:rPr>
              <w:t>31.51</w:t>
            </w:r>
          </w:p>
          <w:p w14:paraId="0EC87E36" w14:textId="77777777" w:rsidR="00D93F3D" w:rsidRPr="00195CD4" w:rsidRDefault="00D93F3D" w:rsidP="006767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(34.07)</w:t>
            </w:r>
          </w:p>
        </w:tc>
      </w:tr>
      <w:tr w:rsidR="00D93F3D" w:rsidRPr="00E43212" w14:paraId="45B8859D" w14:textId="77777777" w:rsidTr="00D93F3D">
        <w:trPr>
          <w:trHeight w:val="349"/>
        </w:trPr>
        <w:tc>
          <w:tcPr>
            <w:tcW w:w="1165" w:type="dxa"/>
            <w:tcBorders>
              <w:top w:val="nil"/>
              <w:left w:val="single" w:sz="4" w:space="0" w:color="auto"/>
              <w:bottom w:val="single" w:sz="4" w:space="0" w:color="auto"/>
              <w:right w:val="single" w:sz="4" w:space="0" w:color="auto"/>
            </w:tcBorders>
            <w:noWrap/>
            <w:vAlign w:val="center"/>
            <w:hideMark/>
          </w:tcPr>
          <w:p w14:paraId="282B275A" w14:textId="77777777" w:rsidR="00D93F3D" w:rsidRPr="00195CD4" w:rsidRDefault="00D93F3D" w:rsidP="00676757">
            <w:pPr>
              <w:spacing w:after="0" w:line="240" w:lineRule="auto"/>
              <w:jc w:val="center"/>
              <w:rPr>
                <w:rFonts w:ascii="Times New Roman" w:hAnsi="Times New Roman" w:cs="Times New Roman"/>
                <w:sz w:val="24"/>
                <w:szCs w:val="24"/>
              </w:rPr>
            </w:pPr>
            <w:r w:rsidRPr="00083211">
              <w:rPr>
                <w:rFonts w:ascii="Times New Roman" w:hAnsi="Times New Roman" w:cs="Times New Roman"/>
                <w:sz w:val="24"/>
                <w:szCs w:val="24"/>
              </w:rPr>
              <w:t>T₅</w:t>
            </w:r>
          </w:p>
        </w:tc>
        <w:tc>
          <w:tcPr>
            <w:tcW w:w="4121" w:type="dxa"/>
            <w:tcBorders>
              <w:top w:val="nil"/>
              <w:left w:val="nil"/>
              <w:bottom w:val="single" w:sz="4" w:space="0" w:color="auto"/>
              <w:right w:val="single" w:sz="4" w:space="0" w:color="auto"/>
            </w:tcBorders>
            <w:noWrap/>
            <w:vAlign w:val="center"/>
            <w:hideMark/>
          </w:tcPr>
          <w:p w14:paraId="1A91801D" w14:textId="77777777" w:rsidR="00D93F3D" w:rsidRPr="00195CD4" w:rsidRDefault="00D93F3D" w:rsidP="00676757">
            <w:pPr>
              <w:spacing w:after="0" w:line="240" w:lineRule="auto"/>
              <w:rPr>
                <w:rFonts w:ascii="Times New Roman" w:hAnsi="Times New Roman" w:cs="Times New Roman"/>
                <w:sz w:val="24"/>
                <w:szCs w:val="24"/>
              </w:rPr>
            </w:pPr>
            <w:r w:rsidRPr="00195CD4">
              <w:rPr>
                <w:rFonts w:ascii="Times New Roman" w:hAnsi="Times New Roman" w:cs="Times New Roman"/>
                <w:sz w:val="24"/>
                <w:szCs w:val="24"/>
              </w:rPr>
              <w:t>Copper sulphate 47.15 + Mancozeb 30% WDG</w:t>
            </w:r>
          </w:p>
        </w:tc>
        <w:tc>
          <w:tcPr>
            <w:tcW w:w="1427" w:type="dxa"/>
            <w:tcBorders>
              <w:top w:val="nil"/>
              <w:left w:val="nil"/>
              <w:bottom w:val="single" w:sz="4" w:space="0" w:color="auto"/>
              <w:right w:val="single" w:sz="4" w:space="0" w:color="auto"/>
            </w:tcBorders>
            <w:noWrap/>
            <w:vAlign w:val="center"/>
            <w:hideMark/>
          </w:tcPr>
          <w:p w14:paraId="5AEC98E6" w14:textId="77777777" w:rsidR="00D93F3D" w:rsidRPr="00195CD4" w:rsidRDefault="00D93F3D" w:rsidP="00676757">
            <w:pPr>
              <w:spacing w:after="0" w:line="240" w:lineRule="auto"/>
              <w:jc w:val="center"/>
              <w:rPr>
                <w:rFonts w:ascii="Times New Roman" w:hAnsi="Times New Roman" w:cs="Times New Roman"/>
                <w:sz w:val="24"/>
                <w:szCs w:val="24"/>
              </w:rPr>
            </w:pPr>
            <w:r w:rsidRPr="00195CD4">
              <w:rPr>
                <w:rFonts w:ascii="Times New Roman" w:hAnsi="Times New Roman" w:cs="Times New Roman"/>
                <w:sz w:val="24"/>
                <w:szCs w:val="24"/>
              </w:rPr>
              <w:t>0.5</w:t>
            </w:r>
          </w:p>
        </w:tc>
        <w:tc>
          <w:tcPr>
            <w:tcW w:w="2268" w:type="dxa"/>
            <w:tcBorders>
              <w:top w:val="nil"/>
              <w:left w:val="nil"/>
              <w:bottom w:val="single" w:sz="4" w:space="0" w:color="auto"/>
              <w:right w:val="single" w:sz="4" w:space="0" w:color="auto"/>
            </w:tcBorders>
            <w:noWrap/>
            <w:vAlign w:val="center"/>
            <w:hideMark/>
          </w:tcPr>
          <w:p w14:paraId="41B28A85" w14:textId="77777777" w:rsidR="00D93F3D" w:rsidRDefault="00D93F3D" w:rsidP="00676757">
            <w:pPr>
              <w:spacing w:after="0" w:line="240" w:lineRule="auto"/>
              <w:jc w:val="center"/>
              <w:rPr>
                <w:rFonts w:ascii="Times New Roman" w:hAnsi="Times New Roman" w:cs="Times New Roman"/>
                <w:sz w:val="24"/>
                <w:szCs w:val="24"/>
              </w:rPr>
            </w:pPr>
            <w:r w:rsidRPr="00C80650">
              <w:rPr>
                <w:rFonts w:ascii="Times New Roman" w:hAnsi="Times New Roman" w:cs="Times New Roman"/>
                <w:sz w:val="24"/>
                <w:szCs w:val="24"/>
              </w:rPr>
              <w:t>27.14</w:t>
            </w:r>
          </w:p>
          <w:p w14:paraId="7978D76C" w14:textId="77777777" w:rsidR="00D93F3D" w:rsidRPr="00195CD4" w:rsidRDefault="00D93F3D" w:rsidP="006767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(31.18)</w:t>
            </w:r>
          </w:p>
        </w:tc>
      </w:tr>
      <w:tr w:rsidR="00D93F3D" w:rsidRPr="00E43212" w14:paraId="5A42BB5A" w14:textId="77777777" w:rsidTr="00D93F3D">
        <w:trPr>
          <w:trHeight w:val="349"/>
        </w:trPr>
        <w:tc>
          <w:tcPr>
            <w:tcW w:w="1165" w:type="dxa"/>
            <w:tcBorders>
              <w:top w:val="nil"/>
              <w:left w:val="single" w:sz="4" w:space="0" w:color="auto"/>
              <w:bottom w:val="single" w:sz="4" w:space="0" w:color="auto"/>
              <w:right w:val="single" w:sz="4" w:space="0" w:color="auto"/>
            </w:tcBorders>
            <w:noWrap/>
            <w:vAlign w:val="center"/>
            <w:hideMark/>
          </w:tcPr>
          <w:p w14:paraId="52EABBB0" w14:textId="77777777" w:rsidR="00D93F3D" w:rsidRPr="00195CD4" w:rsidRDefault="00D93F3D" w:rsidP="00676757">
            <w:pPr>
              <w:spacing w:after="0" w:line="240" w:lineRule="auto"/>
              <w:jc w:val="center"/>
              <w:rPr>
                <w:rFonts w:ascii="Times New Roman" w:hAnsi="Times New Roman" w:cs="Times New Roman"/>
                <w:sz w:val="24"/>
                <w:szCs w:val="24"/>
              </w:rPr>
            </w:pPr>
            <w:r w:rsidRPr="00083211">
              <w:rPr>
                <w:rFonts w:ascii="Times New Roman" w:hAnsi="Times New Roman" w:cs="Times New Roman"/>
                <w:sz w:val="24"/>
                <w:szCs w:val="24"/>
              </w:rPr>
              <w:t>T₆</w:t>
            </w:r>
          </w:p>
        </w:tc>
        <w:tc>
          <w:tcPr>
            <w:tcW w:w="4121" w:type="dxa"/>
            <w:tcBorders>
              <w:top w:val="nil"/>
              <w:left w:val="nil"/>
              <w:bottom w:val="single" w:sz="4" w:space="0" w:color="auto"/>
              <w:right w:val="single" w:sz="4" w:space="0" w:color="auto"/>
            </w:tcBorders>
            <w:noWrap/>
            <w:vAlign w:val="center"/>
            <w:hideMark/>
          </w:tcPr>
          <w:p w14:paraId="122F3F1C" w14:textId="77777777" w:rsidR="00D93F3D" w:rsidRPr="00195CD4" w:rsidRDefault="00D93F3D" w:rsidP="00676757">
            <w:pPr>
              <w:spacing w:after="0" w:line="240" w:lineRule="auto"/>
              <w:rPr>
                <w:rFonts w:ascii="Times New Roman" w:hAnsi="Times New Roman" w:cs="Times New Roman"/>
                <w:sz w:val="24"/>
                <w:szCs w:val="24"/>
              </w:rPr>
            </w:pPr>
            <w:proofErr w:type="spellStart"/>
            <w:r w:rsidRPr="00195CD4">
              <w:rPr>
                <w:rFonts w:ascii="Times New Roman" w:hAnsi="Times New Roman" w:cs="Times New Roman"/>
                <w:sz w:val="24"/>
                <w:szCs w:val="24"/>
              </w:rPr>
              <w:t>Kresoxim</w:t>
            </w:r>
            <w:proofErr w:type="spellEnd"/>
            <w:r w:rsidRPr="00195CD4">
              <w:rPr>
                <w:rFonts w:ascii="Times New Roman" w:hAnsi="Times New Roman" w:cs="Times New Roman"/>
                <w:sz w:val="24"/>
                <w:szCs w:val="24"/>
              </w:rPr>
              <w:t xml:space="preserve"> methyl 18% +Mancozeb 54% WP</w:t>
            </w:r>
          </w:p>
        </w:tc>
        <w:tc>
          <w:tcPr>
            <w:tcW w:w="1427" w:type="dxa"/>
            <w:tcBorders>
              <w:top w:val="nil"/>
              <w:left w:val="nil"/>
              <w:bottom w:val="single" w:sz="4" w:space="0" w:color="auto"/>
              <w:right w:val="single" w:sz="4" w:space="0" w:color="auto"/>
            </w:tcBorders>
            <w:noWrap/>
            <w:vAlign w:val="center"/>
            <w:hideMark/>
          </w:tcPr>
          <w:p w14:paraId="3994C56D" w14:textId="77777777" w:rsidR="00D93F3D" w:rsidRPr="00195CD4" w:rsidRDefault="00D93F3D" w:rsidP="00676757">
            <w:pPr>
              <w:spacing w:after="0" w:line="240" w:lineRule="auto"/>
              <w:jc w:val="center"/>
              <w:rPr>
                <w:rFonts w:ascii="Times New Roman" w:hAnsi="Times New Roman" w:cs="Times New Roman"/>
                <w:sz w:val="24"/>
                <w:szCs w:val="24"/>
              </w:rPr>
            </w:pPr>
            <w:r w:rsidRPr="00195CD4">
              <w:rPr>
                <w:rFonts w:ascii="Times New Roman" w:hAnsi="Times New Roman" w:cs="Times New Roman"/>
                <w:sz w:val="24"/>
                <w:szCs w:val="24"/>
              </w:rPr>
              <w:t>0.2</w:t>
            </w:r>
          </w:p>
        </w:tc>
        <w:tc>
          <w:tcPr>
            <w:tcW w:w="2268" w:type="dxa"/>
            <w:tcBorders>
              <w:top w:val="nil"/>
              <w:left w:val="nil"/>
              <w:bottom w:val="single" w:sz="4" w:space="0" w:color="auto"/>
              <w:right w:val="single" w:sz="4" w:space="0" w:color="auto"/>
            </w:tcBorders>
            <w:noWrap/>
            <w:vAlign w:val="center"/>
            <w:hideMark/>
          </w:tcPr>
          <w:p w14:paraId="1B66BF8A" w14:textId="77777777" w:rsidR="00D93F3D" w:rsidRDefault="00D93F3D" w:rsidP="00676757">
            <w:pPr>
              <w:spacing w:after="0" w:line="240" w:lineRule="auto"/>
              <w:jc w:val="center"/>
              <w:rPr>
                <w:rFonts w:ascii="Times New Roman" w:hAnsi="Times New Roman" w:cs="Times New Roman"/>
                <w:sz w:val="24"/>
                <w:szCs w:val="24"/>
              </w:rPr>
            </w:pPr>
            <w:r w:rsidRPr="00C80650">
              <w:rPr>
                <w:rFonts w:ascii="Times New Roman" w:hAnsi="Times New Roman" w:cs="Times New Roman"/>
                <w:sz w:val="24"/>
                <w:szCs w:val="24"/>
              </w:rPr>
              <w:t>15.18</w:t>
            </w:r>
          </w:p>
          <w:p w14:paraId="4FCEDBE9" w14:textId="77777777" w:rsidR="00D93F3D" w:rsidRPr="00195CD4" w:rsidRDefault="00D93F3D" w:rsidP="006767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(22.74)</w:t>
            </w:r>
          </w:p>
        </w:tc>
      </w:tr>
      <w:tr w:rsidR="00D93F3D" w:rsidRPr="00E43212" w14:paraId="1E8D3C93" w14:textId="77777777" w:rsidTr="00D93F3D">
        <w:trPr>
          <w:trHeight w:val="349"/>
        </w:trPr>
        <w:tc>
          <w:tcPr>
            <w:tcW w:w="1165" w:type="dxa"/>
            <w:tcBorders>
              <w:top w:val="nil"/>
              <w:left w:val="single" w:sz="4" w:space="0" w:color="auto"/>
              <w:bottom w:val="single" w:sz="4" w:space="0" w:color="auto"/>
              <w:right w:val="single" w:sz="4" w:space="0" w:color="auto"/>
            </w:tcBorders>
            <w:noWrap/>
            <w:vAlign w:val="center"/>
            <w:hideMark/>
          </w:tcPr>
          <w:p w14:paraId="4D1A61B5" w14:textId="77777777" w:rsidR="00D93F3D" w:rsidRPr="00195CD4" w:rsidRDefault="00D93F3D" w:rsidP="00676757">
            <w:pPr>
              <w:spacing w:after="0" w:line="240" w:lineRule="auto"/>
              <w:jc w:val="center"/>
              <w:rPr>
                <w:rFonts w:ascii="Times New Roman" w:hAnsi="Times New Roman" w:cs="Times New Roman"/>
                <w:sz w:val="24"/>
                <w:szCs w:val="24"/>
              </w:rPr>
            </w:pPr>
            <w:r w:rsidRPr="00083211">
              <w:rPr>
                <w:rFonts w:ascii="Times New Roman" w:hAnsi="Times New Roman" w:cs="Times New Roman"/>
                <w:sz w:val="24"/>
                <w:szCs w:val="24"/>
              </w:rPr>
              <w:t>T₇</w:t>
            </w:r>
          </w:p>
        </w:tc>
        <w:tc>
          <w:tcPr>
            <w:tcW w:w="4121" w:type="dxa"/>
            <w:tcBorders>
              <w:top w:val="nil"/>
              <w:left w:val="nil"/>
              <w:bottom w:val="single" w:sz="4" w:space="0" w:color="auto"/>
              <w:right w:val="single" w:sz="4" w:space="0" w:color="auto"/>
            </w:tcBorders>
            <w:noWrap/>
            <w:vAlign w:val="center"/>
            <w:hideMark/>
          </w:tcPr>
          <w:p w14:paraId="082339D2" w14:textId="77777777" w:rsidR="00D93F3D" w:rsidRPr="00195CD4" w:rsidRDefault="00D93F3D" w:rsidP="00676757">
            <w:pPr>
              <w:spacing w:after="0" w:line="240" w:lineRule="auto"/>
              <w:rPr>
                <w:rFonts w:ascii="Times New Roman" w:hAnsi="Times New Roman" w:cs="Times New Roman"/>
                <w:sz w:val="24"/>
                <w:szCs w:val="24"/>
              </w:rPr>
            </w:pPr>
            <w:r w:rsidRPr="00195CD4">
              <w:rPr>
                <w:rFonts w:ascii="Times New Roman" w:hAnsi="Times New Roman" w:cs="Times New Roman"/>
                <w:sz w:val="24"/>
                <w:szCs w:val="24"/>
              </w:rPr>
              <w:t>Potassium salt of Phosphoric acid</w:t>
            </w:r>
          </w:p>
        </w:tc>
        <w:tc>
          <w:tcPr>
            <w:tcW w:w="1427" w:type="dxa"/>
            <w:tcBorders>
              <w:top w:val="nil"/>
              <w:left w:val="nil"/>
              <w:bottom w:val="single" w:sz="4" w:space="0" w:color="auto"/>
              <w:right w:val="single" w:sz="4" w:space="0" w:color="auto"/>
            </w:tcBorders>
            <w:noWrap/>
            <w:vAlign w:val="center"/>
            <w:hideMark/>
          </w:tcPr>
          <w:p w14:paraId="4A6DD154" w14:textId="77777777" w:rsidR="00D93F3D" w:rsidRPr="00195CD4" w:rsidRDefault="00D93F3D" w:rsidP="00676757">
            <w:pPr>
              <w:spacing w:after="0" w:line="240" w:lineRule="auto"/>
              <w:jc w:val="center"/>
              <w:rPr>
                <w:rFonts w:ascii="Times New Roman" w:hAnsi="Times New Roman" w:cs="Times New Roman"/>
                <w:sz w:val="24"/>
                <w:szCs w:val="24"/>
              </w:rPr>
            </w:pPr>
            <w:r w:rsidRPr="00195CD4">
              <w:rPr>
                <w:rFonts w:ascii="Times New Roman" w:hAnsi="Times New Roman" w:cs="Times New Roman"/>
                <w:sz w:val="24"/>
                <w:szCs w:val="24"/>
              </w:rPr>
              <w:t>0.4</w:t>
            </w:r>
          </w:p>
        </w:tc>
        <w:tc>
          <w:tcPr>
            <w:tcW w:w="2268" w:type="dxa"/>
            <w:tcBorders>
              <w:top w:val="nil"/>
              <w:left w:val="nil"/>
              <w:bottom w:val="single" w:sz="4" w:space="0" w:color="auto"/>
              <w:right w:val="single" w:sz="4" w:space="0" w:color="auto"/>
            </w:tcBorders>
            <w:noWrap/>
            <w:vAlign w:val="center"/>
            <w:hideMark/>
          </w:tcPr>
          <w:p w14:paraId="72046B83" w14:textId="77777777" w:rsidR="00D93F3D" w:rsidRDefault="00D93F3D" w:rsidP="00676757">
            <w:pPr>
              <w:spacing w:after="0" w:line="240" w:lineRule="auto"/>
              <w:jc w:val="center"/>
              <w:rPr>
                <w:rFonts w:ascii="Times New Roman" w:hAnsi="Times New Roman" w:cs="Times New Roman"/>
                <w:sz w:val="24"/>
                <w:szCs w:val="24"/>
              </w:rPr>
            </w:pPr>
            <w:r w:rsidRPr="00C80650">
              <w:rPr>
                <w:rFonts w:ascii="Times New Roman" w:hAnsi="Times New Roman" w:cs="Times New Roman"/>
                <w:sz w:val="24"/>
                <w:szCs w:val="24"/>
              </w:rPr>
              <w:t>29.50</w:t>
            </w:r>
          </w:p>
          <w:p w14:paraId="2E9D854A" w14:textId="77777777" w:rsidR="00D93F3D" w:rsidRPr="00195CD4" w:rsidRDefault="00D93F3D" w:rsidP="006767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(32.72)</w:t>
            </w:r>
          </w:p>
        </w:tc>
      </w:tr>
      <w:tr w:rsidR="00D93F3D" w:rsidRPr="00E43212" w14:paraId="3F82126E" w14:textId="77777777" w:rsidTr="00D93F3D">
        <w:trPr>
          <w:trHeight w:val="349"/>
        </w:trPr>
        <w:tc>
          <w:tcPr>
            <w:tcW w:w="1165" w:type="dxa"/>
            <w:tcBorders>
              <w:top w:val="nil"/>
              <w:left w:val="single" w:sz="4" w:space="0" w:color="auto"/>
              <w:bottom w:val="single" w:sz="4" w:space="0" w:color="auto"/>
              <w:right w:val="single" w:sz="4" w:space="0" w:color="auto"/>
            </w:tcBorders>
            <w:noWrap/>
            <w:vAlign w:val="center"/>
            <w:hideMark/>
          </w:tcPr>
          <w:p w14:paraId="2B598DC6" w14:textId="77777777" w:rsidR="00D93F3D" w:rsidRPr="00195CD4" w:rsidRDefault="00D93F3D" w:rsidP="00676757">
            <w:pPr>
              <w:spacing w:after="0" w:line="240" w:lineRule="auto"/>
              <w:jc w:val="center"/>
              <w:rPr>
                <w:rFonts w:ascii="Times New Roman" w:hAnsi="Times New Roman" w:cs="Times New Roman"/>
                <w:sz w:val="24"/>
                <w:szCs w:val="24"/>
              </w:rPr>
            </w:pPr>
            <w:r w:rsidRPr="00083211">
              <w:rPr>
                <w:rFonts w:ascii="Times New Roman" w:hAnsi="Times New Roman" w:cs="Times New Roman"/>
                <w:sz w:val="24"/>
                <w:szCs w:val="24"/>
              </w:rPr>
              <w:t>T₈</w:t>
            </w:r>
          </w:p>
        </w:tc>
        <w:tc>
          <w:tcPr>
            <w:tcW w:w="4121" w:type="dxa"/>
            <w:tcBorders>
              <w:top w:val="nil"/>
              <w:left w:val="nil"/>
              <w:bottom w:val="single" w:sz="4" w:space="0" w:color="auto"/>
              <w:right w:val="single" w:sz="4" w:space="0" w:color="auto"/>
            </w:tcBorders>
            <w:noWrap/>
            <w:vAlign w:val="center"/>
            <w:hideMark/>
          </w:tcPr>
          <w:p w14:paraId="25A0AB84" w14:textId="77777777" w:rsidR="00D93F3D" w:rsidRPr="00195CD4" w:rsidRDefault="00D93F3D" w:rsidP="00676757">
            <w:pPr>
              <w:spacing w:after="0" w:line="240" w:lineRule="auto"/>
              <w:rPr>
                <w:rFonts w:ascii="Times New Roman" w:hAnsi="Times New Roman" w:cs="Times New Roman"/>
                <w:sz w:val="24"/>
                <w:szCs w:val="24"/>
              </w:rPr>
            </w:pPr>
            <w:r w:rsidRPr="00195CD4">
              <w:rPr>
                <w:rFonts w:ascii="Times New Roman" w:hAnsi="Times New Roman" w:cs="Times New Roman"/>
                <w:sz w:val="24"/>
                <w:szCs w:val="24"/>
              </w:rPr>
              <w:t>Control (water spray)</w:t>
            </w:r>
          </w:p>
        </w:tc>
        <w:tc>
          <w:tcPr>
            <w:tcW w:w="1427" w:type="dxa"/>
            <w:tcBorders>
              <w:top w:val="nil"/>
              <w:left w:val="nil"/>
              <w:bottom w:val="single" w:sz="4" w:space="0" w:color="auto"/>
              <w:right w:val="single" w:sz="4" w:space="0" w:color="auto"/>
            </w:tcBorders>
            <w:noWrap/>
            <w:vAlign w:val="center"/>
            <w:hideMark/>
          </w:tcPr>
          <w:p w14:paraId="1FE09E7A" w14:textId="77777777" w:rsidR="00D93F3D" w:rsidRPr="00195CD4" w:rsidRDefault="00D93F3D" w:rsidP="00676757">
            <w:pPr>
              <w:spacing w:after="0" w:line="240" w:lineRule="auto"/>
              <w:jc w:val="center"/>
              <w:rPr>
                <w:rFonts w:ascii="Times New Roman" w:hAnsi="Times New Roman" w:cs="Times New Roman"/>
                <w:sz w:val="24"/>
                <w:szCs w:val="24"/>
              </w:rPr>
            </w:pPr>
          </w:p>
        </w:tc>
        <w:tc>
          <w:tcPr>
            <w:tcW w:w="2268" w:type="dxa"/>
            <w:tcBorders>
              <w:top w:val="nil"/>
              <w:left w:val="nil"/>
              <w:bottom w:val="single" w:sz="4" w:space="0" w:color="auto"/>
              <w:right w:val="single" w:sz="4" w:space="0" w:color="auto"/>
            </w:tcBorders>
            <w:noWrap/>
            <w:vAlign w:val="center"/>
            <w:hideMark/>
          </w:tcPr>
          <w:p w14:paraId="072C78A7" w14:textId="77777777" w:rsidR="00D93F3D" w:rsidRDefault="00D93F3D" w:rsidP="00676757">
            <w:pPr>
              <w:spacing w:after="0" w:line="240" w:lineRule="auto"/>
              <w:jc w:val="center"/>
              <w:rPr>
                <w:rFonts w:ascii="Times New Roman" w:hAnsi="Times New Roman" w:cs="Times New Roman"/>
                <w:sz w:val="24"/>
                <w:szCs w:val="24"/>
              </w:rPr>
            </w:pPr>
            <w:r w:rsidRPr="00C80650">
              <w:rPr>
                <w:rFonts w:ascii="Times New Roman" w:hAnsi="Times New Roman" w:cs="Times New Roman"/>
                <w:sz w:val="24"/>
                <w:szCs w:val="24"/>
              </w:rPr>
              <w:t>38.18</w:t>
            </w:r>
          </w:p>
          <w:p w14:paraId="501D5956" w14:textId="77777777" w:rsidR="00D93F3D" w:rsidRPr="00195CD4" w:rsidRDefault="00D93F3D" w:rsidP="006767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(38.00)</w:t>
            </w:r>
          </w:p>
        </w:tc>
      </w:tr>
      <w:tr w:rsidR="00D93F3D" w:rsidRPr="00E43212" w14:paraId="3DCFE23B" w14:textId="77777777" w:rsidTr="00D93F3D">
        <w:trPr>
          <w:trHeight w:val="349"/>
        </w:trPr>
        <w:tc>
          <w:tcPr>
            <w:tcW w:w="1165" w:type="dxa"/>
            <w:tcBorders>
              <w:top w:val="nil"/>
              <w:left w:val="single" w:sz="4" w:space="0" w:color="auto"/>
              <w:bottom w:val="single" w:sz="4" w:space="0" w:color="auto"/>
              <w:right w:val="single" w:sz="4" w:space="0" w:color="auto"/>
            </w:tcBorders>
            <w:noWrap/>
            <w:vAlign w:val="center"/>
            <w:hideMark/>
          </w:tcPr>
          <w:p w14:paraId="7C09D1C9" w14:textId="77777777" w:rsidR="00D93F3D" w:rsidRPr="00195CD4" w:rsidRDefault="00D93F3D" w:rsidP="00676757">
            <w:pPr>
              <w:spacing w:after="0" w:line="240" w:lineRule="auto"/>
              <w:jc w:val="center"/>
              <w:rPr>
                <w:rFonts w:ascii="Times New Roman" w:hAnsi="Times New Roman" w:cs="Times New Roman"/>
                <w:sz w:val="24"/>
                <w:szCs w:val="24"/>
              </w:rPr>
            </w:pPr>
          </w:p>
        </w:tc>
        <w:tc>
          <w:tcPr>
            <w:tcW w:w="4121" w:type="dxa"/>
            <w:tcBorders>
              <w:top w:val="nil"/>
              <w:left w:val="nil"/>
              <w:bottom w:val="single" w:sz="4" w:space="0" w:color="auto"/>
              <w:right w:val="single" w:sz="4" w:space="0" w:color="auto"/>
            </w:tcBorders>
            <w:noWrap/>
            <w:vAlign w:val="center"/>
            <w:hideMark/>
          </w:tcPr>
          <w:p w14:paraId="1FC20555" w14:textId="77777777" w:rsidR="00D93F3D" w:rsidRPr="00195CD4" w:rsidRDefault="00D93F3D" w:rsidP="00676757">
            <w:pPr>
              <w:spacing w:after="0" w:line="240" w:lineRule="auto"/>
              <w:jc w:val="center"/>
              <w:rPr>
                <w:rFonts w:ascii="Times New Roman" w:hAnsi="Times New Roman" w:cs="Times New Roman"/>
                <w:sz w:val="24"/>
                <w:szCs w:val="24"/>
              </w:rPr>
            </w:pPr>
            <w:r w:rsidRPr="00195CD4">
              <w:rPr>
                <w:rFonts w:ascii="Times New Roman" w:hAnsi="Times New Roman" w:cs="Times New Roman"/>
                <w:sz w:val="24"/>
                <w:szCs w:val="24"/>
              </w:rPr>
              <w:t>S.E. (m) ±</w:t>
            </w:r>
          </w:p>
        </w:tc>
        <w:tc>
          <w:tcPr>
            <w:tcW w:w="1427" w:type="dxa"/>
            <w:tcBorders>
              <w:top w:val="nil"/>
              <w:left w:val="nil"/>
              <w:bottom w:val="single" w:sz="4" w:space="0" w:color="auto"/>
              <w:right w:val="single" w:sz="4" w:space="0" w:color="auto"/>
            </w:tcBorders>
            <w:noWrap/>
            <w:vAlign w:val="center"/>
            <w:hideMark/>
          </w:tcPr>
          <w:p w14:paraId="71534459" w14:textId="77777777" w:rsidR="00D93F3D" w:rsidRPr="00195CD4" w:rsidRDefault="00D93F3D" w:rsidP="00676757">
            <w:pPr>
              <w:spacing w:after="0" w:line="240" w:lineRule="auto"/>
              <w:jc w:val="center"/>
              <w:rPr>
                <w:rFonts w:ascii="Times New Roman" w:hAnsi="Times New Roman" w:cs="Times New Roman"/>
                <w:sz w:val="24"/>
                <w:szCs w:val="24"/>
              </w:rPr>
            </w:pPr>
          </w:p>
        </w:tc>
        <w:tc>
          <w:tcPr>
            <w:tcW w:w="2268" w:type="dxa"/>
            <w:tcBorders>
              <w:top w:val="nil"/>
              <w:left w:val="nil"/>
              <w:bottom w:val="single" w:sz="4" w:space="0" w:color="auto"/>
              <w:right w:val="single" w:sz="4" w:space="0" w:color="auto"/>
            </w:tcBorders>
            <w:noWrap/>
            <w:vAlign w:val="center"/>
            <w:hideMark/>
          </w:tcPr>
          <w:p w14:paraId="22720C8F" w14:textId="77777777" w:rsidR="00D93F3D" w:rsidRPr="00720D35" w:rsidRDefault="00D93F3D" w:rsidP="00676757">
            <w:pPr>
              <w:spacing w:line="240" w:lineRule="auto"/>
              <w:jc w:val="right"/>
              <w:rPr>
                <w:rFonts w:ascii="Times New Roman" w:hAnsi="Times New Roman" w:cs="Times New Roman"/>
                <w:sz w:val="24"/>
                <w:szCs w:val="24"/>
              </w:rPr>
            </w:pPr>
            <w:r w:rsidRPr="00720D35">
              <w:rPr>
                <w:rFonts w:ascii="Times New Roman" w:hAnsi="Times New Roman" w:cs="Times New Roman"/>
                <w:sz w:val="24"/>
                <w:szCs w:val="24"/>
              </w:rPr>
              <w:t>1.2</w:t>
            </w:r>
            <w:r>
              <w:rPr>
                <w:rFonts w:ascii="Times New Roman" w:hAnsi="Times New Roman" w:cs="Times New Roman"/>
                <w:sz w:val="24"/>
                <w:szCs w:val="24"/>
              </w:rPr>
              <w:t>5</w:t>
            </w:r>
          </w:p>
        </w:tc>
      </w:tr>
      <w:tr w:rsidR="00D93F3D" w:rsidRPr="00E43212" w14:paraId="393392F9" w14:textId="77777777" w:rsidTr="00D93F3D">
        <w:trPr>
          <w:trHeight w:val="349"/>
        </w:trPr>
        <w:tc>
          <w:tcPr>
            <w:tcW w:w="1165" w:type="dxa"/>
            <w:tcBorders>
              <w:top w:val="nil"/>
              <w:left w:val="single" w:sz="4" w:space="0" w:color="auto"/>
              <w:bottom w:val="single" w:sz="4" w:space="0" w:color="auto"/>
              <w:right w:val="single" w:sz="4" w:space="0" w:color="auto"/>
            </w:tcBorders>
            <w:noWrap/>
            <w:vAlign w:val="center"/>
            <w:hideMark/>
          </w:tcPr>
          <w:p w14:paraId="6B26C188" w14:textId="77777777" w:rsidR="00D93F3D" w:rsidRPr="00E43212" w:rsidRDefault="00D93F3D" w:rsidP="00676757">
            <w:pPr>
              <w:spacing w:after="0" w:line="240" w:lineRule="auto"/>
              <w:jc w:val="center"/>
              <w:rPr>
                <w:rFonts w:eastAsia="Times New Roman" w:cs="Calibri"/>
                <w:color w:val="000000"/>
                <w:lang w:eastAsia="en-GB"/>
              </w:rPr>
            </w:pPr>
          </w:p>
        </w:tc>
        <w:tc>
          <w:tcPr>
            <w:tcW w:w="4121" w:type="dxa"/>
            <w:tcBorders>
              <w:top w:val="nil"/>
              <w:left w:val="nil"/>
              <w:bottom w:val="single" w:sz="4" w:space="0" w:color="auto"/>
              <w:right w:val="single" w:sz="4" w:space="0" w:color="auto"/>
            </w:tcBorders>
            <w:noWrap/>
            <w:vAlign w:val="center"/>
            <w:hideMark/>
          </w:tcPr>
          <w:p w14:paraId="48DB5EEA" w14:textId="77777777" w:rsidR="00D93F3D" w:rsidRPr="00D168A0" w:rsidRDefault="00D93F3D" w:rsidP="00676757">
            <w:pPr>
              <w:spacing w:after="0" w:line="240" w:lineRule="auto"/>
              <w:jc w:val="center"/>
              <w:rPr>
                <w:rFonts w:ascii="Times New Roman" w:hAnsi="Times New Roman" w:cs="Times New Roman"/>
                <w:sz w:val="24"/>
                <w:szCs w:val="24"/>
              </w:rPr>
            </w:pPr>
            <w:r w:rsidRPr="00D168A0">
              <w:rPr>
                <w:rFonts w:ascii="Times New Roman" w:hAnsi="Times New Roman" w:cs="Times New Roman"/>
                <w:sz w:val="24"/>
                <w:szCs w:val="24"/>
              </w:rPr>
              <w:t>CD (5%)</w:t>
            </w:r>
          </w:p>
        </w:tc>
        <w:tc>
          <w:tcPr>
            <w:tcW w:w="1427" w:type="dxa"/>
            <w:tcBorders>
              <w:top w:val="nil"/>
              <w:left w:val="nil"/>
              <w:bottom w:val="single" w:sz="4" w:space="0" w:color="auto"/>
              <w:right w:val="single" w:sz="4" w:space="0" w:color="auto"/>
            </w:tcBorders>
            <w:noWrap/>
            <w:vAlign w:val="center"/>
            <w:hideMark/>
          </w:tcPr>
          <w:p w14:paraId="22D50F0D" w14:textId="77777777" w:rsidR="00D93F3D" w:rsidRPr="00E43212" w:rsidRDefault="00D93F3D" w:rsidP="00676757">
            <w:pPr>
              <w:spacing w:after="0" w:line="240" w:lineRule="auto"/>
              <w:jc w:val="center"/>
              <w:rPr>
                <w:rFonts w:eastAsia="Times New Roman" w:cs="Calibri"/>
                <w:color w:val="000000"/>
                <w:lang w:eastAsia="en-GB"/>
              </w:rPr>
            </w:pPr>
          </w:p>
        </w:tc>
        <w:tc>
          <w:tcPr>
            <w:tcW w:w="2268" w:type="dxa"/>
            <w:tcBorders>
              <w:top w:val="nil"/>
              <w:left w:val="nil"/>
              <w:bottom w:val="single" w:sz="4" w:space="0" w:color="auto"/>
              <w:right w:val="single" w:sz="4" w:space="0" w:color="auto"/>
            </w:tcBorders>
            <w:noWrap/>
            <w:vAlign w:val="center"/>
            <w:hideMark/>
          </w:tcPr>
          <w:p w14:paraId="62AF299B" w14:textId="77777777" w:rsidR="00D93F3D" w:rsidRPr="00720D35" w:rsidRDefault="00D93F3D" w:rsidP="00676757">
            <w:pPr>
              <w:spacing w:line="240" w:lineRule="auto"/>
              <w:jc w:val="right"/>
              <w:rPr>
                <w:rFonts w:ascii="Times New Roman" w:hAnsi="Times New Roman" w:cs="Times New Roman"/>
                <w:sz w:val="24"/>
                <w:szCs w:val="24"/>
              </w:rPr>
            </w:pPr>
            <w:r w:rsidRPr="00720D35">
              <w:rPr>
                <w:rFonts w:ascii="Times New Roman" w:hAnsi="Times New Roman" w:cs="Times New Roman"/>
                <w:sz w:val="24"/>
                <w:szCs w:val="24"/>
              </w:rPr>
              <w:t>3.7</w:t>
            </w:r>
            <w:r>
              <w:rPr>
                <w:rFonts w:ascii="Times New Roman" w:hAnsi="Times New Roman" w:cs="Times New Roman"/>
                <w:sz w:val="24"/>
                <w:szCs w:val="24"/>
              </w:rPr>
              <w:t>9</w:t>
            </w:r>
          </w:p>
        </w:tc>
      </w:tr>
    </w:tbl>
    <w:p w14:paraId="1D012CF5" w14:textId="239C2C8D" w:rsidR="006C194B" w:rsidRPr="006C194B" w:rsidRDefault="00345F90" w:rsidP="00D93F3D">
      <w:pPr>
        <w:spacing w:line="240" w:lineRule="auto"/>
        <w:jc w:val="both"/>
        <w:rPr>
          <w:rFonts w:ascii="Arial" w:eastAsia="Times New Roman" w:hAnsi="Arial" w:cs="Arial"/>
          <w:bCs/>
          <w:i/>
          <w:iCs/>
          <w:color w:val="000000"/>
          <w:kern w:val="2"/>
          <w:sz w:val="18"/>
          <w:szCs w:val="18"/>
          <w:lang w:val="en-GB" w:eastAsia="en-GB"/>
        </w:rPr>
      </w:pPr>
      <w:r w:rsidRPr="006C194B">
        <w:rPr>
          <w:rFonts w:ascii="Arial" w:eastAsia="Times New Roman" w:hAnsi="Arial" w:cs="Arial"/>
          <w:bCs/>
          <w:i/>
          <w:iCs/>
          <w:color w:val="000000"/>
          <w:kern w:val="2"/>
          <w:sz w:val="18"/>
          <w:szCs w:val="18"/>
          <w:lang w:val="en-GB" w:eastAsia="en-GB"/>
        </w:rPr>
        <w:t>*Figures in parentheses are arcsine transformed values</w:t>
      </w:r>
      <w:r w:rsidR="006C194B">
        <w:rPr>
          <w:rFonts w:ascii="Arial" w:eastAsia="Times New Roman" w:hAnsi="Arial" w:cs="Arial"/>
          <w:bCs/>
          <w:i/>
          <w:iCs/>
          <w:color w:val="000000"/>
          <w:kern w:val="2"/>
          <w:sz w:val="18"/>
          <w:szCs w:val="18"/>
          <w:lang w:val="en-GB" w:eastAsia="en-GB"/>
        </w:rPr>
        <w:t xml:space="preserve"> </w:t>
      </w:r>
      <w:r w:rsidR="006C194B" w:rsidRPr="00B0396C">
        <w:rPr>
          <w:rFonts w:ascii="Arial" w:eastAsia="Times New Roman" w:hAnsi="Arial" w:cs="Arial"/>
          <w:bCs/>
          <w:i/>
          <w:iCs/>
          <w:color w:val="000000"/>
          <w:kern w:val="2"/>
          <w:sz w:val="18"/>
          <w:szCs w:val="18"/>
          <w:lang w:val="en-GB" w:eastAsia="en-GB"/>
        </w:rPr>
        <w:t>*T= Treatment; T1 To T8 represent the different fungicide treatments evaluated against downy mildew of sponge gourd</w:t>
      </w:r>
    </w:p>
    <w:p w14:paraId="34ABB587" w14:textId="51E5AF92" w:rsidR="00942D75" w:rsidRDefault="00942D75" w:rsidP="00942D75">
      <w:pPr>
        <w:spacing w:line="360" w:lineRule="auto"/>
        <w:jc w:val="both"/>
        <w:rPr>
          <w:rFonts w:ascii="Times New Roman" w:hAnsi="Times New Roman" w:cs="Times New Roman"/>
          <w:b/>
          <w:bCs/>
          <w:sz w:val="24"/>
          <w:szCs w:val="24"/>
        </w:rPr>
      </w:pPr>
      <w:r w:rsidRPr="00382FA6">
        <w:rPr>
          <w:rFonts w:ascii="Times New Roman" w:hAnsi="Times New Roman" w:cs="Times New Roman"/>
          <w:b/>
          <w:bCs/>
          <w:sz w:val="24"/>
          <w:szCs w:val="24"/>
        </w:rPr>
        <w:t xml:space="preserve">Fig. </w:t>
      </w:r>
      <w:r w:rsidR="00D93F3D">
        <w:rPr>
          <w:rFonts w:ascii="Times New Roman" w:hAnsi="Times New Roman" w:cs="Times New Roman"/>
          <w:b/>
          <w:bCs/>
          <w:sz w:val="24"/>
          <w:szCs w:val="24"/>
        </w:rPr>
        <w:t>1</w:t>
      </w:r>
      <w:r w:rsidRPr="00382FA6">
        <w:rPr>
          <w:rFonts w:ascii="Times New Roman" w:hAnsi="Times New Roman" w:cs="Times New Roman"/>
          <w:b/>
          <w:bCs/>
          <w:sz w:val="24"/>
          <w:szCs w:val="24"/>
        </w:rPr>
        <w:t xml:space="preserve"> Effect of treatments on </w:t>
      </w:r>
      <w:r w:rsidR="00D9235B">
        <w:rPr>
          <w:rFonts w:ascii="Times New Roman" w:hAnsi="Times New Roman" w:cs="Times New Roman"/>
          <w:b/>
          <w:bCs/>
          <w:sz w:val="24"/>
          <w:szCs w:val="24"/>
        </w:rPr>
        <w:t>per cent</w:t>
      </w:r>
      <w:r w:rsidRPr="00382FA6">
        <w:rPr>
          <w:rFonts w:ascii="Times New Roman" w:hAnsi="Times New Roman" w:cs="Times New Roman"/>
          <w:b/>
          <w:bCs/>
          <w:sz w:val="24"/>
          <w:szCs w:val="24"/>
        </w:rPr>
        <w:t xml:space="preserve"> disease control on powdery mildew in sponge gourd</w:t>
      </w:r>
    </w:p>
    <w:p w14:paraId="1F423CD7" w14:textId="77777777" w:rsidR="00FB143C" w:rsidRDefault="00FB143C" w:rsidP="00942D75">
      <w:pPr>
        <w:spacing w:line="360" w:lineRule="auto"/>
        <w:ind w:left="851" w:hanging="851"/>
        <w:jc w:val="both"/>
        <w:rPr>
          <w:rFonts w:ascii="Times New Roman" w:hAnsi="Times New Roman" w:cs="Times New Roman"/>
          <w:b/>
          <w:bCs/>
          <w:sz w:val="24"/>
          <w:szCs w:val="24"/>
        </w:rPr>
      </w:pPr>
    </w:p>
    <w:p w14:paraId="5CBA48BF" w14:textId="77777777" w:rsidR="00FB143C" w:rsidRDefault="00FB143C" w:rsidP="00942D75">
      <w:pPr>
        <w:spacing w:line="360" w:lineRule="auto"/>
        <w:ind w:left="851" w:hanging="851"/>
        <w:jc w:val="both"/>
        <w:rPr>
          <w:rFonts w:ascii="Times New Roman" w:hAnsi="Times New Roman" w:cs="Times New Roman"/>
          <w:b/>
          <w:bCs/>
          <w:sz w:val="24"/>
          <w:szCs w:val="24"/>
        </w:rPr>
      </w:pPr>
    </w:p>
    <w:p w14:paraId="2E927F3A" w14:textId="77777777" w:rsidR="00FB143C" w:rsidRDefault="00FB143C" w:rsidP="00942D75">
      <w:pPr>
        <w:spacing w:line="360" w:lineRule="auto"/>
        <w:ind w:left="851" w:hanging="851"/>
        <w:jc w:val="both"/>
        <w:rPr>
          <w:rFonts w:ascii="Times New Roman" w:hAnsi="Times New Roman" w:cs="Times New Roman"/>
          <w:b/>
          <w:bCs/>
          <w:sz w:val="24"/>
          <w:szCs w:val="24"/>
        </w:rPr>
      </w:pPr>
    </w:p>
    <w:p w14:paraId="1BC3B24A" w14:textId="77777777" w:rsidR="00FB143C" w:rsidRDefault="00FB143C" w:rsidP="00942D75">
      <w:pPr>
        <w:spacing w:line="360" w:lineRule="auto"/>
        <w:ind w:left="851" w:hanging="851"/>
        <w:jc w:val="both"/>
        <w:rPr>
          <w:rFonts w:ascii="Times New Roman" w:hAnsi="Times New Roman" w:cs="Times New Roman"/>
          <w:b/>
          <w:bCs/>
          <w:sz w:val="24"/>
          <w:szCs w:val="24"/>
        </w:rPr>
      </w:pPr>
    </w:p>
    <w:p w14:paraId="10167BBC" w14:textId="77777777" w:rsidR="00FB143C" w:rsidRDefault="00FB143C" w:rsidP="00942D75">
      <w:pPr>
        <w:spacing w:line="360" w:lineRule="auto"/>
        <w:ind w:left="851" w:hanging="851"/>
        <w:jc w:val="both"/>
        <w:rPr>
          <w:rFonts w:ascii="Times New Roman" w:hAnsi="Times New Roman" w:cs="Times New Roman"/>
          <w:b/>
          <w:bCs/>
          <w:sz w:val="24"/>
          <w:szCs w:val="24"/>
        </w:rPr>
      </w:pPr>
    </w:p>
    <w:p w14:paraId="14F80F0C" w14:textId="3D9B764F" w:rsidR="00942D75" w:rsidRDefault="00942D75" w:rsidP="00942D75">
      <w:pPr>
        <w:spacing w:line="360" w:lineRule="auto"/>
        <w:ind w:left="851" w:hanging="851"/>
        <w:jc w:val="both"/>
        <w:rPr>
          <w:rFonts w:ascii="Times New Roman" w:hAnsi="Times New Roman" w:cs="Times New Roman"/>
          <w:b/>
          <w:bCs/>
          <w:sz w:val="24"/>
          <w:szCs w:val="24"/>
        </w:rPr>
      </w:pPr>
      <w:r>
        <w:rPr>
          <w:noProof/>
        </w:rPr>
        <w:lastRenderedPageBreak/>
        <w:drawing>
          <wp:anchor distT="0" distB="0" distL="114300" distR="114300" simplePos="0" relativeHeight="251670528" behindDoc="0" locked="0" layoutInCell="1" allowOverlap="1" wp14:anchorId="666E9577" wp14:editId="68DA1C0C">
            <wp:simplePos x="0" y="0"/>
            <wp:positionH relativeFrom="margin">
              <wp:posOffset>342900</wp:posOffset>
            </wp:positionH>
            <wp:positionV relativeFrom="paragraph">
              <wp:posOffset>15875</wp:posOffset>
            </wp:positionV>
            <wp:extent cx="4884420" cy="2689860"/>
            <wp:effectExtent l="0" t="0" r="11430" b="15240"/>
            <wp:wrapThrough wrapText="bothSides">
              <wp:wrapPolygon edited="0">
                <wp:start x="0" y="0"/>
                <wp:lineTo x="0" y="21569"/>
                <wp:lineTo x="21566" y="21569"/>
                <wp:lineTo x="21566" y="0"/>
                <wp:lineTo x="0" y="0"/>
              </wp:wrapPolygon>
            </wp:wrapThrough>
            <wp:docPr id="373299689" name="Chart 1">
              <a:extLst xmlns:a="http://schemas.openxmlformats.org/drawingml/2006/main">
                <a:ext uri="{FF2B5EF4-FFF2-40B4-BE49-F238E27FC236}">
                  <a16:creationId xmlns:a16="http://schemas.microsoft.com/office/drawing/2014/main" id="{4828700E-1A78-C609-60A6-469ADEDB20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0AB286AC" w14:textId="77777777" w:rsidR="00FB143C" w:rsidRPr="00FB143C" w:rsidRDefault="00FB143C" w:rsidP="00FB143C">
      <w:pPr>
        <w:rPr>
          <w:rFonts w:ascii="Times New Roman" w:hAnsi="Times New Roman" w:cs="Times New Roman"/>
          <w:sz w:val="24"/>
          <w:szCs w:val="24"/>
        </w:rPr>
      </w:pPr>
    </w:p>
    <w:p w14:paraId="5CA509BE" w14:textId="77777777" w:rsidR="00FB143C" w:rsidRPr="00FB143C" w:rsidRDefault="00FB143C" w:rsidP="00FB143C">
      <w:pPr>
        <w:rPr>
          <w:rFonts w:ascii="Times New Roman" w:hAnsi="Times New Roman" w:cs="Times New Roman"/>
          <w:sz w:val="24"/>
          <w:szCs w:val="24"/>
        </w:rPr>
      </w:pPr>
    </w:p>
    <w:p w14:paraId="6A30ACF3" w14:textId="77777777" w:rsidR="00FB143C" w:rsidRPr="00FB143C" w:rsidRDefault="00FB143C" w:rsidP="00FB143C">
      <w:pPr>
        <w:rPr>
          <w:rFonts w:ascii="Times New Roman" w:hAnsi="Times New Roman" w:cs="Times New Roman"/>
          <w:sz w:val="24"/>
          <w:szCs w:val="24"/>
        </w:rPr>
      </w:pPr>
    </w:p>
    <w:p w14:paraId="756389F5" w14:textId="77777777" w:rsidR="00FB143C" w:rsidRPr="00FB143C" w:rsidRDefault="00FB143C" w:rsidP="00FB143C">
      <w:pPr>
        <w:rPr>
          <w:rFonts w:ascii="Times New Roman" w:hAnsi="Times New Roman" w:cs="Times New Roman"/>
          <w:sz w:val="24"/>
          <w:szCs w:val="24"/>
        </w:rPr>
      </w:pPr>
    </w:p>
    <w:p w14:paraId="37C87AF9" w14:textId="77777777" w:rsidR="00FB143C" w:rsidRPr="00FB143C" w:rsidRDefault="00FB143C" w:rsidP="00FB143C">
      <w:pPr>
        <w:rPr>
          <w:rFonts w:ascii="Times New Roman" w:hAnsi="Times New Roman" w:cs="Times New Roman"/>
          <w:sz w:val="24"/>
          <w:szCs w:val="24"/>
        </w:rPr>
      </w:pPr>
    </w:p>
    <w:p w14:paraId="4143F596" w14:textId="77777777" w:rsidR="00FB143C" w:rsidRDefault="00FB143C" w:rsidP="00FB143C">
      <w:pPr>
        <w:rPr>
          <w:rFonts w:ascii="Times New Roman" w:hAnsi="Times New Roman" w:cs="Times New Roman"/>
          <w:b/>
          <w:bCs/>
          <w:sz w:val="24"/>
          <w:szCs w:val="24"/>
        </w:rPr>
      </w:pPr>
    </w:p>
    <w:p w14:paraId="69CBD93F" w14:textId="77777777" w:rsidR="00FB143C" w:rsidRDefault="00FB143C" w:rsidP="00FB143C">
      <w:pPr>
        <w:rPr>
          <w:rFonts w:ascii="Times New Roman" w:hAnsi="Times New Roman" w:cs="Times New Roman"/>
          <w:sz w:val="24"/>
          <w:szCs w:val="24"/>
        </w:rPr>
      </w:pPr>
    </w:p>
    <w:p w14:paraId="3E81CF0E" w14:textId="77777777" w:rsidR="00FB143C" w:rsidRDefault="00FB143C" w:rsidP="00FB143C">
      <w:pPr>
        <w:rPr>
          <w:rFonts w:ascii="Times New Roman" w:hAnsi="Times New Roman" w:cs="Times New Roman"/>
          <w:sz w:val="24"/>
          <w:szCs w:val="24"/>
        </w:rPr>
      </w:pPr>
    </w:p>
    <w:p w14:paraId="570E21F6" w14:textId="47FEB1C3" w:rsidR="00FB143C" w:rsidRPr="00D93F3D" w:rsidRDefault="00FB143C" w:rsidP="00FB143C">
      <w:pPr>
        <w:spacing w:line="360" w:lineRule="auto"/>
        <w:ind w:firstLine="720"/>
        <w:jc w:val="both"/>
        <w:rPr>
          <w:rFonts w:ascii="Times New Roman" w:hAnsi="Times New Roman" w:cs="Times New Roman"/>
          <w:b/>
          <w:bCs/>
          <w:sz w:val="24"/>
          <w:szCs w:val="24"/>
        </w:rPr>
      </w:pPr>
      <w:r w:rsidRPr="00DC37CE">
        <w:rPr>
          <w:rFonts w:ascii="Times New Roman" w:hAnsi="Times New Roman" w:cs="Times New Roman"/>
          <w:sz w:val="24"/>
          <w:szCs w:val="24"/>
        </w:rPr>
        <w:t xml:space="preserve">The data </w:t>
      </w:r>
      <w:r>
        <w:rPr>
          <w:rFonts w:ascii="Times New Roman" w:hAnsi="Times New Roman" w:cs="Times New Roman"/>
          <w:sz w:val="24"/>
          <w:szCs w:val="24"/>
        </w:rPr>
        <w:t xml:space="preserve">in table 4 </w:t>
      </w:r>
      <w:r w:rsidRPr="00DC37CE">
        <w:rPr>
          <w:rFonts w:ascii="Times New Roman" w:hAnsi="Times New Roman" w:cs="Times New Roman"/>
          <w:sz w:val="24"/>
          <w:szCs w:val="24"/>
        </w:rPr>
        <w:t>reveals significant variations in disease severity across the treatments</w:t>
      </w:r>
      <w:r w:rsidRPr="00D93F3D">
        <w:rPr>
          <w:rFonts w:ascii="Times New Roman" w:hAnsi="Times New Roman" w:cs="Times New Roman"/>
          <w:sz w:val="24"/>
          <w:szCs w:val="24"/>
        </w:rPr>
        <w:t>. Fig. 1 shows the effect of treatments on per cent disease control.</w:t>
      </w:r>
      <w:r>
        <w:rPr>
          <w:rFonts w:ascii="Times New Roman" w:hAnsi="Times New Roman" w:cs="Times New Roman"/>
          <w:b/>
          <w:bCs/>
          <w:sz w:val="24"/>
          <w:szCs w:val="24"/>
        </w:rPr>
        <w:t xml:space="preserve"> </w:t>
      </w:r>
      <w:r w:rsidRPr="00DC37CE">
        <w:rPr>
          <w:rFonts w:ascii="Times New Roman" w:hAnsi="Times New Roman" w:cs="Times New Roman"/>
          <w:sz w:val="24"/>
          <w:szCs w:val="24"/>
        </w:rPr>
        <w:t>The control treatment (</w:t>
      </w:r>
      <w:r w:rsidRPr="00083211">
        <w:rPr>
          <w:rFonts w:ascii="Times New Roman" w:hAnsi="Times New Roman" w:cs="Times New Roman"/>
          <w:sz w:val="24"/>
          <w:szCs w:val="24"/>
        </w:rPr>
        <w:t>T₈</w:t>
      </w:r>
      <w:r w:rsidRPr="00DC37CE">
        <w:rPr>
          <w:rFonts w:ascii="Times New Roman" w:hAnsi="Times New Roman" w:cs="Times New Roman"/>
          <w:sz w:val="24"/>
          <w:szCs w:val="24"/>
        </w:rPr>
        <w:t xml:space="preserve">, water spray) exhibited the highest mean </w:t>
      </w:r>
      <w:r>
        <w:rPr>
          <w:rFonts w:ascii="Times New Roman" w:hAnsi="Times New Roman" w:cs="Times New Roman"/>
          <w:sz w:val="24"/>
          <w:szCs w:val="24"/>
        </w:rPr>
        <w:t>per cent</w:t>
      </w:r>
      <w:r w:rsidRPr="00DC37CE">
        <w:rPr>
          <w:rFonts w:ascii="Times New Roman" w:hAnsi="Times New Roman" w:cs="Times New Roman"/>
          <w:sz w:val="24"/>
          <w:szCs w:val="24"/>
        </w:rPr>
        <w:t xml:space="preserve"> disease severity at </w:t>
      </w:r>
      <w:r>
        <w:rPr>
          <w:rFonts w:ascii="Times New Roman" w:hAnsi="Times New Roman" w:cs="Times New Roman"/>
          <w:sz w:val="24"/>
          <w:szCs w:val="24"/>
        </w:rPr>
        <w:t>38.18</w:t>
      </w:r>
      <w:r w:rsidRPr="00DC37CE">
        <w:rPr>
          <w:rFonts w:ascii="Times New Roman" w:hAnsi="Times New Roman" w:cs="Times New Roman"/>
          <w:sz w:val="24"/>
          <w:szCs w:val="24"/>
        </w:rPr>
        <w:t xml:space="preserve">%, with no disease control (0.00%), indicating the natural progression of powdery mildew without intervention. Among the chemical treatments, </w:t>
      </w:r>
      <w:r w:rsidRPr="00083211">
        <w:rPr>
          <w:rFonts w:ascii="Times New Roman" w:hAnsi="Times New Roman" w:cs="Times New Roman"/>
          <w:sz w:val="24"/>
          <w:szCs w:val="24"/>
        </w:rPr>
        <w:t>T₃</w:t>
      </w:r>
      <w:r w:rsidRPr="00DC37CE">
        <w:rPr>
          <w:rFonts w:ascii="Times New Roman" w:hAnsi="Times New Roman" w:cs="Times New Roman"/>
          <w:sz w:val="24"/>
          <w:szCs w:val="24"/>
        </w:rPr>
        <w:t xml:space="preserve"> (Azoxystrobin 11% w/w + Tebuconazole 18.3% @ 0.15%) and </w:t>
      </w:r>
      <w:r w:rsidRPr="00083211">
        <w:rPr>
          <w:rFonts w:ascii="Times New Roman" w:hAnsi="Times New Roman" w:cs="Times New Roman"/>
          <w:sz w:val="24"/>
          <w:szCs w:val="24"/>
        </w:rPr>
        <w:t>T₆</w:t>
      </w:r>
      <w:r w:rsidRPr="00DC37CE">
        <w:rPr>
          <w:rFonts w:ascii="Times New Roman" w:hAnsi="Times New Roman" w:cs="Times New Roman"/>
          <w:sz w:val="24"/>
          <w:szCs w:val="24"/>
        </w:rPr>
        <w:t xml:space="preserve"> (</w:t>
      </w:r>
      <w:proofErr w:type="spellStart"/>
      <w:r w:rsidRPr="00DC37CE">
        <w:rPr>
          <w:rFonts w:ascii="Times New Roman" w:hAnsi="Times New Roman" w:cs="Times New Roman"/>
          <w:sz w:val="24"/>
          <w:szCs w:val="24"/>
        </w:rPr>
        <w:t>Kresoxim</w:t>
      </w:r>
      <w:proofErr w:type="spellEnd"/>
      <w:r w:rsidRPr="00DC37CE">
        <w:rPr>
          <w:rFonts w:ascii="Times New Roman" w:hAnsi="Times New Roman" w:cs="Times New Roman"/>
          <w:sz w:val="24"/>
          <w:szCs w:val="24"/>
        </w:rPr>
        <w:t xml:space="preserve"> methyl 18% + Mancozeb 54% WP @ 0.2%) performed best, reducing disease severity to </w:t>
      </w:r>
      <w:r>
        <w:rPr>
          <w:rFonts w:ascii="Times New Roman" w:hAnsi="Times New Roman" w:cs="Times New Roman"/>
          <w:sz w:val="24"/>
          <w:szCs w:val="24"/>
        </w:rPr>
        <w:t>12.28</w:t>
      </w:r>
      <w:r w:rsidRPr="00DC37CE">
        <w:rPr>
          <w:rFonts w:ascii="Times New Roman" w:hAnsi="Times New Roman" w:cs="Times New Roman"/>
          <w:sz w:val="24"/>
          <w:szCs w:val="24"/>
        </w:rPr>
        <w:t xml:space="preserve">% and </w:t>
      </w:r>
      <w:r>
        <w:rPr>
          <w:rFonts w:ascii="Times New Roman" w:hAnsi="Times New Roman" w:cs="Times New Roman"/>
          <w:sz w:val="24"/>
          <w:szCs w:val="24"/>
        </w:rPr>
        <w:t>15.18</w:t>
      </w:r>
      <w:r w:rsidRPr="00DC37CE">
        <w:rPr>
          <w:rFonts w:ascii="Times New Roman" w:hAnsi="Times New Roman" w:cs="Times New Roman"/>
          <w:sz w:val="24"/>
          <w:szCs w:val="24"/>
        </w:rPr>
        <w:t xml:space="preserve">%, respectively, and achieving the highest disease control at </w:t>
      </w:r>
      <w:r>
        <w:rPr>
          <w:rFonts w:ascii="Times New Roman" w:hAnsi="Times New Roman" w:cs="Times New Roman"/>
          <w:sz w:val="24"/>
          <w:szCs w:val="24"/>
        </w:rPr>
        <w:t>66.23</w:t>
      </w:r>
      <w:r w:rsidRPr="00DC37CE">
        <w:rPr>
          <w:rFonts w:ascii="Times New Roman" w:hAnsi="Times New Roman" w:cs="Times New Roman"/>
          <w:sz w:val="24"/>
          <w:szCs w:val="24"/>
        </w:rPr>
        <w:t xml:space="preserve">% and </w:t>
      </w:r>
      <w:r>
        <w:rPr>
          <w:rFonts w:ascii="Times New Roman" w:hAnsi="Times New Roman" w:cs="Times New Roman"/>
          <w:sz w:val="24"/>
          <w:szCs w:val="24"/>
        </w:rPr>
        <w:t>59.51</w:t>
      </w:r>
      <w:r w:rsidRPr="00DC37CE">
        <w:rPr>
          <w:rFonts w:ascii="Times New Roman" w:hAnsi="Times New Roman" w:cs="Times New Roman"/>
          <w:sz w:val="24"/>
          <w:szCs w:val="24"/>
        </w:rPr>
        <w:t xml:space="preserve">%. Other treatments, including </w:t>
      </w:r>
      <w:r w:rsidRPr="00083211">
        <w:rPr>
          <w:rFonts w:ascii="Times New Roman" w:hAnsi="Times New Roman" w:cs="Times New Roman"/>
          <w:sz w:val="24"/>
          <w:szCs w:val="24"/>
        </w:rPr>
        <w:t>T₁</w:t>
      </w:r>
      <w:r w:rsidRPr="00DC37CE">
        <w:rPr>
          <w:rFonts w:ascii="Times New Roman" w:hAnsi="Times New Roman" w:cs="Times New Roman"/>
          <w:sz w:val="24"/>
          <w:szCs w:val="24"/>
        </w:rPr>
        <w:t xml:space="preserve"> (Carbendazim 12% + Mancozeb 63% @ 0.15%), </w:t>
      </w:r>
      <w:r w:rsidRPr="00083211">
        <w:rPr>
          <w:rFonts w:ascii="Times New Roman" w:hAnsi="Times New Roman" w:cs="Times New Roman"/>
          <w:sz w:val="24"/>
          <w:szCs w:val="24"/>
        </w:rPr>
        <w:t>T₄</w:t>
      </w:r>
      <w:r w:rsidRPr="00DC37CE">
        <w:rPr>
          <w:rFonts w:ascii="Times New Roman" w:hAnsi="Times New Roman" w:cs="Times New Roman"/>
          <w:sz w:val="24"/>
          <w:szCs w:val="24"/>
        </w:rPr>
        <w:t xml:space="preserve"> (Aureofungin 46.25 w/w SP @ 0.05%), </w:t>
      </w:r>
      <w:r w:rsidRPr="00083211">
        <w:rPr>
          <w:rFonts w:ascii="Times New Roman" w:hAnsi="Times New Roman" w:cs="Times New Roman"/>
          <w:sz w:val="24"/>
          <w:szCs w:val="24"/>
        </w:rPr>
        <w:t>T₅</w:t>
      </w:r>
      <w:r w:rsidRPr="00DC37CE">
        <w:rPr>
          <w:rFonts w:ascii="Times New Roman" w:hAnsi="Times New Roman" w:cs="Times New Roman"/>
          <w:sz w:val="24"/>
          <w:szCs w:val="24"/>
        </w:rPr>
        <w:t xml:space="preserve"> (Copper sulphate 47.15 + Mancozeb 30% WDG @ 0.5%), and </w:t>
      </w:r>
      <w:r w:rsidRPr="00083211">
        <w:rPr>
          <w:rFonts w:ascii="Times New Roman" w:hAnsi="Times New Roman" w:cs="Times New Roman"/>
          <w:sz w:val="24"/>
          <w:szCs w:val="24"/>
        </w:rPr>
        <w:t>T₇</w:t>
      </w:r>
      <w:r w:rsidRPr="00DC37CE">
        <w:rPr>
          <w:rFonts w:ascii="Times New Roman" w:hAnsi="Times New Roman" w:cs="Times New Roman"/>
          <w:sz w:val="24"/>
          <w:szCs w:val="24"/>
        </w:rPr>
        <w:t xml:space="preserve"> (Potassium salt of Phosphoric acid @ 0.4%), resulted in disease severities ranging from </w:t>
      </w:r>
      <w:r>
        <w:rPr>
          <w:rFonts w:ascii="Times New Roman" w:hAnsi="Times New Roman" w:cs="Times New Roman"/>
          <w:sz w:val="24"/>
          <w:szCs w:val="24"/>
        </w:rPr>
        <w:t>19.21</w:t>
      </w:r>
      <w:r w:rsidRPr="00DC37CE">
        <w:rPr>
          <w:rFonts w:ascii="Times New Roman" w:hAnsi="Times New Roman" w:cs="Times New Roman"/>
          <w:sz w:val="24"/>
          <w:szCs w:val="24"/>
        </w:rPr>
        <w:t xml:space="preserve">% to </w:t>
      </w:r>
      <w:r>
        <w:rPr>
          <w:rFonts w:ascii="Times New Roman" w:hAnsi="Times New Roman" w:cs="Times New Roman"/>
          <w:sz w:val="24"/>
          <w:szCs w:val="24"/>
        </w:rPr>
        <w:t>31.51</w:t>
      </w:r>
      <w:r w:rsidRPr="00DC37CE">
        <w:rPr>
          <w:rFonts w:ascii="Times New Roman" w:hAnsi="Times New Roman" w:cs="Times New Roman"/>
          <w:sz w:val="24"/>
          <w:szCs w:val="24"/>
        </w:rPr>
        <w:t xml:space="preserve">%, with control </w:t>
      </w:r>
      <w:r>
        <w:rPr>
          <w:rFonts w:ascii="Times New Roman" w:hAnsi="Times New Roman" w:cs="Times New Roman"/>
          <w:sz w:val="24"/>
          <w:szCs w:val="24"/>
        </w:rPr>
        <w:t>per cent</w:t>
      </w:r>
      <w:r w:rsidRPr="00DC37CE">
        <w:rPr>
          <w:rFonts w:ascii="Times New Roman" w:hAnsi="Times New Roman" w:cs="Times New Roman"/>
          <w:sz w:val="24"/>
          <w:szCs w:val="24"/>
        </w:rPr>
        <w:t xml:space="preserve">ages between </w:t>
      </w:r>
      <w:r>
        <w:rPr>
          <w:rFonts w:ascii="Times New Roman" w:hAnsi="Times New Roman" w:cs="Times New Roman"/>
          <w:sz w:val="24"/>
          <w:szCs w:val="24"/>
        </w:rPr>
        <w:t>14.73</w:t>
      </w:r>
      <w:r w:rsidRPr="00DC37CE">
        <w:rPr>
          <w:rFonts w:ascii="Times New Roman" w:hAnsi="Times New Roman" w:cs="Times New Roman"/>
          <w:sz w:val="24"/>
          <w:szCs w:val="24"/>
        </w:rPr>
        <w:t xml:space="preserve">% and </w:t>
      </w:r>
      <w:r>
        <w:rPr>
          <w:rFonts w:ascii="Times New Roman" w:hAnsi="Times New Roman" w:cs="Times New Roman"/>
          <w:sz w:val="24"/>
          <w:szCs w:val="24"/>
        </w:rPr>
        <w:t>48.62</w:t>
      </w:r>
      <w:r w:rsidRPr="00DC37CE">
        <w:rPr>
          <w:rFonts w:ascii="Times New Roman" w:hAnsi="Times New Roman" w:cs="Times New Roman"/>
          <w:sz w:val="24"/>
          <w:szCs w:val="24"/>
        </w:rPr>
        <w:t>%. Statistical measures (S.E. (m) ± 1.</w:t>
      </w:r>
      <w:r>
        <w:rPr>
          <w:rFonts w:ascii="Times New Roman" w:hAnsi="Times New Roman" w:cs="Times New Roman"/>
          <w:sz w:val="24"/>
          <w:szCs w:val="24"/>
        </w:rPr>
        <w:t>25</w:t>
      </w:r>
      <w:r w:rsidRPr="00DC37CE">
        <w:rPr>
          <w:rFonts w:ascii="Times New Roman" w:hAnsi="Times New Roman" w:cs="Times New Roman"/>
          <w:sz w:val="24"/>
          <w:szCs w:val="24"/>
        </w:rPr>
        <w:t xml:space="preserve">, CD (5%) </w:t>
      </w:r>
      <w:r>
        <w:rPr>
          <w:rFonts w:ascii="Times New Roman" w:hAnsi="Times New Roman" w:cs="Times New Roman"/>
          <w:sz w:val="24"/>
          <w:szCs w:val="24"/>
        </w:rPr>
        <w:t>3.79</w:t>
      </w:r>
      <w:r w:rsidRPr="00DC37CE">
        <w:rPr>
          <w:rFonts w:ascii="Times New Roman" w:hAnsi="Times New Roman" w:cs="Times New Roman"/>
          <w:sz w:val="24"/>
          <w:szCs w:val="24"/>
        </w:rPr>
        <w:t xml:space="preserve">) confirm the reliability of these findings, with significant differences observed among treatments. </w:t>
      </w:r>
      <w:r w:rsidRPr="00083211">
        <w:rPr>
          <w:rFonts w:ascii="Times New Roman" w:hAnsi="Times New Roman" w:cs="Times New Roman"/>
          <w:sz w:val="24"/>
          <w:szCs w:val="24"/>
        </w:rPr>
        <w:t>T₃</w:t>
      </w:r>
      <w:r w:rsidRPr="00B11246">
        <w:rPr>
          <w:rFonts w:ascii="Times New Roman" w:hAnsi="Times New Roman" w:cs="Times New Roman"/>
          <w:sz w:val="24"/>
          <w:szCs w:val="24"/>
        </w:rPr>
        <w:t xml:space="preserve">, which has the lowest disease severity is </w:t>
      </w:r>
      <w:r>
        <w:rPr>
          <w:rFonts w:ascii="Times New Roman" w:hAnsi="Times New Roman" w:cs="Times New Roman"/>
          <w:sz w:val="24"/>
          <w:szCs w:val="24"/>
        </w:rPr>
        <w:t xml:space="preserve">on par with the subsequent superior treatment </w:t>
      </w:r>
      <w:r w:rsidRPr="00083211">
        <w:rPr>
          <w:rFonts w:ascii="Times New Roman" w:hAnsi="Times New Roman" w:cs="Times New Roman"/>
          <w:sz w:val="24"/>
          <w:szCs w:val="24"/>
        </w:rPr>
        <w:t>T₆</w:t>
      </w:r>
      <w:r>
        <w:rPr>
          <w:rFonts w:ascii="Times New Roman" w:hAnsi="Times New Roman" w:cs="Times New Roman"/>
          <w:sz w:val="24"/>
          <w:szCs w:val="24"/>
        </w:rPr>
        <w:t xml:space="preserve"> </w:t>
      </w:r>
      <w:r w:rsidRPr="00DC37CE">
        <w:rPr>
          <w:rFonts w:ascii="Times New Roman" w:hAnsi="Times New Roman" w:cs="Times New Roman"/>
          <w:sz w:val="24"/>
          <w:szCs w:val="24"/>
        </w:rPr>
        <w:t>(</w:t>
      </w:r>
      <w:proofErr w:type="spellStart"/>
      <w:r w:rsidRPr="00DC37CE">
        <w:rPr>
          <w:rFonts w:ascii="Times New Roman" w:hAnsi="Times New Roman" w:cs="Times New Roman"/>
          <w:sz w:val="24"/>
          <w:szCs w:val="24"/>
        </w:rPr>
        <w:t>Kresoxim</w:t>
      </w:r>
      <w:proofErr w:type="spellEnd"/>
      <w:r w:rsidRPr="00DC37CE">
        <w:rPr>
          <w:rFonts w:ascii="Times New Roman" w:hAnsi="Times New Roman" w:cs="Times New Roman"/>
          <w:sz w:val="24"/>
          <w:szCs w:val="24"/>
        </w:rPr>
        <w:t xml:space="preserve"> methyl 18% + Mancozeb 54% WP @ 0.2%)</w:t>
      </w:r>
      <w:r>
        <w:rPr>
          <w:rFonts w:ascii="Times New Roman" w:hAnsi="Times New Roman" w:cs="Times New Roman"/>
          <w:sz w:val="24"/>
          <w:szCs w:val="24"/>
        </w:rPr>
        <w:t>.</w:t>
      </w:r>
    </w:p>
    <w:p w14:paraId="7F82C6B6" w14:textId="466C93C9" w:rsidR="00FB143C" w:rsidRPr="00FB143C" w:rsidRDefault="00FB143C" w:rsidP="00FB143C">
      <w:pPr>
        <w:spacing w:line="360" w:lineRule="auto"/>
        <w:ind w:firstLine="720"/>
        <w:jc w:val="both"/>
        <w:rPr>
          <w:rFonts w:ascii="Times New Roman" w:eastAsia="Times New Roman" w:hAnsi="Times New Roman" w:cs="Times New Roman"/>
          <w:color w:val="000000"/>
          <w:sz w:val="24"/>
          <w:szCs w:val="24"/>
          <w:lang w:eastAsia="en-GB"/>
        </w:rPr>
      </w:pPr>
      <w:r w:rsidRPr="00DC37CE">
        <w:rPr>
          <w:rFonts w:ascii="Times New Roman" w:hAnsi="Times New Roman" w:cs="Times New Roman"/>
          <w:sz w:val="24"/>
          <w:szCs w:val="24"/>
        </w:rPr>
        <w:t>These findings are consistent with those reported by Kumar and Sharma (2020), who evaluated fungicides for powdery mildew (</w:t>
      </w:r>
      <w:proofErr w:type="spellStart"/>
      <w:r w:rsidRPr="00DC37CE">
        <w:rPr>
          <w:rFonts w:ascii="Times New Roman" w:hAnsi="Times New Roman" w:cs="Times New Roman"/>
          <w:i/>
          <w:iCs/>
          <w:sz w:val="24"/>
          <w:szCs w:val="24"/>
        </w:rPr>
        <w:t>Leveillula</w:t>
      </w:r>
      <w:proofErr w:type="spellEnd"/>
      <w:r w:rsidRPr="00DC37CE">
        <w:rPr>
          <w:rFonts w:ascii="Times New Roman" w:hAnsi="Times New Roman" w:cs="Times New Roman"/>
          <w:i/>
          <w:iCs/>
          <w:sz w:val="24"/>
          <w:szCs w:val="24"/>
        </w:rPr>
        <w:t xml:space="preserve"> </w:t>
      </w:r>
      <w:proofErr w:type="spellStart"/>
      <w:r w:rsidRPr="00DC37CE">
        <w:rPr>
          <w:rFonts w:ascii="Times New Roman" w:hAnsi="Times New Roman" w:cs="Times New Roman"/>
          <w:i/>
          <w:iCs/>
          <w:sz w:val="24"/>
          <w:szCs w:val="24"/>
        </w:rPr>
        <w:t>taurica</w:t>
      </w:r>
      <w:proofErr w:type="spellEnd"/>
      <w:r w:rsidRPr="00DC37CE">
        <w:rPr>
          <w:rFonts w:ascii="Times New Roman" w:hAnsi="Times New Roman" w:cs="Times New Roman"/>
          <w:sz w:val="24"/>
          <w:szCs w:val="24"/>
        </w:rPr>
        <w:t xml:space="preserve">) management in </w:t>
      </w:r>
      <w:proofErr w:type="spellStart"/>
      <w:r w:rsidRPr="00DC37CE">
        <w:rPr>
          <w:rFonts w:ascii="Times New Roman" w:hAnsi="Times New Roman" w:cs="Times New Roman"/>
          <w:sz w:val="24"/>
          <w:szCs w:val="24"/>
        </w:rPr>
        <w:t>chilli</w:t>
      </w:r>
      <w:proofErr w:type="spellEnd"/>
      <w:r>
        <w:rPr>
          <w:rFonts w:ascii="Times New Roman" w:hAnsi="Times New Roman" w:cs="Times New Roman"/>
          <w:sz w:val="24"/>
          <w:szCs w:val="24"/>
        </w:rPr>
        <w:t xml:space="preserve">. Similarly, </w:t>
      </w:r>
      <w:r w:rsidRPr="004014BA">
        <w:rPr>
          <w:rFonts w:ascii="Times New Roman" w:eastAsia="Times New Roman" w:hAnsi="Times New Roman" w:cs="Times New Roman"/>
          <w:color w:val="000000"/>
          <w:sz w:val="24"/>
          <w:szCs w:val="24"/>
          <w:lang w:eastAsia="en-GB"/>
        </w:rPr>
        <w:t xml:space="preserve">Yasmin, </w:t>
      </w:r>
      <w:r w:rsidRPr="00742633">
        <w:rPr>
          <w:rFonts w:ascii="Times New Roman" w:eastAsia="Times New Roman" w:hAnsi="Times New Roman" w:cs="Times New Roman"/>
          <w:i/>
          <w:iCs/>
          <w:color w:val="000000"/>
          <w:sz w:val="24"/>
          <w:szCs w:val="24"/>
          <w:lang w:eastAsia="en-GB"/>
        </w:rPr>
        <w:t>et al</w:t>
      </w:r>
      <w:r w:rsidRPr="004014BA">
        <w:rPr>
          <w:rFonts w:ascii="Times New Roman" w:eastAsia="Times New Roman" w:hAnsi="Times New Roman" w:cs="Times New Roman"/>
          <w:i/>
          <w:iCs/>
          <w:color w:val="000000"/>
          <w:sz w:val="24"/>
          <w:szCs w:val="24"/>
          <w:lang w:eastAsia="en-GB"/>
        </w:rPr>
        <w:t>.</w:t>
      </w:r>
      <w:r w:rsidRPr="004014BA">
        <w:rPr>
          <w:rFonts w:ascii="Times New Roman" w:eastAsia="Times New Roman" w:hAnsi="Times New Roman" w:cs="Times New Roman"/>
          <w:color w:val="000000"/>
          <w:sz w:val="24"/>
          <w:szCs w:val="24"/>
          <w:lang w:eastAsia="en-GB"/>
        </w:rPr>
        <w:t xml:space="preserve"> (2008)</w:t>
      </w:r>
      <w:r>
        <w:rPr>
          <w:rFonts w:ascii="Times New Roman" w:eastAsia="Times New Roman" w:hAnsi="Times New Roman" w:cs="Times New Roman"/>
          <w:color w:val="000000"/>
          <w:sz w:val="24"/>
          <w:szCs w:val="24"/>
          <w:lang w:eastAsia="en-GB"/>
        </w:rPr>
        <w:t xml:space="preserve"> e</w:t>
      </w:r>
      <w:r w:rsidRPr="004014BA">
        <w:rPr>
          <w:rFonts w:ascii="Times New Roman" w:eastAsia="Times New Roman" w:hAnsi="Times New Roman" w:cs="Times New Roman"/>
          <w:color w:val="000000"/>
          <w:sz w:val="24"/>
          <w:szCs w:val="24"/>
          <w:lang w:eastAsia="en-GB"/>
        </w:rPr>
        <w:t xml:space="preserve">valuated the fungicides </w:t>
      </w:r>
      <w:r w:rsidRPr="001C12FB">
        <w:rPr>
          <w:rFonts w:ascii="Times New Roman" w:eastAsia="Times New Roman" w:hAnsi="Times New Roman" w:cs="Times New Roman"/>
          <w:i/>
          <w:iCs/>
          <w:color w:val="000000"/>
          <w:sz w:val="24"/>
          <w:szCs w:val="24"/>
          <w:lang w:eastAsia="en-GB"/>
        </w:rPr>
        <w:t>in vivo</w:t>
      </w:r>
      <w:r>
        <w:rPr>
          <w:rFonts w:ascii="Times New Roman" w:eastAsia="Times New Roman" w:hAnsi="Times New Roman" w:cs="Times New Roman"/>
          <w:color w:val="000000"/>
          <w:sz w:val="24"/>
          <w:szCs w:val="24"/>
          <w:lang w:eastAsia="en-GB"/>
        </w:rPr>
        <w:t xml:space="preserve"> </w:t>
      </w:r>
      <w:r w:rsidRPr="004014BA">
        <w:rPr>
          <w:rFonts w:ascii="Times New Roman" w:eastAsia="Times New Roman" w:hAnsi="Times New Roman" w:cs="Times New Roman"/>
          <w:color w:val="000000"/>
          <w:sz w:val="24"/>
          <w:szCs w:val="24"/>
          <w:lang w:eastAsia="en-GB"/>
        </w:rPr>
        <w:t xml:space="preserve">viz., Wettable Sulphur 80% WP @ 0.2%, Carbendazim 50% WP @ 0.1%, and </w:t>
      </w:r>
      <w:proofErr w:type="spellStart"/>
      <w:r w:rsidRPr="004014BA">
        <w:rPr>
          <w:rFonts w:ascii="Times New Roman" w:eastAsia="Times New Roman" w:hAnsi="Times New Roman" w:cs="Times New Roman"/>
          <w:color w:val="000000"/>
          <w:sz w:val="24"/>
          <w:szCs w:val="24"/>
          <w:lang w:eastAsia="en-GB"/>
        </w:rPr>
        <w:t>Metalaxyl</w:t>
      </w:r>
      <w:proofErr w:type="spellEnd"/>
      <w:r w:rsidRPr="004014BA">
        <w:rPr>
          <w:rFonts w:ascii="Times New Roman" w:eastAsia="Times New Roman" w:hAnsi="Times New Roman" w:cs="Times New Roman"/>
          <w:color w:val="000000"/>
          <w:sz w:val="24"/>
          <w:szCs w:val="24"/>
          <w:lang w:eastAsia="en-GB"/>
        </w:rPr>
        <w:t xml:space="preserve"> 8% + Mancozeb 64% WP @ 0.25% to manage powdery mildew of sweet gourd, at two different locations.</w:t>
      </w:r>
      <w:r w:rsidRPr="0086688A">
        <w:rPr>
          <w:rFonts w:ascii="Times New Roman" w:eastAsia="Times New Roman" w:hAnsi="Times New Roman" w:cs="Times New Roman"/>
          <w:color w:val="000000"/>
          <w:sz w:val="24"/>
          <w:szCs w:val="24"/>
          <w:lang w:val="en-GB" w:eastAsia="en-GB"/>
        </w:rPr>
        <w:t xml:space="preserve"> </w:t>
      </w:r>
      <w:r>
        <w:rPr>
          <w:rFonts w:ascii="Times New Roman" w:eastAsia="Times New Roman" w:hAnsi="Times New Roman" w:cs="Times New Roman"/>
          <w:color w:val="000000"/>
          <w:sz w:val="24"/>
          <w:szCs w:val="24"/>
          <w:lang w:val="en-GB" w:eastAsia="en-GB"/>
        </w:rPr>
        <w:t xml:space="preserve">Furthermore, </w:t>
      </w:r>
      <w:r w:rsidRPr="004014BA">
        <w:rPr>
          <w:rFonts w:ascii="Times New Roman" w:eastAsia="Times New Roman" w:hAnsi="Times New Roman" w:cs="Times New Roman"/>
          <w:color w:val="000000"/>
          <w:sz w:val="24"/>
          <w:szCs w:val="24"/>
          <w:lang w:val="en-GB" w:eastAsia="en-GB"/>
        </w:rPr>
        <w:t>Anand</w:t>
      </w:r>
      <w:r>
        <w:rPr>
          <w:rFonts w:ascii="Times New Roman" w:eastAsia="Times New Roman" w:hAnsi="Times New Roman" w:cs="Times New Roman"/>
          <w:color w:val="000000"/>
          <w:sz w:val="24"/>
          <w:szCs w:val="24"/>
          <w:lang w:val="en-GB" w:eastAsia="en-GB"/>
        </w:rPr>
        <w:t xml:space="preserve"> </w:t>
      </w:r>
      <w:r w:rsidRPr="00742633">
        <w:rPr>
          <w:rFonts w:ascii="Times New Roman" w:eastAsia="Times New Roman" w:hAnsi="Times New Roman" w:cs="Times New Roman"/>
          <w:i/>
          <w:iCs/>
          <w:color w:val="000000"/>
          <w:sz w:val="24"/>
          <w:szCs w:val="24"/>
          <w:lang w:val="en-GB" w:eastAsia="en-GB"/>
        </w:rPr>
        <w:t>et al</w:t>
      </w:r>
      <w:r w:rsidRPr="004014BA">
        <w:rPr>
          <w:rFonts w:ascii="Times New Roman" w:eastAsia="Times New Roman" w:hAnsi="Times New Roman" w:cs="Times New Roman"/>
          <w:i/>
          <w:iCs/>
          <w:color w:val="000000"/>
          <w:sz w:val="24"/>
          <w:szCs w:val="24"/>
          <w:lang w:val="en-GB" w:eastAsia="en-GB"/>
        </w:rPr>
        <w:t>.</w:t>
      </w:r>
      <w:r w:rsidRPr="004014BA">
        <w:rPr>
          <w:rFonts w:ascii="Times New Roman" w:eastAsia="Times New Roman" w:hAnsi="Times New Roman" w:cs="Times New Roman"/>
          <w:color w:val="000000"/>
          <w:sz w:val="24"/>
          <w:szCs w:val="24"/>
          <w:lang w:val="en-GB" w:eastAsia="en-GB"/>
        </w:rPr>
        <w:t xml:space="preserve"> (2008)</w:t>
      </w:r>
      <w:r>
        <w:rPr>
          <w:rFonts w:ascii="Times New Roman" w:eastAsia="Times New Roman" w:hAnsi="Times New Roman" w:cs="Times New Roman"/>
          <w:color w:val="000000"/>
          <w:sz w:val="24"/>
          <w:szCs w:val="24"/>
          <w:lang w:val="en-GB" w:eastAsia="en-GB"/>
        </w:rPr>
        <w:t>, ev</w:t>
      </w:r>
      <w:r w:rsidRPr="004014BA">
        <w:rPr>
          <w:rFonts w:ascii="Times New Roman" w:eastAsia="Times New Roman" w:hAnsi="Times New Roman" w:cs="Times New Roman"/>
          <w:color w:val="000000"/>
          <w:sz w:val="24"/>
          <w:szCs w:val="24"/>
          <w:lang w:val="en-GB" w:eastAsia="en-GB"/>
        </w:rPr>
        <w:t xml:space="preserve">aluated Azoxystrobin at various doses (31.25, 62.50 &amp; 125 g </w:t>
      </w:r>
      <w:proofErr w:type="spellStart"/>
      <w:r w:rsidRPr="004014BA">
        <w:rPr>
          <w:rFonts w:ascii="Times New Roman" w:eastAsia="Times New Roman" w:hAnsi="Times New Roman" w:cs="Times New Roman"/>
          <w:color w:val="000000"/>
          <w:sz w:val="24"/>
          <w:szCs w:val="24"/>
          <w:lang w:val="en-GB" w:eastAsia="en-GB"/>
        </w:rPr>
        <w:t>a.i.</w:t>
      </w:r>
      <w:proofErr w:type="spellEnd"/>
      <w:r w:rsidRPr="004014BA">
        <w:rPr>
          <w:rFonts w:ascii="Times New Roman" w:eastAsia="Times New Roman" w:hAnsi="Times New Roman" w:cs="Times New Roman"/>
          <w:color w:val="000000"/>
          <w:sz w:val="24"/>
          <w:szCs w:val="24"/>
          <w:lang w:val="en-GB" w:eastAsia="en-GB"/>
        </w:rPr>
        <w:t xml:space="preserve">/ha), Mancozeb 75% WP @ </w:t>
      </w:r>
      <w:r w:rsidRPr="004014BA">
        <w:rPr>
          <w:rFonts w:ascii="Times New Roman" w:eastAsia="Times New Roman" w:hAnsi="Times New Roman" w:cs="Times New Roman"/>
          <w:color w:val="000000"/>
          <w:sz w:val="24"/>
          <w:szCs w:val="24"/>
          <w:lang w:val="en-GB" w:eastAsia="en-GB"/>
        </w:rPr>
        <w:lastRenderedPageBreak/>
        <w:t>1 kg/ha, and Carbendazim 50% WP @ 500 g/ha to manage cucumber powdery mildew (</w:t>
      </w:r>
      <w:r w:rsidRPr="007C007E">
        <w:rPr>
          <w:rFonts w:ascii="Times New Roman" w:eastAsia="Times New Roman" w:hAnsi="Times New Roman" w:cs="Times New Roman"/>
          <w:i/>
          <w:iCs/>
          <w:color w:val="000000"/>
          <w:sz w:val="24"/>
          <w:szCs w:val="24"/>
          <w:lang w:val="en-GB" w:eastAsia="en-GB"/>
        </w:rPr>
        <w:t xml:space="preserve">Erysiphe </w:t>
      </w:r>
      <w:proofErr w:type="spellStart"/>
      <w:r w:rsidRPr="007C007E">
        <w:rPr>
          <w:rFonts w:ascii="Times New Roman" w:eastAsia="Times New Roman" w:hAnsi="Times New Roman" w:cs="Times New Roman"/>
          <w:i/>
          <w:iCs/>
          <w:color w:val="000000"/>
          <w:sz w:val="24"/>
          <w:szCs w:val="24"/>
          <w:lang w:val="en-GB" w:eastAsia="en-GB"/>
        </w:rPr>
        <w:t>cichoracearum</w:t>
      </w:r>
      <w:proofErr w:type="spellEnd"/>
      <w:r>
        <w:rPr>
          <w:rFonts w:ascii="Times New Roman" w:eastAsia="Times New Roman" w:hAnsi="Times New Roman" w:cs="Times New Roman"/>
          <w:i/>
          <w:iCs/>
          <w:color w:val="000000"/>
          <w:sz w:val="24"/>
          <w:szCs w:val="24"/>
          <w:lang w:val="en-GB" w:eastAsia="en-GB"/>
        </w:rPr>
        <w:t>).</w:t>
      </w:r>
    </w:p>
    <w:p w14:paraId="67DBBAFE" w14:textId="73DB714E" w:rsidR="00345F90" w:rsidRPr="00A425C8" w:rsidRDefault="00345F90" w:rsidP="00942D75">
      <w:pPr>
        <w:spacing w:line="360" w:lineRule="auto"/>
        <w:ind w:left="851" w:hanging="851"/>
        <w:jc w:val="both"/>
        <w:rPr>
          <w:rFonts w:ascii="Times New Roman" w:hAnsi="Times New Roman" w:cs="Times New Roman"/>
          <w:b/>
          <w:bCs/>
          <w:sz w:val="24"/>
          <w:szCs w:val="24"/>
        </w:rPr>
      </w:pPr>
      <w:r w:rsidRPr="00A425C8">
        <w:rPr>
          <w:rFonts w:ascii="Times New Roman" w:hAnsi="Times New Roman" w:cs="Times New Roman"/>
          <w:b/>
          <w:bCs/>
          <w:sz w:val="24"/>
          <w:szCs w:val="24"/>
        </w:rPr>
        <w:t>AUDPC analysis of Powdery Mildew control in sponge gourd across treatments</w:t>
      </w:r>
    </w:p>
    <w:p w14:paraId="73A17D89" w14:textId="46728189" w:rsidR="00345F90" w:rsidRDefault="00345F90" w:rsidP="00345F90">
      <w:pPr>
        <w:spacing w:line="360" w:lineRule="auto"/>
        <w:ind w:firstLine="720"/>
        <w:jc w:val="both"/>
        <w:rPr>
          <w:rFonts w:ascii="Times New Roman" w:hAnsi="Times New Roman" w:cs="Times New Roman"/>
          <w:sz w:val="24"/>
          <w:szCs w:val="24"/>
        </w:rPr>
      </w:pPr>
      <w:r w:rsidRPr="00333B1B">
        <w:rPr>
          <w:rFonts w:ascii="Times New Roman" w:hAnsi="Times New Roman" w:cs="Times New Roman"/>
          <w:sz w:val="24"/>
          <w:szCs w:val="24"/>
        </w:rPr>
        <w:t xml:space="preserve">As shown in Table </w:t>
      </w:r>
      <w:r w:rsidR="00B964A2">
        <w:rPr>
          <w:rFonts w:ascii="Times New Roman" w:hAnsi="Times New Roman" w:cs="Times New Roman"/>
          <w:sz w:val="24"/>
          <w:szCs w:val="24"/>
        </w:rPr>
        <w:t>2</w:t>
      </w:r>
      <w:r w:rsidRPr="00333B1B">
        <w:rPr>
          <w:rFonts w:ascii="Times New Roman" w:hAnsi="Times New Roman" w:cs="Times New Roman"/>
          <w:sz w:val="24"/>
          <w:szCs w:val="24"/>
        </w:rPr>
        <w:t>, the AUDPC values exhibited a wide range, reflecting the diverse impact of the eight treatments (</w:t>
      </w:r>
      <w:r w:rsidRPr="00C52FD2">
        <w:rPr>
          <w:rFonts w:ascii="Times New Roman" w:hAnsi="Times New Roman" w:cs="Times New Roman"/>
          <w:sz w:val="24"/>
          <w:szCs w:val="24"/>
        </w:rPr>
        <w:t>T₁</w:t>
      </w:r>
      <w:r w:rsidRPr="00333B1B">
        <w:rPr>
          <w:rFonts w:ascii="Times New Roman" w:hAnsi="Times New Roman" w:cs="Times New Roman"/>
          <w:sz w:val="24"/>
          <w:szCs w:val="24"/>
        </w:rPr>
        <w:t xml:space="preserve"> to </w:t>
      </w:r>
      <w:r w:rsidRPr="00C52FD2">
        <w:rPr>
          <w:rFonts w:ascii="Times New Roman" w:hAnsi="Times New Roman" w:cs="Times New Roman"/>
          <w:sz w:val="24"/>
          <w:szCs w:val="24"/>
        </w:rPr>
        <w:t>T₈</w:t>
      </w:r>
      <w:r w:rsidRPr="00333B1B">
        <w:rPr>
          <w:rFonts w:ascii="Times New Roman" w:hAnsi="Times New Roman" w:cs="Times New Roman"/>
          <w:sz w:val="24"/>
          <w:szCs w:val="24"/>
        </w:rPr>
        <w:t xml:space="preserve">) on powdery mildew. The control treatment recorded the highest AUDPC value of 901.55, indicating the most extensive disease progression due to the absence of any intervention. In contrast, treatments </w:t>
      </w:r>
      <w:r w:rsidRPr="00C52FD2">
        <w:rPr>
          <w:rFonts w:ascii="Times New Roman" w:hAnsi="Times New Roman" w:cs="Times New Roman"/>
          <w:sz w:val="24"/>
          <w:szCs w:val="24"/>
        </w:rPr>
        <w:t>T₃</w:t>
      </w:r>
      <w:r w:rsidRPr="00333B1B">
        <w:rPr>
          <w:rFonts w:ascii="Times New Roman" w:hAnsi="Times New Roman" w:cs="Times New Roman"/>
          <w:sz w:val="24"/>
          <w:szCs w:val="24"/>
        </w:rPr>
        <w:t xml:space="preserve"> and </w:t>
      </w:r>
      <w:r w:rsidRPr="00C52FD2">
        <w:rPr>
          <w:rFonts w:ascii="Times New Roman" w:hAnsi="Times New Roman" w:cs="Times New Roman"/>
          <w:sz w:val="24"/>
          <w:szCs w:val="24"/>
        </w:rPr>
        <w:t>T₆</w:t>
      </w:r>
      <w:r w:rsidRPr="00333B1B">
        <w:rPr>
          <w:rFonts w:ascii="Times New Roman" w:hAnsi="Times New Roman" w:cs="Times New Roman"/>
          <w:sz w:val="24"/>
          <w:szCs w:val="24"/>
        </w:rPr>
        <w:t xml:space="preserve"> demonstrated the lowest AUDPC values, at 311.10 and 531.35 respectively. These results suggest that </w:t>
      </w:r>
      <w:r w:rsidRPr="00C52FD2">
        <w:rPr>
          <w:rFonts w:ascii="Times New Roman" w:hAnsi="Times New Roman" w:cs="Times New Roman"/>
          <w:sz w:val="24"/>
          <w:szCs w:val="24"/>
        </w:rPr>
        <w:t>T₃</w:t>
      </w:r>
      <w:r w:rsidRPr="00333B1B">
        <w:rPr>
          <w:rFonts w:ascii="Times New Roman" w:hAnsi="Times New Roman" w:cs="Times New Roman"/>
          <w:sz w:val="24"/>
          <w:szCs w:val="24"/>
        </w:rPr>
        <w:t xml:space="preserve">, applied at a 0.15% concentration, and </w:t>
      </w:r>
      <w:r w:rsidRPr="00C52FD2">
        <w:rPr>
          <w:rFonts w:ascii="Times New Roman" w:hAnsi="Times New Roman" w:cs="Times New Roman"/>
          <w:sz w:val="24"/>
          <w:szCs w:val="24"/>
        </w:rPr>
        <w:t>T₆</w:t>
      </w:r>
      <w:r w:rsidRPr="00333B1B">
        <w:rPr>
          <w:rFonts w:ascii="Times New Roman" w:hAnsi="Times New Roman" w:cs="Times New Roman"/>
          <w:sz w:val="24"/>
          <w:szCs w:val="24"/>
        </w:rPr>
        <w:t>, at 0.2%, were highly effective in curbing disease development by consistently suppressing powdery mildew growth across the observation period of 10 days after each of the three sprays.</w:t>
      </w:r>
    </w:p>
    <w:p w14:paraId="520E4C9B" w14:textId="77777777" w:rsidR="000866E8" w:rsidRDefault="00B964A2" w:rsidP="000866E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0866E8">
        <w:rPr>
          <w:rFonts w:ascii="Times New Roman" w:hAnsi="Times New Roman" w:cs="Times New Roman"/>
          <w:b/>
          <w:bCs/>
          <w:sz w:val="24"/>
          <w:szCs w:val="24"/>
        </w:rPr>
        <w:t>5.</w:t>
      </w:r>
      <w:r>
        <w:rPr>
          <w:rFonts w:ascii="Times New Roman" w:hAnsi="Times New Roman" w:cs="Times New Roman"/>
          <w:b/>
          <w:bCs/>
          <w:sz w:val="24"/>
          <w:szCs w:val="24"/>
        </w:rPr>
        <w:t xml:space="preserve"> </w:t>
      </w:r>
      <w:r w:rsidR="00345F90" w:rsidRPr="0044433E">
        <w:rPr>
          <w:rFonts w:ascii="Times New Roman" w:hAnsi="Times New Roman" w:cs="Times New Roman"/>
          <w:b/>
          <w:bCs/>
          <w:sz w:val="24"/>
          <w:szCs w:val="24"/>
        </w:rPr>
        <w:t>Effect of different fungicidal treatments on AUDPC of Powdery mildew in</w:t>
      </w:r>
    </w:p>
    <w:p w14:paraId="379B9CD0" w14:textId="7A69AC9C" w:rsidR="00345F90" w:rsidRDefault="000866E8" w:rsidP="000866E8">
      <w:pPr>
        <w:spacing w:after="0" w:line="360" w:lineRule="auto"/>
        <w:ind w:left="284"/>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45F90" w:rsidRPr="0044433E">
        <w:rPr>
          <w:rFonts w:ascii="Times New Roman" w:hAnsi="Times New Roman" w:cs="Times New Roman"/>
          <w:b/>
          <w:bCs/>
          <w:sz w:val="24"/>
          <w:szCs w:val="24"/>
        </w:rPr>
        <w:t>sponge gourd</w:t>
      </w:r>
    </w:p>
    <w:tbl>
      <w:tblPr>
        <w:tblpPr w:leftFromText="180" w:rightFromText="180" w:vertAnchor="text" w:horzAnchor="margin" w:tblpY="86"/>
        <w:tblW w:w="9067" w:type="dxa"/>
        <w:tblLayout w:type="fixed"/>
        <w:tblLook w:val="04A0" w:firstRow="1" w:lastRow="0" w:firstColumn="1" w:lastColumn="0" w:noHBand="0" w:noVBand="1"/>
      </w:tblPr>
      <w:tblGrid>
        <w:gridCol w:w="691"/>
        <w:gridCol w:w="838"/>
        <w:gridCol w:w="1115"/>
        <w:gridCol w:w="1254"/>
        <w:gridCol w:w="1115"/>
        <w:gridCol w:w="1256"/>
        <w:gridCol w:w="837"/>
        <w:gridCol w:w="976"/>
        <w:gridCol w:w="985"/>
      </w:tblGrid>
      <w:tr w:rsidR="00345F90" w:rsidRPr="00345F90" w14:paraId="5B3337BF" w14:textId="77777777" w:rsidTr="00345F90">
        <w:trPr>
          <w:trHeight w:val="654"/>
        </w:trPr>
        <w:tc>
          <w:tcPr>
            <w:tcW w:w="691"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40D115B0" w14:textId="77777777" w:rsidR="00345F90" w:rsidRPr="00345F90" w:rsidRDefault="00345F90" w:rsidP="00676757">
            <w:pPr>
              <w:spacing w:after="0" w:line="240" w:lineRule="auto"/>
              <w:jc w:val="center"/>
              <w:rPr>
                <w:rFonts w:ascii="Times New Roman" w:hAnsi="Times New Roman" w:cs="Times New Roman"/>
                <w:b/>
                <w:bCs/>
                <w:sz w:val="20"/>
                <w:szCs w:val="20"/>
              </w:rPr>
            </w:pPr>
            <w:r w:rsidRPr="00345F90">
              <w:rPr>
                <w:rFonts w:ascii="Times New Roman" w:hAnsi="Times New Roman" w:cs="Times New Roman"/>
                <w:b/>
                <w:bCs/>
                <w:sz w:val="20"/>
                <w:szCs w:val="20"/>
              </w:rPr>
              <w:t>Tr.</w:t>
            </w:r>
          </w:p>
          <w:p w14:paraId="32A19844" w14:textId="78B131D1" w:rsidR="00345F90" w:rsidRPr="00345F90" w:rsidRDefault="00345F90" w:rsidP="00676757">
            <w:pPr>
              <w:spacing w:after="0" w:line="240" w:lineRule="auto"/>
              <w:jc w:val="center"/>
              <w:rPr>
                <w:rFonts w:ascii="Times New Roman" w:hAnsi="Times New Roman" w:cs="Times New Roman"/>
                <w:b/>
                <w:bCs/>
                <w:sz w:val="20"/>
                <w:szCs w:val="20"/>
              </w:rPr>
            </w:pPr>
            <w:r w:rsidRPr="00345F90">
              <w:rPr>
                <w:rFonts w:ascii="Times New Roman" w:hAnsi="Times New Roman" w:cs="Times New Roman"/>
                <w:b/>
                <w:bCs/>
                <w:sz w:val="20"/>
                <w:szCs w:val="20"/>
              </w:rPr>
              <w:t>No.</w:t>
            </w:r>
          </w:p>
        </w:tc>
        <w:tc>
          <w:tcPr>
            <w:tcW w:w="838"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7C5B4337" w14:textId="77777777" w:rsidR="00345F90" w:rsidRPr="00345F90" w:rsidRDefault="00345F90" w:rsidP="00676757">
            <w:pPr>
              <w:spacing w:after="0" w:line="240" w:lineRule="auto"/>
              <w:jc w:val="center"/>
              <w:rPr>
                <w:rFonts w:ascii="Times New Roman" w:hAnsi="Times New Roman" w:cs="Times New Roman"/>
                <w:b/>
                <w:bCs/>
                <w:sz w:val="20"/>
                <w:szCs w:val="20"/>
              </w:rPr>
            </w:pPr>
            <w:r w:rsidRPr="00345F90">
              <w:rPr>
                <w:rFonts w:ascii="Times New Roman" w:hAnsi="Times New Roman" w:cs="Times New Roman"/>
                <w:b/>
                <w:bCs/>
                <w:sz w:val="20"/>
                <w:szCs w:val="20"/>
              </w:rPr>
              <w:t>Conc. (%)</w:t>
            </w:r>
          </w:p>
        </w:tc>
        <w:tc>
          <w:tcPr>
            <w:tcW w:w="1115"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542E7F01" w14:textId="77777777" w:rsidR="00345F90" w:rsidRPr="00345F90" w:rsidRDefault="00345F90" w:rsidP="00676757">
            <w:pPr>
              <w:spacing w:after="0" w:line="240" w:lineRule="auto"/>
              <w:jc w:val="center"/>
              <w:rPr>
                <w:rFonts w:ascii="Times New Roman" w:hAnsi="Times New Roman" w:cs="Times New Roman"/>
                <w:b/>
                <w:bCs/>
                <w:sz w:val="20"/>
                <w:szCs w:val="20"/>
              </w:rPr>
            </w:pPr>
            <w:r w:rsidRPr="00345F90">
              <w:rPr>
                <w:rFonts w:ascii="Times New Roman" w:hAnsi="Times New Roman" w:cs="Times New Roman"/>
                <w:b/>
                <w:bCs/>
                <w:sz w:val="20"/>
                <w:szCs w:val="20"/>
              </w:rPr>
              <w:t>PDI before first spray</w:t>
            </w:r>
          </w:p>
        </w:tc>
        <w:tc>
          <w:tcPr>
            <w:tcW w:w="3625" w:type="dxa"/>
            <w:gridSpan w:val="3"/>
            <w:tcBorders>
              <w:top w:val="single" w:sz="4" w:space="0" w:color="auto"/>
              <w:left w:val="nil"/>
              <w:bottom w:val="single" w:sz="4" w:space="0" w:color="auto"/>
              <w:right w:val="single" w:sz="4" w:space="0" w:color="000000"/>
            </w:tcBorders>
            <w:noWrap/>
            <w:vAlign w:val="bottom"/>
            <w:hideMark/>
          </w:tcPr>
          <w:p w14:paraId="16CB241B" w14:textId="77777777" w:rsidR="00345F90" w:rsidRPr="00345F90" w:rsidRDefault="00345F90" w:rsidP="00676757">
            <w:pPr>
              <w:spacing w:after="0" w:line="240" w:lineRule="auto"/>
              <w:jc w:val="center"/>
              <w:rPr>
                <w:rFonts w:ascii="Times New Roman" w:hAnsi="Times New Roman" w:cs="Times New Roman"/>
                <w:b/>
                <w:bCs/>
                <w:sz w:val="20"/>
                <w:szCs w:val="20"/>
              </w:rPr>
            </w:pPr>
            <w:r w:rsidRPr="00345F90">
              <w:rPr>
                <w:rFonts w:ascii="Times New Roman" w:hAnsi="Times New Roman" w:cs="Times New Roman"/>
                <w:b/>
                <w:bCs/>
                <w:sz w:val="20"/>
                <w:szCs w:val="20"/>
              </w:rPr>
              <w:t>PDI after</w:t>
            </w:r>
          </w:p>
        </w:tc>
        <w:tc>
          <w:tcPr>
            <w:tcW w:w="837" w:type="dxa"/>
            <w:vMerge w:val="restart"/>
            <w:tcBorders>
              <w:top w:val="single" w:sz="4" w:space="0" w:color="auto"/>
              <w:left w:val="nil"/>
              <w:right w:val="single" w:sz="4" w:space="0" w:color="auto"/>
            </w:tcBorders>
            <w:noWrap/>
            <w:vAlign w:val="bottom"/>
            <w:hideMark/>
          </w:tcPr>
          <w:p w14:paraId="0A34D204" w14:textId="77777777" w:rsidR="00345F90" w:rsidRPr="00345F90" w:rsidRDefault="00345F90" w:rsidP="00676757">
            <w:pPr>
              <w:spacing w:after="0" w:line="240" w:lineRule="auto"/>
              <w:jc w:val="center"/>
              <w:rPr>
                <w:rFonts w:ascii="Times New Roman" w:hAnsi="Times New Roman" w:cs="Times New Roman"/>
                <w:b/>
                <w:bCs/>
                <w:sz w:val="20"/>
                <w:szCs w:val="20"/>
              </w:rPr>
            </w:pPr>
            <w:r w:rsidRPr="00345F90">
              <w:rPr>
                <w:rFonts w:ascii="Times New Roman" w:hAnsi="Times New Roman" w:cs="Times New Roman"/>
                <w:b/>
                <w:bCs/>
                <w:sz w:val="20"/>
                <w:szCs w:val="20"/>
              </w:rPr>
              <w:t>Mean</w:t>
            </w:r>
          </w:p>
          <w:p w14:paraId="27698B64" w14:textId="77777777" w:rsidR="00345F90" w:rsidRPr="00345F90" w:rsidRDefault="00345F90" w:rsidP="00676757">
            <w:pPr>
              <w:spacing w:after="0" w:line="240" w:lineRule="auto"/>
              <w:jc w:val="right"/>
              <w:rPr>
                <w:rFonts w:ascii="Times New Roman" w:hAnsi="Times New Roman" w:cs="Times New Roman"/>
                <w:b/>
                <w:bCs/>
                <w:sz w:val="20"/>
                <w:szCs w:val="20"/>
              </w:rPr>
            </w:pPr>
            <w:r w:rsidRPr="00345F90">
              <w:rPr>
                <w:rFonts w:ascii="Times New Roman" w:hAnsi="Times New Roman" w:cs="Times New Roman"/>
                <w:b/>
                <w:bCs/>
                <w:sz w:val="20"/>
                <w:szCs w:val="20"/>
              </w:rPr>
              <w:t> </w:t>
            </w:r>
          </w:p>
        </w:tc>
        <w:tc>
          <w:tcPr>
            <w:tcW w:w="976" w:type="dxa"/>
            <w:vMerge w:val="restart"/>
            <w:tcBorders>
              <w:top w:val="single" w:sz="4" w:space="0" w:color="auto"/>
              <w:left w:val="nil"/>
              <w:right w:val="single" w:sz="4" w:space="0" w:color="auto"/>
            </w:tcBorders>
            <w:noWrap/>
            <w:vAlign w:val="bottom"/>
            <w:hideMark/>
          </w:tcPr>
          <w:p w14:paraId="17154E0D" w14:textId="77777777" w:rsidR="00345F90" w:rsidRPr="00345F90" w:rsidRDefault="00345F90" w:rsidP="00676757">
            <w:pPr>
              <w:spacing w:after="0" w:line="240" w:lineRule="auto"/>
              <w:jc w:val="center"/>
              <w:rPr>
                <w:rFonts w:ascii="Times New Roman" w:hAnsi="Times New Roman" w:cs="Times New Roman"/>
                <w:b/>
                <w:bCs/>
                <w:sz w:val="20"/>
                <w:szCs w:val="20"/>
              </w:rPr>
            </w:pPr>
            <w:r w:rsidRPr="00345F90">
              <w:rPr>
                <w:rFonts w:ascii="Times New Roman" w:hAnsi="Times New Roman" w:cs="Times New Roman"/>
                <w:b/>
                <w:bCs/>
                <w:sz w:val="20"/>
                <w:szCs w:val="20"/>
              </w:rPr>
              <w:t>AUDPC</w:t>
            </w:r>
          </w:p>
          <w:p w14:paraId="27601095" w14:textId="77777777" w:rsidR="00345F90" w:rsidRPr="00345F90" w:rsidRDefault="00345F90" w:rsidP="00676757">
            <w:pPr>
              <w:spacing w:after="0" w:line="240" w:lineRule="auto"/>
              <w:jc w:val="right"/>
              <w:rPr>
                <w:rFonts w:ascii="Times New Roman" w:hAnsi="Times New Roman" w:cs="Times New Roman"/>
                <w:b/>
                <w:bCs/>
                <w:sz w:val="20"/>
                <w:szCs w:val="20"/>
              </w:rPr>
            </w:pPr>
            <w:r w:rsidRPr="00345F90">
              <w:rPr>
                <w:rFonts w:ascii="Times New Roman" w:hAnsi="Times New Roman" w:cs="Times New Roman"/>
                <w:b/>
                <w:bCs/>
                <w:sz w:val="20"/>
                <w:szCs w:val="20"/>
              </w:rPr>
              <w:t> </w:t>
            </w:r>
          </w:p>
        </w:tc>
        <w:tc>
          <w:tcPr>
            <w:tcW w:w="985" w:type="dxa"/>
            <w:vMerge w:val="restart"/>
            <w:tcBorders>
              <w:top w:val="single" w:sz="4" w:space="0" w:color="auto"/>
              <w:left w:val="nil"/>
              <w:right w:val="single" w:sz="4" w:space="0" w:color="auto"/>
            </w:tcBorders>
            <w:noWrap/>
            <w:vAlign w:val="bottom"/>
            <w:hideMark/>
          </w:tcPr>
          <w:p w14:paraId="2B68DF06" w14:textId="77777777" w:rsidR="00345F90" w:rsidRPr="00345F90" w:rsidRDefault="00345F90" w:rsidP="00676757">
            <w:pPr>
              <w:spacing w:after="0" w:line="240" w:lineRule="auto"/>
              <w:jc w:val="center"/>
              <w:rPr>
                <w:rFonts w:ascii="Times New Roman" w:hAnsi="Times New Roman" w:cs="Times New Roman"/>
                <w:b/>
                <w:bCs/>
                <w:sz w:val="20"/>
                <w:szCs w:val="20"/>
              </w:rPr>
            </w:pPr>
            <w:r w:rsidRPr="00345F90">
              <w:rPr>
                <w:rFonts w:ascii="Times New Roman" w:hAnsi="Times New Roman" w:cs="Times New Roman"/>
                <w:b/>
                <w:bCs/>
                <w:sz w:val="20"/>
                <w:szCs w:val="20"/>
              </w:rPr>
              <w:t>PDC</w:t>
            </w:r>
          </w:p>
          <w:p w14:paraId="7140BA2D" w14:textId="77777777" w:rsidR="00345F90" w:rsidRPr="00345F90" w:rsidRDefault="00345F90" w:rsidP="00676757">
            <w:pPr>
              <w:spacing w:after="0" w:line="240" w:lineRule="auto"/>
              <w:jc w:val="right"/>
              <w:rPr>
                <w:rFonts w:ascii="Times New Roman" w:hAnsi="Times New Roman" w:cs="Times New Roman"/>
                <w:b/>
                <w:bCs/>
                <w:sz w:val="20"/>
                <w:szCs w:val="20"/>
              </w:rPr>
            </w:pPr>
            <w:r w:rsidRPr="00345F90">
              <w:rPr>
                <w:rFonts w:ascii="Times New Roman" w:hAnsi="Times New Roman" w:cs="Times New Roman"/>
                <w:b/>
                <w:bCs/>
                <w:sz w:val="20"/>
                <w:szCs w:val="20"/>
              </w:rPr>
              <w:t> </w:t>
            </w:r>
          </w:p>
        </w:tc>
      </w:tr>
      <w:tr w:rsidR="00345F90" w:rsidRPr="00345F90" w14:paraId="701776C8" w14:textId="77777777" w:rsidTr="00345F90">
        <w:trPr>
          <w:trHeight w:val="654"/>
        </w:trPr>
        <w:tc>
          <w:tcPr>
            <w:tcW w:w="691" w:type="dxa"/>
            <w:vMerge/>
            <w:tcBorders>
              <w:top w:val="single" w:sz="4" w:space="0" w:color="000000"/>
              <w:left w:val="single" w:sz="4" w:space="0" w:color="000000"/>
              <w:bottom w:val="single" w:sz="4" w:space="0" w:color="000000"/>
              <w:right w:val="single" w:sz="4" w:space="0" w:color="000000"/>
            </w:tcBorders>
            <w:vAlign w:val="center"/>
            <w:hideMark/>
          </w:tcPr>
          <w:p w14:paraId="56EE8DB3" w14:textId="77777777" w:rsidR="00345F90" w:rsidRPr="00345F90" w:rsidRDefault="00345F90" w:rsidP="00676757">
            <w:pPr>
              <w:spacing w:after="0" w:line="240" w:lineRule="auto"/>
              <w:jc w:val="right"/>
              <w:rPr>
                <w:rFonts w:ascii="Times New Roman" w:hAnsi="Times New Roman" w:cs="Times New Roman"/>
                <w:b/>
                <w:bCs/>
                <w:sz w:val="20"/>
                <w:szCs w:val="20"/>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18BEFAC6" w14:textId="77777777" w:rsidR="00345F90" w:rsidRPr="00345F90" w:rsidRDefault="00345F90" w:rsidP="00676757">
            <w:pPr>
              <w:spacing w:after="0" w:line="240" w:lineRule="auto"/>
              <w:jc w:val="right"/>
              <w:rPr>
                <w:rFonts w:ascii="Times New Roman" w:hAnsi="Times New Roman" w:cs="Times New Roman"/>
                <w:b/>
                <w:bCs/>
                <w:sz w:val="20"/>
                <w:szCs w:val="20"/>
              </w:rPr>
            </w:pPr>
          </w:p>
        </w:tc>
        <w:tc>
          <w:tcPr>
            <w:tcW w:w="1115" w:type="dxa"/>
            <w:vMerge/>
            <w:tcBorders>
              <w:top w:val="single" w:sz="4" w:space="0" w:color="000000"/>
              <w:left w:val="single" w:sz="4" w:space="0" w:color="000000"/>
              <w:bottom w:val="single" w:sz="4" w:space="0" w:color="000000"/>
              <w:right w:val="single" w:sz="4" w:space="0" w:color="000000"/>
            </w:tcBorders>
            <w:vAlign w:val="center"/>
            <w:hideMark/>
          </w:tcPr>
          <w:p w14:paraId="71A7433C" w14:textId="77777777" w:rsidR="00345F90" w:rsidRPr="00345F90" w:rsidRDefault="00345F90" w:rsidP="00676757">
            <w:pPr>
              <w:spacing w:after="0" w:line="240" w:lineRule="auto"/>
              <w:jc w:val="center"/>
              <w:rPr>
                <w:rFonts w:ascii="Times New Roman" w:hAnsi="Times New Roman" w:cs="Times New Roman"/>
                <w:b/>
                <w:bCs/>
                <w:sz w:val="20"/>
                <w:szCs w:val="20"/>
              </w:rPr>
            </w:pPr>
          </w:p>
        </w:tc>
        <w:tc>
          <w:tcPr>
            <w:tcW w:w="1254" w:type="dxa"/>
            <w:tcBorders>
              <w:top w:val="nil"/>
              <w:left w:val="nil"/>
              <w:bottom w:val="single" w:sz="4" w:space="0" w:color="auto"/>
              <w:right w:val="single" w:sz="4" w:space="0" w:color="auto"/>
            </w:tcBorders>
            <w:noWrap/>
            <w:vAlign w:val="bottom"/>
            <w:hideMark/>
          </w:tcPr>
          <w:p w14:paraId="38CB55AD" w14:textId="77777777" w:rsidR="00345F90" w:rsidRPr="00345F90" w:rsidRDefault="00345F90" w:rsidP="00676757">
            <w:pPr>
              <w:spacing w:after="0" w:line="240" w:lineRule="auto"/>
              <w:jc w:val="center"/>
              <w:rPr>
                <w:rFonts w:ascii="Times New Roman" w:hAnsi="Times New Roman" w:cs="Times New Roman"/>
                <w:b/>
                <w:bCs/>
                <w:sz w:val="20"/>
                <w:szCs w:val="20"/>
              </w:rPr>
            </w:pPr>
            <w:r w:rsidRPr="00345F90">
              <w:rPr>
                <w:rFonts w:ascii="Times New Roman" w:hAnsi="Times New Roman" w:cs="Times New Roman"/>
                <w:b/>
                <w:bCs/>
                <w:sz w:val="20"/>
                <w:szCs w:val="20"/>
              </w:rPr>
              <w:t>10 days after 1st spray</w:t>
            </w:r>
          </w:p>
        </w:tc>
        <w:tc>
          <w:tcPr>
            <w:tcW w:w="1115" w:type="dxa"/>
            <w:tcBorders>
              <w:top w:val="nil"/>
              <w:left w:val="nil"/>
              <w:bottom w:val="single" w:sz="4" w:space="0" w:color="auto"/>
              <w:right w:val="single" w:sz="4" w:space="0" w:color="auto"/>
            </w:tcBorders>
            <w:noWrap/>
            <w:vAlign w:val="bottom"/>
            <w:hideMark/>
          </w:tcPr>
          <w:p w14:paraId="6BA29181" w14:textId="77777777" w:rsidR="00345F90" w:rsidRPr="00345F90" w:rsidRDefault="00345F90" w:rsidP="00676757">
            <w:pPr>
              <w:spacing w:after="0" w:line="240" w:lineRule="auto"/>
              <w:jc w:val="center"/>
              <w:rPr>
                <w:rFonts w:ascii="Times New Roman" w:hAnsi="Times New Roman" w:cs="Times New Roman"/>
                <w:b/>
                <w:bCs/>
                <w:sz w:val="20"/>
                <w:szCs w:val="20"/>
              </w:rPr>
            </w:pPr>
            <w:r w:rsidRPr="00345F90">
              <w:rPr>
                <w:rFonts w:ascii="Times New Roman" w:hAnsi="Times New Roman" w:cs="Times New Roman"/>
                <w:b/>
                <w:bCs/>
                <w:sz w:val="20"/>
                <w:szCs w:val="20"/>
              </w:rPr>
              <w:t>10 days after 2nd spray</w:t>
            </w:r>
          </w:p>
        </w:tc>
        <w:tc>
          <w:tcPr>
            <w:tcW w:w="1256" w:type="dxa"/>
            <w:tcBorders>
              <w:top w:val="nil"/>
              <w:left w:val="nil"/>
              <w:bottom w:val="single" w:sz="4" w:space="0" w:color="auto"/>
              <w:right w:val="single" w:sz="4" w:space="0" w:color="auto"/>
            </w:tcBorders>
            <w:noWrap/>
            <w:vAlign w:val="bottom"/>
            <w:hideMark/>
          </w:tcPr>
          <w:p w14:paraId="56B502E4" w14:textId="77777777" w:rsidR="00345F90" w:rsidRPr="00345F90" w:rsidRDefault="00345F90" w:rsidP="00676757">
            <w:pPr>
              <w:spacing w:after="0" w:line="240" w:lineRule="auto"/>
              <w:jc w:val="center"/>
              <w:rPr>
                <w:rFonts w:ascii="Times New Roman" w:hAnsi="Times New Roman" w:cs="Times New Roman"/>
                <w:b/>
                <w:bCs/>
                <w:sz w:val="20"/>
                <w:szCs w:val="20"/>
              </w:rPr>
            </w:pPr>
            <w:r w:rsidRPr="00345F90">
              <w:rPr>
                <w:rFonts w:ascii="Times New Roman" w:hAnsi="Times New Roman" w:cs="Times New Roman"/>
                <w:b/>
                <w:bCs/>
                <w:sz w:val="20"/>
                <w:szCs w:val="20"/>
              </w:rPr>
              <w:t>10 days after 3rd spray</w:t>
            </w:r>
          </w:p>
        </w:tc>
        <w:tc>
          <w:tcPr>
            <w:tcW w:w="837" w:type="dxa"/>
            <w:vMerge/>
            <w:tcBorders>
              <w:left w:val="nil"/>
              <w:bottom w:val="single" w:sz="4" w:space="0" w:color="auto"/>
              <w:right w:val="single" w:sz="4" w:space="0" w:color="auto"/>
            </w:tcBorders>
            <w:noWrap/>
            <w:vAlign w:val="bottom"/>
            <w:hideMark/>
          </w:tcPr>
          <w:p w14:paraId="793CB692" w14:textId="77777777" w:rsidR="00345F90" w:rsidRPr="00345F90" w:rsidRDefault="00345F90" w:rsidP="00676757">
            <w:pPr>
              <w:spacing w:after="0" w:line="240" w:lineRule="auto"/>
              <w:jc w:val="right"/>
              <w:rPr>
                <w:rFonts w:ascii="Times New Roman" w:hAnsi="Times New Roman" w:cs="Times New Roman"/>
                <w:b/>
                <w:bCs/>
                <w:sz w:val="20"/>
                <w:szCs w:val="20"/>
              </w:rPr>
            </w:pPr>
          </w:p>
        </w:tc>
        <w:tc>
          <w:tcPr>
            <w:tcW w:w="976" w:type="dxa"/>
            <w:vMerge/>
            <w:tcBorders>
              <w:left w:val="nil"/>
              <w:bottom w:val="single" w:sz="4" w:space="0" w:color="auto"/>
              <w:right w:val="single" w:sz="4" w:space="0" w:color="auto"/>
            </w:tcBorders>
            <w:noWrap/>
            <w:vAlign w:val="bottom"/>
            <w:hideMark/>
          </w:tcPr>
          <w:p w14:paraId="293505C3" w14:textId="77777777" w:rsidR="00345F90" w:rsidRPr="00345F90" w:rsidRDefault="00345F90" w:rsidP="00676757">
            <w:pPr>
              <w:spacing w:after="0" w:line="240" w:lineRule="auto"/>
              <w:jc w:val="right"/>
              <w:rPr>
                <w:rFonts w:ascii="Times New Roman" w:hAnsi="Times New Roman" w:cs="Times New Roman"/>
                <w:b/>
                <w:bCs/>
                <w:sz w:val="20"/>
                <w:szCs w:val="20"/>
              </w:rPr>
            </w:pPr>
          </w:p>
        </w:tc>
        <w:tc>
          <w:tcPr>
            <w:tcW w:w="985" w:type="dxa"/>
            <w:vMerge/>
            <w:tcBorders>
              <w:left w:val="nil"/>
              <w:bottom w:val="single" w:sz="4" w:space="0" w:color="auto"/>
              <w:right w:val="single" w:sz="4" w:space="0" w:color="auto"/>
            </w:tcBorders>
            <w:noWrap/>
            <w:vAlign w:val="bottom"/>
            <w:hideMark/>
          </w:tcPr>
          <w:p w14:paraId="722AD417" w14:textId="77777777" w:rsidR="00345F90" w:rsidRPr="00345F90" w:rsidRDefault="00345F90" w:rsidP="00676757">
            <w:pPr>
              <w:spacing w:after="0" w:line="240" w:lineRule="auto"/>
              <w:jc w:val="right"/>
              <w:rPr>
                <w:rFonts w:ascii="Times New Roman" w:hAnsi="Times New Roman" w:cs="Times New Roman"/>
                <w:b/>
                <w:bCs/>
                <w:sz w:val="20"/>
                <w:szCs w:val="20"/>
              </w:rPr>
            </w:pPr>
          </w:p>
        </w:tc>
      </w:tr>
      <w:tr w:rsidR="00345F90" w:rsidRPr="00345F90" w14:paraId="48CCD3AF" w14:textId="77777777" w:rsidTr="00345F90">
        <w:trPr>
          <w:trHeight w:val="654"/>
        </w:trPr>
        <w:tc>
          <w:tcPr>
            <w:tcW w:w="691" w:type="dxa"/>
            <w:tcBorders>
              <w:top w:val="nil"/>
              <w:left w:val="single" w:sz="4" w:space="0" w:color="auto"/>
              <w:bottom w:val="single" w:sz="4" w:space="0" w:color="auto"/>
              <w:right w:val="single" w:sz="4" w:space="0" w:color="auto"/>
            </w:tcBorders>
            <w:noWrap/>
            <w:vAlign w:val="bottom"/>
            <w:hideMark/>
          </w:tcPr>
          <w:p w14:paraId="4F34BD62"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T₁</w:t>
            </w:r>
          </w:p>
        </w:tc>
        <w:tc>
          <w:tcPr>
            <w:tcW w:w="838" w:type="dxa"/>
            <w:tcBorders>
              <w:top w:val="nil"/>
              <w:left w:val="nil"/>
              <w:bottom w:val="single" w:sz="4" w:space="0" w:color="auto"/>
              <w:right w:val="single" w:sz="4" w:space="0" w:color="auto"/>
            </w:tcBorders>
            <w:noWrap/>
            <w:vAlign w:val="center"/>
            <w:hideMark/>
          </w:tcPr>
          <w:p w14:paraId="355233A4"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0.15</w:t>
            </w:r>
          </w:p>
        </w:tc>
        <w:tc>
          <w:tcPr>
            <w:tcW w:w="1115" w:type="dxa"/>
            <w:tcBorders>
              <w:top w:val="nil"/>
              <w:left w:val="nil"/>
              <w:bottom w:val="single" w:sz="4" w:space="0" w:color="auto"/>
              <w:right w:val="single" w:sz="4" w:space="0" w:color="auto"/>
            </w:tcBorders>
            <w:noWrap/>
            <w:vAlign w:val="center"/>
            <w:hideMark/>
          </w:tcPr>
          <w:p w14:paraId="2D93E8A8"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1.81</w:t>
            </w:r>
          </w:p>
          <w:p w14:paraId="1E5132D9"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(7.73)</w:t>
            </w:r>
          </w:p>
        </w:tc>
        <w:tc>
          <w:tcPr>
            <w:tcW w:w="1254" w:type="dxa"/>
            <w:tcBorders>
              <w:top w:val="nil"/>
              <w:left w:val="nil"/>
              <w:bottom w:val="single" w:sz="4" w:space="0" w:color="auto"/>
              <w:right w:val="single" w:sz="4" w:space="0" w:color="auto"/>
            </w:tcBorders>
            <w:noWrap/>
            <w:vAlign w:val="center"/>
            <w:hideMark/>
          </w:tcPr>
          <w:p w14:paraId="2C18830E"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14.97</w:t>
            </w:r>
          </w:p>
          <w:p w14:paraId="436869DB"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(22.76)</w:t>
            </w:r>
          </w:p>
          <w:p w14:paraId="17B1D220" w14:textId="77777777" w:rsidR="00345F90" w:rsidRPr="00345F90" w:rsidRDefault="00345F90" w:rsidP="00676757">
            <w:pPr>
              <w:spacing w:after="0" w:line="240" w:lineRule="auto"/>
              <w:jc w:val="center"/>
              <w:rPr>
                <w:rFonts w:ascii="Times New Roman" w:hAnsi="Times New Roman" w:cs="Times New Roman"/>
                <w:sz w:val="20"/>
                <w:szCs w:val="20"/>
              </w:rPr>
            </w:pPr>
          </w:p>
        </w:tc>
        <w:tc>
          <w:tcPr>
            <w:tcW w:w="1115" w:type="dxa"/>
            <w:tcBorders>
              <w:top w:val="nil"/>
              <w:left w:val="nil"/>
              <w:bottom w:val="single" w:sz="4" w:space="0" w:color="auto"/>
              <w:right w:val="single" w:sz="4" w:space="0" w:color="auto"/>
            </w:tcBorders>
            <w:noWrap/>
            <w:vAlign w:val="center"/>
            <w:hideMark/>
          </w:tcPr>
          <w:p w14:paraId="1BD6C7C1"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19.77</w:t>
            </w:r>
          </w:p>
          <w:p w14:paraId="19B9FE73"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(26.33)</w:t>
            </w:r>
          </w:p>
        </w:tc>
        <w:tc>
          <w:tcPr>
            <w:tcW w:w="1256" w:type="dxa"/>
            <w:tcBorders>
              <w:top w:val="nil"/>
              <w:left w:val="nil"/>
              <w:bottom w:val="single" w:sz="4" w:space="0" w:color="auto"/>
              <w:right w:val="single" w:sz="4" w:space="0" w:color="auto"/>
            </w:tcBorders>
            <w:noWrap/>
            <w:vAlign w:val="center"/>
            <w:hideMark/>
          </w:tcPr>
          <w:p w14:paraId="0F633242"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22.90</w:t>
            </w:r>
          </w:p>
          <w:p w14:paraId="6B8BD575"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(28.50</w:t>
            </w:r>
          </w:p>
        </w:tc>
        <w:tc>
          <w:tcPr>
            <w:tcW w:w="837" w:type="dxa"/>
            <w:tcBorders>
              <w:top w:val="nil"/>
              <w:left w:val="nil"/>
              <w:bottom w:val="single" w:sz="4" w:space="0" w:color="auto"/>
              <w:right w:val="single" w:sz="4" w:space="0" w:color="auto"/>
            </w:tcBorders>
            <w:noWrap/>
            <w:vAlign w:val="center"/>
            <w:hideMark/>
          </w:tcPr>
          <w:p w14:paraId="6E88CE48"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color w:val="000000"/>
                <w:sz w:val="20"/>
                <w:szCs w:val="20"/>
              </w:rPr>
              <w:t>19.21</w:t>
            </w:r>
          </w:p>
        </w:tc>
        <w:tc>
          <w:tcPr>
            <w:tcW w:w="976" w:type="dxa"/>
            <w:tcBorders>
              <w:top w:val="nil"/>
              <w:left w:val="nil"/>
              <w:bottom w:val="single" w:sz="4" w:space="0" w:color="auto"/>
              <w:right w:val="single" w:sz="4" w:space="0" w:color="auto"/>
            </w:tcBorders>
            <w:noWrap/>
            <w:vAlign w:val="center"/>
          </w:tcPr>
          <w:p w14:paraId="115E85D6"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470.95</w:t>
            </w:r>
          </w:p>
        </w:tc>
        <w:tc>
          <w:tcPr>
            <w:tcW w:w="985" w:type="dxa"/>
            <w:tcBorders>
              <w:top w:val="nil"/>
              <w:left w:val="nil"/>
              <w:bottom w:val="single" w:sz="4" w:space="0" w:color="auto"/>
              <w:right w:val="single" w:sz="4" w:space="0" w:color="auto"/>
            </w:tcBorders>
            <w:noWrap/>
            <w:vAlign w:val="center"/>
            <w:hideMark/>
          </w:tcPr>
          <w:p w14:paraId="724128F2"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color w:val="000000"/>
                <w:sz w:val="20"/>
                <w:szCs w:val="20"/>
              </w:rPr>
              <w:t>48.62</w:t>
            </w:r>
          </w:p>
        </w:tc>
      </w:tr>
      <w:tr w:rsidR="00345F90" w:rsidRPr="00345F90" w14:paraId="0B61D316" w14:textId="77777777" w:rsidTr="00345F90">
        <w:trPr>
          <w:trHeight w:val="654"/>
        </w:trPr>
        <w:tc>
          <w:tcPr>
            <w:tcW w:w="691" w:type="dxa"/>
            <w:tcBorders>
              <w:top w:val="nil"/>
              <w:left w:val="single" w:sz="4" w:space="0" w:color="auto"/>
              <w:bottom w:val="single" w:sz="4" w:space="0" w:color="auto"/>
              <w:right w:val="single" w:sz="4" w:space="0" w:color="auto"/>
            </w:tcBorders>
            <w:noWrap/>
            <w:vAlign w:val="bottom"/>
            <w:hideMark/>
          </w:tcPr>
          <w:p w14:paraId="74E1BF81"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T₂</w:t>
            </w:r>
          </w:p>
        </w:tc>
        <w:tc>
          <w:tcPr>
            <w:tcW w:w="838" w:type="dxa"/>
            <w:tcBorders>
              <w:top w:val="nil"/>
              <w:left w:val="nil"/>
              <w:bottom w:val="single" w:sz="4" w:space="0" w:color="auto"/>
              <w:right w:val="single" w:sz="4" w:space="0" w:color="auto"/>
            </w:tcBorders>
            <w:noWrap/>
            <w:vAlign w:val="center"/>
            <w:hideMark/>
          </w:tcPr>
          <w:p w14:paraId="137CBD63"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0.6</w:t>
            </w:r>
          </w:p>
        </w:tc>
        <w:tc>
          <w:tcPr>
            <w:tcW w:w="1115" w:type="dxa"/>
            <w:tcBorders>
              <w:top w:val="nil"/>
              <w:left w:val="nil"/>
              <w:bottom w:val="single" w:sz="4" w:space="0" w:color="auto"/>
              <w:right w:val="single" w:sz="4" w:space="0" w:color="auto"/>
            </w:tcBorders>
            <w:noWrap/>
            <w:vAlign w:val="center"/>
            <w:hideMark/>
          </w:tcPr>
          <w:p w14:paraId="337A4CD1"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1.83</w:t>
            </w:r>
          </w:p>
          <w:p w14:paraId="75E1BD32"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(7.77)</w:t>
            </w:r>
          </w:p>
        </w:tc>
        <w:tc>
          <w:tcPr>
            <w:tcW w:w="1254" w:type="dxa"/>
            <w:tcBorders>
              <w:top w:val="nil"/>
              <w:left w:val="nil"/>
              <w:bottom w:val="single" w:sz="4" w:space="0" w:color="auto"/>
              <w:right w:val="single" w:sz="4" w:space="0" w:color="auto"/>
            </w:tcBorders>
            <w:noWrap/>
            <w:vAlign w:val="center"/>
            <w:hideMark/>
          </w:tcPr>
          <w:p w14:paraId="70242E1B"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14.27</w:t>
            </w:r>
          </w:p>
          <w:p w14:paraId="3709C742"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(22.12)</w:t>
            </w:r>
          </w:p>
        </w:tc>
        <w:tc>
          <w:tcPr>
            <w:tcW w:w="1115" w:type="dxa"/>
            <w:tcBorders>
              <w:top w:val="nil"/>
              <w:left w:val="nil"/>
              <w:bottom w:val="single" w:sz="4" w:space="0" w:color="auto"/>
              <w:right w:val="single" w:sz="4" w:space="0" w:color="auto"/>
            </w:tcBorders>
            <w:noWrap/>
            <w:vAlign w:val="center"/>
            <w:hideMark/>
          </w:tcPr>
          <w:p w14:paraId="0D2DF5CA"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18.43</w:t>
            </w:r>
          </w:p>
          <w:p w14:paraId="373AEC72"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(25.42)</w:t>
            </w:r>
          </w:p>
        </w:tc>
        <w:tc>
          <w:tcPr>
            <w:tcW w:w="1256" w:type="dxa"/>
            <w:tcBorders>
              <w:top w:val="nil"/>
              <w:left w:val="nil"/>
              <w:bottom w:val="single" w:sz="4" w:space="0" w:color="auto"/>
              <w:right w:val="single" w:sz="4" w:space="0" w:color="auto"/>
            </w:tcBorders>
            <w:noWrap/>
            <w:vAlign w:val="center"/>
            <w:hideMark/>
          </w:tcPr>
          <w:p w14:paraId="6A8DB5BE"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23.57</w:t>
            </w:r>
          </w:p>
          <w:p w14:paraId="59821C2E"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(28.90)</w:t>
            </w:r>
          </w:p>
        </w:tc>
        <w:tc>
          <w:tcPr>
            <w:tcW w:w="837" w:type="dxa"/>
            <w:tcBorders>
              <w:top w:val="nil"/>
              <w:left w:val="nil"/>
              <w:bottom w:val="single" w:sz="4" w:space="0" w:color="auto"/>
              <w:right w:val="single" w:sz="4" w:space="0" w:color="auto"/>
            </w:tcBorders>
            <w:noWrap/>
            <w:vAlign w:val="center"/>
            <w:hideMark/>
          </w:tcPr>
          <w:p w14:paraId="6F7FE899"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color w:val="000000"/>
                <w:sz w:val="20"/>
                <w:szCs w:val="20"/>
              </w:rPr>
              <w:t>18.76</w:t>
            </w:r>
          </w:p>
        </w:tc>
        <w:tc>
          <w:tcPr>
            <w:tcW w:w="976" w:type="dxa"/>
            <w:tcBorders>
              <w:top w:val="nil"/>
              <w:left w:val="nil"/>
              <w:bottom w:val="single" w:sz="4" w:space="0" w:color="auto"/>
              <w:right w:val="single" w:sz="4" w:space="0" w:color="auto"/>
            </w:tcBorders>
            <w:noWrap/>
            <w:vAlign w:val="center"/>
          </w:tcPr>
          <w:p w14:paraId="190B3842"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454.00</w:t>
            </w:r>
          </w:p>
        </w:tc>
        <w:tc>
          <w:tcPr>
            <w:tcW w:w="985" w:type="dxa"/>
            <w:tcBorders>
              <w:top w:val="nil"/>
              <w:left w:val="nil"/>
              <w:bottom w:val="single" w:sz="4" w:space="0" w:color="auto"/>
              <w:right w:val="single" w:sz="4" w:space="0" w:color="auto"/>
            </w:tcBorders>
            <w:noWrap/>
            <w:vAlign w:val="center"/>
            <w:hideMark/>
          </w:tcPr>
          <w:p w14:paraId="5E7A0D6C"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color w:val="000000"/>
                <w:sz w:val="20"/>
                <w:szCs w:val="20"/>
              </w:rPr>
              <w:t>50.25</w:t>
            </w:r>
          </w:p>
        </w:tc>
      </w:tr>
      <w:tr w:rsidR="00345F90" w:rsidRPr="00345F90" w14:paraId="20297ABF" w14:textId="77777777" w:rsidTr="00345F90">
        <w:trPr>
          <w:trHeight w:val="654"/>
        </w:trPr>
        <w:tc>
          <w:tcPr>
            <w:tcW w:w="691" w:type="dxa"/>
            <w:tcBorders>
              <w:top w:val="nil"/>
              <w:left w:val="single" w:sz="4" w:space="0" w:color="auto"/>
              <w:bottom w:val="single" w:sz="4" w:space="0" w:color="auto"/>
              <w:right w:val="single" w:sz="4" w:space="0" w:color="auto"/>
            </w:tcBorders>
            <w:noWrap/>
            <w:vAlign w:val="bottom"/>
            <w:hideMark/>
          </w:tcPr>
          <w:p w14:paraId="42EBA738"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T₃</w:t>
            </w:r>
          </w:p>
        </w:tc>
        <w:tc>
          <w:tcPr>
            <w:tcW w:w="838" w:type="dxa"/>
            <w:tcBorders>
              <w:top w:val="nil"/>
              <w:left w:val="nil"/>
              <w:bottom w:val="single" w:sz="4" w:space="0" w:color="auto"/>
              <w:right w:val="single" w:sz="4" w:space="0" w:color="auto"/>
            </w:tcBorders>
            <w:noWrap/>
            <w:vAlign w:val="center"/>
            <w:hideMark/>
          </w:tcPr>
          <w:p w14:paraId="657AD9F8"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0.15</w:t>
            </w:r>
          </w:p>
        </w:tc>
        <w:tc>
          <w:tcPr>
            <w:tcW w:w="1115" w:type="dxa"/>
            <w:tcBorders>
              <w:top w:val="nil"/>
              <w:left w:val="nil"/>
              <w:bottom w:val="single" w:sz="4" w:space="0" w:color="auto"/>
              <w:right w:val="single" w:sz="4" w:space="0" w:color="auto"/>
            </w:tcBorders>
            <w:noWrap/>
            <w:vAlign w:val="center"/>
            <w:hideMark/>
          </w:tcPr>
          <w:p w14:paraId="3508FC00"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1.73</w:t>
            </w:r>
          </w:p>
          <w:p w14:paraId="34B85DF9"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(7.56)</w:t>
            </w:r>
          </w:p>
        </w:tc>
        <w:tc>
          <w:tcPr>
            <w:tcW w:w="1254" w:type="dxa"/>
            <w:tcBorders>
              <w:top w:val="nil"/>
              <w:left w:val="nil"/>
              <w:bottom w:val="single" w:sz="4" w:space="0" w:color="auto"/>
              <w:right w:val="single" w:sz="4" w:space="0" w:color="auto"/>
            </w:tcBorders>
            <w:noWrap/>
            <w:vAlign w:val="center"/>
            <w:hideMark/>
          </w:tcPr>
          <w:p w14:paraId="1FF9E85C"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11.33</w:t>
            </w:r>
          </w:p>
          <w:p w14:paraId="5153CF29"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(19.66)</w:t>
            </w:r>
          </w:p>
        </w:tc>
        <w:tc>
          <w:tcPr>
            <w:tcW w:w="1115" w:type="dxa"/>
            <w:tcBorders>
              <w:top w:val="nil"/>
              <w:left w:val="nil"/>
              <w:bottom w:val="single" w:sz="4" w:space="0" w:color="auto"/>
              <w:right w:val="single" w:sz="4" w:space="0" w:color="auto"/>
            </w:tcBorders>
            <w:noWrap/>
            <w:vAlign w:val="center"/>
            <w:hideMark/>
          </w:tcPr>
          <w:p w14:paraId="173F4B83"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12.33</w:t>
            </w:r>
          </w:p>
          <w:p w14:paraId="72409E7A"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(20.50)</w:t>
            </w:r>
          </w:p>
        </w:tc>
        <w:tc>
          <w:tcPr>
            <w:tcW w:w="1256" w:type="dxa"/>
            <w:tcBorders>
              <w:top w:val="nil"/>
              <w:left w:val="nil"/>
              <w:bottom w:val="single" w:sz="4" w:space="0" w:color="auto"/>
              <w:right w:val="single" w:sz="4" w:space="0" w:color="auto"/>
            </w:tcBorders>
            <w:noWrap/>
            <w:vAlign w:val="center"/>
            <w:hideMark/>
          </w:tcPr>
          <w:p w14:paraId="340CAFDF"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13.17</w:t>
            </w:r>
          </w:p>
          <w:p w14:paraId="65C3DA19"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(21.07)</w:t>
            </w:r>
          </w:p>
        </w:tc>
        <w:tc>
          <w:tcPr>
            <w:tcW w:w="837" w:type="dxa"/>
            <w:tcBorders>
              <w:top w:val="nil"/>
              <w:left w:val="nil"/>
              <w:bottom w:val="single" w:sz="4" w:space="0" w:color="auto"/>
              <w:right w:val="single" w:sz="4" w:space="0" w:color="auto"/>
            </w:tcBorders>
            <w:noWrap/>
            <w:vAlign w:val="center"/>
            <w:hideMark/>
          </w:tcPr>
          <w:p w14:paraId="2592D3FD"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color w:val="000000"/>
                <w:sz w:val="20"/>
                <w:szCs w:val="20"/>
              </w:rPr>
              <w:t>12.28</w:t>
            </w:r>
          </w:p>
        </w:tc>
        <w:tc>
          <w:tcPr>
            <w:tcW w:w="976" w:type="dxa"/>
            <w:tcBorders>
              <w:top w:val="nil"/>
              <w:left w:val="nil"/>
              <w:bottom w:val="single" w:sz="4" w:space="0" w:color="auto"/>
              <w:right w:val="single" w:sz="4" w:space="0" w:color="auto"/>
            </w:tcBorders>
            <w:noWrap/>
            <w:vAlign w:val="center"/>
          </w:tcPr>
          <w:p w14:paraId="0CDB61C3"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311.10</w:t>
            </w:r>
          </w:p>
        </w:tc>
        <w:tc>
          <w:tcPr>
            <w:tcW w:w="985" w:type="dxa"/>
            <w:tcBorders>
              <w:top w:val="nil"/>
              <w:left w:val="nil"/>
              <w:bottom w:val="single" w:sz="4" w:space="0" w:color="auto"/>
              <w:right w:val="single" w:sz="4" w:space="0" w:color="auto"/>
            </w:tcBorders>
            <w:noWrap/>
            <w:vAlign w:val="center"/>
            <w:hideMark/>
          </w:tcPr>
          <w:p w14:paraId="574228F1"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color w:val="000000"/>
                <w:sz w:val="20"/>
                <w:szCs w:val="20"/>
              </w:rPr>
              <w:t>66.23</w:t>
            </w:r>
          </w:p>
        </w:tc>
      </w:tr>
      <w:tr w:rsidR="00345F90" w:rsidRPr="00345F90" w14:paraId="5666205B" w14:textId="77777777" w:rsidTr="00345F90">
        <w:trPr>
          <w:trHeight w:val="654"/>
        </w:trPr>
        <w:tc>
          <w:tcPr>
            <w:tcW w:w="691" w:type="dxa"/>
            <w:tcBorders>
              <w:top w:val="nil"/>
              <w:left w:val="single" w:sz="4" w:space="0" w:color="auto"/>
              <w:bottom w:val="single" w:sz="4" w:space="0" w:color="auto"/>
              <w:right w:val="single" w:sz="4" w:space="0" w:color="auto"/>
            </w:tcBorders>
            <w:noWrap/>
            <w:vAlign w:val="bottom"/>
            <w:hideMark/>
          </w:tcPr>
          <w:p w14:paraId="7256B904"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T₄</w:t>
            </w:r>
          </w:p>
        </w:tc>
        <w:tc>
          <w:tcPr>
            <w:tcW w:w="838" w:type="dxa"/>
            <w:tcBorders>
              <w:top w:val="nil"/>
              <w:left w:val="nil"/>
              <w:bottom w:val="single" w:sz="4" w:space="0" w:color="auto"/>
              <w:right w:val="single" w:sz="4" w:space="0" w:color="auto"/>
            </w:tcBorders>
            <w:noWrap/>
            <w:vAlign w:val="center"/>
            <w:hideMark/>
          </w:tcPr>
          <w:p w14:paraId="0404C12C"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0.005</w:t>
            </w:r>
          </w:p>
        </w:tc>
        <w:tc>
          <w:tcPr>
            <w:tcW w:w="1115" w:type="dxa"/>
            <w:tcBorders>
              <w:top w:val="nil"/>
              <w:left w:val="nil"/>
              <w:bottom w:val="single" w:sz="4" w:space="0" w:color="auto"/>
              <w:right w:val="single" w:sz="4" w:space="0" w:color="auto"/>
            </w:tcBorders>
            <w:noWrap/>
            <w:vAlign w:val="center"/>
            <w:hideMark/>
          </w:tcPr>
          <w:p w14:paraId="45736C0F"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1.88</w:t>
            </w:r>
          </w:p>
          <w:p w14:paraId="78054254"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(7.88)</w:t>
            </w:r>
          </w:p>
        </w:tc>
        <w:tc>
          <w:tcPr>
            <w:tcW w:w="1254" w:type="dxa"/>
            <w:tcBorders>
              <w:top w:val="nil"/>
              <w:left w:val="nil"/>
              <w:bottom w:val="single" w:sz="4" w:space="0" w:color="auto"/>
              <w:right w:val="single" w:sz="4" w:space="0" w:color="auto"/>
            </w:tcBorders>
            <w:noWrap/>
            <w:vAlign w:val="center"/>
            <w:hideMark/>
          </w:tcPr>
          <w:p w14:paraId="7CCE8A45"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26.30</w:t>
            </w:r>
          </w:p>
          <w:p w14:paraId="1A9B7FB7"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(30.81)</w:t>
            </w:r>
          </w:p>
        </w:tc>
        <w:tc>
          <w:tcPr>
            <w:tcW w:w="1115" w:type="dxa"/>
            <w:tcBorders>
              <w:top w:val="nil"/>
              <w:left w:val="nil"/>
              <w:bottom w:val="single" w:sz="4" w:space="0" w:color="auto"/>
              <w:right w:val="single" w:sz="4" w:space="0" w:color="auto"/>
            </w:tcBorders>
            <w:noWrap/>
            <w:vAlign w:val="center"/>
            <w:hideMark/>
          </w:tcPr>
          <w:p w14:paraId="5A7F52B1"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32.43</w:t>
            </w:r>
          </w:p>
          <w:p w14:paraId="61942784"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(34.71)</w:t>
            </w:r>
          </w:p>
        </w:tc>
        <w:tc>
          <w:tcPr>
            <w:tcW w:w="1256" w:type="dxa"/>
            <w:tcBorders>
              <w:top w:val="nil"/>
              <w:left w:val="nil"/>
              <w:bottom w:val="single" w:sz="4" w:space="0" w:color="auto"/>
              <w:right w:val="single" w:sz="4" w:space="0" w:color="auto"/>
            </w:tcBorders>
            <w:noWrap/>
            <w:vAlign w:val="center"/>
            <w:hideMark/>
          </w:tcPr>
          <w:p w14:paraId="0BBCDD48"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35.80</w:t>
            </w:r>
          </w:p>
          <w:p w14:paraId="6781BCF7"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(36.69)</w:t>
            </w:r>
          </w:p>
        </w:tc>
        <w:tc>
          <w:tcPr>
            <w:tcW w:w="837" w:type="dxa"/>
            <w:tcBorders>
              <w:top w:val="nil"/>
              <w:left w:val="nil"/>
              <w:bottom w:val="single" w:sz="4" w:space="0" w:color="auto"/>
              <w:right w:val="single" w:sz="4" w:space="0" w:color="auto"/>
            </w:tcBorders>
            <w:noWrap/>
            <w:vAlign w:val="center"/>
            <w:hideMark/>
          </w:tcPr>
          <w:p w14:paraId="773B3734"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color w:val="000000"/>
                <w:sz w:val="20"/>
                <w:szCs w:val="20"/>
              </w:rPr>
              <w:t>31.51</w:t>
            </w:r>
          </w:p>
        </w:tc>
        <w:tc>
          <w:tcPr>
            <w:tcW w:w="976" w:type="dxa"/>
            <w:tcBorders>
              <w:top w:val="nil"/>
              <w:left w:val="nil"/>
              <w:bottom w:val="single" w:sz="4" w:space="0" w:color="auto"/>
              <w:right w:val="single" w:sz="4" w:space="0" w:color="auto"/>
            </w:tcBorders>
            <w:noWrap/>
            <w:vAlign w:val="center"/>
          </w:tcPr>
          <w:p w14:paraId="35C1C02D"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798.70</w:t>
            </w:r>
          </w:p>
        </w:tc>
        <w:tc>
          <w:tcPr>
            <w:tcW w:w="985" w:type="dxa"/>
            <w:tcBorders>
              <w:top w:val="nil"/>
              <w:left w:val="nil"/>
              <w:bottom w:val="single" w:sz="4" w:space="0" w:color="auto"/>
              <w:right w:val="single" w:sz="4" w:space="0" w:color="auto"/>
            </w:tcBorders>
            <w:noWrap/>
            <w:vAlign w:val="center"/>
            <w:hideMark/>
          </w:tcPr>
          <w:p w14:paraId="64F6429B"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color w:val="000000"/>
                <w:sz w:val="20"/>
                <w:szCs w:val="20"/>
              </w:rPr>
              <w:t>14.73</w:t>
            </w:r>
          </w:p>
        </w:tc>
      </w:tr>
      <w:tr w:rsidR="00345F90" w:rsidRPr="00345F90" w14:paraId="5AB1AAD9" w14:textId="77777777" w:rsidTr="00345F90">
        <w:trPr>
          <w:trHeight w:val="654"/>
        </w:trPr>
        <w:tc>
          <w:tcPr>
            <w:tcW w:w="691" w:type="dxa"/>
            <w:tcBorders>
              <w:top w:val="nil"/>
              <w:left w:val="single" w:sz="4" w:space="0" w:color="auto"/>
              <w:bottom w:val="single" w:sz="4" w:space="0" w:color="auto"/>
              <w:right w:val="single" w:sz="4" w:space="0" w:color="auto"/>
            </w:tcBorders>
            <w:noWrap/>
            <w:vAlign w:val="bottom"/>
            <w:hideMark/>
          </w:tcPr>
          <w:p w14:paraId="26F41A0D"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T₅</w:t>
            </w:r>
          </w:p>
        </w:tc>
        <w:tc>
          <w:tcPr>
            <w:tcW w:w="838" w:type="dxa"/>
            <w:tcBorders>
              <w:top w:val="nil"/>
              <w:left w:val="nil"/>
              <w:bottom w:val="single" w:sz="4" w:space="0" w:color="auto"/>
              <w:right w:val="single" w:sz="4" w:space="0" w:color="auto"/>
            </w:tcBorders>
            <w:noWrap/>
            <w:vAlign w:val="center"/>
            <w:hideMark/>
          </w:tcPr>
          <w:p w14:paraId="7D983A23"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0.5</w:t>
            </w:r>
          </w:p>
        </w:tc>
        <w:tc>
          <w:tcPr>
            <w:tcW w:w="1115" w:type="dxa"/>
            <w:tcBorders>
              <w:top w:val="nil"/>
              <w:left w:val="nil"/>
              <w:bottom w:val="single" w:sz="4" w:space="0" w:color="auto"/>
              <w:right w:val="single" w:sz="4" w:space="0" w:color="auto"/>
            </w:tcBorders>
            <w:noWrap/>
            <w:vAlign w:val="center"/>
            <w:hideMark/>
          </w:tcPr>
          <w:p w14:paraId="53FB539D"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1.74</w:t>
            </w:r>
          </w:p>
          <w:p w14:paraId="6BC39476"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(7.58)</w:t>
            </w:r>
          </w:p>
        </w:tc>
        <w:tc>
          <w:tcPr>
            <w:tcW w:w="1254" w:type="dxa"/>
            <w:tcBorders>
              <w:top w:val="nil"/>
              <w:left w:val="nil"/>
              <w:bottom w:val="single" w:sz="4" w:space="0" w:color="auto"/>
              <w:right w:val="single" w:sz="4" w:space="0" w:color="auto"/>
            </w:tcBorders>
            <w:noWrap/>
            <w:vAlign w:val="center"/>
            <w:hideMark/>
          </w:tcPr>
          <w:p w14:paraId="49235852"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19.83</w:t>
            </w:r>
          </w:p>
          <w:p w14:paraId="6C001987"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(26.40)</w:t>
            </w:r>
          </w:p>
        </w:tc>
        <w:tc>
          <w:tcPr>
            <w:tcW w:w="1115" w:type="dxa"/>
            <w:tcBorders>
              <w:top w:val="nil"/>
              <w:left w:val="nil"/>
              <w:bottom w:val="single" w:sz="4" w:space="0" w:color="auto"/>
              <w:right w:val="single" w:sz="4" w:space="0" w:color="auto"/>
            </w:tcBorders>
            <w:noWrap/>
            <w:vAlign w:val="center"/>
            <w:hideMark/>
          </w:tcPr>
          <w:p w14:paraId="5AE044C8"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24.50</w:t>
            </w:r>
          </w:p>
          <w:p w14:paraId="68BB867E"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(29.66)</w:t>
            </w:r>
          </w:p>
        </w:tc>
        <w:tc>
          <w:tcPr>
            <w:tcW w:w="1256" w:type="dxa"/>
            <w:tcBorders>
              <w:top w:val="nil"/>
              <w:left w:val="nil"/>
              <w:bottom w:val="single" w:sz="4" w:space="0" w:color="auto"/>
              <w:right w:val="single" w:sz="4" w:space="0" w:color="auto"/>
            </w:tcBorders>
            <w:noWrap/>
            <w:vAlign w:val="center"/>
            <w:hideMark/>
          </w:tcPr>
          <w:p w14:paraId="7D2387CE"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37.10</w:t>
            </w:r>
          </w:p>
          <w:p w14:paraId="571DE996"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(37.48)</w:t>
            </w:r>
          </w:p>
        </w:tc>
        <w:tc>
          <w:tcPr>
            <w:tcW w:w="837" w:type="dxa"/>
            <w:tcBorders>
              <w:top w:val="nil"/>
              <w:left w:val="nil"/>
              <w:bottom w:val="single" w:sz="4" w:space="0" w:color="auto"/>
              <w:right w:val="single" w:sz="4" w:space="0" w:color="auto"/>
            </w:tcBorders>
            <w:noWrap/>
            <w:vAlign w:val="center"/>
            <w:hideMark/>
          </w:tcPr>
          <w:p w14:paraId="31971428"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color w:val="000000"/>
                <w:sz w:val="20"/>
                <w:szCs w:val="20"/>
              </w:rPr>
              <w:t>27.14</w:t>
            </w:r>
          </w:p>
        </w:tc>
        <w:tc>
          <w:tcPr>
            <w:tcW w:w="976" w:type="dxa"/>
            <w:tcBorders>
              <w:top w:val="nil"/>
              <w:left w:val="nil"/>
              <w:bottom w:val="single" w:sz="4" w:space="0" w:color="auto"/>
              <w:right w:val="single" w:sz="4" w:space="0" w:color="auto"/>
            </w:tcBorders>
            <w:noWrap/>
            <w:vAlign w:val="center"/>
          </w:tcPr>
          <w:p w14:paraId="0BED1541"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637.50</w:t>
            </w:r>
          </w:p>
        </w:tc>
        <w:tc>
          <w:tcPr>
            <w:tcW w:w="985" w:type="dxa"/>
            <w:tcBorders>
              <w:top w:val="nil"/>
              <w:left w:val="nil"/>
              <w:bottom w:val="single" w:sz="4" w:space="0" w:color="auto"/>
              <w:right w:val="single" w:sz="4" w:space="0" w:color="auto"/>
            </w:tcBorders>
            <w:noWrap/>
            <w:vAlign w:val="center"/>
            <w:hideMark/>
          </w:tcPr>
          <w:p w14:paraId="21552679"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color w:val="000000"/>
                <w:sz w:val="20"/>
                <w:szCs w:val="20"/>
              </w:rPr>
              <w:t>28.99</w:t>
            </w:r>
          </w:p>
        </w:tc>
      </w:tr>
      <w:tr w:rsidR="00345F90" w:rsidRPr="00345F90" w14:paraId="42A37ED0" w14:textId="77777777" w:rsidTr="00345F90">
        <w:trPr>
          <w:trHeight w:val="654"/>
        </w:trPr>
        <w:tc>
          <w:tcPr>
            <w:tcW w:w="691" w:type="dxa"/>
            <w:tcBorders>
              <w:top w:val="nil"/>
              <w:left w:val="single" w:sz="4" w:space="0" w:color="auto"/>
              <w:bottom w:val="single" w:sz="4" w:space="0" w:color="auto"/>
              <w:right w:val="single" w:sz="4" w:space="0" w:color="auto"/>
            </w:tcBorders>
            <w:noWrap/>
            <w:vAlign w:val="bottom"/>
            <w:hideMark/>
          </w:tcPr>
          <w:p w14:paraId="6CF43E31"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T₆</w:t>
            </w:r>
          </w:p>
        </w:tc>
        <w:tc>
          <w:tcPr>
            <w:tcW w:w="838" w:type="dxa"/>
            <w:tcBorders>
              <w:top w:val="nil"/>
              <w:left w:val="nil"/>
              <w:bottom w:val="single" w:sz="4" w:space="0" w:color="auto"/>
              <w:right w:val="single" w:sz="4" w:space="0" w:color="auto"/>
            </w:tcBorders>
            <w:noWrap/>
            <w:vAlign w:val="center"/>
            <w:hideMark/>
          </w:tcPr>
          <w:p w14:paraId="7102C533"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0.2</w:t>
            </w:r>
          </w:p>
        </w:tc>
        <w:tc>
          <w:tcPr>
            <w:tcW w:w="1115" w:type="dxa"/>
            <w:tcBorders>
              <w:top w:val="nil"/>
              <w:left w:val="nil"/>
              <w:bottom w:val="single" w:sz="4" w:space="0" w:color="auto"/>
              <w:right w:val="single" w:sz="4" w:space="0" w:color="auto"/>
            </w:tcBorders>
            <w:noWrap/>
            <w:vAlign w:val="center"/>
            <w:hideMark/>
          </w:tcPr>
          <w:p w14:paraId="125428D8"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1.92</w:t>
            </w:r>
          </w:p>
          <w:p w14:paraId="41AFAEED"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(7.96)</w:t>
            </w:r>
          </w:p>
        </w:tc>
        <w:tc>
          <w:tcPr>
            <w:tcW w:w="1254" w:type="dxa"/>
            <w:tcBorders>
              <w:top w:val="nil"/>
              <w:left w:val="nil"/>
              <w:bottom w:val="single" w:sz="4" w:space="0" w:color="auto"/>
              <w:right w:val="single" w:sz="4" w:space="0" w:color="auto"/>
            </w:tcBorders>
            <w:noWrap/>
            <w:vAlign w:val="center"/>
            <w:hideMark/>
          </w:tcPr>
          <w:p w14:paraId="0BD68661"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12.00</w:t>
            </w:r>
          </w:p>
          <w:p w14:paraId="3FEDE745"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(20.19)</w:t>
            </w:r>
          </w:p>
        </w:tc>
        <w:tc>
          <w:tcPr>
            <w:tcW w:w="1115" w:type="dxa"/>
            <w:tcBorders>
              <w:top w:val="nil"/>
              <w:left w:val="nil"/>
              <w:bottom w:val="single" w:sz="4" w:space="0" w:color="auto"/>
              <w:right w:val="single" w:sz="4" w:space="0" w:color="auto"/>
            </w:tcBorders>
            <w:noWrap/>
            <w:vAlign w:val="center"/>
            <w:hideMark/>
          </w:tcPr>
          <w:p w14:paraId="24CE061A"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14.77</w:t>
            </w:r>
          </w:p>
          <w:p w14:paraId="0ECCEA97"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(22.60)</w:t>
            </w:r>
          </w:p>
        </w:tc>
        <w:tc>
          <w:tcPr>
            <w:tcW w:w="1256" w:type="dxa"/>
            <w:tcBorders>
              <w:top w:val="nil"/>
              <w:left w:val="nil"/>
              <w:bottom w:val="single" w:sz="4" w:space="0" w:color="auto"/>
              <w:right w:val="single" w:sz="4" w:space="0" w:color="auto"/>
            </w:tcBorders>
            <w:noWrap/>
            <w:vAlign w:val="center"/>
            <w:hideMark/>
          </w:tcPr>
          <w:p w14:paraId="66505FD8"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18.77</w:t>
            </w:r>
          </w:p>
          <w:p w14:paraId="3479DC21"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(25.44)</w:t>
            </w:r>
          </w:p>
        </w:tc>
        <w:tc>
          <w:tcPr>
            <w:tcW w:w="837" w:type="dxa"/>
            <w:tcBorders>
              <w:top w:val="nil"/>
              <w:left w:val="nil"/>
              <w:bottom w:val="single" w:sz="4" w:space="0" w:color="auto"/>
              <w:right w:val="single" w:sz="4" w:space="0" w:color="auto"/>
            </w:tcBorders>
            <w:noWrap/>
            <w:vAlign w:val="center"/>
            <w:hideMark/>
          </w:tcPr>
          <w:p w14:paraId="41FE9EBA"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color w:val="000000"/>
                <w:sz w:val="20"/>
                <w:szCs w:val="20"/>
              </w:rPr>
              <w:t>15.18</w:t>
            </w:r>
          </w:p>
        </w:tc>
        <w:tc>
          <w:tcPr>
            <w:tcW w:w="976" w:type="dxa"/>
            <w:tcBorders>
              <w:top w:val="nil"/>
              <w:left w:val="nil"/>
              <w:bottom w:val="single" w:sz="4" w:space="0" w:color="auto"/>
              <w:right w:val="single" w:sz="4" w:space="0" w:color="auto"/>
            </w:tcBorders>
            <w:noWrap/>
            <w:vAlign w:val="center"/>
          </w:tcPr>
          <w:p w14:paraId="601C1D03"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531.15</w:t>
            </w:r>
          </w:p>
        </w:tc>
        <w:tc>
          <w:tcPr>
            <w:tcW w:w="985" w:type="dxa"/>
            <w:tcBorders>
              <w:top w:val="nil"/>
              <w:left w:val="nil"/>
              <w:bottom w:val="single" w:sz="4" w:space="0" w:color="auto"/>
              <w:right w:val="single" w:sz="4" w:space="0" w:color="auto"/>
            </w:tcBorders>
            <w:noWrap/>
            <w:vAlign w:val="center"/>
            <w:hideMark/>
          </w:tcPr>
          <w:p w14:paraId="3191D4F5"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color w:val="000000"/>
                <w:sz w:val="20"/>
                <w:szCs w:val="20"/>
              </w:rPr>
              <w:t>59.51</w:t>
            </w:r>
          </w:p>
        </w:tc>
      </w:tr>
      <w:tr w:rsidR="00345F90" w:rsidRPr="00345F90" w14:paraId="3B89D44A" w14:textId="77777777" w:rsidTr="00345F90">
        <w:trPr>
          <w:trHeight w:val="654"/>
        </w:trPr>
        <w:tc>
          <w:tcPr>
            <w:tcW w:w="691" w:type="dxa"/>
            <w:tcBorders>
              <w:top w:val="nil"/>
              <w:left w:val="single" w:sz="4" w:space="0" w:color="auto"/>
              <w:bottom w:val="single" w:sz="4" w:space="0" w:color="auto"/>
              <w:right w:val="single" w:sz="4" w:space="0" w:color="auto"/>
            </w:tcBorders>
            <w:noWrap/>
            <w:vAlign w:val="bottom"/>
            <w:hideMark/>
          </w:tcPr>
          <w:p w14:paraId="1544DA2A"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T₇</w:t>
            </w:r>
          </w:p>
        </w:tc>
        <w:tc>
          <w:tcPr>
            <w:tcW w:w="838" w:type="dxa"/>
            <w:tcBorders>
              <w:top w:val="nil"/>
              <w:left w:val="nil"/>
              <w:bottom w:val="single" w:sz="4" w:space="0" w:color="auto"/>
              <w:right w:val="single" w:sz="4" w:space="0" w:color="auto"/>
            </w:tcBorders>
            <w:noWrap/>
            <w:vAlign w:val="center"/>
            <w:hideMark/>
          </w:tcPr>
          <w:p w14:paraId="0D72469E"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0.4</w:t>
            </w:r>
          </w:p>
        </w:tc>
        <w:tc>
          <w:tcPr>
            <w:tcW w:w="1115" w:type="dxa"/>
            <w:tcBorders>
              <w:top w:val="nil"/>
              <w:left w:val="nil"/>
              <w:bottom w:val="single" w:sz="4" w:space="0" w:color="auto"/>
              <w:right w:val="single" w:sz="4" w:space="0" w:color="auto"/>
            </w:tcBorders>
            <w:noWrap/>
            <w:vAlign w:val="center"/>
            <w:hideMark/>
          </w:tcPr>
          <w:p w14:paraId="740BC834"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1.79</w:t>
            </w:r>
          </w:p>
          <w:p w14:paraId="030C6490"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(7.69)</w:t>
            </w:r>
          </w:p>
        </w:tc>
        <w:tc>
          <w:tcPr>
            <w:tcW w:w="1254" w:type="dxa"/>
            <w:tcBorders>
              <w:top w:val="nil"/>
              <w:left w:val="nil"/>
              <w:bottom w:val="single" w:sz="4" w:space="0" w:color="auto"/>
              <w:right w:val="single" w:sz="4" w:space="0" w:color="auto"/>
            </w:tcBorders>
            <w:noWrap/>
            <w:vAlign w:val="center"/>
            <w:hideMark/>
          </w:tcPr>
          <w:p w14:paraId="0D7A8A8F"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22.03</w:t>
            </w:r>
          </w:p>
          <w:p w14:paraId="312243CE"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(27.99)</w:t>
            </w:r>
          </w:p>
        </w:tc>
        <w:tc>
          <w:tcPr>
            <w:tcW w:w="1115" w:type="dxa"/>
            <w:tcBorders>
              <w:top w:val="nil"/>
              <w:left w:val="nil"/>
              <w:bottom w:val="single" w:sz="4" w:space="0" w:color="auto"/>
              <w:right w:val="single" w:sz="4" w:space="0" w:color="auto"/>
            </w:tcBorders>
            <w:noWrap/>
            <w:vAlign w:val="center"/>
            <w:hideMark/>
          </w:tcPr>
          <w:p w14:paraId="0A8FF4A1"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26.60</w:t>
            </w:r>
          </w:p>
          <w:p w14:paraId="4FA88035"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(31.05)</w:t>
            </w:r>
          </w:p>
        </w:tc>
        <w:tc>
          <w:tcPr>
            <w:tcW w:w="1256" w:type="dxa"/>
            <w:tcBorders>
              <w:top w:val="nil"/>
              <w:left w:val="nil"/>
              <w:bottom w:val="single" w:sz="4" w:space="0" w:color="auto"/>
              <w:right w:val="single" w:sz="4" w:space="0" w:color="auto"/>
            </w:tcBorders>
            <w:noWrap/>
            <w:vAlign w:val="center"/>
            <w:hideMark/>
          </w:tcPr>
          <w:p w14:paraId="0E4B422E"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39.87</w:t>
            </w:r>
          </w:p>
          <w:p w14:paraId="783698C7"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(39.13)</w:t>
            </w:r>
          </w:p>
        </w:tc>
        <w:tc>
          <w:tcPr>
            <w:tcW w:w="837" w:type="dxa"/>
            <w:tcBorders>
              <w:top w:val="nil"/>
              <w:left w:val="nil"/>
              <w:bottom w:val="single" w:sz="4" w:space="0" w:color="auto"/>
              <w:right w:val="single" w:sz="4" w:space="0" w:color="auto"/>
            </w:tcBorders>
            <w:noWrap/>
            <w:vAlign w:val="center"/>
            <w:hideMark/>
          </w:tcPr>
          <w:p w14:paraId="619001BA"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color w:val="000000"/>
                <w:sz w:val="20"/>
                <w:szCs w:val="20"/>
              </w:rPr>
              <w:t>29.50</w:t>
            </w:r>
          </w:p>
        </w:tc>
        <w:tc>
          <w:tcPr>
            <w:tcW w:w="976" w:type="dxa"/>
            <w:tcBorders>
              <w:top w:val="nil"/>
              <w:left w:val="nil"/>
              <w:bottom w:val="single" w:sz="4" w:space="0" w:color="auto"/>
              <w:right w:val="single" w:sz="4" w:space="0" w:color="auto"/>
            </w:tcBorders>
            <w:noWrap/>
            <w:vAlign w:val="center"/>
          </w:tcPr>
          <w:p w14:paraId="6C9F2B16"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688.60</w:t>
            </w:r>
          </w:p>
        </w:tc>
        <w:tc>
          <w:tcPr>
            <w:tcW w:w="985" w:type="dxa"/>
            <w:tcBorders>
              <w:top w:val="nil"/>
              <w:left w:val="nil"/>
              <w:bottom w:val="single" w:sz="4" w:space="0" w:color="auto"/>
              <w:right w:val="single" w:sz="4" w:space="0" w:color="auto"/>
            </w:tcBorders>
            <w:noWrap/>
            <w:vAlign w:val="center"/>
            <w:hideMark/>
          </w:tcPr>
          <w:p w14:paraId="3144E820"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color w:val="000000"/>
                <w:sz w:val="20"/>
                <w:szCs w:val="20"/>
              </w:rPr>
              <w:t>22.56</w:t>
            </w:r>
          </w:p>
        </w:tc>
      </w:tr>
      <w:tr w:rsidR="00345F90" w:rsidRPr="00345F90" w14:paraId="5CA726DB" w14:textId="77777777" w:rsidTr="00345F90">
        <w:trPr>
          <w:trHeight w:val="654"/>
        </w:trPr>
        <w:tc>
          <w:tcPr>
            <w:tcW w:w="691" w:type="dxa"/>
            <w:tcBorders>
              <w:top w:val="nil"/>
              <w:left w:val="single" w:sz="4" w:space="0" w:color="auto"/>
              <w:bottom w:val="single" w:sz="4" w:space="0" w:color="auto"/>
              <w:right w:val="single" w:sz="4" w:space="0" w:color="auto"/>
            </w:tcBorders>
            <w:noWrap/>
            <w:vAlign w:val="bottom"/>
            <w:hideMark/>
          </w:tcPr>
          <w:p w14:paraId="31A1EB5B"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T₈</w:t>
            </w:r>
          </w:p>
        </w:tc>
        <w:tc>
          <w:tcPr>
            <w:tcW w:w="838" w:type="dxa"/>
            <w:tcBorders>
              <w:top w:val="nil"/>
              <w:left w:val="nil"/>
              <w:bottom w:val="single" w:sz="4" w:space="0" w:color="auto"/>
              <w:right w:val="single" w:sz="4" w:space="0" w:color="auto"/>
            </w:tcBorders>
            <w:noWrap/>
            <w:vAlign w:val="center"/>
            <w:hideMark/>
          </w:tcPr>
          <w:p w14:paraId="2BCEDF0C"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w:t>
            </w:r>
          </w:p>
        </w:tc>
        <w:tc>
          <w:tcPr>
            <w:tcW w:w="1115" w:type="dxa"/>
            <w:tcBorders>
              <w:top w:val="nil"/>
              <w:left w:val="nil"/>
              <w:bottom w:val="single" w:sz="4" w:space="0" w:color="auto"/>
              <w:right w:val="single" w:sz="4" w:space="0" w:color="auto"/>
            </w:tcBorders>
            <w:noWrap/>
            <w:vAlign w:val="center"/>
            <w:hideMark/>
          </w:tcPr>
          <w:p w14:paraId="3A4F92CC"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1.78</w:t>
            </w:r>
          </w:p>
          <w:p w14:paraId="19BF61DF"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(7.67)</w:t>
            </w:r>
          </w:p>
        </w:tc>
        <w:tc>
          <w:tcPr>
            <w:tcW w:w="1254" w:type="dxa"/>
            <w:tcBorders>
              <w:top w:val="nil"/>
              <w:left w:val="nil"/>
              <w:bottom w:val="single" w:sz="4" w:space="0" w:color="auto"/>
              <w:right w:val="single" w:sz="4" w:space="0" w:color="auto"/>
            </w:tcBorders>
            <w:noWrap/>
            <w:vAlign w:val="center"/>
            <w:hideMark/>
          </w:tcPr>
          <w:p w14:paraId="5E1A5F9B"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27.07</w:t>
            </w:r>
          </w:p>
          <w:p w14:paraId="34D2B4F8"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(31.29)</w:t>
            </w:r>
          </w:p>
        </w:tc>
        <w:tc>
          <w:tcPr>
            <w:tcW w:w="1115" w:type="dxa"/>
            <w:tcBorders>
              <w:top w:val="nil"/>
              <w:left w:val="nil"/>
              <w:bottom w:val="single" w:sz="4" w:space="0" w:color="auto"/>
              <w:right w:val="single" w:sz="4" w:space="0" w:color="auto"/>
            </w:tcBorders>
            <w:noWrap/>
            <w:vAlign w:val="center"/>
            <w:hideMark/>
          </w:tcPr>
          <w:p w14:paraId="12756B02"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36.93</w:t>
            </w:r>
          </w:p>
          <w:p w14:paraId="3D96E832"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(37.40)</w:t>
            </w:r>
          </w:p>
        </w:tc>
        <w:tc>
          <w:tcPr>
            <w:tcW w:w="1256" w:type="dxa"/>
            <w:tcBorders>
              <w:top w:val="nil"/>
              <w:left w:val="nil"/>
              <w:bottom w:val="single" w:sz="4" w:space="0" w:color="auto"/>
              <w:right w:val="single" w:sz="4" w:space="0" w:color="auto"/>
            </w:tcBorders>
            <w:noWrap/>
            <w:vAlign w:val="center"/>
            <w:hideMark/>
          </w:tcPr>
          <w:p w14:paraId="6156900B"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50.53</w:t>
            </w:r>
          </w:p>
          <w:p w14:paraId="50E0D395"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(45.30)</w:t>
            </w:r>
          </w:p>
        </w:tc>
        <w:tc>
          <w:tcPr>
            <w:tcW w:w="837" w:type="dxa"/>
            <w:tcBorders>
              <w:top w:val="nil"/>
              <w:left w:val="nil"/>
              <w:bottom w:val="single" w:sz="4" w:space="0" w:color="auto"/>
              <w:right w:val="single" w:sz="4" w:space="0" w:color="auto"/>
            </w:tcBorders>
            <w:noWrap/>
            <w:vAlign w:val="center"/>
            <w:hideMark/>
          </w:tcPr>
          <w:p w14:paraId="5C21CFF2"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color w:val="000000"/>
                <w:sz w:val="20"/>
                <w:szCs w:val="20"/>
              </w:rPr>
              <w:t>38.18</w:t>
            </w:r>
          </w:p>
        </w:tc>
        <w:tc>
          <w:tcPr>
            <w:tcW w:w="976" w:type="dxa"/>
            <w:tcBorders>
              <w:top w:val="nil"/>
              <w:left w:val="nil"/>
              <w:bottom w:val="single" w:sz="4" w:space="0" w:color="auto"/>
              <w:right w:val="single" w:sz="4" w:space="0" w:color="auto"/>
            </w:tcBorders>
            <w:noWrap/>
            <w:vAlign w:val="center"/>
          </w:tcPr>
          <w:p w14:paraId="1833686F"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901.55</w:t>
            </w:r>
          </w:p>
        </w:tc>
        <w:tc>
          <w:tcPr>
            <w:tcW w:w="985" w:type="dxa"/>
            <w:tcBorders>
              <w:top w:val="nil"/>
              <w:left w:val="nil"/>
              <w:bottom w:val="single" w:sz="4" w:space="0" w:color="auto"/>
              <w:right w:val="single" w:sz="4" w:space="0" w:color="auto"/>
            </w:tcBorders>
            <w:noWrap/>
            <w:vAlign w:val="center"/>
            <w:hideMark/>
          </w:tcPr>
          <w:p w14:paraId="073A24EC"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color w:val="000000"/>
                <w:sz w:val="20"/>
                <w:szCs w:val="20"/>
              </w:rPr>
              <w:t>0.00</w:t>
            </w:r>
          </w:p>
        </w:tc>
      </w:tr>
      <w:tr w:rsidR="00345F90" w:rsidRPr="00345F90" w14:paraId="468EE23E" w14:textId="77777777" w:rsidTr="00033ACF">
        <w:trPr>
          <w:trHeight w:val="654"/>
        </w:trPr>
        <w:tc>
          <w:tcPr>
            <w:tcW w:w="1529" w:type="dxa"/>
            <w:gridSpan w:val="2"/>
            <w:tcBorders>
              <w:top w:val="nil"/>
              <w:left w:val="single" w:sz="4" w:space="0" w:color="auto"/>
              <w:bottom w:val="single" w:sz="4" w:space="0" w:color="auto"/>
              <w:right w:val="single" w:sz="4" w:space="0" w:color="auto"/>
            </w:tcBorders>
            <w:noWrap/>
            <w:vAlign w:val="center"/>
            <w:hideMark/>
          </w:tcPr>
          <w:p w14:paraId="138A9772"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S.E. (m) ±</w:t>
            </w:r>
          </w:p>
        </w:tc>
        <w:tc>
          <w:tcPr>
            <w:tcW w:w="1115" w:type="dxa"/>
            <w:tcBorders>
              <w:top w:val="nil"/>
              <w:left w:val="nil"/>
              <w:bottom w:val="single" w:sz="4" w:space="0" w:color="auto"/>
              <w:right w:val="single" w:sz="4" w:space="0" w:color="auto"/>
            </w:tcBorders>
            <w:noWrap/>
            <w:vAlign w:val="center"/>
            <w:hideMark/>
          </w:tcPr>
          <w:p w14:paraId="46E0BBDE" w14:textId="77777777" w:rsidR="00345F90" w:rsidRPr="00345F90" w:rsidRDefault="00345F90" w:rsidP="00033ACF">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0.01</w:t>
            </w:r>
          </w:p>
        </w:tc>
        <w:tc>
          <w:tcPr>
            <w:tcW w:w="1254" w:type="dxa"/>
            <w:tcBorders>
              <w:top w:val="nil"/>
              <w:left w:val="nil"/>
              <w:bottom w:val="single" w:sz="4" w:space="0" w:color="auto"/>
              <w:right w:val="single" w:sz="4" w:space="0" w:color="auto"/>
            </w:tcBorders>
            <w:noWrap/>
            <w:vAlign w:val="center"/>
            <w:hideMark/>
          </w:tcPr>
          <w:p w14:paraId="36940A1E" w14:textId="77777777" w:rsidR="00345F90" w:rsidRPr="00345F90" w:rsidRDefault="00345F90" w:rsidP="00033ACF">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0.94</w:t>
            </w:r>
          </w:p>
        </w:tc>
        <w:tc>
          <w:tcPr>
            <w:tcW w:w="1115" w:type="dxa"/>
            <w:tcBorders>
              <w:top w:val="nil"/>
              <w:left w:val="nil"/>
              <w:bottom w:val="single" w:sz="4" w:space="0" w:color="auto"/>
              <w:right w:val="single" w:sz="4" w:space="0" w:color="auto"/>
            </w:tcBorders>
            <w:noWrap/>
            <w:vAlign w:val="center"/>
            <w:hideMark/>
          </w:tcPr>
          <w:p w14:paraId="6854EBE6" w14:textId="77777777" w:rsidR="00345F90" w:rsidRPr="00345F90" w:rsidRDefault="00345F90" w:rsidP="00033ACF">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1.06</w:t>
            </w:r>
          </w:p>
        </w:tc>
        <w:tc>
          <w:tcPr>
            <w:tcW w:w="1256" w:type="dxa"/>
            <w:tcBorders>
              <w:top w:val="nil"/>
              <w:left w:val="nil"/>
              <w:bottom w:val="single" w:sz="4" w:space="0" w:color="auto"/>
              <w:right w:val="single" w:sz="4" w:space="0" w:color="auto"/>
            </w:tcBorders>
            <w:noWrap/>
            <w:vAlign w:val="center"/>
            <w:hideMark/>
          </w:tcPr>
          <w:p w14:paraId="1CEACFF1" w14:textId="77777777" w:rsidR="00345F90" w:rsidRPr="00345F90" w:rsidRDefault="00345F90" w:rsidP="00033ACF">
            <w:pPr>
              <w:spacing w:line="240" w:lineRule="auto"/>
              <w:jc w:val="center"/>
              <w:rPr>
                <w:rFonts w:ascii="Times New Roman" w:hAnsi="Times New Roman" w:cs="Times New Roman"/>
                <w:sz w:val="20"/>
                <w:szCs w:val="20"/>
              </w:rPr>
            </w:pPr>
            <w:r w:rsidRPr="00345F90">
              <w:rPr>
                <w:rFonts w:ascii="Times New Roman" w:hAnsi="Times New Roman" w:cs="Times New Roman"/>
                <w:sz w:val="20"/>
                <w:szCs w:val="20"/>
              </w:rPr>
              <w:t>1.74</w:t>
            </w:r>
          </w:p>
        </w:tc>
        <w:tc>
          <w:tcPr>
            <w:tcW w:w="837" w:type="dxa"/>
            <w:tcBorders>
              <w:top w:val="nil"/>
              <w:left w:val="nil"/>
              <w:bottom w:val="single" w:sz="4" w:space="0" w:color="auto"/>
              <w:right w:val="single" w:sz="4" w:space="0" w:color="auto"/>
            </w:tcBorders>
            <w:noWrap/>
            <w:vAlign w:val="center"/>
            <w:hideMark/>
          </w:tcPr>
          <w:p w14:paraId="77380DEA" w14:textId="77777777" w:rsidR="00345F90" w:rsidRPr="00345F90" w:rsidRDefault="00345F90" w:rsidP="00676757">
            <w:pPr>
              <w:spacing w:after="0" w:line="240" w:lineRule="auto"/>
              <w:jc w:val="center"/>
              <w:rPr>
                <w:rFonts w:ascii="Times New Roman" w:hAnsi="Times New Roman" w:cs="Times New Roman"/>
                <w:sz w:val="20"/>
                <w:szCs w:val="20"/>
              </w:rPr>
            </w:pPr>
          </w:p>
        </w:tc>
        <w:tc>
          <w:tcPr>
            <w:tcW w:w="976" w:type="dxa"/>
            <w:tcBorders>
              <w:top w:val="nil"/>
              <w:left w:val="nil"/>
              <w:bottom w:val="single" w:sz="4" w:space="0" w:color="auto"/>
              <w:right w:val="single" w:sz="4" w:space="0" w:color="auto"/>
            </w:tcBorders>
            <w:noWrap/>
            <w:vAlign w:val="center"/>
            <w:hideMark/>
          </w:tcPr>
          <w:p w14:paraId="3C7AC125" w14:textId="77777777" w:rsidR="00345F90" w:rsidRPr="00345F90" w:rsidRDefault="00345F90" w:rsidP="00676757">
            <w:pPr>
              <w:spacing w:after="0" w:line="240" w:lineRule="auto"/>
              <w:jc w:val="center"/>
              <w:rPr>
                <w:rFonts w:ascii="Times New Roman" w:hAnsi="Times New Roman" w:cs="Times New Roman"/>
                <w:sz w:val="20"/>
                <w:szCs w:val="20"/>
              </w:rPr>
            </w:pPr>
          </w:p>
        </w:tc>
        <w:tc>
          <w:tcPr>
            <w:tcW w:w="985" w:type="dxa"/>
            <w:tcBorders>
              <w:top w:val="nil"/>
              <w:left w:val="nil"/>
              <w:bottom w:val="single" w:sz="4" w:space="0" w:color="auto"/>
              <w:right w:val="single" w:sz="4" w:space="0" w:color="auto"/>
            </w:tcBorders>
            <w:noWrap/>
            <w:vAlign w:val="center"/>
            <w:hideMark/>
          </w:tcPr>
          <w:p w14:paraId="4C507B16" w14:textId="77777777" w:rsidR="00345F90" w:rsidRPr="00345F90" w:rsidRDefault="00345F90" w:rsidP="00676757">
            <w:pPr>
              <w:spacing w:after="0" w:line="240" w:lineRule="auto"/>
              <w:jc w:val="center"/>
              <w:rPr>
                <w:rFonts w:ascii="Times New Roman" w:hAnsi="Times New Roman" w:cs="Times New Roman"/>
                <w:sz w:val="20"/>
                <w:szCs w:val="20"/>
              </w:rPr>
            </w:pPr>
          </w:p>
        </w:tc>
      </w:tr>
      <w:tr w:rsidR="00345F90" w:rsidRPr="00345F90" w14:paraId="501301AC" w14:textId="77777777" w:rsidTr="00033ACF">
        <w:trPr>
          <w:trHeight w:val="654"/>
        </w:trPr>
        <w:tc>
          <w:tcPr>
            <w:tcW w:w="1529" w:type="dxa"/>
            <w:gridSpan w:val="2"/>
            <w:tcBorders>
              <w:top w:val="nil"/>
              <w:left w:val="single" w:sz="4" w:space="0" w:color="auto"/>
              <w:bottom w:val="single" w:sz="4" w:space="0" w:color="auto"/>
              <w:right w:val="single" w:sz="4" w:space="0" w:color="auto"/>
            </w:tcBorders>
            <w:noWrap/>
            <w:vAlign w:val="center"/>
            <w:hideMark/>
          </w:tcPr>
          <w:p w14:paraId="728A49E6"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lastRenderedPageBreak/>
              <w:t>CD at 5%</w:t>
            </w:r>
          </w:p>
        </w:tc>
        <w:tc>
          <w:tcPr>
            <w:tcW w:w="1115" w:type="dxa"/>
            <w:tcBorders>
              <w:top w:val="nil"/>
              <w:left w:val="nil"/>
              <w:bottom w:val="single" w:sz="4" w:space="0" w:color="auto"/>
              <w:right w:val="single" w:sz="4" w:space="0" w:color="auto"/>
            </w:tcBorders>
            <w:noWrap/>
            <w:vAlign w:val="center"/>
            <w:hideMark/>
          </w:tcPr>
          <w:p w14:paraId="3E41F38B" w14:textId="77777777" w:rsidR="00345F90" w:rsidRPr="00345F90" w:rsidRDefault="00345F90" w:rsidP="00033ACF">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0.032</w:t>
            </w:r>
          </w:p>
        </w:tc>
        <w:tc>
          <w:tcPr>
            <w:tcW w:w="1254" w:type="dxa"/>
            <w:tcBorders>
              <w:top w:val="nil"/>
              <w:left w:val="nil"/>
              <w:bottom w:val="single" w:sz="4" w:space="0" w:color="auto"/>
              <w:right w:val="single" w:sz="4" w:space="0" w:color="auto"/>
            </w:tcBorders>
            <w:noWrap/>
            <w:vAlign w:val="center"/>
            <w:hideMark/>
          </w:tcPr>
          <w:p w14:paraId="0328E00F" w14:textId="77777777" w:rsidR="00345F90" w:rsidRPr="00345F90" w:rsidRDefault="00345F90" w:rsidP="00033ACF">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2.86</w:t>
            </w:r>
          </w:p>
        </w:tc>
        <w:tc>
          <w:tcPr>
            <w:tcW w:w="1115" w:type="dxa"/>
            <w:tcBorders>
              <w:top w:val="nil"/>
              <w:left w:val="nil"/>
              <w:bottom w:val="single" w:sz="4" w:space="0" w:color="auto"/>
              <w:right w:val="single" w:sz="4" w:space="0" w:color="auto"/>
            </w:tcBorders>
            <w:noWrap/>
            <w:vAlign w:val="center"/>
            <w:hideMark/>
          </w:tcPr>
          <w:p w14:paraId="52285AA4" w14:textId="77777777" w:rsidR="00345F90" w:rsidRPr="00345F90" w:rsidRDefault="00345F90" w:rsidP="00033ACF">
            <w:pPr>
              <w:spacing w:line="240" w:lineRule="auto"/>
              <w:jc w:val="center"/>
              <w:rPr>
                <w:rFonts w:ascii="Times New Roman" w:hAnsi="Times New Roman" w:cs="Times New Roman"/>
                <w:sz w:val="20"/>
                <w:szCs w:val="20"/>
              </w:rPr>
            </w:pPr>
            <w:r w:rsidRPr="00345F90">
              <w:rPr>
                <w:rFonts w:ascii="Times New Roman" w:hAnsi="Times New Roman" w:cs="Times New Roman"/>
                <w:sz w:val="20"/>
                <w:szCs w:val="20"/>
              </w:rPr>
              <w:t>3.23</w:t>
            </w:r>
          </w:p>
        </w:tc>
        <w:tc>
          <w:tcPr>
            <w:tcW w:w="1256" w:type="dxa"/>
            <w:tcBorders>
              <w:top w:val="nil"/>
              <w:left w:val="nil"/>
              <w:bottom w:val="single" w:sz="4" w:space="0" w:color="auto"/>
              <w:right w:val="single" w:sz="4" w:space="0" w:color="auto"/>
            </w:tcBorders>
            <w:noWrap/>
            <w:vAlign w:val="center"/>
            <w:hideMark/>
          </w:tcPr>
          <w:p w14:paraId="712A3273" w14:textId="77777777" w:rsidR="00345F90" w:rsidRPr="00345F90" w:rsidRDefault="00345F90" w:rsidP="00033ACF">
            <w:pPr>
              <w:spacing w:line="240" w:lineRule="auto"/>
              <w:jc w:val="center"/>
              <w:rPr>
                <w:rFonts w:ascii="Times New Roman" w:hAnsi="Times New Roman" w:cs="Times New Roman"/>
                <w:sz w:val="20"/>
                <w:szCs w:val="20"/>
              </w:rPr>
            </w:pPr>
            <w:r w:rsidRPr="00345F90">
              <w:rPr>
                <w:rFonts w:ascii="Times New Roman" w:hAnsi="Times New Roman" w:cs="Times New Roman"/>
                <w:sz w:val="20"/>
                <w:szCs w:val="20"/>
              </w:rPr>
              <w:t>5.28</w:t>
            </w:r>
          </w:p>
        </w:tc>
        <w:tc>
          <w:tcPr>
            <w:tcW w:w="837" w:type="dxa"/>
            <w:tcBorders>
              <w:top w:val="nil"/>
              <w:left w:val="nil"/>
              <w:bottom w:val="single" w:sz="4" w:space="0" w:color="auto"/>
              <w:right w:val="single" w:sz="4" w:space="0" w:color="auto"/>
            </w:tcBorders>
            <w:noWrap/>
            <w:vAlign w:val="center"/>
            <w:hideMark/>
          </w:tcPr>
          <w:p w14:paraId="7ADE53B2" w14:textId="77777777" w:rsidR="00345F90" w:rsidRPr="00345F90" w:rsidRDefault="00345F90" w:rsidP="00676757">
            <w:pPr>
              <w:spacing w:after="0" w:line="240" w:lineRule="auto"/>
              <w:jc w:val="center"/>
              <w:rPr>
                <w:rFonts w:ascii="Times New Roman" w:hAnsi="Times New Roman" w:cs="Times New Roman"/>
                <w:sz w:val="20"/>
                <w:szCs w:val="20"/>
              </w:rPr>
            </w:pPr>
          </w:p>
          <w:p w14:paraId="3E3DBF7C" w14:textId="77777777" w:rsidR="00345F90" w:rsidRPr="00345F90" w:rsidRDefault="00345F90" w:rsidP="00676757">
            <w:pPr>
              <w:spacing w:after="0" w:line="240" w:lineRule="auto"/>
              <w:jc w:val="center"/>
              <w:rPr>
                <w:rFonts w:ascii="Times New Roman" w:hAnsi="Times New Roman" w:cs="Times New Roman"/>
                <w:sz w:val="20"/>
                <w:szCs w:val="20"/>
              </w:rPr>
            </w:pPr>
          </w:p>
        </w:tc>
        <w:tc>
          <w:tcPr>
            <w:tcW w:w="976" w:type="dxa"/>
            <w:tcBorders>
              <w:top w:val="nil"/>
              <w:left w:val="nil"/>
              <w:bottom w:val="single" w:sz="4" w:space="0" w:color="auto"/>
              <w:right w:val="single" w:sz="4" w:space="0" w:color="auto"/>
            </w:tcBorders>
            <w:noWrap/>
            <w:vAlign w:val="center"/>
            <w:hideMark/>
          </w:tcPr>
          <w:p w14:paraId="61E7E092" w14:textId="77777777" w:rsidR="00345F90" w:rsidRPr="00345F90" w:rsidRDefault="00345F90" w:rsidP="00676757">
            <w:pPr>
              <w:spacing w:after="0" w:line="240" w:lineRule="auto"/>
              <w:jc w:val="center"/>
              <w:rPr>
                <w:rFonts w:ascii="Times New Roman" w:hAnsi="Times New Roman" w:cs="Times New Roman"/>
                <w:sz w:val="20"/>
                <w:szCs w:val="20"/>
              </w:rPr>
            </w:pPr>
          </w:p>
        </w:tc>
        <w:tc>
          <w:tcPr>
            <w:tcW w:w="985" w:type="dxa"/>
            <w:tcBorders>
              <w:top w:val="nil"/>
              <w:left w:val="nil"/>
              <w:bottom w:val="single" w:sz="4" w:space="0" w:color="auto"/>
              <w:right w:val="single" w:sz="4" w:space="0" w:color="auto"/>
            </w:tcBorders>
            <w:noWrap/>
            <w:vAlign w:val="center"/>
            <w:hideMark/>
          </w:tcPr>
          <w:p w14:paraId="179F29CB" w14:textId="77777777" w:rsidR="00345F90" w:rsidRPr="00345F90" w:rsidRDefault="00345F90" w:rsidP="00676757">
            <w:pPr>
              <w:spacing w:after="0" w:line="240" w:lineRule="auto"/>
              <w:jc w:val="center"/>
              <w:rPr>
                <w:rFonts w:ascii="Times New Roman" w:hAnsi="Times New Roman" w:cs="Times New Roman"/>
                <w:sz w:val="20"/>
                <w:szCs w:val="20"/>
              </w:rPr>
            </w:pPr>
          </w:p>
        </w:tc>
      </w:tr>
    </w:tbl>
    <w:p w14:paraId="13548592" w14:textId="73BA894D" w:rsidR="006C194B" w:rsidRPr="006C194B" w:rsidRDefault="006A6ED9" w:rsidP="00345F90">
      <w:pPr>
        <w:spacing w:line="360" w:lineRule="auto"/>
        <w:jc w:val="both"/>
        <w:rPr>
          <w:rFonts w:ascii="Arial" w:eastAsia="Times New Roman" w:hAnsi="Arial" w:cs="Arial"/>
          <w:bCs/>
          <w:i/>
          <w:iCs/>
          <w:color w:val="000000"/>
          <w:kern w:val="2"/>
          <w:sz w:val="18"/>
          <w:szCs w:val="18"/>
          <w:lang w:val="en-GB" w:eastAsia="en-GB"/>
        </w:rPr>
      </w:pPr>
      <w:r w:rsidRPr="006C194B">
        <w:rPr>
          <w:rFonts w:ascii="Arial" w:eastAsia="Times New Roman" w:hAnsi="Arial" w:cs="Arial"/>
          <w:bCs/>
          <w:i/>
          <w:iCs/>
          <w:color w:val="000000"/>
          <w:kern w:val="2"/>
          <w:sz w:val="18"/>
          <w:szCs w:val="18"/>
          <w:lang w:val="en-GB" w:eastAsia="en-GB"/>
        </w:rPr>
        <w:t>*Figures in parentheses are arcsine transformed values</w:t>
      </w:r>
      <w:r w:rsidR="006C194B">
        <w:rPr>
          <w:rFonts w:ascii="Arial" w:eastAsia="Times New Roman" w:hAnsi="Arial" w:cs="Arial"/>
          <w:bCs/>
          <w:i/>
          <w:iCs/>
          <w:color w:val="000000"/>
          <w:kern w:val="2"/>
          <w:sz w:val="18"/>
          <w:szCs w:val="18"/>
          <w:lang w:val="en-GB" w:eastAsia="en-GB"/>
        </w:rPr>
        <w:t xml:space="preserve"> </w:t>
      </w:r>
      <w:r w:rsidR="006C194B" w:rsidRPr="00B0396C">
        <w:rPr>
          <w:rFonts w:ascii="Arial" w:eastAsia="Times New Roman" w:hAnsi="Arial" w:cs="Arial"/>
          <w:bCs/>
          <w:i/>
          <w:iCs/>
          <w:color w:val="000000"/>
          <w:kern w:val="2"/>
          <w:sz w:val="18"/>
          <w:szCs w:val="18"/>
          <w:lang w:val="en-GB" w:eastAsia="en-GB"/>
        </w:rPr>
        <w:t>*T= Treatment; T1 To T8 represent the different fungicide treatments evaluated against downy mildew of sponge gourd</w:t>
      </w:r>
    </w:p>
    <w:p w14:paraId="32F04DDC" w14:textId="315C6D61" w:rsidR="00345F90" w:rsidRDefault="00345F90" w:rsidP="00345F90">
      <w:pPr>
        <w:spacing w:line="360" w:lineRule="auto"/>
        <w:jc w:val="both"/>
        <w:rPr>
          <w:rFonts w:ascii="Times New Roman" w:hAnsi="Times New Roman" w:cs="Times New Roman"/>
          <w:b/>
          <w:bCs/>
          <w:sz w:val="24"/>
          <w:szCs w:val="24"/>
        </w:rPr>
      </w:pPr>
      <w:r w:rsidRPr="00C14ED8">
        <w:rPr>
          <w:rFonts w:ascii="Times New Roman" w:hAnsi="Times New Roman" w:cs="Times New Roman"/>
          <w:b/>
          <w:bCs/>
          <w:sz w:val="24"/>
          <w:szCs w:val="24"/>
        </w:rPr>
        <w:t xml:space="preserve">Analysis of Infection Rate and PDI Progression </w:t>
      </w:r>
      <w:r w:rsidR="006A6ED9">
        <w:rPr>
          <w:rFonts w:ascii="Times New Roman" w:hAnsi="Times New Roman" w:cs="Times New Roman"/>
          <w:b/>
          <w:bCs/>
          <w:sz w:val="24"/>
          <w:szCs w:val="24"/>
        </w:rPr>
        <w:t xml:space="preserve">of Powdery mildew </w:t>
      </w:r>
      <w:r w:rsidRPr="00C14ED8">
        <w:rPr>
          <w:rFonts w:ascii="Times New Roman" w:hAnsi="Times New Roman" w:cs="Times New Roman"/>
          <w:b/>
          <w:bCs/>
          <w:sz w:val="24"/>
          <w:szCs w:val="24"/>
        </w:rPr>
        <w:t>in Sponge Gourd Under Different Fungicidal Treatments</w:t>
      </w:r>
    </w:p>
    <w:p w14:paraId="5F0AD299" w14:textId="0003BF96" w:rsidR="006A6ED9" w:rsidRDefault="006A6ED9" w:rsidP="006A6ED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4C2B9B">
        <w:rPr>
          <w:rFonts w:ascii="Times New Roman" w:hAnsi="Times New Roman" w:cs="Times New Roman"/>
          <w:sz w:val="24"/>
          <w:szCs w:val="24"/>
        </w:rPr>
        <w:t xml:space="preserve">he results of the study, as presented in Table </w:t>
      </w:r>
      <w:r w:rsidR="00B964A2">
        <w:rPr>
          <w:rFonts w:ascii="Times New Roman" w:hAnsi="Times New Roman" w:cs="Times New Roman"/>
          <w:sz w:val="24"/>
          <w:szCs w:val="24"/>
        </w:rPr>
        <w:t>3</w:t>
      </w:r>
      <w:r w:rsidRPr="004C2B9B">
        <w:rPr>
          <w:rFonts w:ascii="Times New Roman" w:hAnsi="Times New Roman" w:cs="Times New Roman"/>
          <w:sz w:val="24"/>
          <w:szCs w:val="24"/>
        </w:rPr>
        <w:t xml:space="preserve">, demonstrate significant variations in the infection rates of powdery mildew in sponge gourd across different treatment intervals, highlighting the efficacy of various treatments. Treatment </w:t>
      </w:r>
      <w:r w:rsidRPr="00C52FD2">
        <w:rPr>
          <w:rFonts w:ascii="Times New Roman" w:hAnsi="Times New Roman" w:cs="Times New Roman"/>
          <w:sz w:val="24"/>
          <w:szCs w:val="24"/>
        </w:rPr>
        <w:t>T₃</w:t>
      </w:r>
      <w:r w:rsidRPr="004C2B9B">
        <w:rPr>
          <w:rFonts w:ascii="Times New Roman" w:hAnsi="Times New Roman" w:cs="Times New Roman"/>
          <w:sz w:val="24"/>
          <w:szCs w:val="24"/>
        </w:rPr>
        <w:t xml:space="preserve"> (Azoxystrobin 11% + Tebuconazole 18.3% at 0.15%) exhibited the lowest infection rates of </w:t>
      </w:r>
      <w:r>
        <w:rPr>
          <w:rFonts w:ascii="Times New Roman" w:hAnsi="Times New Roman" w:cs="Times New Roman"/>
          <w:sz w:val="24"/>
          <w:szCs w:val="24"/>
        </w:rPr>
        <w:t>0.660, 0.317</w:t>
      </w:r>
      <w:r w:rsidRPr="004C2B9B">
        <w:rPr>
          <w:rFonts w:ascii="Times New Roman" w:hAnsi="Times New Roman" w:cs="Times New Roman"/>
          <w:sz w:val="24"/>
          <w:szCs w:val="24"/>
        </w:rPr>
        <w:t xml:space="preserve"> and 0.</w:t>
      </w:r>
      <w:r>
        <w:rPr>
          <w:rFonts w:ascii="Times New Roman" w:hAnsi="Times New Roman" w:cs="Times New Roman"/>
          <w:sz w:val="24"/>
          <w:szCs w:val="24"/>
        </w:rPr>
        <w:t>167</w:t>
      </w:r>
      <w:r w:rsidRPr="004C2B9B">
        <w:rPr>
          <w:rFonts w:ascii="Times New Roman" w:hAnsi="Times New Roman" w:cs="Times New Roman"/>
          <w:sz w:val="24"/>
          <w:szCs w:val="24"/>
        </w:rPr>
        <w:t xml:space="preserve"> from the initial observation to the 10-20 day and 20-30 day periods, respectively, with its PDI increasing only from </w:t>
      </w:r>
      <w:r>
        <w:rPr>
          <w:rFonts w:ascii="Times New Roman" w:hAnsi="Times New Roman" w:cs="Times New Roman"/>
          <w:sz w:val="24"/>
          <w:szCs w:val="24"/>
        </w:rPr>
        <w:t>1.73</w:t>
      </w:r>
      <w:r w:rsidRPr="004C2B9B">
        <w:rPr>
          <w:rFonts w:ascii="Times New Roman" w:hAnsi="Times New Roman" w:cs="Times New Roman"/>
          <w:sz w:val="24"/>
          <w:szCs w:val="24"/>
        </w:rPr>
        <w:t xml:space="preserve"> to </w:t>
      </w:r>
      <w:r>
        <w:rPr>
          <w:rFonts w:ascii="Times New Roman" w:hAnsi="Times New Roman" w:cs="Times New Roman"/>
          <w:sz w:val="24"/>
          <w:szCs w:val="24"/>
        </w:rPr>
        <w:t>13.17</w:t>
      </w:r>
      <w:r w:rsidRPr="004C2B9B">
        <w:rPr>
          <w:rFonts w:ascii="Times New Roman" w:hAnsi="Times New Roman" w:cs="Times New Roman"/>
          <w:sz w:val="24"/>
          <w:szCs w:val="24"/>
        </w:rPr>
        <w:t xml:space="preserve">, indicating robust disease control. In contrast, </w:t>
      </w:r>
      <w:r w:rsidRPr="00C52FD2">
        <w:rPr>
          <w:rFonts w:ascii="Times New Roman" w:hAnsi="Times New Roman" w:cs="Times New Roman"/>
          <w:sz w:val="24"/>
          <w:szCs w:val="24"/>
        </w:rPr>
        <w:t>T₆</w:t>
      </w:r>
      <w:r w:rsidRPr="004C2B9B">
        <w:rPr>
          <w:rFonts w:ascii="Times New Roman" w:hAnsi="Times New Roman" w:cs="Times New Roman"/>
          <w:sz w:val="24"/>
          <w:szCs w:val="24"/>
        </w:rPr>
        <w:t xml:space="preserve"> (</w:t>
      </w:r>
      <w:proofErr w:type="spellStart"/>
      <w:r w:rsidRPr="004C2B9B">
        <w:rPr>
          <w:rFonts w:ascii="Times New Roman" w:hAnsi="Times New Roman" w:cs="Times New Roman"/>
          <w:sz w:val="24"/>
          <w:szCs w:val="24"/>
        </w:rPr>
        <w:t>Kresoxim</w:t>
      </w:r>
      <w:proofErr w:type="spellEnd"/>
      <w:r w:rsidRPr="004C2B9B">
        <w:rPr>
          <w:rFonts w:ascii="Times New Roman" w:hAnsi="Times New Roman" w:cs="Times New Roman"/>
          <w:sz w:val="24"/>
          <w:szCs w:val="24"/>
        </w:rPr>
        <w:t xml:space="preserve"> methyl 18% + Mancozeb 54% WP at 0.2%) showed moderate efficacy with rates of</w:t>
      </w:r>
      <w:r>
        <w:rPr>
          <w:rFonts w:ascii="Times New Roman" w:hAnsi="Times New Roman" w:cs="Times New Roman"/>
          <w:sz w:val="24"/>
          <w:szCs w:val="24"/>
        </w:rPr>
        <w:t xml:space="preserve"> 1.108, 0.377</w:t>
      </w:r>
      <w:r w:rsidRPr="004C2B9B">
        <w:rPr>
          <w:rFonts w:ascii="Times New Roman" w:hAnsi="Times New Roman" w:cs="Times New Roman"/>
          <w:sz w:val="24"/>
          <w:szCs w:val="24"/>
        </w:rPr>
        <w:t xml:space="preserve"> and 0.</w:t>
      </w:r>
      <w:r>
        <w:rPr>
          <w:rFonts w:ascii="Times New Roman" w:hAnsi="Times New Roman" w:cs="Times New Roman"/>
          <w:sz w:val="24"/>
          <w:szCs w:val="24"/>
        </w:rPr>
        <w:t>300</w:t>
      </w:r>
      <w:r w:rsidRPr="004C2B9B">
        <w:rPr>
          <w:rFonts w:ascii="Times New Roman" w:hAnsi="Times New Roman" w:cs="Times New Roman"/>
          <w:sz w:val="24"/>
          <w:szCs w:val="24"/>
        </w:rPr>
        <w:t xml:space="preserve">, and a PDI rise from </w:t>
      </w:r>
      <w:r>
        <w:rPr>
          <w:rFonts w:ascii="Times New Roman" w:hAnsi="Times New Roman" w:cs="Times New Roman"/>
          <w:sz w:val="24"/>
          <w:szCs w:val="24"/>
        </w:rPr>
        <w:t>1.92</w:t>
      </w:r>
      <w:r w:rsidRPr="004C2B9B">
        <w:rPr>
          <w:rFonts w:ascii="Times New Roman" w:hAnsi="Times New Roman" w:cs="Times New Roman"/>
          <w:sz w:val="24"/>
          <w:szCs w:val="24"/>
        </w:rPr>
        <w:t xml:space="preserve"> to </w:t>
      </w:r>
      <w:r>
        <w:rPr>
          <w:rFonts w:ascii="Times New Roman" w:hAnsi="Times New Roman" w:cs="Times New Roman"/>
          <w:sz w:val="24"/>
          <w:szCs w:val="24"/>
        </w:rPr>
        <w:t>19.77</w:t>
      </w:r>
      <w:r w:rsidRPr="004C2B9B">
        <w:rPr>
          <w:rFonts w:ascii="Times New Roman" w:hAnsi="Times New Roman" w:cs="Times New Roman"/>
          <w:sz w:val="24"/>
          <w:szCs w:val="24"/>
        </w:rPr>
        <w:t xml:space="preserve">. Treatments </w:t>
      </w:r>
      <w:r w:rsidRPr="00C52FD2">
        <w:rPr>
          <w:rFonts w:ascii="Times New Roman" w:hAnsi="Times New Roman" w:cs="Times New Roman"/>
          <w:sz w:val="24"/>
          <w:szCs w:val="24"/>
        </w:rPr>
        <w:t>T₄</w:t>
      </w:r>
      <w:r w:rsidRPr="004C2B9B">
        <w:rPr>
          <w:rFonts w:ascii="Times New Roman" w:hAnsi="Times New Roman" w:cs="Times New Roman"/>
          <w:sz w:val="24"/>
          <w:szCs w:val="24"/>
        </w:rPr>
        <w:t xml:space="preserve"> and </w:t>
      </w:r>
      <w:r w:rsidRPr="00C52FD2">
        <w:rPr>
          <w:rFonts w:ascii="Times New Roman" w:hAnsi="Times New Roman" w:cs="Times New Roman"/>
          <w:sz w:val="24"/>
          <w:szCs w:val="24"/>
        </w:rPr>
        <w:t>T₇</w:t>
      </w:r>
      <w:r w:rsidRPr="004C2B9B">
        <w:rPr>
          <w:rFonts w:ascii="Times New Roman" w:hAnsi="Times New Roman" w:cs="Times New Roman"/>
          <w:sz w:val="24"/>
          <w:szCs w:val="24"/>
        </w:rPr>
        <w:t xml:space="preserve"> displayed higher infection rates (</w:t>
      </w:r>
      <w:r>
        <w:rPr>
          <w:rFonts w:ascii="Times New Roman" w:hAnsi="Times New Roman" w:cs="Times New Roman"/>
          <w:sz w:val="24"/>
          <w:szCs w:val="24"/>
        </w:rPr>
        <w:t>2.442, 0.613, 0.337</w:t>
      </w:r>
      <w:r w:rsidRPr="004C2B9B">
        <w:rPr>
          <w:rFonts w:ascii="Times New Roman" w:hAnsi="Times New Roman" w:cs="Times New Roman"/>
          <w:sz w:val="24"/>
          <w:szCs w:val="24"/>
        </w:rPr>
        <w:t xml:space="preserve"> for </w:t>
      </w:r>
      <w:r w:rsidRPr="00C52FD2">
        <w:rPr>
          <w:rFonts w:ascii="Times New Roman" w:hAnsi="Times New Roman" w:cs="Times New Roman"/>
          <w:sz w:val="24"/>
          <w:szCs w:val="24"/>
        </w:rPr>
        <w:t>T₄</w:t>
      </w:r>
      <w:r w:rsidRPr="004C2B9B">
        <w:rPr>
          <w:rFonts w:ascii="Times New Roman" w:hAnsi="Times New Roman" w:cs="Times New Roman"/>
          <w:sz w:val="24"/>
          <w:szCs w:val="24"/>
        </w:rPr>
        <w:t xml:space="preserve">; </w:t>
      </w:r>
      <w:r>
        <w:rPr>
          <w:rFonts w:ascii="Times New Roman" w:hAnsi="Times New Roman" w:cs="Times New Roman"/>
          <w:sz w:val="24"/>
          <w:szCs w:val="24"/>
        </w:rPr>
        <w:t xml:space="preserve">2.024, 0.457, 1.317 </w:t>
      </w:r>
      <w:r w:rsidRPr="004C2B9B">
        <w:rPr>
          <w:rFonts w:ascii="Times New Roman" w:hAnsi="Times New Roman" w:cs="Times New Roman"/>
          <w:sz w:val="24"/>
          <w:szCs w:val="24"/>
        </w:rPr>
        <w:t xml:space="preserve">for </w:t>
      </w:r>
      <w:r w:rsidRPr="00C52FD2">
        <w:rPr>
          <w:rFonts w:ascii="Times New Roman" w:hAnsi="Times New Roman" w:cs="Times New Roman"/>
          <w:sz w:val="24"/>
          <w:szCs w:val="24"/>
        </w:rPr>
        <w:t>T₇</w:t>
      </w:r>
      <w:r w:rsidRPr="004C2B9B">
        <w:rPr>
          <w:rFonts w:ascii="Times New Roman" w:hAnsi="Times New Roman" w:cs="Times New Roman"/>
          <w:sz w:val="24"/>
          <w:szCs w:val="24"/>
        </w:rPr>
        <w:t>) and larger PDI increases (</w:t>
      </w:r>
      <w:r>
        <w:rPr>
          <w:rFonts w:ascii="Times New Roman" w:hAnsi="Times New Roman" w:cs="Times New Roman"/>
          <w:sz w:val="24"/>
          <w:szCs w:val="24"/>
        </w:rPr>
        <w:t xml:space="preserve">1.88 to 35.80 </w:t>
      </w:r>
      <w:r w:rsidRPr="004C2B9B">
        <w:rPr>
          <w:rFonts w:ascii="Times New Roman" w:hAnsi="Times New Roman" w:cs="Times New Roman"/>
          <w:sz w:val="24"/>
          <w:szCs w:val="24"/>
        </w:rPr>
        <w:t xml:space="preserve">for </w:t>
      </w:r>
      <w:r w:rsidRPr="00C52FD2">
        <w:rPr>
          <w:rFonts w:ascii="Times New Roman" w:hAnsi="Times New Roman" w:cs="Times New Roman"/>
          <w:sz w:val="24"/>
          <w:szCs w:val="24"/>
        </w:rPr>
        <w:t>T₄</w:t>
      </w:r>
      <w:r w:rsidRPr="004C2B9B">
        <w:rPr>
          <w:rFonts w:ascii="Times New Roman" w:hAnsi="Times New Roman" w:cs="Times New Roman"/>
          <w:sz w:val="24"/>
          <w:szCs w:val="24"/>
        </w:rPr>
        <w:t xml:space="preserve">; </w:t>
      </w:r>
      <w:r>
        <w:rPr>
          <w:rFonts w:ascii="Times New Roman" w:hAnsi="Times New Roman" w:cs="Times New Roman"/>
          <w:sz w:val="24"/>
          <w:szCs w:val="24"/>
        </w:rPr>
        <w:t xml:space="preserve">1.79 </w:t>
      </w:r>
      <w:r w:rsidRPr="004C2B9B">
        <w:rPr>
          <w:rFonts w:ascii="Times New Roman" w:hAnsi="Times New Roman" w:cs="Times New Roman"/>
          <w:sz w:val="24"/>
          <w:szCs w:val="24"/>
        </w:rPr>
        <w:t xml:space="preserve">to </w:t>
      </w:r>
      <w:r>
        <w:rPr>
          <w:rFonts w:ascii="Times New Roman" w:hAnsi="Times New Roman" w:cs="Times New Roman"/>
          <w:sz w:val="24"/>
          <w:szCs w:val="24"/>
        </w:rPr>
        <w:t xml:space="preserve">39.87 </w:t>
      </w:r>
      <w:r w:rsidRPr="004C2B9B">
        <w:rPr>
          <w:rFonts w:ascii="Times New Roman" w:hAnsi="Times New Roman" w:cs="Times New Roman"/>
          <w:sz w:val="24"/>
          <w:szCs w:val="24"/>
        </w:rPr>
        <w:t xml:space="preserve">for </w:t>
      </w:r>
      <w:r w:rsidRPr="00C52FD2">
        <w:rPr>
          <w:rFonts w:ascii="Times New Roman" w:hAnsi="Times New Roman" w:cs="Times New Roman"/>
          <w:sz w:val="24"/>
          <w:szCs w:val="24"/>
        </w:rPr>
        <w:t>T₇</w:t>
      </w:r>
      <w:r w:rsidRPr="004C2B9B">
        <w:rPr>
          <w:rFonts w:ascii="Times New Roman" w:hAnsi="Times New Roman" w:cs="Times New Roman"/>
          <w:sz w:val="24"/>
          <w:szCs w:val="24"/>
        </w:rPr>
        <w:t>), suggesting limited control. The untreated control (</w:t>
      </w:r>
      <w:r w:rsidRPr="00C52FD2">
        <w:rPr>
          <w:rFonts w:ascii="Times New Roman" w:hAnsi="Times New Roman" w:cs="Times New Roman"/>
          <w:sz w:val="24"/>
          <w:szCs w:val="24"/>
        </w:rPr>
        <w:t>T₈</w:t>
      </w:r>
      <w:r w:rsidRPr="004C2B9B">
        <w:rPr>
          <w:rFonts w:ascii="Times New Roman" w:hAnsi="Times New Roman" w:cs="Times New Roman"/>
          <w:sz w:val="24"/>
          <w:szCs w:val="24"/>
        </w:rPr>
        <w:t>) recorded the highest rates (</w:t>
      </w:r>
      <w:r>
        <w:rPr>
          <w:rFonts w:ascii="Times New Roman" w:hAnsi="Times New Roman" w:cs="Times New Roman"/>
          <w:sz w:val="24"/>
          <w:szCs w:val="24"/>
        </w:rPr>
        <w:t>4.229, 0.553, 1.593</w:t>
      </w:r>
      <w:r w:rsidRPr="004C2B9B">
        <w:rPr>
          <w:rFonts w:ascii="Times New Roman" w:hAnsi="Times New Roman" w:cs="Times New Roman"/>
          <w:sz w:val="24"/>
          <w:szCs w:val="24"/>
        </w:rPr>
        <w:t xml:space="preserve">) and a PDI surge from </w:t>
      </w:r>
      <w:r>
        <w:rPr>
          <w:rFonts w:ascii="Times New Roman" w:hAnsi="Times New Roman" w:cs="Times New Roman"/>
          <w:sz w:val="24"/>
          <w:szCs w:val="24"/>
        </w:rPr>
        <w:t>1.78</w:t>
      </w:r>
      <w:r w:rsidRPr="004C2B9B">
        <w:rPr>
          <w:rFonts w:ascii="Times New Roman" w:hAnsi="Times New Roman" w:cs="Times New Roman"/>
          <w:sz w:val="24"/>
          <w:szCs w:val="24"/>
        </w:rPr>
        <w:t xml:space="preserve"> to </w:t>
      </w:r>
      <w:r>
        <w:rPr>
          <w:rFonts w:ascii="Times New Roman" w:hAnsi="Times New Roman" w:cs="Times New Roman"/>
          <w:sz w:val="24"/>
          <w:szCs w:val="24"/>
        </w:rPr>
        <w:t>65.53</w:t>
      </w:r>
      <w:r w:rsidRPr="004C2B9B">
        <w:rPr>
          <w:rFonts w:ascii="Times New Roman" w:hAnsi="Times New Roman" w:cs="Times New Roman"/>
          <w:sz w:val="24"/>
          <w:szCs w:val="24"/>
        </w:rPr>
        <w:t xml:space="preserve">, underscoring rapid disease progression without intervention. These findings highlight </w:t>
      </w:r>
      <w:r w:rsidRPr="00C52FD2">
        <w:rPr>
          <w:rFonts w:ascii="Times New Roman" w:hAnsi="Times New Roman" w:cs="Times New Roman"/>
          <w:sz w:val="24"/>
          <w:szCs w:val="24"/>
        </w:rPr>
        <w:t>T₃</w:t>
      </w:r>
      <w:r w:rsidRPr="004C2B9B">
        <w:rPr>
          <w:rFonts w:ascii="Times New Roman" w:hAnsi="Times New Roman" w:cs="Times New Roman"/>
          <w:sz w:val="24"/>
          <w:szCs w:val="24"/>
        </w:rPr>
        <w:t xml:space="preserve"> as the most effective treatment, followed by </w:t>
      </w:r>
      <w:r w:rsidRPr="00C52FD2">
        <w:rPr>
          <w:rFonts w:ascii="Times New Roman" w:hAnsi="Times New Roman" w:cs="Times New Roman"/>
          <w:sz w:val="24"/>
          <w:szCs w:val="24"/>
        </w:rPr>
        <w:t>T₆</w:t>
      </w:r>
      <w:r w:rsidRPr="004C2B9B">
        <w:rPr>
          <w:rFonts w:ascii="Times New Roman" w:hAnsi="Times New Roman" w:cs="Times New Roman"/>
          <w:sz w:val="24"/>
          <w:szCs w:val="24"/>
        </w:rPr>
        <w:t>, for managing powdery mildew in sponge gourd</w:t>
      </w:r>
      <w:r>
        <w:rPr>
          <w:rFonts w:ascii="Times New Roman" w:hAnsi="Times New Roman" w:cs="Times New Roman"/>
          <w:sz w:val="24"/>
          <w:szCs w:val="24"/>
        </w:rPr>
        <w:t>.</w:t>
      </w:r>
    </w:p>
    <w:p w14:paraId="1380C560" w14:textId="2BE10DD5" w:rsidR="00A0474B" w:rsidRDefault="00A0474B" w:rsidP="00A047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Similar experiment was conducted </w:t>
      </w:r>
      <w:r w:rsidRPr="000D427C">
        <w:rPr>
          <w:rFonts w:ascii="Times New Roman" w:hAnsi="Times New Roman" w:cs="Times New Roman"/>
          <w:sz w:val="24"/>
          <w:szCs w:val="24"/>
        </w:rPr>
        <w:t>in okra</w:t>
      </w:r>
      <w:r>
        <w:rPr>
          <w:rFonts w:ascii="Times New Roman" w:hAnsi="Times New Roman" w:cs="Times New Roman"/>
          <w:sz w:val="24"/>
          <w:szCs w:val="24"/>
        </w:rPr>
        <w:t xml:space="preserve"> </w:t>
      </w:r>
      <w:r w:rsidRPr="000D427C">
        <w:rPr>
          <w:rFonts w:ascii="Times New Roman" w:hAnsi="Times New Roman" w:cs="Times New Roman"/>
          <w:sz w:val="24"/>
          <w:szCs w:val="24"/>
        </w:rPr>
        <w:t xml:space="preserve">at Mahatma Phule Krishi Vidyapeeth, </w:t>
      </w:r>
      <w:proofErr w:type="spellStart"/>
      <w:r w:rsidRPr="000D427C">
        <w:rPr>
          <w:rFonts w:ascii="Times New Roman" w:hAnsi="Times New Roman" w:cs="Times New Roman"/>
          <w:sz w:val="24"/>
          <w:szCs w:val="24"/>
        </w:rPr>
        <w:t>Rahuri</w:t>
      </w:r>
      <w:proofErr w:type="spellEnd"/>
      <w:r w:rsidRPr="000D427C">
        <w:rPr>
          <w:rFonts w:ascii="Times New Roman" w:hAnsi="Times New Roman" w:cs="Times New Roman"/>
          <w:sz w:val="24"/>
          <w:szCs w:val="24"/>
        </w:rPr>
        <w:t xml:space="preserve">, </w:t>
      </w:r>
      <w:r>
        <w:rPr>
          <w:rFonts w:ascii="Times New Roman" w:hAnsi="Times New Roman" w:cs="Times New Roman"/>
          <w:sz w:val="24"/>
          <w:szCs w:val="24"/>
        </w:rPr>
        <w:t xml:space="preserve">by </w:t>
      </w:r>
      <w:proofErr w:type="spellStart"/>
      <w:r>
        <w:rPr>
          <w:rFonts w:ascii="Times New Roman" w:hAnsi="Times New Roman" w:cs="Times New Roman"/>
          <w:sz w:val="24"/>
          <w:szCs w:val="24"/>
        </w:rPr>
        <w:t>Waychal</w:t>
      </w:r>
      <w:proofErr w:type="spellEnd"/>
      <w:r>
        <w:rPr>
          <w:rFonts w:ascii="Times New Roman" w:hAnsi="Times New Roman" w:cs="Times New Roman"/>
          <w:sz w:val="24"/>
          <w:szCs w:val="24"/>
        </w:rPr>
        <w:t xml:space="preserve"> </w:t>
      </w:r>
      <w:r w:rsidR="00742633" w:rsidRPr="00742633">
        <w:rPr>
          <w:rFonts w:ascii="Times New Roman" w:hAnsi="Times New Roman" w:cs="Times New Roman"/>
          <w:i/>
          <w:iCs/>
          <w:sz w:val="24"/>
          <w:szCs w:val="24"/>
        </w:rPr>
        <w:t>et al</w:t>
      </w:r>
      <w:r>
        <w:rPr>
          <w:rFonts w:ascii="Times New Roman" w:hAnsi="Times New Roman" w:cs="Times New Roman"/>
          <w:sz w:val="24"/>
          <w:szCs w:val="24"/>
        </w:rPr>
        <w:t xml:space="preserve">. (2018). They </w:t>
      </w:r>
      <w:r w:rsidRPr="000D427C">
        <w:rPr>
          <w:rFonts w:ascii="Times New Roman" w:hAnsi="Times New Roman" w:cs="Times New Roman"/>
          <w:sz w:val="24"/>
          <w:szCs w:val="24"/>
        </w:rPr>
        <w:t xml:space="preserve">evaluated 20 genotypes against </w:t>
      </w:r>
      <w:r w:rsidRPr="000D427C">
        <w:rPr>
          <w:rFonts w:ascii="Times New Roman" w:hAnsi="Times New Roman" w:cs="Times New Roman"/>
          <w:i/>
          <w:iCs/>
          <w:sz w:val="24"/>
          <w:szCs w:val="24"/>
        </w:rPr>
        <w:t xml:space="preserve">Erysiphe </w:t>
      </w:r>
      <w:proofErr w:type="spellStart"/>
      <w:r w:rsidRPr="000D427C">
        <w:rPr>
          <w:rFonts w:ascii="Times New Roman" w:hAnsi="Times New Roman" w:cs="Times New Roman"/>
          <w:i/>
          <w:iCs/>
          <w:sz w:val="24"/>
          <w:szCs w:val="24"/>
        </w:rPr>
        <w:t>cichoracearum</w:t>
      </w:r>
      <w:proofErr w:type="spellEnd"/>
      <w:r>
        <w:rPr>
          <w:rFonts w:ascii="Times New Roman" w:hAnsi="Times New Roman" w:cs="Times New Roman"/>
          <w:sz w:val="24"/>
          <w:szCs w:val="24"/>
        </w:rPr>
        <w:t xml:space="preserve">. </w:t>
      </w:r>
      <w:r w:rsidRPr="000D427C">
        <w:rPr>
          <w:rFonts w:ascii="Times New Roman" w:hAnsi="Times New Roman" w:cs="Times New Roman"/>
          <w:sz w:val="24"/>
          <w:szCs w:val="24"/>
        </w:rPr>
        <w:t>The study measured both AUDPC and the apparent infection rate (</w:t>
      </w:r>
      <w:r w:rsidRPr="000D427C">
        <w:rPr>
          <w:rFonts w:ascii="Times New Roman" w:hAnsi="Times New Roman" w:cs="Times New Roman"/>
          <w:i/>
          <w:iCs/>
          <w:sz w:val="24"/>
          <w:szCs w:val="24"/>
        </w:rPr>
        <w:t>r</w:t>
      </w:r>
      <w:r w:rsidRPr="000D427C">
        <w:rPr>
          <w:rFonts w:ascii="Times New Roman" w:hAnsi="Times New Roman" w:cs="Times New Roman"/>
          <w:sz w:val="24"/>
          <w:szCs w:val="24"/>
        </w:rPr>
        <w:t>), and pinpointed genotypes GK-IV-2-2-3 and Hissar Unnat as having the lowest AUDPC and infection rates</w:t>
      </w:r>
      <w:r>
        <w:rPr>
          <w:rFonts w:ascii="Times New Roman" w:hAnsi="Times New Roman" w:cs="Times New Roman"/>
          <w:sz w:val="24"/>
          <w:szCs w:val="24"/>
        </w:rPr>
        <w:t>.</w:t>
      </w:r>
    </w:p>
    <w:p w14:paraId="2F9C7272" w14:textId="77777777" w:rsidR="00A0474B" w:rsidRDefault="00A0474B" w:rsidP="00345F90">
      <w:pPr>
        <w:spacing w:line="360" w:lineRule="auto"/>
        <w:jc w:val="both"/>
        <w:rPr>
          <w:rFonts w:ascii="Times New Roman" w:hAnsi="Times New Roman" w:cs="Times New Roman"/>
          <w:b/>
          <w:bCs/>
          <w:sz w:val="24"/>
          <w:szCs w:val="24"/>
        </w:rPr>
      </w:pPr>
    </w:p>
    <w:p w14:paraId="20DCB910" w14:textId="77777777" w:rsidR="00A0474B" w:rsidRDefault="00A0474B" w:rsidP="00345F90">
      <w:pPr>
        <w:spacing w:line="360" w:lineRule="auto"/>
        <w:jc w:val="both"/>
        <w:rPr>
          <w:rFonts w:ascii="Times New Roman" w:hAnsi="Times New Roman" w:cs="Times New Roman"/>
          <w:b/>
          <w:bCs/>
          <w:sz w:val="24"/>
          <w:szCs w:val="24"/>
        </w:rPr>
      </w:pPr>
    </w:p>
    <w:p w14:paraId="782BE788" w14:textId="77777777" w:rsidR="00A0474B" w:rsidRDefault="00A0474B" w:rsidP="00345F90">
      <w:pPr>
        <w:spacing w:line="360" w:lineRule="auto"/>
        <w:jc w:val="both"/>
        <w:rPr>
          <w:rFonts w:ascii="Times New Roman" w:hAnsi="Times New Roman" w:cs="Times New Roman"/>
          <w:b/>
          <w:bCs/>
          <w:sz w:val="24"/>
          <w:szCs w:val="24"/>
        </w:rPr>
      </w:pPr>
    </w:p>
    <w:p w14:paraId="06EA5737" w14:textId="77777777" w:rsidR="00A0474B" w:rsidRDefault="00A0474B" w:rsidP="00345F90">
      <w:pPr>
        <w:spacing w:line="360" w:lineRule="auto"/>
        <w:jc w:val="both"/>
        <w:rPr>
          <w:rFonts w:ascii="Times New Roman" w:hAnsi="Times New Roman" w:cs="Times New Roman"/>
          <w:b/>
          <w:bCs/>
          <w:sz w:val="24"/>
          <w:szCs w:val="24"/>
        </w:rPr>
      </w:pPr>
    </w:p>
    <w:p w14:paraId="6973B6BF" w14:textId="77777777" w:rsidR="00A0474B" w:rsidRDefault="00A0474B" w:rsidP="00345F90">
      <w:pPr>
        <w:spacing w:line="360" w:lineRule="auto"/>
        <w:jc w:val="both"/>
        <w:rPr>
          <w:rFonts w:ascii="Times New Roman" w:hAnsi="Times New Roman" w:cs="Times New Roman"/>
          <w:b/>
          <w:bCs/>
          <w:sz w:val="24"/>
          <w:szCs w:val="24"/>
        </w:rPr>
      </w:pPr>
    </w:p>
    <w:p w14:paraId="296A8329" w14:textId="77777777" w:rsidR="00A0474B" w:rsidRDefault="00A0474B" w:rsidP="00345F90">
      <w:pPr>
        <w:spacing w:line="360" w:lineRule="auto"/>
        <w:jc w:val="both"/>
        <w:rPr>
          <w:rFonts w:ascii="Times New Roman" w:hAnsi="Times New Roman" w:cs="Times New Roman"/>
          <w:b/>
          <w:bCs/>
          <w:sz w:val="24"/>
          <w:szCs w:val="24"/>
        </w:rPr>
      </w:pPr>
    </w:p>
    <w:p w14:paraId="6FA10F63" w14:textId="77777777" w:rsidR="003D04E4" w:rsidRDefault="003D04E4" w:rsidP="00345F90">
      <w:pPr>
        <w:spacing w:line="360" w:lineRule="auto"/>
        <w:jc w:val="both"/>
        <w:rPr>
          <w:rFonts w:ascii="Times New Roman" w:hAnsi="Times New Roman" w:cs="Times New Roman"/>
          <w:b/>
          <w:bCs/>
          <w:sz w:val="24"/>
          <w:szCs w:val="24"/>
        </w:rPr>
      </w:pPr>
    </w:p>
    <w:p w14:paraId="520EE44D" w14:textId="77777777" w:rsidR="003D04E4" w:rsidRDefault="003D04E4" w:rsidP="00345F90">
      <w:pPr>
        <w:spacing w:line="360" w:lineRule="auto"/>
        <w:jc w:val="both"/>
        <w:rPr>
          <w:rFonts w:ascii="Times New Roman" w:hAnsi="Times New Roman" w:cs="Times New Roman"/>
          <w:b/>
          <w:bCs/>
          <w:sz w:val="24"/>
          <w:szCs w:val="24"/>
        </w:rPr>
      </w:pPr>
    </w:p>
    <w:p w14:paraId="7CA13987" w14:textId="77777777" w:rsidR="00751B67" w:rsidRDefault="00751B67" w:rsidP="00345F90">
      <w:pPr>
        <w:spacing w:line="360" w:lineRule="auto"/>
        <w:jc w:val="both"/>
        <w:rPr>
          <w:rFonts w:ascii="Times New Roman" w:hAnsi="Times New Roman" w:cs="Times New Roman"/>
          <w:b/>
          <w:bCs/>
          <w:sz w:val="24"/>
          <w:szCs w:val="24"/>
        </w:rPr>
      </w:pPr>
    </w:p>
    <w:p w14:paraId="4D2DF74A" w14:textId="77777777" w:rsidR="00751B67" w:rsidRDefault="00751B67" w:rsidP="00345F90">
      <w:pPr>
        <w:spacing w:line="360" w:lineRule="auto"/>
        <w:jc w:val="both"/>
        <w:rPr>
          <w:rFonts w:ascii="Times New Roman" w:hAnsi="Times New Roman" w:cs="Times New Roman"/>
          <w:b/>
          <w:bCs/>
          <w:sz w:val="24"/>
          <w:szCs w:val="24"/>
        </w:rPr>
      </w:pPr>
    </w:p>
    <w:p w14:paraId="5223476C" w14:textId="77777777" w:rsidR="00751B67" w:rsidRDefault="00751B67" w:rsidP="00345F90">
      <w:pPr>
        <w:spacing w:line="360" w:lineRule="auto"/>
        <w:jc w:val="both"/>
        <w:rPr>
          <w:rFonts w:ascii="Times New Roman" w:hAnsi="Times New Roman" w:cs="Times New Roman"/>
          <w:b/>
          <w:bCs/>
          <w:sz w:val="24"/>
          <w:szCs w:val="24"/>
        </w:rPr>
      </w:pPr>
    </w:p>
    <w:p w14:paraId="45C4F1F0" w14:textId="77777777" w:rsidR="00751B67" w:rsidRDefault="00751B67" w:rsidP="00345F90">
      <w:pPr>
        <w:spacing w:line="360" w:lineRule="auto"/>
        <w:jc w:val="both"/>
        <w:rPr>
          <w:rFonts w:ascii="Times New Roman" w:hAnsi="Times New Roman" w:cs="Times New Roman"/>
          <w:b/>
          <w:bCs/>
          <w:sz w:val="24"/>
          <w:szCs w:val="24"/>
        </w:rPr>
      </w:pPr>
    </w:p>
    <w:p w14:paraId="361C12B3" w14:textId="77777777" w:rsidR="00751B67" w:rsidRDefault="00751B67" w:rsidP="00345F90">
      <w:pPr>
        <w:spacing w:line="360" w:lineRule="auto"/>
        <w:jc w:val="both"/>
        <w:rPr>
          <w:rFonts w:ascii="Times New Roman" w:hAnsi="Times New Roman" w:cs="Times New Roman"/>
          <w:b/>
          <w:bCs/>
          <w:sz w:val="24"/>
          <w:szCs w:val="24"/>
        </w:rPr>
      </w:pPr>
    </w:p>
    <w:p w14:paraId="233B6B97" w14:textId="4ADEF6CE" w:rsidR="00A0474B" w:rsidRDefault="00B964A2" w:rsidP="00751B67">
      <w:pPr>
        <w:spacing w:line="360" w:lineRule="auto"/>
        <w:ind w:left="851" w:hanging="851"/>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51B67">
        <w:rPr>
          <w:rFonts w:ascii="Times New Roman" w:hAnsi="Times New Roman" w:cs="Times New Roman"/>
          <w:b/>
          <w:bCs/>
          <w:sz w:val="24"/>
          <w:szCs w:val="24"/>
        </w:rPr>
        <w:t>6.</w:t>
      </w:r>
      <w:r>
        <w:rPr>
          <w:rFonts w:ascii="Times New Roman" w:hAnsi="Times New Roman" w:cs="Times New Roman"/>
          <w:b/>
          <w:bCs/>
          <w:sz w:val="24"/>
          <w:szCs w:val="24"/>
        </w:rPr>
        <w:t xml:space="preserve"> </w:t>
      </w:r>
      <w:r w:rsidRPr="00CC51C2">
        <w:rPr>
          <w:rFonts w:ascii="Times New Roman" w:hAnsi="Times New Roman" w:cs="Times New Roman"/>
          <w:b/>
          <w:bCs/>
          <w:sz w:val="24"/>
          <w:szCs w:val="24"/>
        </w:rPr>
        <w:t xml:space="preserve">Effect of different Fungicidal treatments on PDI and infection rate of Powdery </w:t>
      </w:r>
      <w:r w:rsidR="00751B67">
        <w:rPr>
          <w:rFonts w:ascii="Times New Roman" w:hAnsi="Times New Roman" w:cs="Times New Roman"/>
          <w:b/>
          <w:bCs/>
          <w:sz w:val="24"/>
          <w:szCs w:val="24"/>
        </w:rPr>
        <w:t xml:space="preserve">  </w:t>
      </w:r>
      <w:r w:rsidRPr="00CC51C2">
        <w:rPr>
          <w:rFonts w:ascii="Times New Roman" w:hAnsi="Times New Roman" w:cs="Times New Roman"/>
          <w:b/>
          <w:bCs/>
          <w:sz w:val="24"/>
          <w:szCs w:val="24"/>
        </w:rPr>
        <w:t>mildew in sponge gourd</w:t>
      </w:r>
    </w:p>
    <w:p w14:paraId="54DB2272" w14:textId="2B509F3B" w:rsidR="006A6ED9" w:rsidRPr="006C194B" w:rsidRDefault="006C194B" w:rsidP="00345F90">
      <w:pPr>
        <w:spacing w:line="360" w:lineRule="auto"/>
        <w:jc w:val="both"/>
        <w:rPr>
          <w:rFonts w:ascii="Arial" w:eastAsia="Times New Roman" w:hAnsi="Arial" w:cs="Arial"/>
          <w:bCs/>
          <w:i/>
          <w:iCs/>
          <w:color w:val="000000"/>
          <w:kern w:val="2"/>
          <w:sz w:val="18"/>
          <w:szCs w:val="18"/>
          <w:lang w:val="en-GB" w:eastAsia="en-GB"/>
        </w:rPr>
      </w:pPr>
      <w:r w:rsidRPr="006C194B">
        <w:rPr>
          <w:rFonts w:ascii="Arial" w:eastAsia="Times New Roman" w:hAnsi="Arial" w:cs="Arial"/>
          <w:bCs/>
          <w:i/>
          <w:iCs/>
          <w:color w:val="000000"/>
          <w:kern w:val="2"/>
          <w:sz w:val="18"/>
          <w:szCs w:val="18"/>
          <w:lang w:val="en-GB" w:eastAsia="en-GB"/>
        </w:rPr>
        <w:t>*Figures in parentheses are arcsine transformed values</w:t>
      </w:r>
      <w:r>
        <w:rPr>
          <w:rFonts w:ascii="Arial" w:eastAsia="Times New Roman" w:hAnsi="Arial" w:cs="Arial"/>
          <w:bCs/>
          <w:i/>
          <w:iCs/>
          <w:color w:val="000000"/>
          <w:kern w:val="2"/>
          <w:sz w:val="18"/>
          <w:szCs w:val="18"/>
          <w:lang w:val="en-GB" w:eastAsia="en-GB"/>
        </w:rPr>
        <w:t xml:space="preserve"> </w:t>
      </w:r>
      <w:r w:rsidRPr="00B0396C">
        <w:rPr>
          <w:rFonts w:ascii="Arial" w:eastAsia="Times New Roman" w:hAnsi="Arial" w:cs="Arial"/>
          <w:bCs/>
          <w:i/>
          <w:iCs/>
          <w:color w:val="000000"/>
          <w:kern w:val="2"/>
          <w:sz w:val="18"/>
          <w:szCs w:val="18"/>
          <w:lang w:val="en-GB" w:eastAsia="en-GB"/>
        </w:rPr>
        <w:t>*T= Treatment; T1 To T8 represent the different fungicide treatments evaluated against downy mildew of sponge gourd</w:t>
      </w:r>
    </w:p>
    <w:tbl>
      <w:tblPr>
        <w:tblStyle w:val="TableGrid"/>
        <w:tblpPr w:leftFromText="180" w:rightFromText="180" w:vertAnchor="page" w:horzAnchor="margin" w:tblpY="2137"/>
        <w:tblW w:w="9634" w:type="dxa"/>
        <w:tblLayout w:type="fixed"/>
        <w:tblLook w:val="04A0" w:firstRow="1" w:lastRow="0" w:firstColumn="1" w:lastColumn="0" w:noHBand="0" w:noVBand="1"/>
      </w:tblPr>
      <w:tblGrid>
        <w:gridCol w:w="562"/>
        <w:gridCol w:w="1418"/>
        <w:gridCol w:w="850"/>
        <w:gridCol w:w="851"/>
        <w:gridCol w:w="850"/>
        <w:gridCol w:w="993"/>
        <w:gridCol w:w="992"/>
        <w:gridCol w:w="1276"/>
        <w:gridCol w:w="708"/>
        <w:gridCol w:w="1134"/>
      </w:tblGrid>
      <w:tr w:rsidR="006A6ED9" w:rsidRPr="006A6ED9" w14:paraId="1D4CEBF8" w14:textId="77777777" w:rsidTr="00060C01">
        <w:trPr>
          <w:trHeight w:val="286"/>
        </w:trPr>
        <w:tc>
          <w:tcPr>
            <w:tcW w:w="562" w:type="dxa"/>
            <w:vMerge w:val="restart"/>
            <w:noWrap/>
            <w:vAlign w:val="center"/>
            <w:hideMark/>
          </w:tcPr>
          <w:p w14:paraId="1AD474F0" w14:textId="77777777" w:rsidR="006A6ED9" w:rsidRPr="006A6ED9" w:rsidRDefault="006A6ED9" w:rsidP="006A6ED9">
            <w:pPr>
              <w:spacing w:after="0"/>
              <w:jc w:val="center"/>
              <w:rPr>
                <w:rFonts w:ascii="Times New Roman" w:hAnsi="Times New Roman" w:cs="Times New Roman"/>
                <w:b/>
                <w:bCs/>
                <w:sz w:val="20"/>
                <w:szCs w:val="20"/>
              </w:rPr>
            </w:pPr>
            <w:bookmarkStart w:id="0" w:name="_Hlk204933713"/>
          </w:p>
          <w:p w14:paraId="6396D900" w14:textId="77777777" w:rsidR="006A6ED9" w:rsidRPr="006A6ED9" w:rsidRDefault="006A6ED9" w:rsidP="006A6ED9">
            <w:pPr>
              <w:spacing w:after="0"/>
              <w:jc w:val="center"/>
              <w:rPr>
                <w:rFonts w:ascii="Times New Roman" w:hAnsi="Times New Roman" w:cs="Times New Roman"/>
                <w:b/>
                <w:bCs/>
                <w:sz w:val="20"/>
                <w:szCs w:val="20"/>
              </w:rPr>
            </w:pPr>
          </w:p>
          <w:p w14:paraId="2D0FCF96" w14:textId="77777777" w:rsidR="006A6ED9" w:rsidRPr="006A6ED9" w:rsidRDefault="006A6ED9" w:rsidP="006A6ED9">
            <w:pPr>
              <w:spacing w:after="0"/>
              <w:jc w:val="center"/>
              <w:rPr>
                <w:rFonts w:ascii="Times New Roman" w:hAnsi="Times New Roman" w:cs="Times New Roman"/>
                <w:b/>
                <w:bCs/>
                <w:sz w:val="20"/>
                <w:szCs w:val="20"/>
              </w:rPr>
            </w:pPr>
          </w:p>
          <w:p w14:paraId="529B6743" w14:textId="77777777" w:rsidR="006A6ED9" w:rsidRPr="006A6ED9" w:rsidRDefault="006A6ED9" w:rsidP="006A6ED9">
            <w:pPr>
              <w:spacing w:after="0"/>
              <w:jc w:val="center"/>
              <w:rPr>
                <w:rFonts w:ascii="Times New Roman" w:hAnsi="Times New Roman" w:cs="Times New Roman"/>
                <w:b/>
                <w:bCs/>
                <w:sz w:val="20"/>
                <w:szCs w:val="20"/>
              </w:rPr>
            </w:pPr>
            <w:proofErr w:type="spellStart"/>
            <w:r w:rsidRPr="006A6ED9">
              <w:rPr>
                <w:rFonts w:ascii="Times New Roman" w:hAnsi="Times New Roman" w:cs="Times New Roman"/>
                <w:b/>
                <w:bCs/>
                <w:sz w:val="20"/>
                <w:szCs w:val="20"/>
              </w:rPr>
              <w:t>Tr.No</w:t>
            </w:r>
            <w:proofErr w:type="spellEnd"/>
            <w:r w:rsidRPr="006A6ED9">
              <w:rPr>
                <w:rFonts w:ascii="Times New Roman" w:hAnsi="Times New Roman" w:cs="Times New Roman"/>
                <w:b/>
                <w:bCs/>
                <w:sz w:val="20"/>
                <w:szCs w:val="20"/>
              </w:rPr>
              <w:t>.</w:t>
            </w:r>
          </w:p>
        </w:tc>
        <w:tc>
          <w:tcPr>
            <w:tcW w:w="1418" w:type="dxa"/>
            <w:vMerge w:val="restart"/>
            <w:noWrap/>
            <w:vAlign w:val="center"/>
            <w:hideMark/>
          </w:tcPr>
          <w:p w14:paraId="2ED550E7" w14:textId="77777777" w:rsidR="006A6ED9" w:rsidRPr="006A6ED9" w:rsidRDefault="006A6ED9" w:rsidP="006A6ED9">
            <w:pPr>
              <w:spacing w:after="0"/>
              <w:jc w:val="center"/>
              <w:rPr>
                <w:rFonts w:ascii="Times New Roman" w:hAnsi="Times New Roman" w:cs="Times New Roman"/>
                <w:b/>
                <w:bCs/>
                <w:sz w:val="20"/>
                <w:szCs w:val="20"/>
              </w:rPr>
            </w:pPr>
          </w:p>
          <w:p w14:paraId="488D8668" w14:textId="77777777" w:rsidR="006A6ED9" w:rsidRPr="006A6ED9" w:rsidRDefault="006A6ED9" w:rsidP="006A6ED9">
            <w:pPr>
              <w:spacing w:after="0"/>
              <w:jc w:val="center"/>
              <w:rPr>
                <w:rFonts w:ascii="Times New Roman" w:hAnsi="Times New Roman" w:cs="Times New Roman"/>
                <w:b/>
                <w:bCs/>
                <w:sz w:val="20"/>
                <w:szCs w:val="20"/>
              </w:rPr>
            </w:pPr>
          </w:p>
          <w:p w14:paraId="786A3179" w14:textId="77777777" w:rsidR="006A6ED9" w:rsidRPr="006A6ED9" w:rsidRDefault="006A6ED9" w:rsidP="006A6ED9">
            <w:pPr>
              <w:spacing w:after="0"/>
              <w:jc w:val="center"/>
              <w:rPr>
                <w:rFonts w:ascii="Times New Roman" w:hAnsi="Times New Roman" w:cs="Times New Roman"/>
                <w:b/>
                <w:bCs/>
                <w:sz w:val="20"/>
                <w:szCs w:val="20"/>
              </w:rPr>
            </w:pPr>
          </w:p>
          <w:p w14:paraId="1CF8EC2A" w14:textId="77777777" w:rsidR="006A6ED9" w:rsidRPr="006A6ED9" w:rsidRDefault="006A6ED9" w:rsidP="006A6ED9">
            <w:pPr>
              <w:spacing w:after="0"/>
              <w:jc w:val="center"/>
              <w:rPr>
                <w:rFonts w:ascii="Times New Roman" w:hAnsi="Times New Roman" w:cs="Times New Roman"/>
                <w:b/>
                <w:bCs/>
                <w:sz w:val="20"/>
                <w:szCs w:val="20"/>
              </w:rPr>
            </w:pPr>
            <w:r w:rsidRPr="006A6ED9">
              <w:rPr>
                <w:rFonts w:ascii="Times New Roman" w:hAnsi="Times New Roman" w:cs="Times New Roman"/>
                <w:b/>
                <w:bCs/>
                <w:sz w:val="20"/>
                <w:szCs w:val="20"/>
              </w:rPr>
              <w:t>Treatment</w:t>
            </w:r>
          </w:p>
        </w:tc>
        <w:tc>
          <w:tcPr>
            <w:tcW w:w="850" w:type="dxa"/>
            <w:vMerge w:val="restart"/>
            <w:noWrap/>
            <w:vAlign w:val="center"/>
            <w:hideMark/>
          </w:tcPr>
          <w:p w14:paraId="1488CED1" w14:textId="77777777" w:rsidR="006A6ED9" w:rsidRPr="006A6ED9" w:rsidRDefault="006A6ED9" w:rsidP="006A6ED9">
            <w:pPr>
              <w:spacing w:after="0"/>
              <w:jc w:val="center"/>
              <w:rPr>
                <w:rFonts w:ascii="Times New Roman" w:hAnsi="Times New Roman" w:cs="Times New Roman"/>
                <w:b/>
                <w:bCs/>
                <w:sz w:val="20"/>
                <w:szCs w:val="20"/>
              </w:rPr>
            </w:pPr>
          </w:p>
          <w:p w14:paraId="5F72ED4F" w14:textId="77777777" w:rsidR="006A6ED9" w:rsidRPr="006A6ED9" w:rsidRDefault="006A6ED9" w:rsidP="006A6ED9">
            <w:pPr>
              <w:spacing w:after="0"/>
              <w:jc w:val="center"/>
              <w:rPr>
                <w:rFonts w:ascii="Times New Roman" w:hAnsi="Times New Roman" w:cs="Times New Roman"/>
                <w:b/>
                <w:bCs/>
                <w:sz w:val="20"/>
                <w:szCs w:val="20"/>
              </w:rPr>
            </w:pPr>
          </w:p>
          <w:p w14:paraId="5706D12E" w14:textId="77777777" w:rsidR="006A6ED9" w:rsidRPr="006A6ED9" w:rsidRDefault="006A6ED9" w:rsidP="006A6ED9">
            <w:pPr>
              <w:spacing w:after="0"/>
              <w:jc w:val="center"/>
              <w:rPr>
                <w:rFonts w:ascii="Times New Roman" w:hAnsi="Times New Roman" w:cs="Times New Roman"/>
                <w:b/>
                <w:bCs/>
                <w:sz w:val="20"/>
                <w:szCs w:val="20"/>
              </w:rPr>
            </w:pPr>
          </w:p>
          <w:p w14:paraId="3B93B79D" w14:textId="6A2BE6A6" w:rsidR="006A6ED9" w:rsidRPr="006A6ED9" w:rsidRDefault="006A6ED9" w:rsidP="006A6ED9">
            <w:pPr>
              <w:spacing w:after="0"/>
              <w:jc w:val="center"/>
              <w:rPr>
                <w:rFonts w:ascii="Times New Roman" w:hAnsi="Times New Roman" w:cs="Times New Roman"/>
                <w:b/>
                <w:bCs/>
                <w:sz w:val="20"/>
                <w:szCs w:val="20"/>
              </w:rPr>
            </w:pPr>
            <w:r w:rsidRPr="006A6ED9">
              <w:rPr>
                <w:rFonts w:ascii="Times New Roman" w:hAnsi="Times New Roman" w:cs="Times New Roman"/>
                <w:b/>
                <w:bCs/>
                <w:sz w:val="20"/>
                <w:szCs w:val="20"/>
              </w:rPr>
              <w:t>Con</w:t>
            </w:r>
            <w:r>
              <w:rPr>
                <w:rFonts w:ascii="Times New Roman" w:hAnsi="Times New Roman" w:cs="Times New Roman"/>
                <w:b/>
                <w:bCs/>
                <w:sz w:val="20"/>
                <w:szCs w:val="20"/>
              </w:rPr>
              <w:t>c</w:t>
            </w:r>
            <w:r w:rsidRPr="006A6ED9">
              <w:rPr>
                <w:rFonts w:ascii="Times New Roman" w:hAnsi="Times New Roman" w:cs="Times New Roman"/>
                <w:b/>
                <w:bCs/>
                <w:sz w:val="20"/>
                <w:szCs w:val="20"/>
              </w:rPr>
              <w:t>.</w:t>
            </w:r>
            <w:r>
              <w:rPr>
                <w:rFonts w:ascii="Times New Roman" w:hAnsi="Times New Roman" w:cs="Times New Roman"/>
                <w:b/>
                <w:bCs/>
                <w:sz w:val="20"/>
                <w:szCs w:val="20"/>
              </w:rPr>
              <w:t xml:space="preserve"> </w:t>
            </w:r>
            <w:r w:rsidRPr="006A6ED9">
              <w:rPr>
                <w:rFonts w:ascii="Times New Roman" w:hAnsi="Times New Roman" w:cs="Times New Roman"/>
                <w:b/>
                <w:bCs/>
                <w:sz w:val="20"/>
                <w:szCs w:val="20"/>
              </w:rPr>
              <w:t>(%)</w:t>
            </w:r>
          </w:p>
        </w:tc>
        <w:tc>
          <w:tcPr>
            <w:tcW w:w="851" w:type="dxa"/>
            <w:vMerge w:val="restart"/>
            <w:noWrap/>
            <w:vAlign w:val="center"/>
            <w:hideMark/>
          </w:tcPr>
          <w:p w14:paraId="2CF7DD13" w14:textId="77777777" w:rsidR="006A6ED9" w:rsidRPr="006A6ED9" w:rsidRDefault="006A6ED9" w:rsidP="006A6ED9">
            <w:pPr>
              <w:spacing w:after="0"/>
              <w:jc w:val="center"/>
              <w:rPr>
                <w:rFonts w:ascii="Times New Roman" w:hAnsi="Times New Roman" w:cs="Times New Roman"/>
                <w:b/>
                <w:bCs/>
                <w:sz w:val="20"/>
                <w:szCs w:val="20"/>
              </w:rPr>
            </w:pPr>
          </w:p>
          <w:p w14:paraId="3BE8EFFA" w14:textId="77777777" w:rsidR="006A6ED9" w:rsidRPr="006A6ED9" w:rsidRDefault="006A6ED9" w:rsidP="006A6ED9">
            <w:pPr>
              <w:spacing w:after="0"/>
              <w:jc w:val="center"/>
              <w:rPr>
                <w:rFonts w:ascii="Times New Roman" w:hAnsi="Times New Roman" w:cs="Times New Roman"/>
                <w:b/>
                <w:bCs/>
                <w:sz w:val="20"/>
                <w:szCs w:val="20"/>
              </w:rPr>
            </w:pPr>
          </w:p>
          <w:p w14:paraId="724B2DFF" w14:textId="77777777" w:rsidR="006A6ED9" w:rsidRPr="006A6ED9" w:rsidRDefault="006A6ED9" w:rsidP="006A6ED9">
            <w:pPr>
              <w:spacing w:after="0"/>
              <w:jc w:val="center"/>
              <w:rPr>
                <w:rFonts w:ascii="Times New Roman" w:hAnsi="Times New Roman" w:cs="Times New Roman"/>
                <w:b/>
                <w:bCs/>
                <w:sz w:val="20"/>
                <w:szCs w:val="20"/>
              </w:rPr>
            </w:pPr>
            <w:r w:rsidRPr="006A6ED9">
              <w:rPr>
                <w:rFonts w:ascii="Times New Roman" w:hAnsi="Times New Roman" w:cs="Times New Roman"/>
                <w:b/>
                <w:bCs/>
                <w:sz w:val="20"/>
                <w:szCs w:val="20"/>
              </w:rPr>
              <w:t>PDI before first spray</w:t>
            </w:r>
          </w:p>
        </w:tc>
        <w:tc>
          <w:tcPr>
            <w:tcW w:w="2835" w:type="dxa"/>
            <w:gridSpan w:val="3"/>
            <w:noWrap/>
            <w:vAlign w:val="center"/>
            <w:hideMark/>
          </w:tcPr>
          <w:p w14:paraId="49308A38" w14:textId="77777777" w:rsidR="006A6ED9" w:rsidRPr="006A6ED9" w:rsidRDefault="006A6ED9" w:rsidP="006A6ED9">
            <w:pPr>
              <w:spacing w:after="0"/>
              <w:jc w:val="center"/>
              <w:rPr>
                <w:rFonts w:ascii="Times New Roman" w:hAnsi="Times New Roman" w:cs="Times New Roman"/>
                <w:b/>
                <w:bCs/>
                <w:sz w:val="20"/>
                <w:szCs w:val="20"/>
              </w:rPr>
            </w:pPr>
          </w:p>
          <w:p w14:paraId="6633667A" w14:textId="77777777" w:rsidR="006A6ED9" w:rsidRPr="006A6ED9" w:rsidRDefault="006A6ED9" w:rsidP="006A6ED9">
            <w:pPr>
              <w:spacing w:after="0"/>
              <w:jc w:val="center"/>
              <w:rPr>
                <w:rFonts w:ascii="Times New Roman" w:hAnsi="Times New Roman" w:cs="Times New Roman"/>
                <w:b/>
                <w:bCs/>
                <w:sz w:val="20"/>
                <w:szCs w:val="20"/>
              </w:rPr>
            </w:pPr>
          </w:p>
          <w:p w14:paraId="5CEF31E2" w14:textId="77777777" w:rsidR="006A6ED9" w:rsidRPr="006A6ED9" w:rsidRDefault="006A6ED9" w:rsidP="006A6ED9">
            <w:pPr>
              <w:spacing w:after="0"/>
              <w:jc w:val="center"/>
              <w:rPr>
                <w:rFonts w:ascii="Times New Roman" w:hAnsi="Times New Roman" w:cs="Times New Roman"/>
                <w:b/>
                <w:bCs/>
                <w:sz w:val="20"/>
                <w:szCs w:val="20"/>
              </w:rPr>
            </w:pPr>
            <w:r w:rsidRPr="006A6ED9">
              <w:rPr>
                <w:rFonts w:ascii="Times New Roman" w:hAnsi="Times New Roman" w:cs="Times New Roman"/>
                <w:b/>
                <w:bCs/>
                <w:sz w:val="20"/>
                <w:szCs w:val="20"/>
              </w:rPr>
              <w:t>PDI after</w:t>
            </w:r>
          </w:p>
        </w:tc>
        <w:tc>
          <w:tcPr>
            <w:tcW w:w="1276" w:type="dxa"/>
            <w:vMerge w:val="restart"/>
            <w:vAlign w:val="center"/>
            <w:hideMark/>
          </w:tcPr>
          <w:p w14:paraId="5F598397" w14:textId="77777777" w:rsidR="006A6ED9" w:rsidRPr="006A6ED9" w:rsidRDefault="006A6ED9" w:rsidP="006A6ED9">
            <w:pPr>
              <w:spacing w:after="0"/>
              <w:jc w:val="center"/>
              <w:rPr>
                <w:rFonts w:ascii="Times New Roman" w:hAnsi="Times New Roman" w:cs="Times New Roman"/>
                <w:b/>
                <w:bCs/>
                <w:sz w:val="20"/>
                <w:szCs w:val="20"/>
              </w:rPr>
            </w:pPr>
            <w:r w:rsidRPr="006A6ED9">
              <w:rPr>
                <w:rFonts w:ascii="Times New Roman" w:hAnsi="Times New Roman" w:cs="Times New Roman"/>
                <w:b/>
                <w:bCs/>
                <w:sz w:val="20"/>
                <w:szCs w:val="20"/>
              </w:rPr>
              <w:t>‘r’ (from disease appearance to 1st obs. after spray)</w:t>
            </w:r>
          </w:p>
          <w:p w14:paraId="081A258E" w14:textId="77777777" w:rsidR="006A6ED9" w:rsidRPr="006A6ED9" w:rsidRDefault="006A6ED9" w:rsidP="006A6ED9">
            <w:pPr>
              <w:spacing w:after="0"/>
              <w:jc w:val="center"/>
              <w:rPr>
                <w:rFonts w:ascii="Times New Roman" w:hAnsi="Times New Roman" w:cs="Times New Roman"/>
                <w:b/>
                <w:bCs/>
                <w:sz w:val="20"/>
                <w:szCs w:val="20"/>
              </w:rPr>
            </w:pPr>
          </w:p>
        </w:tc>
        <w:tc>
          <w:tcPr>
            <w:tcW w:w="708" w:type="dxa"/>
            <w:vMerge w:val="restart"/>
            <w:vAlign w:val="center"/>
            <w:hideMark/>
          </w:tcPr>
          <w:p w14:paraId="6E1F6910" w14:textId="77777777" w:rsidR="006A6ED9" w:rsidRPr="006A6ED9" w:rsidRDefault="006A6ED9" w:rsidP="006A6ED9">
            <w:pPr>
              <w:spacing w:after="0"/>
              <w:jc w:val="center"/>
              <w:rPr>
                <w:rFonts w:ascii="Times New Roman" w:hAnsi="Times New Roman" w:cs="Times New Roman"/>
                <w:b/>
                <w:bCs/>
                <w:sz w:val="20"/>
                <w:szCs w:val="20"/>
              </w:rPr>
            </w:pPr>
            <w:r w:rsidRPr="006A6ED9">
              <w:rPr>
                <w:rFonts w:ascii="Times New Roman" w:hAnsi="Times New Roman" w:cs="Times New Roman"/>
                <w:b/>
                <w:bCs/>
                <w:sz w:val="20"/>
                <w:szCs w:val="20"/>
              </w:rPr>
              <w:t>‘r’</w:t>
            </w:r>
          </w:p>
          <w:p w14:paraId="460E78A8" w14:textId="77777777" w:rsidR="006A6ED9" w:rsidRPr="006A6ED9" w:rsidRDefault="006A6ED9" w:rsidP="006A6ED9">
            <w:pPr>
              <w:spacing w:after="0"/>
              <w:jc w:val="center"/>
              <w:rPr>
                <w:rFonts w:ascii="Times New Roman" w:hAnsi="Times New Roman" w:cs="Times New Roman"/>
                <w:b/>
                <w:bCs/>
                <w:sz w:val="20"/>
                <w:szCs w:val="20"/>
              </w:rPr>
            </w:pPr>
            <w:r w:rsidRPr="006A6ED9">
              <w:rPr>
                <w:rFonts w:ascii="Times New Roman" w:hAnsi="Times New Roman" w:cs="Times New Roman"/>
                <w:b/>
                <w:bCs/>
                <w:sz w:val="20"/>
                <w:szCs w:val="20"/>
              </w:rPr>
              <w:t>(10-20 days)</w:t>
            </w:r>
          </w:p>
          <w:p w14:paraId="3437A9F6" w14:textId="77777777" w:rsidR="006A6ED9" w:rsidRPr="006A6ED9" w:rsidRDefault="006A6ED9" w:rsidP="006A6ED9">
            <w:pPr>
              <w:spacing w:after="0"/>
              <w:jc w:val="center"/>
              <w:rPr>
                <w:rFonts w:ascii="Times New Roman" w:hAnsi="Times New Roman" w:cs="Times New Roman"/>
                <w:b/>
                <w:bCs/>
                <w:sz w:val="20"/>
                <w:szCs w:val="20"/>
              </w:rPr>
            </w:pPr>
          </w:p>
        </w:tc>
        <w:tc>
          <w:tcPr>
            <w:tcW w:w="1134" w:type="dxa"/>
            <w:vMerge w:val="restart"/>
            <w:vAlign w:val="center"/>
            <w:hideMark/>
          </w:tcPr>
          <w:p w14:paraId="56800F8B" w14:textId="7C10819E" w:rsidR="006A6ED9" w:rsidRPr="006A6ED9" w:rsidRDefault="006A6ED9" w:rsidP="00FB143C">
            <w:pPr>
              <w:spacing w:after="0"/>
              <w:ind w:right="-225"/>
              <w:rPr>
                <w:rFonts w:ascii="Times New Roman" w:hAnsi="Times New Roman" w:cs="Times New Roman"/>
                <w:b/>
                <w:bCs/>
                <w:sz w:val="20"/>
                <w:szCs w:val="20"/>
              </w:rPr>
            </w:pPr>
            <w:r w:rsidRPr="006A6ED9">
              <w:rPr>
                <w:rFonts w:ascii="Times New Roman" w:hAnsi="Times New Roman" w:cs="Times New Roman"/>
                <w:b/>
                <w:bCs/>
                <w:sz w:val="20"/>
                <w:szCs w:val="20"/>
              </w:rPr>
              <w:t>‘r’ (20-30 days)</w:t>
            </w:r>
          </w:p>
          <w:p w14:paraId="09E124C9" w14:textId="77777777" w:rsidR="006A6ED9" w:rsidRPr="006A6ED9" w:rsidRDefault="006A6ED9" w:rsidP="006A6ED9">
            <w:pPr>
              <w:spacing w:after="0"/>
              <w:jc w:val="center"/>
              <w:rPr>
                <w:rFonts w:ascii="Times New Roman" w:hAnsi="Times New Roman" w:cs="Times New Roman"/>
                <w:b/>
                <w:bCs/>
                <w:sz w:val="20"/>
                <w:szCs w:val="20"/>
              </w:rPr>
            </w:pPr>
          </w:p>
        </w:tc>
      </w:tr>
      <w:tr w:rsidR="006A6ED9" w:rsidRPr="006A6ED9" w14:paraId="15AA804A" w14:textId="77777777" w:rsidTr="00060C01">
        <w:trPr>
          <w:trHeight w:val="44"/>
        </w:trPr>
        <w:tc>
          <w:tcPr>
            <w:tcW w:w="562" w:type="dxa"/>
            <w:vMerge/>
            <w:vAlign w:val="center"/>
            <w:hideMark/>
          </w:tcPr>
          <w:p w14:paraId="2B053E5F" w14:textId="77777777" w:rsidR="006A6ED9" w:rsidRPr="006A6ED9" w:rsidRDefault="006A6ED9" w:rsidP="006A6ED9">
            <w:pPr>
              <w:spacing w:after="0"/>
              <w:jc w:val="center"/>
              <w:rPr>
                <w:rFonts w:ascii="Times New Roman" w:hAnsi="Times New Roman" w:cs="Times New Roman"/>
                <w:sz w:val="20"/>
                <w:szCs w:val="20"/>
              </w:rPr>
            </w:pPr>
          </w:p>
        </w:tc>
        <w:tc>
          <w:tcPr>
            <w:tcW w:w="1418" w:type="dxa"/>
            <w:vMerge/>
            <w:vAlign w:val="center"/>
            <w:hideMark/>
          </w:tcPr>
          <w:p w14:paraId="03367B9C" w14:textId="77777777" w:rsidR="006A6ED9" w:rsidRPr="006A6ED9" w:rsidRDefault="006A6ED9" w:rsidP="006A6ED9">
            <w:pPr>
              <w:spacing w:after="0"/>
              <w:jc w:val="center"/>
              <w:rPr>
                <w:rFonts w:ascii="Times New Roman" w:hAnsi="Times New Roman" w:cs="Times New Roman"/>
                <w:sz w:val="20"/>
                <w:szCs w:val="20"/>
              </w:rPr>
            </w:pPr>
          </w:p>
        </w:tc>
        <w:tc>
          <w:tcPr>
            <w:tcW w:w="850" w:type="dxa"/>
            <w:vMerge/>
            <w:vAlign w:val="center"/>
            <w:hideMark/>
          </w:tcPr>
          <w:p w14:paraId="5C30D2E2" w14:textId="77777777" w:rsidR="006A6ED9" w:rsidRPr="006A6ED9" w:rsidRDefault="006A6ED9" w:rsidP="006A6ED9">
            <w:pPr>
              <w:spacing w:after="0"/>
              <w:jc w:val="center"/>
              <w:rPr>
                <w:rFonts w:ascii="Times New Roman" w:hAnsi="Times New Roman" w:cs="Times New Roman"/>
                <w:sz w:val="20"/>
                <w:szCs w:val="20"/>
              </w:rPr>
            </w:pPr>
          </w:p>
        </w:tc>
        <w:tc>
          <w:tcPr>
            <w:tcW w:w="851" w:type="dxa"/>
            <w:vMerge/>
            <w:vAlign w:val="center"/>
            <w:hideMark/>
          </w:tcPr>
          <w:p w14:paraId="5816FF52" w14:textId="77777777" w:rsidR="006A6ED9" w:rsidRPr="006A6ED9" w:rsidRDefault="006A6ED9" w:rsidP="006A6ED9">
            <w:pPr>
              <w:spacing w:after="0"/>
              <w:jc w:val="center"/>
              <w:rPr>
                <w:rFonts w:ascii="Times New Roman" w:hAnsi="Times New Roman" w:cs="Times New Roman"/>
                <w:sz w:val="20"/>
                <w:szCs w:val="20"/>
              </w:rPr>
            </w:pPr>
          </w:p>
        </w:tc>
        <w:tc>
          <w:tcPr>
            <w:tcW w:w="850" w:type="dxa"/>
            <w:noWrap/>
            <w:vAlign w:val="center"/>
            <w:hideMark/>
          </w:tcPr>
          <w:p w14:paraId="054DC7C2" w14:textId="77777777" w:rsidR="006A6ED9" w:rsidRPr="006A6ED9" w:rsidRDefault="006A6ED9" w:rsidP="006A6ED9">
            <w:pPr>
              <w:spacing w:after="0"/>
              <w:jc w:val="center"/>
              <w:rPr>
                <w:rFonts w:ascii="Times New Roman" w:hAnsi="Times New Roman" w:cs="Times New Roman"/>
                <w:b/>
                <w:bCs/>
                <w:sz w:val="20"/>
                <w:szCs w:val="20"/>
              </w:rPr>
            </w:pPr>
            <w:r w:rsidRPr="006A6ED9">
              <w:rPr>
                <w:rFonts w:ascii="Times New Roman" w:hAnsi="Times New Roman" w:cs="Times New Roman"/>
                <w:b/>
                <w:bCs/>
                <w:sz w:val="20"/>
                <w:szCs w:val="20"/>
              </w:rPr>
              <w:t>10 days after 1st spray</w:t>
            </w:r>
          </w:p>
        </w:tc>
        <w:tc>
          <w:tcPr>
            <w:tcW w:w="993" w:type="dxa"/>
            <w:noWrap/>
            <w:vAlign w:val="center"/>
            <w:hideMark/>
          </w:tcPr>
          <w:p w14:paraId="13F4FE39" w14:textId="77777777" w:rsidR="006A6ED9" w:rsidRPr="006A6ED9" w:rsidRDefault="006A6ED9" w:rsidP="006A6ED9">
            <w:pPr>
              <w:spacing w:after="0"/>
              <w:jc w:val="center"/>
              <w:rPr>
                <w:rFonts w:ascii="Times New Roman" w:hAnsi="Times New Roman" w:cs="Times New Roman"/>
                <w:b/>
                <w:bCs/>
                <w:sz w:val="20"/>
                <w:szCs w:val="20"/>
              </w:rPr>
            </w:pPr>
            <w:r w:rsidRPr="006A6ED9">
              <w:rPr>
                <w:rFonts w:ascii="Times New Roman" w:hAnsi="Times New Roman" w:cs="Times New Roman"/>
                <w:b/>
                <w:bCs/>
                <w:sz w:val="20"/>
                <w:szCs w:val="20"/>
              </w:rPr>
              <w:t>10 days after 2nd spray</w:t>
            </w:r>
          </w:p>
        </w:tc>
        <w:tc>
          <w:tcPr>
            <w:tcW w:w="992" w:type="dxa"/>
            <w:noWrap/>
            <w:vAlign w:val="center"/>
            <w:hideMark/>
          </w:tcPr>
          <w:p w14:paraId="38C992A5" w14:textId="77777777" w:rsidR="006A6ED9" w:rsidRPr="006A6ED9" w:rsidRDefault="006A6ED9" w:rsidP="006A6ED9">
            <w:pPr>
              <w:spacing w:after="0"/>
              <w:jc w:val="center"/>
              <w:rPr>
                <w:rFonts w:ascii="Times New Roman" w:hAnsi="Times New Roman" w:cs="Times New Roman"/>
                <w:b/>
                <w:bCs/>
                <w:sz w:val="20"/>
                <w:szCs w:val="20"/>
              </w:rPr>
            </w:pPr>
            <w:r w:rsidRPr="006A6ED9">
              <w:rPr>
                <w:rFonts w:ascii="Times New Roman" w:hAnsi="Times New Roman" w:cs="Times New Roman"/>
                <w:b/>
                <w:bCs/>
                <w:sz w:val="20"/>
                <w:szCs w:val="20"/>
              </w:rPr>
              <w:t>10 days after 3rd spray</w:t>
            </w:r>
          </w:p>
        </w:tc>
        <w:tc>
          <w:tcPr>
            <w:tcW w:w="1276" w:type="dxa"/>
            <w:vMerge/>
            <w:noWrap/>
            <w:vAlign w:val="center"/>
            <w:hideMark/>
          </w:tcPr>
          <w:p w14:paraId="280B97CA" w14:textId="77777777" w:rsidR="006A6ED9" w:rsidRPr="006A6ED9" w:rsidRDefault="006A6ED9" w:rsidP="006A6ED9">
            <w:pPr>
              <w:spacing w:after="0"/>
              <w:jc w:val="center"/>
              <w:rPr>
                <w:rFonts w:ascii="Times New Roman" w:hAnsi="Times New Roman" w:cs="Times New Roman"/>
                <w:sz w:val="20"/>
                <w:szCs w:val="20"/>
              </w:rPr>
            </w:pPr>
          </w:p>
        </w:tc>
        <w:tc>
          <w:tcPr>
            <w:tcW w:w="708" w:type="dxa"/>
            <w:vMerge/>
            <w:noWrap/>
            <w:vAlign w:val="center"/>
            <w:hideMark/>
          </w:tcPr>
          <w:p w14:paraId="5FCADDAC" w14:textId="77777777" w:rsidR="006A6ED9" w:rsidRPr="006A6ED9" w:rsidRDefault="006A6ED9" w:rsidP="006A6ED9">
            <w:pPr>
              <w:spacing w:after="0"/>
              <w:jc w:val="center"/>
              <w:rPr>
                <w:rFonts w:ascii="Times New Roman" w:hAnsi="Times New Roman" w:cs="Times New Roman"/>
                <w:sz w:val="20"/>
                <w:szCs w:val="20"/>
              </w:rPr>
            </w:pPr>
          </w:p>
        </w:tc>
        <w:tc>
          <w:tcPr>
            <w:tcW w:w="1134" w:type="dxa"/>
            <w:vMerge/>
            <w:noWrap/>
            <w:vAlign w:val="center"/>
            <w:hideMark/>
          </w:tcPr>
          <w:p w14:paraId="04A6FFA8" w14:textId="77777777" w:rsidR="006A6ED9" w:rsidRPr="006A6ED9" w:rsidRDefault="006A6ED9" w:rsidP="006A6ED9">
            <w:pPr>
              <w:spacing w:after="0"/>
              <w:jc w:val="center"/>
              <w:rPr>
                <w:rFonts w:ascii="Times New Roman" w:hAnsi="Times New Roman" w:cs="Times New Roman"/>
                <w:sz w:val="20"/>
                <w:szCs w:val="20"/>
              </w:rPr>
            </w:pPr>
          </w:p>
        </w:tc>
      </w:tr>
      <w:tr w:rsidR="006A6ED9" w:rsidRPr="006A6ED9" w14:paraId="3B78F4E2" w14:textId="77777777" w:rsidTr="00060C01">
        <w:trPr>
          <w:trHeight w:val="48"/>
        </w:trPr>
        <w:tc>
          <w:tcPr>
            <w:tcW w:w="562" w:type="dxa"/>
            <w:noWrap/>
            <w:vAlign w:val="center"/>
            <w:hideMark/>
          </w:tcPr>
          <w:p w14:paraId="49084976"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T₁</w:t>
            </w:r>
          </w:p>
        </w:tc>
        <w:tc>
          <w:tcPr>
            <w:tcW w:w="1418" w:type="dxa"/>
            <w:noWrap/>
            <w:vAlign w:val="center"/>
            <w:hideMark/>
          </w:tcPr>
          <w:p w14:paraId="5DF6FEA5" w14:textId="78196119"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Carbendazim 12%+ Mancozeb 63%</w:t>
            </w:r>
          </w:p>
        </w:tc>
        <w:tc>
          <w:tcPr>
            <w:tcW w:w="850" w:type="dxa"/>
            <w:noWrap/>
            <w:vAlign w:val="center"/>
            <w:hideMark/>
          </w:tcPr>
          <w:p w14:paraId="6793E46B"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0.15</w:t>
            </w:r>
          </w:p>
        </w:tc>
        <w:tc>
          <w:tcPr>
            <w:tcW w:w="851" w:type="dxa"/>
            <w:noWrap/>
            <w:vAlign w:val="center"/>
            <w:hideMark/>
          </w:tcPr>
          <w:p w14:paraId="2FAECCF7"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1.81</w:t>
            </w:r>
          </w:p>
          <w:p w14:paraId="5FF9EF61"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(7.73)</w:t>
            </w:r>
          </w:p>
        </w:tc>
        <w:tc>
          <w:tcPr>
            <w:tcW w:w="850" w:type="dxa"/>
            <w:noWrap/>
            <w:vAlign w:val="center"/>
            <w:hideMark/>
          </w:tcPr>
          <w:p w14:paraId="1261394D"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14.97</w:t>
            </w:r>
          </w:p>
          <w:p w14:paraId="36E00961"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(22.76)</w:t>
            </w:r>
          </w:p>
        </w:tc>
        <w:tc>
          <w:tcPr>
            <w:tcW w:w="993" w:type="dxa"/>
            <w:noWrap/>
            <w:vAlign w:val="center"/>
            <w:hideMark/>
          </w:tcPr>
          <w:p w14:paraId="4BD48FE0"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19.77</w:t>
            </w:r>
          </w:p>
          <w:p w14:paraId="34A062B6"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(26.33)</w:t>
            </w:r>
          </w:p>
        </w:tc>
        <w:tc>
          <w:tcPr>
            <w:tcW w:w="992" w:type="dxa"/>
            <w:noWrap/>
            <w:vAlign w:val="center"/>
            <w:hideMark/>
          </w:tcPr>
          <w:p w14:paraId="07F7ADE6"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22.90</w:t>
            </w:r>
          </w:p>
          <w:p w14:paraId="43D6F27F"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(28.50</w:t>
            </w:r>
          </w:p>
        </w:tc>
        <w:tc>
          <w:tcPr>
            <w:tcW w:w="1276" w:type="dxa"/>
            <w:noWrap/>
            <w:vAlign w:val="center"/>
          </w:tcPr>
          <w:p w14:paraId="2821D6D8"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1.316</w:t>
            </w:r>
          </w:p>
        </w:tc>
        <w:tc>
          <w:tcPr>
            <w:tcW w:w="708" w:type="dxa"/>
            <w:noWrap/>
            <w:vAlign w:val="center"/>
          </w:tcPr>
          <w:p w14:paraId="353BD4BE"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0.480</w:t>
            </w:r>
          </w:p>
        </w:tc>
        <w:tc>
          <w:tcPr>
            <w:tcW w:w="1134" w:type="dxa"/>
            <w:noWrap/>
            <w:vAlign w:val="center"/>
          </w:tcPr>
          <w:p w14:paraId="535D404F"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0.313</w:t>
            </w:r>
          </w:p>
        </w:tc>
      </w:tr>
      <w:tr w:rsidR="006A6ED9" w:rsidRPr="006A6ED9" w14:paraId="16ACD94D" w14:textId="77777777" w:rsidTr="00060C01">
        <w:trPr>
          <w:trHeight w:val="48"/>
        </w:trPr>
        <w:tc>
          <w:tcPr>
            <w:tcW w:w="562" w:type="dxa"/>
            <w:noWrap/>
            <w:vAlign w:val="center"/>
            <w:hideMark/>
          </w:tcPr>
          <w:p w14:paraId="2A57684E"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T₂</w:t>
            </w:r>
          </w:p>
        </w:tc>
        <w:tc>
          <w:tcPr>
            <w:tcW w:w="1418" w:type="dxa"/>
            <w:noWrap/>
            <w:vAlign w:val="center"/>
            <w:hideMark/>
          </w:tcPr>
          <w:p w14:paraId="764948E2" w14:textId="00AF01D5"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Azoxystrobin 4.8% w/w + Chlorothalonil 40% w/w SC</w:t>
            </w:r>
          </w:p>
        </w:tc>
        <w:tc>
          <w:tcPr>
            <w:tcW w:w="850" w:type="dxa"/>
            <w:noWrap/>
            <w:vAlign w:val="center"/>
            <w:hideMark/>
          </w:tcPr>
          <w:p w14:paraId="747DEA0E"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0.6</w:t>
            </w:r>
          </w:p>
        </w:tc>
        <w:tc>
          <w:tcPr>
            <w:tcW w:w="851" w:type="dxa"/>
            <w:noWrap/>
            <w:vAlign w:val="center"/>
            <w:hideMark/>
          </w:tcPr>
          <w:p w14:paraId="1D8900EA"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1.83</w:t>
            </w:r>
          </w:p>
          <w:p w14:paraId="2BF4E527"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(7.77)</w:t>
            </w:r>
          </w:p>
        </w:tc>
        <w:tc>
          <w:tcPr>
            <w:tcW w:w="850" w:type="dxa"/>
            <w:noWrap/>
            <w:vAlign w:val="center"/>
            <w:hideMark/>
          </w:tcPr>
          <w:p w14:paraId="6D07E255"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14.27</w:t>
            </w:r>
          </w:p>
          <w:p w14:paraId="6282B690"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(22.12)</w:t>
            </w:r>
          </w:p>
        </w:tc>
        <w:tc>
          <w:tcPr>
            <w:tcW w:w="993" w:type="dxa"/>
            <w:noWrap/>
            <w:vAlign w:val="center"/>
            <w:hideMark/>
          </w:tcPr>
          <w:p w14:paraId="4BA28A81"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18.43</w:t>
            </w:r>
          </w:p>
          <w:p w14:paraId="35A848B0"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(25.42)</w:t>
            </w:r>
          </w:p>
        </w:tc>
        <w:tc>
          <w:tcPr>
            <w:tcW w:w="992" w:type="dxa"/>
            <w:noWrap/>
            <w:vAlign w:val="center"/>
            <w:hideMark/>
          </w:tcPr>
          <w:p w14:paraId="13F948E7"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23.57</w:t>
            </w:r>
          </w:p>
          <w:p w14:paraId="5D6E8BE6"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(28.90)</w:t>
            </w:r>
          </w:p>
        </w:tc>
        <w:tc>
          <w:tcPr>
            <w:tcW w:w="1276" w:type="dxa"/>
            <w:noWrap/>
            <w:vAlign w:val="center"/>
          </w:tcPr>
          <w:p w14:paraId="74F9E96B"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1.244</w:t>
            </w:r>
          </w:p>
        </w:tc>
        <w:tc>
          <w:tcPr>
            <w:tcW w:w="708" w:type="dxa"/>
            <w:noWrap/>
            <w:vAlign w:val="center"/>
          </w:tcPr>
          <w:p w14:paraId="327C992B"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0.416</w:t>
            </w:r>
          </w:p>
        </w:tc>
        <w:tc>
          <w:tcPr>
            <w:tcW w:w="1134" w:type="dxa"/>
            <w:noWrap/>
            <w:vAlign w:val="center"/>
          </w:tcPr>
          <w:p w14:paraId="710CE4A7"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0.514</w:t>
            </w:r>
          </w:p>
        </w:tc>
      </w:tr>
      <w:tr w:rsidR="006A6ED9" w:rsidRPr="006A6ED9" w14:paraId="785E5127" w14:textId="77777777" w:rsidTr="00060C01">
        <w:trPr>
          <w:trHeight w:val="48"/>
        </w:trPr>
        <w:tc>
          <w:tcPr>
            <w:tcW w:w="562" w:type="dxa"/>
            <w:noWrap/>
            <w:vAlign w:val="center"/>
            <w:hideMark/>
          </w:tcPr>
          <w:p w14:paraId="0019118E"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T₃</w:t>
            </w:r>
          </w:p>
        </w:tc>
        <w:tc>
          <w:tcPr>
            <w:tcW w:w="1418" w:type="dxa"/>
            <w:noWrap/>
            <w:vAlign w:val="center"/>
            <w:hideMark/>
          </w:tcPr>
          <w:p w14:paraId="5CC31900" w14:textId="54E604B2"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Azoxystrobin 11% w/w + Tebuconazole 18.3</w:t>
            </w:r>
          </w:p>
        </w:tc>
        <w:tc>
          <w:tcPr>
            <w:tcW w:w="850" w:type="dxa"/>
            <w:noWrap/>
            <w:vAlign w:val="center"/>
            <w:hideMark/>
          </w:tcPr>
          <w:p w14:paraId="43A2F97B"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0.15</w:t>
            </w:r>
          </w:p>
        </w:tc>
        <w:tc>
          <w:tcPr>
            <w:tcW w:w="851" w:type="dxa"/>
            <w:noWrap/>
            <w:vAlign w:val="center"/>
            <w:hideMark/>
          </w:tcPr>
          <w:p w14:paraId="5E49BB0C"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1.73</w:t>
            </w:r>
          </w:p>
          <w:p w14:paraId="4D99B39E"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(7.56)</w:t>
            </w:r>
          </w:p>
        </w:tc>
        <w:tc>
          <w:tcPr>
            <w:tcW w:w="850" w:type="dxa"/>
            <w:noWrap/>
            <w:vAlign w:val="center"/>
            <w:hideMark/>
          </w:tcPr>
          <w:p w14:paraId="1C8CA2B2"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11.33</w:t>
            </w:r>
          </w:p>
          <w:p w14:paraId="5A4A4886"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(19.66)</w:t>
            </w:r>
          </w:p>
        </w:tc>
        <w:tc>
          <w:tcPr>
            <w:tcW w:w="993" w:type="dxa"/>
            <w:noWrap/>
            <w:vAlign w:val="center"/>
            <w:hideMark/>
          </w:tcPr>
          <w:p w14:paraId="6ECD2FEB"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12.33</w:t>
            </w:r>
          </w:p>
          <w:p w14:paraId="50B43225"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(20.50)</w:t>
            </w:r>
          </w:p>
        </w:tc>
        <w:tc>
          <w:tcPr>
            <w:tcW w:w="992" w:type="dxa"/>
            <w:noWrap/>
            <w:vAlign w:val="center"/>
            <w:hideMark/>
          </w:tcPr>
          <w:p w14:paraId="2BF4A550"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13.17</w:t>
            </w:r>
          </w:p>
          <w:p w14:paraId="6376A8CE"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(21.07)</w:t>
            </w:r>
          </w:p>
        </w:tc>
        <w:tc>
          <w:tcPr>
            <w:tcW w:w="1276" w:type="dxa"/>
            <w:noWrap/>
            <w:vAlign w:val="center"/>
          </w:tcPr>
          <w:p w14:paraId="5A36D042"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0.958</w:t>
            </w:r>
          </w:p>
        </w:tc>
        <w:tc>
          <w:tcPr>
            <w:tcW w:w="708" w:type="dxa"/>
            <w:noWrap/>
            <w:vAlign w:val="center"/>
          </w:tcPr>
          <w:p w14:paraId="03E063A0"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0.100</w:t>
            </w:r>
          </w:p>
        </w:tc>
        <w:tc>
          <w:tcPr>
            <w:tcW w:w="1134" w:type="dxa"/>
            <w:noWrap/>
            <w:vAlign w:val="center"/>
          </w:tcPr>
          <w:p w14:paraId="525A96F7"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0.084</w:t>
            </w:r>
          </w:p>
        </w:tc>
      </w:tr>
      <w:tr w:rsidR="006A6ED9" w:rsidRPr="006A6ED9" w14:paraId="4EB1CB3F" w14:textId="77777777" w:rsidTr="00060C01">
        <w:trPr>
          <w:trHeight w:val="48"/>
        </w:trPr>
        <w:tc>
          <w:tcPr>
            <w:tcW w:w="562" w:type="dxa"/>
            <w:noWrap/>
            <w:vAlign w:val="center"/>
            <w:hideMark/>
          </w:tcPr>
          <w:p w14:paraId="555C33B0"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T₄</w:t>
            </w:r>
          </w:p>
        </w:tc>
        <w:tc>
          <w:tcPr>
            <w:tcW w:w="1418" w:type="dxa"/>
            <w:noWrap/>
            <w:vAlign w:val="center"/>
            <w:hideMark/>
          </w:tcPr>
          <w:p w14:paraId="4D37BDC7" w14:textId="174F02F9"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Aureofungin 46.25 w/w SP</w:t>
            </w:r>
          </w:p>
        </w:tc>
        <w:tc>
          <w:tcPr>
            <w:tcW w:w="850" w:type="dxa"/>
            <w:noWrap/>
            <w:vAlign w:val="center"/>
            <w:hideMark/>
          </w:tcPr>
          <w:p w14:paraId="6E786923"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0.005</w:t>
            </w:r>
          </w:p>
        </w:tc>
        <w:tc>
          <w:tcPr>
            <w:tcW w:w="851" w:type="dxa"/>
            <w:noWrap/>
            <w:vAlign w:val="center"/>
            <w:hideMark/>
          </w:tcPr>
          <w:p w14:paraId="1C66487F"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1.88</w:t>
            </w:r>
          </w:p>
          <w:p w14:paraId="1AF7EF74"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(7.88)</w:t>
            </w:r>
          </w:p>
        </w:tc>
        <w:tc>
          <w:tcPr>
            <w:tcW w:w="850" w:type="dxa"/>
            <w:noWrap/>
            <w:vAlign w:val="center"/>
            <w:hideMark/>
          </w:tcPr>
          <w:p w14:paraId="34A9FB46"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26.30</w:t>
            </w:r>
          </w:p>
          <w:p w14:paraId="781986DD"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(30.81)</w:t>
            </w:r>
          </w:p>
        </w:tc>
        <w:tc>
          <w:tcPr>
            <w:tcW w:w="993" w:type="dxa"/>
            <w:noWrap/>
            <w:vAlign w:val="center"/>
            <w:hideMark/>
          </w:tcPr>
          <w:p w14:paraId="0657D5B5"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32.43</w:t>
            </w:r>
          </w:p>
          <w:p w14:paraId="72AE3952"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(34.71)</w:t>
            </w:r>
          </w:p>
        </w:tc>
        <w:tc>
          <w:tcPr>
            <w:tcW w:w="992" w:type="dxa"/>
            <w:noWrap/>
            <w:vAlign w:val="center"/>
            <w:hideMark/>
          </w:tcPr>
          <w:p w14:paraId="20DA0450"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35.80</w:t>
            </w:r>
          </w:p>
          <w:p w14:paraId="66E43EE9"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(36.69)</w:t>
            </w:r>
          </w:p>
        </w:tc>
        <w:tc>
          <w:tcPr>
            <w:tcW w:w="1276" w:type="dxa"/>
            <w:noWrap/>
            <w:vAlign w:val="center"/>
          </w:tcPr>
          <w:p w14:paraId="5D4E6648"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2.442</w:t>
            </w:r>
          </w:p>
        </w:tc>
        <w:tc>
          <w:tcPr>
            <w:tcW w:w="708" w:type="dxa"/>
            <w:noWrap/>
            <w:vAlign w:val="center"/>
          </w:tcPr>
          <w:p w14:paraId="23B6B8BE"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0.613</w:t>
            </w:r>
          </w:p>
        </w:tc>
        <w:tc>
          <w:tcPr>
            <w:tcW w:w="1134" w:type="dxa"/>
            <w:noWrap/>
            <w:vAlign w:val="center"/>
          </w:tcPr>
          <w:p w14:paraId="33DA09AC"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0.337</w:t>
            </w:r>
          </w:p>
        </w:tc>
      </w:tr>
      <w:tr w:rsidR="006A6ED9" w:rsidRPr="006A6ED9" w14:paraId="1546CB3D" w14:textId="77777777" w:rsidTr="00060C01">
        <w:trPr>
          <w:trHeight w:val="48"/>
        </w:trPr>
        <w:tc>
          <w:tcPr>
            <w:tcW w:w="562" w:type="dxa"/>
            <w:noWrap/>
            <w:vAlign w:val="center"/>
            <w:hideMark/>
          </w:tcPr>
          <w:p w14:paraId="15CF1FD5"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T₅</w:t>
            </w:r>
          </w:p>
        </w:tc>
        <w:tc>
          <w:tcPr>
            <w:tcW w:w="1418" w:type="dxa"/>
            <w:noWrap/>
            <w:vAlign w:val="center"/>
            <w:hideMark/>
          </w:tcPr>
          <w:p w14:paraId="4604F017" w14:textId="4D31D563"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Copper sulphate 47.15 + Mancozeb 30% WDG</w:t>
            </w:r>
          </w:p>
        </w:tc>
        <w:tc>
          <w:tcPr>
            <w:tcW w:w="850" w:type="dxa"/>
            <w:noWrap/>
            <w:vAlign w:val="center"/>
            <w:hideMark/>
          </w:tcPr>
          <w:p w14:paraId="467B87A9"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0.5</w:t>
            </w:r>
          </w:p>
        </w:tc>
        <w:tc>
          <w:tcPr>
            <w:tcW w:w="851" w:type="dxa"/>
            <w:noWrap/>
            <w:vAlign w:val="center"/>
            <w:hideMark/>
          </w:tcPr>
          <w:p w14:paraId="0C10280D"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1.74</w:t>
            </w:r>
          </w:p>
          <w:p w14:paraId="62DD4367"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(7.58)</w:t>
            </w:r>
          </w:p>
        </w:tc>
        <w:tc>
          <w:tcPr>
            <w:tcW w:w="850" w:type="dxa"/>
            <w:noWrap/>
            <w:vAlign w:val="center"/>
            <w:hideMark/>
          </w:tcPr>
          <w:p w14:paraId="5D6FA799"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19.83</w:t>
            </w:r>
          </w:p>
          <w:p w14:paraId="1F7D88FA"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(26.40)</w:t>
            </w:r>
          </w:p>
        </w:tc>
        <w:tc>
          <w:tcPr>
            <w:tcW w:w="993" w:type="dxa"/>
            <w:noWrap/>
            <w:vAlign w:val="center"/>
            <w:hideMark/>
          </w:tcPr>
          <w:p w14:paraId="2DFCA3FB"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24.50</w:t>
            </w:r>
          </w:p>
          <w:p w14:paraId="502BA0C2"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(29.66)</w:t>
            </w:r>
          </w:p>
        </w:tc>
        <w:tc>
          <w:tcPr>
            <w:tcW w:w="992" w:type="dxa"/>
            <w:noWrap/>
            <w:vAlign w:val="center"/>
            <w:hideMark/>
          </w:tcPr>
          <w:p w14:paraId="34C324BE"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37.10</w:t>
            </w:r>
          </w:p>
          <w:p w14:paraId="3D6566F0"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(37.48)</w:t>
            </w:r>
          </w:p>
        </w:tc>
        <w:tc>
          <w:tcPr>
            <w:tcW w:w="1276" w:type="dxa"/>
            <w:noWrap/>
            <w:vAlign w:val="center"/>
          </w:tcPr>
          <w:p w14:paraId="762ADDD3"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2.466</w:t>
            </w:r>
          </w:p>
        </w:tc>
        <w:tc>
          <w:tcPr>
            <w:tcW w:w="708" w:type="dxa"/>
            <w:noWrap/>
            <w:vAlign w:val="center"/>
          </w:tcPr>
          <w:p w14:paraId="658CE348"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0.326</w:t>
            </w:r>
          </w:p>
        </w:tc>
        <w:tc>
          <w:tcPr>
            <w:tcW w:w="1134" w:type="dxa"/>
            <w:noWrap/>
            <w:vAlign w:val="center"/>
          </w:tcPr>
          <w:p w14:paraId="68F83644"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0.744</w:t>
            </w:r>
          </w:p>
        </w:tc>
      </w:tr>
      <w:tr w:rsidR="006A6ED9" w:rsidRPr="006A6ED9" w14:paraId="26E8D71F" w14:textId="77777777" w:rsidTr="00060C01">
        <w:trPr>
          <w:trHeight w:val="48"/>
        </w:trPr>
        <w:tc>
          <w:tcPr>
            <w:tcW w:w="562" w:type="dxa"/>
            <w:noWrap/>
            <w:vAlign w:val="center"/>
            <w:hideMark/>
          </w:tcPr>
          <w:p w14:paraId="57EF924A"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T₆</w:t>
            </w:r>
          </w:p>
        </w:tc>
        <w:tc>
          <w:tcPr>
            <w:tcW w:w="1418" w:type="dxa"/>
            <w:noWrap/>
            <w:vAlign w:val="center"/>
            <w:hideMark/>
          </w:tcPr>
          <w:p w14:paraId="1CCC0464" w14:textId="0BD40305" w:rsidR="006A6ED9" w:rsidRPr="006A6ED9" w:rsidRDefault="006A6ED9" w:rsidP="006A6ED9">
            <w:pPr>
              <w:spacing w:after="0"/>
              <w:jc w:val="center"/>
              <w:rPr>
                <w:rFonts w:ascii="Times New Roman" w:hAnsi="Times New Roman" w:cs="Times New Roman"/>
                <w:sz w:val="20"/>
                <w:szCs w:val="20"/>
              </w:rPr>
            </w:pPr>
            <w:proofErr w:type="spellStart"/>
            <w:r w:rsidRPr="006A6ED9">
              <w:rPr>
                <w:rFonts w:ascii="Times New Roman" w:hAnsi="Times New Roman" w:cs="Times New Roman"/>
                <w:sz w:val="20"/>
                <w:szCs w:val="20"/>
              </w:rPr>
              <w:t>Kresoxim</w:t>
            </w:r>
            <w:proofErr w:type="spellEnd"/>
            <w:r w:rsidRPr="006A6ED9">
              <w:rPr>
                <w:rFonts w:ascii="Times New Roman" w:hAnsi="Times New Roman" w:cs="Times New Roman"/>
                <w:sz w:val="20"/>
                <w:szCs w:val="20"/>
              </w:rPr>
              <w:t xml:space="preserve"> methyl 18% +Mancozeb 54% WP</w:t>
            </w:r>
          </w:p>
        </w:tc>
        <w:tc>
          <w:tcPr>
            <w:tcW w:w="850" w:type="dxa"/>
            <w:noWrap/>
            <w:vAlign w:val="center"/>
            <w:hideMark/>
          </w:tcPr>
          <w:p w14:paraId="59D12C32"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0.2</w:t>
            </w:r>
          </w:p>
        </w:tc>
        <w:tc>
          <w:tcPr>
            <w:tcW w:w="851" w:type="dxa"/>
            <w:noWrap/>
            <w:vAlign w:val="center"/>
            <w:hideMark/>
          </w:tcPr>
          <w:p w14:paraId="48995906"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1.92</w:t>
            </w:r>
          </w:p>
          <w:p w14:paraId="3DF9135F"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(7.96)</w:t>
            </w:r>
          </w:p>
        </w:tc>
        <w:tc>
          <w:tcPr>
            <w:tcW w:w="850" w:type="dxa"/>
            <w:noWrap/>
            <w:vAlign w:val="center"/>
            <w:hideMark/>
          </w:tcPr>
          <w:p w14:paraId="1768F556"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12.00</w:t>
            </w:r>
          </w:p>
          <w:p w14:paraId="3098A535"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(20.19)</w:t>
            </w:r>
          </w:p>
        </w:tc>
        <w:tc>
          <w:tcPr>
            <w:tcW w:w="993" w:type="dxa"/>
            <w:noWrap/>
            <w:vAlign w:val="center"/>
            <w:hideMark/>
          </w:tcPr>
          <w:p w14:paraId="6B06A83C"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14.77</w:t>
            </w:r>
          </w:p>
          <w:p w14:paraId="7970F8A9"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(22.60)</w:t>
            </w:r>
          </w:p>
        </w:tc>
        <w:tc>
          <w:tcPr>
            <w:tcW w:w="992" w:type="dxa"/>
            <w:noWrap/>
            <w:vAlign w:val="center"/>
            <w:hideMark/>
          </w:tcPr>
          <w:p w14:paraId="7E0056C3"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18.77</w:t>
            </w:r>
          </w:p>
          <w:p w14:paraId="6E0D8247"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(25.44)</w:t>
            </w:r>
          </w:p>
        </w:tc>
        <w:tc>
          <w:tcPr>
            <w:tcW w:w="1276" w:type="dxa"/>
            <w:noWrap/>
            <w:vAlign w:val="center"/>
          </w:tcPr>
          <w:p w14:paraId="174BDF59"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1.099</w:t>
            </w:r>
          </w:p>
        </w:tc>
        <w:tc>
          <w:tcPr>
            <w:tcW w:w="708" w:type="dxa"/>
            <w:noWrap/>
            <w:vAlign w:val="center"/>
          </w:tcPr>
          <w:p w14:paraId="54C40F0E"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0.186</w:t>
            </w:r>
          </w:p>
        </w:tc>
        <w:tc>
          <w:tcPr>
            <w:tcW w:w="1134" w:type="dxa"/>
            <w:noWrap/>
            <w:vAlign w:val="center"/>
          </w:tcPr>
          <w:p w14:paraId="00826EFF"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0.400</w:t>
            </w:r>
          </w:p>
        </w:tc>
      </w:tr>
      <w:tr w:rsidR="006A6ED9" w:rsidRPr="006A6ED9" w14:paraId="0BD2BD54" w14:textId="77777777" w:rsidTr="00060C01">
        <w:trPr>
          <w:trHeight w:val="48"/>
        </w:trPr>
        <w:tc>
          <w:tcPr>
            <w:tcW w:w="562" w:type="dxa"/>
            <w:noWrap/>
            <w:vAlign w:val="center"/>
            <w:hideMark/>
          </w:tcPr>
          <w:p w14:paraId="4D9199BA"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T₇</w:t>
            </w:r>
          </w:p>
        </w:tc>
        <w:tc>
          <w:tcPr>
            <w:tcW w:w="1418" w:type="dxa"/>
            <w:noWrap/>
            <w:vAlign w:val="center"/>
            <w:hideMark/>
          </w:tcPr>
          <w:p w14:paraId="65C35543" w14:textId="5F84984D"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Potassium salt of Phosphoric acid</w:t>
            </w:r>
          </w:p>
        </w:tc>
        <w:tc>
          <w:tcPr>
            <w:tcW w:w="850" w:type="dxa"/>
            <w:noWrap/>
            <w:vAlign w:val="center"/>
            <w:hideMark/>
          </w:tcPr>
          <w:p w14:paraId="11AAE806"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0.4</w:t>
            </w:r>
          </w:p>
        </w:tc>
        <w:tc>
          <w:tcPr>
            <w:tcW w:w="851" w:type="dxa"/>
            <w:noWrap/>
            <w:vAlign w:val="center"/>
            <w:hideMark/>
          </w:tcPr>
          <w:p w14:paraId="6493EB3F"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1.79</w:t>
            </w:r>
          </w:p>
          <w:p w14:paraId="19B4AB27"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(7.69)</w:t>
            </w:r>
          </w:p>
        </w:tc>
        <w:tc>
          <w:tcPr>
            <w:tcW w:w="850" w:type="dxa"/>
            <w:noWrap/>
            <w:vAlign w:val="center"/>
            <w:hideMark/>
          </w:tcPr>
          <w:p w14:paraId="4316B3C9"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22.03</w:t>
            </w:r>
          </w:p>
          <w:p w14:paraId="58FBFDD6"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(27.99)</w:t>
            </w:r>
          </w:p>
        </w:tc>
        <w:tc>
          <w:tcPr>
            <w:tcW w:w="993" w:type="dxa"/>
            <w:noWrap/>
            <w:vAlign w:val="center"/>
            <w:hideMark/>
          </w:tcPr>
          <w:p w14:paraId="5645D016"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26.60</w:t>
            </w:r>
          </w:p>
          <w:p w14:paraId="4F4CB18F"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(31.05)</w:t>
            </w:r>
          </w:p>
        </w:tc>
        <w:tc>
          <w:tcPr>
            <w:tcW w:w="992" w:type="dxa"/>
            <w:noWrap/>
            <w:vAlign w:val="center"/>
            <w:hideMark/>
          </w:tcPr>
          <w:p w14:paraId="4C44A56C"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39.87</w:t>
            </w:r>
          </w:p>
          <w:p w14:paraId="008AFE59"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(39.13)</w:t>
            </w:r>
          </w:p>
        </w:tc>
        <w:tc>
          <w:tcPr>
            <w:tcW w:w="1276" w:type="dxa"/>
            <w:noWrap/>
            <w:vAlign w:val="center"/>
          </w:tcPr>
          <w:p w14:paraId="6F4C5533"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2.024</w:t>
            </w:r>
          </w:p>
        </w:tc>
        <w:tc>
          <w:tcPr>
            <w:tcW w:w="708" w:type="dxa"/>
            <w:noWrap/>
            <w:vAlign w:val="center"/>
          </w:tcPr>
          <w:p w14:paraId="5E6D808F"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0.457</w:t>
            </w:r>
          </w:p>
        </w:tc>
        <w:tc>
          <w:tcPr>
            <w:tcW w:w="1134" w:type="dxa"/>
            <w:noWrap/>
            <w:vAlign w:val="center"/>
          </w:tcPr>
          <w:p w14:paraId="29E9DD12"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1.327</w:t>
            </w:r>
          </w:p>
        </w:tc>
      </w:tr>
      <w:tr w:rsidR="006A6ED9" w:rsidRPr="006A6ED9" w14:paraId="164E2E55" w14:textId="77777777" w:rsidTr="00060C01">
        <w:trPr>
          <w:trHeight w:val="56"/>
        </w:trPr>
        <w:tc>
          <w:tcPr>
            <w:tcW w:w="562" w:type="dxa"/>
            <w:noWrap/>
            <w:vAlign w:val="center"/>
            <w:hideMark/>
          </w:tcPr>
          <w:p w14:paraId="2EB6056D"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T₈</w:t>
            </w:r>
          </w:p>
        </w:tc>
        <w:tc>
          <w:tcPr>
            <w:tcW w:w="1418" w:type="dxa"/>
            <w:noWrap/>
            <w:vAlign w:val="center"/>
            <w:hideMark/>
          </w:tcPr>
          <w:p w14:paraId="17FAEC22"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Control (water spray)</w:t>
            </w:r>
          </w:p>
        </w:tc>
        <w:tc>
          <w:tcPr>
            <w:tcW w:w="850" w:type="dxa"/>
            <w:noWrap/>
            <w:vAlign w:val="center"/>
            <w:hideMark/>
          </w:tcPr>
          <w:p w14:paraId="10419D69" w14:textId="7CD3B8BB" w:rsidR="006A6ED9" w:rsidRPr="006A6ED9" w:rsidRDefault="006A6ED9" w:rsidP="006A6ED9">
            <w:pPr>
              <w:spacing w:after="0"/>
              <w:jc w:val="center"/>
              <w:rPr>
                <w:rFonts w:ascii="Times New Roman" w:hAnsi="Times New Roman" w:cs="Times New Roman"/>
                <w:sz w:val="20"/>
                <w:szCs w:val="20"/>
              </w:rPr>
            </w:pPr>
          </w:p>
        </w:tc>
        <w:tc>
          <w:tcPr>
            <w:tcW w:w="851" w:type="dxa"/>
            <w:noWrap/>
            <w:vAlign w:val="center"/>
            <w:hideMark/>
          </w:tcPr>
          <w:p w14:paraId="40407C71"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1.78</w:t>
            </w:r>
          </w:p>
          <w:p w14:paraId="04F2D6D8"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(7.67)</w:t>
            </w:r>
          </w:p>
        </w:tc>
        <w:tc>
          <w:tcPr>
            <w:tcW w:w="850" w:type="dxa"/>
            <w:noWrap/>
            <w:vAlign w:val="center"/>
            <w:hideMark/>
          </w:tcPr>
          <w:p w14:paraId="7328BD22"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27.07</w:t>
            </w:r>
          </w:p>
          <w:p w14:paraId="7CECC90B"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(31.29)</w:t>
            </w:r>
          </w:p>
        </w:tc>
        <w:tc>
          <w:tcPr>
            <w:tcW w:w="993" w:type="dxa"/>
            <w:noWrap/>
            <w:vAlign w:val="center"/>
            <w:hideMark/>
          </w:tcPr>
          <w:p w14:paraId="22E9A967"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36.93</w:t>
            </w:r>
          </w:p>
          <w:p w14:paraId="79149860"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(37.40)</w:t>
            </w:r>
          </w:p>
        </w:tc>
        <w:tc>
          <w:tcPr>
            <w:tcW w:w="992" w:type="dxa"/>
            <w:noWrap/>
            <w:vAlign w:val="center"/>
            <w:hideMark/>
          </w:tcPr>
          <w:p w14:paraId="2626916A"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50.53</w:t>
            </w:r>
          </w:p>
          <w:p w14:paraId="30A550C6"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(45.30)</w:t>
            </w:r>
          </w:p>
        </w:tc>
        <w:tc>
          <w:tcPr>
            <w:tcW w:w="1276" w:type="dxa"/>
            <w:noWrap/>
            <w:vAlign w:val="center"/>
          </w:tcPr>
          <w:p w14:paraId="5118776C"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2.529</w:t>
            </w:r>
          </w:p>
        </w:tc>
        <w:tc>
          <w:tcPr>
            <w:tcW w:w="708" w:type="dxa"/>
            <w:noWrap/>
            <w:vAlign w:val="center"/>
          </w:tcPr>
          <w:p w14:paraId="32AA4C9E"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0.986</w:t>
            </w:r>
          </w:p>
        </w:tc>
        <w:tc>
          <w:tcPr>
            <w:tcW w:w="1134" w:type="dxa"/>
            <w:noWrap/>
            <w:vAlign w:val="center"/>
          </w:tcPr>
          <w:p w14:paraId="4A4A0FD5"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1.360</w:t>
            </w:r>
          </w:p>
        </w:tc>
      </w:tr>
      <w:tr w:rsidR="006A6ED9" w:rsidRPr="006A6ED9" w14:paraId="2822AD91" w14:textId="77777777" w:rsidTr="00060C01">
        <w:trPr>
          <w:trHeight w:val="44"/>
        </w:trPr>
        <w:tc>
          <w:tcPr>
            <w:tcW w:w="1980" w:type="dxa"/>
            <w:gridSpan w:val="2"/>
            <w:noWrap/>
            <w:vAlign w:val="center"/>
            <w:hideMark/>
          </w:tcPr>
          <w:p w14:paraId="50541F16" w14:textId="6162DA50" w:rsidR="006A6ED9" w:rsidRPr="006A6ED9" w:rsidRDefault="006A6ED9" w:rsidP="006A6ED9">
            <w:pPr>
              <w:spacing w:after="0"/>
              <w:jc w:val="center"/>
              <w:rPr>
                <w:rFonts w:ascii="Times New Roman" w:hAnsi="Times New Roman" w:cs="Times New Roman"/>
                <w:sz w:val="20"/>
                <w:szCs w:val="20"/>
              </w:rPr>
            </w:pPr>
          </w:p>
          <w:p w14:paraId="46396F46"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S.E. (m) ±</w:t>
            </w:r>
          </w:p>
        </w:tc>
        <w:tc>
          <w:tcPr>
            <w:tcW w:w="850" w:type="dxa"/>
            <w:noWrap/>
            <w:vAlign w:val="center"/>
            <w:hideMark/>
          </w:tcPr>
          <w:p w14:paraId="246EB9EE" w14:textId="285E1CFC" w:rsidR="006A6ED9" w:rsidRPr="006A6ED9" w:rsidRDefault="006A6ED9" w:rsidP="006A6ED9">
            <w:pPr>
              <w:spacing w:after="0"/>
              <w:jc w:val="center"/>
              <w:rPr>
                <w:rFonts w:ascii="Times New Roman" w:hAnsi="Times New Roman" w:cs="Times New Roman"/>
                <w:sz w:val="20"/>
                <w:szCs w:val="20"/>
              </w:rPr>
            </w:pPr>
          </w:p>
        </w:tc>
        <w:tc>
          <w:tcPr>
            <w:tcW w:w="851" w:type="dxa"/>
            <w:noWrap/>
            <w:vAlign w:val="center"/>
            <w:hideMark/>
          </w:tcPr>
          <w:p w14:paraId="46DFAFB6"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0.01</w:t>
            </w:r>
          </w:p>
        </w:tc>
        <w:tc>
          <w:tcPr>
            <w:tcW w:w="850" w:type="dxa"/>
            <w:noWrap/>
            <w:vAlign w:val="center"/>
            <w:hideMark/>
          </w:tcPr>
          <w:p w14:paraId="0E64A134"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0.94</w:t>
            </w:r>
          </w:p>
        </w:tc>
        <w:tc>
          <w:tcPr>
            <w:tcW w:w="993" w:type="dxa"/>
            <w:noWrap/>
            <w:vAlign w:val="center"/>
            <w:hideMark/>
          </w:tcPr>
          <w:p w14:paraId="4588F153"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1.06</w:t>
            </w:r>
          </w:p>
        </w:tc>
        <w:tc>
          <w:tcPr>
            <w:tcW w:w="992" w:type="dxa"/>
            <w:noWrap/>
            <w:vAlign w:val="center"/>
            <w:hideMark/>
          </w:tcPr>
          <w:p w14:paraId="319EE827"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1.74</w:t>
            </w:r>
          </w:p>
        </w:tc>
        <w:tc>
          <w:tcPr>
            <w:tcW w:w="1276" w:type="dxa"/>
            <w:noWrap/>
            <w:vAlign w:val="center"/>
            <w:hideMark/>
          </w:tcPr>
          <w:p w14:paraId="383CE255" w14:textId="3D8AB4EE" w:rsidR="006A6ED9" w:rsidRPr="006A6ED9" w:rsidRDefault="006A6ED9" w:rsidP="006A6ED9">
            <w:pPr>
              <w:spacing w:after="0"/>
              <w:jc w:val="center"/>
              <w:rPr>
                <w:rFonts w:ascii="Times New Roman" w:hAnsi="Times New Roman" w:cs="Times New Roman"/>
                <w:sz w:val="20"/>
                <w:szCs w:val="20"/>
              </w:rPr>
            </w:pPr>
          </w:p>
        </w:tc>
        <w:tc>
          <w:tcPr>
            <w:tcW w:w="708" w:type="dxa"/>
            <w:noWrap/>
            <w:vAlign w:val="center"/>
            <w:hideMark/>
          </w:tcPr>
          <w:p w14:paraId="12C39945" w14:textId="0D4BEFF2" w:rsidR="006A6ED9" w:rsidRPr="006A6ED9" w:rsidRDefault="006A6ED9" w:rsidP="006A6ED9">
            <w:pPr>
              <w:spacing w:after="0"/>
              <w:jc w:val="center"/>
              <w:rPr>
                <w:rFonts w:ascii="Times New Roman" w:hAnsi="Times New Roman" w:cs="Times New Roman"/>
                <w:sz w:val="20"/>
                <w:szCs w:val="20"/>
              </w:rPr>
            </w:pPr>
          </w:p>
        </w:tc>
        <w:tc>
          <w:tcPr>
            <w:tcW w:w="1134" w:type="dxa"/>
            <w:noWrap/>
            <w:vAlign w:val="center"/>
            <w:hideMark/>
          </w:tcPr>
          <w:p w14:paraId="74DB9CFE" w14:textId="3540D674" w:rsidR="006A6ED9" w:rsidRPr="006A6ED9" w:rsidRDefault="006A6ED9" w:rsidP="006A6ED9">
            <w:pPr>
              <w:spacing w:after="0"/>
              <w:jc w:val="center"/>
              <w:rPr>
                <w:rFonts w:ascii="Times New Roman" w:hAnsi="Times New Roman" w:cs="Times New Roman"/>
                <w:sz w:val="20"/>
                <w:szCs w:val="20"/>
              </w:rPr>
            </w:pPr>
          </w:p>
        </w:tc>
      </w:tr>
      <w:tr w:rsidR="006A6ED9" w:rsidRPr="006A6ED9" w14:paraId="75B3CBC0" w14:textId="77777777" w:rsidTr="00060C01">
        <w:trPr>
          <w:trHeight w:val="44"/>
        </w:trPr>
        <w:tc>
          <w:tcPr>
            <w:tcW w:w="1980" w:type="dxa"/>
            <w:gridSpan w:val="2"/>
            <w:noWrap/>
            <w:vAlign w:val="center"/>
            <w:hideMark/>
          </w:tcPr>
          <w:p w14:paraId="55695FBA" w14:textId="136FFB2E" w:rsidR="006A6ED9" w:rsidRPr="006A6ED9" w:rsidRDefault="006A6ED9" w:rsidP="006A6ED9">
            <w:pPr>
              <w:spacing w:after="0"/>
              <w:jc w:val="center"/>
              <w:rPr>
                <w:rFonts w:ascii="Times New Roman" w:hAnsi="Times New Roman" w:cs="Times New Roman"/>
                <w:sz w:val="20"/>
                <w:szCs w:val="20"/>
              </w:rPr>
            </w:pPr>
          </w:p>
          <w:p w14:paraId="468A4A6C"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CD at 5%</w:t>
            </w:r>
          </w:p>
        </w:tc>
        <w:tc>
          <w:tcPr>
            <w:tcW w:w="850" w:type="dxa"/>
            <w:noWrap/>
            <w:vAlign w:val="center"/>
            <w:hideMark/>
          </w:tcPr>
          <w:p w14:paraId="4255E1A2" w14:textId="4A03E1C9" w:rsidR="006A6ED9" w:rsidRPr="006A6ED9" w:rsidRDefault="006A6ED9" w:rsidP="006A6ED9">
            <w:pPr>
              <w:spacing w:after="0"/>
              <w:jc w:val="center"/>
              <w:rPr>
                <w:rFonts w:ascii="Times New Roman" w:hAnsi="Times New Roman" w:cs="Times New Roman"/>
                <w:sz w:val="20"/>
                <w:szCs w:val="20"/>
              </w:rPr>
            </w:pPr>
          </w:p>
        </w:tc>
        <w:tc>
          <w:tcPr>
            <w:tcW w:w="851" w:type="dxa"/>
            <w:noWrap/>
            <w:vAlign w:val="center"/>
            <w:hideMark/>
          </w:tcPr>
          <w:p w14:paraId="73BDD9DE"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0.032</w:t>
            </w:r>
          </w:p>
        </w:tc>
        <w:tc>
          <w:tcPr>
            <w:tcW w:w="850" w:type="dxa"/>
            <w:noWrap/>
            <w:vAlign w:val="center"/>
            <w:hideMark/>
          </w:tcPr>
          <w:p w14:paraId="555C0791"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2.86</w:t>
            </w:r>
          </w:p>
        </w:tc>
        <w:tc>
          <w:tcPr>
            <w:tcW w:w="993" w:type="dxa"/>
            <w:noWrap/>
            <w:vAlign w:val="center"/>
            <w:hideMark/>
          </w:tcPr>
          <w:p w14:paraId="469B317F"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3.23</w:t>
            </w:r>
          </w:p>
        </w:tc>
        <w:tc>
          <w:tcPr>
            <w:tcW w:w="992" w:type="dxa"/>
            <w:noWrap/>
            <w:vAlign w:val="center"/>
            <w:hideMark/>
          </w:tcPr>
          <w:p w14:paraId="4AC6BD96"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5.28</w:t>
            </w:r>
          </w:p>
        </w:tc>
        <w:tc>
          <w:tcPr>
            <w:tcW w:w="1276" w:type="dxa"/>
            <w:noWrap/>
            <w:vAlign w:val="center"/>
            <w:hideMark/>
          </w:tcPr>
          <w:p w14:paraId="45640546" w14:textId="11F9C034" w:rsidR="006A6ED9" w:rsidRPr="006A6ED9" w:rsidRDefault="006A6ED9" w:rsidP="006A6ED9">
            <w:pPr>
              <w:spacing w:after="0"/>
              <w:jc w:val="center"/>
              <w:rPr>
                <w:rFonts w:ascii="Times New Roman" w:hAnsi="Times New Roman" w:cs="Times New Roman"/>
                <w:sz w:val="20"/>
                <w:szCs w:val="20"/>
              </w:rPr>
            </w:pPr>
          </w:p>
        </w:tc>
        <w:tc>
          <w:tcPr>
            <w:tcW w:w="708" w:type="dxa"/>
            <w:noWrap/>
            <w:vAlign w:val="center"/>
            <w:hideMark/>
          </w:tcPr>
          <w:p w14:paraId="292B29D8" w14:textId="354F38BF" w:rsidR="006A6ED9" w:rsidRPr="006A6ED9" w:rsidRDefault="006A6ED9" w:rsidP="006A6ED9">
            <w:pPr>
              <w:spacing w:after="0"/>
              <w:jc w:val="center"/>
              <w:rPr>
                <w:rFonts w:ascii="Times New Roman" w:hAnsi="Times New Roman" w:cs="Times New Roman"/>
                <w:sz w:val="20"/>
                <w:szCs w:val="20"/>
              </w:rPr>
            </w:pPr>
          </w:p>
        </w:tc>
        <w:tc>
          <w:tcPr>
            <w:tcW w:w="1134" w:type="dxa"/>
            <w:noWrap/>
            <w:vAlign w:val="center"/>
            <w:hideMark/>
          </w:tcPr>
          <w:p w14:paraId="77F10E05" w14:textId="3B40D785" w:rsidR="006A6ED9" w:rsidRPr="006A6ED9" w:rsidRDefault="006A6ED9" w:rsidP="006A6ED9">
            <w:pPr>
              <w:spacing w:after="0"/>
              <w:jc w:val="center"/>
              <w:rPr>
                <w:rFonts w:ascii="Times New Roman" w:hAnsi="Times New Roman" w:cs="Times New Roman"/>
                <w:sz w:val="20"/>
                <w:szCs w:val="20"/>
              </w:rPr>
            </w:pPr>
          </w:p>
        </w:tc>
      </w:tr>
    </w:tbl>
    <w:bookmarkEnd w:id="0"/>
    <w:p w14:paraId="4923626F" w14:textId="018B1BA2" w:rsidR="00345F90" w:rsidRDefault="00345F90" w:rsidP="00345F90">
      <w:pPr>
        <w:spacing w:line="360" w:lineRule="auto"/>
        <w:jc w:val="both"/>
        <w:rPr>
          <w:rFonts w:ascii="Times New Roman" w:hAnsi="Times New Roman" w:cs="Times New Roman"/>
          <w:b/>
          <w:bCs/>
          <w:sz w:val="24"/>
          <w:szCs w:val="24"/>
        </w:rPr>
      </w:pPr>
      <w:r w:rsidRPr="00540E2B">
        <w:rPr>
          <w:rFonts w:ascii="Times New Roman" w:hAnsi="Times New Roman" w:cs="Times New Roman"/>
          <w:b/>
          <w:bCs/>
          <w:sz w:val="24"/>
          <w:szCs w:val="24"/>
        </w:rPr>
        <w:t xml:space="preserve">Management of Powdery Mildew with Fungicides/Chemicals </w:t>
      </w:r>
      <w:r w:rsidR="003760C6" w:rsidRPr="003760C6">
        <w:rPr>
          <w:rFonts w:ascii="Times New Roman" w:hAnsi="Times New Roman" w:cs="Times New Roman"/>
          <w:b/>
          <w:bCs/>
          <w:i/>
          <w:iCs/>
          <w:sz w:val="24"/>
          <w:szCs w:val="24"/>
        </w:rPr>
        <w:t>in vitro</w:t>
      </w:r>
    </w:p>
    <w:p w14:paraId="6D8416D6" w14:textId="049198C2" w:rsidR="00345F90" w:rsidRDefault="00345F90" w:rsidP="00345F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540E2B">
        <w:rPr>
          <w:rFonts w:ascii="Times New Roman" w:hAnsi="Times New Roman" w:cs="Times New Roman"/>
          <w:sz w:val="24"/>
          <w:szCs w:val="24"/>
        </w:rPr>
        <w:t>o evaluate the efficacy of various fungicides and chemicals</w:t>
      </w:r>
      <w:r>
        <w:rPr>
          <w:rFonts w:ascii="Times New Roman" w:hAnsi="Times New Roman" w:cs="Times New Roman"/>
          <w:sz w:val="24"/>
          <w:szCs w:val="24"/>
        </w:rPr>
        <w:t xml:space="preserve"> against powdery mildew an investigation was conducted under </w:t>
      </w:r>
      <w:r w:rsidR="003760C6" w:rsidRPr="003760C6">
        <w:rPr>
          <w:rFonts w:ascii="Times New Roman" w:hAnsi="Times New Roman" w:cs="Times New Roman"/>
          <w:i/>
          <w:iCs/>
          <w:sz w:val="24"/>
          <w:szCs w:val="24"/>
        </w:rPr>
        <w:t>in vitro</w:t>
      </w:r>
      <w:r w:rsidRPr="00540E2B">
        <w:rPr>
          <w:rFonts w:ascii="Times New Roman" w:hAnsi="Times New Roman" w:cs="Times New Roman"/>
          <w:sz w:val="24"/>
          <w:szCs w:val="24"/>
        </w:rPr>
        <w:t xml:space="preserve"> conditions. The study assessed different treatments, the resulting disease severity (measured on a 0-4 scale), and the plant's response to the applied treatments. The findings are presented in </w:t>
      </w:r>
      <w:r w:rsidRPr="00B51B3D">
        <w:rPr>
          <w:rFonts w:ascii="Times New Roman" w:hAnsi="Times New Roman" w:cs="Times New Roman"/>
          <w:sz w:val="24"/>
          <w:szCs w:val="24"/>
        </w:rPr>
        <w:t xml:space="preserve">Table </w:t>
      </w:r>
      <w:r w:rsidR="00374796">
        <w:rPr>
          <w:rFonts w:ascii="Times New Roman" w:hAnsi="Times New Roman" w:cs="Times New Roman"/>
          <w:sz w:val="24"/>
          <w:szCs w:val="24"/>
        </w:rPr>
        <w:t>7</w:t>
      </w:r>
      <w:r>
        <w:rPr>
          <w:rFonts w:ascii="Times New Roman" w:hAnsi="Times New Roman" w:cs="Times New Roman"/>
          <w:sz w:val="24"/>
          <w:szCs w:val="24"/>
        </w:rPr>
        <w:t>.</w:t>
      </w:r>
    </w:p>
    <w:p w14:paraId="1C04F3D8" w14:textId="29F3167E" w:rsidR="00345F90" w:rsidRPr="00C54078" w:rsidRDefault="00345F90" w:rsidP="00345F90">
      <w:pPr>
        <w:spacing w:line="360" w:lineRule="auto"/>
        <w:jc w:val="both"/>
        <w:rPr>
          <w:rFonts w:ascii="Times New Roman" w:hAnsi="Times New Roman" w:cs="Times New Roman"/>
          <w:b/>
          <w:bCs/>
          <w:sz w:val="24"/>
          <w:szCs w:val="24"/>
        </w:rPr>
      </w:pPr>
      <w:r w:rsidRPr="00C54078">
        <w:rPr>
          <w:rFonts w:ascii="Times New Roman" w:hAnsi="Times New Roman" w:cs="Times New Roman"/>
          <w:b/>
          <w:bCs/>
          <w:sz w:val="24"/>
          <w:szCs w:val="24"/>
        </w:rPr>
        <w:t xml:space="preserve">Table </w:t>
      </w:r>
      <w:r w:rsidR="00374796">
        <w:rPr>
          <w:rFonts w:ascii="Times New Roman" w:hAnsi="Times New Roman" w:cs="Times New Roman"/>
          <w:b/>
          <w:bCs/>
          <w:sz w:val="24"/>
          <w:szCs w:val="24"/>
        </w:rPr>
        <w:t>7.</w:t>
      </w:r>
      <w:r w:rsidRPr="00C54078">
        <w:rPr>
          <w:rFonts w:ascii="Times New Roman" w:hAnsi="Times New Roman" w:cs="Times New Roman"/>
          <w:b/>
          <w:bCs/>
          <w:sz w:val="24"/>
          <w:szCs w:val="24"/>
        </w:rPr>
        <w:t xml:space="preserve"> Management of Powdery Mildew with Fungicides/Chemicals </w:t>
      </w:r>
      <w:r w:rsidR="003760C6" w:rsidRPr="003760C6">
        <w:rPr>
          <w:rFonts w:ascii="Times New Roman" w:hAnsi="Times New Roman" w:cs="Times New Roman"/>
          <w:b/>
          <w:bCs/>
          <w:i/>
          <w:iCs/>
          <w:sz w:val="24"/>
          <w:szCs w:val="24"/>
        </w:rPr>
        <w:t>in vitro</w:t>
      </w:r>
    </w:p>
    <w:tbl>
      <w:tblPr>
        <w:tblStyle w:val="TableGrid"/>
        <w:tblW w:w="9378" w:type="dxa"/>
        <w:tblLook w:val="04A0" w:firstRow="1" w:lastRow="0" w:firstColumn="1" w:lastColumn="0" w:noHBand="0" w:noVBand="1"/>
      </w:tblPr>
      <w:tblGrid>
        <w:gridCol w:w="896"/>
        <w:gridCol w:w="3225"/>
        <w:gridCol w:w="1487"/>
        <w:gridCol w:w="2472"/>
        <w:gridCol w:w="1344"/>
      </w:tblGrid>
      <w:tr w:rsidR="00345F90" w:rsidRPr="00540E2B" w14:paraId="67E833C7" w14:textId="77777777" w:rsidTr="00676757">
        <w:trPr>
          <w:trHeight w:val="614"/>
        </w:trPr>
        <w:tc>
          <w:tcPr>
            <w:tcW w:w="847" w:type="dxa"/>
            <w:vMerge w:val="restart"/>
            <w:noWrap/>
            <w:vAlign w:val="center"/>
            <w:hideMark/>
          </w:tcPr>
          <w:p w14:paraId="050B538E" w14:textId="77777777" w:rsidR="00345F90" w:rsidRPr="00AE45CC" w:rsidRDefault="00345F90" w:rsidP="00676757">
            <w:pPr>
              <w:spacing w:line="360" w:lineRule="auto"/>
              <w:jc w:val="center"/>
              <w:rPr>
                <w:rFonts w:ascii="Times New Roman" w:hAnsi="Times New Roman" w:cs="Times New Roman"/>
                <w:b/>
                <w:bCs/>
                <w:sz w:val="24"/>
                <w:szCs w:val="24"/>
              </w:rPr>
            </w:pPr>
            <w:proofErr w:type="spellStart"/>
            <w:r w:rsidRPr="00AE45CC">
              <w:rPr>
                <w:rFonts w:ascii="Times New Roman" w:hAnsi="Times New Roman" w:cs="Times New Roman"/>
                <w:b/>
                <w:bCs/>
                <w:sz w:val="24"/>
                <w:szCs w:val="24"/>
              </w:rPr>
              <w:lastRenderedPageBreak/>
              <w:t>Tr.No</w:t>
            </w:r>
            <w:proofErr w:type="spellEnd"/>
            <w:r w:rsidRPr="00AE45CC">
              <w:rPr>
                <w:rFonts w:ascii="Times New Roman" w:hAnsi="Times New Roman" w:cs="Times New Roman"/>
                <w:b/>
                <w:bCs/>
                <w:sz w:val="24"/>
                <w:szCs w:val="24"/>
              </w:rPr>
              <w:t>.</w:t>
            </w:r>
          </w:p>
        </w:tc>
        <w:tc>
          <w:tcPr>
            <w:tcW w:w="3225" w:type="dxa"/>
            <w:vMerge w:val="restart"/>
            <w:noWrap/>
            <w:vAlign w:val="center"/>
            <w:hideMark/>
          </w:tcPr>
          <w:p w14:paraId="1E9116E6" w14:textId="77777777" w:rsidR="00345F90" w:rsidRPr="00AE45CC" w:rsidRDefault="00345F90" w:rsidP="00676757">
            <w:pPr>
              <w:spacing w:line="360" w:lineRule="auto"/>
              <w:jc w:val="center"/>
              <w:rPr>
                <w:rFonts w:ascii="Times New Roman" w:hAnsi="Times New Roman" w:cs="Times New Roman"/>
                <w:b/>
                <w:bCs/>
                <w:sz w:val="24"/>
                <w:szCs w:val="24"/>
              </w:rPr>
            </w:pPr>
            <w:r w:rsidRPr="00AE45CC">
              <w:rPr>
                <w:rFonts w:ascii="Times New Roman" w:hAnsi="Times New Roman" w:cs="Times New Roman"/>
                <w:b/>
                <w:bCs/>
                <w:sz w:val="24"/>
                <w:szCs w:val="24"/>
              </w:rPr>
              <w:t>Treatments</w:t>
            </w:r>
          </w:p>
        </w:tc>
        <w:tc>
          <w:tcPr>
            <w:tcW w:w="1487" w:type="dxa"/>
            <w:vMerge w:val="restart"/>
            <w:noWrap/>
            <w:vAlign w:val="center"/>
            <w:hideMark/>
          </w:tcPr>
          <w:p w14:paraId="3F2844C1" w14:textId="77777777" w:rsidR="00345F90" w:rsidRPr="00AE45CC" w:rsidRDefault="00345F90" w:rsidP="00676757">
            <w:pPr>
              <w:spacing w:line="360" w:lineRule="auto"/>
              <w:jc w:val="center"/>
              <w:rPr>
                <w:rFonts w:ascii="Times New Roman" w:hAnsi="Times New Roman" w:cs="Times New Roman"/>
                <w:b/>
                <w:bCs/>
                <w:sz w:val="24"/>
                <w:szCs w:val="24"/>
              </w:rPr>
            </w:pPr>
            <w:r w:rsidRPr="00AE45CC">
              <w:rPr>
                <w:rFonts w:ascii="Times New Roman" w:hAnsi="Times New Roman" w:cs="Times New Roman"/>
                <w:b/>
                <w:bCs/>
                <w:sz w:val="24"/>
                <w:szCs w:val="24"/>
              </w:rPr>
              <w:t>Conc. (%)</w:t>
            </w:r>
          </w:p>
        </w:tc>
        <w:tc>
          <w:tcPr>
            <w:tcW w:w="2472" w:type="dxa"/>
            <w:vMerge w:val="restart"/>
            <w:noWrap/>
            <w:vAlign w:val="center"/>
            <w:hideMark/>
          </w:tcPr>
          <w:p w14:paraId="06E279BB" w14:textId="77777777" w:rsidR="00345F90" w:rsidRPr="00AE45CC" w:rsidRDefault="00345F90" w:rsidP="00676757">
            <w:pPr>
              <w:spacing w:line="360" w:lineRule="auto"/>
              <w:jc w:val="center"/>
              <w:rPr>
                <w:rFonts w:ascii="Times New Roman" w:hAnsi="Times New Roman" w:cs="Times New Roman"/>
                <w:b/>
                <w:bCs/>
                <w:sz w:val="24"/>
                <w:szCs w:val="24"/>
              </w:rPr>
            </w:pPr>
            <w:r w:rsidRPr="00AE45CC">
              <w:rPr>
                <w:rFonts w:ascii="Times New Roman" w:hAnsi="Times New Roman" w:cs="Times New Roman"/>
                <w:b/>
                <w:bCs/>
                <w:sz w:val="24"/>
                <w:szCs w:val="24"/>
              </w:rPr>
              <w:t>MIC</w:t>
            </w:r>
          </w:p>
        </w:tc>
        <w:tc>
          <w:tcPr>
            <w:tcW w:w="1344" w:type="dxa"/>
            <w:vMerge w:val="restart"/>
            <w:noWrap/>
            <w:vAlign w:val="center"/>
            <w:hideMark/>
          </w:tcPr>
          <w:p w14:paraId="3964B7B3" w14:textId="77777777" w:rsidR="00345F90" w:rsidRPr="00AE45CC" w:rsidRDefault="00345F90" w:rsidP="00676757">
            <w:pPr>
              <w:spacing w:line="360" w:lineRule="auto"/>
              <w:jc w:val="center"/>
              <w:rPr>
                <w:rFonts w:ascii="Times New Roman" w:hAnsi="Times New Roman" w:cs="Times New Roman"/>
                <w:b/>
                <w:bCs/>
                <w:sz w:val="24"/>
                <w:szCs w:val="24"/>
              </w:rPr>
            </w:pPr>
            <w:r w:rsidRPr="00AE45CC">
              <w:rPr>
                <w:rFonts w:ascii="Times New Roman" w:hAnsi="Times New Roman" w:cs="Times New Roman"/>
                <w:b/>
                <w:bCs/>
                <w:sz w:val="24"/>
                <w:szCs w:val="24"/>
              </w:rPr>
              <w:t>Reaction</w:t>
            </w:r>
          </w:p>
        </w:tc>
      </w:tr>
      <w:tr w:rsidR="00345F90" w:rsidRPr="00540E2B" w14:paraId="021CA57D" w14:textId="77777777" w:rsidTr="00676757">
        <w:trPr>
          <w:trHeight w:val="614"/>
        </w:trPr>
        <w:tc>
          <w:tcPr>
            <w:tcW w:w="847" w:type="dxa"/>
            <w:vMerge/>
            <w:hideMark/>
          </w:tcPr>
          <w:p w14:paraId="52174CC2" w14:textId="77777777" w:rsidR="00345F90" w:rsidRPr="00540E2B" w:rsidRDefault="00345F90" w:rsidP="00676757">
            <w:pPr>
              <w:spacing w:line="360" w:lineRule="auto"/>
              <w:jc w:val="both"/>
              <w:rPr>
                <w:rFonts w:ascii="Times New Roman" w:hAnsi="Times New Roman" w:cs="Times New Roman"/>
                <w:sz w:val="24"/>
                <w:szCs w:val="24"/>
              </w:rPr>
            </w:pPr>
          </w:p>
        </w:tc>
        <w:tc>
          <w:tcPr>
            <w:tcW w:w="3225" w:type="dxa"/>
            <w:vMerge/>
            <w:hideMark/>
          </w:tcPr>
          <w:p w14:paraId="62E884CB" w14:textId="77777777" w:rsidR="00345F90" w:rsidRPr="00540E2B" w:rsidRDefault="00345F90" w:rsidP="00676757">
            <w:pPr>
              <w:spacing w:line="360" w:lineRule="auto"/>
              <w:jc w:val="both"/>
              <w:rPr>
                <w:rFonts w:ascii="Times New Roman" w:hAnsi="Times New Roman" w:cs="Times New Roman"/>
                <w:sz w:val="24"/>
                <w:szCs w:val="24"/>
              </w:rPr>
            </w:pPr>
          </w:p>
        </w:tc>
        <w:tc>
          <w:tcPr>
            <w:tcW w:w="1487" w:type="dxa"/>
            <w:vMerge/>
            <w:hideMark/>
          </w:tcPr>
          <w:p w14:paraId="0D3B432E" w14:textId="77777777" w:rsidR="00345F90" w:rsidRPr="00540E2B" w:rsidRDefault="00345F90" w:rsidP="00676757">
            <w:pPr>
              <w:spacing w:line="360" w:lineRule="auto"/>
              <w:jc w:val="both"/>
              <w:rPr>
                <w:rFonts w:ascii="Times New Roman" w:hAnsi="Times New Roman" w:cs="Times New Roman"/>
                <w:sz w:val="24"/>
                <w:szCs w:val="24"/>
              </w:rPr>
            </w:pPr>
          </w:p>
        </w:tc>
        <w:tc>
          <w:tcPr>
            <w:tcW w:w="2472" w:type="dxa"/>
            <w:vMerge/>
            <w:hideMark/>
          </w:tcPr>
          <w:p w14:paraId="358CF09C" w14:textId="77777777" w:rsidR="00345F90" w:rsidRPr="00540E2B" w:rsidRDefault="00345F90" w:rsidP="00676757">
            <w:pPr>
              <w:spacing w:line="360" w:lineRule="auto"/>
              <w:jc w:val="both"/>
              <w:rPr>
                <w:rFonts w:ascii="Times New Roman" w:hAnsi="Times New Roman" w:cs="Times New Roman"/>
                <w:sz w:val="24"/>
                <w:szCs w:val="24"/>
              </w:rPr>
            </w:pPr>
          </w:p>
        </w:tc>
        <w:tc>
          <w:tcPr>
            <w:tcW w:w="1344" w:type="dxa"/>
            <w:vMerge/>
            <w:hideMark/>
          </w:tcPr>
          <w:p w14:paraId="7AF773A6" w14:textId="77777777" w:rsidR="00345F90" w:rsidRPr="00540E2B" w:rsidRDefault="00345F90" w:rsidP="00676757">
            <w:pPr>
              <w:spacing w:line="360" w:lineRule="auto"/>
              <w:jc w:val="both"/>
              <w:rPr>
                <w:rFonts w:ascii="Times New Roman" w:hAnsi="Times New Roman" w:cs="Times New Roman"/>
                <w:sz w:val="24"/>
                <w:szCs w:val="24"/>
              </w:rPr>
            </w:pPr>
          </w:p>
        </w:tc>
      </w:tr>
      <w:tr w:rsidR="00345F90" w:rsidRPr="00540E2B" w14:paraId="4096EE05" w14:textId="77777777" w:rsidTr="00676757">
        <w:trPr>
          <w:trHeight w:val="360"/>
        </w:trPr>
        <w:tc>
          <w:tcPr>
            <w:tcW w:w="847" w:type="dxa"/>
            <w:noWrap/>
            <w:vAlign w:val="bottom"/>
            <w:hideMark/>
          </w:tcPr>
          <w:p w14:paraId="20055B64" w14:textId="77777777" w:rsidR="00345F90" w:rsidRPr="00540E2B" w:rsidRDefault="00345F90" w:rsidP="00676757">
            <w:pPr>
              <w:spacing w:line="360" w:lineRule="auto"/>
              <w:jc w:val="center"/>
              <w:rPr>
                <w:rFonts w:ascii="Times New Roman" w:hAnsi="Times New Roman" w:cs="Times New Roman"/>
                <w:sz w:val="24"/>
                <w:szCs w:val="24"/>
              </w:rPr>
            </w:pPr>
            <w:r w:rsidRPr="00083211">
              <w:rPr>
                <w:rFonts w:ascii="Times New Roman" w:hAnsi="Times New Roman" w:cs="Times New Roman"/>
                <w:sz w:val="24"/>
                <w:szCs w:val="24"/>
              </w:rPr>
              <w:t>T₁</w:t>
            </w:r>
          </w:p>
        </w:tc>
        <w:tc>
          <w:tcPr>
            <w:tcW w:w="3225" w:type="dxa"/>
            <w:noWrap/>
            <w:hideMark/>
          </w:tcPr>
          <w:p w14:paraId="088FE0E7" w14:textId="77777777" w:rsidR="00345F90" w:rsidRPr="00540E2B" w:rsidRDefault="00345F90" w:rsidP="00676757">
            <w:pPr>
              <w:spacing w:line="360" w:lineRule="auto"/>
              <w:rPr>
                <w:rFonts w:ascii="Times New Roman" w:hAnsi="Times New Roman" w:cs="Times New Roman"/>
                <w:sz w:val="24"/>
                <w:szCs w:val="24"/>
              </w:rPr>
            </w:pPr>
            <w:r w:rsidRPr="00540E2B">
              <w:rPr>
                <w:rFonts w:ascii="Times New Roman" w:hAnsi="Times New Roman" w:cs="Times New Roman"/>
                <w:sz w:val="24"/>
                <w:szCs w:val="24"/>
              </w:rPr>
              <w:t xml:space="preserve">Carbendazim 12%+ Mancozeb 63% </w:t>
            </w:r>
          </w:p>
        </w:tc>
        <w:tc>
          <w:tcPr>
            <w:tcW w:w="1487" w:type="dxa"/>
            <w:noWrap/>
            <w:vAlign w:val="center"/>
            <w:hideMark/>
          </w:tcPr>
          <w:p w14:paraId="12B3B2AC" w14:textId="77777777" w:rsidR="00345F90" w:rsidRPr="00540E2B" w:rsidRDefault="00345F90" w:rsidP="00676757">
            <w:pPr>
              <w:spacing w:line="360" w:lineRule="auto"/>
              <w:jc w:val="center"/>
              <w:rPr>
                <w:rFonts w:ascii="Times New Roman" w:hAnsi="Times New Roman" w:cs="Times New Roman"/>
                <w:sz w:val="24"/>
                <w:szCs w:val="24"/>
              </w:rPr>
            </w:pPr>
            <w:r w:rsidRPr="00540E2B">
              <w:rPr>
                <w:rFonts w:ascii="Times New Roman" w:hAnsi="Times New Roman" w:cs="Times New Roman"/>
                <w:sz w:val="24"/>
                <w:szCs w:val="24"/>
              </w:rPr>
              <w:t>0.15</w:t>
            </w:r>
          </w:p>
        </w:tc>
        <w:tc>
          <w:tcPr>
            <w:tcW w:w="2472" w:type="dxa"/>
            <w:noWrap/>
            <w:vAlign w:val="center"/>
            <w:hideMark/>
          </w:tcPr>
          <w:p w14:paraId="12DA1F2B" w14:textId="77777777" w:rsidR="00345F90" w:rsidRPr="00540E2B" w:rsidRDefault="00345F90" w:rsidP="00676757">
            <w:pPr>
              <w:spacing w:line="360" w:lineRule="auto"/>
              <w:jc w:val="center"/>
              <w:rPr>
                <w:rFonts w:ascii="Times New Roman" w:hAnsi="Times New Roman" w:cs="Times New Roman"/>
                <w:sz w:val="24"/>
                <w:szCs w:val="24"/>
              </w:rPr>
            </w:pPr>
            <w:r w:rsidRPr="00540E2B">
              <w:rPr>
                <w:rFonts w:ascii="Times New Roman" w:hAnsi="Times New Roman" w:cs="Times New Roman"/>
                <w:sz w:val="24"/>
                <w:szCs w:val="24"/>
              </w:rPr>
              <w:t>2</w:t>
            </w:r>
          </w:p>
        </w:tc>
        <w:tc>
          <w:tcPr>
            <w:tcW w:w="1344" w:type="dxa"/>
            <w:noWrap/>
            <w:vAlign w:val="center"/>
          </w:tcPr>
          <w:p w14:paraId="54EA6E51" w14:textId="77777777" w:rsidR="00345F90" w:rsidRPr="00D9152F" w:rsidRDefault="00345F90" w:rsidP="00676757">
            <w:pPr>
              <w:spacing w:line="360" w:lineRule="auto"/>
              <w:jc w:val="center"/>
              <w:rPr>
                <w:rFonts w:ascii="Times New Roman" w:hAnsi="Times New Roman" w:cs="Times New Roman"/>
                <w:sz w:val="24"/>
                <w:szCs w:val="24"/>
              </w:rPr>
            </w:pPr>
            <w:r w:rsidRPr="00D9152F">
              <w:rPr>
                <w:rFonts w:ascii="Times New Roman" w:hAnsi="Times New Roman" w:cs="Times New Roman"/>
                <w:sz w:val="24"/>
                <w:szCs w:val="24"/>
              </w:rPr>
              <w:t>MR</w:t>
            </w:r>
          </w:p>
        </w:tc>
      </w:tr>
      <w:tr w:rsidR="00345F90" w:rsidRPr="00540E2B" w14:paraId="0E2BCF48" w14:textId="77777777" w:rsidTr="00676757">
        <w:trPr>
          <w:trHeight w:val="360"/>
        </w:trPr>
        <w:tc>
          <w:tcPr>
            <w:tcW w:w="847" w:type="dxa"/>
            <w:noWrap/>
            <w:vAlign w:val="bottom"/>
            <w:hideMark/>
          </w:tcPr>
          <w:p w14:paraId="7936126D" w14:textId="77777777" w:rsidR="00345F90" w:rsidRPr="00540E2B" w:rsidRDefault="00345F90" w:rsidP="00676757">
            <w:pPr>
              <w:spacing w:line="360" w:lineRule="auto"/>
              <w:jc w:val="center"/>
              <w:rPr>
                <w:rFonts w:ascii="Times New Roman" w:hAnsi="Times New Roman" w:cs="Times New Roman"/>
                <w:sz w:val="24"/>
                <w:szCs w:val="24"/>
              </w:rPr>
            </w:pPr>
            <w:r w:rsidRPr="00083211">
              <w:rPr>
                <w:rFonts w:ascii="Times New Roman" w:hAnsi="Times New Roman" w:cs="Times New Roman"/>
                <w:sz w:val="24"/>
                <w:szCs w:val="24"/>
              </w:rPr>
              <w:t>T₂</w:t>
            </w:r>
          </w:p>
        </w:tc>
        <w:tc>
          <w:tcPr>
            <w:tcW w:w="3225" w:type="dxa"/>
            <w:noWrap/>
            <w:hideMark/>
          </w:tcPr>
          <w:p w14:paraId="2A6DCCEB" w14:textId="77777777" w:rsidR="00345F90" w:rsidRPr="00540E2B" w:rsidRDefault="00345F90" w:rsidP="00676757">
            <w:pPr>
              <w:spacing w:line="360" w:lineRule="auto"/>
              <w:rPr>
                <w:rFonts w:ascii="Times New Roman" w:hAnsi="Times New Roman" w:cs="Times New Roman"/>
                <w:sz w:val="24"/>
                <w:szCs w:val="24"/>
              </w:rPr>
            </w:pPr>
            <w:r w:rsidRPr="00540E2B">
              <w:rPr>
                <w:rFonts w:ascii="Times New Roman" w:hAnsi="Times New Roman" w:cs="Times New Roman"/>
                <w:sz w:val="24"/>
                <w:szCs w:val="24"/>
              </w:rPr>
              <w:t xml:space="preserve">Azoxystrobin 4.8% w/w + Chlorothalonil 40% w/w SC </w:t>
            </w:r>
          </w:p>
        </w:tc>
        <w:tc>
          <w:tcPr>
            <w:tcW w:w="1487" w:type="dxa"/>
            <w:noWrap/>
            <w:vAlign w:val="center"/>
            <w:hideMark/>
          </w:tcPr>
          <w:p w14:paraId="515B2DCF" w14:textId="77777777" w:rsidR="00345F90" w:rsidRPr="00540E2B" w:rsidRDefault="00345F90" w:rsidP="00676757">
            <w:pPr>
              <w:spacing w:line="360" w:lineRule="auto"/>
              <w:jc w:val="center"/>
              <w:rPr>
                <w:rFonts w:ascii="Times New Roman" w:hAnsi="Times New Roman" w:cs="Times New Roman"/>
                <w:sz w:val="24"/>
                <w:szCs w:val="24"/>
              </w:rPr>
            </w:pPr>
            <w:r w:rsidRPr="00540E2B">
              <w:rPr>
                <w:rFonts w:ascii="Times New Roman" w:hAnsi="Times New Roman" w:cs="Times New Roman"/>
                <w:sz w:val="24"/>
                <w:szCs w:val="24"/>
              </w:rPr>
              <w:t>0.6</w:t>
            </w:r>
          </w:p>
        </w:tc>
        <w:tc>
          <w:tcPr>
            <w:tcW w:w="2472" w:type="dxa"/>
            <w:noWrap/>
            <w:vAlign w:val="center"/>
            <w:hideMark/>
          </w:tcPr>
          <w:p w14:paraId="31F94141" w14:textId="77777777" w:rsidR="00345F90" w:rsidRPr="00540E2B" w:rsidRDefault="00345F90" w:rsidP="00676757">
            <w:pPr>
              <w:spacing w:line="360" w:lineRule="auto"/>
              <w:jc w:val="center"/>
              <w:rPr>
                <w:rFonts w:ascii="Times New Roman" w:hAnsi="Times New Roman" w:cs="Times New Roman"/>
                <w:sz w:val="24"/>
                <w:szCs w:val="24"/>
              </w:rPr>
            </w:pPr>
            <w:r w:rsidRPr="00540E2B">
              <w:rPr>
                <w:rFonts w:ascii="Times New Roman" w:hAnsi="Times New Roman" w:cs="Times New Roman"/>
                <w:sz w:val="24"/>
                <w:szCs w:val="24"/>
              </w:rPr>
              <w:t>2</w:t>
            </w:r>
          </w:p>
        </w:tc>
        <w:tc>
          <w:tcPr>
            <w:tcW w:w="1344" w:type="dxa"/>
            <w:noWrap/>
            <w:vAlign w:val="center"/>
          </w:tcPr>
          <w:p w14:paraId="42493966" w14:textId="77777777" w:rsidR="00345F90" w:rsidRPr="00D9152F" w:rsidRDefault="00345F90" w:rsidP="00676757">
            <w:pPr>
              <w:spacing w:line="360" w:lineRule="auto"/>
              <w:jc w:val="center"/>
              <w:rPr>
                <w:rFonts w:ascii="Times New Roman" w:hAnsi="Times New Roman" w:cs="Times New Roman"/>
                <w:sz w:val="24"/>
                <w:szCs w:val="24"/>
              </w:rPr>
            </w:pPr>
            <w:r w:rsidRPr="00D9152F">
              <w:rPr>
                <w:rFonts w:ascii="Times New Roman" w:hAnsi="Times New Roman" w:cs="Times New Roman"/>
                <w:sz w:val="24"/>
                <w:szCs w:val="24"/>
              </w:rPr>
              <w:t>MR</w:t>
            </w:r>
          </w:p>
        </w:tc>
      </w:tr>
      <w:tr w:rsidR="00345F90" w:rsidRPr="00540E2B" w14:paraId="092BDBDA" w14:textId="77777777" w:rsidTr="00676757">
        <w:trPr>
          <w:trHeight w:val="360"/>
        </w:trPr>
        <w:tc>
          <w:tcPr>
            <w:tcW w:w="847" w:type="dxa"/>
            <w:noWrap/>
            <w:vAlign w:val="bottom"/>
            <w:hideMark/>
          </w:tcPr>
          <w:p w14:paraId="41BBACBC" w14:textId="77777777" w:rsidR="00345F90" w:rsidRPr="00540E2B" w:rsidRDefault="00345F90" w:rsidP="00676757">
            <w:pPr>
              <w:spacing w:line="360" w:lineRule="auto"/>
              <w:jc w:val="center"/>
              <w:rPr>
                <w:rFonts w:ascii="Times New Roman" w:hAnsi="Times New Roman" w:cs="Times New Roman"/>
                <w:sz w:val="24"/>
                <w:szCs w:val="24"/>
              </w:rPr>
            </w:pPr>
            <w:r w:rsidRPr="00083211">
              <w:rPr>
                <w:rFonts w:ascii="Times New Roman" w:hAnsi="Times New Roman" w:cs="Times New Roman"/>
                <w:sz w:val="24"/>
                <w:szCs w:val="24"/>
              </w:rPr>
              <w:t>T₃</w:t>
            </w:r>
          </w:p>
        </w:tc>
        <w:tc>
          <w:tcPr>
            <w:tcW w:w="3225" w:type="dxa"/>
            <w:noWrap/>
            <w:hideMark/>
          </w:tcPr>
          <w:p w14:paraId="57DE8F3F" w14:textId="77777777" w:rsidR="00345F90" w:rsidRPr="00540E2B" w:rsidRDefault="00345F90" w:rsidP="00676757">
            <w:pPr>
              <w:spacing w:line="360" w:lineRule="auto"/>
              <w:rPr>
                <w:rFonts w:ascii="Times New Roman" w:hAnsi="Times New Roman" w:cs="Times New Roman"/>
                <w:sz w:val="24"/>
                <w:szCs w:val="24"/>
              </w:rPr>
            </w:pPr>
            <w:r w:rsidRPr="00540E2B">
              <w:rPr>
                <w:rFonts w:ascii="Times New Roman" w:hAnsi="Times New Roman" w:cs="Times New Roman"/>
                <w:sz w:val="24"/>
                <w:szCs w:val="24"/>
              </w:rPr>
              <w:t xml:space="preserve">Azoxystrobin 11% w/w + Tebuconazole 18.3 </w:t>
            </w:r>
          </w:p>
        </w:tc>
        <w:tc>
          <w:tcPr>
            <w:tcW w:w="1487" w:type="dxa"/>
            <w:noWrap/>
            <w:vAlign w:val="center"/>
            <w:hideMark/>
          </w:tcPr>
          <w:p w14:paraId="102A53C2" w14:textId="77777777" w:rsidR="00345F90" w:rsidRPr="00540E2B" w:rsidRDefault="00345F90" w:rsidP="00676757">
            <w:pPr>
              <w:spacing w:line="360" w:lineRule="auto"/>
              <w:jc w:val="center"/>
              <w:rPr>
                <w:rFonts w:ascii="Times New Roman" w:hAnsi="Times New Roman" w:cs="Times New Roman"/>
                <w:sz w:val="24"/>
                <w:szCs w:val="24"/>
              </w:rPr>
            </w:pPr>
            <w:r w:rsidRPr="00540E2B">
              <w:rPr>
                <w:rFonts w:ascii="Times New Roman" w:hAnsi="Times New Roman" w:cs="Times New Roman"/>
                <w:sz w:val="24"/>
                <w:szCs w:val="24"/>
              </w:rPr>
              <w:t>0.15</w:t>
            </w:r>
          </w:p>
        </w:tc>
        <w:tc>
          <w:tcPr>
            <w:tcW w:w="2472" w:type="dxa"/>
            <w:noWrap/>
            <w:vAlign w:val="center"/>
            <w:hideMark/>
          </w:tcPr>
          <w:p w14:paraId="42DBF438" w14:textId="77777777" w:rsidR="00345F90" w:rsidRPr="00540E2B" w:rsidRDefault="00345F90" w:rsidP="00676757">
            <w:pPr>
              <w:spacing w:line="360" w:lineRule="auto"/>
              <w:jc w:val="center"/>
              <w:rPr>
                <w:rFonts w:ascii="Times New Roman" w:hAnsi="Times New Roman" w:cs="Times New Roman"/>
                <w:sz w:val="24"/>
                <w:szCs w:val="24"/>
              </w:rPr>
            </w:pPr>
            <w:r w:rsidRPr="00540E2B">
              <w:rPr>
                <w:rFonts w:ascii="Times New Roman" w:hAnsi="Times New Roman" w:cs="Times New Roman"/>
                <w:sz w:val="24"/>
                <w:szCs w:val="24"/>
              </w:rPr>
              <w:t>1</w:t>
            </w:r>
          </w:p>
        </w:tc>
        <w:tc>
          <w:tcPr>
            <w:tcW w:w="1344" w:type="dxa"/>
            <w:noWrap/>
            <w:vAlign w:val="center"/>
          </w:tcPr>
          <w:p w14:paraId="0B34F1C5" w14:textId="77777777" w:rsidR="00345F90" w:rsidRPr="00D9152F" w:rsidRDefault="00345F90" w:rsidP="00676757">
            <w:pPr>
              <w:spacing w:line="360" w:lineRule="auto"/>
              <w:jc w:val="center"/>
              <w:rPr>
                <w:rFonts w:ascii="Times New Roman" w:hAnsi="Times New Roman" w:cs="Times New Roman"/>
                <w:sz w:val="24"/>
                <w:szCs w:val="24"/>
              </w:rPr>
            </w:pPr>
            <w:r w:rsidRPr="00D9152F">
              <w:rPr>
                <w:rFonts w:ascii="Times New Roman" w:hAnsi="Times New Roman" w:cs="Times New Roman"/>
                <w:sz w:val="24"/>
                <w:szCs w:val="24"/>
              </w:rPr>
              <w:t>R</w:t>
            </w:r>
          </w:p>
        </w:tc>
      </w:tr>
      <w:tr w:rsidR="00345F90" w:rsidRPr="00540E2B" w14:paraId="324FBC45" w14:textId="77777777" w:rsidTr="00676757">
        <w:trPr>
          <w:trHeight w:val="360"/>
        </w:trPr>
        <w:tc>
          <w:tcPr>
            <w:tcW w:w="847" w:type="dxa"/>
            <w:noWrap/>
            <w:vAlign w:val="bottom"/>
            <w:hideMark/>
          </w:tcPr>
          <w:p w14:paraId="729DE008" w14:textId="77777777" w:rsidR="00345F90" w:rsidRPr="00540E2B" w:rsidRDefault="00345F90" w:rsidP="00676757">
            <w:pPr>
              <w:spacing w:line="360" w:lineRule="auto"/>
              <w:jc w:val="center"/>
              <w:rPr>
                <w:rFonts w:ascii="Times New Roman" w:hAnsi="Times New Roman" w:cs="Times New Roman"/>
                <w:sz w:val="24"/>
                <w:szCs w:val="24"/>
              </w:rPr>
            </w:pPr>
            <w:r w:rsidRPr="00083211">
              <w:rPr>
                <w:rFonts w:ascii="Times New Roman" w:hAnsi="Times New Roman" w:cs="Times New Roman"/>
                <w:sz w:val="24"/>
                <w:szCs w:val="24"/>
              </w:rPr>
              <w:t>T₄</w:t>
            </w:r>
          </w:p>
        </w:tc>
        <w:tc>
          <w:tcPr>
            <w:tcW w:w="3225" w:type="dxa"/>
            <w:noWrap/>
            <w:hideMark/>
          </w:tcPr>
          <w:p w14:paraId="2DA888B2" w14:textId="77777777" w:rsidR="00345F90" w:rsidRPr="00540E2B" w:rsidRDefault="00345F90" w:rsidP="00676757">
            <w:pPr>
              <w:spacing w:line="360" w:lineRule="auto"/>
              <w:rPr>
                <w:rFonts w:ascii="Times New Roman" w:hAnsi="Times New Roman" w:cs="Times New Roman"/>
                <w:sz w:val="24"/>
                <w:szCs w:val="24"/>
              </w:rPr>
            </w:pPr>
            <w:r w:rsidRPr="00540E2B">
              <w:rPr>
                <w:rFonts w:ascii="Times New Roman" w:hAnsi="Times New Roman" w:cs="Times New Roman"/>
                <w:sz w:val="24"/>
                <w:szCs w:val="24"/>
              </w:rPr>
              <w:t xml:space="preserve">Aureofungin 46.25 w/w SP </w:t>
            </w:r>
          </w:p>
        </w:tc>
        <w:tc>
          <w:tcPr>
            <w:tcW w:w="1487" w:type="dxa"/>
            <w:noWrap/>
            <w:vAlign w:val="center"/>
            <w:hideMark/>
          </w:tcPr>
          <w:p w14:paraId="3590DCD2" w14:textId="77777777" w:rsidR="00345F90" w:rsidRPr="00540E2B" w:rsidRDefault="00345F90" w:rsidP="00676757">
            <w:pPr>
              <w:spacing w:line="360" w:lineRule="auto"/>
              <w:jc w:val="center"/>
              <w:rPr>
                <w:rFonts w:ascii="Times New Roman" w:hAnsi="Times New Roman" w:cs="Times New Roman"/>
                <w:sz w:val="24"/>
                <w:szCs w:val="24"/>
              </w:rPr>
            </w:pPr>
            <w:r w:rsidRPr="00540E2B">
              <w:rPr>
                <w:rFonts w:ascii="Times New Roman" w:hAnsi="Times New Roman" w:cs="Times New Roman"/>
                <w:sz w:val="24"/>
                <w:szCs w:val="24"/>
              </w:rPr>
              <w:t>0.005</w:t>
            </w:r>
          </w:p>
        </w:tc>
        <w:tc>
          <w:tcPr>
            <w:tcW w:w="2472" w:type="dxa"/>
            <w:noWrap/>
            <w:vAlign w:val="center"/>
            <w:hideMark/>
          </w:tcPr>
          <w:p w14:paraId="11743B0F" w14:textId="77777777" w:rsidR="00345F90" w:rsidRPr="00540E2B" w:rsidRDefault="00345F90" w:rsidP="00676757">
            <w:pPr>
              <w:spacing w:line="360" w:lineRule="auto"/>
              <w:jc w:val="center"/>
              <w:rPr>
                <w:rFonts w:ascii="Times New Roman" w:hAnsi="Times New Roman" w:cs="Times New Roman"/>
                <w:sz w:val="24"/>
                <w:szCs w:val="24"/>
              </w:rPr>
            </w:pPr>
            <w:r w:rsidRPr="00540E2B">
              <w:rPr>
                <w:rFonts w:ascii="Times New Roman" w:hAnsi="Times New Roman" w:cs="Times New Roman"/>
                <w:sz w:val="24"/>
                <w:szCs w:val="24"/>
              </w:rPr>
              <w:t>2.6</w:t>
            </w:r>
          </w:p>
        </w:tc>
        <w:tc>
          <w:tcPr>
            <w:tcW w:w="1344" w:type="dxa"/>
            <w:noWrap/>
            <w:vAlign w:val="center"/>
          </w:tcPr>
          <w:p w14:paraId="330A6EF7" w14:textId="77777777" w:rsidR="00345F90" w:rsidRPr="00D9152F" w:rsidRDefault="00345F90" w:rsidP="00676757">
            <w:pPr>
              <w:spacing w:line="360" w:lineRule="auto"/>
              <w:jc w:val="center"/>
              <w:rPr>
                <w:rFonts w:ascii="Times New Roman" w:hAnsi="Times New Roman" w:cs="Times New Roman"/>
                <w:sz w:val="24"/>
                <w:szCs w:val="24"/>
              </w:rPr>
            </w:pPr>
            <w:r w:rsidRPr="00D9152F">
              <w:rPr>
                <w:rFonts w:ascii="Times New Roman" w:hAnsi="Times New Roman" w:cs="Times New Roman"/>
                <w:sz w:val="24"/>
                <w:szCs w:val="24"/>
              </w:rPr>
              <w:t>S</w:t>
            </w:r>
          </w:p>
        </w:tc>
      </w:tr>
      <w:tr w:rsidR="00345F90" w:rsidRPr="00540E2B" w14:paraId="319C59C4" w14:textId="77777777" w:rsidTr="00676757">
        <w:trPr>
          <w:trHeight w:val="360"/>
        </w:trPr>
        <w:tc>
          <w:tcPr>
            <w:tcW w:w="847" w:type="dxa"/>
            <w:noWrap/>
            <w:vAlign w:val="bottom"/>
            <w:hideMark/>
          </w:tcPr>
          <w:p w14:paraId="37F661EF" w14:textId="77777777" w:rsidR="00345F90" w:rsidRPr="00540E2B" w:rsidRDefault="00345F90" w:rsidP="00676757">
            <w:pPr>
              <w:spacing w:line="360" w:lineRule="auto"/>
              <w:jc w:val="center"/>
              <w:rPr>
                <w:rFonts w:ascii="Times New Roman" w:hAnsi="Times New Roman" w:cs="Times New Roman"/>
                <w:sz w:val="24"/>
                <w:szCs w:val="24"/>
              </w:rPr>
            </w:pPr>
            <w:r w:rsidRPr="00083211">
              <w:rPr>
                <w:rFonts w:ascii="Times New Roman" w:hAnsi="Times New Roman" w:cs="Times New Roman"/>
                <w:sz w:val="24"/>
                <w:szCs w:val="24"/>
              </w:rPr>
              <w:t>T₅</w:t>
            </w:r>
          </w:p>
        </w:tc>
        <w:tc>
          <w:tcPr>
            <w:tcW w:w="3225" w:type="dxa"/>
            <w:noWrap/>
            <w:hideMark/>
          </w:tcPr>
          <w:p w14:paraId="0217D084" w14:textId="77777777" w:rsidR="00345F90" w:rsidRPr="00540E2B" w:rsidRDefault="00345F90" w:rsidP="00676757">
            <w:pPr>
              <w:spacing w:line="360" w:lineRule="auto"/>
              <w:rPr>
                <w:rFonts w:ascii="Times New Roman" w:hAnsi="Times New Roman" w:cs="Times New Roman"/>
                <w:sz w:val="24"/>
                <w:szCs w:val="24"/>
              </w:rPr>
            </w:pPr>
            <w:r w:rsidRPr="00540E2B">
              <w:rPr>
                <w:rFonts w:ascii="Times New Roman" w:hAnsi="Times New Roman" w:cs="Times New Roman"/>
                <w:sz w:val="24"/>
                <w:szCs w:val="24"/>
              </w:rPr>
              <w:t xml:space="preserve">Copper sulphate 47.15 + Mancozeb 30% WDG </w:t>
            </w:r>
          </w:p>
        </w:tc>
        <w:tc>
          <w:tcPr>
            <w:tcW w:w="1487" w:type="dxa"/>
            <w:noWrap/>
            <w:vAlign w:val="center"/>
            <w:hideMark/>
          </w:tcPr>
          <w:p w14:paraId="66A6FE64" w14:textId="77777777" w:rsidR="00345F90" w:rsidRPr="00540E2B" w:rsidRDefault="00345F90" w:rsidP="00676757">
            <w:pPr>
              <w:spacing w:line="360" w:lineRule="auto"/>
              <w:jc w:val="center"/>
              <w:rPr>
                <w:rFonts w:ascii="Times New Roman" w:hAnsi="Times New Roman" w:cs="Times New Roman"/>
                <w:sz w:val="24"/>
                <w:szCs w:val="24"/>
              </w:rPr>
            </w:pPr>
            <w:r w:rsidRPr="00540E2B">
              <w:rPr>
                <w:rFonts w:ascii="Times New Roman" w:hAnsi="Times New Roman" w:cs="Times New Roman"/>
                <w:sz w:val="24"/>
                <w:szCs w:val="24"/>
              </w:rPr>
              <w:t>1</w:t>
            </w:r>
            <w:r>
              <w:rPr>
                <w:rFonts w:ascii="Times New Roman" w:hAnsi="Times New Roman" w:cs="Times New Roman"/>
                <w:sz w:val="24"/>
                <w:szCs w:val="24"/>
              </w:rPr>
              <w:t>.00</w:t>
            </w:r>
          </w:p>
        </w:tc>
        <w:tc>
          <w:tcPr>
            <w:tcW w:w="2472" w:type="dxa"/>
            <w:noWrap/>
            <w:vAlign w:val="center"/>
            <w:hideMark/>
          </w:tcPr>
          <w:p w14:paraId="2F7A2324" w14:textId="77777777" w:rsidR="00345F90" w:rsidRPr="00540E2B" w:rsidRDefault="00345F90" w:rsidP="00676757">
            <w:pPr>
              <w:spacing w:line="360" w:lineRule="auto"/>
              <w:jc w:val="center"/>
              <w:rPr>
                <w:rFonts w:ascii="Times New Roman" w:hAnsi="Times New Roman" w:cs="Times New Roman"/>
                <w:sz w:val="24"/>
                <w:szCs w:val="24"/>
              </w:rPr>
            </w:pPr>
            <w:r w:rsidRPr="00540E2B">
              <w:rPr>
                <w:rFonts w:ascii="Times New Roman" w:hAnsi="Times New Roman" w:cs="Times New Roman"/>
                <w:sz w:val="24"/>
                <w:szCs w:val="24"/>
              </w:rPr>
              <w:t>3</w:t>
            </w:r>
          </w:p>
        </w:tc>
        <w:tc>
          <w:tcPr>
            <w:tcW w:w="1344" w:type="dxa"/>
            <w:noWrap/>
            <w:vAlign w:val="center"/>
          </w:tcPr>
          <w:p w14:paraId="7BA2DA44" w14:textId="77777777" w:rsidR="00345F90" w:rsidRPr="00D9152F" w:rsidRDefault="00345F90" w:rsidP="00676757">
            <w:pPr>
              <w:spacing w:line="360" w:lineRule="auto"/>
              <w:jc w:val="center"/>
              <w:rPr>
                <w:rFonts w:ascii="Times New Roman" w:hAnsi="Times New Roman" w:cs="Times New Roman"/>
                <w:sz w:val="24"/>
                <w:szCs w:val="24"/>
              </w:rPr>
            </w:pPr>
            <w:r w:rsidRPr="00D9152F">
              <w:rPr>
                <w:rFonts w:ascii="Times New Roman" w:hAnsi="Times New Roman" w:cs="Times New Roman"/>
                <w:sz w:val="24"/>
                <w:szCs w:val="24"/>
              </w:rPr>
              <w:t>S</w:t>
            </w:r>
          </w:p>
        </w:tc>
      </w:tr>
      <w:tr w:rsidR="00345F90" w:rsidRPr="00540E2B" w14:paraId="777FE109" w14:textId="77777777" w:rsidTr="00676757">
        <w:trPr>
          <w:trHeight w:val="360"/>
        </w:trPr>
        <w:tc>
          <w:tcPr>
            <w:tcW w:w="847" w:type="dxa"/>
            <w:noWrap/>
            <w:vAlign w:val="bottom"/>
            <w:hideMark/>
          </w:tcPr>
          <w:p w14:paraId="562C7FCE" w14:textId="77777777" w:rsidR="00345F90" w:rsidRPr="00540E2B" w:rsidRDefault="00345F90" w:rsidP="00676757">
            <w:pPr>
              <w:spacing w:line="360" w:lineRule="auto"/>
              <w:jc w:val="center"/>
              <w:rPr>
                <w:rFonts w:ascii="Times New Roman" w:hAnsi="Times New Roman" w:cs="Times New Roman"/>
                <w:sz w:val="24"/>
                <w:szCs w:val="24"/>
              </w:rPr>
            </w:pPr>
            <w:r w:rsidRPr="00083211">
              <w:rPr>
                <w:rFonts w:ascii="Times New Roman" w:hAnsi="Times New Roman" w:cs="Times New Roman"/>
                <w:sz w:val="24"/>
                <w:szCs w:val="24"/>
              </w:rPr>
              <w:t>T₆</w:t>
            </w:r>
          </w:p>
        </w:tc>
        <w:tc>
          <w:tcPr>
            <w:tcW w:w="3225" w:type="dxa"/>
            <w:noWrap/>
            <w:hideMark/>
          </w:tcPr>
          <w:p w14:paraId="042FE63E" w14:textId="77777777" w:rsidR="00345F90" w:rsidRPr="00540E2B" w:rsidRDefault="00345F90" w:rsidP="00676757">
            <w:pPr>
              <w:spacing w:line="360" w:lineRule="auto"/>
              <w:rPr>
                <w:rFonts w:ascii="Times New Roman" w:hAnsi="Times New Roman" w:cs="Times New Roman"/>
                <w:sz w:val="24"/>
                <w:szCs w:val="24"/>
              </w:rPr>
            </w:pPr>
            <w:proofErr w:type="spellStart"/>
            <w:r w:rsidRPr="00540E2B">
              <w:rPr>
                <w:rFonts w:ascii="Times New Roman" w:hAnsi="Times New Roman" w:cs="Times New Roman"/>
                <w:sz w:val="24"/>
                <w:szCs w:val="24"/>
              </w:rPr>
              <w:t>Kresoxim</w:t>
            </w:r>
            <w:proofErr w:type="spellEnd"/>
            <w:r w:rsidRPr="00540E2B">
              <w:rPr>
                <w:rFonts w:ascii="Times New Roman" w:hAnsi="Times New Roman" w:cs="Times New Roman"/>
                <w:sz w:val="24"/>
                <w:szCs w:val="24"/>
              </w:rPr>
              <w:t xml:space="preserve"> methyl 18% +Mancozeb 54% WP </w:t>
            </w:r>
          </w:p>
        </w:tc>
        <w:tc>
          <w:tcPr>
            <w:tcW w:w="1487" w:type="dxa"/>
            <w:noWrap/>
            <w:vAlign w:val="center"/>
            <w:hideMark/>
          </w:tcPr>
          <w:p w14:paraId="3CA09B49" w14:textId="77777777" w:rsidR="00345F90" w:rsidRPr="00540E2B" w:rsidRDefault="00345F90" w:rsidP="00676757">
            <w:pPr>
              <w:spacing w:line="360" w:lineRule="auto"/>
              <w:jc w:val="center"/>
              <w:rPr>
                <w:rFonts w:ascii="Times New Roman" w:hAnsi="Times New Roman" w:cs="Times New Roman"/>
                <w:sz w:val="24"/>
                <w:szCs w:val="24"/>
              </w:rPr>
            </w:pPr>
            <w:r w:rsidRPr="00540E2B">
              <w:rPr>
                <w:rFonts w:ascii="Times New Roman" w:hAnsi="Times New Roman" w:cs="Times New Roman"/>
                <w:sz w:val="24"/>
                <w:szCs w:val="24"/>
              </w:rPr>
              <w:t>0.3</w:t>
            </w:r>
          </w:p>
        </w:tc>
        <w:tc>
          <w:tcPr>
            <w:tcW w:w="2472" w:type="dxa"/>
            <w:noWrap/>
            <w:vAlign w:val="center"/>
            <w:hideMark/>
          </w:tcPr>
          <w:p w14:paraId="78721349" w14:textId="77777777" w:rsidR="00345F90" w:rsidRPr="00540E2B" w:rsidRDefault="00345F90" w:rsidP="00676757">
            <w:pPr>
              <w:spacing w:line="360" w:lineRule="auto"/>
              <w:jc w:val="center"/>
              <w:rPr>
                <w:rFonts w:ascii="Times New Roman" w:hAnsi="Times New Roman" w:cs="Times New Roman"/>
                <w:sz w:val="24"/>
                <w:szCs w:val="24"/>
              </w:rPr>
            </w:pPr>
            <w:r w:rsidRPr="00540E2B">
              <w:rPr>
                <w:rFonts w:ascii="Times New Roman" w:hAnsi="Times New Roman" w:cs="Times New Roman"/>
                <w:sz w:val="24"/>
                <w:szCs w:val="24"/>
              </w:rPr>
              <w:t>1.33</w:t>
            </w:r>
          </w:p>
        </w:tc>
        <w:tc>
          <w:tcPr>
            <w:tcW w:w="1344" w:type="dxa"/>
            <w:noWrap/>
            <w:vAlign w:val="center"/>
          </w:tcPr>
          <w:p w14:paraId="4B5ADA92" w14:textId="77777777" w:rsidR="00345F90" w:rsidRPr="00D9152F" w:rsidRDefault="00345F90" w:rsidP="00676757">
            <w:pPr>
              <w:spacing w:line="360" w:lineRule="auto"/>
              <w:jc w:val="center"/>
              <w:rPr>
                <w:rFonts w:ascii="Times New Roman" w:hAnsi="Times New Roman" w:cs="Times New Roman"/>
                <w:sz w:val="24"/>
                <w:szCs w:val="24"/>
              </w:rPr>
            </w:pPr>
            <w:r w:rsidRPr="00D9152F">
              <w:rPr>
                <w:rFonts w:ascii="Times New Roman" w:hAnsi="Times New Roman" w:cs="Times New Roman"/>
                <w:sz w:val="24"/>
                <w:szCs w:val="24"/>
              </w:rPr>
              <w:t>MR</w:t>
            </w:r>
          </w:p>
        </w:tc>
      </w:tr>
      <w:tr w:rsidR="00345F90" w:rsidRPr="00540E2B" w14:paraId="312AB205" w14:textId="77777777" w:rsidTr="00676757">
        <w:trPr>
          <w:trHeight w:val="360"/>
        </w:trPr>
        <w:tc>
          <w:tcPr>
            <w:tcW w:w="847" w:type="dxa"/>
            <w:noWrap/>
            <w:vAlign w:val="bottom"/>
            <w:hideMark/>
          </w:tcPr>
          <w:p w14:paraId="7FE919D7" w14:textId="77777777" w:rsidR="00345F90" w:rsidRPr="00540E2B" w:rsidRDefault="00345F90" w:rsidP="00676757">
            <w:pPr>
              <w:spacing w:line="360" w:lineRule="auto"/>
              <w:jc w:val="center"/>
              <w:rPr>
                <w:rFonts w:ascii="Times New Roman" w:hAnsi="Times New Roman" w:cs="Times New Roman"/>
                <w:sz w:val="24"/>
                <w:szCs w:val="24"/>
              </w:rPr>
            </w:pPr>
            <w:r w:rsidRPr="00083211">
              <w:rPr>
                <w:rFonts w:ascii="Times New Roman" w:hAnsi="Times New Roman" w:cs="Times New Roman"/>
                <w:sz w:val="24"/>
                <w:szCs w:val="24"/>
              </w:rPr>
              <w:t>T₇</w:t>
            </w:r>
          </w:p>
        </w:tc>
        <w:tc>
          <w:tcPr>
            <w:tcW w:w="3225" w:type="dxa"/>
            <w:noWrap/>
            <w:hideMark/>
          </w:tcPr>
          <w:p w14:paraId="2C914BD0" w14:textId="77777777" w:rsidR="00345F90" w:rsidRPr="00540E2B" w:rsidRDefault="00345F90" w:rsidP="00676757">
            <w:pPr>
              <w:spacing w:line="360" w:lineRule="auto"/>
              <w:rPr>
                <w:rFonts w:ascii="Times New Roman" w:hAnsi="Times New Roman" w:cs="Times New Roman"/>
                <w:sz w:val="24"/>
                <w:szCs w:val="24"/>
              </w:rPr>
            </w:pPr>
            <w:r w:rsidRPr="00540E2B">
              <w:rPr>
                <w:rFonts w:ascii="Times New Roman" w:hAnsi="Times New Roman" w:cs="Times New Roman"/>
                <w:sz w:val="24"/>
                <w:szCs w:val="24"/>
              </w:rPr>
              <w:t xml:space="preserve">Potassium salt of Phosphoric acid  </w:t>
            </w:r>
          </w:p>
        </w:tc>
        <w:tc>
          <w:tcPr>
            <w:tcW w:w="1487" w:type="dxa"/>
            <w:noWrap/>
            <w:vAlign w:val="center"/>
            <w:hideMark/>
          </w:tcPr>
          <w:p w14:paraId="5D162408" w14:textId="77777777" w:rsidR="00345F90" w:rsidRPr="00540E2B" w:rsidRDefault="00345F90" w:rsidP="00676757">
            <w:pPr>
              <w:spacing w:line="360" w:lineRule="auto"/>
              <w:jc w:val="center"/>
              <w:rPr>
                <w:rFonts w:ascii="Times New Roman" w:hAnsi="Times New Roman" w:cs="Times New Roman"/>
                <w:sz w:val="24"/>
                <w:szCs w:val="24"/>
              </w:rPr>
            </w:pPr>
            <w:r w:rsidRPr="00540E2B">
              <w:rPr>
                <w:rFonts w:ascii="Times New Roman" w:hAnsi="Times New Roman" w:cs="Times New Roman"/>
                <w:sz w:val="24"/>
                <w:szCs w:val="24"/>
              </w:rPr>
              <w:t>0.4</w:t>
            </w:r>
          </w:p>
        </w:tc>
        <w:tc>
          <w:tcPr>
            <w:tcW w:w="2472" w:type="dxa"/>
            <w:noWrap/>
            <w:vAlign w:val="center"/>
            <w:hideMark/>
          </w:tcPr>
          <w:p w14:paraId="35712CF6" w14:textId="77777777" w:rsidR="00345F90" w:rsidRPr="00540E2B" w:rsidRDefault="00345F90" w:rsidP="00676757">
            <w:pPr>
              <w:spacing w:line="360" w:lineRule="auto"/>
              <w:jc w:val="center"/>
              <w:rPr>
                <w:rFonts w:ascii="Times New Roman" w:hAnsi="Times New Roman" w:cs="Times New Roman"/>
                <w:sz w:val="24"/>
                <w:szCs w:val="24"/>
              </w:rPr>
            </w:pPr>
            <w:r w:rsidRPr="00540E2B">
              <w:rPr>
                <w:rFonts w:ascii="Times New Roman" w:hAnsi="Times New Roman" w:cs="Times New Roman"/>
                <w:sz w:val="24"/>
                <w:szCs w:val="24"/>
              </w:rPr>
              <w:t>3.33</w:t>
            </w:r>
          </w:p>
        </w:tc>
        <w:tc>
          <w:tcPr>
            <w:tcW w:w="1344" w:type="dxa"/>
            <w:noWrap/>
            <w:vAlign w:val="center"/>
          </w:tcPr>
          <w:p w14:paraId="51D69BFA" w14:textId="77777777" w:rsidR="00345F90" w:rsidRPr="00D9152F" w:rsidRDefault="00345F90" w:rsidP="00676757">
            <w:pPr>
              <w:spacing w:line="360" w:lineRule="auto"/>
              <w:jc w:val="center"/>
              <w:rPr>
                <w:rFonts w:ascii="Times New Roman" w:hAnsi="Times New Roman" w:cs="Times New Roman"/>
                <w:sz w:val="24"/>
                <w:szCs w:val="24"/>
              </w:rPr>
            </w:pPr>
            <w:r w:rsidRPr="00D9152F">
              <w:rPr>
                <w:rFonts w:ascii="Times New Roman" w:hAnsi="Times New Roman" w:cs="Times New Roman"/>
                <w:sz w:val="24"/>
                <w:szCs w:val="24"/>
              </w:rPr>
              <w:t>HS</w:t>
            </w:r>
          </w:p>
        </w:tc>
      </w:tr>
      <w:tr w:rsidR="00345F90" w:rsidRPr="00540E2B" w14:paraId="045ED598" w14:textId="77777777" w:rsidTr="00676757">
        <w:trPr>
          <w:trHeight w:val="360"/>
        </w:trPr>
        <w:tc>
          <w:tcPr>
            <w:tcW w:w="847" w:type="dxa"/>
            <w:noWrap/>
            <w:vAlign w:val="bottom"/>
            <w:hideMark/>
          </w:tcPr>
          <w:p w14:paraId="4DFC2862" w14:textId="77777777" w:rsidR="00345F90" w:rsidRPr="00540E2B" w:rsidRDefault="00345F90" w:rsidP="00676757">
            <w:pPr>
              <w:spacing w:line="360" w:lineRule="auto"/>
              <w:jc w:val="center"/>
              <w:rPr>
                <w:rFonts w:ascii="Times New Roman" w:hAnsi="Times New Roman" w:cs="Times New Roman"/>
                <w:sz w:val="24"/>
                <w:szCs w:val="24"/>
              </w:rPr>
            </w:pPr>
            <w:r w:rsidRPr="00083211">
              <w:rPr>
                <w:rFonts w:ascii="Times New Roman" w:hAnsi="Times New Roman" w:cs="Times New Roman"/>
                <w:sz w:val="24"/>
                <w:szCs w:val="24"/>
              </w:rPr>
              <w:t>T₈</w:t>
            </w:r>
          </w:p>
        </w:tc>
        <w:tc>
          <w:tcPr>
            <w:tcW w:w="3225" w:type="dxa"/>
            <w:noWrap/>
            <w:hideMark/>
          </w:tcPr>
          <w:p w14:paraId="5DA604C7" w14:textId="77777777" w:rsidR="00345F90" w:rsidRPr="00540E2B" w:rsidRDefault="00345F90" w:rsidP="00676757">
            <w:pPr>
              <w:spacing w:line="360" w:lineRule="auto"/>
              <w:jc w:val="both"/>
              <w:rPr>
                <w:rFonts w:ascii="Times New Roman" w:hAnsi="Times New Roman" w:cs="Times New Roman"/>
                <w:sz w:val="24"/>
                <w:szCs w:val="24"/>
              </w:rPr>
            </w:pPr>
            <w:r w:rsidRPr="00540E2B">
              <w:rPr>
                <w:rFonts w:ascii="Times New Roman" w:hAnsi="Times New Roman" w:cs="Times New Roman"/>
                <w:sz w:val="24"/>
                <w:szCs w:val="24"/>
              </w:rPr>
              <w:t>Control (water spray)</w:t>
            </w:r>
          </w:p>
        </w:tc>
        <w:tc>
          <w:tcPr>
            <w:tcW w:w="1487" w:type="dxa"/>
            <w:noWrap/>
            <w:vAlign w:val="center"/>
            <w:hideMark/>
          </w:tcPr>
          <w:p w14:paraId="45122394" w14:textId="77777777" w:rsidR="00345F90" w:rsidRPr="00540E2B" w:rsidRDefault="00345F90" w:rsidP="00676757">
            <w:pPr>
              <w:spacing w:line="360" w:lineRule="auto"/>
              <w:jc w:val="center"/>
              <w:rPr>
                <w:rFonts w:ascii="Times New Roman" w:hAnsi="Times New Roman" w:cs="Times New Roman"/>
                <w:sz w:val="24"/>
                <w:szCs w:val="24"/>
              </w:rPr>
            </w:pPr>
          </w:p>
        </w:tc>
        <w:tc>
          <w:tcPr>
            <w:tcW w:w="2472" w:type="dxa"/>
            <w:noWrap/>
            <w:vAlign w:val="center"/>
            <w:hideMark/>
          </w:tcPr>
          <w:p w14:paraId="63EBC413" w14:textId="77777777" w:rsidR="00345F90" w:rsidRPr="00540E2B" w:rsidRDefault="00345F90" w:rsidP="00676757">
            <w:pPr>
              <w:spacing w:line="360" w:lineRule="auto"/>
              <w:jc w:val="center"/>
              <w:rPr>
                <w:rFonts w:ascii="Times New Roman" w:hAnsi="Times New Roman" w:cs="Times New Roman"/>
                <w:sz w:val="24"/>
                <w:szCs w:val="24"/>
              </w:rPr>
            </w:pPr>
            <w:r w:rsidRPr="00540E2B">
              <w:rPr>
                <w:rFonts w:ascii="Times New Roman" w:hAnsi="Times New Roman" w:cs="Times New Roman"/>
                <w:sz w:val="24"/>
                <w:szCs w:val="24"/>
              </w:rPr>
              <w:t>3.66</w:t>
            </w:r>
          </w:p>
        </w:tc>
        <w:tc>
          <w:tcPr>
            <w:tcW w:w="1344" w:type="dxa"/>
            <w:noWrap/>
            <w:vAlign w:val="center"/>
          </w:tcPr>
          <w:p w14:paraId="66CDE88A" w14:textId="77777777" w:rsidR="00345F90" w:rsidRPr="00D9152F" w:rsidRDefault="00345F90" w:rsidP="00676757">
            <w:pPr>
              <w:spacing w:line="360" w:lineRule="auto"/>
              <w:jc w:val="center"/>
              <w:rPr>
                <w:rFonts w:ascii="Times New Roman" w:hAnsi="Times New Roman" w:cs="Times New Roman"/>
                <w:sz w:val="24"/>
                <w:szCs w:val="24"/>
              </w:rPr>
            </w:pPr>
            <w:r w:rsidRPr="00D9152F">
              <w:rPr>
                <w:rFonts w:ascii="Times New Roman" w:hAnsi="Times New Roman" w:cs="Times New Roman"/>
                <w:sz w:val="24"/>
                <w:szCs w:val="24"/>
              </w:rPr>
              <w:t>HS</w:t>
            </w:r>
          </w:p>
        </w:tc>
      </w:tr>
      <w:tr w:rsidR="00345F90" w:rsidRPr="00540E2B" w14:paraId="1A38B22E" w14:textId="77777777" w:rsidTr="00676757">
        <w:trPr>
          <w:trHeight w:val="360"/>
        </w:trPr>
        <w:tc>
          <w:tcPr>
            <w:tcW w:w="9378" w:type="dxa"/>
            <w:gridSpan w:val="5"/>
            <w:noWrap/>
            <w:vAlign w:val="bottom"/>
          </w:tcPr>
          <w:p w14:paraId="4534EB6E" w14:textId="77777777" w:rsidR="00345F90" w:rsidRPr="00D9152F" w:rsidRDefault="00345F90" w:rsidP="00676757">
            <w:pPr>
              <w:spacing w:line="360" w:lineRule="auto"/>
              <w:rPr>
                <w:rFonts w:ascii="Times New Roman" w:hAnsi="Times New Roman" w:cs="Times New Roman"/>
                <w:sz w:val="24"/>
                <w:szCs w:val="24"/>
              </w:rPr>
            </w:pPr>
            <w:r>
              <w:rPr>
                <w:rFonts w:ascii="Times New Roman" w:hAnsi="Times New Roman" w:cs="Times New Roman"/>
                <w:sz w:val="24"/>
                <w:szCs w:val="24"/>
              </w:rPr>
              <w:t>MR=Moderately Resistant, R=Resistant, S=Susceptible, HS=Highly Susceptible</w:t>
            </w:r>
          </w:p>
        </w:tc>
      </w:tr>
    </w:tbl>
    <w:p w14:paraId="0C1852AD" w14:textId="355C3A79" w:rsidR="00345F90" w:rsidRDefault="004817E1" w:rsidP="00345F90">
      <w:pPr>
        <w:spacing w:line="360" w:lineRule="auto"/>
        <w:jc w:val="both"/>
        <w:rPr>
          <w:rFonts w:ascii="Times New Roman" w:hAnsi="Times New Roman" w:cs="Times New Roman"/>
          <w:sz w:val="24"/>
          <w:szCs w:val="24"/>
        </w:rPr>
      </w:pPr>
      <w:r w:rsidRPr="00BD59CB">
        <w:rPr>
          <w:rFonts w:ascii="Times New Roman" w:hAnsi="Times New Roman" w:cs="Times New Roman"/>
          <w:noProof/>
          <w:sz w:val="24"/>
          <w:szCs w:val="24"/>
        </w:rPr>
        <w:lastRenderedPageBreak/>
        <w:drawing>
          <wp:anchor distT="0" distB="0" distL="114300" distR="114300" simplePos="0" relativeHeight="251671552" behindDoc="0" locked="0" layoutInCell="1" allowOverlap="1" wp14:anchorId="2E6E7CEA" wp14:editId="6C640ABA">
            <wp:simplePos x="0" y="0"/>
            <wp:positionH relativeFrom="margin">
              <wp:posOffset>1615725</wp:posOffset>
            </wp:positionH>
            <wp:positionV relativeFrom="paragraph">
              <wp:posOffset>128183</wp:posOffset>
            </wp:positionV>
            <wp:extent cx="2451100" cy="3268345"/>
            <wp:effectExtent l="0" t="0" r="6350" b="8255"/>
            <wp:wrapThrough wrapText="bothSides">
              <wp:wrapPolygon edited="0">
                <wp:start x="0" y="0"/>
                <wp:lineTo x="0" y="21529"/>
                <wp:lineTo x="21488" y="21529"/>
                <wp:lineTo x="21488" y="0"/>
                <wp:lineTo x="0" y="0"/>
              </wp:wrapPolygon>
            </wp:wrapThrough>
            <wp:docPr id="4" name="Picture 3">
              <a:extLst xmlns:a="http://schemas.openxmlformats.org/drawingml/2006/main">
                <a:ext uri="{FF2B5EF4-FFF2-40B4-BE49-F238E27FC236}">
                  <a16:creationId xmlns:a16="http://schemas.microsoft.com/office/drawing/2014/main" id="{E865F95E-F881-4623-3601-A8C0FB0D2A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E865F95E-F881-4623-3601-A8C0FB0D2AA5}"/>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51100" cy="3268345"/>
                    </a:xfrm>
                    <a:prstGeom prst="rect">
                      <a:avLst/>
                    </a:prstGeom>
                  </pic:spPr>
                </pic:pic>
              </a:graphicData>
            </a:graphic>
            <wp14:sizeRelH relativeFrom="margin">
              <wp14:pctWidth>0</wp14:pctWidth>
            </wp14:sizeRelH>
            <wp14:sizeRelV relativeFrom="margin">
              <wp14:pctHeight>0</wp14:pctHeight>
            </wp14:sizeRelV>
          </wp:anchor>
        </w:drawing>
      </w:r>
    </w:p>
    <w:p w14:paraId="0B8F930B" w14:textId="77777777" w:rsidR="004817E1" w:rsidRDefault="004817E1" w:rsidP="00345F90">
      <w:pPr>
        <w:spacing w:line="360" w:lineRule="auto"/>
        <w:ind w:firstLine="720"/>
        <w:jc w:val="both"/>
        <w:rPr>
          <w:rFonts w:ascii="Times New Roman" w:hAnsi="Times New Roman" w:cs="Times New Roman"/>
          <w:sz w:val="24"/>
          <w:szCs w:val="24"/>
        </w:rPr>
      </w:pPr>
    </w:p>
    <w:p w14:paraId="4FC71F66" w14:textId="77777777" w:rsidR="004817E1" w:rsidRDefault="004817E1" w:rsidP="00345F90">
      <w:pPr>
        <w:spacing w:line="360" w:lineRule="auto"/>
        <w:ind w:firstLine="720"/>
        <w:jc w:val="both"/>
        <w:rPr>
          <w:rFonts w:ascii="Times New Roman" w:hAnsi="Times New Roman" w:cs="Times New Roman"/>
          <w:sz w:val="24"/>
          <w:szCs w:val="24"/>
        </w:rPr>
      </w:pPr>
    </w:p>
    <w:p w14:paraId="66520382" w14:textId="77777777" w:rsidR="004817E1" w:rsidRDefault="004817E1" w:rsidP="00345F90">
      <w:pPr>
        <w:spacing w:line="360" w:lineRule="auto"/>
        <w:ind w:firstLine="720"/>
        <w:jc w:val="both"/>
        <w:rPr>
          <w:rFonts w:ascii="Times New Roman" w:hAnsi="Times New Roman" w:cs="Times New Roman"/>
          <w:sz w:val="24"/>
          <w:szCs w:val="24"/>
        </w:rPr>
      </w:pPr>
    </w:p>
    <w:p w14:paraId="67B33889" w14:textId="77777777" w:rsidR="004817E1" w:rsidRDefault="004817E1" w:rsidP="00345F90">
      <w:pPr>
        <w:spacing w:line="360" w:lineRule="auto"/>
        <w:ind w:firstLine="720"/>
        <w:jc w:val="both"/>
        <w:rPr>
          <w:rFonts w:ascii="Times New Roman" w:hAnsi="Times New Roman" w:cs="Times New Roman"/>
          <w:sz w:val="24"/>
          <w:szCs w:val="24"/>
        </w:rPr>
      </w:pPr>
    </w:p>
    <w:p w14:paraId="72FDB632" w14:textId="77777777" w:rsidR="004817E1" w:rsidRDefault="004817E1" w:rsidP="00345F90">
      <w:pPr>
        <w:spacing w:line="360" w:lineRule="auto"/>
        <w:ind w:firstLine="720"/>
        <w:jc w:val="both"/>
        <w:rPr>
          <w:rFonts w:ascii="Times New Roman" w:hAnsi="Times New Roman" w:cs="Times New Roman"/>
          <w:sz w:val="24"/>
          <w:szCs w:val="24"/>
        </w:rPr>
      </w:pPr>
    </w:p>
    <w:p w14:paraId="5FC9C8C6" w14:textId="77777777" w:rsidR="004817E1" w:rsidRDefault="004817E1" w:rsidP="00345F90">
      <w:pPr>
        <w:spacing w:line="360" w:lineRule="auto"/>
        <w:ind w:firstLine="720"/>
        <w:jc w:val="both"/>
        <w:rPr>
          <w:rFonts w:ascii="Times New Roman" w:hAnsi="Times New Roman" w:cs="Times New Roman"/>
          <w:sz w:val="24"/>
          <w:szCs w:val="24"/>
        </w:rPr>
      </w:pPr>
    </w:p>
    <w:p w14:paraId="2F0C14C4" w14:textId="77777777" w:rsidR="004817E1" w:rsidRDefault="004817E1" w:rsidP="00345F90">
      <w:pPr>
        <w:spacing w:line="360" w:lineRule="auto"/>
        <w:ind w:firstLine="720"/>
        <w:jc w:val="both"/>
        <w:rPr>
          <w:rFonts w:ascii="Times New Roman" w:hAnsi="Times New Roman" w:cs="Times New Roman"/>
          <w:sz w:val="24"/>
          <w:szCs w:val="24"/>
        </w:rPr>
      </w:pPr>
    </w:p>
    <w:p w14:paraId="03A8115B" w14:textId="77777777" w:rsidR="004817E1" w:rsidRDefault="004817E1" w:rsidP="00345F90">
      <w:pPr>
        <w:spacing w:line="360" w:lineRule="auto"/>
        <w:ind w:firstLine="720"/>
        <w:jc w:val="both"/>
        <w:rPr>
          <w:rFonts w:ascii="Times New Roman" w:hAnsi="Times New Roman" w:cs="Times New Roman"/>
          <w:sz w:val="24"/>
          <w:szCs w:val="24"/>
        </w:rPr>
      </w:pPr>
    </w:p>
    <w:p w14:paraId="6A036588" w14:textId="7AC44202" w:rsidR="004817E1" w:rsidRPr="00374796" w:rsidRDefault="004817E1" w:rsidP="00374796">
      <w:pPr>
        <w:spacing w:line="360" w:lineRule="auto"/>
        <w:jc w:val="both"/>
        <w:rPr>
          <w:rFonts w:ascii="Times New Roman" w:hAnsi="Times New Roman" w:cs="Times New Roman"/>
          <w:sz w:val="24"/>
          <w:szCs w:val="24"/>
          <w:lang w:val="en-GB"/>
        </w:rPr>
      </w:pPr>
      <w:r w:rsidRPr="004817E1">
        <w:rPr>
          <w:rFonts w:ascii="Times New Roman" w:hAnsi="Times New Roman" w:cs="Times New Roman"/>
          <w:b/>
          <w:bCs/>
          <w:sz w:val="24"/>
          <w:szCs w:val="24"/>
        </w:rPr>
        <w:t xml:space="preserve">Plate </w:t>
      </w:r>
      <w:r>
        <w:rPr>
          <w:rFonts w:ascii="Times New Roman" w:hAnsi="Times New Roman" w:cs="Times New Roman"/>
          <w:b/>
          <w:bCs/>
          <w:sz w:val="24"/>
          <w:szCs w:val="24"/>
        </w:rPr>
        <w:t>2</w:t>
      </w:r>
      <w:r w:rsidRPr="004817E1">
        <w:rPr>
          <w:rFonts w:ascii="Times New Roman" w:hAnsi="Times New Roman" w:cs="Times New Roman"/>
          <w:b/>
          <w:bCs/>
          <w:sz w:val="24"/>
          <w:szCs w:val="24"/>
        </w:rPr>
        <w:t xml:space="preserve">. </w:t>
      </w:r>
      <w:r w:rsidRPr="004817E1">
        <w:rPr>
          <w:rFonts w:ascii="Times New Roman" w:hAnsi="Times New Roman" w:cs="Times New Roman"/>
          <w:sz w:val="24"/>
          <w:szCs w:val="24"/>
        </w:rPr>
        <w:t xml:space="preserve">Management of Powdery mildew with fungicides/chemicals in </w:t>
      </w:r>
      <w:r w:rsidR="003760C6" w:rsidRPr="003760C6">
        <w:rPr>
          <w:rFonts w:ascii="Times New Roman" w:hAnsi="Times New Roman" w:cs="Times New Roman"/>
          <w:i/>
          <w:iCs/>
          <w:sz w:val="24"/>
          <w:szCs w:val="24"/>
        </w:rPr>
        <w:t>in vitro</w:t>
      </w:r>
      <w:r w:rsidRPr="004817E1">
        <w:rPr>
          <w:rFonts w:ascii="Times New Roman" w:hAnsi="Times New Roman" w:cs="Times New Roman"/>
          <w:sz w:val="24"/>
          <w:szCs w:val="24"/>
        </w:rPr>
        <w:t xml:space="preserve"> conditions.</w:t>
      </w:r>
    </w:p>
    <w:p w14:paraId="1C2860A9" w14:textId="15B8B4F9" w:rsidR="00345F90" w:rsidRDefault="00345F90" w:rsidP="00345F90">
      <w:pPr>
        <w:spacing w:line="360" w:lineRule="auto"/>
        <w:ind w:firstLine="720"/>
        <w:jc w:val="both"/>
        <w:rPr>
          <w:rFonts w:ascii="Times New Roman" w:hAnsi="Times New Roman" w:cs="Times New Roman"/>
          <w:sz w:val="24"/>
          <w:szCs w:val="24"/>
        </w:rPr>
      </w:pPr>
      <w:r w:rsidRPr="00EF620F">
        <w:rPr>
          <w:rFonts w:ascii="Times New Roman" w:hAnsi="Times New Roman" w:cs="Times New Roman"/>
          <w:sz w:val="24"/>
          <w:szCs w:val="24"/>
        </w:rPr>
        <w:t xml:space="preserve">Treatments </w:t>
      </w:r>
      <w:r w:rsidRPr="00083211">
        <w:rPr>
          <w:rFonts w:ascii="Times New Roman" w:hAnsi="Times New Roman" w:cs="Times New Roman"/>
          <w:sz w:val="24"/>
          <w:szCs w:val="24"/>
        </w:rPr>
        <w:t>T₃</w:t>
      </w:r>
      <w:r w:rsidRPr="00EF620F">
        <w:rPr>
          <w:rFonts w:ascii="Times New Roman" w:hAnsi="Times New Roman" w:cs="Times New Roman"/>
          <w:sz w:val="24"/>
          <w:szCs w:val="24"/>
        </w:rPr>
        <w:t xml:space="preserve"> (0.15%) and </w:t>
      </w:r>
      <w:r w:rsidRPr="00083211">
        <w:rPr>
          <w:rFonts w:ascii="Times New Roman" w:hAnsi="Times New Roman" w:cs="Times New Roman"/>
          <w:sz w:val="24"/>
          <w:szCs w:val="24"/>
        </w:rPr>
        <w:t>T₆</w:t>
      </w:r>
      <w:r w:rsidRPr="00EF620F">
        <w:rPr>
          <w:rFonts w:ascii="Times New Roman" w:hAnsi="Times New Roman" w:cs="Times New Roman"/>
          <w:sz w:val="24"/>
          <w:szCs w:val="24"/>
        </w:rPr>
        <w:t xml:space="preserve"> (0.30%) had the lowest disease severities (1.00 and 1.33) indicating high fungicidal effectiveness. In contrast, </w:t>
      </w:r>
      <w:r w:rsidRPr="00083211">
        <w:rPr>
          <w:rFonts w:ascii="Times New Roman" w:hAnsi="Times New Roman" w:cs="Times New Roman"/>
          <w:sz w:val="24"/>
          <w:szCs w:val="24"/>
        </w:rPr>
        <w:t>T₄</w:t>
      </w:r>
      <w:r w:rsidRPr="00EF620F">
        <w:rPr>
          <w:rFonts w:ascii="Times New Roman" w:hAnsi="Times New Roman" w:cs="Times New Roman"/>
          <w:sz w:val="24"/>
          <w:szCs w:val="24"/>
        </w:rPr>
        <w:t xml:space="preserve">, </w:t>
      </w:r>
      <w:r w:rsidRPr="00083211">
        <w:rPr>
          <w:rFonts w:ascii="Times New Roman" w:hAnsi="Times New Roman" w:cs="Times New Roman"/>
          <w:sz w:val="24"/>
          <w:szCs w:val="24"/>
        </w:rPr>
        <w:t>T₅</w:t>
      </w:r>
      <w:r w:rsidRPr="00EF620F">
        <w:rPr>
          <w:rFonts w:ascii="Times New Roman" w:hAnsi="Times New Roman" w:cs="Times New Roman"/>
          <w:sz w:val="24"/>
          <w:szCs w:val="24"/>
        </w:rPr>
        <w:t xml:space="preserve">, </w:t>
      </w:r>
      <w:r w:rsidRPr="00083211">
        <w:rPr>
          <w:rFonts w:ascii="Times New Roman" w:hAnsi="Times New Roman" w:cs="Times New Roman"/>
          <w:sz w:val="24"/>
          <w:szCs w:val="24"/>
        </w:rPr>
        <w:t>T₇</w:t>
      </w:r>
      <w:r w:rsidRPr="00EF620F">
        <w:rPr>
          <w:rFonts w:ascii="Times New Roman" w:hAnsi="Times New Roman" w:cs="Times New Roman"/>
          <w:sz w:val="24"/>
          <w:szCs w:val="24"/>
        </w:rPr>
        <w:t xml:space="preserve">, and the control </w:t>
      </w:r>
      <w:r w:rsidRPr="00083211">
        <w:rPr>
          <w:rFonts w:ascii="Times New Roman" w:hAnsi="Times New Roman" w:cs="Times New Roman"/>
          <w:sz w:val="24"/>
          <w:szCs w:val="24"/>
        </w:rPr>
        <w:t>T₈</w:t>
      </w:r>
      <w:r w:rsidRPr="00EF620F">
        <w:rPr>
          <w:rFonts w:ascii="Times New Roman" w:hAnsi="Times New Roman" w:cs="Times New Roman"/>
          <w:sz w:val="24"/>
          <w:szCs w:val="24"/>
        </w:rPr>
        <w:t xml:space="preserve"> had weak responses and higher severities (2.60 to 3.66), indicating poor control. Higher concentrations like </w:t>
      </w:r>
      <w:r w:rsidRPr="00083211">
        <w:rPr>
          <w:rFonts w:ascii="Times New Roman" w:hAnsi="Times New Roman" w:cs="Times New Roman"/>
          <w:sz w:val="24"/>
          <w:szCs w:val="24"/>
        </w:rPr>
        <w:t>T₅</w:t>
      </w:r>
      <w:r w:rsidRPr="00EF620F">
        <w:rPr>
          <w:rFonts w:ascii="Times New Roman" w:hAnsi="Times New Roman" w:cs="Times New Roman"/>
          <w:sz w:val="24"/>
          <w:szCs w:val="24"/>
        </w:rPr>
        <w:t xml:space="preserve"> (1.00%) and </w:t>
      </w:r>
      <w:r w:rsidRPr="00083211">
        <w:rPr>
          <w:rFonts w:ascii="Times New Roman" w:hAnsi="Times New Roman" w:cs="Times New Roman"/>
          <w:sz w:val="24"/>
          <w:szCs w:val="24"/>
        </w:rPr>
        <w:t>T₇</w:t>
      </w:r>
      <w:r w:rsidRPr="00EF620F">
        <w:rPr>
          <w:rFonts w:ascii="Times New Roman" w:hAnsi="Times New Roman" w:cs="Times New Roman"/>
          <w:sz w:val="24"/>
          <w:szCs w:val="24"/>
        </w:rPr>
        <w:t xml:space="preserve"> (0.40%) increased severities (3.00 and 3.33), suggesting reduced effectiveness. The untreated </w:t>
      </w:r>
      <w:r w:rsidRPr="00083211">
        <w:rPr>
          <w:rFonts w:ascii="Times New Roman" w:hAnsi="Times New Roman" w:cs="Times New Roman"/>
          <w:sz w:val="24"/>
          <w:szCs w:val="24"/>
        </w:rPr>
        <w:t>T₈</w:t>
      </w:r>
      <w:r w:rsidRPr="00EF620F">
        <w:rPr>
          <w:rFonts w:ascii="Times New Roman" w:hAnsi="Times New Roman" w:cs="Times New Roman"/>
          <w:sz w:val="24"/>
          <w:szCs w:val="24"/>
        </w:rPr>
        <w:t xml:space="preserve"> reached the highest severity (3.66), stressing the need for treatment. Concentrations of 0.15% to 0.30% seem best for improving control.</w:t>
      </w:r>
    </w:p>
    <w:p w14:paraId="2A083AC8" w14:textId="4BFDFBBA" w:rsidR="00366546" w:rsidRDefault="00366546" w:rsidP="00366546">
      <w:pPr>
        <w:ind w:firstLine="720"/>
        <w:jc w:val="both"/>
        <w:rPr>
          <w:rFonts w:ascii="Times New Roman" w:hAnsi="Times New Roman" w:cs="Times New Roman"/>
          <w:sz w:val="24"/>
          <w:szCs w:val="24"/>
        </w:rPr>
      </w:pPr>
      <w:r w:rsidRPr="00F14DE9">
        <w:rPr>
          <w:rFonts w:ascii="Times New Roman" w:hAnsi="Times New Roman" w:cs="Times New Roman"/>
          <w:sz w:val="24"/>
          <w:szCs w:val="24"/>
        </w:rPr>
        <w:t xml:space="preserve">These results are in conformity to the findings of several earlier workers. The fungicides  viz.,  Carbendazim 12%+ Mancozeb 63%, Azoxystrobin 4.8% w/w + Chlorothalonil 40% w/w SC, Azoxystrobin 11% w/w + Tebuconazole 18.3, Aureofungin 46.25 w/w SP, Copper sulphate 47.15 + Mancozeb 30% WDG,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+Mancozeb 54% WP and Potassium salt of </w:t>
      </w:r>
      <w:proofErr w:type="spellStart"/>
      <w:r w:rsidRPr="00F14DE9">
        <w:rPr>
          <w:rFonts w:ascii="Times New Roman" w:hAnsi="Times New Roman" w:cs="Times New Roman"/>
          <w:sz w:val="24"/>
          <w:szCs w:val="24"/>
        </w:rPr>
        <w:t>Phosphoeric</w:t>
      </w:r>
      <w:proofErr w:type="spellEnd"/>
      <w:r w:rsidRPr="00F14DE9">
        <w:rPr>
          <w:rFonts w:ascii="Times New Roman" w:hAnsi="Times New Roman" w:cs="Times New Roman"/>
          <w:sz w:val="24"/>
          <w:szCs w:val="24"/>
        </w:rPr>
        <w:t xml:space="preserve"> acid at  their recommended  field dosages  were reported  effective and economical for the management of </w:t>
      </w:r>
      <w:r>
        <w:rPr>
          <w:rFonts w:ascii="Times New Roman" w:hAnsi="Times New Roman" w:cs="Times New Roman"/>
          <w:sz w:val="24"/>
          <w:szCs w:val="24"/>
        </w:rPr>
        <w:t>powdery</w:t>
      </w:r>
      <w:r w:rsidRPr="00F14DE9">
        <w:rPr>
          <w:rFonts w:ascii="Times New Roman" w:hAnsi="Times New Roman" w:cs="Times New Roman"/>
          <w:sz w:val="24"/>
          <w:szCs w:val="24"/>
        </w:rPr>
        <w:t xml:space="preserve"> mildews of various crop hosts </w:t>
      </w:r>
      <w:r>
        <w:rPr>
          <w:rFonts w:ascii="Times New Roman" w:hAnsi="Times New Roman" w:cs="Times New Roman"/>
          <w:sz w:val="24"/>
          <w:szCs w:val="24"/>
        </w:rPr>
        <w:t xml:space="preserve">in </w:t>
      </w:r>
      <w:r w:rsidR="003760C6" w:rsidRPr="003760C6">
        <w:rPr>
          <w:rFonts w:ascii="Times New Roman" w:hAnsi="Times New Roman" w:cs="Times New Roman"/>
          <w:i/>
          <w:iCs/>
          <w:sz w:val="24"/>
          <w:szCs w:val="24"/>
        </w:rPr>
        <w:t>in vitro</w:t>
      </w:r>
      <w:r>
        <w:rPr>
          <w:rFonts w:ascii="Times New Roman" w:hAnsi="Times New Roman" w:cs="Times New Roman"/>
          <w:sz w:val="24"/>
          <w:szCs w:val="24"/>
        </w:rPr>
        <w:t xml:space="preserve"> </w:t>
      </w:r>
      <w:r w:rsidRPr="009B48CF">
        <w:rPr>
          <w:rFonts w:ascii="Times New Roman" w:hAnsi="Times New Roman" w:cs="Times New Roman"/>
          <w:sz w:val="24"/>
          <w:szCs w:val="24"/>
        </w:rPr>
        <w:t>condition such as</w:t>
      </w:r>
      <w:r w:rsidRPr="00F14DE9">
        <w:rPr>
          <w:rFonts w:ascii="Times New Roman" w:hAnsi="Times New Roman" w:cs="Times New Roman"/>
          <w:sz w:val="24"/>
          <w:szCs w:val="24"/>
        </w:rPr>
        <w:t xml:space="preserve">  </w:t>
      </w:r>
      <w:r>
        <w:rPr>
          <w:rFonts w:ascii="Times New Roman" w:hAnsi="Times New Roman" w:cs="Times New Roman"/>
          <w:sz w:val="24"/>
          <w:szCs w:val="24"/>
        </w:rPr>
        <w:t xml:space="preserve">Ghule </w:t>
      </w:r>
      <w:r w:rsidR="00742633" w:rsidRPr="00742633">
        <w:rPr>
          <w:rFonts w:ascii="Times New Roman" w:hAnsi="Times New Roman" w:cs="Times New Roman"/>
          <w:i/>
          <w:iCs/>
          <w:sz w:val="24"/>
          <w:szCs w:val="24"/>
        </w:rPr>
        <w:t>et al</w:t>
      </w:r>
      <w:r>
        <w:rPr>
          <w:rFonts w:ascii="Times New Roman" w:hAnsi="Times New Roman" w:cs="Times New Roman"/>
          <w:sz w:val="24"/>
          <w:szCs w:val="24"/>
        </w:rPr>
        <w:t xml:space="preserve">.(2020), </w:t>
      </w:r>
      <w:r w:rsidRPr="00366546">
        <w:rPr>
          <w:rFonts w:ascii="Times New Roman" w:hAnsi="Times New Roman" w:cs="Times New Roman"/>
          <w:sz w:val="24"/>
          <w:szCs w:val="24"/>
        </w:rPr>
        <w:t>Reuveni, M. (2001)</w:t>
      </w:r>
      <w:r w:rsidR="009B48CF">
        <w:rPr>
          <w:rFonts w:ascii="Times New Roman" w:hAnsi="Times New Roman" w:cs="Times New Roman"/>
          <w:sz w:val="24"/>
          <w:szCs w:val="24"/>
        </w:rPr>
        <w:t xml:space="preserve">, </w:t>
      </w:r>
      <w:proofErr w:type="spellStart"/>
      <w:r w:rsidR="009B48CF" w:rsidRPr="009B48CF">
        <w:rPr>
          <w:rFonts w:ascii="Times New Roman" w:hAnsi="Times New Roman" w:cs="Times New Roman"/>
          <w:sz w:val="24"/>
          <w:szCs w:val="24"/>
        </w:rPr>
        <w:t>Suryawanshi</w:t>
      </w:r>
      <w:proofErr w:type="spellEnd"/>
      <w:r w:rsidR="009B48CF">
        <w:rPr>
          <w:rFonts w:ascii="Times New Roman" w:hAnsi="Times New Roman" w:cs="Times New Roman"/>
          <w:sz w:val="24"/>
          <w:szCs w:val="24"/>
        </w:rPr>
        <w:t xml:space="preserve"> </w:t>
      </w:r>
      <w:r w:rsidR="00742633" w:rsidRPr="00742633">
        <w:rPr>
          <w:rFonts w:ascii="Times New Roman" w:hAnsi="Times New Roman" w:cs="Times New Roman"/>
          <w:i/>
          <w:iCs/>
          <w:sz w:val="24"/>
          <w:szCs w:val="24"/>
        </w:rPr>
        <w:t>et al</w:t>
      </w:r>
      <w:r w:rsidR="009B48CF">
        <w:rPr>
          <w:rFonts w:ascii="Times New Roman" w:hAnsi="Times New Roman" w:cs="Times New Roman"/>
          <w:sz w:val="24"/>
          <w:szCs w:val="24"/>
        </w:rPr>
        <w:t xml:space="preserve">.(2023) </w:t>
      </w:r>
      <w:r>
        <w:rPr>
          <w:rFonts w:ascii="Times New Roman" w:hAnsi="Times New Roman" w:cs="Times New Roman"/>
          <w:sz w:val="24"/>
          <w:szCs w:val="24"/>
        </w:rPr>
        <w:t>and Sawant (2023) on grapes</w:t>
      </w:r>
      <w:r w:rsidR="009B48CF">
        <w:rPr>
          <w:rFonts w:ascii="Times New Roman" w:hAnsi="Times New Roman" w:cs="Times New Roman"/>
          <w:sz w:val="24"/>
          <w:szCs w:val="24"/>
        </w:rPr>
        <w:t>.</w:t>
      </w:r>
    </w:p>
    <w:p w14:paraId="261C09F4" w14:textId="61C98024" w:rsidR="00424013" w:rsidRPr="00424013" w:rsidRDefault="00424013" w:rsidP="00424013">
      <w:pPr>
        <w:jc w:val="both"/>
        <w:rPr>
          <w:rFonts w:ascii="Times New Roman" w:hAnsi="Times New Roman" w:cs="Times New Roman"/>
          <w:b/>
          <w:bCs/>
          <w:sz w:val="24"/>
          <w:szCs w:val="24"/>
        </w:rPr>
      </w:pPr>
      <w:r w:rsidRPr="00424013">
        <w:rPr>
          <w:rFonts w:ascii="Times New Roman" w:hAnsi="Times New Roman" w:cs="Times New Roman"/>
          <w:b/>
          <w:bCs/>
          <w:sz w:val="24"/>
          <w:szCs w:val="24"/>
        </w:rPr>
        <w:t>CONCLUSION</w:t>
      </w:r>
    </w:p>
    <w:p w14:paraId="4527B51D" w14:textId="77777777" w:rsidR="00CA431E" w:rsidRDefault="00424013" w:rsidP="00CA431E">
      <w:pPr>
        <w:ind w:firstLine="720"/>
        <w:jc w:val="both"/>
        <w:rPr>
          <w:rFonts w:ascii="Times New Roman" w:eastAsia="Times New Roman" w:hAnsi="Times New Roman" w:cs="Times New Roman"/>
          <w:color w:val="000000"/>
          <w:sz w:val="24"/>
          <w:szCs w:val="24"/>
          <w:lang w:eastAsia="en-GB"/>
        </w:rPr>
      </w:pPr>
      <w:r w:rsidRPr="00424013">
        <w:rPr>
          <w:rFonts w:ascii="Times New Roman" w:eastAsia="Times New Roman" w:hAnsi="Times New Roman" w:cs="Times New Roman"/>
          <w:color w:val="000000"/>
          <w:sz w:val="24"/>
          <w:szCs w:val="24"/>
          <w:lang w:eastAsia="en-GB"/>
        </w:rPr>
        <w:t xml:space="preserve">The study concluded that Azoxystrobin 11% w/w + Tebuconazole 18.3% and </w:t>
      </w:r>
      <w:proofErr w:type="spellStart"/>
      <w:r w:rsidRPr="00424013">
        <w:rPr>
          <w:rFonts w:ascii="Times New Roman" w:eastAsia="Times New Roman" w:hAnsi="Times New Roman" w:cs="Times New Roman"/>
          <w:color w:val="000000"/>
          <w:sz w:val="24"/>
          <w:szCs w:val="24"/>
          <w:lang w:eastAsia="en-GB"/>
        </w:rPr>
        <w:t>Kresoxim</w:t>
      </w:r>
      <w:proofErr w:type="spellEnd"/>
      <w:r w:rsidRPr="00424013">
        <w:rPr>
          <w:rFonts w:ascii="Times New Roman" w:eastAsia="Times New Roman" w:hAnsi="Times New Roman" w:cs="Times New Roman"/>
          <w:color w:val="000000"/>
          <w:sz w:val="24"/>
          <w:szCs w:val="24"/>
          <w:lang w:eastAsia="en-GB"/>
        </w:rPr>
        <w:t xml:space="preserve"> methyl 18% + Mancozeb 54% WP were the most effective fungicides for managing powdery mildew in sponge gourd under both field and laboratory conditions. These treatments significantly reduced disease severity and progression, improved yield, and offer promising options for integrated disease management strategies in sponge gourd cultivation.</w:t>
      </w:r>
    </w:p>
    <w:p w14:paraId="24A32BE3" w14:textId="78F409C5" w:rsidR="008A39B9" w:rsidRPr="001362CF" w:rsidRDefault="008A39B9" w:rsidP="00CA431E">
      <w:pPr>
        <w:jc w:val="both"/>
        <w:rPr>
          <w:rFonts w:ascii="Times New Roman" w:eastAsia="Times New Roman" w:hAnsi="Times New Roman" w:cs="Times New Roman"/>
          <w:b/>
          <w:bCs/>
          <w:color w:val="000000"/>
          <w:sz w:val="24"/>
          <w:szCs w:val="24"/>
          <w:lang w:eastAsia="en-GB"/>
        </w:rPr>
      </w:pPr>
      <w:r w:rsidRPr="001362CF">
        <w:rPr>
          <w:b/>
          <w:bCs/>
        </w:rPr>
        <w:lastRenderedPageBreak/>
        <w:t>Disclaimer (Artificial intelligence)</w:t>
      </w:r>
    </w:p>
    <w:p w14:paraId="02E1C9E4" w14:textId="1F5BFEC4" w:rsidR="008A39B9" w:rsidRPr="00CA431E" w:rsidRDefault="008A39B9" w:rsidP="00CA431E">
      <w:r w:rsidRPr="00CA431E">
        <w:t xml:space="preserve">Author(s) hereby declare that NO generative AI technologies such as Large Language Models (ChatGPT, COPILOT, etc.) and text-to-image generators have been used during the writing or editing of this manuscript. </w:t>
      </w:r>
    </w:p>
    <w:p w14:paraId="63489440" w14:textId="6A98CC48" w:rsidR="006F537E" w:rsidRPr="00374796" w:rsidRDefault="006F537E" w:rsidP="007F28C2">
      <w:pPr>
        <w:jc w:val="both"/>
        <w:rPr>
          <w:rFonts w:ascii="Times New Roman" w:eastAsia="Times New Roman" w:hAnsi="Times New Roman" w:cs="Times New Roman"/>
          <w:color w:val="000000"/>
          <w:sz w:val="24"/>
          <w:szCs w:val="24"/>
          <w:lang w:eastAsia="en-GB"/>
        </w:rPr>
      </w:pPr>
      <w:r w:rsidRPr="006F537E">
        <w:rPr>
          <w:rFonts w:ascii="Times New Roman" w:hAnsi="Times New Roman" w:cs="Times New Roman"/>
          <w:b/>
          <w:bCs/>
          <w:sz w:val="24"/>
          <w:szCs w:val="24"/>
        </w:rPr>
        <w:t>REFERENCES</w:t>
      </w:r>
    </w:p>
    <w:p w14:paraId="78099111" w14:textId="77777777" w:rsidR="00CA431E" w:rsidRDefault="00CA431E" w:rsidP="00CA431E">
      <w:pPr>
        <w:spacing w:line="360" w:lineRule="auto"/>
        <w:jc w:val="both"/>
        <w:rPr>
          <w:rFonts w:ascii="Times New Roman" w:hAnsi="Times New Roman" w:cs="Times New Roman"/>
          <w:sz w:val="24"/>
          <w:szCs w:val="24"/>
          <w:lang w:val="en-GB"/>
        </w:rPr>
      </w:pPr>
      <w:r w:rsidRPr="00CA431E">
        <w:rPr>
          <w:rFonts w:ascii="Times New Roman" w:hAnsi="Times New Roman" w:cs="Times New Roman"/>
          <w:sz w:val="24"/>
          <w:szCs w:val="24"/>
          <w:lang w:val="en-GB"/>
        </w:rPr>
        <w:t>Ali, M., et al. (2013). Environmental factors affecting powdery mildew development. </w:t>
      </w:r>
      <w:r w:rsidRPr="00CA431E">
        <w:rPr>
          <w:rFonts w:ascii="Times New Roman" w:hAnsi="Times New Roman" w:cs="Times New Roman"/>
          <w:i/>
          <w:iCs/>
          <w:sz w:val="24"/>
          <w:szCs w:val="24"/>
          <w:lang w:val="en-GB"/>
        </w:rPr>
        <w:t>Plant Pathology Journal</w:t>
      </w:r>
      <w:r w:rsidRPr="00CA431E">
        <w:rPr>
          <w:rFonts w:ascii="Times New Roman" w:hAnsi="Times New Roman" w:cs="Times New Roman"/>
          <w:sz w:val="24"/>
          <w:szCs w:val="24"/>
          <w:lang w:val="en-GB"/>
        </w:rPr>
        <w:t>, 12(3), 45–52.</w:t>
      </w:r>
    </w:p>
    <w:p w14:paraId="5FDF0D28" w14:textId="48A55F30" w:rsidR="00536B1E" w:rsidRPr="00CA431E" w:rsidRDefault="00536B1E" w:rsidP="00CA431E">
      <w:pPr>
        <w:spacing w:line="360" w:lineRule="auto"/>
        <w:jc w:val="both"/>
        <w:rPr>
          <w:rFonts w:ascii="Times New Roman" w:hAnsi="Times New Roman" w:cs="Times New Roman"/>
          <w:sz w:val="24"/>
          <w:szCs w:val="24"/>
          <w:lang w:val="en-GB"/>
        </w:rPr>
      </w:pPr>
      <w:r w:rsidRPr="00536B1E">
        <w:rPr>
          <w:rFonts w:ascii="Times New Roman" w:hAnsi="Times New Roman" w:cs="Times New Roman"/>
          <w:sz w:val="24"/>
          <w:szCs w:val="24"/>
        </w:rPr>
        <w:t>Anonymous (2022). Area, production and productivity of vegetable in India. www.nhb.gov.in.</w:t>
      </w:r>
    </w:p>
    <w:p w14:paraId="220F352F" w14:textId="77777777" w:rsidR="00CA431E" w:rsidRPr="00CA431E" w:rsidRDefault="00CA431E" w:rsidP="00CA431E">
      <w:pPr>
        <w:spacing w:line="360" w:lineRule="auto"/>
        <w:jc w:val="both"/>
        <w:rPr>
          <w:rFonts w:ascii="Times New Roman" w:hAnsi="Times New Roman" w:cs="Times New Roman"/>
          <w:sz w:val="24"/>
          <w:szCs w:val="24"/>
          <w:lang w:val="en-GB"/>
        </w:rPr>
      </w:pPr>
      <w:r w:rsidRPr="00CA431E">
        <w:rPr>
          <w:rFonts w:ascii="Times New Roman" w:hAnsi="Times New Roman" w:cs="Times New Roman"/>
          <w:sz w:val="24"/>
          <w:szCs w:val="24"/>
          <w:lang w:val="en-GB"/>
        </w:rPr>
        <w:t xml:space="preserve">Anand, T., Chandrasekaran, A., </w:t>
      </w:r>
      <w:proofErr w:type="spellStart"/>
      <w:r w:rsidRPr="00CA431E">
        <w:rPr>
          <w:rFonts w:ascii="Times New Roman" w:hAnsi="Times New Roman" w:cs="Times New Roman"/>
          <w:sz w:val="24"/>
          <w:szCs w:val="24"/>
          <w:lang w:val="en-GB"/>
        </w:rPr>
        <w:t>Kuttalam</w:t>
      </w:r>
      <w:proofErr w:type="spellEnd"/>
      <w:r w:rsidRPr="00CA431E">
        <w:rPr>
          <w:rFonts w:ascii="Times New Roman" w:hAnsi="Times New Roman" w:cs="Times New Roman"/>
          <w:sz w:val="24"/>
          <w:szCs w:val="24"/>
          <w:lang w:val="en-GB"/>
        </w:rPr>
        <w:t xml:space="preserve">, S. P., </w:t>
      </w:r>
      <w:proofErr w:type="spellStart"/>
      <w:r w:rsidRPr="00CA431E">
        <w:rPr>
          <w:rFonts w:ascii="Times New Roman" w:hAnsi="Times New Roman" w:cs="Times New Roman"/>
          <w:sz w:val="24"/>
          <w:szCs w:val="24"/>
          <w:lang w:val="en-GB"/>
        </w:rPr>
        <w:t>Senthilraja</w:t>
      </w:r>
      <w:proofErr w:type="spellEnd"/>
      <w:r w:rsidRPr="00CA431E">
        <w:rPr>
          <w:rFonts w:ascii="Times New Roman" w:hAnsi="Times New Roman" w:cs="Times New Roman"/>
          <w:sz w:val="24"/>
          <w:szCs w:val="24"/>
          <w:lang w:val="en-GB"/>
        </w:rPr>
        <w:t xml:space="preserve">, G., </w:t>
      </w:r>
      <w:proofErr w:type="spellStart"/>
      <w:r w:rsidRPr="00CA431E">
        <w:rPr>
          <w:rFonts w:ascii="Times New Roman" w:hAnsi="Times New Roman" w:cs="Times New Roman"/>
          <w:sz w:val="24"/>
          <w:szCs w:val="24"/>
          <w:lang w:val="en-GB"/>
        </w:rPr>
        <w:t>Raguchander</w:t>
      </w:r>
      <w:proofErr w:type="spellEnd"/>
      <w:r w:rsidRPr="00CA431E">
        <w:rPr>
          <w:rFonts w:ascii="Times New Roman" w:hAnsi="Times New Roman" w:cs="Times New Roman"/>
          <w:sz w:val="24"/>
          <w:szCs w:val="24"/>
          <w:lang w:val="en-GB"/>
        </w:rPr>
        <w:t xml:space="preserve">, T., &amp; </w:t>
      </w:r>
      <w:proofErr w:type="spellStart"/>
      <w:r w:rsidRPr="00CA431E">
        <w:rPr>
          <w:rFonts w:ascii="Times New Roman" w:hAnsi="Times New Roman" w:cs="Times New Roman"/>
          <w:sz w:val="24"/>
          <w:szCs w:val="24"/>
          <w:lang w:val="en-GB"/>
        </w:rPr>
        <w:t>Samiyappan</w:t>
      </w:r>
      <w:proofErr w:type="spellEnd"/>
      <w:r w:rsidRPr="00CA431E">
        <w:rPr>
          <w:rFonts w:ascii="Times New Roman" w:hAnsi="Times New Roman" w:cs="Times New Roman"/>
          <w:sz w:val="24"/>
          <w:szCs w:val="24"/>
          <w:lang w:val="en-GB"/>
        </w:rPr>
        <w:t>, R. (2008). Effectiveness of azoxystrobin in the control of </w:t>
      </w:r>
      <w:r w:rsidRPr="00CA431E">
        <w:rPr>
          <w:rFonts w:ascii="Times New Roman" w:hAnsi="Times New Roman" w:cs="Times New Roman"/>
          <w:i/>
          <w:iCs/>
          <w:sz w:val="24"/>
          <w:szCs w:val="24"/>
          <w:lang w:val="en-GB"/>
        </w:rPr>
        <w:t xml:space="preserve">Erysiphe </w:t>
      </w:r>
      <w:proofErr w:type="spellStart"/>
      <w:r w:rsidRPr="00CA431E">
        <w:rPr>
          <w:rFonts w:ascii="Times New Roman" w:hAnsi="Times New Roman" w:cs="Times New Roman"/>
          <w:i/>
          <w:iCs/>
          <w:sz w:val="24"/>
          <w:szCs w:val="24"/>
          <w:lang w:val="en-GB"/>
        </w:rPr>
        <w:t>cichoracearum</w:t>
      </w:r>
      <w:proofErr w:type="spellEnd"/>
      <w:r w:rsidRPr="00CA431E">
        <w:rPr>
          <w:rFonts w:ascii="Times New Roman" w:hAnsi="Times New Roman" w:cs="Times New Roman"/>
          <w:sz w:val="24"/>
          <w:szCs w:val="24"/>
          <w:lang w:val="en-GB"/>
        </w:rPr>
        <w:t> and </w:t>
      </w:r>
      <w:proofErr w:type="spellStart"/>
      <w:r w:rsidRPr="00CA431E">
        <w:rPr>
          <w:rFonts w:ascii="Times New Roman" w:hAnsi="Times New Roman" w:cs="Times New Roman"/>
          <w:i/>
          <w:iCs/>
          <w:sz w:val="24"/>
          <w:szCs w:val="24"/>
          <w:lang w:val="en-GB"/>
        </w:rPr>
        <w:t>Pseudoperonospora</w:t>
      </w:r>
      <w:proofErr w:type="spellEnd"/>
      <w:r w:rsidRPr="00CA431E">
        <w:rPr>
          <w:rFonts w:ascii="Times New Roman" w:hAnsi="Times New Roman" w:cs="Times New Roman"/>
          <w:i/>
          <w:iCs/>
          <w:sz w:val="24"/>
          <w:szCs w:val="24"/>
          <w:lang w:val="en-GB"/>
        </w:rPr>
        <w:t xml:space="preserve"> </w:t>
      </w:r>
      <w:proofErr w:type="spellStart"/>
      <w:r w:rsidRPr="00CA431E">
        <w:rPr>
          <w:rFonts w:ascii="Times New Roman" w:hAnsi="Times New Roman" w:cs="Times New Roman"/>
          <w:i/>
          <w:iCs/>
          <w:sz w:val="24"/>
          <w:szCs w:val="24"/>
          <w:lang w:val="en-GB"/>
        </w:rPr>
        <w:t>cubensis</w:t>
      </w:r>
      <w:proofErr w:type="spellEnd"/>
      <w:r w:rsidRPr="00CA431E">
        <w:rPr>
          <w:rFonts w:ascii="Times New Roman" w:hAnsi="Times New Roman" w:cs="Times New Roman"/>
          <w:sz w:val="24"/>
          <w:szCs w:val="24"/>
          <w:lang w:val="en-GB"/>
        </w:rPr>
        <w:t> on cucumber. </w:t>
      </w:r>
      <w:r w:rsidRPr="00CA431E">
        <w:rPr>
          <w:rFonts w:ascii="Times New Roman" w:hAnsi="Times New Roman" w:cs="Times New Roman"/>
          <w:i/>
          <w:iCs/>
          <w:sz w:val="24"/>
          <w:szCs w:val="24"/>
          <w:lang w:val="en-GB"/>
        </w:rPr>
        <w:t>Journal of Plant Protection Research</w:t>
      </w:r>
      <w:r w:rsidRPr="00CA431E">
        <w:rPr>
          <w:rFonts w:ascii="Times New Roman" w:hAnsi="Times New Roman" w:cs="Times New Roman"/>
          <w:sz w:val="24"/>
          <w:szCs w:val="24"/>
          <w:lang w:val="en-GB"/>
        </w:rPr>
        <w:t>, 48(2), 183–191.</w:t>
      </w:r>
    </w:p>
    <w:p w14:paraId="3C78173A" w14:textId="77777777" w:rsidR="00CA431E" w:rsidRPr="00CA431E" w:rsidRDefault="00CA431E" w:rsidP="00CA431E">
      <w:pPr>
        <w:spacing w:line="360" w:lineRule="auto"/>
        <w:jc w:val="both"/>
        <w:rPr>
          <w:rFonts w:ascii="Times New Roman" w:hAnsi="Times New Roman" w:cs="Times New Roman"/>
          <w:sz w:val="24"/>
          <w:szCs w:val="24"/>
          <w:lang w:val="en-GB"/>
        </w:rPr>
      </w:pPr>
      <w:r w:rsidRPr="00CA431E">
        <w:rPr>
          <w:rFonts w:ascii="Times New Roman" w:hAnsi="Times New Roman" w:cs="Times New Roman"/>
          <w:sz w:val="24"/>
          <w:szCs w:val="24"/>
          <w:lang w:val="en-GB"/>
        </w:rPr>
        <w:t>Ghule, M. R., Sawant, S. S., &amp; Patil, V. C. (2020). Resistance of </w:t>
      </w:r>
      <w:proofErr w:type="spellStart"/>
      <w:r w:rsidRPr="00CA431E">
        <w:rPr>
          <w:rFonts w:ascii="Times New Roman" w:hAnsi="Times New Roman" w:cs="Times New Roman"/>
          <w:i/>
          <w:iCs/>
          <w:sz w:val="24"/>
          <w:szCs w:val="24"/>
          <w:lang w:val="en-GB"/>
        </w:rPr>
        <w:t>Plasmopara</w:t>
      </w:r>
      <w:proofErr w:type="spellEnd"/>
      <w:r w:rsidRPr="00CA431E">
        <w:rPr>
          <w:rFonts w:ascii="Times New Roman" w:hAnsi="Times New Roman" w:cs="Times New Roman"/>
          <w:i/>
          <w:iCs/>
          <w:sz w:val="24"/>
          <w:szCs w:val="24"/>
          <w:lang w:val="en-GB"/>
        </w:rPr>
        <w:t xml:space="preserve"> </w:t>
      </w:r>
      <w:proofErr w:type="spellStart"/>
      <w:r w:rsidRPr="00CA431E">
        <w:rPr>
          <w:rFonts w:ascii="Times New Roman" w:hAnsi="Times New Roman" w:cs="Times New Roman"/>
          <w:i/>
          <w:iCs/>
          <w:sz w:val="24"/>
          <w:szCs w:val="24"/>
          <w:lang w:val="en-GB"/>
        </w:rPr>
        <w:t>viticola</w:t>
      </w:r>
      <w:proofErr w:type="spellEnd"/>
      <w:r w:rsidRPr="00CA431E">
        <w:rPr>
          <w:rFonts w:ascii="Times New Roman" w:hAnsi="Times New Roman" w:cs="Times New Roman"/>
          <w:sz w:val="24"/>
          <w:szCs w:val="24"/>
          <w:lang w:val="en-GB"/>
        </w:rPr>
        <w:t> to multiple fungicides in vineyards of Maharashtra, India. </w:t>
      </w:r>
      <w:r w:rsidRPr="00CA431E">
        <w:rPr>
          <w:rFonts w:ascii="Times New Roman" w:hAnsi="Times New Roman" w:cs="Times New Roman"/>
          <w:i/>
          <w:iCs/>
          <w:sz w:val="24"/>
          <w:szCs w:val="24"/>
          <w:lang w:val="en-GB"/>
        </w:rPr>
        <w:t>Journal of Environmental Biology</w:t>
      </w:r>
      <w:r w:rsidRPr="00CA431E">
        <w:rPr>
          <w:rFonts w:ascii="Times New Roman" w:hAnsi="Times New Roman" w:cs="Times New Roman"/>
          <w:sz w:val="24"/>
          <w:szCs w:val="24"/>
          <w:lang w:val="en-GB"/>
        </w:rPr>
        <w:t>, 41(5), 1023–1032.</w:t>
      </w:r>
    </w:p>
    <w:p w14:paraId="661FED07" w14:textId="77777777" w:rsidR="00CA431E" w:rsidRPr="00CA431E" w:rsidRDefault="00CA431E" w:rsidP="00CA431E">
      <w:pPr>
        <w:spacing w:line="360" w:lineRule="auto"/>
        <w:jc w:val="both"/>
        <w:rPr>
          <w:rFonts w:ascii="Times New Roman" w:hAnsi="Times New Roman" w:cs="Times New Roman"/>
          <w:sz w:val="24"/>
          <w:szCs w:val="24"/>
          <w:lang w:val="en-GB"/>
        </w:rPr>
      </w:pPr>
      <w:r w:rsidRPr="00CA431E">
        <w:rPr>
          <w:rFonts w:ascii="Times New Roman" w:hAnsi="Times New Roman" w:cs="Times New Roman"/>
          <w:sz w:val="24"/>
          <w:szCs w:val="24"/>
          <w:lang w:val="en-GB"/>
        </w:rPr>
        <w:t>Giraud, C., et al. (2013). Resistance of </w:t>
      </w:r>
      <w:proofErr w:type="spellStart"/>
      <w:r w:rsidRPr="00CA431E">
        <w:rPr>
          <w:rFonts w:ascii="Times New Roman" w:hAnsi="Times New Roman" w:cs="Times New Roman"/>
          <w:i/>
          <w:iCs/>
          <w:sz w:val="24"/>
          <w:szCs w:val="24"/>
          <w:lang w:val="en-GB"/>
        </w:rPr>
        <w:t>Plasmopara</w:t>
      </w:r>
      <w:proofErr w:type="spellEnd"/>
      <w:r w:rsidRPr="00CA431E">
        <w:rPr>
          <w:rFonts w:ascii="Times New Roman" w:hAnsi="Times New Roman" w:cs="Times New Roman"/>
          <w:i/>
          <w:iCs/>
          <w:sz w:val="24"/>
          <w:szCs w:val="24"/>
          <w:lang w:val="en-GB"/>
        </w:rPr>
        <w:t xml:space="preserve"> </w:t>
      </w:r>
      <w:proofErr w:type="spellStart"/>
      <w:r w:rsidRPr="00CA431E">
        <w:rPr>
          <w:rFonts w:ascii="Times New Roman" w:hAnsi="Times New Roman" w:cs="Times New Roman"/>
          <w:i/>
          <w:iCs/>
          <w:sz w:val="24"/>
          <w:szCs w:val="24"/>
          <w:lang w:val="en-GB"/>
        </w:rPr>
        <w:t>viticola</w:t>
      </w:r>
      <w:proofErr w:type="spellEnd"/>
      <w:r w:rsidRPr="00CA431E">
        <w:rPr>
          <w:rFonts w:ascii="Times New Roman" w:hAnsi="Times New Roman" w:cs="Times New Roman"/>
          <w:sz w:val="24"/>
          <w:szCs w:val="24"/>
          <w:lang w:val="en-GB"/>
        </w:rPr>
        <w:t> to multiple fungicides in vineyards of Maharashtra, India. </w:t>
      </w:r>
      <w:r w:rsidRPr="00CA431E">
        <w:rPr>
          <w:rFonts w:ascii="Times New Roman" w:hAnsi="Times New Roman" w:cs="Times New Roman"/>
          <w:i/>
          <w:iCs/>
          <w:sz w:val="24"/>
          <w:szCs w:val="24"/>
          <w:lang w:val="en-GB"/>
        </w:rPr>
        <w:t>Journal of Environmental Biology</w:t>
      </w:r>
      <w:r w:rsidRPr="00CA431E">
        <w:rPr>
          <w:rFonts w:ascii="Times New Roman" w:hAnsi="Times New Roman" w:cs="Times New Roman"/>
          <w:sz w:val="24"/>
          <w:szCs w:val="24"/>
          <w:lang w:val="en-GB"/>
        </w:rPr>
        <w:t>, 41(5), 1023–1032.</w:t>
      </w:r>
    </w:p>
    <w:p w14:paraId="1395616E" w14:textId="77777777" w:rsidR="00CA431E" w:rsidRPr="00CA431E" w:rsidRDefault="00CA431E" w:rsidP="00CA431E">
      <w:pPr>
        <w:spacing w:line="360" w:lineRule="auto"/>
        <w:jc w:val="both"/>
        <w:rPr>
          <w:rFonts w:ascii="Times New Roman" w:hAnsi="Times New Roman" w:cs="Times New Roman"/>
          <w:sz w:val="24"/>
          <w:szCs w:val="24"/>
          <w:lang w:val="en-GB"/>
        </w:rPr>
      </w:pPr>
      <w:r w:rsidRPr="00CA431E">
        <w:rPr>
          <w:rFonts w:ascii="Times New Roman" w:hAnsi="Times New Roman" w:cs="Times New Roman"/>
          <w:sz w:val="24"/>
          <w:szCs w:val="24"/>
          <w:lang w:val="en-GB"/>
        </w:rPr>
        <w:t>Kumar, D., &amp; Sharma, R. (2020). Evaluation of fungicides, botanical and organic amendments for management of chilli powdery mildew caused by </w:t>
      </w:r>
      <w:proofErr w:type="spellStart"/>
      <w:r w:rsidRPr="00CA431E">
        <w:rPr>
          <w:rFonts w:ascii="Times New Roman" w:hAnsi="Times New Roman" w:cs="Times New Roman"/>
          <w:i/>
          <w:iCs/>
          <w:sz w:val="24"/>
          <w:szCs w:val="24"/>
          <w:lang w:val="en-GB"/>
        </w:rPr>
        <w:t>Leveillula</w:t>
      </w:r>
      <w:proofErr w:type="spellEnd"/>
      <w:r w:rsidRPr="00CA431E">
        <w:rPr>
          <w:rFonts w:ascii="Times New Roman" w:hAnsi="Times New Roman" w:cs="Times New Roman"/>
          <w:i/>
          <w:iCs/>
          <w:sz w:val="24"/>
          <w:szCs w:val="24"/>
          <w:lang w:val="en-GB"/>
        </w:rPr>
        <w:t xml:space="preserve"> </w:t>
      </w:r>
      <w:proofErr w:type="spellStart"/>
      <w:r w:rsidRPr="00CA431E">
        <w:rPr>
          <w:rFonts w:ascii="Times New Roman" w:hAnsi="Times New Roman" w:cs="Times New Roman"/>
          <w:i/>
          <w:iCs/>
          <w:sz w:val="24"/>
          <w:szCs w:val="24"/>
          <w:lang w:val="en-GB"/>
        </w:rPr>
        <w:t>taurica</w:t>
      </w:r>
      <w:proofErr w:type="spellEnd"/>
      <w:r w:rsidRPr="00CA431E">
        <w:rPr>
          <w:rFonts w:ascii="Times New Roman" w:hAnsi="Times New Roman" w:cs="Times New Roman"/>
          <w:sz w:val="24"/>
          <w:szCs w:val="24"/>
          <w:lang w:val="en-GB"/>
        </w:rPr>
        <w:t> under field conditions. </w:t>
      </w:r>
      <w:r w:rsidRPr="00CA431E">
        <w:rPr>
          <w:rFonts w:ascii="Times New Roman" w:hAnsi="Times New Roman" w:cs="Times New Roman"/>
          <w:i/>
          <w:iCs/>
          <w:sz w:val="24"/>
          <w:szCs w:val="24"/>
          <w:lang w:val="en-GB"/>
        </w:rPr>
        <w:t>The Pharma Innovation Journal</w:t>
      </w:r>
      <w:r w:rsidRPr="00CA431E">
        <w:rPr>
          <w:rFonts w:ascii="Times New Roman" w:hAnsi="Times New Roman" w:cs="Times New Roman"/>
          <w:sz w:val="24"/>
          <w:szCs w:val="24"/>
          <w:lang w:val="en-GB"/>
        </w:rPr>
        <w:t>, 9(4), 2271–2275.</w:t>
      </w:r>
    </w:p>
    <w:p w14:paraId="552FACF9" w14:textId="77777777" w:rsidR="00CA431E" w:rsidRPr="00CA431E" w:rsidRDefault="00CA431E" w:rsidP="00CA431E">
      <w:pPr>
        <w:spacing w:line="360" w:lineRule="auto"/>
        <w:jc w:val="both"/>
        <w:rPr>
          <w:rFonts w:ascii="Times New Roman" w:hAnsi="Times New Roman" w:cs="Times New Roman"/>
          <w:sz w:val="24"/>
          <w:szCs w:val="24"/>
          <w:lang w:val="en-GB"/>
        </w:rPr>
      </w:pPr>
      <w:r w:rsidRPr="00CA431E">
        <w:rPr>
          <w:rFonts w:ascii="Times New Roman" w:hAnsi="Times New Roman" w:cs="Times New Roman"/>
          <w:sz w:val="24"/>
          <w:szCs w:val="24"/>
          <w:lang w:val="en-GB"/>
        </w:rPr>
        <w:t>Mayee, C. D., &amp; Datar, V. V. (1986). </w:t>
      </w:r>
      <w:proofErr w:type="spellStart"/>
      <w:r w:rsidRPr="00CA431E">
        <w:rPr>
          <w:rFonts w:ascii="Times New Roman" w:hAnsi="Times New Roman" w:cs="Times New Roman"/>
          <w:i/>
          <w:iCs/>
          <w:sz w:val="24"/>
          <w:szCs w:val="24"/>
          <w:lang w:val="en-GB"/>
        </w:rPr>
        <w:t>Phytopathometry</w:t>
      </w:r>
      <w:proofErr w:type="spellEnd"/>
      <w:r w:rsidRPr="00CA431E">
        <w:rPr>
          <w:rFonts w:ascii="Times New Roman" w:hAnsi="Times New Roman" w:cs="Times New Roman"/>
          <w:sz w:val="24"/>
          <w:szCs w:val="24"/>
          <w:lang w:val="en-GB"/>
        </w:rPr>
        <w:t xml:space="preserve">, Technical Bulletin-1 (Special Bulletin-3). Marathwada Agricultural University, </w:t>
      </w:r>
      <w:proofErr w:type="spellStart"/>
      <w:r w:rsidRPr="00CA431E">
        <w:rPr>
          <w:rFonts w:ascii="Times New Roman" w:hAnsi="Times New Roman" w:cs="Times New Roman"/>
          <w:sz w:val="24"/>
          <w:szCs w:val="24"/>
          <w:lang w:val="en-GB"/>
        </w:rPr>
        <w:t>Parbhani</w:t>
      </w:r>
      <w:proofErr w:type="spellEnd"/>
      <w:r w:rsidRPr="00CA431E">
        <w:rPr>
          <w:rFonts w:ascii="Times New Roman" w:hAnsi="Times New Roman" w:cs="Times New Roman"/>
          <w:sz w:val="24"/>
          <w:szCs w:val="24"/>
          <w:lang w:val="en-GB"/>
        </w:rPr>
        <w:t>, Maharashtra, India, 95 pp.</w:t>
      </w:r>
    </w:p>
    <w:p w14:paraId="139B2B69" w14:textId="77777777" w:rsidR="002B41A9" w:rsidRDefault="002B41A9" w:rsidP="00CA431E">
      <w:pPr>
        <w:spacing w:line="360" w:lineRule="auto"/>
        <w:jc w:val="both"/>
        <w:rPr>
          <w:rFonts w:ascii="Times New Roman" w:hAnsi="Times New Roman" w:cs="Times New Roman"/>
          <w:sz w:val="24"/>
          <w:szCs w:val="24"/>
        </w:rPr>
      </w:pPr>
      <w:r w:rsidRPr="002B41A9">
        <w:rPr>
          <w:rFonts w:ascii="Times New Roman" w:hAnsi="Times New Roman" w:cs="Times New Roman"/>
          <w:sz w:val="24"/>
          <w:szCs w:val="24"/>
        </w:rPr>
        <w:t xml:space="preserve">Mossler, M.A. and Nesheim, O.N. 2005. Florida Crop/Pest Management Profile: Squash. Electronic Data Information Source of UF/IFAS Extension (EDIS). CIR 1265. </w:t>
      </w:r>
    </w:p>
    <w:p w14:paraId="5A7E1AAC" w14:textId="0BE60D5C" w:rsidR="00CA431E" w:rsidRPr="00CA431E" w:rsidRDefault="00CA431E" w:rsidP="00CA431E">
      <w:pPr>
        <w:spacing w:line="360" w:lineRule="auto"/>
        <w:jc w:val="both"/>
        <w:rPr>
          <w:rFonts w:ascii="Times New Roman" w:hAnsi="Times New Roman" w:cs="Times New Roman"/>
          <w:sz w:val="24"/>
          <w:szCs w:val="24"/>
          <w:lang w:val="en-GB"/>
        </w:rPr>
      </w:pPr>
      <w:r w:rsidRPr="00CA431E">
        <w:rPr>
          <w:rFonts w:ascii="Times New Roman" w:hAnsi="Times New Roman" w:cs="Times New Roman"/>
          <w:sz w:val="24"/>
          <w:szCs w:val="24"/>
          <w:lang w:val="en-GB"/>
        </w:rPr>
        <w:t xml:space="preserve">Reuveni, M. (2001). Efficacy of </w:t>
      </w:r>
      <w:proofErr w:type="spellStart"/>
      <w:r w:rsidRPr="00CA431E">
        <w:rPr>
          <w:rFonts w:ascii="Times New Roman" w:hAnsi="Times New Roman" w:cs="Times New Roman"/>
          <w:sz w:val="24"/>
          <w:szCs w:val="24"/>
          <w:lang w:val="en-GB"/>
        </w:rPr>
        <w:t>trifloxystrobin</w:t>
      </w:r>
      <w:proofErr w:type="spellEnd"/>
      <w:r w:rsidRPr="00CA431E">
        <w:rPr>
          <w:rFonts w:ascii="Times New Roman" w:hAnsi="Times New Roman" w:cs="Times New Roman"/>
          <w:sz w:val="24"/>
          <w:szCs w:val="24"/>
          <w:lang w:val="en-GB"/>
        </w:rPr>
        <w:t xml:space="preserve"> (Flint), a new strobilurin fungicide, in controlling powdery mildews on apple, mango, nectarine, and rust on prune. </w:t>
      </w:r>
      <w:r w:rsidRPr="00CA431E">
        <w:rPr>
          <w:rFonts w:ascii="Times New Roman" w:hAnsi="Times New Roman" w:cs="Times New Roman"/>
          <w:i/>
          <w:iCs/>
          <w:sz w:val="24"/>
          <w:szCs w:val="24"/>
          <w:lang w:val="en-GB"/>
        </w:rPr>
        <w:t>Crop Protection</w:t>
      </w:r>
      <w:r w:rsidRPr="00CA431E">
        <w:rPr>
          <w:rFonts w:ascii="Times New Roman" w:hAnsi="Times New Roman" w:cs="Times New Roman"/>
          <w:sz w:val="24"/>
          <w:szCs w:val="24"/>
          <w:lang w:val="en-GB"/>
        </w:rPr>
        <w:t>, 20(6), 553–559.</w:t>
      </w:r>
    </w:p>
    <w:p w14:paraId="32D21C37" w14:textId="77777777" w:rsidR="00CA431E" w:rsidRPr="00CA431E" w:rsidRDefault="00CA431E" w:rsidP="00CA431E">
      <w:pPr>
        <w:spacing w:line="360" w:lineRule="auto"/>
        <w:jc w:val="both"/>
        <w:rPr>
          <w:rFonts w:ascii="Times New Roman" w:hAnsi="Times New Roman" w:cs="Times New Roman"/>
          <w:sz w:val="24"/>
          <w:szCs w:val="24"/>
          <w:lang w:val="en-GB"/>
        </w:rPr>
      </w:pPr>
      <w:r w:rsidRPr="00CA431E">
        <w:rPr>
          <w:rFonts w:ascii="Times New Roman" w:hAnsi="Times New Roman" w:cs="Times New Roman"/>
          <w:sz w:val="24"/>
          <w:szCs w:val="24"/>
          <w:lang w:val="en-GB"/>
        </w:rPr>
        <w:t>Sawant, I. S. (2023). Microbes in management of fungal diseases of grape. </w:t>
      </w:r>
      <w:r w:rsidRPr="00CA431E">
        <w:rPr>
          <w:rFonts w:ascii="Times New Roman" w:hAnsi="Times New Roman" w:cs="Times New Roman"/>
          <w:i/>
          <w:iCs/>
          <w:sz w:val="24"/>
          <w:szCs w:val="24"/>
          <w:lang w:val="en-GB"/>
        </w:rPr>
        <w:t>Grape Insight</w:t>
      </w:r>
      <w:r w:rsidRPr="00CA431E">
        <w:rPr>
          <w:rFonts w:ascii="Times New Roman" w:hAnsi="Times New Roman" w:cs="Times New Roman"/>
          <w:sz w:val="24"/>
          <w:szCs w:val="24"/>
          <w:lang w:val="en-GB"/>
        </w:rPr>
        <w:t>, 60, 59–67.</w:t>
      </w:r>
    </w:p>
    <w:p w14:paraId="41913AC1" w14:textId="77777777" w:rsidR="00CA431E" w:rsidRPr="00CA431E" w:rsidRDefault="00CA431E" w:rsidP="00CA431E">
      <w:pPr>
        <w:spacing w:line="360" w:lineRule="auto"/>
        <w:jc w:val="both"/>
        <w:rPr>
          <w:rFonts w:ascii="Times New Roman" w:hAnsi="Times New Roman" w:cs="Times New Roman"/>
          <w:sz w:val="24"/>
          <w:szCs w:val="24"/>
          <w:lang w:val="en-GB"/>
        </w:rPr>
      </w:pPr>
      <w:proofErr w:type="spellStart"/>
      <w:r w:rsidRPr="00CA431E">
        <w:rPr>
          <w:rFonts w:ascii="Times New Roman" w:hAnsi="Times New Roman" w:cs="Times New Roman"/>
          <w:sz w:val="24"/>
          <w:szCs w:val="24"/>
          <w:lang w:val="en-GB"/>
        </w:rPr>
        <w:lastRenderedPageBreak/>
        <w:t>Suryawanshi</w:t>
      </w:r>
      <w:proofErr w:type="spellEnd"/>
      <w:r w:rsidRPr="00CA431E">
        <w:rPr>
          <w:rFonts w:ascii="Times New Roman" w:hAnsi="Times New Roman" w:cs="Times New Roman"/>
          <w:sz w:val="24"/>
          <w:szCs w:val="24"/>
          <w:lang w:val="en-GB"/>
        </w:rPr>
        <w:t>, K. T., Sawant, S. D., &amp; Sawant, I. S. (2023). Management strategies for zero fungicides residue in grapes. </w:t>
      </w:r>
      <w:r w:rsidRPr="00CA431E">
        <w:rPr>
          <w:rFonts w:ascii="Times New Roman" w:hAnsi="Times New Roman" w:cs="Times New Roman"/>
          <w:i/>
          <w:iCs/>
          <w:sz w:val="24"/>
          <w:szCs w:val="24"/>
          <w:lang w:val="en-GB"/>
        </w:rPr>
        <w:t>International Journal of Current Microbiology and Applied Sciences</w:t>
      </w:r>
      <w:r w:rsidRPr="00CA431E">
        <w:rPr>
          <w:rFonts w:ascii="Times New Roman" w:hAnsi="Times New Roman" w:cs="Times New Roman"/>
          <w:sz w:val="24"/>
          <w:szCs w:val="24"/>
          <w:lang w:val="en-GB"/>
        </w:rPr>
        <w:t>, 12(07), 192–203.</w:t>
      </w:r>
    </w:p>
    <w:p w14:paraId="7B87D09B" w14:textId="77777777" w:rsidR="00CA431E" w:rsidRPr="00CA431E" w:rsidRDefault="00CA431E" w:rsidP="00CA431E">
      <w:pPr>
        <w:spacing w:line="360" w:lineRule="auto"/>
        <w:jc w:val="both"/>
        <w:rPr>
          <w:rFonts w:ascii="Times New Roman" w:hAnsi="Times New Roman" w:cs="Times New Roman"/>
          <w:sz w:val="24"/>
          <w:szCs w:val="24"/>
          <w:lang w:val="en-GB"/>
        </w:rPr>
      </w:pPr>
      <w:proofErr w:type="spellStart"/>
      <w:r w:rsidRPr="00CA431E">
        <w:rPr>
          <w:rFonts w:ascii="Times New Roman" w:hAnsi="Times New Roman" w:cs="Times New Roman"/>
          <w:sz w:val="24"/>
          <w:szCs w:val="24"/>
          <w:lang w:val="en-GB"/>
        </w:rPr>
        <w:t>Waychal</w:t>
      </w:r>
      <w:proofErr w:type="spellEnd"/>
      <w:r w:rsidRPr="00CA431E">
        <w:rPr>
          <w:rFonts w:ascii="Times New Roman" w:hAnsi="Times New Roman" w:cs="Times New Roman"/>
          <w:sz w:val="24"/>
          <w:szCs w:val="24"/>
          <w:lang w:val="en-GB"/>
        </w:rPr>
        <w:t>, G. U., Game, B. C., &amp; Jagtap, S. D. (2018). Evaluation of fungicides for management of powdery mildew disease of okra (</w:t>
      </w:r>
      <w:r w:rsidRPr="00CA431E">
        <w:rPr>
          <w:rFonts w:ascii="Times New Roman" w:hAnsi="Times New Roman" w:cs="Times New Roman"/>
          <w:i/>
          <w:iCs/>
          <w:sz w:val="24"/>
          <w:szCs w:val="24"/>
          <w:lang w:val="en-GB"/>
        </w:rPr>
        <w:t>Abelmoschus esculentus</w:t>
      </w:r>
      <w:r w:rsidRPr="00CA431E">
        <w:rPr>
          <w:rFonts w:ascii="Times New Roman" w:hAnsi="Times New Roman" w:cs="Times New Roman"/>
          <w:sz w:val="24"/>
          <w:szCs w:val="24"/>
          <w:lang w:val="en-GB"/>
        </w:rPr>
        <w:t> Moench). </w:t>
      </w:r>
      <w:r w:rsidRPr="00CA431E">
        <w:rPr>
          <w:rFonts w:ascii="Times New Roman" w:hAnsi="Times New Roman" w:cs="Times New Roman"/>
          <w:i/>
          <w:iCs/>
          <w:sz w:val="24"/>
          <w:szCs w:val="24"/>
          <w:lang w:val="en-GB"/>
        </w:rPr>
        <w:t>International Journal of Chemical Studies</w:t>
      </w:r>
      <w:r w:rsidRPr="00CA431E">
        <w:rPr>
          <w:rFonts w:ascii="Times New Roman" w:hAnsi="Times New Roman" w:cs="Times New Roman"/>
          <w:sz w:val="24"/>
          <w:szCs w:val="24"/>
          <w:lang w:val="en-GB"/>
        </w:rPr>
        <w:t>, 6(2), 325–327.</w:t>
      </w:r>
    </w:p>
    <w:p w14:paraId="245AC9FD" w14:textId="77777777" w:rsidR="00CA431E" w:rsidRPr="00CA431E" w:rsidRDefault="00CA431E" w:rsidP="00CA431E">
      <w:pPr>
        <w:spacing w:line="360" w:lineRule="auto"/>
        <w:jc w:val="both"/>
        <w:rPr>
          <w:rFonts w:ascii="Times New Roman" w:hAnsi="Times New Roman" w:cs="Times New Roman"/>
          <w:sz w:val="24"/>
          <w:szCs w:val="24"/>
          <w:lang w:val="en-GB"/>
        </w:rPr>
      </w:pPr>
      <w:r w:rsidRPr="00CA431E">
        <w:rPr>
          <w:rFonts w:ascii="Times New Roman" w:hAnsi="Times New Roman" w:cs="Times New Roman"/>
          <w:sz w:val="24"/>
          <w:szCs w:val="24"/>
          <w:lang w:val="en-GB"/>
        </w:rPr>
        <w:t>Wheeler, B. E. J. (1969). </w:t>
      </w:r>
      <w:r w:rsidRPr="00CA431E">
        <w:rPr>
          <w:rFonts w:ascii="Times New Roman" w:hAnsi="Times New Roman" w:cs="Times New Roman"/>
          <w:i/>
          <w:iCs/>
          <w:sz w:val="24"/>
          <w:szCs w:val="24"/>
          <w:lang w:val="en-GB"/>
        </w:rPr>
        <w:t>An Introduction to Plant Disease</w:t>
      </w:r>
      <w:r w:rsidRPr="00CA431E">
        <w:rPr>
          <w:rFonts w:ascii="Times New Roman" w:hAnsi="Times New Roman" w:cs="Times New Roman"/>
          <w:sz w:val="24"/>
          <w:szCs w:val="24"/>
          <w:lang w:val="en-GB"/>
        </w:rPr>
        <w:t>. John Wiley and Sons Ltd., London, 301 pp.</w:t>
      </w:r>
    </w:p>
    <w:p w14:paraId="4A03B62B" w14:textId="77777777" w:rsidR="00CA431E" w:rsidRPr="00CA431E" w:rsidRDefault="00CA431E" w:rsidP="00CA431E">
      <w:pPr>
        <w:spacing w:line="360" w:lineRule="auto"/>
        <w:jc w:val="both"/>
        <w:rPr>
          <w:rFonts w:ascii="Times New Roman" w:hAnsi="Times New Roman" w:cs="Times New Roman"/>
          <w:sz w:val="24"/>
          <w:szCs w:val="24"/>
          <w:lang w:val="en-GB"/>
        </w:rPr>
      </w:pPr>
      <w:r w:rsidRPr="00CA431E">
        <w:rPr>
          <w:rFonts w:ascii="Times New Roman" w:hAnsi="Times New Roman" w:cs="Times New Roman"/>
          <w:sz w:val="24"/>
          <w:szCs w:val="24"/>
          <w:lang w:val="en-GB"/>
        </w:rPr>
        <w:t>Yasmin, A., Akter, N., Haque, M. M., &amp; Rahman, M. M. (2008). Management of powdery mildew disease of sweet gourd through fungicidal spray. </w:t>
      </w:r>
      <w:r w:rsidRPr="00CA431E">
        <w:rPr>
          <w:rFonts w:ascii="Times New Roman" w:hAnsi="Times New Roman" w:cs="Times New Roman"/>
          <w:i/>
          <w:iCs/>
          <w:sz w:val="24"/>
          <w:szCs w:val="24"/>
          <w:lang w:val="en-GB"/>
        </w:rPr>
        <w:t>Journal of Agricultural Research</w:t>
      </w:r>
      <w:r w:rsidRPr="00CA431E">
        <w:rPr>
          <w:rFonts w:ascii="Times New Roman" w:hAnsi="Times New Roman" w:cs="Times New Roman"/>
          <w:sz w:val="24"/>
          <w:szCs w:val="24"/>
          <w:lang w:val="en-GB"/>
        </w:rPr>
        <w:t>, 33(4), 13–21.</w:t>
      </w:r>
    </w:p>
    <w:p w14:paraId="164BA6CC" w14:textId="77777777" w:rsidR="005A2357" w:rsidRPr="00210149" w:rsidRDefault="005A2357" w:rsidP="00CA431E">
      <w:pPr>
        <w:spacing w:line="360" w:lineRule="auto"/>
        <w:jc w:val="both"/>
        <w:rPr>
          <w:rFonts w:ascii="Times New Roman" w:hAnsi="Times New Roman" w:cs="Times New Roman"/>
          <w:sz w:val="24"/>
          <w:szCs w:val="24"/>
        </w:rPr>
      </w:pPr>
    </w:p>
    <w:sectPr w:rsidR="005A2357" w:rsidRPr="0021014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67417" w14:textId="77777777" w:rsidR="00EE489E" w:rsidRDefault="00EE489E" w:rsidP="00691555">
      <w:pPr>
        <w:spacing w:after="0" w:line="240" w:lineRule="auto"/>
      </w:pPr>
      <w:r>
        <w:separator/>
      </w:r>
    </w:p>
  </w:endnote>
  <w:endnote w:type="continuationSeparator" w:id="0">
    <w:p w14:paraId="20151CEC" w14:textId="77777777" w:rsidR="00EE489E" w:rsidRDefault="00EE489E" w:rsidP="00691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TSY">
    <w:altName w:val="Arial Unicode MS"/>
    <w:panose1 w:val="00000000000000000000"/>
    <w:charset w:val="81"/>
    <w:family w:val="auto"/>
    <w:notTrueType/>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4F30" w14:textId="77777777" w:rsidR="00691555" w:rsidRDefault="006915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37EF" w14:textId="77777777" w:rsidR="00691555" w:rsidRDefault="006915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62A1" w14:textId="77777777" w:rsidR="00691555" w:rsidRDefault="00691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03ECC" w14:textId="77777777" w:rsidR="00EE489E" w:rsidRDefault="00EE489E" w:rsidP="00691555">
      <w:pPr>
        <w:spacing w:after="0" w:line="240" w:lineRule="auto"/>
      </w:pPr>
      <w:r>
        <w:separator/>
      </w:r>
    </w:p>
  </w:footnote>
  <w:footnote w:type="continuationSeparator" w:id="0">
    <w:p w14:paraId="1CA8D64A" w14:textId="77777777" w:rsidR="00EE489E" w:rsidRDefault="00EE489E" w:rsidP="00691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35E2" w14:textId="208CA73C" w:rsidR="00691555" w:rsidRDefault="00000000">
    <w:pPr>
      <w:pStyle w:val="Header"/>
    </w:pPr>
    <w:r>
      <w:rPr>
        <w:noProof/>
      </w:rPr>
      <w:pict w14:anchorId="1BC2F0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38862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252C" w14:textId="2A1D9B9F" w:rsidR="00691555" w:rsidRDefault="00000000">
    <w:pPr>
      <w:pStyle w:val="Header"/>
    </w:pPr>
    <w:r>
      <w:rPr>
        <w:noProof/>
      </w:rPr>
      <w:pict w14:anchorId="04541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38862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6A02" w14:textId="16B878D0" w:rsidR="00691555" w:rsidRDefault="00000000">
    <w:pPr>
      <w:pStyle w:val="Header"/>
    </w:pPr>
    <w:r>
      <w:rPr>
        <w:noProof/>
      </w:rPr>
      <w:pict w14:anchorId="52E78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38862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D5E49"/>
    <w:multiLevelType w:val="hybridMultilevel"/>
    <w:tmpl w:val="B09C0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582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F90"/>
    <w:rsid w:val="00033ACF"/>
    <w:rsid w:val="00046689"/>
    <w:rsid w:val="00060C01"/>
    <w:rsid w:val="00075BBA"/>
    <w:rsid w:val="000866E8"/>
    <w:rsid w:val="000A0131"/>
    <w:rsid w:val="000F70C0"/>
    <w:rsid w:val="000F7F83"/>
    <w:rsid w:val="001218C7"/>
    <w:rsid w:val="001362CF"/>
    <w:rsid w:val="001413A1"/>
    <w:rsid w:val="001C12FB"/>
    <w:rsid w:val="00210149"/>
    <w:rsid w:val="00261F16"/>
    <w:rsid w:val="002725AA"/>
    <w:rsid w:val="00272FC1"/>
    <w:rsid w:val="00294BB7"/>
    <w:rsid w:val="002B41A9"/>
    <w:rsid w:val="002C62E7"/>
    <w:rsid w:val="003245A2"/>
    <w:rsid w:val="003311A6"/>
    <w:rsid w:val="00345F90"/>
    <w:rsid w:val="00366546"/>
    <w:rsid w:val="00374796"/>
    <w:rsid w:val="003756AE"/>
    <w:rsid w:val="003760C6"/>
    <w:rsid w:val="003C0390"/>
    <w:rsid w:val="003D04E4"/>
    <w:rsid w:val="003E0610"/>
    <w:rsid w:val="00420748"/>
    <w:rsid w:val="00424013"/>
    <w:rsid w:val="004325FA"/>
    <w:rsid w:val="004817E1"/>
    <w:rsid w:val="00484BDF"/>
    <w:rsid w:val="004A5D81"/>
    <w:rsid w:val="004C15B5"/>
    <w:rsid w:val="004D02C2"/>
    <w:rsid w:val="004E5E69"/>
    <w:rsid w:val="00536B1E"/>
    <w:rsid w:val="00541829"/>
    <w:rsid w:val="005571FB"/>
    <w:rsid w:val="005A2357"/>
    <w:rsid w:val="005B02EF"/>
    <w:rsid w:val="005C172D"/>
    <w:rsid w:val="005C393C"/>
    <w:rsid w:val="0062640A"/>
    <w:rsid w:val="00630766"/>
    <w:rsid w:val="00691555"/>
    <w:rsid w:val="006919B5"/>
    <w:rsid w:val="006A6ED9"/>
    <w:rsid w:val="006B1E82"/>
    <w:rsid w:val="006C194B"/>
    <w:rsid w:val="006F537E"/>
    <w:rsid w:val="007073F3"/>
    <w:rsid w:val="00716103"/>
    <w:rsid w:val="00742633"/>
    <w:rsid w:val="00751B67"/>
    <w:rsid w:val="00783787"/>
    <w:rsid w:val="007D0E9D"/>
    <w:rsid w:val="007E7DE1"/>
    <w:rsid w:val="007F28C2"/>
    <w:rsid w:val="00811376"/>
    <w:rsid w:val="008356B7"/>
    <w:rsid w:val="0086688A"/>
    <w:rsid w:val="0088067D"/>
    <w:rsid w:val="008A27BC"/>
    <w:rsid w:val="008A39B9"/>
    <w:rsid w:val="008B7162"/>
    <w:rsid w:val="008D34FB"/>
    <w:rsid w:val="008D3698"/>
    <w:rsid w:val="008D79A4"/>
    <w:rsid w:val="008F3535"/>
    <w:rsid w:val="00942D75"/>
    <w:rsid w:val="0096248E"/>
    <w:rsid w:val="00992B91"/>
    <w:rsid w:val="009B2944"/>
    <w:rsid w:val="009B48CF"/>
    <w:rsid w:val="009B735D"/>
    <w:rsid w:val="009E394D"/>
    <w:rsid w:val="00A0474B"/>
    <w:rsid w:val="00A80672"/>
    <w:rsid w:val="00AF583E"/>
    <w:rsid w:val="00B117D0"/>
    <w:rsid w:val="00B91966"/>
    <w:rsid w:val="00B964A2"/>
    <w:rsid w:val="00BB3B04"/>
    <w:rsid w:val="00BD59CB"/>
    <w:rsid w:val="00BE72BA"/>
    <w:rsid w:val="00BF1937"/>
    <w:rsid w:val="00C573EB"/>
    <w:rsid w:val="00C63DFB"/>
    <w:rsid w:val="00C744E2"/>
    <w:rsid w:val="00C777E9"/>
    <w:rsid w:val="00C95BFB"/>
    <w:rsid w:val="00CA431E"/>
    <w:rsid w:val="00CA7116"/>
    <w:rsid w:val="00D7538C"/>
    <w:rsid w:val="00D826D7"/>
    <w:rsid w:val="00D9235B"/>
    <w:rsid w:val="00D93F3D"/>
    <w:rsid w:val="00DA15E6"/>
    <w:rsid w:val="00DC5D12"/>
    <w:rsid w:val="00DD293C"/>
    <w:rsid w:val="00E120D4"/>
    <w:rsid w:val="00E46D80"/>
    <w:rsid w:val="00E5092F"/>
    <w:rsid w:val="00E75163"/>
    <w:rsid w:val="00EB100B"/>
    <w:rsid w:val="00EC5325"/>
    <w:rsid w:val="00EE38E9"/>
    <w:rsid w:val="00EE489E"/>
    <w:rsid w:val="00EF5E88"/>
    <w:rsid w:val="00F0031E"/>
    <w:rsid w:val="00F65DA1"/>
    <w:rsid w:val="00F8046B"/>
    <w:rsid w:val="00F934A0"/>
    <w:rsid w:val="00FB143C"/>
    <w:rsid w:val="00FB6FD0"/>
    <w:rsid w:val="00FD1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CA576"/>
  <w15:chartTrackingRefBased/>
  <w15:docId w15:val="{DECBDFCE-32C2-48E5-BF00-D41AAB67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F90"/>
    <w:pPr>
      <w:spacing w:after="200" w:line="276" w:lineRule="auto"/>
    </w:pPr>
    <w:rPr>
      <w:rFonts w:ascii="Calibri" w:eastAsia="Calibri" w:hAnsi="Calibri" w:cs="Mangal"/>
      <w:kern w:val="0"/>
      <w:lang w:val="en-US"/>
      <w14:ligatures w14:val="none"/>
    </w:rPr>
  </w:style>
  <w:style w:type="paragraph" w:styleId="Heading1">
    <w:name w:val="heading 1"/>
    <w:basedOn w:val="Normal"/>
    <w:next w:val="Normal"/>
    <w:link w:val="Heading1Char"/>
    <w:uiPriority w:val="9"/>
    <w:qFormat/>
    <w:rsid w:val="00345F9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345F9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345F9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345F90"/>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345F90"/>
    <w:pPr>
      <w:keepNext/>
      <w:keepLines/>
      <w:spacing w:before="80" w:after="40" w:line="259" w:lineRule="auto"/>
      <w:outlineLvl w:val="4"/>
    </w:pPr>
    <w:rPr>
      <w:rFonts w:asciiTheme="minorHAnsi" w:eastAsiaTheme="majorEastAsia" w:hAnsiTheme="minorHAnsi"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345F90"/>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345F90"/>
    <w:pPr>
      <w:keepNext/>
      <w:keepLines/>
      <w:spacing w:before="40" w:after="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345F90"/>
    <w:pPr>
      <w:keepNext/>
      <w:keepLines/>
      <w:spacing w:after="0"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345F90"/>
    <w:pPr>
      <w:keepNext/>
      <w:keepLines/>
      <w:spacing w:after="0"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F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5F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5F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5F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5F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5F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F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F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F90"/>
    <w:rPr>
      <w:rFonts w:eastAsiaTheme="majorEastAsia" w:cstheme="majorBidi"/>
      <w:color w:val="272727" w:themeColor="text1" w:themeTint="D8"/>
    </w:rPr>
  </w:style>
  <w:style w:type="paragraph" w:styleId="Title">
    <w:name w:val="Title"/>
    <w:basedOn w:val="Normal"/>
    <w:next w:val="Normal"/>
    <w:link w:val="TitleChar"/>
    <w:uiPriority w:val="10"/>
    <w:qFormat/>
    <w:rsid w:val="00345F90"/>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345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F9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345F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F90"/>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345F90"/>
    <w:rPr>
      <w:i/>
      <w:iCs/>
      <w:color w:val="404040" w:themeColor="text1" w:themeTint="BF"/>
    </w:rPr>
  </w:style>
  <w:style w:type="paragraph" w:styleId="ListParagraph">
    <w:name w:val="List Paragraph"/>
    <w:basedOn w:val="Normal"/>
    <w:uiPriority w:val="34"/>
    <w:qFormat/>
    <w:rsid w:val="00345F90"/>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345F90"/>
    <w:rPr>
      <w:i/>
      <w:iCs/>
      <w:color w:val="2F5496" w:themeColor="accent1" w:themeShade="BF"/>
    </w:rPr>
  </w:style>
  <w:style w:type="paragraph" w:styleId="IntenseQuote">
    <w:name w:val="Intense Quote"/>
    <w:basedOn w:val="Normal"/>
    <w:next w:val="Normal"/>
    <w:link w:val="IntenseQuoteChar"/>
    <w:uiPriority w:val="30"/>
    <w:qFormat/>
    <w:rsid w:val="00345F9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345F90"/>
    <w:rPr>
      <w:i/>
      <w:iCs/>
      <w:color w:val="2F5496" w:themeColor="accent1" w:themeShade="BF"/>
    </w:rPr>
  </w:style>
  <w:style w:type="character" w:styleId="IntenseReference">
    <w:name w:val="Intense Reference"/>
    <w:basedOn w:val="DefaultParagraphFont"/>
    <w:uiPriority w:val="32"/>
    <w:qFormat/>
    <w:rsid w:val="00345F90"/>
    <w:rPr>
      <w:b/>
      <w:bCs/>
      <w:smallCaps/>
      <w:color w:val="2F5496" w:themeColor="accent1" w:themeShade="BF"/>
      <w:spacing w:val="5"/>
    </w:rPr>
  </w:style>
  <w:style w:type="table" w:styleId="TableGrid">
    <w:name w:val="Table Grid"/>
    <w:basedOn w:val="TableNormal"/>
    <w:uiPriority w:val="39"/>
    <w:rsid w:val="00345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735D"/>
    <w:rPr>
      <w:color w:val="0563C1" w:themeColor="hyperlink"/>
      <w:u w:val="single"/>
    </w:rPr>
  </w:style>
  <w:style w:type="character" w:customStyle="1" w:styleId="UnresolvedMention1">
    <w:name w:val="Unresolved Mention1"/>
    <w:basedOn w:val="DefaultParagraphFont"/>
    <w:uiPriority w:val="99"/>
    <w:semiHidden/>
    <w:unhideWhenUsed/>
    <w:rsid w:val="009B735D"/>
    <w:rPr>
      <w:color w:val="605E5C"/>
      <w:shd w:val="clear" w:color="auto" w:fill="E1DFDD"/>
    </w:rPr>
  </w:style>
  <w:style w:type="paragraph" w:styleId="Header">
    <w:name w:val="header"/>
    <w:basedOn w:val="Normal"/>
    <w:link w:val="HeaderChar"/>
    <w:uiPriority w:val="99"/>
    <w:unhideWhenUsed/>
    <w:rsid w:val="00691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555"/>
    <w:rPr>
      <w:rFonts w:ascii="Calibri" w:eastAsia="Calibri" w:hAnsi="Calibri" w:cs="Mangal"/>
      <w:kern w:val="0"/>
      <w:lang w:val="en-US"/>
      <w14:ligatures w14:val="none"/>
    </w:rPr>
  </w:style>
  <w:style w:type="paragraph" w:styleId="Footer">
    <w:name w:val="footer"/>
    <w:basedOn w:val="Normal"/>
    <w:link w:val="FooterChar"/>
    <w:uiPriority w:val="99"/>
    <w:unhideWhenUsed/>
    <w:rsid w:val="00691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555"/>
    <w:rPr>
      <w:rFonts w:ascii="Calibri" w:eastAsia="Calibri" w:hAnsi="Calibri" w:cs="Mang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final%20pdi%20tabl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07734960282282"/>
          <c:y val="0.12102747646054735"/>
          <c:w val="0.81698453877040189"/>
          <c:h val="0.74656755318172641"/>
        </c:manualLayout>
      </c:layout>
      <c:barChart>
        <c:barDir val="col"/>
        <c:grouping val="clustered"/>
        <c:varyColors val="0"/>
        <c:ser>
          <c:idx val="0"/>
          <c:order val="0"/>
          <c:tx>
            <c:strRef>
              <c:f>Sheet1!$AZ$41</c:f>
              <c:strCache>
                <c:ptCount val="1"/>
                <c:pt idx="0">
                  <c:v>PDC</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Sheet1!$AY$42:$AY$49</c:f>
              <c:strCache>
                <c:ptCount val="8"/>
                <c:pt idx="0">
                  <c:v>T1</c:v>
                </c:pt>
                <c:pt idx="1">
                  <c:v>T2</c:v>
                </c:pt>
                <c:pt idx="2">
                  <c:v>T3</c:v>
                </c:pt>
                <c:pt idx="3">
                  <c:v>T4</c:v>
                </c:pt>
                <c:pt idx="4">
                  <c:v>T5</c:v>
                </c:pt>
                <c:pt idx="5">
                  <c:v>T6</c:v>
                </c:pt>
                <c:pt idx="6">
                  <c:v>T7</c:v>
                </c:pt>
                <c:pt idx="7">
                  <c:v>T8</c:v>
                </c:pt>
              </c:strCache>
            </c:strRef>
          </c:cat>
          <c:val>
            <c:numRef>
              <c:f>Sheet1!$AZ$42:$AZ$49</c:f>
              <c:numCache>
                <c:formatCode>0.00</c:formatCode>
                <c:ptCount val="8"/>
                <c:pt idx="0">
                  <c:v>48.622651736858735</c:v>
                </c:pt>
                <c:pt idx="1">
                  <c:v>50.248336398885563</c:v>
                </c:pt>
                <c:pt idx="2">
                  <c:v>66.22638934723453</c:v>
                </c:pt>
                <c:pt idx="3">
                  <c:v>14.727108644237909</c:v>
                </c:pt>
                <c:pt idx="4">
                  <c:v>28.99050377176556</c:v>
                </c:pt>
                <c:pt idx="5">
                  <c:v>59.513091899920873</c:v>
                </c:pt>
                <c:pt idx="6">
                  <c:v>22.560859294335355</c:v>
                </c:pt>
                <c:pt idx="7" formatCode="General">
                  <c:v>0</c:v>
                </c:pt>
              </c:numCache>
            </c:numRef>
          </c:val>
          <c:extLst>
            <c:ext xmlns:c16="http://schemas.microsoft.com/office/drawing/2014/chart" uri="{C3380CC4-5D6E-409C-BE32-E72D297353CC}">
              <c16:uniqueId val="{00000000-ADC9-4429-9137-16F2D29768D8}"/>
            </c:ext>
          </c:extLst>
        </c:ser>
        <c:dLbls>
          <c:showLegendKey val="0"/>
          <c:showVal val="0"/>
          <c:showCatName val="0"/>
          <c:showSerName val="0"/>
          <c:showPercent val="0"/>
          <c:showBubbleSize val="0"/>
        </c:dLbls>
        <c:gapWidth val="199"/>
        <c:axId val="504391119"/>
        <c:axId val="504374319"/>
      </c:barChart>
      <c:catAx>
        <c:axId val="504391119"/>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TREATMENTS</a:t>
                </a:r>
              </a:p>
            </c:rich>
          </c:tx>
          <c:layout>
            <c:manualLayout>
              <c:xMode val="edge"/>
              <c:yMode val="edge"/>
              <c:x val="0.44198103357205154"/>
              <c:y val="0.93397054121775858"/>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504374319"/>
        <c:crosses val="autoZero"/>
        <c:auto val="1"/>
        <c:lblAlgn val="ctr"/>
        <c:lblOffset val="100"/>
        <c:noMultiLvlLbl val="0"/>
      </c:catAx>
      <c:valAx>
        <c:axId val="504374319"/>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PDC(%)</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39111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22E12-CE2A-4B2C-816F-A03FD78CA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3634</Words>
  <Characters>20716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 Prakash</dc:creator>
  <cp:keywords/>
  <dc:description/>
  <cp:lastModifiedBy>Anju Prakash</cp:lastModifiedBy>
  <cp:revision>16</cp:revision>
  <dcterms:created xsi:type="dcterms:W3CDTF">2025-09-11T14:20:00Z</dcterms:created>
  <dcterms:modified xsi:type="dcterms:W3CDTF">2025-09-12T04:53:00Z</dcterms:modified>
</cp:coreProperties>
</file>