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B042F" w14:textId="77777777" w:rsidR="00621C50" w:rsidRPr="00621C50" w:rsidRDefault="00621C50" w:rsidP="00621C50">
      <w:pPr>
        <w:spacing w:before="100" w:beforeAutospacing="1" w:after="100" w:afterAutospacing="1" w:line="360" w:lineRule="auto"/>
        <w:jc w:val="center"/>
        <w:outlineLvl w:val="2"/>
        <w:rPr>
          <w:rFonts w:ascii="Times New Roman" w:eastAsia="Times New Roman" w:hAnsi="Times New Roman" w:cs="Times New Roman"/>
          <w:b/>
          <w:bCs/>
          <w:i/>
          <w:iCs/>
          <w:sz w:val="24"/>
          <w:szCs w:val="24"/>
          <w:u w:val="single"/>
          <w:lang w:val="en-US" w:eastAsia="en-IN"/>
        </w:rPr>
      </w:pPr>
      <w:r w:rsidRPr="00621C50">
        <w:rPr>
          <w:rFonts w:ascii="Times New Roman" w:eastAsia="Times New Roman" w:hAnsi="Times New Roman" w:cs="Times New Roman"/>
          <w:b/>
          <w:bCs/>
          <w:i/>
          <w:iCs/>
          <w:sz w:val="24"/>
          <w:szCs w:val="24"/>
          <w:u w:val="single"/>
          <w:lang w:val="en-US" w:eastAsia="en-IN"/>
        </w:rPr>
        <w:t>Original Research Article</w:t>
      </w:r>
    </w:p>
    <w:p w14:paraId="213CA380" w14:textId="77777777" w:rsidR="00621C50" w:rsidRDefault="00621C50"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p>
    <w:p w14:paraId="24D8386C" w14:textId="2034B626" w:rsidR="00311BA9" w:rsidRDefault="0010623A" w:rsidP="0010623A">
      <w:pPr>
        <w:spacing w:before="100" w:beforeAutospacing="1" w:after="100" w:afterAutospacing="1" w:line="360" w:lineRule="auto"/>
        <w:jc w:val="center"/>
        <w:outlineLvl w:val="2"/>
        <w:rPr>
          <w:rFonts w:ascii="Times New Roman" w:eastAsia="Times New Roman" w:hAnsi="Times New Roman" w:cs="Times New Roman"/>
          <w:b/>
          <w:bCs/>
          <w:sz w:val="24"/>
          <w:szCs w:val="24"/>
          <w:lang w:eastAsia="en-IN"/>
        </w:rPr>
      </w:pPr>
      <w:r w:rsidRPr="0010623A">
        <w:rPr>
          <w:rFonts w:ascii="Times New Roman" w:eastAsia="Times New Roman" w:hAnsi="Times New Roman" w:cs="Times New Roman"/>
          <w:b/>
          <w:bCs/>
          <w:sz w:val="24"/>
          <w:szCs w:val="24"/>
          <w:lang w:eastAsia="en-IN"/>
        </w:rPr>
        <w:t>SOCIO-ECONOMIC PROFILE OF FARMER PRODUCER ORGANIZATION MEMBERS IN NORTH KARNATAKA: AN EMPIRICAL STUDY</w:t>
      </w:r>
    </w:p>
    <w:p w14:paraId="2D56C833" w14:textId="3AB280A2" w:rsidR="00D908E9" w:rsidRDefault="00D908E9" w:rsidP="00D908E9">
      <w:pPr>
        <w:spacing w:after="0" w:line="360" w:lineRule="auto"/>
        <w:jc w:val="center"/>
        <w:rPr>
          <w:rStyle w:val="Hyperlink"/>
          <w:rFonts w:ascii="Times New Roman" w:hAnsi="Times New Roman"/>
          <w:color w:val="000000" w:themeColor="text1"/>
          <w:sz w:val="24"/>
          <w:szCs w:val="24"/>
          <w:u w:val="none"/>
        </w:rPr>
      </w:pPr>
    </w:p>
    <w:p w14:paraId="6CFD9A65" w14:textId="77777777" w:rsidR="001C2160" w:rsidRPr="00D908E9" w:rsidRDefault="001C2160" w:rsidP="00D908E9">
      <w:pPr>
        <w:spacing w:after="0" w:line="360" w:lineRule="auto"/>
        <w:jc w:val="center"/>
        <w:rPr>
          <w:rStyle w:val="Hyperlink"/>
          <w:rFonts w:ascii="Times New Roman" w:hAnsi="Times New Roman"/>
          <w:color w:val="000000" w:themeColor="text1"/>
          <w:sz w:val="24"/>
          <w:szCs w:val="24"/>
          <w:u w:val="none"/>
        </w:rPr>
      </w:pPr>
    </w:p>
    <w:p w14:paraId="0B622C92" w14:textId="77777777" w:rsidR="00D72359" w:rsidRPr="000163D9" w:rsidRDefault="00D72359" w:rsidP="00D72359">
      <w:pPr>
        <w:autoSpaceDE w:val="0"/>
        <w:autoSpaceDN w:val="0"/>
        <w:adjustRightInd w:val="0"/>
        <w:spacing w:after="0" w:line="360" w:lineRule="auto"/>
        <w:jc w:val="center"/>
        <w:rPr>
          <w:rFonts w:ascii="Times New Roman" w:hAnsi="Times New Roman"/>
          <w:b/>
          <w:sz w:val="24"/>
          <w:szCs w:val="24"/>
        </w:rPr>
      </w:pPr>
      <w:r w:rsidRPr="00E63297">
        <w:rPr>
          <w:rFonts w:ascii="Times New Roman" w:hAnsi="Times New Roman"/>
          <w:b/>
          <w:sz w:val="24"/>
          <w:szCs w:val="24"/>
        </w:rPr>
        <w:t>ABSTRACT</w:t>
      </w:r>
    </w:p>
    <w:p w14:paraId="26B876E8" w14:textId="742C4FBD"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The study titled Socio-economic Profile of Farmer Producer Organization Members in North Karnataka: An Empirical Study was conducted to </w:t>
      </w:r>
      <w:proofErr w:type="spellStart"/>
      <w:r w:rsidRPr="00C42ED5">
        <w:rPr>
          <w:rFonts w:ascii="Times New Roman" w:eastAsia="Times New Roman" w:hAnsi="Times New Roman" w:cs="Times New Roman"/>
          <w:sz w:val="24"/>
          <w:szCs w:val="24"/>
          <w:lang w:eastAsia="en-IN"/>
        </w:rPr>
        <w:t>analyze</w:t>
      </w:r>
      <w:proofErr w:type="spellEnd"/>
      <w:r w:rsidRPr="00C42ED5">
        <w:rPr>
          <w:rFonts w:ascii="Times New Roman" w:eastAsia="Times New Roman" w:hAnsi="Times New Roman" w:cs="Times New Roman"/>
          <w:sz w:val="24"/>
          <w:szCs w:val="24"/>
          <w:lang w:eastAsia="en-IN"/>
        </w:rPr>
        <w:t xml:space="preserve"> the personal, socio-economic, and communication characteristics of Farmer Producer Organization (FPO) members in </w:t>
      </w:r>
      <w:proofErr w:type="spellStart"/>
      <w:r w:rsidRPr="00C42ED5">
        <w:rPr>
          <w:rFonts w:ascii="Times New Roman" w:eastAsia="Times New Roman" w:hAnsi="Times New Roman" w:cs="Times New Roman"/>
          <w:sz w:val="24"/>
          <w:szCs w:val="24"/>
          <w:lang w:eastAsia="en-IN"/>
        </w:rPr>
        <w:t>Vijayapura</w:t>
      </w:r>
      <w:proofErr w:type="spellEnd"/>
      <w:r w:rsidRPr="00C42ED5">
        <w:rPr>
          <w:rFonts w:ascii="Times New Roman" w:eastAsia="Times New Roman" w:hAnsi="Times New Roman" w:cs="Times New Roman"/>
          <w:sz w:val="24"/>
          <w:szCs w:val="24"/>
          <w:lang w:eastAsia="en-IN"/>
        </w:rPr>
        <w:t xml:space="preserve"> and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districts of Karnataka. An ex-post-facto research design was adopted, and data were collected from 120 randomly selected respondents across four FPOs using a simple random sampling technique. Standardized procedures and modified scales were employed to measure variables such as entrepreneurial </w:t>
      </w:r>
      <w:proofErr w:type="spellStart"/>
      <w:r w:rsidRPr="00C42ED5">
        <w:rPr>
          <w:rFonts w:ascii="Times New Roman" w:eastAsia="Times New Roman" w:hAnsi="Times New Roman" w:cs="Times New Roman"/>
          <w:sz w:val="24"/>
          <w:szCs w:val="24"/>
          <w:lang w:eastAsia="en-IN"/>
        </w:rPr>
        <w:t>behavior</w:t>
      </w:r>
      <w:proofErr w:type="spellEnd"/>
      <w:r w:rsidRPr="00C42ED5">
        <w:rPr>
          <w:rFonts w:ascii="Times New Roman" w:eastAsia="Times New Roman" w:hAnsi="Times New Roman" w:cs="Times New Roman"/>
          <w:sz w:val="24"/>
          <w:szCs w:val="24"/>
          <w:lang w:eastAsia="en-IN"/>
        </w:rPr>
        <w:t>, benefits derived, education, landholding, annual income, extension contact, extension participation, mass media exposure, scientific orientation, and social participation.</w:t>
      </w:r>
    </w:p>
    <w:p w14:paraId="0DB65ADB" w14:textId="28958E0C"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The findings revealed that 41.67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were in the middle-age group (38–48 years), and 44.17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completed high school, while 30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were graduates or above, indicating a relatively well-educated farming community. A majority (74.17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were medium landholders (10.01–25 acres), and 56.67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practiced agriculture integrated with animal husbandry, showing the importance of mixed farming systems. Regarding income, 67.50</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belonged to the medium-income category, whereas only 13.33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had high incomes. However, 38.33</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of respondents showed low scientific orientation, and 39.17</w:t>
      </w:r>
      <w:r w:rsidR="00C42ED5">
        <w:rPr>
          <w:rFonts w:ascii="Times New Roman" w:eastAsia="Times New Roman" w:hAnsi="Times New Roman" w:cs="Times New Roman"/>
          <w:sz w:val="24"/>
          <w:szCs w:val="24"/>
          <w:lang w:eastAsia="en-IN"/>
        </w:rPr>
        <w:t xml:space="preserve"> per cent</w:t>
      </w:r>
      <w:r w:rsidRPr="00C42ED5">
        <w:rPr>
          <w:rFonts w:ascii="Times New Roman" w:eastAsia="Times New Roman" w:hAnsi="Times New Roman" w:cs="Times New Roman"/>
          <w:sz w:val="24"/>
          <w:szCs w:val="24"/>
          <w:lang w:eastAsia="en-IN"/>
        </w:rPr>
        <w:t xml:space="preserve"> reported low extension contact, indicating gaps in adopting modern practices and accessing institutional support.</w:t>
      </w:r>
    </w:p>
    <w:p w14:paraId="27C83C5B" w14:textId="77777777" w:rsidR="00733078" w:rsidRPr="00C42ED5" w:rsidRDefault="00733078" w:rsidP="00733078">
      <w:pPr>
        <w:spacing w:line="360" w:lineRule="auto"/>
        <w:ind w:firstLine="720"/>
        <w:jc w:val="both"/>
        <w:rPr>
          <w:rFonts w:ascii="Times New Roman" w:eastAsia="Times New Roman" w:hAnsi="Times New Roman" w:cs="Times New Roman"/>
          <w:sz w:val="24"/>
          <w:szCs w:val="24"/>
          <w:lang w:eastAsia="en-IN"/>
        </w:rPr>
      </w:pPr>
      <w:r w:rsidRPr="00C42ED5">
        <w:rPr>
          <w:rFonts w:ascii="Times New Roman" w:eastAsia="Times New Roman" w:hAnsi="Times New Roman" w:cs="Times New Roman"/>
          <w:sz w:val="24"/>
          <w:szCs w:val="24"/>
          <w:lang w:eastAsia="en-IN"/>
        </w:rPr>
        <w:t xml:space="preserve">A comparative analysis revealed that </w:t>
      </w:r>
      <w:proofErr w:type="spellStart"/>
      <w:r w:rsidRPr="00C42ED5">
        <w:rPr>
          <w:rFonts w:ascii="Times New Roman" w:eastAsia="Times New Roman" w:hAnsi="Times New Roman" w:cs="Times New Roman"/>
          <w:sz w:val="24"/>
          <w:szCs w:val="24"/>
          <w:lang w:eastAsia="en-IN"/>
        </w:rPr>
        <w:t>Bagalkote</w:t>
      </w:r>
      <w:proofErr w:type="spellEnd"/>
      <w:r w:rsidRPr="00C42ED5">
        <w:rPr>
          <w:rFonts w:ascii="Times New Roman" w:eastAsia="Times New Roman" w:hAnsi="Times New Roman" w:cs="Times New Roman"/>
          <w:sz w:val="24"/>
          <w:szCs w:val="24"/>
          <w:lang w:eastAsia="en-IN"/>
        </w:rPr>
        <w:t xml:space="preserve"> farmers performed better in education, landholding, income, extension contact, and participation, while no significant differences were observed in age, occupation, scientific orientation, and mass media exposure. The study concludes that strengthening extension services, ICT-based platforms, and entrepreneurial training can enhance FPO members’ capabilities, fostering innovation, income diversification, and sustainable livelihoods.</w:t>
      </w:r>
    </w:p>
    <w:p w14:paraId="47C03CC2" w14:textId="77777777" w:rsidR="00733078" w:rsidRPr="00733078" w:rsidRDefault="00733078" w:rsidP="00733078">
      <w:pPr>
        <w:spacing w:line="360" w:lineRule="auto"/>
        <w:ind w:firstLine="720"/>
        <w:jc w:val="both"/>
        <w:rPr>
          <w:rFonts w:ascii="Times New Roman" w:eastAsia="Times New Roman" w:hAnsi="Times New Roman" w:cs="Times New Roman"/>
          <w:sz w:val="24"/>
          <w:szCs w:val="24"/>
          <w:lang w:eastAsia="en-IN"/>
        </w:rPr>
      </w:pPr>
      <w:r w:rsidRPr="00733078">
        <w:rPr>
          <w:rFonts w:ascii="Times New Roman" w:eastAsia="Times New Roman" w:hAnsi="Times New Roman" w:cs="Times New Roman"/>
          <w:b/>
          <w:bCs/>
          <w:sz w:val="24"/>
          <w:szCs w:val="24"/>
          <w:lang w:eastAsia="en-IN"/>
        </w:rPr>
        <w:lastRenderedPageBreak/>
        <w:t>Keywords:</w:t>
      </w:r>
      <w:r w:rsidRPr="00733078">
        <w:rPr>
          <w:rFonts w:ascii="Times New Roman" w:eastAsia="Times New Roman" w:hAnsi="Times New Roman" w:cs="Times New Roman"/>
          <w:sz w:val="24"/>
          <w:szCs w:val="24"/>
          <w:lang w:eastAsia="en-IN"/>
        </w:rPr>
        <w:t xml:space="preserve"> Farmer Producer Organizations, Socio-economic profile, Extension contact, Scientific orientation, Karnataka.</w:t>
      </w:r>
    </w:p>
    <w:p w14:paraId="311F5BAD" w14:textId="442AE100" w:rsidR="00F32C0A" w:rsidRPr="00C42ED5" w:rsidRDefault="00F32C0A" w:rsidP="00C42ED5">
      <w:pPr>
        <w:pStyle w:val="ListParagraph"/>
        <w:numPr>
          <w:ilvl w:val="0"/>
          <w:numId w:val="6"/>
        </w:numPr>
        <w:spacing w:line="360" w:lineRule="auto"/>
        <w:jc w:val="both"/>
        <w:rPr>
          <w:rFonts w:ascii="Times New Roman" w:eastAsia="Times New Roman" w:hAnsi="Times New Roman" w:cs="Times New Roman"/>
          <w:b/>
          <w:bCs/>
          <w:sz w:val="27"/>
          <w:szCs w:val="27"/>
          <w:lang w:eastAsia="en-IN"/>
        </w:rPr>
      </w:pPr>
      <w:bookmarkStart w:id="0" w:name="_Hlk207286222"/>
      <w:r w:rsidRPr="00C42ED5">
        <w:rPr>
          <w:rFonts w:ascii="Times New Roman" w:eastAsia="Times New Roman" w:hAnsi="Times New Roman" w:cs="Times New Roman"/>
          <w:b/>
          <w:bCs/>
          <w:sz w:val="27"/>
          <w:szCs w:val="27"/>
          <w:lang w:eastAsia="en-IN"/>
        </w:rPr>
        <w:t>Introduction</w:t>
      </w:r>
    </w:p>
    <w:p w14:paraId="1B0CD3F7" w14:textId="012241CC" w:rsidR="00F32C0A" w:rsidRPr="00F32C0A" w:rsidRDefault="0010623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establishment of Farmer Producer Organizations (FPOs) is pivotal in enhancing farmers' well-being and uplifting rural economies.</w:t>
      </w:r>
      <w:r>
        <w:rPr>
          <w:rFonts w:ascii="Times New Roman" w:eastAsia="Times New Roman" w:hAnsi="Times New Roman" w:cs="Times New Roman"/>
          <w:sz w:val="24"/>
          <w:szCs w:val="24"/>
          <w:lang w:eastAsia="en-IN"/>
        </w:rPr>
        <w:t xml:space="preserve"> </w:t>
      </w:r>
      <w:r w:rsidR="00F32C0A" w:rsidRPr="00F32C0A">
        <w:rPr>
          <w:rFonts w:ascii="Times New Roman" w:eastAsia="Times New Roman" w:hAnsi="Times New Roman" w:cs="Times New Roman"/>
          <w:sz w:val="24"/>
          <w:szCs w:val="24"/>
          <w:lang w:eastAsia="en-IN"/>
        </w:rPr>
        <w:t>The primary objective of FPOs is to empower small-scale farmers by providing essential forward and backward linkages. By removing middlemen, fostering collective negotiation, strengthening trade networks, and establishing farm-level processing facilities within villages, FPOs play a crucial role in bridging key gaps in the agricultural supply chain (Sangappa, 2023).</w:t>
      </w:r>
    </w:p>
    <w:p w14:paraId="562C7595" w14:textId="1A42EEA7" w:rsidR="00F32C0A" w:rsidRPr="00F32C0A" w:rsidRDefault="00F32C0A" w:rsidP="001062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These organizations hold substantial socio-political and economic significance. From a political standpoint, FPOs amplify farmers' voices, ensuring their concerns are acknowledged in policy formulation. Economically, these organizations equip farmers with critical resources, facilitate access to agricultural inputs, and open up expanded marketing avenues, which can lead to improved earnings. The FPO framework is designed to consolidate input procurement and product aggregation for small farmers, thereby minimizing their reliance on middlemen and enhancing access to technology, financing, and wider markets.</w:t>
      </w:r>
    </w:p>
    <w:p w14:paraId="02A7C095" w14:textId="50095923"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 xml:space="preserve">Legally, FPOs are constituted as corporate entities under the Companies Act of 2002, addressing the limitations of traditional cooperative societies while leveraging their benefits. Governed by farmer-members, these organizations operate in a way that ensures profits are directly redistributed among their members. The Ministry of Agriculture has entrusted the Small Farmers Agribusiness Consortium (SFAC) with the responsibility of supporting and developing FPOs. The effectiveness of these organizations is evident in their ability to enhance farmers’ earnings through collective activities such as purchasing inputs, marketing, and value-added processing. </w:t>
      </w:r>
    </w:p>
    <w:p w14:paraId="7893B35F" w14:textId="7C120741"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Farmer Producer Organizations (FPOs) have been established across India with assistance from SFAC and NABARD, resulting in the registration of 1,344 FPOs across the country</w:t>
      </w:r>
      <w:r w:rsidRPr="008208A6">
        <w:rPr>
          <w:rFonts w:ascii="Times New Roman" w:eastAsia="Times New Roman" w:hAnsi="Times New Roman" w:cs="Times New Roman"/>
          <w:sz w:val="24"/>
          <w:szCs w:val="24"/>
          <w:highlight w:val="yellow"/>
          <w:lang w:eastAsia="en-IN"/>
        </w:rPr>
        <w:t>.</w:t>
      </w:r>
      <w:r w:rsidRPr="00F32C0A">
        <w:rPr>
          <w:rFonts w:ascii="Times New Roman" w:eastAsia="Times New Roman" w:hAnsi="Times New Roman" w:cs="Times New Roman"/>
          <w:sz w:val="24"/>
          <w:szCs w:val="24"/>
          <w:lang w:eastAsia="en-IN"/>
        </w:rPr>
        <w:t xml:space="preserve"> Of these, NABARD has extended support to 2,168 FPOs (71.22</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w:t>
      </w:r>
      <w:r w:rsidRPr="002A3EC1">
        <w:rPr>
          <w:rFonts w:ascii="Times New Roman" w:eastAsia="Times New Roman" w:hAnsi="Times New Roman" w:cs="Times New Roman"/>
          <w:sz w:val="24"/>
          <w:szCs w:val="24"/>
          <w:lang w:eastAsia="en-IN"/>
        </w:rPr>
        <w:t>while</w:t>
      </w:r>
      <w:r w:rsidRPr="00F32C0A">
        <w:rPr>
          <w:rFonts w:ascii="Times New Roman" w:eastAsia="Times New Roman" w:hAnsi="Times New Roman" w:cs="Times New Roman"/>
          <w:sz w:val="24"/>
          <w:szCs w:val="24"/>
          <w:lang w:eastAsia="en-IN"/>
        </w:rPr>
        <w:t xml:space="preserve"> SFAC has facilitated the formation of 876 FPOs (28.78</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w:t>
      </w:r>
      <w:r w:rsidR="008208A6">
        <w:rPr>
          <w:rFonts w:ascii="Times New Roman" w:eastAsia="Times New Roman" w:hAnsi="Times New Roman" w:cs="Times New Roman"/>
          <w:sz w:val="24"/>
          <w:szCs w:val="24"/>
          <w:lang w:eastAsia="en-IN"/>
        </w:rPr>
        <w:t xml:space="preserve"> </w:t>
      </w:r>
      <w:r w:rsidR="008208A6" w:rsidRPr="002A3EC1">
        <w:rPr>
          <w:rFonts w:ascii="Times New Roman" w:eastAsia="Times New Roman" w:hAnsi="Times New Roman" w:cs="Times New Roman"/>
          <w:sz w:val="24"/>
          <w:szCs w:val="24"/>
          <w:lang w:eastAsia="en-IN"/>
        </w:rPr>
        <w:t>(</w:t>
      </w:r>
      <w:r w:rsidR="002A3EC1" w:rsidRPr="002A3EC1">
        <w:rPr>
          <w:rFonts w:ascii="Times New Roman" w:eastAsia="Times New Roman" w:hAnsi="Times New Roman" w:cs="Times New Roman"/>
          <w:sz w:val="24"/>
          <w:szCs w:val="24"/>
          <w:lang w:eastAsia="en-IN"/>
        </w:rPr>
        <w:t>Subodh &amp; Goyal, 2022</w:t>
      </w:r>
      <w:proofErr w:type="gramStart"/>
      <w:r w:rsidR="008208A6" w:rsidRPr="002A3EC1">
        <w:rPr>
          <w:rFonts w:ascii="Times New Roman" w:eastAsia="Times New Roman" w:hAnsi="Times New Roman" w:cs="Times New Roman"/>
          <w:sz w:val="24"/>
          <w:szCs w:val="24"/>
          <w:lang w:eastAsia="en-IN"/>
        </w:rPr>
        <w:t xml:space="preserve">) </w:t>
      </w:r>
      <w:r w:rsidRPr="002A3EC1">
        <w:rPr>
          <w:rFonts w:ascii="Times New Roman" w:eastAsia="Times New Roman" w:hAnsi="Times New Roman" w:cs="Times New Roman"/>
          <w:sz w:val="24"/>
          <w:szCs w:val="24"/>
          <w:lang w:eastAsia="en-IN"/>
        </w:rPr>
        <w:t>.</w:t>
      </w:r>
      <w:proofErr w:type="gramEnd"/>
      <w:r w:rsidRPr="00F32C0A">
        <w:rPr>
          <w:rFonts w:ascii="Times New Roman" w:eastAsia="Times New Roman" w:hAnsi="Times New Roman" w:cs="Times New Roman"/>
          <w:sz w:val="24"/>
          <w:szCs w:val="24"/>
          <w:lang w:eastAsia="en-IN"/>
        </w:rPr>
        <w:t xml:space="preserve"> Madhya Pradesh holds the largest proportion of FPOs, accounting for 10.15</w:t>
      </w:r>
      <w:r w:rsidR="00C42ED5">
        <w:rPr>
          <w:rFonts w:ascii="Times New Roman" w:eastAsia="Times New Roman" w:hAnsi="Times New Roman" w:cs="Times New Roman"/>
          <w:sz w:val="24"/>
          <w:szCs w:val="24"/>
          <w:lang w:eastAsia="en-IN"/>
        </w:rPr>
        <w:t xml:space="preserve"> per cent</w:t>
      </w:r>
      <w:r w:rsidRPr="00F32C0A">
        <w:rPr>
          <w:rFonts w:ascii="Times New Roman" w:eastAsia="Times New Roman" w:hAnsi="Times New Roman" w:cs="Times New Roman"/>
          <w:sz w:val="24"/>
          <w:szCs w:val="24"/>
          <w:lang w:eastAsia="en-IN"/>
        </w:rPr>
        <w:t xml:space="preserve"> of the </w:t>
      </w:r>
      <w:r w:rsidRPr="002A3EC1">
        <w:rPr>
          <w:rFonts w:ascii="Times New Roman" w:eastAsia="Times New Roman" w:hAnsi="Times New Roman" w:cs="Times New Roman"/>
          <w:sz w:val="24"/>
          <w:szCs w:val="24"/>
          <w:lang w:eastAsia="en-IN"/>
        </w:rPr>
        <w:t>total</w:t>
      </w:r>
      <w:r w:rsidRPr="00F32C0A">
        <w:rPr>
          <w:rFonts w:ascii="Times New Roman" w:eastAsia="Times New Roman" w:hAnsi="Times New Roman" w:cs="Times New Roman"/>
          <w:sz w:val="24"/>
          <w:szCs w:val="24"/>
          <w:lang w:eastAsia="en-IN"/>
        </w:rPr>
        <w:t xml:space="preserve"> registered organizations nationwide. On average, each FPO consists of approximately 582 </w:t>
      </w:r>
      <w:r w:rsidRPr="00F32C0A">
        <w:rPr>
          <w:rFonts w:ascii="Times New Roman" w:eastAsia="Times New Roman" w:hAnsi="Times New Roman" w:cs="Times New Roman"/>
          <w:sz w:val="24"/>
          <w:szCs w:val="24"/>
          <w:lang w:eastAsia="en-IN"/>
        </w:rPr>
        <w:lastRenderedPageBreak/>
        <w:t>farmers. Additionally, nearly half of all FPO members are concentrated in five states: Madhya Pradesh, Karnataka, West Bengal, Maharashtra, and Tamil Nadu.</w:t>
      </w:r>
      <w:r w:rsidR="002A3EC1" w:rsidRPr="002A3EC1">
        <w:rPr>
          <w:rFonts w:ascii="Times New Roman" w:eastAsia="Times New Roman" w:hAnsi="Times New Roman" w:cs="Times New Roman"/>
          <w:sz w:val="24"/>
          <w:szCs w:val="24"/>
          <w:lang w:eastAsia="en-IN"/>
        </w:rPr>
        <w:t xml:space="preserve"> (Subodh &amp; Goyal, 2022)</w:t>
      </w:r>
    </w:p>
    <w:p w14:paraId="419B1D2C" w14:textId="5310B698" w:rsidR="00F32C0A" w:rsidRPr="00F32C0A" w:rsidRDefault="00F32C0A" w:rsidP="00B92000">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F32C0A">
        <w:rPr>
          <w:rFonts w:ascii="Times New Roman" w:eastAsia="Times New Roman" w:hAnsi="Times New Roman" w:cs="Times New Roman"/>
          <w:b/>
          <w:bCs/>
          <w:sz w:val="27"/>
          <w:szCs w:val="27"/>
          <w:lang w:eastAsia="en-IN"/>
        </w:rPr>
        <w:t>1.</w:t>
      </w:r>
      <w:r w:rsidR="00B92000">
        <w:rPr>
          <w:rFonts w:ascii="Times New Roman" w:eastAsia="Times New Roman" w:hAnsi="Times New Roman" w:cs="Times New Roman"/>
          <w:b/>
          <w:bCs/>
          <w:sz w:val="27"/>
          <w:szCs w:val="27"/>
          <w:lang w:eastAsia="en-IN"/>
        </w:rPr>
        <w:t xml:space="preserve">1 </w:t>
      </w:r>
      <w:r w:rsidRPr="00F32C0A">
        <w:rPr>
          <w:rFonts w:ascii="Times New Roman" w:eastAsia="Times New Roman" w:hAnsi="Times New Roman" w:cs="Times New Roman"/>
          <w:b/>
          <w:bCs/>
          <w:sz w:val="27"/>
          <w:szCs w:val="27"/>
          <w:lang w:eastAsia="en-IN"/>
        </w:rPr>
        <w:t>Supporting Agencies</w:t>
      </w:r>
    </w:p>
    <w:p w14:paraId="76BAFB0C" w14:textId="77777777" w:rsidR="00F32C0A" w:rsidRPr="00F32C0A" w:rsidRDefault="00F32C0A"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32C0A">
        <w:rPr>
          <w:rFonts w:ascii="Times New Roman" w:eastAsia="Times New Roman" w:hAnsi="Times New Roman" w:cs="Times New Roman"/>
          <w:sz w:val="24"/>
          <w:szCs w:val="24"/>
          <w:lang w:eastAsia="en-IN"/>
        </w:rPr>
        <w:t>The Government of India, through the Central Sector Scheme, oversees the formation and promotion of Farmer Producer Organizations (FPOs) via designated Implementing Agencies (IAs). Currently, nine such agencies have been appointed: the Small Farmers Agribusiness Consortium (SFAC), the National Cooperative Development Corporation (NCDC), the National Bank for Agriculture and Rural Development (NABARD), the National Agricultural Cooperative Marketing Federation of India (NAFED), the North Eastern Regional Agricultural Marketing Corporation Limited (NERAMAC), Tamil Nadu-Small Farmers Agribusiness Consortium (TN-SFAC), Small Farmers Agribusiness Consortium Haryana (SFACH), the Watershed Development Department (WDD) of Karnataka, and the Foundation for Development of Rural Value Chains (FDRVC) under the Ministry of Rural Development (MoRD).</w:t>
      </w:r>
    </w:p>
    <w:p w14:paraId="4443277F" w14:textId="50DABABA" w:rsidR="00F32C0A" w:rsidRPr="00311BA9" w:rsidRDefault="00311BA9" w:rsidP="00F32C0A">
      <w:pPr>
        <w:spacing w:before="100" w:beforeAutospacing="1" w:after="100" w:afterAutospacing="1" w:line="240" w:lineRule="auto"/>
        <w:jc w:val="both"/>
        <w:rPr>
          <w:rFonts w:ascii="Times New Roman" w:eastAsia="Times New Roman" w:hAnsi="Times New Roman" w:cs="Times New Roman"/>
          <w:b/>
          <w:sz w:val="27"/>
          <w:szCs w:val="27"/>
          <w:lang w:val="en-US" w:eastAsia="en-IN"/>
        </w:rPr>
      </w:pPr>
      <w:bookmarkStart w:id="1" w:name="_Hlk194794092"/>
      <w:r w:rsidRPr="00311BA9">
        <w:rPr>
          <w:rFonts w:ascii="Times New Roman" w:eastAsia="Times New Roman" w:hAnsi="Times New Roman" w:cs="Times New Roman"/>
          <w:b/>
          <w:sz w:val="27"/>
          <w:szCs w:val="27"/>
          <w:lang w:val="en-US" w:eastAsia="en-IN"/>
        </w:rPr>
        <w:t>2</w:t>
      </w:r>
      <w:r w:rsidR="00B92000">
        <w:rPr>
          <w:rFonts w:ascii="Times New Roman" w:eastAsia="Times New Roman" w:hAnsi="Times New Roman" w:cs="Times New Roman"/>
          <w:b/>
          <w:sz w:val="27"/>
          <w:szCs w:val="27"/>
          <w:lang w:val="en-US" w:eastAsia="en-IN"/>
        </w:rPr>
        <w:t xml:space="preserve">. </w:t>
      </w:r>
      <w:r w:rsidR="00F32C0A" w:rsidRPr="00F32C0A">
        <w:rPr>
          <w:rFonts w:ascii="Times New Roman" w:eastAsia="Times New Roman" w:hAnsi="Times New Roman" w:cs="Times New Roman"/>
          <w:b/>
          <w:sz w:val="27"/>
          <w:szCs w:val="27"/>
          <w:lang w:val="en-US" w:eastAsia="en-IN"/>
        </w:rPr>
        <w:t>Methodology</w:t>
      </w:r>
    </w:p>
    <w:p w14:paraId="64A3D52C" w14:textId="158CFFF7" w:rsidR="00F32C0A" w:rsidRPr="00050FD5" w:rsidRDefault="00B92000" w:rsidP="00F32C0A">
      <w:pPr>
        <w:spacing w:before="120" w:after="120" w:line="440" w:lineRule="atLeast"/>
        <w:jc w:val="both"/>
        <w:rPr>
          <w:rFonts w:ascii="Times New Roman" w:hAnsi="Times New Roman"/>
          <w:b/>
          <w:sz w:val="24"/>
          <w:szCs w:val="24"/>
        </w:rPr>
      </w:pPr>
      <w:r>
        <w:rPr>
          <w:rFonts w:ascii="Times New Roman" w:hAnsi="Times New Roman"/>
          <w:b/>
          <w:sz w:val="24"/>
          <w:szCs w:val="24"/>
        </w:rPr>
        <w:t>2.1</w:t>
      </w:r>
      <w:r w:rsidR="00F32C0A" w:rsidRPr="00050FD5">
        <w:rPr>
          <w:rFonts w:ascii="Times New Roman" w:hAnsi="Times New Roman"/>
          <w:b/>
          <w:sz w:val="24"/>
          <w:szCs w:val="24"/>
        </w:rPr>
        <w:t xml:space="preserve"> Research design</w:t>
      </w:r>
    </w:p>
    <w:p w14:paraId="71B02598" w14:textId="406E0D66" w:rsidR="00B92000" w:rsidRDefault="00B92000" w:rsidP="00B92000">
      <w:pPr>
        <w:spacing w:before="120" w:after="120" w:line="360" w:lineRule="auto"/>
        <w:ind w:firstLine="720"/>
        <w:jc w:val="both"/>
        <w:rPr>
          <w:rFonts w:ascii="Times New Roman" w:hAnsi="Times New Roman"/>
          <w:sz w:val="24"/>
          <w:szCs w:val="24"/>
        </w:rPr>
      </w:pPr>
      <w:r w:rsidRPr="00B92000">
        <w:rPr>
          <w:rFonts w:ascii="Times New Roman" w:hAnsi="Times New Roman"/>
          <w:sz w:val="24"/>
          <w:szCs w:val="24"/>
        </w:rPr>
        <w:t>The study employed an ex-post-facto research design, as it was suitable for examining events that had already taken place. This design involves a structured empirical investigation where the independent variables are not manipulated by the researcher, since they have already occurred naturally and are inherent to the context being studied.</w:t>
      </w:r>
      <w:r>
        <w:rPr>
          <w:rFonts w:ascii="Times New Roman" w:hAnsi="Times New Roman"/>
          <w:sz w:val="24"/>
          <w:szCs w:val="24"/>
        </w:rPr>
        <w:t xml:space="preserve"> </w:t>
      </w:r>
    </w:p>
    <w:p w14:paraId="14CD190A" w14:textId="25DD4B8B" w:rsidR="00F32C0A" w:rsidRDefault="00B92000" w:rsidP="00F32C0A">
      <w:pPr>
        <w:spacing w:before="120" w:after="120" w:line="240" w:lineRule="auto"/>
        <w:jc w:val="both"/>
        <w:rPr>
          <w:rFonts w:ascii="Times New Roman" w:hAnsi="Times New Roman"/>
          <w:b/>
          <w:bCs/>
          <w:sz w:val="24"/>
          <w:szCs w:val="24"/>
        </w:rPr>
      </w:pPr>
      <w:r>
        <w:rPr>
          <w:rFonts w:ascii="Times New Roman" w:hAnsi="Times New Roman"/>
          <w:b/>
          <w:bCs/>
          <w:sz w:val="24"/>
          <w:szCs w:val="24"/>
        </w:rPr>
        <w:t>2</w:t>
      </w:r>
      <w:r w:rsidR="00F32C0A" w:rsidRPr="00311BA9">
        <w:rPr>
          <w:rFonts w:ascii="Times New Roman" w:hAnsi="Times New Roman"/>
          <w:b/>
          <w:bCs/>
          <w:sz w:val="24"/>
          <w:szCs w:val="24"/>
        </w:rPr>
        <w:t xml:space="preserve">.2 </w:t>
      </w:r>
      <w:r w:rsidR="00311BA9" w:rsidRPr="00311BA9">
        <w:rPr>
          <w:rFonts w:ascii="Times New Roman" w:hAnsi="Times New Roman"/>
          <w:b/>
          <w:bCs/>
          <w:sz w:val="24"/>
          <w:szCs w:val="24"/>
        </w:rPr>
        <w:t>S</w:t>
      </w:r>
      <w:r w:rsidR="00F32C0A" w:rsidRPr="00311BA9">
        <w:rPr>
          <w:rFonts w:ascii="Times New Roman" w:hAnsi="Times New Roman"/>
          <w:b/>
          <w:bCs/>
          <w:sz w:val="24"/>
          <w:szCs w:val="24"/>
        </w:rPr>
        <w:t xml:space="preserve">election of </w:t>
      </w:r>
      <w:r w:rsidR="00311BA9" w:rsidRPr="00311BA9">
        <w:rPr>
          <w:rFonts w:ascii="Times New Roman" w:hAnsi="Times New Roman"/>
          <w:b/>
          <w:bCs/>
          <w:sz w:val="24"/>
          <w:szCs w:val="24"/>
        </w:rPr>
        <w:t>respondents</w:t>
      </w:r>
    </w:p>
    <w:bookmarkEnd w:id="1"/>
    <w:p w14:paraId="1ED27B35" w14:textId="77777777" w:rsidR="00B92000" w:rsidRDefault="00B92000" w:rsidP="00B9200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B92000">
        <w:rPr>
          <w:rFonts w:ascii="Times New Roman" w:eastAsia="Times New Roman" w:hAnsi="Times New Roman" w:cs="Times New Roman"/>
          <w:sz w:val="24"/>
          <w:szCs w:val="24"/>
          <w:lang w:eastAsia="en-IN"/>
        </w:rPr>
        <w:t xml:space="preserve">The study adopted a simple random sampling technique to select 120 farmers from various Farmer Producer Organizations (FPOs) in the </w:t>
      </w:r>
      <w:proofErr w:type="spellStart"/>
      <w:r w:rsidRPr="00B92000">
        <w:rPr>
          <w:rFonts w:ascii="Times New Roman" w:eastAsia="Times New Roman" w:hAnsi="Times New Roman" w:cs="Times New Roman"/>
          <w:sz w:val="24"/>
          <w:szCs w:val="24"/>
          <w:lang w:eastAsia="en-IN"/>
        </w:rPr>
        <w:t>Vijayapura</w:t>
      </w:r>
      <w:proofErr w:type="spellEnd"/>
      <w:r w:rsidRPr="00B92000">
        <w:rPr>
          <w:rFonts w:ascii="Times New Roman" w:eastAsia="Times New Roman" w:hAnsi="Times New Roman" w:cs="Times New Roman"/>
          <w:sz w:val="24"/>
          <w:szCs w:val="24"/>
          <w:lang w:eastAsia="en-IN"/>
        </w:rPr>
        <w:t xml:space="preserve"> and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districts, ensuring equitable and diverse representation across different agricultural activities. In Vijayapura district, 30 respondents were drawn from the </w:t>
      </w:r>
      <w:proofErr w:type="spellStart"/>
      <w:r w:rsidRPr="00B92000">
        <w:rPr>
          <w:rFonts w:ascii="Times New Roman" w:eastAsia="Times New Roman" w:hAnsi="Times New Roman" w:cs="Times New Roman"/>
          <w:sz w:val="24"/>
          <w:szCs w:val="24"/>
          <w:lang w:eastAsia="en-IN"/>
        </w:rPr>
        <w:t>Basavanbagewadi</w:t>
      </w:r>
      <w:proofErr w:type="spellEnd"/>
      <w:r w:rsidRPr="00B92000">
        <w:rPr>
          <w:rFonts w:ascii="Times New Roman" w:eastAsia="Times New Roman" w:hAnsi="Times New Roman" w:cs="Times New Roman"/>
          <w:sz w:val="24"/>
          <w:szCs w:val="24"/>
          <w:lang w:eastAsia="en-IN"/>
        </w:rPr>
        <w:t xml:space="preserve"> Horticulture Farmer Producer Company Limited located in </w:t>
      </w:r>
      <w:proofErr w:type="spellStart"/>
      <w:r w:rsidRPr="00B92000">
        <w:rPr>
          <w:rFonts w:ascii="Times New Roman" w:eastAsia="Times New Roman" w:hAnsi="Times New Roman" w:cs="Times New Roman"/>
          <w:sz w:val="24"/>
          <w:szCs w:val="24"/>
          <w:lang w:eastAsia="en-IN"/>
        </w:rPr>
        <w:t>Kolhar</w:t>
      </w:r>
      <w:proofErr w:type="spellEnd"/>
      <w:r w:rsidRPr="00B92000">
        <w:rPr>
          <w:rFonts w:ascii="Times New Roman" w:eastAsia="Times New Roman" w:hAnsi="Times New Roman" w:cs="Times New Roman"/>
          <w:sz w:val="24"/>
          <w:szCs w:val="24"/>
          <w:lang w:eastAsia="en-IN"/>
        </w:rPr>
        <w:t xml:space="preserve"> taluk, which is primarily involved in horticulture, while another 30 were selected from the </w:t>
      </w:r>
      <w:proofErr w:type="spellStart"/>
      <w:r w:rsidRPr="00B92000">
        <w:rPr>
          <w:rFonts w:ascii="Times New Roman" w:eastAsia="Times New Roman" w:hAnsi="Times New Roman" w:cs="Times New Roman"/>
          <w:sz w:val="24"/>
          <w:szCs w:val="24"/>
          <w:lang w:eastAsia="en-IN"/>
        </w:rPr>
        <w:t>Savayava</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Hagu</w:t>
      </w:r>
      <w:proofErr w:type="spellEnd"/>
      <w:r w:rsidRPr="00B92000">
        <w:rPr>
          <w:rFonts w:ascii="Times New Roman" w:eastAsia="Times New Roman" w:hAnsi="Times New Roman" w:cs="Times New Roman"/>
          <w:sz w:val="24"/>
          <w:szCs w:val="24"/>
          <w:lang w:eastAsia="en-IN"/>
        </w:rPr>
        <w:t xml:space="preserve"> </w:t>
      </w:r>
      <w:proofErr w:type="spellStart"/>
      <w:r w:rsidRPr="00B92000">
        <w:rPr>
          <w:rFonts w:ascii="Times New Roman" w:eastAsia="Times New Roman" w:hAnsi="Times New Roman" w:cs="Times New Roman"/>
          <w:sz w:val="24"/>
          <w:szCs w:val="24"/>
          <w:lang w:eastAsia="en-IN"/>
        </w:rPr>
        <w:t>Siridhanya</w:t>
      </w:r>
      <w:proofErr w:type="spellEnd"/>
      <w:r w:rsidRPr="00B92000">
        <w:rPr>
          <w:rFonts w:ascii="Times New Roman" w:eastAsia="Times New Roman" w:hAnsi="Times New Roman" w:cs="Times New Roman"/>
          <w:sz w:val="24"/>
          <w:szCs w:val="24"/>
          <w:lang w:eastAsia="en-IN"/>
        </w:rPr>
        <w:t xml:space="preserve"> Producer Company Limited in Indi taluk, known for its focus on organic and millet-based farming. In </w:t>
      </w:r>
      <w:proofErr w:type="spellStart"/>
      <w:r w:rsidRPr="00B92000">
        <w:rPr>
          <w:rFonts w:ascii="Times New Roman" w:eastAsia="Times New Roman" w:hAnsi="Times New Roman" w:cs="Times New Roman"/>
          <w:sz w:val="24"/>
          <w:szCs w:val="24"/>
          <w:lang w:eastAsia="en-IN"/>
        </w:rPr>
        <w:t>Bagalkote</w:t>
      </w:r>
      <w:proofErr w:type="spellEnd"/>
      <w:r w:rsidRPr="00B92000">
        <w:rPr>
          <w:rFonts w:ascii="Times New Roman" w:eastAsia="Times New Roman" w:hAnsi="Times New Roman" w:cs="Times New Roman"/>
          <w:sz w:val="24"/>
          <w:szCs w:val="24"/>
          <w:lang w:eastAsia="en-IN"/>
        </w:rPr>
        <w:t xml:space="preserve"> district, 30 participants were chosen from the Mudhol Oilseed and Millets Farmers Producer Company Limited in Mudhol taluk, and another 30 from the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Horticulture </w:t>
      </w:r>
      <w:r w:rsidRPr="00B92000">
        <w:rPr>
          <w:rFonts w:ascii="Times New Roman" w:eastAsia="Times New Roman" w:hAnsi="Times New Roman" w:cs="Times New Roman"/>
          <w:sz w:val="24"/>
          <w:szCs w:val="24"/>
          <w:lang w:eastAsia="en-IN"/>
        </w:rPr>
        <w:lastRenderedPageBreak/>
        <w:t xml:space="preserve">Farmers Producer Company Limited in </w:t>
      </w:r>
      <w:proofErr w:type="spellStart"/>
      <w:r w:rsidRPr="00B92000">
        <w:rPr>
          <w:rFonts w:ascii="Times New Roman" w:eastAsia="Times New Roman" w:hAnsi="Times New Roman" w:cs="Times New Roman"/>
          <w:sz w:val="24"/>
          <w:szCs w:val="24"/>
          <w:lang w:eastAsia="en-IN"/>
        </w:rPr>
        <w:t>Hungunda</w:t>
      </w:r>
      <w:proofErr w:type="spellEnd"/>
      <w:r w:rsidRPr="00B92000">
        <w:rPr>
          <w:rFonts w:ascii="Times New Roman" w:eastAsia="Times New Roman" w:hAnsi="Times New Roman" w:cs="Times New Roman"/>
          <w:sz w:val="24"/>
          <w:szCs w:val="24"/>
          <w:lang w:eastAsia="en-IN"/>
        </w:rPr>
        <w:t xml:space="preserve"> taluk, both engaged in cultivating oilseeds, millets, and horticultural crops. This well-structured sampling process facilitated a thorough analysis of the role played by FPOs in enhancing the entrepreneurial </w:t>
      </w:r>
      <w:proofErr w:type="spellStart"/>
      <w:r w:rsidRPr="00B92000">
        <w:rPr>
          <w:rFonts w:ascii="Times New Roman" w:eastAsia="Times New Roman" w:hAnsi="Times New Roman" w:cs="Times New Roman"/>
          <w:sz w:val="24"/>
          <w:szCs w:val="24"/>
          <w:lang w:eastAsia="en-IN"/>
        </w:rPr>
        <w:t>behavior</w:t>
      </w:r>
      <w:proofErr w:type="spellEnd"/>
      <w:r w:rsidRPr="00B92000">
        <w:rPr>
          <w:rFonts w:ascii="Times New Roman" w:eastAsia="Times New Roman" w:hAnsi="Times New Roman" w:cs="Times New Roman"/>
          <w:sz w:val="24"/>
          <w:szCs w:val="24"/>
          <w:lang w:eastAsia="en-IN"/>
        </w:rPr>
        <w:t xml:space="preserve"> and income generation of member farmers.</w:t>
      </w:r>
    </w:p>
    <w:p w14:paraId="68C0D596" w14:textId="00FD0BB0" w:rsidR="00A8056F" w:rsidRPr="00050FD5" w:rsidRDefault="00A8056F" w:rsidP="00A8056F">
      <w:pPr>
        <w:spacing w:before="120" w:after="120" w:line="360" w:lineRule="auto"/>
        <w:jc w:val="both"/>
        <w:rPr>
          <w:rFonts w:ascii="Times New Roman" w:hAnsi="Times New Roman"/>
          <w:b/>
          <w:sz w:val="24"/>
          <w:szCs w:val="24"/>
        </w:rPr>
      </w:pPr>
      <w:r>
        <w:rPr>
          <w:rFonts w:ascii="Times New Roman" w:eastAsia="Times New Roman" w:hAnsi="Times New Roman" w:cs="Times New Roman"/>
          <w:b/>
          <w:bCs/>
          <w:sz w:val="24"/>
          <w:szCs w:val="24"/>
          <w:lang w:eastAsia="en-IN"/>
        </w:rPr>
        <w:t xml:space="preserve">Table 1: </w:t>
      </w:r>
      <w:r w:rsidRPr="00050FD5">
        <w:rPr>
          <w:rFonts w:ascii="Times New Roman" w:hAnsi="Times New Roman"/>
          <w:b/>
          <w:sz w:val="24"/>
          <w:szCs w:val="24"/>
        </w:rPr>
        <w:t>Operationalization and measurement of variables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21"/>
        <w:gridCol w:w="4507"/>
      </w:tblGrid>
      <w:tr w:rsidR="00A8056F" w:rsidRPr="00050FD5" w14:paraId="3A09AE4C" w14:textId="77777777" w:rsidTr="00733078">
        <w:trPr>
          <w:jc w:val="center"/>
        </w:trPr>
        <w:tc>
          <w:tcPr>
            <w:tcW w:w="988" w:type="dxa"/>
          </w:tcPr>
          <w:p w14:paraId="48CEC12B"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Sl. No.</w:t>
            </w:r>
          </w:p>
        </w:tc>
        <w:tc>
          <w:tcPr>
            <w:tcW w:w="3521" w:type="dxa"/>
          </w:tcPr>
          <w:p w14:paraId="3ED57B1E"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Variables</w:t>
            </w:r>
          </w:p>
        </w:tc>
        <w:tc>
          <w:tcPr>
            <w:tcW w:w="4507" w:type="dxa"/>
          </w:tcPr>
          <w:p w14:paraId="1EE10857"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Empirical measurements</w:t>
            </w:r>
          </w:p>
        </w:tc>
      </w:tr>
      <w:tr w:rsidR="00A8056F" w:rsidRPr="00050FD5" w14:paraId="234F65F4" w14:textId="77777777" w:rsidTr="00733078">
        <w:trPr>
          <w:jc w:val="center"/>
        </w:trPr>
        <w:tc>
          <w:tcPr>
            <w:tcW w:w="988" w:type="dxa"/>
          </w:tcPr>
          <w:p w14:paraId="20707865"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A</w:t>
            </w:r>
          </w:p>
        </w:tc>
        <w:tc>
          <w:tcPr>
            <w:tcW w:w="8028" w:type="dxa"/>
            <w:gridSpan w:val="2"/>
          </w:tcPr>
          <w:p w14:paraId="15C78BE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 xml:space="preserve">Dependent variable </w:t>
            </w:r>
          </w:p>
        </w:tc>
      </w:tr>
      <w:tr w:rsidR="00A8056F" w:rsidRPr="00050FD5" w14:paraId="0EB448AC" w14:textId="77777777" w:rsidTr="00733078">
        <w:trPr>
          <w:jc w:val="center"/>
        </w:trPr>
        <w:tc>
          <w:tcPr>
            <w:tcW w:w="988" w:type="dxa"/>
          </w:tcPr>
          <w:p w14:paraId="3807023B"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1</w:t>
            </w:r>
          </w:p>
        </w:tc>
        <w:tc>
          <w:tcPr>
            <w:tcW w:w="3521" w:type="dxa"/>
          </w:tcPr>
          <w:p w14:paraId="7FED5AEF"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Entrepreneurial behaviour</w:t>
            </w:r>
          </w:p>
        </w:tc>
        <w:tc>
          <w:tcPr>
            <w:tcW w:w="4507" w:type="dxa"/>
          </w:tcPr>
          <w:p w14:paraId="4FC68A4B" w14:textId="662F601B"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w:t>
            </w:r>
            <w:r w:rsidR="00C42ED5" w:rsidRPr="00050FD5">
              <w:rPr>
                <w:rFonts w:ascii="Times New Roman" w:hAnsi="Times New Roman"/>
                <w:sz w:val="24"/>
                <w:szCs w:val="24"/>
              </w:rPr>
              <w:t>followed</w:t>
            </w:r>
            <w:r w:rsidR="00C42ED5">
              <w:rPr>
                <w:rFonts w:ascii="Times New Roman" w:hAnsi="Times New Roman"/>
                <w:sz w:val="24"/>
                <w:szCs w:val="24"/>
              </w:rPr>
              <w:t xml:space="preserve"> by</w:t>
            </w:r>
            <w:r w:rsidR="00C42ED5" w:rsidRPr="00050FD5">
              <w:rPr>
                <w:rFonts w:ascii="Times New Roman" w:hAnsi="Times New Roman"/>
                <w:sz w:val="24"/>
                <w:szCs w:val="24"/>
              </w:rPr>
              <w:t xml:space="preserve"> Asha</w:t>
            </w:r>
            <w:r w:rsidRPr="00050FD5">
              <w:rPr>
                <w:rFonts w:ascii="Times New Roman" w:hAnsi="Times New Roman"/>
                <w:b/>
                <w:sz w:val="24"/>
                <w:szCs w:val="24"/>
              </w:rPr>
              <w:t xml:space="preserve"> </w:t>
            </w:r>
            <w:proofErr w:type="spellStart"/>
            <w:r w:rsidRPr="00050FD5">
              <w:rPr>
                <w:rFonts w:ascii="Times New Roman" w:hAnsi="Times New Roman"/>
                <w:sz w:val="24"/>
                <w:szCs w:val="24"/>
              </w:rPr>
              <w:t>elizibath</w:t>
            </w:r>
            <w:proofErr w:type="spellEnd"/>
            <w:r w:rsidRPr="00050FD5">
              <w:rPr>
                <w:rFonts w:ascii="Times New Roman" w:hAnsi="Times New Roman"/>
                <w:sz w:val="24"/>
                <w:szCs w:val="24"/>
              </w:rPr>
              <w:t xml:space="preserve"> (2020)</w:t>
            </w:r>
          </w:p>
        </w:tc>
      </w:tr>
      <w:tr w:rsidR="00A8056F" w:rsidRPr="00050FD5" w14:paraId="44DDC069" w14:textId="77777777" w:rsidTr="00733078">
        <w:trPr>
          <w:jc w:val="center"/>
        </w:trPr>
        <w:tc>
          <w:tcPr>
            <w:tcW w:w="988" w:type="dxa"/>
          </w:tcPr>
          <w:p w14:paraId="3554B7C4" w14:textId="77777777" w:rsidR="00A8056F" w:rsidRPr="006014F4" w:rsidRDefault="00A8056F" w:rsidP="00733078">
            <w:pPr>
              <w:spacing w:before="20" w:after="40" w:line="240" w:lineRule="auto"/>
              <w:jc w:val="center"/>
              <w:rPr>
                <w:rFonts w:ascii="Times New Roman" w:hAnsi="Times New Roman"/>
                <w:sz w:val="24"/>
                <w:szCs w:val="24"/>
                <w:highlight w:val="yellow"/>
              </w:rPr>
            </w:pPr>
            <w:r w:rsidRPr="006014F4">
              <w:rPr>
                <w:rFonts w:ascii="Times New Roman" w:hAnsi="Times New Roman"/>
                <w:sz w:val="24"/>
                <w:szCs w:val="24"/>
                <w:highlight w:val="yellow"/>
              </w:rPr>
              <w:t>2</w:t>
            </w:r>
          </w:p>
        </w:tc>
        <w:tc>
          <w:tcPr>
            <w:tcW w:w="3521" w:type="dxa"/>
          </w:tcPr>
          <w:p w14:paraId="0E1AA669"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Benefits derived</w:t>
            </w:r>
          </w:p>
        </w:tc>
        <w:tc>
          <w:tcPr>
            <w:tcW w:w="4507" w:type="dxa"/>
          </w:tcPr>
          <w:p w14:paraId="2F6EB33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Procedure followed by Shivani </w:t>
            </w:r>
            <w:proofErr w:type="spellStart"/>
            <w:r w:rsidRPr="00050FD5">
              <w:rPr>
                <w:rFonts w:ascii="Times New Roman" w:hAnsi="Times New Roman"/>
                <w:sz w:val="24"/>
                <w:szCs w:val="24"/>
              </w:rPr>
              <w:t>Dechamma</w:t>
            </w:r>
            <w:proofErr w:type="spellEnd"/>
            <w:r w:rsidRPr="00050FD5">
              <w:rPr>
                <w:rFonts w:ascii="Times New Roman" w:hAnsi="Times New Roman"/>
                <w:sz w:val="24"/>
                <w:szCs w:val="24"/>
              </w:rPr>
              <w:t xml:space="preserve"> (2020)</w:t>
            </w:r>
          </w:p>
        </w:tc>
      </w:tr>
      <w:tr w:rsidR="00A8056F" w:rsidRPr="00050FD5" w14:paraId="3A132637" w14:textId="77777777" w:rsidTr="00733078">
        <w:trPr>
          <w:jc w:val="center"/>
        </w:trPr>
        <w:tc>
          <w:tcPr>
            <w:tcW w:w="988" w:type="dxa"/>
          </w:tcPr>
          <w:p w14:paraId="0A2B52EA" w14:textId="77777777" w:rsidR="00A8056F" w:rsidRPr="00050FD5" w:rsidRDefault="00A8056F" w:rsidP="00733078">
            <w:pPr>
              <w:spacing w:before="20" w:after="40" w:line="240" w:lineRule="auto"/>
              <w:jc w:val="center"/>
              <w:rPr>
                <w:rFonts w:ascii="Times New Roman" w:hAnsi="Times New Roman"/>
                <w:b/>
                <w:bCs/>
                <w:sz w:val="24"/>
                <w:szCs w:val="24"/>
              </w:rPr>
            </w:pPr>
            <w:r w:rsidRPr="00050FD5">
              <w:rPr>
                <w:rFonts w:ascii="Times New Roman" w:hAnsi="Times New Roman"/>
                <w:b/>
                <w:bCs/>
                <w:sz w:val="24"/>
                <w:szCs w:val="24"/>
              </w:rPr>
              <w:t>B</w:t>
            </w:r>
          </w:p>
        </w:tc>
        <w:tc>
          <w:tcPr>
            <w:tcW w:w="8028" w:type="dxa"/>
            <w:gridSpan w:val="2"/>
          </w:tcPr>
          <w:p w14:paraId="3B189B8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b/>
                <w:bCs/>
                <w:sz w:val="24"/>
                <w:szCs w:val="24"/>
              </w:rPr>
              <w:t>Independent variable</w:t>
            </w:r>
          </w:p>
        </w:tc>
      </w:tr>
      <w:tr w:rsidR="00A8056F" w:rsidRPr="00050FD5" w14:paraId="25846786" w14:textId="77777777" w:rsidTr="00733078">
        <w:trPr>
          <w:jc w:val="center"/>
        </w:trPr>
        <w:tc>
          <w:tcPr>
            <w:tcW w:w="988" w:type="dxa"/>
          </w:tcPr>
          <w:p w14:paraId="0BADF136"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2B0B674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Age </w:t>
            </w:r>
          </w:p>
        </w:tc>
        <w:tc>
          <w:tcPr>
            <w:tcW w:w="4507" w:type="dxa"/>
          </w:tcPr>
          <w:p w14:paraId="6F86E823"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Navya</w:t>
            </w:r>
            <w:r>
              <w:rPr>
                <w:rFonts w:ascii="Times New Roman" w:hAnsi="Times New Roman"/>
                <w:sz w:val="24"/>
                <w:szCs w:val="24"/>
              </w:rPr>
              <w:t xml:space="preserve"> </w:t>
            </w:r>
            <w:r w:rsidRPr="00050FD5">
              <w:rPr>
                <w:rFonts w:ascii="Times New Roman" w:hAnsi="Times New Roman"/>
                <w:sz w:val="24"/>
                <w:szCs w:val="24"/>
              </w:rPr>
              <w:t>(2022)</w:t>
            </w:r>
          </w:p>
        </w:tc>
      </w:tr>
      <w:tr w:rsidR="00A8056F" w:rsidRPr="00050FD5" w14:paraId="156E81F2" w14:textId="77777777" w:rsidTr="00733078">
        <w:trPr>
          <w:jc w:val="center"/>
        </w:trPr>
        <w:tc>
          <w:tcPr>
            <w:tcW w:w="988" w:type="dxa"/>
          </w:tcPr>
          <w:p w14:paraId="63844D3B"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93AA32"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Education </w:t>
            </w:r>
          </w:p>
        </w:tc>
        <w:tc>
          <w:tcPr>
            <w:tcW w:w="4507" w:type="dxa"/>
          </w:tcPr>
          <w:p w14:paraId="6CF5313A" w14:textId="6C1CADA3"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w:t>
            </w:r>
            <w:r w:rsidR="00677563">
              <w:rPr>
                <w:rFonts w:ascii="Times New Roman" w:hAnsi="Times New Roman"/>
                <w:sz w:val="24"/>
                <w:szCs w:val="24"/>
              </w:rPr>
              <w:t xml:space="preserve"> Trivedi </w:t>
            </w:r>
            <w:r w:rsidRPr="00050FD5">
              <w:rPr>
                <w:rFonts w:ascii="Times New Roman" w:hAnsi="Times New Roman"/>
                <w:sz w:val="24"/>
                <w:szCs w:val="24"/>
              </w:rPr>
              <w:t>(</w:t>
            </w:r>
            <w:r w:rsidR="00677563">
              <w:rPr>
                <w:rFonts w:ascii="Times New Roman" w:hAnsi="Times New Roman"/>
                <w:sz w:val="24"/>
                <w:szCs w:val="24"/>
              </w:rPr>
              <w:t>1963</w:t>
            </w:r>
            <w:r w:rsidRPr="00050FD5">
              <w:rPr>
                <w:rFonts w:ascii="Times New Roman" w:hAnsi="Times New Roman"/>
                <w:sz w:val="24"/>
                <w:szCs w:val="24"/>
              </w:rPr>
              <w:t>)</w:t>
            </w:r>
            <w:r w:rsidR="00584791">
              <w:rPr>
                <w:rFonts w:ascii="Times New Roman" w:hAnsi="Times New Roman"/>
                <w:sz w:val="24"/>
                <w:szCs w:val="24"/>
              </w:rPr>
              <w:t xml:space="preserve"> was used</w:t>
            </w:r>
          </w:p>
        </w:tc>
      </w:tr>
      <w:tr w:rsidR="00A8056F" w:rsidRPr="00050FD5" w14:paraId="54E0C900" w14:textId="77777777" w:rsidTr="00733078">
        <w:trPr>
          <w:jc w:val="center"/>
        </w:trPr>
        <w:tc>
          <w:tcPr>
            <w:tcW w:w="988" w:type="dxa"/>
          </w:tcPr>
          <w:p w14:paraId="4B7BEEC4"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C83A47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Land Holding</w:t>
            </w:r>
          </w:p>
        </w:tc>
        <w:tc>
          <w:tcPr>
            <w:tcW w:w="4507" w:type="dxa"/>
          </w:tcPr>
          <w:p w14:paraId="1149BCE8"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Ministry of Rural </w:t>
            </w:r>
            <w:proofErr w:type="gramStart"/>
            <w:r w:rsidRPr="00050FD5">
              <w:rPr>
                <w:rFonts w:ascii="Times New Roman" w:hAnsi="Times New Roman"/>
                <w:sz w:val="24"/>
                <w:szCs w:val="24"/>
              </w:rPr>
              <w:t>Development ,GOI</w:t>
            </w:r>
            <w:proofErr w:type="gramEnd"/>
          </w:p>
        </w:tc>
      </w:tr>
      <w:tr w:rsidR="00A8056F" w:rsidRPr="00050FD5" w14:paraId="33D211E9" w14:textId="77777777" w:rsidTr="00733078">
        <w:trPr>
          <w:jc w:val="center"/>
        </w:trPr>
        <w:tc>
          <w:tcPr>
            <w:tcW w:w="988" w:type="dxa"/>
          </w:tcPr>
          <w:p w14:paraId="4E8BF218"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9D36E8A"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Annual income</w:t>
            </w:r>
          </w:p>
        </w:tc>
        <w:tc>
          <w:tcPr>
            <w:tcW w:w="4507" w:type="dxa"/>
          </w:tcPr>
          <w:p w14:paraId="6F448C95" w14:textId="4192FE15" w:rsidR="00A8056F" w:rsidRPr="00050FD5" w:rsidRDefault="00A8056F" w:rsidP="00733078">
            <w:pPr>
              <w:spacing w:before="20" w:after="40" w:line="240" w:lineRule="auto"/>
              <w:rPr>
                <w:rFonts w:ascii="Times New Roman" w:hAnsi="Times New Roman"/>
                <w:sz w:val="24"/>
                <w:szCs w:val="24"/>
              </w:rPr>
            </w:pPr>
            <w:r>
              <w:rPr>
                <w:rFonts w:ascii="Times New Roman" w:hAnsi="Times New Roman"/>
                <w:sz w:val="24"/>
                <w:szCs w:val="24"/>
              </w:rPr>
              <w:t xml:space="preserve">Procedure followed by </w:t>
            </w:r>
            <w:r w:rsidR="00584791">
              <w:rPr>
                <w:rFonts w:ascii="Times New Roman" w:hAnsi="Times New Roman"/>
                <w:sz w:val="24"/>
                <w:szCs w:val="24"/>
              </w:rPr>
              <w:t xml:space="preserve">Nayak </w:t>
            </w:r>
            <w:r w:rsidRPr="00050FD5">
              <w:rPr>
                <w:rFonts w:ascii="Times New Roman" w:hAnsi="Times New Roman"/>
                <w:sz w:val="24"/>
                <w:szCs w:val="24"/>
              </w:rPr>
              <w:t>(20</w:t>
            </w:r>
            <w:r w:rsidR="00584791">
              <w:rPr>
                <w:rFonts w:ascii="Times New Roman" w:hAnsi="Times New Roman"/>
                <w:sz w:val="24"/>
                <w:szCs w:val="24"/>
              </w:rPr>
              <w:t>14</w:t>
            </w:r>
            <w:r w:rsidRPr="00050FD5">
              <w:rPr>
                <w:rFonts w:ascii="Times New Roman" w:hAnsi="Times New Roman"/>
                <w:sz w:val="24"/>
                <w:szCs w:val="24"/>
              </w:rPr>
              <w:t>)</w:t>
            </w:r>
            <w:r w:rsidR="00584791">
              <w:rPr>
                <w:rFonts w:ascii="Times New Roman" w:hAnsi="Times New Roman"/>
                <w:sz w:val="24"/>
                <w:szCs w:val="24"/>
              </w:rPr>
              <w:t xml:space="preserve"> with suitable modifications </w:t>
            </w:r>
          </w:p>
        </w:tc>
      </w:tr>
      <w:tr w:rsidR="00A8056F" w:rsidRPr="00050FD5" w14:paraId="2DB6B77C" w14:textId="77777777" w:rsidTr="00733078">
        <w:trPr>
          <w:jc w:val="center"/>
        </w:trPr>
        <w:tc>
          <w:tcPr>
            <w:tcW w:w="988" w:type="dxa"/>
          </w:tcPr>
          <w:p w14:paraId="1D05F32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084D30E1"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Occupation </w:t>
            </w:r>
          </w:p>
        </w:tc>
        <w:tc>
          <w:tcPr>
            <w:tcW w:w="4507" w:type="dxa"/>
          </w:tcPr>
          <w:p w14:paraId="1458CCD5" w14:textId="45B06578"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r w:rsidR="00584791">
              <w:rPr>
                <w:rFonts w:ascii="Times New Roman" w:hAnsi="Times New Roman"/>
                <w:sz w:val="24"/>
                <w:szCs w:val="24"/>
              </w:rPr>
              <w:t xml:space="preserve">Shivani </w:t>
            </w:r>
            <w:proofErr w:type="spellStart"/>
            <w:r w:rsidR="00584791">
              <w:rPr>
                <w:rFonts w:ascii="Times New Roman" w:hAnsi="Times New Roman"/>
                <w:sz w:val="24"/>
                <w:szCs w:val="24"/>
              </w:rPr>
              <w:t>Dechamma</w:t>
            </w:r>
            <w:proofErr w:type="spellEnd"/>
            <w:r w:rsidR="00584791">
              <w:rPr>
                <w:rFonts w:ascii="Times New Roman" w:hAnsi="Times New Roman"/>
                <w:sz w:val="24"/>
                <w:szCs w:val="24"/>
              </w:rPr>
              <w:t xml:space="preserve"> </w:t>
            </w:r>
            <w:r w:rsidRPr="00050FD5">
              <w:rPr>
                <w:rFonts w:ascii="Times New Roman" w:hAnsi="Times New Roman"/>
                <w:sz w:val="24"/>
                <w:szCs w:val="24"/>
              </w:rPr>
              <w:t>(202</w:t>
            </w:r>
            <w:r w:rsidR="00584791">
              <w:rPr>
                <w:rFonts w:ascii="Times New Roman" w:hAnsi="Times New Roman"/>
                <w:sz w:val="24"/>
                <w:szCs w:val="24"/>
              </w:rPr>
              <w:t>0</w:t>
            </w:r>
            <w:r w:rsidRPr="00050FD5">
              <w:rPr>
                <w:rFonts w:ascii="Times New Roman" w:hAnsi="Times New Roman"/>
                <w:sz w:val="24"/>
                <w:szCs w:val="24"/>
              </w:rPr>
              <w:t>)</w:t>
            </w:r>
            <w:r w:rsidR="00584791">
              <w:rPr>
                <w:rFonts w:ascii="Times New Roman" w:hAnsi="Times New Roman"/>
                <w:sz w:val="24"/>
                <w:szCs w:val="24"/>
              </w:rPr>
              <w:t xml:space="preserve"> with suitable modifications</w:t>
            </w:r>
          </w:p>
        </w:tc>
      </w:tr>
      <w:tr w:rsidR="00A8056F" w:rsidRPr="00050FD5" w14:paraId="42A2E2D5" w14:textId="77777777" w:rsidTr="00733078">
        <w:trPr>
          <w:jc w:val="center"/>
        </w:trPr>
        <w:tc>
          <w:tcPr>
            <w:tcW w:w="988" w:type="dxa"/>
          </w:tcPr>
          <w:p w14:paraId="55A9DB0D"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704554BE"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Extension Contact</w:t>
            </w:r>
          </w:p>
        </w:tc>
        <w:tc>
          <w:tcPr>
            <w:tcW w:w="4507" w:type="dxa"/>
          </w:tcPr>
          <w:p w14:paraId="1E4B1CF7" w14:textId="60AE6E4D"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Pr="00050FD5">
              <w:rPr>
                <w:rFonts w:ascii="Times New Roman" w:hAnsi="Times New Roman"/>
                <w:sz w:val="24"/>
                <w:szCs w:val="24"/>
              </w:rPr>
              <w:t>Venkataramulu</w:t>
            </w:r>
            <w:proofErr w:type="spellEnd"/>
            <w:r w:rsidRPr="00050FD5">
              <w:rPr>
                <w:rFonts w:ascii="Times New Roman" w:hAnsi="Times New Roman"/>
                <w:sz w:val="24"/>
                <w:szCs w:val="24"/>
              </w:rPr>
              <w:t xml:space="preserve"> (2003</w:t>
            </w:r>
            <w:r w:rsidR="00FA3C8C">
              <w:rPr>
                <w:rFonts w:ascii="Times New Roman" w:hAnsi="Times New Roman"/>
                <w:sz w:val="24"/>
                <w:szCs w:val="24"/>
              </w:rPr>
              <w:t>) and</w:t>
            </w:r>
            <w:r w:rsidRPr="00050FD5">
              <w:rPr>
                <w:rFonts w:ascii="Times New Roman" w:hAnsi="Times New Roman"/>
                <w:sz w:val="24"/>
                <w:szCs w:val="24"/>
              </w:rPr>
              <w:t xml:space="preserve">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8B5EB1F" w14:textId="77777777" w:rsidTr="00733078">
        <w:trPr>
          <w:jc w:val="center"/>
        </w:trPr>
        <w:tc>
          <w:tcPr>
            <w:tcW w:w="988" w:type="dxa"/>
          </w:tcPr>
          <w:p w14:paraId="7DE4DA92"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4FA20108"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Extension Participation </w:t>
            </w:r>
          </w:p>
        </w:tc>
        <w:tc>
          <w:tcPr>
            <w:tcW w:w="4507" w:type="dxa"/>
          </w:tcPr>
          <w:p w14:paraId="150E82A0" w14:textId="3701C9B1"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Procedure followed by </w:t>
            </w:r>
            <w:proofErr w:type="spellStart"/>
            <w:r w:rsidR="00A05D05" w:rsidRPr="00A05D05">
              <w:rPr>
                <w:rFonts w:ascii="Times New Roman" w:hAnsi="Times New Roman"/>
                <w:sz w:val="24"/>
                <w:szCs w:val="24"/>
              </w:rPr>
              <w:t>Surudhi</w:t>
            </w:r>
            <w:proofErr w:type="spellEnd"/>
            <w:r w:rsidR="00A05D05" w:rsidRPr="00A05D05">
              <w:rPr>
                <w:rFonts w:ascii="Times New Roman" w:hAnsi="Times New Roman"/>
                <w:sz w:val="24"/>
                <w:szCs w:val="24"/>
              </w:rPr>
              <w:t xml:space="preserve"> </w:t>
            </w:r>
            <w:r w:rsidRPr="00050FD5">
              <w:rPr>
                <w:rFonts w:ascii="Times New Roman" w:eastAsia="Times New Roman" w:hAnsi="Times New Roman"/>
                <w:sz w:val="24"/>
                <w:szCs w:val="24"/>
              </w:rPr>
              <w:t>(20</w:t>
            </w:r>
            <w:r w:rsidR="00A05D05">
              <w:rPr>
                <w:rFonts w:ascii="Times New Roman" w:eastAsia="Times New Roman" w:hAnsi="Times New Roman"/>
                <w:sz w:val="24"/>
                <w:szCs w:val="24"/>
              </w:rPr>
              <w:t>18</w:t>
            </w:r>
            <w:r w:rsidRPr="00050FD5">
              <w:rPr>
                <w:rFonts w:ascii="Times New Roman" w:eastAsia="Times New Roman" w:hAnsi="Times New Roman"/>
                <w:sz w:val="24"/>
                <w:szCs w:val="24"/>
              </w:rPr>
              <w:t>).</w:t>
            </w:r>
          </w:p>
        </w:tc>
      </w:tr>
      <w:tr w:rsidR="00A8056F" w:rsidRPr="00050FD5" w14:paraId="34CCE3C5" w14:textId="77777777" w:rsidTr="00733078">
        <w:trPr>
          <w:jc w:val="center"/>
        </w:trPr>
        <w:tc>
          <w:tcPr>
            <w:tcW w:w="988" w:type="dxa"/>
          </w:tcPr>
          <w:p w14:paraId="2609EA8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657787A6"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Mass Media exposure</w:t>
            </w:r>
          </w:p>
        </w:tc>
        <w:tc>
          <w:tcPr>
            <w:tcW w:w="4507" w:type="dxa"/>
          </w:tcPr>
          <w:p w14:paraId="359BCB24" w14:textId="3DCA825A" w:rsidR="00A8056F" w:rsidRPr="00050FD5" w:rsidRDefault="00677563" w:rsidP="00733078">
            <w:pPr>
              <w:spacing w:before="20" w:after="40" w:line="240" w:lineRule="auto"/>
              <w:rPr>
                <w:rFonts w:ascii="Times New Roman" w:hAnsi="Times New Roman"/>
                <w:sz w:val="24"/>
                <w:szCs w:val="24"/>
              </w:rPr>
            </w:pPr>
            <w:r>
              <w:rPr>
                <w:rFonts w:ascii="Times New Roman" w:hAnsi="Times New Roman"/>
                <w:sz w:val="24"/>
                <w:szCs w:val="24"/>
              </w:rPr>
              <w:t>Scale developed by</w:t>
            </w:r>
            <w:r w:rsidR="00A8056F" w:rsidRPr="00050FD5">
              <w:rPr>
                <w:rFonts w:ascii="Times New Roman" w:hAnsi="Times New Roman"/>
                <w:sz w:val="24"/>
                <w:szCs w:val="24"/>
              </w:rPr>
              <w:t xml:space="preserve"> </w:t>
            </w:r>
            <w:r>
              <w:rPr>
                <w:rFonts w:ascii="Times New Roman" w:hAnsi="Times New Roman"/>
                <w:sz w:val="24"/>
                <w:szCs w:val="24"/>
              </w:rPr>
              <w:t>Trivedi</w:t>
            </w:r>
            <w:r w:rsidR="00A8056F" w:rsidRPr="00050FD5">
              <w:rPr>
                <w:rFonts w:ascii="Times New Roman" w:hAnsi="Times New Roman"/>
                <w:sz w:val="24"/>
                <w:szCs w:val="24"/>
              </w:rPr>
              <w:t xml:space="preserve"> (</w:t>
            </w:r>
            <w:r>
              <w:rPr>
                <w:rFonts w:ascii="Times New Roman" w:hAnsi="Times New Roman"/>
                <w:sz w:val="24"/>
                <w:szCs w:val="24"/>
              </w:rPr>
              <w:t>1963</w:t>
            </w:r>
            <w:r w:rsidR="00A8056F" w:rsidRPr="00050FD5">
              <w:rPr>
                <w:rFonts w:ascii="Times New Roman" w:hAnsi="Times New Roman"/>
                <w:sz w:val="24"/>
                <w:szCs w:val="24"/>
              </w:rPr>
              <w:t>)</w:t>
            </w:r>
            <w:r>
              <w:rPr>
                <w:rFonts w:ascii="Times New Roman" w:hAnsi="Times New Roman"/>
                <w:sz w:val="24"/>
                <w:szCs w:val="24"/>
              </w:rPr>
              <w:t xml:space="preserve"> with suitable modifications </w:t>
            </w:r>
          </w:p>
        </w:tc>
      </w:tr>
      <w:tr w:rsidR="00A8056F" w:rsidRPr="00050FD5" w14:paraId="56EC6537" w14:textId="77777777" w:rsidTr="00733078">
        <w:trPr>
          <w:jc w:val="center"/>
        </w:trPr>
        <w:tc>
          <w:tcPr>
            <w:tcW w:w="988" w:type="dxa"/>
          </w:tcPr>
          <w:p w14:paraId="334ABF2E"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55950D8B"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 xml:space="preserve">Social participation </w:t>
            </w:r>
          </w:p>
        </w:tc>
        <w:tc>
          <w:tcPr>
            <w:tcW w:w="4507" w:type="dxa"/>
          </w:tcPr>
          <w:p w14:paraId="5235726C"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Trivedi,</w:t>
            </w:r>
            <w:r>
              <w:rPr>
                <w:rFonts w:ascii="Times New Roman" w:hAnsi="Times New Roman"/>
                <w:sz w:val="24"/>
                <w:szCs w:val="24"/>
              </w:rPr>
              <w:t xml:space="preserve"> </w:t>
            </w:r>
            <w:r w:rsidRPr="00050FD5">
              <w:rPr>
                <w:rFonts w:ascii="Times New Roman" w:hAnsi="Times New Roman"/>
                <w:sz w:val="24"/>
                <w:szCs w:val="24"/>
              </w:rPr>
              <w:t>(1963)</w:t>
            </w:r>
          </w:p>
          <w:p w14:paraId="67738CC6"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r w:rsidR="00A8056F" w:rsidRPr="00050FD5" w14:paraId="69452A14" w14:textId="77777777" w:rsidTr="00733078">
        <w:trPr>
          <w:jc w:val="center"/>
        </w:trPr>
        <w:tc>
          <w:tcPr>
            <w:tcW w:w="988" w:type="dxa"/>
          </w:tcPr>
          <w:p w14:paraId="45F3CE4A" w14:textId="77777777" w:rsidR="00A8056F" w:rsidRPr="00050FD5" w:rsidRDefault="00A8056F" w:rsidP="00A8056F">
            <w:pPr>
              <w:pStyle w:val="ListParagraph"/>
              <w:numPr>
                <w:ilvl w:val="0"/>
                <w:numId w:val="4"/>
              </w:numPr>
              <w:spacing w:before="20" w:after="40" w:line="240" w:lineRule="auto"/>
              <w:jc w:val="center"/>
              <w:rPr>
                <w:rFonts w:ascii="Times New Roman" w:hAnsi="Times New Roman"/>
                <w:sz w:val="24"/>
                <w:szCs w:val="24"/>
              </w:rPr>
            </w:pPr>
          </w:p>
        </w:tc>
        <w:tc>
          <w:tcPr>
            <w:tcW w:w="3521" w:type="dxa"/>
          </w:tcPr>
          <w:p w14:paraId="353DC885" w14:textId="77777777" w:rsidR="00A8056F" w:rsidRPr="00050FD5" w:rsidRDefault="00A8056F" w:rsidP="00733078">
            <w:pPr>
              <w:spacing w:before="20" w:after="40" w:line="240" w:lineRule="auto"/>
              <w:jc w:val="both"/>
              <w:rPr>
                <w:rFonts w:ascii="Times New Roman" w:hAnsi="Times New Roman"/>
                <w:sz w:val="24"/>
                <w:szCs w:val="24"/>
              </w:rPr>
            </w:pPr>
            <w:r w:rsidRPr="00050FD5">
              <w:rPr>
                <w:rFonts w:ascii="Times New Roman" w:hAnsi="Times New Roman"/>
                <w:sz w:val="24"/>
                <w:szCs w:val="24"/>
              </w:rPr>
              <w:t>Scientific orientation</w:t>
            </w:r>
          </w:p>
        </w:tc>
        <w:tc>
          <w:tcPr>
            <w:tcW w:w="4507" w:type="dxa"/>
          </w:tcPr>
          <w:p w14:paraId="1E4275C7"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Procedure followed by Supe</w:t>
            </w:r>
          </w:p>
          <w:p w14:paraId="76AD1680" w14:textId="77777777" w:rsidR="00A8056F" w:rsidRPr="00050FD5" w:rsidRDefault="00A8056F" w:rsidP="00733078">
            <w:pPr>
              <w:spacing w:before="20" w:after="40" w:line="240" w:lineRule="auto"/>
              <w:rPr>
                <w:rFonts w:ascii="Times New Roman" w:hAnsi="Times New Roman"/>
                <w:sz w:val="24"/>
                <w:szCs w:val="24"/>
              </w:rPr>
            </w:pPr>
            <w:r w:rsidRPr="00050FD5">
              <w:rPr>
                <w:rFonts w:ascii="Times New Roman" w:hAnsi="Times New Roman"/>
                <w:sz w:val="24"/>
                <w:szCs w:val="24"/>
              </w:rPr>
              <w:t xml:space="preserve">Followed by Shivani </w:t>
            </w:r>
            <w:proofErr w:type="spellStart"/>
            <w:r w:rsidRPr="00050FD5">
              <w:rPr>
                <w:rFonts w:ascii="Times New Roman" w:hAnsi="Times New Roman"/>
                <w:sz w:val="24"/>
                <w:szCs w:val="24"/>
              </w:rPr>
              <w:t>dechamma</w:t>
            </w:r>
            <w:proofErr w:type="spellEnd"/>
            <w:r>
              <w:rPr>
                <w:rFonts w:ascii="Times New Roman" w:hAnsi="Times New Roman"/>
                <w:sz w:val="24"/>
                <w:szCs w:val="24"/>
              </w:rPr>
              <w:t xml:space="preserve"> </w:t>
            </w:r>
            <w:r w:rsidRPr="00050FD5">
              <w:rPr>
                <w:rFonts w:ascii="Times New Roman" w:hAnsi="Times New Roman"/>
                <w:sz w:val="24"/>
                <w:szCs w:val="24"/>
              </w:rPr>
              <w:t>(2020)</w:t>
            </w:r>
          </w:p>
        </w:tc>
      </w:tr>
    </w:tbl>
    <w:p w14:paraId="686E2E57" w14:textId="040FA786" w:rsidR="00B92000" w:rsidRDefault="00B92000" w:rsidP="00A8056F">
      <w:pPr>
        <w:spacing w:before="240" w:after="200" w:line="360" w:lineRule="auto"/>
        <w:jc w:val="both"/>
        <w:rPr>
          <w:rFonts w:ascii="Times New Roman" w:hAnsi="Times New Roman" w:cs="Times New Roman"/>
          <w:b/>
          <w:bCs/>
          <w:sz w:val="24"/>
          <w:szCs w:val="24"/>
        </w:rPr>
      </w:pPr>
      <w:bookmarkStart w:id="2" w:name="_Hlk194794470"/>
      <w:r>
        <w:rPr>
          <w:rFonts w:ascii="Times New Roman" w:eastAsia="Times New Roman" w:hAnsi="Times New Roman" w:cs="Times New Roman"/>
          <w:b/>
          <w:sz w:val="24"/>
          <w:szCs w:val="24"/>
          <w:lang w:val="en-US" w:eastAsia="en-IN"/>
        </w:rPr>
        <w:t>2</w:t>
      </w:r>
      <w:r w:rsidRPr="00B92000">
        <w:rPr>
          <w:rFonts w:ascii="Times New Roman" w:eastAsia="Times New Roman" w:hAnsi="Times New Roman" w:cs="Times New Roman"/>
          <w:b/>
          <w:sz w:val="24"/>
          <w:szCs w:val="24"/>
          <w:lang w:val="en-US" w:eastAsia="en-IN"/>
        </w:rPr>
        <w:t xml:space="preserve">.3 </w:t>
      </w:r>
      <w:r w:rsidRPr="00B92000">
        <w:rPr>
          <w:rFonts w:ascii="Times New Roman" w:hAnsi="Times New Roman" w:cs="Times New Roman"/>
          <w:b/>
          <w:bCs/>
          <w:sz w:val="24"/>
          <w:szCs w:val="24"/>
        </w:rPr>
        <w:t>Analytical tools and techniques employed</w:t>
      </w:r>
    </w:p>
    <w:p w14:paraId="1B27617B" w14:textId="77777777" w:rsidR="00B92000" w:rsidRPr="00424D82" w:rsidRDefault="00B92000" w:rsidP="00B92000">
      <w:p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1)  Frequency:</w:t>
      </w:r>
      <w:r w:rsidRPr="00424D82">
        <w:rPr>
          <w:rFonts w:ascii="Times New Roman" w:hAnsi="Times New Roman" w:cs="Times New Roman"/>
          <w:bCs/>
          <w:sz w:val="24"/>
          <w:szCs w:val="24"/>
        </w:rPr>
        <w:t xml:space="preserve"> Frequency is the number of occurrences. In statistics the frequency (fi) of an event, ‘</w:t>
      </w:r>
      <w:proofErr w:type="spellStart"/>
      <w:r w:rsidRPr="00424D82">
        <w:rPr>
          <w:rFonts w:ascii="Times New Roman" w:hAnsi="Times New Roman" w:cs="Times New Roman"/>
          <w:bCs/>
          <w:sz w:val="24"/>
          <w:szCs w:val="24"/>
        </w:rPr>
        <w:t>i</w:t>
      </w:r>
      <w:proofErr w:type="spellEnd"/>
      <w:r w:rsidRPr="00424D82">
        <w:rPr>
          <w:rFonts w:ascii="Times New Roman" w:hAnsi="Times New Roman" w:cs="Times New Roman"/>
          <w:bCs/>
          <w:sz w:val="24"/>
          <w:szCs w:val="24"/>
        </w:rPr>
        <w:t>’ is the number ‘</w:t>
      </w:r>
      <w:proofErr w:type="spellStart"/>
      <w:r w:rsidRPr="00424D82">
        <w:rPr>
          <w:rFonts w:ascii="Times New Roman" w:hAnsi="Times New Roman" w:cs="Times New Roman"/>
          <w:bCs/>
          <w:sz w:val="24"/>
          <w:szCs w:val="24"/>
        </w:rPr>
        <w:t>ni</w:t>
      </w:r>
      <w:proofErr w:type="spellEnd"/>
      <w:r w:rsidRPr="00424D82">
        <w:rPr>
          <w:rFonts w:ascii="Times New Roman" w:hAnsi="Times New Roman" w:cs="Times New Roman"/>
          <w:bCs/>
          <w:sz w:val="24"/>
          <w:szCs w:val="24"/>
        </w:rPr>
        <w:t xml:space="preserve">’ of times the event occurred in the experiment or the study.  </w:t>
      </w:r>
    </w:p>
    <w:p w14:paraId="50D36D3F" w14:textId="77777777" w:rsidR="00B92000" w:rsidRPr="00424D82" w:rsidRDefault="00B92000" w:rsidP="00B92000">
      <w:pPr>
        <w:numPr>
          <w:ilvl w:val="0"/>
          <w:numId w:val="3"/>
        </w:numPr>
        <w:spacing w:after="200" w:line="360" w:lineRule="auto"/>
        <w:jc w:val="both"/>
        <w:rPr>
          <w:rFonts w:ascii="Times New Roman" w:hAnsi="Times New Roman" w:cs="Times New Roman"/>
          <w:bCs/>
          <w:sz w:val="24"/>
          <w:szCs w:val="24"/>
        </w:rPr>
      </w:pPr>
      <w:r w:rsidRPr="00424D82">
        <w:rPr>
          <w:rFonts w:ascii="Times New Roman" w:hAnsi="Times New Roman" w:cs="Times New Roman"/>
          <w:b/>
          <w:sz w:val="24"/>
          <w:szCs w:val="24"/>
        </w:rPr>
        <w:t>Percentages:</w:t>
      </w:r>
      <w:r w:rsidRPr="00424D82">
        <w:rPr>
          <w:rFonts w:ascii="Times New Roman" w:hAnsi="Times New Roman" w:cs="Times New Roman"/>
          <w:bCs/>
          <w:sz w:val="24"/>
          <w:szCs w:val="24"/>
        </w:rPr>
        <w:t xml:space="preserve"> Percentages were used in the descriptive analysis for making comparisons.    </w:t>
      </w:r>
    </w:p>
    <w:p w14:paraId="5A12E140" w14:textId="77777777" w:rsidR="00B92000" w:rsidRPr="00424D82" w:rsidRDefault="00B92000" w:rsidP="00B92000">
      <w:pPr>
        <w:spacing w:after="200" w:line="360" w:lineRule="auto"/>
        <w:jc w:val="both"/>
        <w:rPr>
          <w:rFonts w:ascii="Times New Roman" w:hAnsi="Times New Roman" w:cs="Times New Roman"/>
          <w:bCs/>
          <w:sz w:val="24"/>
          <w:szCs w:val="24"/>
        </w:rPr>
      </w:pPr>
      <m:oMathPara>
        <m:oMath>
          <m:r>
            <w:rPr>
              <w:rFonts w:ascii="Cambria Math" w:hAnsi="Cambria Math" w:cs="Times New Roman"/>
              <w:sz w:val="24"/>
              <w:szCs w:val="24"/>
            </w:rPr>
            <m:t>Percentage=</m:t>
          </m:r>
          <m:f>
            <m:fPr>
              <m:ctrlPr>
                <w:rPr>
                  <w:rFonts w:ascii="Cambria Math" w:hAnsi="Cambria Math" w:cs="Times New Roman"/>
                  <w:bCs/>
                  <w:i/>
                  <w:sz w:val="24"/>
                  <w:szCs w:val="24"/>
                </w:rPr>
              </m:ctrlPr>
            </m:fPr>
            <m:num>
              <m:r>
                <w:rPr>
                  <w:rFonts w:ascii="Cambria Math" w:hAnsi="Cambria Math" w:cs="Times New Roman"/>
                  <w:sz w:val="24"/>
                  <w:szCs w:val="24"/>
                </w:rPr>
                <m:t>Number of respondents</m:t>
              </m:r>
            </m:num>
            <m:den>
              <m:r>
                <w:rPr>
                  <w:rFonts w:ascii="Cambria Math" w:hAnsi="Cambria Math" w:cs="Times New Roman"/>
                  <w:sz w:val="24"/>
                  <w:szCs w:val="24"/>
                </w:rPr>
                <m:t>Total number of respondents</m:t>
              </m:r>
            </m:den>
          </m:f>
          <m:r>
            <w:rPr>
              <w:rFonts w:ascii="Cambria Math" w:hAnsi="Cambria Math" w:cs="Times New Roman"/>
              <w:sz w:val="24"/>
              <w:szCs w:val="24"/>
            </w:rPr>
            <m:t>*100</m:t>
          </m:r>
        </m:oMath>
      </m:oMathPara>
    </w:p>
    <w:p w14:paraId="7F4873C2" w14:textId="0EB8298B" w:rsidR="00D72359" w:rsidRDefault="00D72359" w:rsidP="00D72359">
      <w:pPr>
        <w:pStyle w:val="BodyText"/>
        <w:numPr>
          <w:ilvl w:val="0"/>
          <w:numId w:val="3"/>
        </w:numPr>
        <w:spacing w:before="120" w:line="440" w:lineRule="atLeast"/>
        <w:jc w:val="both"/>
      </w:pPr>
      <w:r w:rsidRPr="00050FD5">
        <w:rPr>
          <w:b/>
        </w:rPr>
        <w:t>Arithmetic Mean</w:t>
      </w:r>
      <w:r>
        <w:t xml:space="preserve">: </w:t>
      </w:r>
      <w:r w:rsidRPr="00050FD5">
        <w:t xml:space="preserve">The arithmetic mean is the sum of the scores divided by their number. </w:t>
      </w:r>
      <w:r w:rsidRPr="00050FD5">
        <w:lastRenderedPageBreak/>
        <w:t>This measure was used to categorize the dependent and independent variables into low, medium and high categories. It is represented as:</w:t>
      </w:r>
    </w:p>
    <w:p w14:paraId="59721470" w14:textId="40F45F4B" w:rsidR="00D72359" w:rsidRPr="00A8056F" w:rsidRDefault="00D72359" w:rsidP="00D72359">
      <w:pPr>
        <w:pStyle w:val="BodyText"/>
        <w:spacing w:before="120" w:line="440" w:lineRule="atLeast"/>
        <w:ind w:left="405"/>
        <w:jc w:val="both"/>
      </w:pPr>
      <m:oMathPara>
        <m:oMath>
          <m:r>
            <w:rPr>
              <w:rFonts w:ascii="Cambria Math" w:hAnsi="Cambria Math"/>
            </w:rPr>
            <m:t xml:space="preserve">X=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m:oMathPara>
    </w:p>
    <w:p w14:paraId="345E9BF7" w14:textId="52275572" w:rsidR="00A8056F" w:rsidRDefault="00A8056F" w:rsidP="00D72359">
      <w:pPr>
        <w:pStyle w:val="BodyText"/>
        <w:spacing w:before="120" w:line="440" w:lineRule="atLeast"/>
        <w:ind w:left="405"/>
        <w:jc w:val="both"/>
      </w:pPr>
      <w:r>
        <w:t xml:space="preserve">Where, </w:t>
      </w:r>
    </w:p>
    <w:p w14:paraId="5E4685F0" w14:textId="1097F1EF" w:rsidR="00A8056F" w:rsidRDefault="00A8056F" w:rsidP="00A8056F">
      <w:pPr>
        <w:pStyle w:val="BodyText"/>
        <w:spacing w:before="120" w:line="440" w:lineRule="atLeast"/>
        <w:ind w:left="1440"/>
        <w:jc w:val="both"/>
      </w:pPr>
      <w:r>
        <w:t>X = mean</w:t>
      </w:r>
    </w:p>
    <w:p w14:paraId="4D3212D9" w14:textId="1DEC18DF" w:rsidR="00A8056F" w:rsidRPr="00050FD5" w:rsidRDefault="00797747" w:rsidP="00A8056F">
      <w:pPr>
        <w:pStyle w:val="NoSpacing"/>
        <w:spacing w:before="120" w:after="120" w:line="440" w:lineRule="atLeast"/>
        <w:ind w:left="1440"/>
      </w:pPr>
      <m:oMath>
        <m:nary>
          <m:naryPr>
            <m:chr m:val="∑"/>
            <m:limLoc m:val="undOvr"/>
            <m:subHide m:val="1"/>
            <m:supHide m:val="1"/>
            <m:ctrlPr>
              <w:rPr>
                <w:rFonts w:ascii="Cambria Math" w:hAnsi="Cambria Math"/>
                <w:i/>
              </w:rPr>
            </m:ctrlPr>
          </m:naryPr>
          <m:sub/>
          <m:sup/>
          <m:e>
            <m:r>
              <w:rPr>
                <w:rFonts w:ascii="Cambria Math" w:hAnsi="Cambria Math"/>
              </w:rPr>
              <m:t>x</m:t>
            </m:r>
          </m:e>
        </m:nary>
      </m:oMath>
      <w:r w:rsidR="00A8056F" w:rsidRPr="00050FD5">
        <w:t xml:space="preserve"> = Sum of all values of observation</w:t>
      </w:r>
    </w:p>
    <w:p w14:paraId="32B78694" w14:textId="7C4BE578" w:rsidR="00A8056F" w:rsidRPr="00050FD5" w:rsidRDefault="00A8056F" w:rsidP="00A8056F">
      <w:pPr>
        <w:pStyle w:val="NoSpacing"/>
        <w:spacing w:before="120" w:after="120" w:line="440" w:lineRule="atLeast"/>
        <w:ind w:left="1440"/>
      </w:pPr>
      <w:r>
        <w:t>n</w:t>
      </w:r>
      <w:r w:rsidRPr="00050FD5">
        <w:t xml:space="preserve"> = Total number of observations</w:t>
      </w:r>
    </w:p>
    <w:p w14:paraId="2CE44C60" w14:textId="77777777" w:rsidR="00B92000" w:rsidRPr="00424D82" w:rsidRDefault="00B92000" w:rsidP="00B92000">
      <w:pPr>
        <w:pStyle w:val="ListParagraph"/>
        <w:numPr>
          <w:ilvl w:val="0"/>
          <w:numId w:val="3"/>
        </w:numPr>
        <w:spacing w:after="200" w:line="360" w:lineRule="auto"/>
        <w:contextualSpacing w:val="0"/>
        <w:jc w:val="both"/>
        <w:rPr>
          <w:rFonts w:ascii="Times New Roman" w:hAnsi="Times New Roman" w:cs="Times New Roman"/>
          <w:b/>
          <w:bCs/>
          <w:sz w:val="24"/>
          <w:szCs w:val="24"/>
        </w:rPr>
      </w:pPr>
      <w:r w:rsidRPr="00424D82">
        <w:rPr>
          <w:rFonts w:ascii="Times New Roman" w:hAnsi="Times New Roman" w:cs="Times New Roman"/>
          <w:b/>
          <w:bCs/>
          <w:sz w:val="24"/>
          <w:szCs w:val="24"/>
        </w:rPr>
        <w:t>Standard deviation</w:t>
      </w:r>
    </w:p>
    <w:p w14:paraId="70BEAA55" w14:textId="51C15C20" w:rsidR="00B92000" w:rsidRPr="00B92000" w:rsidRDefault="00B92000" w:rsidP="00B92000">
      <w:pPr>
        <w:spacing w:after="200" w:line="360" w:lineRule="auto"/>
        <w:ind w:left="45" w:firstLine="360"/>
        <w:jc w:val="both"/>
        <w:rPr>
          <w:rFonts w:ascii="Times New Roman" w:hAnsi="Times New Roman" w:cs="Times New Roman"/>
          <w:sz w:val="24"/>
          <w:szCs w:val="24"/>
        </w:rPr>
      </w:pPr>
      <w:r w:rsidRPr="00424D82">
        <w:rPr>
          <w:rFonts w:ascii="Times New Roman" w:hAnsi="Times New Roman" w:cs="Times New Roman"/>
          <w:color w:val="000000" w:themeColor="text1"/>
          <w:sz w:val="24"/>
          <w:szCs w:val="24"/>
        </w:rPr>
        <w:t>It is defined as the square root of the arithmetic mean of the sum of the square of the deviation taken from the arithmetic mean. This test was used to classify the dependent variable into low, medium, high categories</w:t>
      </w:r>
      <w:r w:rsidRPr="00424D82">
        <w:rPr>
          <w:rFonts w:ascii="Times New Roman" w:hAnsi="Times New Roman" w:cs="Times New Roman"/>
          <w:sz w:val="24"/>
          <w:szCs w:val="24"/>
        </w:rPr>
        <w:t>.</w:t>
      </w:r>
    </w:p>
    <w:p w14:paraId="570F5D50" w14:textId="33D60958" w:rsidR="00164840" w:rsidRDefault="00B9200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t xml:space="preserve">3. </w:t>
      </w:r>
      <w:r w:rsidR="00164840" w:rsidRPr="00164840">
        <w:rPr>
          <w:rFonts w:ascii="Times New Roman" w:eastAsia="Times New Roman" w:hAnsi="Times New Roman" w:cs="Times New Roman"/>
          <w:b/>
          <w:sz w:val="24"/>
          <w:szCs w:val="24"/>
          <w:lang w:val="en-US" w:eastAsia="en-IN"/>
        </w:rPr>
        <w:t>Results and discussion</w:t>
      </w:r>
    </w:p>
    <w:p w14:paraId="04E19A7A" w14:textId="77777777" w:rsidR="00F812E0" w:rsidRDefault="00F812E0" w:rsidP="00164840">
      <w:pPr>
        <w:spacing w:before="100" w:beforeAutospacing="1" w:after="100" w:afterAutospacing="1" w:line="240" w:lineRule="auto"/>
        <w:jc w:val="both"/>
        <w:rPr>
          <w:rFonts w:ascii="Times New Roman" w:eastAsia="Times New Roman" w:hAnsi="Times New Roman" w:cs="Times New Roman"/>
          <w:b/>
          <w:sz w:val="24"/>
          <w:szCs w:val="24"/>
          <w:lang w:val="en-US" w:eastAsia="en-IN"/>
        </w:rPr>
        <w:sectPr w:rsidR="00F812E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09873D96" w14:textId="69849FA3" w:rsidR="00A8056F" w:rsidRPr="00164840" w:rsidRDefault="00A8056F" w:rsidP="00F812E0">
      <w:pPr>
        <w:spacing w:before="100" w:beforeAutospacing="1" w:after="100" w:afterAutospacing="1" w:line="240" w:lineRule="auto"/>
        <w:jc w:val="both"/>
        <w:rPr>
          <w:rFonts w:ascii="Times New Roman" w:eastAsia="Times New Roman" w:hAnsi="Times New Roman" w:cs="Times New Roman"/>
          <w:b/>
          <w:sz w:val="24"/>
          <w:szCs w:val="24"/>
          <w:lang w:val="en-US" w:eastAsia="en-IN"/>
        </w:rPr>
      </w:pPr>
      <w:r>
        <w:rPr>
          <w:rFonts w:ascii="Times New Roman" w:eastAsia="Times New Roman" w:hAnsi="Times New Roman" w:cs="Times New Roman"/>
          <w:b/>
          <w:sz w:val="24"/>
          <w:szCs w:val="24"/>
          <w:lang w:val="en-US" w:eastAsia="en-IN"/>
        </w:rPr>
        <w:lastRenderedPageBreak/>
        <w:t xml:space="preserve">Table 2: </w:t>
      </w:r>
      <w:r w:rsidR="00F812E0">
        <w:rPr>
          <w:rFonts w:ascii="Times New Roman" w:eastAsia="Times New Roman" w:hAnsi="Times New Roman" w:cs="Times New Roman"/>
          <w:b/>
          <w:sz w:val="24"/>
          <w:szCs w:val="24"/>
          <w:lang w:val="en-US" w:eastAsia="en-IN"/>
        </w:rPr>
        <w:t>P</w:t>
      </w:r>
      <w:r>
        <w:rPr>
          <w:rFonts w:ascii="Times New Roman" w:eastAsia="Times New Roman" w:hAnsi="Times New Roman" w:cs="Times New Roman"/>
          <w:b/>
          <w:sz w:val="24"/>
          <w:szCs w:val="24"/>
          <w:lang w:val="en-US" w:eastAsia="en-IN"/>
        </w:rPr>
        <w:t xml:space="preserve">ersonal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1777"/>
        <w:gridCol w:w="4168"/>
        <w:gridCol w:w="742"/>
        <w:gridCol w:w="745"/>
        <w:gridCol w:w="745"/>
        <w:gridCol w:w="745"/>
        <w:gridCol w:w="745"/>
        <w:gridCol w:w="745"/>
        <w:gridCol w:w="742"/>
        <w:gridCol w:w="745"/>
        <w:gridCol w:w="742"/>
        <w:gridCol w:w="739"/>
      </w:tblGrid>
      <w:tr w:rsidR="00034D5E" w:rsidRPr="00FA3C8C" w14:paraId="6D2C8E69" w14:textId="66807D32" w:rsidTr="00384D66">
        <w:trPr>
          <w:cantSplit/>
          <w:trHeight w:val="20"/>
          <w:jc w:val="center"/>
        </w:trPr>
        <w:tc>
          <w:tcPr>
            <w:tcW w:w="204" w:type="pct"/>
            <w:vMerge w:val="restart"/>
            <w:vAlign w:val="center"/>
          </w:tcPr>
          <w:p w14:paraId="0FB7CF8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bookmarkStart w:id="3" w:name="_Hlk194716427"/>
            <w:bookmarkEnd w:id="2"/>
            <w:r w:rsidRPr="00FA3C8C">
              <w:rPr>
                <w:rFonts w:ascii="Times New Roman" w:eastAsia="Times New Roman" w:hAnsi="Times New Roman" w:cs="Times New Roman"/>
                <w:b/>
                <w:bCs/>
                <w:kern w:val="0"/>
                <w:sz w:val="24"/>
                <w:szCs w:val="24"/>
                <w14:ligatures w14:val="none"/>
              </w:rPr>
              <w:t>Sl. No.</w:t>
            </w:r>
          </w:p>
        </w:tc>
        <w:tc>
          <w:tcPr>
            <w:tcW w:w="637" w:type="pct"/>
            <w:vMerge w:val="restart"/>
            <w:vAlign w:val="center"/>
          </w:tcPr>
          <w:p w14:paraId="19A03FB0"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494" w:type="pct"/>
            <w:vMerge w:val="restart"/>
            <w:vAlign w:val="center"/>
          </w:tcPr>
          <w:p w14:paraId="33B802C7" w14:textId="77777777" w:rsidR="0091643F" w:rsidRPr="00FA3C8C" w:rsidRDefault="0091643F" w:rsidP="00FA3C8C">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036E769B" w14:textId="77777777" w:rsidR="0091643F" w:rsidRPr="00FA3C8C" w:rsidRDefault="0091643F" w:rsidP="00FA3C8C">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342A15B" w14:textId="3FC8D8E6"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4" w:type="pct"/>
            <w:gridSpan w:val="2"/>
            <w:vAlign w:val="center"/>
          </w:tcPr>
          <w:p w14:paraId="278A19CA"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FF41DDF" w14:textId="780C32A5"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4" w:type="pct"/>
            <w:gridSpan w:val="2"/>
            <w:vAlign w:val="center"/>
          </w:tcPr>
          <w:p w14:paraId="4AFC85F0"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767C59D4" w14:textId="54AB209A" w:rsidR="0091643F" w:rsidRPr="00DA7132" w:rsidRDefault="0091643F" w:rsidP="00FA3C8C">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21D90E5" w14:textId="77777777" w:rsidR="0091643F" w:rsidRPr="00FA3C8C" w:rsidRDefault="0091643F" w:rsidP="00FA3C8C">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47EE1F34" w14:textId="234C836D"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1" w:type="pct"/>
            <w:gridSpan w:val="2"/>
            <w:vAlign w:val="center"/>
          </w:tcPr>
          <w:p w14:paraId="5E972FBC" w14:textId="77777777" w:rsidR="0091643F" w:rsidRPr="00FA3C8C" w:rsidRDefault="0091643F" w:rsidP="00FA3C8C">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6A4FCE57" w14:textId="690F360E" w:rsidR="0091643F" w:rsidRPr="00FA3C8C" w:rsidRDefault="0091643F" w:rsidP="00FA3C8C">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3CA8E110" w14:textId="12ABBE05" w:rsidTr="00384D66">
        <w:trPr>
          <w:cantSplit/>
          <w:trHeight w:val="20"/>
          <w:jc w:val="center"/>
        </w:trPr>
        <w:tc>
          <w:tcPr>
            <w:tcW w:w="204" w:type="pct"/>
            <w:vMerge/>
            <w:vAlign w:val="center"/>
          </w:tcPr>
          <w:p w14:paraId="616049BB"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5F977F4"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1494" w:type="pct"/>
            <w:vMerge/>
          </w:tcPr>
          <w:p w14:paraId="0E7BB07F"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2E491760" w14:textId="782F2924"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00CB6516" w14:textId="339091D0"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7616905B" w14:textId="6C00863A"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BAF3B4C" w14:textId="66A6AAC6"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7" w:type="pct"/>
            <w:vAlign w:val="center"/>
          </w:tcPr>
          <w:p w14:paraId="362B780A" w14:textId="51B2E7E7"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vAlign w:val="center"/>
          </w:tcPr>
          <w:p w14:paraId="58898F25" w14:textId="457B6DEF"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B7AAFB9" w14:textId="1B566FAB"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vAlign w:val="center"/>
          </w:tcPr>
          <w:p w14:paraId="6827B622" w14:textId="3626BA48"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c>
          <w:tcPr>
            <w:tcW w:w="266" w:type="pct"/>
            <w:vAlign w:val="center"/>
          </w:tcPr>
          <w:p w14:paraId="7E3285B4" w14:textId="7C509DA0" w:rsidR="0091643F" w:rsidRPr="00034D5E" w:rsidRDefault="0091643F" w:rsidP="0091643F">
            <w:pPr>
              <w:shd w:val="clear" w:color="auto" w:fill="FFFFFF" w:themeFill="background1"/>
              <w:spacing w:before="50" w:after="60"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5" w:type="pct"/>
            <w:vAlign w:val="center"/>
          </w:tcPr>
          <w:p w14:paraId="61A57432" w14:textId="57FA1AB2" w:rsidR="0091643F" w:rsidRPr="00034D5E" w:rsidRDefault="00C42ED5" w:rsidP="0091643F">
            <w:pPr>
              <w:shd w:val="clear" w:color="auto" w:fill="FFFFFF" w:themeFill="background1"/>
              <w:spacing w:before="50" w:after="60" w:line="276" w:lineRule="auto"/>
              <w:jc w:val="center"/>
              <w:rPr>
                <w:rFonts w:ascii="Times New Roman" w:eastAsia="Times New Roman" w:hAnsi="Times New Roman" w:cs="Times New Roman"/>
                <w:b/>
                <w:bCs/>
              </w:rPr>
            </w:pPr>
            <w:r>
              <w:rPr>
                <w:rFonts w:ascii="Times New Roman" w:eastAsia="Times New Roman" w:hAnsi="Times New Roman" w:cs="Times New Roman"/>
                <w:b/>
                <w:bCs/>
                <w:kern w:val="0"/>
                <w14:ligatures w14:val="none"/>
              </w:rPr>
              <w:t xml:space="preserve"> per cent</w:t>
            </w:r>
          </w:p>
        </w:tc>
      </w:tr>
      <w:tr w:rsidR="00034D5E" w:rsidRPr="00FA3C8C" w14:paraId="43A20EA0" w14:textId="23678CB7" w:rsidTr="00384D66">
        <w:trPr>
          <w:cantSplit/>
          <w:trHeight w:val="20"/>
          <w:jc w:val="center"/>
        </w:trPr>
        <w:tc>
          <w:tcPr>
            <w:tcW w:w="204" w:type="pct"/>
            <w:vMerge w:val="restart"/>
            <w:vAlign w:val="center"/>
          </w:tcPr>
          <w:p w14:paraId="3770E3A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1.</w:t>
            </w:r>
          </w:p>
        </w:tc>
        <w:tc>
          <w:tcPr>
            <w:tcW w:w="637" w:type="pct"/>
            <w:vMerge w:val="restart"/>
            <w:vAlign w:val="center"/>
          </w:tcPr>
          <w:p w14:paraId="00DB2185" w14:textId="0116F834"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Age</w:t>
            </w:r>
          </w:p>
        </w:tc>
        <w:tc>
          <w:tcPr>
            <w:tcW w:w="1494" w:type="pct"/>
            <w:vAlign w:val="center"/>
          </w:tcPr>
          <w:p w14:paraId="71A18B3C" w14:textId="497387F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lang w:val="en-GB"/>
              </w:rPr>
              <w:t>Young (&lt;38years)</w:t>
            </w:r>
          </w:p>
        </w:tc>
        <w:tc>
          <w:tcPr>
            <w:tcW w:w="266" w:type="pct"/>
            <w:vAlign w:val="center"/>
          </w:tcPr>
          <w:p w14:paraId="62A12F69" w14:textId="46A7A06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723A1237" w14:textId="25E63D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35B1292D" w14:textId="70CB60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6EFE6857" w14:textId="45451B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051F7F3" w14:textId="558E1A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72DC4B59" w14:textId="478E57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2523533" w14:textId="607E2BA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7E448BA2" w14:textId="635E2CB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2D5AC74F" w14:textId="2F45890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w:t>
            </w:r>
          </w:p>
        </w:tc>
        <w:tc>
          <w:tcPr>
            <w:tcW w:w="265" w:type="pct"/>
            <w:vAlign w:val="center"/>
          </w:tcPr>
          <w:p w14:paraId="568E0732" w14:textId="19A6BF2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33.33</w:t>
            </w:r>
          </w:p>
        </w:tc>
      </w:tr>
      <w:tr w:rsidR="00034D5E" w:rsidRPr="00FA3C8C" w14:paraId="65AB898D" w14:textId="21B6E447" w:rsidTr="00384D66">
        <w:trPr>
          <w:cantSplit/>
          <w:trHeight w:val="20"/>
          <w:jc w:val="center"/>
        </w:trPr>
        <w:tc>
          <w:tcPr>
            <w:tcW w:w="204" w:type="pct"/>
            <w:vMerge/>
            <w:vAlign w:val="center"/>
          </w:tcPr>
          <w:p w14:paraId="3B17F8C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21B0A0C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10158129" w14:textId="34B5CFE1"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(38-48 years)</w:t>
            </w:r>
          </w:p>
        </w:tc>
        <w:tc>
          <w:tcPr>
            <w:tcW w:w="266" w:type="pct"/>
            <w:vAlign w:val="center"/>
          </w:tcPr>
          <w:p w14:paraId="00C3456A" w14:textId="0CD512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1419E95C" w14:textId="653B8F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72A12FF3" w14:textId="07327D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5E936592" w14:textId="3713D3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5EEDD905" w14:textId="3AC1F06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202644A0" w14:textId="3D31598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7C549AA7" w14:textId="2EE70B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70AB5A40" w14:textId="70AE3A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357C450D" w14:textId="2D007E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w:t>
            </w:r>
          </w:p>
        </w:tc>
        <w:tc>
          <w:tcPr>
            <w:tcW w:w="265" w:type="pct"/>
            <w:vAlign w:val="center"/>
          </w:tcPr>
          <w:p w14:paraId="00604CD7" w14:textId="06F3A9F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41.67</w:t>
            </w:r>
          </w:p>
        </w:tc>
      </w:tr>
      <w:tr w:rsidR="00034D5E" w:rsidRPr="00FA3C8C" w14:paraId="668C118F" w14:textId="09708DCE" w:rsidTr="00384D66">
        <w:trPr>
          <w:cantSplit/>
          <w:trHeight w:val="20"/>
          <w:jc w:val="center"/>
        </w:trPr>
        <w:tc>
          <w:tcPr>
            <w:tcW w:w="204" w:type="pct"/>
            <w:vMerge/>
            <w:vAlign w:val="center"/>
          </w:tcPr>
          <w:p w14:paraId="00C8E64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636F58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5761DAC" w14:textId="7254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Old (&gt; 48 years)</w:t>
            </w:r>
          </w:p>
        </w:tc>
        <w:tc>
          <w:tcPr>
            <w:tcW w:w="266" w:type="pct"/>
            <w:vAlign w:val="center"/>
          </w:tcPr>
          <w:p w14:paraId="49A4663C" w14:textId="39001B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39D338" w14:textId="542045B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E03F17E" w14:textId="0E9BB55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0D4601D1" w14:textId="0688667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58B9AF6F" w14:textId="2944079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12</w:t>
            </w:r>
          </w:p>
        </w:tc>
        <w:tc>
          <w:tcPr>
            <w:tcW w:w="267" w:type="pct"/>
            <w:vAlign w:val="center"/>
          </w:tcPr>
          <w:p w14:paraId="24E83129" w14:textId="31E37E7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147A91EF" w14:textId="67015BC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9A1E581" w14:textId="3A2B77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73A126B" w14:textId="4CCBDA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w:t>
            </w:r>
          </w:p>
        </w:tc>
        <w:tc>
          <w:tcPr>
            <w:tcW w:w="265" w:type="pct"/>
            <w:vAlign w:val="center"/>
          </w:tcPr>
          <w:p w14:paraId="3DFCC612" w14:textId="4378C1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25.00</w:t>
            </w:r>
          </w:p>
        </w:tc>
      </w:tr>
      <w:tr w:rsidR="00034D5E" w:rsidRPr="00FA3C8C" w14:paraId="59172FFF" w14:textId="2547652A" w:rsidTr="00384D66">
        <w:trPr>
          <w:cantSplit/>
          <w:trHeight w:val="20"/>
          <w:jc w:val="center"/>
        </w:trPr>
        <w:tc>
          <w:tcPr>
            <w:tcW w:w="204" w:type="pct"/>
            <w:vMerge w:val="restart"/>
            <w:vAlign w:val="center"/>
          </w:tcPr>
          <w:p w14:paraId="268A8BCB"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2.</w:t>
            </w:r>
          </w:p>
        </w:tc>
        <w:tc>
          <w:tcPr>
            <w:tcW w:w="637" w:type="pct"/>
            <w:vMerge w:val="restart"/>
            <w:vAlign w:val="center"/>
          </w:tcPr>
          <w:p w14:paraId="2C21B35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Education</w:t>
            </w:r>
          </w:p>
        </w:tc>
        <w:tc>
          <w:tcPr>
            <w:tcW w:w="1494" w:type="pct"/>
            <w:vAlign w:val="center"/>
          </w:tcPr>
          <w:p w14:paraId="23EA5DE9" w14:textId="1FDEE63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Illiterate</w:t>
            </w:r>
          </w:p>
        </w:tc>
        <w:tc>
          <w:tcPr>
            <w:tcW w:w="266" w:type="pct"/>
            <w:vAlign w:val="center"/>
          </w:tcPr>
          <w:p w14:paraId="2D7D33E5" w14:textId="608905B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238FA2E7" w14:textId="03AC1B0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D16BF22" w14:textId="536E223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F7A1956" w14:textId="4324993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4BE2DBCD" w14:textId="52E12C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54D9EDA" w14:textId="237B07F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298A61D" w14:textId="0E6C00F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24C9ADA" w14:textId="606E29D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A8137DC" w14:textId="3740A1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5" w:type="pct"/>
            <w:vAlign w:val="center"/>
          </w:tcPr>
          <w:p w14:paraId="3F00D57F" w14:textId="4585EE7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4.17</w:t>
            </w:r>
          </w:p>
        </w:tc>
      </w:tr>
      <w:tr w:rsidR="00034D5E" w:rsidRPr="00FA3C8C" w14:paraId="568F09DA" w14:textId="1E0B4FCA" w:rsidTr="00384D66">
        <w:trPr>
          <w:cantSplit/>
          <w:trHeight w:val="20"/>
          <w:jc w:val="center"/>
        </w:trPr>
        <w:tc>
          <w:tcPr>
            <w:tcW w:w="204" w:type="pct"/>
            <w:vMerge/>
            <w:vAlign w:val="center"/>
          </w:tcPr>
          <w:p w14:paraId="69993262"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352ED74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104C9E7" w14:textId="3601315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Primary school (1</w:t>
            </w:r>
            <w:r w:rsidRPr="00FA3C8C">
              <w:rPr>
                <w:rFonts w:ascii="Times New Roman" w:hAnsi="Times New Roman" w:cs="Times New Roman"/>
                <w:sz w:val="24"/>
                <w:szCs w:val="24"/>
                <w:vertAlign w:val="superscript"/>
              </w:rPr>
              <w:t>st</w:t>
            </w:r>
            <w:r w:rsidRPr="00FA3C8C">
              <w:rPr>
                <w:rFonts w:ascii="Times New Roman" w:hAnsi="Times New Roman" w:cs="Times New Roman"/>
                <w:sz w:val="24"/>
                <w:szCs w:val="24"/>
              </w:rPr>
              <w:t>- 4</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E7C5BB" w14:textId="7C9609E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67EAA2E" w14:textId="2306B0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C1DFDE6" w14:textId="6E15992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0782648A" w14:textId="4DA181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18E9A5EC" w14:textId="41ED6D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46B00126" w14:textId="4C9D91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5F2003F" w14:textId="7D48380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0B01E16B" w14:textId="569B63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EE836F3" w14:textId="3E1A158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3300CC61" w14:textId="09B9EF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r w:rsidR="00034D5E" w:rsidRPr="00FA3C8C" w14:paraId="73F10609" w14:textId="40AD7077" w:rsidTr="00384D66">
        <w:trPr>
          <w:cantSplit/>
          <w:trHeight w:val="20"/>
          <w:jc w:val="center"/>
        </w:trPr>
        <w:tc>
          <w:tcPr>
            <w:tcW w:w="204" w:type="pct"/>
            <w:vMerge/>
            <w:vAlign w:val="center"/>
          </w:tcPr>
          <w:p w14:paraId="4879D61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5175820"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6B9C6B56" w14:textId="4A1C2CE2"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Middle school (5</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- 7</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14D35188" w14:textId="52A9E5A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48B3AF9" w14:textId="5ADB7AF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2CE235C1" w14:textId="47FB84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2DFEE8F1" w14:textId="1706F19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7595191B" w14:textId="53E4CFB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5FA5E84E" w14:textId="0C0294D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1134ED50" w14:textId="22398D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1F4B3A08" w14:textId="15073E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1EDFB55E" w14:textId="3D3852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5" w:type="pct"/>
            <w:vAlign w:val="center"/>
          </w:tcPr>
          <w:p w14:paraId="58C06D28" w14:textId="34C72AF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14.17</w:t>
            </w:r>
          </w:p>
        </w:tc>
      </w:tr>
      <w:tr w:rsidR="00034D5E" w:rsidRPr="00FA3C8C" w14:paraId="254A9D3F" w14:textId="69286EE5" w:rsidTr="00384D66">
        <w:trPr>
          <w:cantSplit/>
          <w:trHeight w:val="20"/>
          <w:jc w:val="center"/>
        </w:trPr>
        <w:tc>
          <w:tcPr>
            <w:tcW w:w="204" w:type="pct"/>
            <w:vMerge/>
            <w:vAlign w:val="center"/>
          </w:tcPr>
          <w:p w14:paraId="00817066"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0C1A68A"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01EB96D" w14:textId="3D2FBC3B"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High school (8</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- 10</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6B7EF2E" w14:textId="31099D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11</w:t>
            </w:r>
          </w:p>
        </w:tc>
        <w:tc>
          <w:tcPr>
            <w:tcW w:w="267" w:type="pct"/>
            <w:vAlign w:val="center"/>
          </w:tcPr>
          <w:p w14:paraId="2A99DBDE" w14:textId="58F4479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73AA3105" w14:textId="006F378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7" w:type="pct"/>
            <w:vAlign w:val="center"/>
          </w:tcPr>
          <w:p w14:paraId="269155C9" w14:textId="45B0F6D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7D4042AB" w14:textId="5A15271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46078E61" w14:textId="78898A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43.33</w:t>
            </w:r>
          </w:p>
        </w:tc>
        <w:tc>
          <w:tcPr>
            <w:tcW w:w="266" w:type="pct"/>
            <w:vAlign w:val="center"/>
          </w:tcPr>
          <w:p w14:paraId="07055632" w14:textId="51F1C5D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7" w:type="pct"/>
            <w:vAlign w:val="center"/>
          </w:tcPr>
          <w:p w14:paraId="64285700" w14:textId="433EB8F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26.67</w:t>
            </w:r>
          </w:p>
        </w:tc>
        <w:tc>
          <w:tcPr>
            <w:tcW w:w="266" w:type="pct"/>
            <w:vAlign w:val="center"/>
          </w:tcPr>
          <w:p w14:paraId="5E7A939D" w14:textId="57C8AB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w:t>
            </w:r>
          </w:p>
        </w:tc>
        <w:tc>
          <w:tcPr>
            <w:tcW w:w="265" w:type="pct"/>
            <w:vAlign w:val="center"/>
          </w:tcPr>
          <w:p w14:paraId="4F333F73" w14:textId="485565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44.17</w:t>
            </w:r>
          </w:p>
        </w:tc>
      </w:tr>
      <w:tr w:rsidR="00034D5E" w:rsidRPr="00FA3C8C" w14:paraId="2F8B8812" w14:textId="7C160D12" w:rsidTr="00384D66">
        <w:trPr>
          <w:cantSplit/>
          <w:trHeight w:val="20"/>
          <w:jc w:val="center"/>
        </w:trPr>
        <w:tc>
          <w:tcPr>
            <w:tcW w:w="204" w:type="pct"/>
            <w:vMerge/>
            <w:vAlign w:val="center"/>
          </w:tcPr>
          <w:p w14:paraId="3A7F4EE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4103E08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CC922E9" w14:textId="330D001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PUC (11</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 xml:space="preserve"> and 12</w:t>
            </w:r>
            <w:r w:rsidRPr="00FA3C8C">
              <w:rPr>
                <w:rFonts w:ascii="Times New Roman" w:hAnsi="Times New Roman" w:cs="Times New Roman"/>
                <w:sz w:val="24"/>
                <w:szCs w:val="24"/>
                <w:vertAlign w:val="superscript"/>
              </w:rPr>
              <w:t>th</w:t>
            </w:r>
            <w:r w:rsidRPr="00FA3C8C">
              <w:rPr>
                <w:rFonts w:ascii="Times New Roman" w:hAnsi="Times New Roman" w:cs="Times New Roman"/>
                <w:sz w:val="24"/>
                <w:szCs w:val="24"/>
              </w:rPr>
              <w:t>std)</w:t>
            </w:r>
          </w:p>
        </w:tc>
        <w:tc>
          <w:tcPr>
            <w:tcW w:w="266" w:type="pct"/>
            <w:vAlign w:val="center"/>
          </w:tcPr>
          <w:p w14:paraId="3901A7EF" w14:textId="2E6BBBC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FCDDD3B" w14:textId="760FC38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8BB4B86" w14:textId="30F9E7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5940010D" w14:textId="7E415EE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3133E957" w14:textId="4F94297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0850B0BB" w14:textId="0207C4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0D926236" w14:textId="5849E37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2EF4AB40" w14:textId="25A85E5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3C23D79A" w14:textId="0F11E70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750053C3" w14:textId="3CD8F2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17250A3B" w14:textId="289A5328" w:rsidTr="00384D66">
        <w:trPr>
          <w:cantSplit/>
          <w:trHeight w:val="20"/>
          <w:jc w:val="center"/>
        </w:trPr>
        <w:tc>
          <w:tcPr>
            <w:tcW w:w="204" w:type="pct"/>
            <w:vMerge/>
            <w:vAlign w:val="center"/>
          </w:tcPr>
          <w:p w14:paraId="16EFEFB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DCCC6EF"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03F864D1" w14:textId="624CEF2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Graduation and above</w:t>
            </w:r>
          </w:p>
        </w:tc>
        <w:tc>
          <w:tcPr>
            <w:tcW w:w="266" w:type="pct"/>
            <w:vAlign w:val="center"/>
          </w:tcPr>
          <w:p w14:paraId="1F39B004" w14:textId="55CC93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13</w:t>
            </w:r>
          </w:p>
        </w:tc>
        <w:tc>
          <w:tcPr>
            <w:tcW w:w="267" w:type="pct"/>
            <w:vAlign w:val="center"/>
          </w:tcPr>
          <w:p w14:paraId="234C129E" w14:textId="243C67B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53320C03" w14:textId="2CE2BEA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34F3690C" w14:textId="11B8D48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22AB0D2C" w14:textId="7F1A73E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7</w:t>
            </w:r>
          </w:p>
        </w:tc>
        <w:tc>
          <w:tcPr>
            <w:tcW w:w="267" w:type="pct"/>
            <w:vAlign w:val="center"/>
          </w:tcPr>
          <w:p w14:paraId="6FCA1A3E" w14:textId="34DCC9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618A4A0F" w14:textId="4738111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585D01CF" w14:textId="4CF45EE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1E90857" w14:textId="69E7749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w:t>
            </w:r>
          </w:p>
        </w:tc>
        <w:tc>
          <w:tcPr>
            <w:tcW w:w="265" w:type="pct"/>
            <w:vAlign w:val="center"/>
          </w:tcPr>
          <w:p w14:paraId="4374EDFD" w14:textId="6F70C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r>
      <w:tr w:rsidR="00034D5E" w:rsidRPr="00FA3C8C" w14:paraId="00D4F4BC" w14:textId="77DACF2F" w:rsidTr="00384D66">
        <w:trPr>
          <w:cantSplit/>
          <w:trHeight w:val="20"/>
          <w:jc w:val="center"/>
        </w:trPr>
        <w:tc>
          <w:tcPr>
            <w:tcW w:w="204" w:type="pct"/>
            <w:vMerge w:val="restart"/>
            <w:vAlign w:val="center"/>
          </w:tcPr>
          <w:p w14:paraId="51D51CDE"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3.</w:t>
            </w:r>
          </w:p>
          <w:p w14:paraId="575EEF3A" w14:textId="2777FAA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restart"/>
            <w:vAlign w:val="center"/>
          </w:tcPr>
          <w:p w14:paraId="700C6998" w14:textId="371AA7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Land holding</w:t>
            </w:r>
          </w:p>
        </w:tc>
        <w:tc>
          <w:tcPr>
            <w:tcW w:w="1494" w:type="pct"/>
            <w:vAlign w:val="center"/>
          </w:tcPr>
          <w:p w14:paraId="273BF125" w14:textId="6C45C27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Marginal farmer (</w:t>
            </w:r>
            <w:proofErr w:type="spellStart"/>
            <w:r w:rsidRPr="00FA3C8C">
              <w:rPr>
                <w:rFonts w:ascii="Times New Roman" w:hAnsi="Times New Roman" w:cs="Times New Roman"/>
                <w:sz w:val="24"/>
                <w:szCs w:val="24"/>
              </w:rPr>
              <w:t>upto</w:t>
            </w:r>
            <w:proofErr w:type="spellEnd"/>
            <w:r w:rsidRPr="00FA3C8C">
              <w:rPr>
                <w:rFonts w:ascii="Times New Roman" w:hAnsi="Times New Roman" w:cs="Times New Roman"/>
                <w:sz w:val="24"/>
                <w:szCs w:val="24"/>
              </w:rPr>
              <w:t xml:space="preserve"> 2.50 acres)</w:t>
            </w:r>
          </w:p>
        </w:tc>
        <w:tc>
          <w:tcPr>
            <w:tcW w:w="266" w:type="pct"/>
            <w:vAlign w:val="center"/>
          </w:tcPr>
          <w:p w14:paraId="055AB887" w14:textId="338E7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3129E5AE" w14:textId="3849993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500D6785" w14:textId="559FC8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37183E74" w14:textId="6DCABEE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FC8AE55" w14:textId="100648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1FB11941" w14:textId="5C12DC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98431AF" w14:textId="0EE90CB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46F21C45" w14:textId="1D99CC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00B71369" w14:textId="477D9E6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5" w:type="pct"/>
            <w:vAlign w:val="center"/>
          </w:tcPr>
          <w:p w14:paraId="204B3AD5" w14:textId="39324C5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1.67</w:t>
            </w:r>
          </w:p>
        </w:tc>
      </w:tr>
      <w:tr w:rsidR="00034D5E" w:rsidRPr="00FA3C8C" w14:paraId="7735D126" w14:textId="011CC17E" w:rsidTr="00384D66">
        <w:trPr>
          <w:cantSplit/>
          <w:trHeight w:val="20"/>
          <w:jc w:val="center"/>
        </w:trPr>
        <w:tc>
          <w:tcPr>
            <w:tcW w:w="204" w:type="pct"/>
            <w:vMerge/>
            <w:vAlign w:val="center"/>
          </w:tcPr>
          <w:p w14:paraId="04BD7B89" w14:textId="16B5A705"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438E2D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4562BCDC" w14:textId="70662BF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Small farmer (2.51-5.00 acres)</w:t>
            </w:r>
          </w:p>
        </w:tc>
        <w:tc>
          <w:tcPr>
            <w:tcW w:w="266" w:type="pct"/>
            <w:vAlign w:val="center"/>
          </w:tcPr>
          <w:p w14:paraId="6A0CE02F" w14:textId="5B4EA8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1E9C5555" w14:textId="73A80B9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4DB4748A" w14:textId="160A15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w:t>
            </w:r>
          </w:p>
        </w:tc>
        <w:tc>
          <w:tcPr>
            <w:tcW w:w="267" w:type="pct"/>
            <w:vAlign w:val="center"/>
          </w:tcPr>
          <w:p w14:paraId="5D39FAC8" w14:textId="1BDA81C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369B19B4" w14:textId="5A907E0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11A3F954" w14:textId="744042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9456412" w14:textId="303EA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w:t>
            </w:r>
          </w:p>
        </w:tc>
        <w:tc>
          <w:tcPr>
            <w:tcW w:w="267" w:type="pct"/>
            <w:vAlign w:val="center"/>
          </w:tcPr>
          <w:p w14:paraId="3B3DD06C" w14:textId="6F812C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c>
          <w:tcPr>
            <w:tcW w:w="266" w:type="pct"/>
            <w:vAlign w:val="center"/>
          </w:tcPr>
          <w:p w14:paraId="144D3134" w14:textId="59A7F35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w:t>
            </w:r>
          </w:p>
        </w:tc>
        <w:tc>
          <w:tcPr>
            <w:tcW w:w="265" w:type="pct"/>
            <w:vAlign w:val="center"/>
          </w:tcPr>
          <w:p w14:paraId="4737B685" w14:textId="1B2FE20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r>
      <w:tr w:rsidR="00034D5E" w:rsidRPr="00FA3C8C" w14:paraId="42BA0508" w14:textId="3F61EB8D" w:rsidTr="00384D66">
        <w:trPr>
          <w:cantSplit/>
          <w:trHeight w:val="20"/>
          <w:jc w:val="center"/>
        </w:trPr>
        <w:tc>
          <w:tcPr>
            <w:tcW w:w="204" w:type="pct"/>
            <w:vMerge/>
            <w:vAlign w:val="center"/>
          </w:tcPr>
          <w:p w14:paraId="66A598F0" w14:textId="2ADA9BD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9E90C05"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7C7F1E0A" w14:textId="5A944156"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Semi- medium farmer (5.01-10.00 acres)</w:t>
            </w:r>
          </w:p>
        </w:tc>
        <w:tc>
          <w:tcPr>
            <w:tcW w:w="266" w:type="pct"/>
            <w:vAlign w:val="center"/>
          </w:tcPr>
          <w:p w14:paraId="0F7F28AB" w14:textId="10D2922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1C37F68A" w14:textId="586463F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13.34</w:t>
            </w:r>
          </w:p>
        </w:tc>
        <w:tc>
          <w:tcPr>
            <w:tcW w:w="267" w:type="pct"/>
            <w:vAlign w:val="center"/>
          </w:tcPr>
          <w:p w14:paraId="0B55F30B" w14:textId="28B0F4B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4</w:t>
            </w:r>
          </w:p>
        </w:tc>
        <w:tc>
          <w:tcPr>
            <w:tcW w:w="267" w:type="pct"/>
            <w:vAlign w:val="center"/>
          </w:tcPr>
          <w:p w14:paraId="5F977844" w14:textId="27A84F3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13.33</w:t>
            </w:r>
          </w:p>
        </w:tc>
        <w:tc>
          <w:tcPr>
            <w:tcW w:w="267" w:type="pct"/>
            <w:vAlign w:val="center"/>
          </w:tcPr>
          <w:p w14:paraId="38377616" w14:textId="6056B95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9</w:t>
            </w:r>
          </w:p>
        </w:tc>
        <w:tc>
          <w:tcPr>
            <w:tcW w:w="267" w:type="pct"/>
            <w:vAlign w:val="center"/>
          </w:tcPr>
          <w:p w14:paraId="6680A8C7" w14:textId="7A10A8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1D00F91A" w14:textId="4982E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818F5F3" w14:textId="3E27F04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79D98D71" w14:textId="16FEAC3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11</w:t>
            </w:r>
          </w:p>
        </w:tc>
        <w:tc>
          <w:tcPr>
            <w:tcW w:w="265" w:type="pct"/>
            <w:vAlign w:val="center"/>
          </w:tcPr>
          <w:p w14:paraId="2A96605B" w14:textId="4322728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9.17</w:t>
            </w:r>
          </w:p>
        </w:tc>
      </w:tr>
      <w:tr w:rsidR="00034D5E" w:rsidRPr="00FA3C8C" w14:paraId="0F66E940" w14:textId="65FB5E9E" w:rsidTr="00384D66">
        <w:trPr>
          <w:cantSplit/>
          <w:trHeight w:val="20"/>
          <w:jc w:val="center"/>
        </w:trPr>
        <w:tc>
          <w:tcPr>
            <w:tcW w:w="204" w:type="pct"/>
            <w:vMerge/>
            <w:vAlign w:val="center"/>
          </w:tcPr>
          <w:p w14:paraId="755FD1FB" w14:textId="2B88522C"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78076E5C"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5021BA14" w14:textId="57B33F9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hAnsi="Times New Roman" w:cs="Times New Roman"/>
                <w:sz w:val="24"/>
                <w:szCs w:val="24"/>
              </w:rPr>
              <w:t>Medium farmer (10.01-25.00 acres)</w:t>
            </w:r>
          </w:p>
        </w:tc>
        <w:tc>
          <w:tcPr>
            <w:tcW w:w="266" w:type="pct"/>
            <w:vAlign w:val="center"/>
          </w:tcPr>
          <w:p w14:paraId="62D56575" w14:textId="4E7F802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22</w:t>
            </w:r>
          </w:p>
        </w:tc>
        <w:tc>
          <w:tcPr>
            <w:tcW w:w="267" w:type="pct"/>
            <w:vAlign w:val="center"/>
          </w:tcPr>
          <w:p w14:paraId="6DD98E19" w14:textId="0C6326F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73.33</w:t>
            </w:r>
          </w:p>
        </w:tc>
        <w:tc>
          <w:tcPr>
            <w:tcW w:w="267" w:type="pct"/>
            <w:vAlign w:val="center"/>
          </w:tcPr>
          <w:p w14:paraId="7CC92F37" w14:textId="7EF3E92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4A785E07" w14:textId="6E44D7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7" w:type="pct"/>
            <w:vAlign w:val="center"/>
          </w:tcPr>
          <w:p w14:paraId="2D57766C" w14:textId="6C0BE11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16</w:t>
            </w:r>
          </w:p>
        </w:tc>
        <w:tc>
          <w:tcPr>
            <w:tcW w:w="267" w:type="pct"/>
            <w:vAlign w:val="center"/>
          </w:tcPr>
          <w:p w14:paraId="1EB8E76E" w14:textId="1EC6748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E28C856" w14:textId="1D39CE8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6D12DDE4" w14:textId="4DB4D8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60A42B04" w14:textId="1B8FB09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89</w:t>
            </w:r>
          </w:p>
        </w:tc>
        <w:tc>
          <w:tcPr>
            <w:tcW w:w="265" w:type="pct"/>
            <w:vAlign w:val="center"/>
          </w:tcPr>
          <w:p w14:paraId="7769D240" w14:textId="7276F9C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74.17</w:t>
            </w:r>
          </w:p>
        </w:tc>
      </w:tr>
      <w:tr w:rsidR="00034D5E" w:rsidRPr="00FA3C8C" w14:paraId="7A7045B4" w14:textId="31B3CEF2" w:rsidTr="00384D66">
        <w:trPr>
          <w:cantSplit/>
          <w:trHeight w:val="20"/>
          <w:jc w:val="center"/>
        </w:trPr>
        <w:tc>
          <w:tcPr>
            <w:tcW w:w="204" w:type="pct"/>
            <w:vMerge/>
            <w:vAlign w:val="center"/>
          </w:tcPr>
          <w:p w14:paraId="7A0EF1D2" w14:textId="245785B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637" w:type="pct"/>
            <w:vMerge/>
            <w:vAlign w:val="center"/>
          </w:tcPr>
          <w:p w14:paraId="0E6DBFA8" w14:textId="5C31EE09"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1494" w:type="pct"/>
            <w:vAlign w:val="center"/>
          </w:tcPr>
          <w:p w14:paraId="235E3DAA" w14:textId="7E40E53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
                <w:bCs/>
                <w:kern w:val="0"/>
                <w:sz w:val="24"/>
                <w:szCs w:val="24"/>
                <w14:ligatures w14:val="none"/>
              </w:rPr>
            </w:pPr>
            <w:r w:rsidRPr="00FA3C8C">
              <w:rPr>
                <w:rFonts w:ascii="Times New Roman" w:hAnsi="Times New Roman" w:cs="Times New Roman"/>
                <w:sz w:val="24"/>
                <w:szCs w:val="24"/>
              </w:rPr>
              <w:t>Big farmer (25.00 acres)</w:t>
            </w:r>
          </w:p>
        </w:tc>
        <w:tc>
          <w:tcPr>
            <w:tcW w:w="266" w:type="pct"/>
            <w:vAlign w:val="center"/>
          </w:tcPr>
          <w:p w14:paraId="0138447A" w14:textId="52DA955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C056514" w14:textId="269F181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9B3FAEC" w14:textId="620F5B8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0</w:t>
            </w:r>
          </w:p>
        </w:tc>
        <w:tc>
          <w:tcPr>
            <w:tcW w:w="267" w:type="pct"/>
            <w:vAlign w:val="center"/>
          </w:tcPr>
          <w:p w14:paraId="7511B5D8" w14:textId="023803C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661CD04F" w14:textId="3E71957E"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475B2A7A" w14:textId="2680E7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5364937F" w14:textId="2DEC11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6CBF68ED" w14:textId="5457B8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A8E97F1" w14:textId="595A495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w:t>
            </w:r>
          </w:p>
        </w:tc>
        <w:tc>
          <w:tcPr>
            <w:tcW w:w="265" w:type="pct"/>
            <w:vAlign w:val="center"/>
          </w:tcPr>
          <w:p w14:paraId="5A16F0C1" w14:textId="77BBC7C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8.33</w:t>
            </w:r>
          </w:p>
        </w:tc>
      </w:tr>
      <w:tr w:rsidR="00034D5E" w:rsidRPr="00FA3C8C" w14:paraId="4B229FC5" w14:textId="3D1F09F5" w:rsidTr="00384D66">
        <w:trPr>
          <w:cantSplit/>
          <w:trHeight w:val="20"/>
          <w:jc w:val="center"/>
        </w:trPr>
        <w:tc>
          <w:tcPr>
            <w:tcW w:w="204" w:type="pct"/>
            <w:vMerge w:val="restart"/>
            <w:vAlign w:val="center"/>
          </w:tcPr>
          <w:p w14:paraId="3597F014" w14:textId="4A1519C0"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sidRPr="00FA3C8C">
              <w:rPr>
                <w:rFonts w:ascii="Times New Roman" w:eastAsia="Times New Roman" w:hAnsi="Times New Roman" w:cs="Times New Roman"/>
                <w:sz w:val="24"/>
                <w:szCs w:val="24"/>
              </w:rPr>
              <w:t>4.</w:t>
            </w:r>
          </w:p>
        </w:tc>
        <w:tc>
          <w:tcPr>
            <w:tcW w:w="637" w:type="pct"/>
            <w:vMerge w:val="restart"/>
            <w:vAlign w:val="center"/>
          </w:tcPr>
          <w:p w14:paraId="20E1F866" w14:textId="0DFB69D0"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bCs/>
                <w:sz w:val="24"/>
                <w:szCs w:val="24"/>
              </w:rPr>
            </w:pPr>
            <w:r w:rsidRPr="00FA3C8C">
              <w:rPr>
                <w:rFonts w:ascii="Times New Roman" w:hAnsi="Times New Roman" w:cs="Times New Roman"/>
                <w:bCs/>
                <w:sz w:val="24"/>
                <w:szCs w:val="24"/>
              </w:rPr>
              <w:t>Occupation</w:t>
            </w:r>
          </w:p>
        </w:tc>
        <w:tc>
          <w:tcPr>
            <w:tcW w:w="1494" w:type="pct"/>
          </w:tcPr>
          <w:p w14:paraId="18031F53" w14:textId="1551E363"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 xml:space="preserve">Agriculture </w:t>
            </w:r>
          </w:p>
        </w:tc>
        <w:tc>
          <w:tcPr>
            <w:tcW w:w="266" w:type="pct"/>
            <w:vAlign w:val="center"/>
          </w:tcPr>
          <w:p w14:paraId="4AD56474" w14:textId="15638F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3EF5F514" w14:textId="2787BFC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77BA3E8" w14:textId="7E370A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BA88310" w14:textId="20A382D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5D4BFF74" w14:textId="2A5650B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7" w:type="pct"/>
            <w:vAlign w:val="center"/>
          </w:tcPr>
          <w:p w14:paraId="3E1E54EA" w14:textId="4C64641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6" w:type="pct"/>
            <w:vAlign w:val="center"/>
          </w:tcPr>
          <w:p w14:paraId="4793EEDD" w14:textId="4F6AF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79F39132" w14:textId="54CF39E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6" w:type="pct"/>
            <w:vAlign w:val="center"/>
          </w:tcPr>
          <w:p w14:paraId="113F7971" w14:textId="3F9AFC6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w:t>
            </w:r>
          </w:p>
        </w:tc>
        <w:tc>
          <w:tcPr>
            <w:tcW w:w="265" w:type="pct"/>
            <w:vAlign w:val="center"/>
          </w:tcPr>
          <w:p w14:paraId="6ACDE0C8" w14:textId="37D1279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r>
      <w:tr w:rsidR="00034D5E" w:rsidRPr="00FA3C8C" w14:paraId="3D81752F" w14:textId="77353E42" w:rsidTr="00384D66">
        <w:trPr>
          <w:cantSplit/>
          <w:trHeight w:val="20"/>
          <w:jc w:val="center"/>
        </w:trPr>
        <w:tc>
          <w:tcPr>
            <w:tcW w:w="204" w:type="pct"/>
            <w:vMerge/>
            <w:vAlign w:val="center"/>
          </w:tcPr>
          <w:p w14:paraId="2720BAFB" w14:textId="7F04081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DB1E8E1" w14:textId="3EB88BBB"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D3FD456" w14:textId="018D02FE"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w:t>
            </w:r>
            <w:r w:rsidRPr="00FA3C8C">
              <w:rPr>
                <w:rFonts w:ascii="Times New Roman" w:hAnsi="Times New Roman" w:cs="Times New Roman"/>
                <w:b/>
                <w:sz w:val="24"/>
                <w:szCs w:val="24"/>
              </w:rPr>
              <w:t xml:space="preserve"> + </w:t>
            </w:r>
            <w:proofErr w:type="spellStart"/>
            <w:r w:rsidRPr="00FA3C8C">
              <w:rPr>
                <w:rFonts w:ascii="Times New Roman" w:hAnsi="Times New Roman" w:cs="Times New Roman"/>
                <w:sz w:val="24"/>
                <w:szCs w:val="24"/>
              </w:rPr>
              <w:t>Labour</w:t>
            </w:r>
            <w:proofErr w:type="spellEnd"/>
            <w:r w:rsidRPr="00FA3C8C">
              <w:rPr>
                <w:rFonts w:ascii="Times New Roman" w:hAnsi="Times New Roman" w:cs="Times New Roman"/>
                <w:sz w:val="24"/>
                <w:szCs w:val="24"/>
              </w:rPr>
              <w:t xml:space="preserve"> work</w:t>
            </w:r>
          </w:p>
        </w:tc>
        <w:tc>
          <w:tcPr>
            <w:tcW w:w="266" w:type="pct"/>
            <w:vAlign w:val="center"/>
          </w:tcPr>
          <w:p w14:paraId="34C19D7E" w14:textId="1DD5638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199CB445" w14:textId="1E570B6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C3B1BC" w14:textId="3BDE98D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1882566" w14:textId="659B49A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8862D4D" w14:textId="425F87E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6BBE282D" w14:textId="65ECF3A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E8498B3" w14:textId="2CEC5C7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CCFAF60" w14:textId="02A3C7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7FE2DE92" w14:textId="6DE8026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5" w:type="pct"/>
            <w:vAlign w:val="center"/>
          </w:tcPr>
          <w:p w14:paraId="50A24F81" w14:textId="78B1E92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r>
      <w:tr w:rsidR="00034D5E" w:rsidRPr="00FA3C8C" w14:paraId="3AA26F77" w14:textId="7DD0E67F" w:rsidTr="00384D66">
        <w:trPr>
          <w:cantSplit/>
          <w:trHeight w:val="20"/>
          <w:jc w:val="center"/>
        </w:trPr>
        <w:tc>
          <w:tcPr>
            <w:tcW w:w="204" w:type="pct"/>
            <w:vMerge/>
            <w:vAlign w:val="center"/>
          </w:tcPr>
          <w:p w14:paraId="7C179057" w14:textId="58B79B12"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2F095F94" w14:textId="48D54A78"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5A481EA" w14:textId="19B87C5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Animal Husbandry</w:t>
            </w:r>
          </w:p>
        </w:tc>
        <w:tc>
          <w:tcPr>
            <w:tcW w:w="266" w:type="pct"/>
            <w:vAlign w:val="center"/>
          </w:tcPr>
          <w:p w14:paraId="6318BCFB" w14:textId="0C5D497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17</w:t>
            </w:r>
          </w:p>
        </w:tc>
        <w:tc>
          <w:tcPr>
            <w:tcW w:w="267" w:type="pct"/>
            <w:vAlign w:val="center"/>
          </w:tcPr>
          <w:p w14:paraId="76B5DE7E" w14:textId="71D7DB9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c>
          <w:tcPr>
            <w:tcW w:w="267" w:type="pct"/>
            <w:vAlign w:val="center"/>
          </w:tcPr>
          <w:p w14:paraId="4716D442" w14:textId="116641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7" w:type="pct"/>
            <w:vAlign w:val="center"/>
          </w:tcPr>
          <w:p w14:paraId="232DEF6D" w14:textId="1AE002B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51D9B11B" w14:textId="4E4BD52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334E286" w14:textId="4E3D660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276C3D70" w14:textId="6030032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2523FB0A" w14:textId="2CF5B7B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53.33</w:t>
            </w:r>
          </w:p>
        </w:tc>
        <w:tc>
          <w:tcPr>
            <w:tcW w:w="266" w:type="pct"/>
            <w:vAlign w:val="center"/>
          </w:tcPr>
          <w:p w14:paraId="7E7DC95A" w14:textId="5C49BFF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68</w:t>
            </w:r>
          </w:p>
        </w:tc>
        <w:tc>
          <w:tcPr>
            <w:tcW w:w="265" w:type="pct"/>
            <w:vAlign w:val="center"/>
          </w:tcPr>
          <w:p w14:paraId="52277FC9" w14:textId="1455BE3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56.67</w:t>
            </w:r>
          </w:p>
        </w:tc>
      </w:tr>
      <w:tr w:rsidR="00034D5E" w:rsidRPr="00FA3C8C" w14:paraId="57C16192" w14:textId="57EEAA0C" w:rsidTr="00384D66">
        <w:trPr>
          <w:cantSplit/>
          <w:trHeight w:val="20"/>
          <w:jc w:val="center"/>
        </w:trPr>
        <w:tc>
          <w:tcPr>
            <w:tcW w:w="204" w:type="pct"/>
            <w:vMerge/>
            <w:vAlign w:val="center"/>
          </w:tcPr>
          <w:p w14:paraId="6DF2D721" w14:textId="1A295E0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833F5D1" w14:textId="63840BF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1C6A0AE6" w14:textId="1F8C3834"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+Service</w:t>
            </w:r>
          </w:p>
        </w:tc>
        <w:tc>
          <w:tcPr>
            <w:tcW w:w="266" w:type="pct"/>
            <w:vAlign w:val="center"/>
          </w:tcPr>
          <w:p w14:paraId="2B30E755" w14:textId="03DF305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008C1544" w14:textId="244EF5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7" w:type="pct"/>
            <w:vAlign w:val="center"/>
          </w:tcPr>
          <w:p w14:paraId="0E277030" w14:textId="2B5621B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00DCCF09" w14:textId="2258B01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1A079FC8" w14:textId="1D294B4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329CD63C" w14:textId="543AC62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318973EE" w14:textId="453E563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2755364C" w14:textId="037F0F5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013134C0" w14:textId="43F36DA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5" w:type="pct"/>
            <w:vAlign w:val="center"/>
          </w:tcPr>
          <w:p w14:paraId="79FE730F" w14:textId="6CC1EDD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5.00</w:t>
            </w:r>
          </w:p>
        </w:tc>
      </w:tr>
      <w:tr w:rsidR="00034D5E" w:rsidRPr="00FA3C8C" w14:paraId="49137CB6" w14:textId="31910B73" w:rsidTr="00384D66">
        <w:trPr>
          <w:cantSplit/>
          <w:trHeight w:val="20"/>
          <w:jc w:val="center"/>
        </w:trPr>
        <w:tc>
          <w:tcPr>
            <w:tcW w:w="204" w:type="pct"/>
            <w:vMerge/>
            <w:vAlign w:val="center"/>
          </w:tcPr>
          <w:p w14:paraId="5AF6B104" w14:textId="400876FA"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44F1DF9D" w14:textId="5BCBDE84"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0E1C58DD" w14:textId="6154F89B"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Business</w:t>
            </w:r>
          </w:p>
        </w:tc>
        <w:tc>
          <w:tcPr>
            <w:tcW w:w="266" w:type="pct"/>
            <w:vAlign w:val="center"/>
          </w:tcPr>
          <w:p w14:paraId="7089CD0E" w14:textId="043ED5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5E88D290" w14:textId="7994683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718C89D2" w14:textId="3F6936A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w:t>
            </w:r>
          </w:p>
        </w:tc>
        <w:tc>
          <w:tcPr>
            <w:tcW w:w="267" w:type="pct"/>
            <w:vAlign w:val="center"/>
          </w:tcPr>
          <w:p w14:paraId="28B8EE80" w14:textId="42638B8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37902152" w14:textId="6DD19A3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60F261F4" w14:textId="1D152E9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16.67</w:t>
            </w:r>
          </w:p>
        </w:tc>
        <w:tc>
          <w:tcPr>
            <w:tcW w:w="266" w:type="pct"/>
            <w:vAlign w:val="center"/>
          </w:tcPr>
          <w:p w14:paraId="2F5B0D26" w14:textId="3C7C6AC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w:t>
            </w:r>
          </w:p>
        </w:tc>
        <w:tc>
          <w:tcPr>
            <w:tcW w:w="267" w:type="pct"/>
            <w:vAlign w:val="center"/>
          </w:tcPr>
          <w:p w14:paraId="1D728DFA" w14:textId="0C18220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6" w:type="pct"/>
            <w:vAlign w:val="center"/>
          </w:tcPr>
          <w:p w14:paraId="531433C9" w14:textId="66CE32F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25</w:t>
            </w:r>
          </w:p>
        </w:tc>
        <w:tc>
          <w:tcPr>
            <w:tcW w:w="265" w:type="pct"/>
            <w:vAlign w:val="center"/>
          </w:tcPr>
          <w:p w14:paraId="2470FE24" w14:textId="0F85E9E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20.83</w:t>
            </w:r>
          </w:p>
        </w:tc>
      </w:tr>
      <w:tr w:rsidR="00034D5E" w:rsidRPr="00FA3C8C" w14:paraId="3084E6BD" w14:textId="1DD269DF" w:rsidTr="00384D66">
        <w:trPr>
          <w:cantSplit/>
          <w:trHeight w:val="20"/>
          <w:jc w:val="center"/>
        </w:trPr>
        <w:tc>
          <w:tcPr>
            <w:tcW w:w="204" w:type="pct"/>
            <w:vMerge/>
            <w:vAlign w:val="center"/>
          </w:tcPr>
          <w:p w14:paraId="1EE6B313" w14:textId="1FC91F2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637" w:type="pct"/>
            <w:vMerge/>
            <w:vAlign w:val="center"/>
          </w:tcPr>
          <w:p w14:paraId="1370982D" w14:textId="37245B59"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1494" w:type="pct"/>
          </w:tcPr>
          <w:p w14:paraId="618AB9A2" w14:textId="13D24AB9" w:rsidR="00A271E4" w:rsidRPr="00FA3C8C" w:rsidRDefault="00A271E4" w:rsidP="00A271E4">
            <w:pPr>
              <w:shd w:val="clear" w:color="auto" w:fill="FFFFFF" w:themeFill="background1"/>
              <w:spacing w:before="50" w:after="60" w:line="276" w:lineRule="auto"/>
              <w:rPr>
                <w:rFonts w:ascii="Times New Roman" w:hAnsi="Times New Roman" w:cs="Times New Roman"/>
                <w:sz w:val="24"/>
                <w:szCs w:val="24"/>
              </w:rPr>
            </w:pPr>
            <w:r w:rsidRPr="00FA3C8C">
              <w:rPr>
                <w:rFonts w:ascii="Times New Roman" w:hAnsi="Times New Roman" w:cs="Times New Roman"/>
                <w:sz w:val="24"/>
                <w:szCs w:val="24"/>
              </w:rPr>
              <w:t>Agriculture + Others</w:t>
            </w:r>
          </w:p>
        </w:tc>
        <w:tc>
          <w:tcPr>
            <w:tcW w:w="266" w:type="pct"/>
            <w:vAlign w:val="center"/>
          </w:tcPr>
          <w:p w14:paraId="22005A0A" w14:textId="4D6F74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7D557240" w14:textId="47DA0C3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028AF17A" w14:textId="7FEB829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7EE6733" w14:textId="08FECE6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7" w:type="pct"/>
            <w:vAlign w:val="center"/>
          </w:tcPr>
          <w:p w14:paraId="275E7F82" w14:textId="50A8C97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w:t>
            </w:r>
          </w:p>
        </w:tc>
        <w:tc>
          <w:tcPr>
            <w:tcW w:w="267" w:type="pct"/>
            <w:vAlign w:val="center"/>
          </w:tcPr>
          <w:p w14:paraId="44CA7C8A" w14:textId="7644E08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0.00</w:t>
            </w:r>
          </w:p>
        </w:tc>
        <w:tc>
          <w:tcPr>
            <w:tcW w:w="266" w:type="pct"/>
            <w:vAlign w:val="center"/>
          </w:tcPr>
          <w:p w14:paraId="6F4E5BD1" w14:textId="14DEAEC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7" w:type="pct"/>
            <w:vAlign w:val="center"/>
          </w:tcPr>
          <w:p w14:paraId="5250BF73" w14:textId="3DE2E2C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3.33</w:t>
            </w:r>
          </w:p>
        </w:tc>
        <w:tc>
          <w:tcPr>
            <w:tcW w:w="266" w:type="pct"/>
            <w:vAlign w:val="center"/>
          </w:tcPr>
          <w:p w14:paraId="2C255D9C" w14:textId="1F6AF0E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w:t>
            </w:r>
          </w:p>
        </w:tc>
        <w:tc>
          <w:tcPr>
            <w:tcW w:w="265" w:type="pct"/>
            <w:vAlign w:val="center"/>
          </w:tcPr>
          <w:p w14:paraId="2C344BBB" w14:textId="64A97B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0.83</w:t>
            </w:r>
          </w:p>
        </w:tc>
      </w:tr>
    </w:tbl>
    <w:p w14:paraId="0151B06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C15BFF5"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356DAA3"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5DE34958"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CF44580"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73E47912"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32F06496"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4A4CF2CD"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23F20324"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B9E7D69" w14:textId="1BD28BC2" w:rsidR="00384D66" w:rsidRPr="00384D66" w:rsidRDefault="00384D66" w:rsidP="008603AB">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w:t>
      </w:r>
      <w:r>
        <w:rPr>
          <w:rFonts w:ascii="Times New Roman" w:eastAsia="Times New Roman" w:hAnsi="Times New Roman" w:cs="Times New Roman"/>
          <w:sz w:val="24"/>
          <w:szCs w:val="24"/>
          <w:lang w:val="en-US" w:eastAsia="en-IN"/>
        </w:rPr>
        <w:t xml:space="preserve"> 2</w:t>
      </w:r>
      <w:r w:rsidRPr="00384D66">
        <w:rPr>
          <w:rFonts w:ascii="Times New Roman" w:eastAsia="Times New Roman" w:hAnsi="Times New Roman" w:cs="Times New Roman"/>
          <w:sz w:val="24"/>
          <w:szCs w:val="24"/>
          <w:lang w:val="en-US" w:eastAsia="en-IN"/>
        </w:rPr>
        <w:t xml:space="preserve"> showed th</w:t>
      </w:r>
      <w:r>
        <w:rPr>
          <w:rFonts w:ascii="Times New Roman" w:eastAsia="Times New Roman" w:hAnsi="Times New Roman" w:cs="Times New Roman"/>
          <w:sz w:val="24"/>
          <w:szCs w:val="24"/>
          <w:lang w:val="en-US" w:eastAsia="en-IN"/>
        </w:rPr>
        <w:t>at, the</w:t>
      </w:r>
      <w:r w:rsidRPr="00384D66">
        <w:rPr>
          <w:rFonts w:ascii="Times New Roman" w:eastAsia="Times New Roman" w:hAnsi="Times New Roman" w:cs="Times New Roman"/>
          <w:sz w:val="24"/>
          <w:szCs w:val="24"/>
          <w:lang w:val="en-US" w:eastAsia="en-IN"/>
        </w:rPr>
        <w:t xml:space="preserve"> </w:t>
      </w:r>
      <w:r>
        <w:rPr>
          <w:rFonts w:ascii="Times New Roman" w:eastAsia="Times New Roman" w:hAnsi="Times New Roman" w:cs="Times New Roman"/>
          <w:sz w:val="24"/>
          <w:szCs w:val="24"/>
          <w:lang w:val="en-US" w:eastAsia="en-IN"/>
        </w:rPr>
        <w:t>personal</w:t>
      </w:r>
      <w:r w:rsidRPr="00384D66">
        <w:rPr>
          <w:rFonts w:ascii="Times New Roman" w:eastAsia="Times New Roman" w:hAnsi="Times New Roman" w:cs="Times New Roman"/>
          <w:sz w:val="24"/>
          <w:szCs w:val="24"/>
          <w:lang w:val="en-US" w:eastAsia="en-IN"/>
        </w:rPr>
        <w:t xml:space="preserve"> characteristics of the overall </w:t>
      </w:r>
      <w:r>
        <w:rPr>
          <w:rFonts w:ascii="Times New Roman" w:eastAsia="Times New Roman" w:hAnsi="Times New Roman" w:cs="Times New Roman"/>
          <w:sz w:val="24"/>
          <w:szCs w:val="24"/>
          <w:lang w:val="en-US" w:eastAsia="en-IN"/>
        </w:rPr>
        <w:t>members of Farmer Producer Organization</w:t>
      </w:r>
      <w:r w:rsidRPr="00384D66">
        <w:rPr>
          <w:rFonts w:ascii="Times New Roman" w:eastAsia="Times New Roman" w:hAnsi="Times New Roman" w:cs="Times New Roman"/>
          <w:sz w:val="24"/>
          <w:szCs w:val="24"/>
          <w:lang w:val="en-US" w:eastAsia="en-IN"/>
        </w:rPr>
        <w:t xml:space="preserve">. With respect to age, more than two-fifths (41.67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belonged to the middle age category, followed by one-third (33.33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in the young age group and one-fourth (25.00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in the old age grou</w:t>
      </w:r>
      <w:r w:rsidR="0007014C">
        <w:rPr>
          <w:rFonts w:ascii="Times New Roman" w:eastAsia="Times New Roman" w:hAnsi="Times New Roman" w:cs="Times New Roman"/>
          <w:sz w:val="24"/>
          <w:szCs w:val="24"/>
          <w:lang w:val="en-US" w:eastAsia="en-IN"/>
        </w:rPr>
        <w:t xml:space="preserve">p and results were inclined with </w:t>
      </w:r>
      <w:r w:rsidR="0007014C" w:rsidRPr="00050FD5">
        <w:rPr>
          <w:rFonts w:ascii="Times New Roman" w:hAnsi="Times New Roman"/>
          <w:sz w:val="24"/>
          <w:szCs w:val="24"/>
        </w:rPr>
        <w:t>Navya</w:t>
      </w:r>
      <w:r w:rsidR="0007014C">
        <w:rPr>
          <w:rFonts w:ascii="Times New Roman" w:hAnsi="Times New Roman"/>
          <w:sz w:val="24"/>
          <w:szCs w:val="24"/>
        </w:rPr>
        <w:t xml:space="preserve"> </w:t>
      </w:r>
      <w:r w:rsidR="0007014C" w:rsidRPr="00050FD5">
        <w:rPr>
          <w:rFonts w:ascii="Times New Roman" w:hAnsi="Times New Roman"/>
          <w:sz w:val="24"/>
          <w:szCs w:val="24"/>
        </w:rPr>
        <w:t>(2022)</w:t>
      </w:r>
      <w:r w:rsidR="0007014C">
        <w:rPr>
          <w:rFonts w:ascii="Times New Roman" w:eastAsia="Times New Roman" w:hAnsi="Times New Roman" w:cs="Times New Roman"/>
          <w:i/>
          <w:iCs/>
          <w:sz w:val="24"/>
          <w:szCs w:val="24"/>
          <w:lang w:val="en-US" w:eastAsia="en-IN"/>
        </w:rPr>
        <w:t>.</w:t>
      </w:r>
      <w:r w:rsidR="0007014C"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education, more than two-fifths </w:t>
      </w:r>
      <w:r w:rsidRPr="00384D66">
        <w:rPr>
          <w:rFonts w:ascii="Times New Roman" w:eastAsia="Times New Roman" w:hAnsi="Times New Roman" w:cs="Times New Roman"/>
          <w:sz w:val="24"/>
          <w:szCs w:val="24"/>
          <w:lang w:val="en-US" w:eastAsia="en-IN"/>
        </w:rPr>
        <w:lastRenderedPageBreak/>
        <w:t xml:space="preserve">(44.17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the respondents had completed high school, while nearly one-third (30.00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were graduates and above, and 14.17 per cent studied up to middle school. A small proportion of respondents were illiterate (4.17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had studied primary school (0.83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or PUC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w:t>
      </w:r>
      <w:r w:rsidR="008603AB">
        <w:rPr>
          <w:rFonts w:ascii="Times New Roman" w:eastAsia="Times New Roman" w:hAnsi="Times New Roman" w:cs="Times New Roman"/>
          <w:sz w:val="24"/>
          <w:szCs w:val="24"/>
          <w:lang w:val="en-US" w:eastAsia="en-IN"/>
        </w:rPr>
        <w:t xml:space="preserve"> the results felt similar with </w:t>
      </w:r>
      <w:proofErr w:type="spellStart"/>
      <w:r w:rsidR="00797747" w:rsidRPr="00E7265C">
        <w:rPr>
          <w:rFonts w:ascii="Times New Roman" w:hAnsi="Times New Roman"/>
          <w:bCs/>
          <w:sz w:val="24"/>
          <w:szCs w:val="24"/>
        </w:rPr>
        <w:t>Navya</w:t>
      </w:r>
      <w:proofErr w:type="spellEnd"/>
      <w:r w:rsidR="00797747" w:rsidRPr="00E7265C">
        <w:rPr>
          <w:rFonts w:ascii="Times New Roman" w:hAnsi="Times New Roman"/>
          <w:bCs/>
          <w:i/>
          <w:iCs/>
          <w:sz w:val="24"/>
          <w:szCs w:val="24"/>
        </w:rPr>
        <w:t xml:space="preserve"> et al</w:t>
      </w:r>
      <w:r w:rsidR="00797747" w:rsidRPr="00E7265C">
        <w:rPr>
          <w:rFonts w:ascii="Times New Roman" w:hAnsi="Times New Roman"/>
          <w:bCs/>
          <w:sz w:val="24"/>
          <w:szCs w:val="24"/>
        </w:rPr>
        <w:t>., (2022)</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In terms of landholding, a large majority of respondents were medium farmers (74.17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followed by big farmers (8.33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semi-medium farmers (9.17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Only a few respondents were small farmers (6.67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and marginal farmers (1.67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With respect to occupation,</w:t>
      </w:r>
      <w:r w:rsidR="008603AB">
        <w:rPr>
          <w:rFonts w:ascii="Times New Roman" w:eastAsia="Times New Roman" w:hAnsi="Times New Roman" w:cs="Times New Roman"/>
          <w:sz w:val="24"/>
          <w:szCs w:val="24"/>
          <w:lang w:val="en-US" w:eastAsia="en-IN"/>
        </w:rPr>
        <w:t xml:space="preserve"> as of results of </w:t>
      </w:r>
      <w:r w:rsidR="00240F96">
        <w:rPr>
          <w:rFonts w:ascii="Times New Roman" w:hAnsi="Times New Roman"/>
          <w:bCs/>
          <w:sz w:val="24"/>
          <w:szCs w:val="24"/>
        </w:rPr>
        <w:t>t</w:t>
      </w:r>
      <w:r w:rsidR="00797747" w:rsidRPr="00E7265C">
        <w:rPr>
          <w:rFonts w:ascii="Times New Roman" w:hAnsi="Times New Roman"/>
          <w:bCs/>
          <w:sz w:val="24"/>
          <w:szCs w:val="24"/>
        </w:rPr>
        <w:t xml:space="preserve">his is in line with </w:t>
      </w:r>
      <w:proofErr w:type="spellStart"/>
      <w:r w:rsidR="00797747" w:rsidRPr="00E7265C">
        <w:rPr>
          <w:rFonts w:ascii="Times New Roman" w:hAnsi="Times New Roman"/>
          <w:sz w:val="24"/>
          <w:szCs w:val="24"/>
        </w:rPr>
        <w:t>Bikadakatti</w:t>
      </w:r>
      <w:proofErr w:type="spellEnd"/>
      <w:r w:rsidR="00797747" w:rsidRPr="00E7265C">
        <w:rPr>
          <w:rFonts w:ascii="Times New Roman" w:hAnsi="Times New Roman"/>
          <w:sz w:val="24"/>
          <w:szCs w:val="24"/>
        </w:rPr>
        <w:t xml:space="preserve"> </w:t>
      </w:r>
      <w:r w:rsidR="00797747" w:rsidRPr="00E7265C">
        <w:rPr>
          <w:rFonts w:ascii="Times New Roman" w:hAnsi="Times New Roman"/>
          <w:i/>
          <w:iCs/>
          <w:sz w:val="24"/>
          <w:szCs w:val="24"/>
        </w:rPr>
        <w:t>et al</w:t>
      </w:r>
      <w:r w:rsidR="00797747" w:rsidRPr="00E7265C">
        <w:rPr>
          <w:rFonts w:ascii="Times New Roman" w:hAnsi="Times New Roman"/>
          <w:sz w:val="24"/>
          <w:szCs w:val="24"/>
        </w:rPr>
        <w:t>. (2011) ,Rajput</w:t>
      </w:r>
      <w:r w:rsidR="00797747" w:rsidRPr="00E7265C">
        <w:rPr>
          <w:rFonts w:ascii="Times New Roman" w:hAnsi="Times New Roman"/>
          <w:i/>
          <w:iCs/>
          <w:sz w:val="24"/>
          <w:szCs w:val="24"/>
        </w:rPr>
        <w:t xml:space="preserve"> et al</w:t>
      </w:r>
      <w:r w:rsidR="00797747" w:rsidRPr="00E7265C">
        <w:rPr>
          <w:rFonts w:ascii="Times New Roman" w:hAnsi="Times New Roman"/>
          <w:sz w:val="24"/>
          <w:szCs w:val="24"/>
        </w:rPr>
        <w:t xml:space="preserve">. (2016) </w:t>
      </w:r>
      <w:r w:rsidR="008603AB">
        <w:rPr>
          <w:rFonts w:ascii="Times New Roman" w:eastAsia="Times New Roman" w:hAnsi="Times New Roman" w:cs="Times New Roman"/>
          <w:sz w:val="24"/>
          <w:szCs w:val="24"/>
          <w:lang w:val="en-US" w:eastAsia="en-IN"/>
        </w:rPr>
        <w:t xml:space="preserve">  similarly</w:t>
      </w:r>
      <w:r w:rsidRPr="00384D66">
        <w:rPr>
          <w:rFonts w:ascii="Times New Roman" w:eastAsia="Times New Roman" w:hAnsi="Times New Roman" w:cs="Times New Roman"/>
          <w:sz w:val="24"/>
          <w:szCs w:val="24"/>
          <w:lang w:val="en-US" w:eastAsia="en-IN"/>
        </w:rPr>
        <w:t xml:space="preserve"> more than half (56.67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the respondents practiced agriculture along with animal husbandry, while 20.83 per cent combined agriculture with business. Pure agriculture was reported by 16.67 per cent, and a small share (5.00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combined agriculture with service, while only 0.83 per cent were engaged in agriculture with other activities.</w:t>
      </w:r>
    </w:p>
    <w:p w14:paraId="16015245" w14:textId="36ACB823"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2</w:t>
      </w:r>
      <w:r w:rsidRPr="00384D66">
        <w:rPr>
          <w:rFonts w:ascii="Times New Roman" w:eastAsia="Times New Roman" w:hAnsi="Times New Roman" w:cs="Times New Roman"/>
          <w:sz w:val="24"/>
          <w:szCs w:val="24"/>
          <w:lang w:val="en-US" w:eastAsia="en-IN"/>
        </w:rPr>
        <w:t xml:space="preserve"> indicate that</w:t>
      </w:r>
      <w:r>
        <w:rPr>
          <w:rFonts w:ascii="Times New Roman" w:eastAsia="Times New Roman" w:hAnsi="Times New Roman" w:cs="Times New Roman"/>
          <w:sz w:val="24"/>
          <w:szCs w:val="24"/>
          <w:lang w:val="en-US" w:eastAsia="en-IN"/>
        </w:rPr>
        <w:t>,</w:t>
      </w:r>
      <w:r w:rsidRPr="00384D66">
        <w:rPr>
          <w:rFonts w:ascii="Times New Roman" w:eastAsia="Times New Roman" w:hAnsi="Times New Roman" w:cs="Times New Roman"/>
          <w:sz w:val="24"/>
          <w:szCs w:val="24"/>
          <w:lang w:val="en-US" w:eastAsia="en-IN"/>
        </w:rPr>
        <w:t xml:space="preserve"> the majority of respondents belonged to the middle age group, suggesting a balanced mix of experience and active involvement in farming. The dominance of high school education, with a considerable share of graduates, points towards a relatively educated farming community, which can positively influence adoption of innovations and entrepreneurial activities.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The findings also revealed that most respondents were medium farmers, which reflects a better capacity to invest in improved technologies, value addition, and diversification when compared to marginal and small farmers. The integration of agriculture with animal husbandry as the major occupation highlights the importance of mixed farming systems in sustaining rural livelihoods. Additionally, the notable share of farmers combining agriculture with business indicates an inclination towards entrepreneurship and income diversification, which could be leveraged through training and market linkages to further enhance their economic performance</w:t>
      </w:r>
      <w:r w:rsidR="008603AB">
        <w:rPr>
          <w:rFonts w:ascii="Times New Roman" w:eastAsia="Times New Roman" w:hAnsi="Times New Roman" w:cs="Times New Roman"/>
          <w:sz w:val="24"/>
          <w:szCs w:val="24"/>
          <w:lang w:val="en-US" w:eastAsia="en-IN"/>
        </w:rPr>
        <w:t xml:space="preserve"> and these results were inclined with the reviewed authors findings</w:t>
      </w:r>
      <w:r w:rsidR="00797747">
        <w:rPr>
          <w:rFonts w:ascii="Times New Roman" w:eastAsia="Times New Roman" w:hAnsi="Times New Roman" w:cs="Times New Roman"/>
          <w:sz w:val="24"/>
          <w:szCs w:val="24"/>
          <w:lang w:val="en-US" w:eastAsia="en-IN"/>
        </w:rPr>
        <w:t xml:space="preserve"> </w:t>
      </w:r>
      <w:proofErr w:type="spellStart"/>
      <w:r w:rsidR="00797747" w:rsidRPr="00E7265C">
        <w:rPr>
          <w:rFonts w:ascii="Times New Roman" w:hAnsi="Times New Roman"/>
          <w:bCs/>
          <w:sz w:val="24"/>
          <w:szCs w:val="24"/>
        </w:rPr>
        <w:t>Navya</w:t>
      </w:r>
      <w:proofErr w:type="spellEnd"/>
      <w:r w:rsidR="00797747" w:rsidRPr="00E7265C">
        <w:rPr>
          <w:rFonts w:ascii="Times New Roman" w:hAnsi="Times New Roman"/>
          <w:bCs/>
          <w:i/>
          <w:iCs/>
          <w:sz w:val="24"/>
          <w:szCs w:val="24"/>
        </w:rPr>
        <w:t xml:space="preserve"> et al</w:t>
      </w:r>
      <w:r w:rsidR="00797747" w:rsidRPr="00E7265C">
        <w:rPr>
          <w:rFonts w:ascii="Times New Roman" w:hAnsi="Times New Roman"/>
          <w:bCs/>
          <w:sz w:val="24"/>
          <w:szCs w:val="24"/>
        </w:rPr>
        <w:t>., (2022)</w:t>
      </w:r>
      <w:r w:rsidR="00797747">
        <w:rPr>
          <w:rFonts w:ascii="Times New Roman" w:hAnsi="Times New Roman"/>
          <w:bCs/>
          <w:sz w:val="24"/>
          <w:szCs w:val="24"/>
        </w:rPr>
        <w:t>.</w:t>
      </w:r>
    </w:p>
    <w:p w14:paraId="4814CBFC" w14:textId="77777777" w:rsid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64B1CE26" w14:textId="77777777" w:rsidR="00384D66" w:rsidRPr="00384D66" w:rsidRDefault="00384D66" w:rsidP="00384D66">
      <w:pPr>
        <w:spacing w:before="240" w:line="360" w:lineRule="auto"/>
        <w:ind w:firstLine="720"/>
        <w:jc w:val="both"/>
        <w:rPr>
          <w:rFonts w:ascii="Times New Roman" w:eastAsia="Times New Roman" w:hAnsi="Times New Roman" w:cs="Times New Roman"/>
          <w:sz w:val="24"/>
          <w:szCs w:val="24"/>
          <w:lang w:val="en-US" w:eastAsia="en-IN"/>
        </w:rPr>
      </w:pPr>
    </w:p>
    <w:p w14:paraId="05F1EC32" w14:textId="0B3F49DD" w:rsidR="00F812E0" w:rsidRDefault="00F812E0" w:rsidP="00F55236">
      <w:pPr>
        <w:spacing w:before="240" w:line="276" w:lineRule="auto"/>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3:</w:t>
      </w:r>
      <w:r w:rsidRPr="00F812E0">
        <w:rPr>
          <w:rFonts w:ascii="Times New Roman" w:eastAsia="Times New Roman" w:hAnsi="Times New Roman" w:cs="Times New Roman"/>
          <w:b/>
          <w:sz w:val="24"/>
          <w:szCs w:val="24"/>
          <w:lang w:val="en-US" w:eastAsia="en-IN"/>
        </w:rPr>
        <w:t xml:space="preserve"> </w:t>
      </w:r>
      <w:r>
        <w:rPr>
          <w:rFonts w:ascii="Times New Roman" w:eastAsia="Times New Roman" w:hAnsi="Times New Roman" w:cs="Times New Roman"/>
          <w:b/>
          <w:sz w:val="24"/>
          <w:szCs w:val="24"/>
          <w:lang w:val="en-US" w:eastAsia="en-IN"/>
        </w:rPr>
        <w:t xml:space="preserve">Socio-economic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ayout w:type="fixed"/>
        <w:tblLook w:val="04A0" w:firstRow="1" w:lastRow="0" w:firstColumn="1" w:lastColumn="0" w:noHBand="0" w:noVBand="1"/>
      </w:tblPr>
      <w:tblGrid>
        <w:gridCol w:w="568"/>
        <w:gridCol w:w="2215"/>
        <w:gridCol w:w="3730"/>
        <w:gridCol w:w="742"/>
        <w:gridCol w:w="745"/>
        <w:gridCol w:w="742"/>
        <w:gridCol w:w="745"/>
        <w:gridCol w:w="745"/>
        <w:gridCol w:w="742"/>
        <w:gridCol w:w="745"/>
        <w:gridCol w:w="742"/>
        <w:gridCol w:w="745"/>
        <w:gridCol w:w="742"/>
      </w:tblGrid>
      <w:tr w:rsidR="00034D5E" w:rsidRPr="00FA3C8C" w14:paraId="2D4DCE13" w14:textId="71E2D315" w:rsidTr="00034D5E">
        <w:trPr>
          <w:cantSplit/>
          <w:trHeight w:val="20"/>
          <w:jc w:val="center"/>
        </w:trPr>
        <w:tc>
          <w:tcPr>
            <w:tcW w:w="204" w:type="pct"/>
            <w:vMerge w:val="restart"/>
            <w:vAlign w:val="center"/>
          </w:tcPr>
          <w:p w14:paraId="0DFC8951"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lastRenderedPageBreak/>
              <w:t>Sl. No.</w:t>
            </w:r>
          </w:p>
        </w:tc>
        <w:tc>
          <w:tcPr>
            <w:tcW w:w="794" w:type="pct"/>
            <w:vMerge w:val="restart"/>
            <w:vAlign w:val="center"/>
          </w:tcPr>
          <w:p w14:paraId="2C2C962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1337" w:type="pct"/>
            <w:vMerge w:val="restart"/>
            <w:vAlign w:val="center"/>
          </w:tcPr>
          <w:p w14:paraId="4588688C"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533" w:type="pct"/>
            <w:gridSpan w:val="2"/>
            <w:vAlign w:val="center"/>
          </w:tcPr>
          <w:p w14:paraId="65996B64" w14:textId="77777777" w:rsidR="0091643F" w:rsidRPr="00FA3C8C" w:rsidRDefault="0091643F" w:rsidP="00E22609">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4C8695D5" w14:textId="49B9DA08"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533" w:type="pct"/>
            <w:gridSpan w:val="2"/>
            <w:vAlign w:val="center"/>
          </w:tcPr>
          <w:p w14:paraId="34AD45A4"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24E1D590" w14:textId="76557C77"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225ECCAF"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2D634A5B" w14:textId="29DF0CCC" w:rsidR="0091643F" w:rsidRPr="00DA7132" w:rsidRDefault="0091643F" w:rsidP="00E22609">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0556BC56" w14:textId="77777777" w:rsidR="0091643F" w:rsidRPr="00FA3C8C" w:rsidRDefault="0091643F" w:rsidP="00E22609">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6527357B" w14:textId="6B83DC46"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533" w:type="pct"/>
            <w:gridSpan w:val="2"/>
            <w:vAlign w:val="center"/>
          </w:tcPr>
          <w:p w14:paraId="64891EEE" w14:textId="77777777" w:rsidR="0091643F" w:rsidRPr="00FA3C8C" w:rsidRDefault="0091643F" w:rsidP="00E22609">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25C8C989" w14:textId="7B74771C" w:rsidR="0091643F" w:rsidRPr="00FA3C8C" w:rsidRDefault="0091643F" w:rsidP="00E22609">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E22609" w:rsidRPr="00FA3C8C" w14:paraId="75B39AD0" w14:textId="22E85ED1" w:rsidTr="00034D5E">
        <w:trPr>
          <w:cantSplit/>
          <w:trHeight w:val="20"/>
          <w:jc w:val="center"/>
        </w:trPr>
        <w:tc>
          <w:tcPr>
            <w:tcW w:w="204" w:type="pct"/>
            <w:vMerge/>
            <w:vAlign w:val="center"/>
          </w:tcPr>
          <w:p w14:paraId="1CE789B8"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99B1103" w14:textId="77777777" w:rsidR="0091643F" w:rsidRPr="00FA3C8C" w:rsidRDefault="0091643F"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Merge/>
          </w:tcPr>
          <w:p w14:paraId="4CE890A2" w14:textId="77777777" w:rsidR="0091643F" w:rsidRPr="00FA3C8C" w:rsidRDefault="0091643F" w:rsidP="00E22609">
            <w:pPr>
              <w:shd w:val="clear" w:color="auto" w:fill="FFFFFF" w:themeFill="background1"/>
              <w:spacing w:line="276" w:lineRule="auto"/>
              <w:jc w:val="center"/>
              <w:rPr>
                <w:rFonts w:ascii="Times New Roman" w:eastAsia="Times New Roman" w:hAnsi="Times New Roman" w:cs="Times New Roman"/>
                <w:b/>
                <w:bCs/>
                <w:kern w:val="0"/>
                <w:sz w:val="24"/>
                <w:szCs w:val="24"/>
                <w14:ligatures w14:val="none"/>
              </w:rPr>
            </w:pPr>
          </w:p>
        </w:tc>
        <w:tc>
          <w:tcPr>
            <w:tcW w:w="266" w:type="pct"/>
            <w:vAlign w:val="center"/>
          </w:tcPr>
          <w:p w14:paraId="7E50135A" w14:textId="303297B6"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3C6DE214" w14:textId="1F2AC4E8"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6" w:type="pct"/>
            <w:vAlign w:val="center"/>
          </w:tcPr>
          <w:p w14:paraId="56E6254A" w14:textId="7139A41C"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7" w:type="pct"/>
          </w:tcPr>
          <w:p w14:paraId="2A242340" w14:textId="4E938090"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3EE0AEFE" w14:textId="4EC5BB11"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kern w:val="0"/>
                <w14:ligatures w14:val="none"/>
              </w:rPr>
            </w:pPr>
            <w:r w:rsidRPr="00034D5E">
              <w:rPr>
                <w:rFonts w:ascii="Times New Roman" w:eastAsia="Times New Roman" w:hAnsi="Times New Roman" w:cs="Times New Roman"/>
                <w:b/>
                <w:bCs/>
                <w:kern w:val="0"/>
                <w14:ligatures w14:val="none"/>
              </w:rPr>
              <w:t>f</w:t>
            </w:r>
          </w:p>
        </w:tc>
        <w:tc>
          <w:tcPr>
            <w:tcW w:w="266" w:type="pct"/>
          </w:tcPr>
          <w:p w14:paraId="09126C20" w14:textId="294C6A72"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1B927110" w14:textId="122C6B39"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6" w:type="pct"/>
          </w:tcPr>
          <w:p w14:paraId="07089DF6" w14:textId="5286A9BC"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c>
          <w:tcPr>
            <w:tcW w:w="267" w:type="pct"/>
            <w:vAlign w:val="center"/>
          </w:tcPr>
          <w:p w14:paraId="439CE96C" w14:textId="7F3A3618" w:rsidR="0091643F" w:rsidRPr="00034D5E" w:rsidRDefault="0091643F" w:rsidP="00E22609">
            <w:pPr>
              <w:shd w:val="clear" w:color="auto" w:fill="FFFFFF" w:themeFill="background1"/>
              <w:spacing w:line="276" w:lineRule="auto"/>
              <w:jc w:val="center"/>
              <w:rPr>
                <w:rFonts w:ascii="Times New Roman" w:eastAsia="Times New Roman" w:hAnsi="Times New Roman" w:cs="Times New Roman"/>
                <w:b/>
                <w:bCs/>
              </w:rPr>
            </w:pPr>
            <w:r w:rsidRPr="00034D5E">
              <w:rPr>
                <w:rFonts w:ascii="Times New Roman" w:eastAsia="Times New Roman" w:hAnsi="Times New Roman" w:cs="Times New Roman"/>
                <w:b/>
                <w:bCs/>
                <w:kern w:val="0"/>
                <w14:ligatures w14:val="none"/>
              </w:rPr>
              <w:t>f</w:t>
            </w:r>
          </w:p>
        </w:tc>
        <w:tc>
          <w:tcPr>
            <w:tcW w:w="267" w:type="pct"/>
          </w:tcPr>
          <w:p w14:paraId="478A4DCB" w14:textId="5E4E6486" w:rsidR="0091643F" w:rsidRPr="00034D5E" w:rsidRDefault="00C42ED5" w:rsidP="00E22609">
            <w:pPr>
              <w:shd w:val="clear" w:color="auto" w:fill="FFFFFF" w:themeFill="background1"/>
              <w:spacing w:line="276"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 per cent</w:t>
            </w:r>
          </w:p>
        </w:tc>
      </w:tr>
      <w:tr w:rsidR="00E22609" w:rsidRPr="00FA3C8C" w14:paraId="106688EE" w14:textId="1FD744BB" w:rsidTr="00034D5E">
        <w:trPr>
          <w:cantSplit/>
          <w:trHeight w:val="20"/>
          <w:jc w:val="center"/>
        </w:trPr>
        <w:tc>
          <w:tcPr>
            <w:tcW w:w="204" w:type="pct"/>
            <w:vMerge w:val="restart"/>
            <w:vAlign w:val="center"/>
          </w:tcPr>
          <w:p w14:paraId="064721D1" w14:textId="7D4F0153"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794" w:type="pct"/>
            <w:vMerge w:val="restart"/>
            <w:vAlign w:val="center"/>
          </w:tcPr>
          <w:p w14:paraId="71E8F2F7" w14:textId="256F63EF"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nnual income</w:t>
            </w:r>
          </w:p>
          <w:p w14:paraId="10BDD5BC" w14:textId="79E811E1"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1883816.67</w:t>
            </w:r>
          </w:p>
          <w:p w14:paraId="5DBD4544" w14:textId="2F442C60"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1573924.52</w:t>
            </w:r>
          </w:p>
        </w:tc>
        <w:tc>
          <w:tcPr>
            <w:tcW w:w="1337" w:type="pct"/>
            <w:vAlign w:val="center"/>
          </w:tcPr>
          <w:p w14:paraId="411735D8" w14:textId="6165394B"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&lt;1096854.41</w:t>
            </w:r>
            <w:r w:rsidRPr="00F812E0">
              <w:rPr>
                <w:rFonts w:ascii="Times New Roman" w:hAnsi="Times New Roman" w:cs="Times New Roman"/>
                <w:color w:val="000000"/>
                <w:kern w:val="24"/>
                <w:sz w:val="24"/>
                <w:szCs w:val="24"/>
              </w:rPr>
              <w:t xml:space="preserve">) </w:t>
            </w:r>
          </w:p>
        </w:tc>
        <w:tc>
          <w:tcPr>
            <w:tcW w:w="266" w:type="pct"/>
            <w:vAlign w:val="center"/>
          </w:tcPr>
          <w:p w14:paraId="327967C7" w14:textId="4F25DC1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7" w:type="pct"/>
            <w:vAlign w:val="center"/>
          </w:tcPr>
          <w:p w14:paraId="76942DBB" w14:textId="7A79975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768EFBA1" w14:textId="57B8C7B3"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5</w:t>
            </w:r>
          </w:p>
        </w:tc>
        <w:tc>
          <w:tcPr>
            <w:tcW w:w="267" w:type="pct"/>
            <w:vAlign w:val="center"/>
          </w:tcPr>
          <w:p w14:paraId="2795B324" w14:textId="66D1FAC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6658547C" w14:textId="4D3DEB3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6</w:t>
            </w:r>
          </w:p>
        </w:tc>
        <w:tc>
          <w:tcPr>
            <w:tcW w:w="266" w:type="pct"/>
            <w:vAlign w:val="center"/>
          </w:tcPr>
          <w:p w14:paraId="58D44AF5" w14:textId="5B76022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20.00</w:t>
            </w:r>
          </w:p>
        </w:tc>
        <w:tc>
          <w:tcPr>
            <w:tcW w:w="267" w:type="pct"/>
            <w:vAlign w:val="center"/>
          </w:tcPr>
          <w:p w14:paraId="65AE02C5" w14:textId="13547236"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DDB9263" w14:textId="29AE420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5FAD24B8" w14:textId="7749A8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w:t>
            </w:r>
          </w:p>
        </w:tc>
        <w:tc>
          <w:tcPr>
            <w:tcW w:w="267" w:type="pct"/>
            <w:vAlign w:val="center"/>
          </w:tcPr>
          <w:p w14:paraId="20748790" w14:textId="5FCD0CD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19.17</w:t>
            </w:r>
          </w:p>
        </w:tc>
      </w:tr>
      <w:tr w:rsidR="00E22609" w:rsidRPr="00FA3C8C" w14:paraId="00B715FF" w14:textId="318159AF" w:rsidTr="00034D5E">
        <w:trPr>
          <w:cantSplit/>
          <w:trHeight w:val="20"/>
          <w:jc w:val="center"/>
        </w:trPr>
        <w:tc>
          <w:tcPr>
            <w:tcW w:w="204" w:type="pct"/>
            <w:vMerge/>
            <w:vAlign w:val="center"/>
          </w:tcPr>
          <w:p w14:paraId="489FBD05"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33234940"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6BBDED52" w14:textId="2D671921"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1096854.41-2670778.92</w:t>
            </w:r>
            <w:r w:rsidRPr="00F812E0">
              <w:rPr>
                <w:rFonts w:ascii="Times New Roman" w:hAnsi="Times New Roman" w:cs="Times New Roman"/>
                <w:color w:val="000000"/>
                <w:kern w:val="24"/>
                <w:sz w:val="24"/>
                <w:szCs w:val="24"/>
              </w:rPr>
              <w:t xml:space="preserve">) </w:t>
            </w:r>
          </w:p>
        </w:tc>
        <w:tc>
          <w:tcPr>
            <w:tcW w:w="266" w:type="pct"/>
            <w:vAlign w:val="center"/>
          </w:tcPr>
          <w:p w14:paraId="70465128" w14:textId="25B0439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25</w:t>
            </w:r>
          </w:p>
        </w:tc>
        <w:tc>
          <w:tcPr>
            <w:tcW w:w="267" w:type="pct"/>
            <w:vAlign w:val="center"/>
          </w:tcPr>
          <w:p w14:paraId="23E62299" w14:textId="761DE74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83.33</w:t>
            </w:r>
          </w:p>
        </w:tc>
        <w:tc>
          <w:tcPr>
            <w:tcW w:w="266" w:type="pct"/>
            <w:vAlign w:val="center"/>
          </w:tcPr>
          <w:p w14:paraId="54A45ACD" w14:textId="208EEC47"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23</w:t>
            </w:r>
          </w:p>
        </w:tc>
        <w:tc>
          <w:tcPr>
            <w:tcW w:w="267" w:type="pct"/>
            <w:vAlign w:val="center"/>
          </w:tcPr>
          <w:p w14:paraId="4C1CC0E6" w14:textId="260B31E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76.67</w:t>
            </w:r>
          </w:p>
        </w:tc>
        <w:tc>
          <w:tcPr>
            <w:tcW w:w="267" w:type="pct"/>
            <w:vAlign w:val="center"/>
          </w:tcPr>
          <w:p w14:paraId="403C3A46" w14:textId="593EB76A"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21</w:t>
            </w:r>
          </w:p>
        </w:tc>
        <w:tc>
          <w:tcPr>
            <w:tcW w:w="266" w:type="pct"/>
            <w:vAlign w:val="center"/>
          </w:tcPr>
          <w:p w14:paraId="0956FDB1" w14:textId="560F3E6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70.00</w:t>
            </w:r>
          </w:p>
        </w:tc>
        <w:tc>
          <w:tcPr>
            <w:tcW w:w="267" w:type="pct"/>
            <w:vAlign w:val="center"/>
          </w:tcPr>
          <w:p w14:paraId="61945410" w14:textId="1D28F50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4CC54A17" w14:textId="474C83CD"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269D257" w14:textId="587192B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81</w:t>
            </w:r>
          </w:p>
        </w:tc>
        <w:tc>
          <w:tcPr>
            <w:tcW w:w="267" w:type="pct"/>
            <w:vAlign w:val="center"/>
          </w:tcPr>
          <w:p w14:paraId="4A5A5528" w14:textId="1815E8F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67.50</w:t>
            </w:r>
          </w:p>
        </w:tc>
      </w:tr>
      <w:tr w:rsidR="00E22609" w:rsidRPr="00FA3C8C" w14:paraId="06053A80" w14:textId="0681BD6C" w:rsidTr="00034D5E">
        <w:trPr>
          <w:cantSplit/>
          <w:trHeight w:val="20"/>
          <w:jc w:val="center"/>
        </w:trPr>
        <w:tc>
          <w:tcPr>
            <w:tcW w:w="204" w:type="pct"/>
            <w:vMerge/>
            <w:vAlign w:val="center"/>
          </w:tcPr>
          <w:p w14:paraId="0AD3889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kern w:val="0"/>
                <w:sz w:val="24"/>
                <w:szCs w:val="24"/>
                <w14:ligatures w14:val="none"/>
              </w:rPr>
            </w:pPr>
          </w:p>
        </w:tc>
        <w:tc>
          <w:tcPr>
            <w:tcW w:w="794" w:type="pct"/>
            <w:vMerge/>
            <w:vAlign w:val="center"/>
          </w:tcPr>
          <w:p w14:paraId="702AED9A"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p>
        </w:tc>
        <w:tc>
          <w:tcPr>
            <w:tcW w:w="1337" w:type="pct"/>
            <w:vAlign w:val="center"/>
          </w:tcPr>
          <w:p w14:paraId="39EA2ADD" w14:textId="19976E0A" w:rsidR="00A271E4" w:rsidRPr="00F812E0"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&gt;2670778.92</w:t>
            </w:r>
            <w:r w:rsidRPr="00F812E0">
              <w:rPr>
                <w:rFonts w:ascii="Times New Roman" w:hAnsi="Times New Roman" w:cs="Times New Roman"/>
                <w:color w:val="000000"/>
                <w:kern w:val="24"/>
                <w:sz w:val="24"/>
                <w:szCs w:val="24"/>
              </w:rPr>
              <w:t xml:space="preserve">) </w:t>
            </w:r>
          </w:p>
        </w:tc>
        <w:tc>
          <w:tcPr>
            <w:tcW w:w="266" w:type="pct"/>
            <w:vAlign w:val="center"/>
          </w:tcPr>
          <w:p w14:paraId="677B3088" w14:textId="743E4616"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74C4DA1" w14:textId="1413BC4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6" w:type="pct"/>
            <w:vAlign w:val="center"/>
          </w:tcPr>
          <w:p w14:paraId="7C01BFD9" w14:textId="1686BA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2</w:t>
            </w:r>
          </w:p>
        </w:tc>
        <w:tc>
          <w:tcPr>
            <w:tcW w:w="267" w:type="pct"/>
            <w:vAlign w:val="center"/>
          </w:tcPr>
          <w:p w14:paraId="3BD09672" w14:textId="49BACC5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6A29DDFE" w14:textId="21D956D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kern w:val="0"/>
                <w14:ligatures w14:val="none"/>
              </w:rPr>
            </w:pPr>
            <w:r w:rsidRPr="00034D5E">
              <w:rPr>
                <w:rFonts w:ascii="Times New Roman" w:hAnsi="Times New Roman" w:cs="Times New Roman"/>
                <w:color w:val="000000" w:themeColor="text1"/>
              </w:rPr>
              <w:t>3</w:t>
            </w:r>
          </w:p>
        </w:tc>
        <w:tc>
          <w:tcPr>
            <w:tcW w:w="266" w:type="pct"/>
            <w:vAlign w:val="center"/>
          </w:tcPr>
          <w:p w14:paraId="1E01266E" w14:textId="29E5987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10.00</w:t>
            </w:r>
          </w:p>
        </w:tc>
        <w:tc>
          <w:tcPr>
            <w:tcW w:w="267" w:type="pct"/>
            <w:vAlign w:val="center"/>
          </w:tcPr>
          <w:p w14:paraId="63364458" w14:textId="5D69382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010D379D" w14:textId="289BDA2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3E8D377" w14:textId="1B983DC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16</w:t>
            </w:r>
          </w:p>
        </w:tc>
        <w:tc>
          <w:tcPr>
            <w:tcW w:w="267" w:type="pct"/>
            <w:vAlign w:val="center"/>
          </w:tcPr>
          <w:p w14:paraId="3A4C7C33" w14:textId="3A87C00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13.33</w:t>
            </w:r>
          </w:p>
        </w:tc>
      </w:tr>
      <w:tr w:rsidR="00E22609" w:rsidRPr="00FA3C8C" w14:paraId="339E7E33" w14:textId="23459190" w:rsidTr="00034D5E">
        <w:trPr>
          <w:cantSplit/>
          <w:trHeight w:val="416"/>
          <w:jc w:val="center"/>
        </w:trPr>
        <w:tc>
          <w:tcPr>
            <w:tcW w:w="204" w:type="pct"/>
            <w:vMerge w:val="restart"/>
            <w:vAlign w:val="center"/>
          </w:tcPr>
          <w:p w14:paraId="2FF04CAB" w14:textId="5AF2BE38" w:rsidR="00A271E4" w:rsidRPr="00F55236"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4" w:type="pct"/>
            <w:vMerge w:val="restart"/>
            <w:vAlign w:val="center"/>
          </w:tcPr>
          <w:p w14:paraId="59AC2532" w14:textId="77777777" w:rsidR="00034D5E"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812E0">
              <w:rPr>
                <w:rFonts w:ascii="Times New Roman" w:hAnsi="Times New Roman"/>
                <w:sz w:val="24"/>
                <w:szCs w:val="24"/>
                <w:lang w:val="en-IN"/>
              </w:rPr>
              <w:t xml:space="preserve">Scientific </w:t>
            </w:r>
            <w:r>
              <w:rPr>
                <w:rFonts w:ascii="Times New Roman" w:hAnsi="Times New Roman"/>
                <w:sz w:val="24"/>
                <w:szCs w:val="24"/>
                <w:lang w:val="en-IN"/>
              </w:rPr>
              <w:t>o</w:t>
            </w:r>
            <w:r w:rsidRPr="00F812E0">
              <w:rPr>
                <w:rFonts w:ascii="Times New Roman" w:hAnsi="Times New Roman"/>
                <w:sz w:val="24"/>
                <w:szCs w:val="24"/>
                <w:lang w:val="en-IN"/>
              </w:rPr>
              <w:t>rientation</w:t>
            </w:r>
            <w:r w:rsidRPr="00FA3C8C">
              <w:rPr>
                <w:rFonts w:ascii="Times New Roman" w:eastAsia="Times New Roman" w:hAnsi="Times New Roman" w:cs="Times New Roman"/>
                <w:kern w:val="0"/>
                <w:sz w:val="24"/>
                <w:szCs w:val="24"/>
                <w14:ligatures w14:val="none"/>
              </w:rPr>
              <w:t xml:space="preserve"> </w:t>
            </w:r>
          </w:p>
          <w:p w14:paraId="5474682D" w14:textId="690E0394" w:rsidR="00A271E4" w:rsidRPr="00FA3C8C" w:rsidRDefault="00A271E4" w:rsidP="00E22609">
            <w:pPr>
              <w:shd w:val="clear" w:color="auto" w:fill="FFFFFF" w:themeFill="background1"/>
              <w:spacing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13.88</w:t>
            </w:r>
          </w:p>
          <w:p w14:paraId="30B9FD2A" w14:textId="2CD34B1E"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3.07</w:t>
            </w:r>
          </w:p>
        </w:tc>
        <w:tc>
          <w:tcPr>
            <w:tcW w:w="1337" w:type="pct"/>
            <w:vAlign w:val="center"/>
          </w:tcPr>
          <w:p w14:paraId="6A31F1D9" w14:textId="56BFDD3E"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&lt;12.34</w:t>
            </w:r>
            <w:r w:rsidRPr="00F812E0">
              <w:rPr>
                <w:rFonts w:ascii="Times New Roman" w:hAnsi="Times New Roman" w:cs="Times New Roman"/>
                <w:color w:val="000000"/>
                <w:kern w:val="24"/>
                <w:sz w:val="24"/>
                <w:szCs w:val="24"/>
              </w:rPr>
              <w:t xml:space="preserve">) </w:t>
            </w:r>
          </w:p>
        </w:tc>
        <w:tc>
          <w:tcPr>
            <w:tcW w:w="266" w:type="pct"/>
            <w:vAlign w:val="center"/>
          </w:tcPr>
          <w:p w14:paraId="1917F783" w14:textId="6EC6593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3</w:t>
            </w:r>
          </w:p>
        </w:tc>
        <w:tc>
          <w:tcPr>
            <w:tcW w:w="267" w:type="pct"/>
            <w:vAlign w:val="center"/>
          </w:tcPr>
          <w:p w14:paraId="2540A7E4" w14:textId="4A5A7F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10.00</w:t>
            </w:r>
          </w:p>
        </w:tc>
        <w:tc>
          <w:tcPr>
            <w:tcW w:w="266" w:type="pct"/>
            <w:vAlign w:val="center"/>
          </w:tcPr>
          <w:p w14:paraId="477F22B9" w14:textId="6AD1DDA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13</w:t>
            </w:r>
          </w:p>
        </w:tc>
        <w:tc>
          <w:tcPr>
            <w:tcW w:w="267" w:type="pct"/>
            <w:vAlign w:val="center"/>
          </w:tcPr>
          <w:p w14:paraId="43116986" w14:textId="103183CC"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43.33</w:t>
            </w:r>
          </w:p>
        </w:tc>
        <w:tc>
          <w:tcPr>
            <w:tcW w:w="267" w:type="pct"/>
            <w:vAlign w:val="center"/>
          </w:tcPr>
          <w:p w14:paraId="7363EDA5" w14:textId="24849CF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11</w:t>
            </w:r>
          </w:p>
        </w:tc>
        <w:tc>
          <w:tcPr>
            <w:tcW w:w="266" w:type="pct"/>
            <w:vAlign w:val="center"/>
          </w:tcPr>
          <w:p w14:paraId="0E2A6665" w14:textId="0E86A55F"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36.67</w:t>
            </w:r>
          </w:p>
        </w:tc>
        <w:tc>
          <w:tcPr>
            <w:tcW w:w="267" w:type="pct"/>
            <w:vAlign w:val="center"/>
          </w:tcPr>
          <w:p w14:paraId="5BA0B5FF" w14:textId="7E67AF1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19</w:t>
            </w:r>
          </w:p>
        </w:tc>
        <w:tc>
          <w:tcPr>
            <w:tcW w:w="266" w:type="pct"/>
            <w:vAlign w:val="center"/>
          </w:tcPr>
          <w:p w14:paraId="76DDA8E1" w14:textId="6AB41350"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63.33</w:t>
            </w:r>
          </w:p>
        </w:tc>
        <w:tc>
          <w:tcPr>
            <w:tcW w:w="267" w:type="pct"/>
            <w:vAlign w:val="center"/>
          </w:tcPr>
          <w:p w14:paraId="3F72D692" w14:textId="2941E20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46</w:t>
            </w:r>
          </w:p>
        </w:tc>
        <w:tc>
          <w:tcPr>
            <w:tcW w:w="267" w:type="pct"/>
            <w:vAlign w:val="center"/>
          </w:tcPr>
          <w:p w14:paraId="3EEDFD68" w14:textId="5F886055"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38.33</w:t>
            </w:r>
          </w:p>
        </w:tc>
      </w:tr>
      <w:tr w:rsidR="00E22609" w:rsidRPr="00FA3C8C" w14:paraId="235300AC" w14:textId="4B1F4C2F" w:rsidTr="00034D5E">
        <w:trPr>
          <w:cantSplit/>
          <w:trHeight w:val="416"/>
          <w:jc w:val="center"/>
        </w:trPr>
        <w:tc>
          <w:tcPr>
            <w:tcW w:w="204" w:type="pct"/>
            <w:vMerge/>
            <w:vAlign w:val="center"/>
          </w:tcPr>
          <w:p w14:paraId="7757A829"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78DB2527"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0A2D378A" w14:textId="1A059239"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12.34 – 15.41</w:t>
            </w:r>
            <w:r w:rsidRPr="00F812E0">
              <w:rPr>
                <w:rFonts w:ascii="Times New Roman" w:hAnsi="Times New Roman" w:cs="Times New Roman"/>
                <w:color w:val="000000"/>
                <w:kern w:val="24"/>
                <w:sz w:val="24"/>
                <w:szCs w:val="24"/>
              </w:rPr>
              <w:t xml:space="preserve">) </w:t>
            </w:r>
          </w:p>
        </w:tc>
        <w:tc>
          <w:tcPr>
            <w:tcW w:w="266" w:type="pct"/>
            <w:vAlign w:val="center"/>
          </w:tcPr>
          <w:p w14:paraId="03B8720B" w14:textId="0CC92CB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0709C584" w14:textId="1CC4CF75"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6" w:type="pct"/>
            <w:vAlign w:val="center"/>
          </w:tcPr>
          <w:p w14:paraId="55FBB95B" w14:textId="5699F60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7" w:type="pct"/>
            <w:vAlign w:val="center"/>
          </w:tcPr>
          <w:p w14:paraId="3148A1C3" w14:textId="6B818C31"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3502BC17" w14:textId="5E82E7B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7</w:t>
            </w:r>
          </w:p>
        </w:tc>
        <w:tc>
          <w:tcPr>
            <w:tcW w:w="266" w:type="pct"/>
            <w:vAlign w:val="center"/>
          </w:tcPr>
          <w:p w14:paraId="1C1EDC36" w14:textId="5F00CFF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23.33</w:t>
            </w:r>
          </w:p>
        </w:tc>
        <w:tc>
          <w:tcPr>
            <w:tcW w:w="267" w:type="pct"/>
            <w:vAlign w:val="center"/>
          </w:tcPr>
          <w:p w14:paraId="44F684A3" w14:textId="1955D2E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w:t>
            </w:r>
          </w:p>
        </w:tc>
        <w:tc>
          <w:tcPr>
            <w:tcW w:w="266" w:type="pct"/>
            <w:vAlign w:val="center"/>
          </w:tcPr>
          <w:p w14:paraId="3A72DD29" w14:textId="0C87F462"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6.67</w:t>
            </w:r>
          </w:p>
        </w:tc>
        <w:tc>
          <w:tcPr>
            <w:tcW w:w="267" w:type="pct"/>
            <w:vAlign w:val="center"/>
          </w:tcPr>
          <w:p w14:paraId="404B4997" w14:textId="0DE49584"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33</w:t>
            </w:r>
          </w:p>
        </w:tc>
        <w:tc>
          <w:tcPr>
            <w:tcW w:w="267" w:type="pct"/>
            <w:vAlign w:val="center"/>
          </w:tcPr>
          <w:p w14:paraId="0ABA72E8" w14:textId="1548AD5E"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27.50</w:t>
            </w:r>
          </w:p>
        </w:tc>
      </w:tr>
      <w:tr w:rsidR="00E22609" w:rsidRPr="00FA3C8C" w14:paraId="2E351729" w14:textId="2DD6DADD" w:rsidTr="00034D5E">
        <w:trPr>
          <w:cantSplit/>
          <w:trHeight w:val="417"/>
          <w:jc w:val="center"/>
        </w:trPr>
        <w:tc>
          <w:tcPr>
            <w:tcW w:w="204" w:type="pct"/>
            <w:vMerge/>
            <w:vAlign w:val="center"/>
          </w:tcPr>
          <w:p w14:paraId="29CE7042" w14:textId="77777777" w:rsidR="00A271E4" w:rsidRPr="00FA3C8C" w:rsidRDefault="00A271E4" w:rsidP="00E22609">
            <w:pPr>
              <w:shd w:val="clear" w:color="auto" w:fill="FFFFFF" w:themeFill="background1"/>
              <w:spacing w:line="276" w:lineRule="auto"/>
              <w:jc w:val="center"/>
              <w:rPr>
                <w:rFonts w:ascii="Times New Roman" w:eastAsia="Times New Roman" w:hAnsi="Times New Roman" w:cs="Times New Roman"/>
                <w:sz w:val="24"/>
                <w:szCs w:val="24"/>
              </w:rPr>
            </w:pPr>
          </w:p>
        </w:tc>
        <w:tc>
          <w:tcPr>
            <w:tcW w:w="794" w:type="pct"/>
            <w:vMerge/>
            <w:vAlign w:val="center"/>
          </w:tcPr>
          <w:p w14:paraId="6FB557C9" w14:textId="77777777" w:rsidR="00A271E4" w:rsidRPr="00FA3C8C" w:rsidRDefault="00A271E4" w:rsidP="00E22609">
            <w:pPr>
              <w:shd w:val="clear" w:color="auto" w:fill="FFFFFF" w:themeFill="background1"/>
              <w:spacing w:line="276" w:lineRule="auto"/>
              <w:rPr>
                <w:rFonts w:ascii="Times New Roman" w:eastAsia="Times New Roman" w:hAnsi="Times New Roman" w:cs="Times New Roman"/>
                <w:sz w:val="24"/>
                <w:szCs w:val="24"/>
              </w:rPr>
            </w:pPr>
          </w:p>
        </w:tc>
        <w:tc>
          <w:tcPr>
            <w:tcW w:w="1337" w:type="pct"/>
            <w:vAlign w:val="center"/>
          </w:tcPr>
          <w:p w14:paraId="1AF5A29F" w14:textId="441E3ABA" w:rsidR="00A271E4" w:rsidRPr="00F812E0" w:rsidRDefault="00A271E4" w:rsidP="00E22609">
            <w:pPr>
              <w:shd w:val="clear" w:color="auto" w:fill="FFFFFF" w:themeFill="background1"/>
              <w:spacing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&gt;15.41</w:t>
            </w:r>
            <w:r w:rsidRPr="00F812E0">
              <w:rPr>
                <w:rFonts w:ascii="Times New Roman" w:hAnsi="Times New Roman" w:cs="Times New Roman"/>
                <w:color w:val="000000"/>
                <w:kern w:val="24"/>
                <w:sz w:val="24"/>
                <w:szCs w:val="24"/>
              </w:rPr>
              <w:t xml:space="preserve">) </w:t>
            </w:r>
          </w:p>
        </w:tc>
        <w:tc>
          <w:tcPr>
            <w:tcW w:w="266" w:type="pct"/>
            <w:vAlign w:val="center"/>
          </w:tcPr>
          <w:p w14:paraId="5C6C771D" w14:textId="45577BB8"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15</w:t>
            </w:r>
          </w:p>
        </w:tc>
        <w:tc>
          <w:tcPr>
            <w:tcW w:w="267" w:type="pct"/>
            <w:vAlign w:val="center"/>
          </w:tcPr>
          <w:p w14:paraId="013CFEA5" w14:textId="48320EDF"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50.00</w:t>
            </w:r>
          </w:p>
        </w:tc>
        <w:tc>
          <w:tcPr>
            <w:tcW w:w="266" w:type="pct"/>
            <w:vAlign w:val="center"/>
          </w:tcPr>
          <w:p w14:paraId="48228D12" w14:textId="63EC1F79"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5</w:t>
            </w:r>
          </w:p>
        </w:tc>
        <w:tc>
          <w:tcPr>
            <w:tcW w:w="267" w:type="pct"/>
            <w:vAlign w:val="center"/>
          </w:tcPr>
          <w:p w14:paraId="2389AB3A" w14:textId="74803F8B"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16.67</w:t>
            </w:r>
          </w:p>
        </w:tc>
        <w:tc>
          <w:tcPr>
            <w:tcW w:w="267" w:type="pct"/>
            <w:vAlign w:val="center"/>
          </w:tcPr>
          <w:p w14:paraId="708AB6D7" w14:textId="3D3636AE" w:rsidR="00A271E4" w:rsidRPr="00034D5E" w:rsidRDefault="00A271E4" w:rsidP="00E22609">
            <w:pPr>
              <w:shd w:val="clear" w:color="auto" w:fill="FFFFFF" w:themeFill="background1"/>
              <w:spacing w:line="276" w:lineRule="auto"/>
              <w:jc w:val="center"/>
              <w:rPr>
                <w:rFonts w:ascii="Times New Roman" w:eastAsia="Times New Roman" w:hAnsi="Times New Roman" w:cs="Times New Roman"/>
                <w:color w:val="000000" w:themeColor="text1"/>
              </w:rPr>
            </w:pPr>
            <w:r w:rsidRPr="00034D5E">
              <w:rPr>
                <w:rFonts w:ascii="Times New Roman" w:hAnsi="Times New Roman" w:cs="Times New Roman"/>
                <w:color w:val="000000" w:themeColor="text1"/>
              </w:rPr>
              <w:t>12</w:t>
            </w:r>
          </w:p>
        </w:tc>
        <w:tc>
          <w:tcPr>
            <w:tcW w:w="266" w:type="pct"/>
            <w:vAlign w:val="center"/>
          </w:tcPr>
          <w:p w14:paraId="08CE60BD" w14:textId="63DC7ACA"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40.00</w:t>
            </w:r>
          </w:p>
        </w:tc>
        <w:tc>
          <w:tcPr>
            <w:tcW w:w="267" w:type="pct"/>
            <w:vAlign w:val="center"/>
          </w:tcPr>
          <w:p w14:paraId="14954501" w14:textId="56B703A1"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9</w:t>
            </w:r>
          </w:p>
        </w:tc>
        <w:tc>
          <w:tcPr>
            <w:tcW w:w="266" w:type="pct"/>
            <w:vAlign w:val="center"/>
          </w:tcPr>
          <w:p w14:paraId="58385C2A" w14:textId="461321E3"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30.00</w:t>
            </w:r>
          </w:p>
        </w:tc>
        <w:tc>
          <w:tcPr>
            <w:tcW w:w="267" w:type="pct"/>
            <w:vAlign w:val="center"/>
          </w:tcPr>
          <w:p w14:paraId="3D84E43F" w14:textId="202F9C6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41</w:t>
            </w:r>
          </w:p>
        </w:tc>
        <w:tc>
          <w:tcPr>
            <w:tcW w:w="267" w:type="pct"/>
            <w:vAlign w:val="center"/>
          </w:tcPr>
          <w:p w14:paraId="26972D0C" w14:textId="5D901088" w:rsidR="00A271E4" w:rsidRPr="00034D5E" w:rsidRDefault="00A271E4" w:rsidP="00E22609">
            <w:pPr>
              <w:shd w:val="clear" w:color="auto" w:fill="FFFFFF" w:themeFill="background1"/>
              <w:spacing w:line="276" w:lineRule="auto"/>
              <w:jc w:val="center"/>
              <w:rPr>
                <w:rFonts w:ascii="Times New Roman" w:hAnsi="Times New Roman" w:cs="Times New Roman"/>
                <w:color w:val="000000" w:themeColor="text1"/>
              </w:rPr>
            </w:pPr>
            <w:r w:rsidRPr="00034D5E">
              <w:rPr>
                <w:rFonts w:ascii="Times New Roman" w:hAnsi="Times New Roman" w:cs="Times New Roman"/>
                <w:color w:val="000000" w:themeColor="text1"/>
              </w:rPr>
              <w:t>34.17</w:t>
            </w:r>
          </w:p>
        </w:tc>
      </w:tr>
    </w:tbl>
    <w:p w14:paraId="09C16025" w14:textId="77777777" w:rsidR="00F812E0" w:rsidRDefault="00F812E0" w:rsidP="00F812E0">
      <w:pPr>
        <w:rPr>
          <w:rFonts w:ascii="Times New Roman" w:eastAsia="Times New Roman" w:hAnsi="Times New Roman" w:cs="Times New Roman"/>
          <w:sz w:val="24"/>
          <w:szCs w:val="24"/>
          <w:lang w:eastAsia="en-IN"/>
        </w:rPr>
      </w:pPr>
    </w:p>
    <w:p w14:paraId="5D8F9100" w14:textId="282E3934"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 xml:space="preserve">The results in table </w:t>
      </w:r>
      <w:r>
        <w:rPr>
          <w:rFonts w:ascii="Times New Roman" w:eastAsia="Times New Roman" w:hAnsi="Times New Roman" w:cs="Times New Roman"/>
          <w:sz w:val="24"/>
          <w:szCs w:val="24"/>
          <w:lang w:val="en-US" w:eastAsia="en-IN"/>
        </w:rPr>
        <w:t>3</w:t>
      </w:r>
      <w:r w:rsidRPr="00384D66">
        <w:rPr>
          <w:rFonts w:ascii="Times New Roman" w:eastAsia="Times New Roman" w:hAnsi="Times New Roman" w:cs="Times New Roman"/>
          <w:sz w:val="24"/>
          <w:szCs w:val="24"/>
          <w:lang w:val="en-US" w:eastAsia="en-IN"/>
        </w:rPr>
        <w:t xml:space="preserve"> showed </w:t>
      </w:r>
      <w:r>
        <w:rPr>
          <w:rFonts w:ascii="Times New Roman" w:eastAsia="Times New Roman" w:hAnsi="Times New Roman" w:cs="Times New Roman"/>
          <w:sz w:val="24"/>
          <w:szCs w:val="24"/>
          <w:lang w:val="en-US" w:eastAsia="en-IN"/>
        </w:rPr>
        <w:t xml:space="preserve">that, </w:t>
      </w:r>
      <w:r w:rsidRPr="00384D66">
        <w:rPr>
          <w:rFonts w:ascii="Times New Roman" w:eastAsia="Times New Roman" w:hAnsi="Times New Roman" w:cs="Times New Roman"/>
          <w:sz w:val="24"/>
          <w:szCs w:val="24"/>
          <w:lang w:val="en-US" w:eastAsia="en-IN"/>
        </w:rPr>
        <w:t xml:space="preserve">the distribution of respondents based on their </w:t>
      </w:r>
      <w:r>
        <w:rPr>
          <w:rFonts w:ascii="Times New Roman" w:eastAsia="Times New Roman" w:hAnsi="Times New Roman" w:cs="Times New Roman"/>
          <w:sz w:val="24"/>
          <w:szCs w:val="24"/>
          <w:lang w:val="en-US" w:eastAsia="en-IN"/>
        </w:rPr>
        <w:t>socio-economic characteristics</w:t>
      </w:r>
      <w:r w:rsidRPr="00384D66">
        <w:rPr>
          <w:rFonts w:ascii="Times New Roman" w:eastAsia="Times New Roman" w:hAnsi="Times New Roman" w:cs="Times New Roman"/>
          <w:sz w:val="24"/>
          <w:szCs w:val="24"/>
          <w:lang w:val="en-US" w:eastAsia="en-IN"/>
        </w:rPr>
        <w:t xml:space="preserve">. In terms of annual income, more than two-thirds (67.50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of the farmers were placed in the medium-income category, followed by 19.17 per cent in the low-income category, and only 13.33 per cent in the high-income category (mean = 18,83,816.67; SD = 15,73,924.52)</w:t>
      </w:r>
      <w:r w:rsidR="00240F96">
        <w:rPr>
          <w:rFonts w:ascii="Times New Roman" w:eastAsia="Times New Roman" w:hAnsi="Times New Roman" w:cs="Times New Roman"/>
          <w:sz w:val="24"/>
          <w:szCs w:val="24"/>
          <w:lang w:val="en-US" w:eastAsia="en-IN"/>
        </w:rPr>
        <w:t xml:space="preserve"> this pattern was also seen in</w:t>
      </w:r>
      <w:r w:rsidR="00240F96" w:rsidRPr="00240F96">
        <w:rPr>
          <w:rFonts w:ascii="Times New Roman" w:hAnsi="Times New Roman"/>
          <w:sz w:val="24"/>
          <w:szCs w:val="24"/>
        </w:rPr>
        <w:t xml:space="preserve"> </w:t>
      </w:r>
      <w:r w:rsidR="00240F96" w:rsidRPr="00E7265C">
        <w:rPr>
          <w:rFonts w:ascii="Times New Roman" w:hAnsi="Times New Roman"/>
          <w:sz w:val="24"/>
          <w:szCs w:val="24"/>
        </w:rPr>
        <w:t>Ajith (2018),</w:t>
      </w:r>
      <w:proofErr w:type="spellStart"/>
      <w:r w:rsidR="00240F96" w:rsidRPr="00E7265C">
        <w:rPr>
          <w:rFonts w:ascii="Times New Roman" w:hAnsi="Times New Roman"/>
          <w:sz w:val="24"/>
          <w:szCs w:val="24"/>
        </w:rPr>
        <w:t>Amitha</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 xml:space="preserve">et al </w:t>
      </w:r>
      <w:r w:rsidR="00240F96" w:rsidRPr="00E7265C">
        <w:rPr>
          <w:rFonts w:ascii="Times New Roman" w:hAnsi="Times New Roman"/>
          <w:sz w:val="24"/>
          <w:szCs w:val="24"/>
        </w:rPr>
        <w:t>(2021)</w:t>
      </w:r>
      <w:r w:rsidR="00240F96">
        <w:rPr>
          <w:rFonts w:ascii="Times New Roman" w:hAnsi="Times New Roman"/>
          <w:sz w:val="24"/>
          <w:szCs w:val="24"/>
        </w:rPr>
        <w:t>.</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With respect to scientific orientation, more than one-third (38.33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xml:space="preserve">) of respondents belonged to the low category, while 34.17 per cent had a high scientific orientation. Slightly more than one-fourth (27.50 </w:t>
      </w:r>
      <w:r w:rsidR="00C42ED5">
        <w:rPr>
          <w:rFonts w:ascii="Times New Roman" w:eastAsia="Times New Roman" w:hAnsi="Times New Roman" w:cs="Times New Roman"/>
          <w:sz w:val="24"/>
          <w:szCs w:val="24"/>
          <w:lang w:val="en-US" w:eastAsia="en-IN"/>
        </w:rPr>
        <w:t xml:space="preserve"> per cent</w:t>
      </w:r>
      <w:r w:rsidRPr="00384D66">
        <w:rPr>
          <w:rFonts w:ascii="Times New Roman" w:eastAsia="Times New Roman" w:hAnsi="Times New Roman" w:cs="Times New Roman"/>
          <w:sz w:val="24"/>
          <w:szCs w:val="24"/>
          <w:lang w:val="en-US" w:eastAsia="en-IN"/>
        </w:rPr>
        <w:t>) were in the medium category (mean = 13.88; SD = 3.07)</w:t>
      </w:r>
      <w:r w:rsidR="00240F96" w:rsidRPr="00240F96">
        <w:rPr>
          <w:rFonts w:ascii="Times New Roman" w:eastAsia="SimSun" w:hAnsi="Times New Roman"/>
          <w:color w:val="000000"/>
          <w:sz w:val="24"/>
          <w:szCs w:val="24"/>
          <w:lang w:eastAsia="zh-CN"/>
        </w:rPr>
        <w:t xml:space="preserve"> </w:t>
      </w:r>
      <w:r w:rsidR="00240F96">
        <w:rPr>
          <w:rFonts w:ascii="Times New Roman" w:eastAsia="SimSun" w:hAnsi="Times New Roman"/>
          <w:color w:val="000000"/>
          <w:sz w:val="24"/>
          <w:szCs w:val="24"/>
          <w:lang w:eastAsia="zh-CN"/>
        </w:rPr>
        <w:t>t</w:t>
      </w:r>
      <w:r w:rsidR="00240F96" w:rsidRPr="00E7265C">
        <w:rPr>
          <w:rFonts w:ascii="Times New Roman" w:eastAsia="SimSun" w:hAnsi="Times New Roman"/>
          <w:color w:val="000000"/>
          <w:sz w:val="24"/>
          <w:szCs w:val="24"/>
          <w:lang w:eastAsia="zh-CN"/>
        </w:rPr>
        <w:t>his pattern is also seen in</w:t>
      </w:r>
      <w:r w:rsidR="00240F96">
        <w:rPr>
          <w:rFonts w:ascii="Times New Roman" w:eastAsia="SimSun" w:hAnsi="Times New Roman"/>
          <w:color w:val="000000"/>
          <w:sz w:val="24"/>
          <w:szCs w:val="24"/>
          <w:lang w:eastAsia="zh-CN"/>
        </w:rPr>
        <w:t xml:space="preserve"> </w:t>
      </w:r>
      <w:r w:rsidR="00DC6776">
        <w:rPr>
          <w:rFonts w:ascii="Times New Roman" w:hAnsi="Times New Roman"/>
          <w:sz w:val="24"/>
          <w:szCs w:val="24"/>
        </w:rPr>
        <w:t>t</w:t>
      </w:r>
      <w:r w:rsidR="00240F96" w:rsidRPr="00E7265C">
        <w:rPr>
          <w:rFonts w:ascii="Times New Roman" w:hAnsi="Times New Roman"/>
          <w:sz w:val="24"/>
          <w:szCs w:val="24"/>
        </w:rPr>
        <w:t>his proves Rogers' (1962) diffusion of innovation theory</w:t>
      </w:r>
      <w:r w:rsidR="00240F96" w:rsidRPr="00E7265C">
        <w:rPr>
          <w:rFonts w:ascii="Times New Roman" w:eastAsia="SimSun" w:hAnsi="Times New Roman"/>
          <w:color w:val="000000"/>
          <w:sz w:val="24"/>
          <w:szCs w:val="24"/>
          <w:lang w:eastAsia="zh-CN"/>
        </w:rPr>
        <w:t xml:space="preserve"> </w:t>
      </w:r>
      <w:r w:rsidR="00240F96">
        <w:rPr>
          <w:rFonts w:ascii="Times New Roman" w:eastAsia="SimSun" w:hAnsi="Times New Roman"/>
          <w:color w:val="000000"/>
          <w:sz w:val="24"/>
          <w:szCs w:val="24"/>
          <w:lang w:eastAsia="zh-CN"/>
        </w:rPr>
        <w:t>.</w:t>
      </w:r>
    </w:p>
    <w:p w14:paraId="343CC412" w14:textId="6BA680D8" w:rsidR="00384D66" w:rsidRPr="00384D66" w:rsidRDefault="00384D66" w:rsidP="00384D66">
      <w:pPr>
        <w:spacing w:line="360" w:lineRule="auto"/>
        <w:ind w:firstLine="720"/>
        <w:jc w:val="both"/>
        <w:rPr>
          <w:rFonts w:ascii="Times New Roman" w:eastAsia="Times New Roman" w:hAnsi="Times New Roman" w:cs="Times New Roman"/>
          <w:sz w:val="24"/>
          <w:szCs w:val="24"/>
          <w:lang w:val="en-US" w:eastAsia="en-IN"/>
        </w:rPr>
      </w:pPr>
      <w:r w:rsidRPr="00384D66">
        <w:rPr>
          <w:rFonts w:ascii="Times New Roman" w:eastAsia="Times New Roman" w:hAnsi="Times New Roman" w:cs="Times New Roman"/>
          <w:sz w:val="24"/>
          <w:szCs w:val="24"/>
          <w:lang w:val="en-US" w:eastAsia="en-IN"/>
        </w:rPr>
        <w:t>The results in table indicate that the majority of farmers were concentrated in the medium-income group, suggesting a moderate level of economic stability that enables them to sustain farming but may limit large-scale investments. The small proportion in the high-income category highlights the unequal income distribution among farmers, emphasizing the need for strategies that enhance profitability through value addition, efficient resource use, and better market access.</w:t>
      </w:r>
      <w:r>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t xml:space="preserve">Regarding scientific orientation, the higher share of farmers in the low category suggests limited awareness or adoption of scientific approaches in farming practices. However, the presence of a considerable proportion with high scientific orientation points to a progressive segment that could act as role models in the farming community. Targeted capacity-building </w:t>
      </w:r>
      <w:proofErr w:type="spellStart"/>
      <w:r w:rsidRPr="00384D66">
        <w:rPr>
          <w:rFonts w:ascii="Times New Roman" w:eastAsia="Times New Roman" w:hAnsi="Times New Roman" w:cs="Times New Roman"/>
          <w:sz w:val="24"/>
          <w:szCs w:val="24"/>
          <w:lang w:val="en-US" w:eastAsia="en-IN"/>
        </w:rPr>
        <w:t>programmes</w:t>
      </w:r>
      <w:proofErr w:type="spellEnd"/>
      <w:r w:rsidRPr="00384D66">
        <w:rPr>
          <w:rFonts w:ascii="Times New Roman" w:eastAsia="Times New Roman" w:hAnsi="Times New Roman" w:cs="Times New Roman"/>
          <w:sz w:val="24"/>
          <w:szCs w:val="24"/>
          <w:lang w:val="en-US" w:eastAsia="en-IN"/>
        </w:rPr>
        <w:t xml:space="preserve">, </w:t>
      </w:r>
      <w:r w:rsidRPr="00384D66">
        <w:rPr>
          <w:rFonts w:ascii="Times New Roman" w:eastAsia="Times New Roman" w:hAnsi="Times New Roman" w:cs="Times New Roman"/>
          <w:sz w:val="24"/>
          <w:szCs w:val="24"/>
          <w:lang w:val="en-US" w:eastAsia="en-IN"/>
        </w:rPr>
        <w:lastRenderedPageBreak/>
        <w:t xml:space="preserve">farmer field schools, and exposure visits could help shift more farmers from low to medium and high scientific orientation, thereby improving overall adoption of improved practices and entrepreneurial </w:t>
      </w:r>
      <w:proofErr w:type="spellStart"/>
      <w:r w:rsidRPr="00384D66">
        <w:rPr>
          <w:rFonts w:ascii="Times New Roman" w:eastAsia="Times New Roman" w:hAnsi="Times New Roman" w:cs="Times New Roman"/>
          <w:sz w:val="24"/>
          <w:szCs w:val="24"/>
          <w:lang w:val="en-US" w:eastAsia="en-IN"/>
        </w:rPr>
        <w:t>behaviour</w:t>
      </w:r>
      <w:proofErr w:type="spellEnd"/>
      <w:r w:rsidRPr="00384D66">
        <w:rPr>
          <w:rFonts w:ascii="Times New Roman" w:eastAsia="Times New Roman" w:hAnsi="Times New Roman" w:cs="Times New Roman"/>
          <w:sz w:val="24"/>
          <w:szCs w:val="24"/>
          <w:lang w:val="en-US" w:eastAsia="en-IN"/>
        </w:rPr>
        <w:t>.</w:t>
      </w:r>
    </w:p>
    <w:p w14:paraId="6F0A2359" w14:textId="77777777" w:rsidR="00384D66" w:rsidRDefault="00384D66" w:rsidP="00F812E0">
      <w:pPr>
        <w:rPr>
          <w:rFonts w:ascii="Times New Roman" w:eastAsia="Times New Roman" w:hAnsi="Times New Roman" w:cs="Times New Roman"/>
          <w:b/>
          <w:bCs/>
          <w:sz w:val="24"/>
          <w:szCs w:val="24"/>
          <w:lang w:eastAsia="en-IN"/>
        </w:rPr>
      </w:pPr>
    </w:p>
    <w:p w14:paraId="7DA3CD13" w14:textId="5B9144D2" w:rsidR="00F812E0" w:rsidRDefault="00F812E0" w:rsidP="00F812E0">
      <w:pPr>
        <w:rPr>
          <w:rFonts w:ascii="Times New Roman" w:eastAsia="Times New Roman" w:hAnsi="Times New Roman" w:cs="Times New Roman"/>
          <w:b/>
          <w:bCs/>
          <w:sz w:val="24"/>
          <w:szCs w:val="24"/>
          <w:lang w:val="en-US" w:eastAsia="en-IN"/>
        </w:rPr>
      </w:pPr>
      <w:r w:rsidRPr="00F812E0">
        <w:rPr>
          <w:rFonts w:ascii="Times New Roman" w:eastAsia="Times New Roman" w:hAnsi="Times New Roman" w:cs="Times New Roman"/>
          <w:b/>
          <w:bCs/>
          <w:sz w:val="24"/>
          <w:szCs w:val="24"/>
          <w:lang w:eastAsia="en-IN"/>
        </w:rPr>
        <w:t>Table 4:</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val="en-US" w:eastAsia="en-IN"/>
        </w:rPr>
        <w:t xml:space="preserve">Communication characteristics of members of </w:t>
      </w:r>
      <w:r w:rsidRPr="00164840">
        <w:rPr>
          <w:rFonts w:ascii="Times New Roman" w:eastAsia="Times New Roman" w:hAnsi="Times New Roman" w:cs="Times New Roman"/>
          <w:b/>
          <w:bCs/>
          <w:sz w:val="24"/>
          <w:szCs w:val="24"/>
          <w:lang w:val="en-US" w:eastAsia="en-IN"/>
        </w:rPr>
        <w:t>farmer producer organizations</w:t>
      </w:r>
    </w:p>
    <w:tbl>
      <w:tblPr>
        <w:tblStyle w:val="TableGrid"/>
        <w:tblW w:w="5000" w:type="pct"/>
        <w:jc w:val="center"/>
        <w:tblLook w:val="04A0" w:firstRow="1" w:lastRow="0" w:firstColumn="1" w:lastColumn="0" w:noHBand="0" w:noVBand="1"/>
      </w:tblPr>
      <w:tblGrid>
        <w:gridCol w:w="570"/>
        <w:gridCol w:w="2486"/>
        <w:gridCol w:w="2519"/>
        <w:gridCol w:w="837"/>
        <w:gridCol w:w="837"/>
        <w:gridCol w:w="837"/>
        <w:gridCol w:w="837"/>
        <w:gridCol w:w="837"/>
        <w:gridCol w:w="837"/>
        <w:gridCol w:w="837"/>
        <w:gridCol w:w="837"/>
        <w:gridCol w:w="837"/>
        <w:gridCol w:w="840"/>
      </w:tblGrid>
      <w:tr w:rsidR="00034D5E" w:rsidRPr="00FA3C8C" w14:paraId="6F694464" w14:textId="52C5D47E" w:rsidTr="00034D5E">
        <w:trPr>
          <w:cantSplit/>
          <w:trHeight w:val="20"/>
          <w:jc w:val="center"/>
        </w:trPr>
        <w:tc>
          <w:tcPr>
            <w:tcW w:w="204" w:type="pct"/>
            <w:vMerge w:val="restart"/>
            <w:vAlign w:val="center"/>
          </w:tcPr>
          <w:p w14:paraId="1710AF01"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Sl. No.</w:t>
            </w:r>
          </w:p>
        </w:tc>
        <w:tc>
          <w:tcPr>
            <w:tcW w:w="891" w:type="pct"/>
            <w:vMerge w:val="restart"/>
            <w:vAlign w:val="center"/>
          </w:tcPr>
          <w:p w14:paraId="7616747B"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hAnsi="Times New Roman" w:cs="Times New Roman"/>
                <w:b/>
                <w:bCs/>
                <w:sz w:val="24"/>
                <w:szCs w:val="24"/>
              </w:rPr>
              <w:t>Characteristics</w:t>
            </w:r>
          </w:p>
        </w:tc>
        <w:tc>
          <w:tcPr>
            <w:tcW w:w="903" w:type="pct"/>
            <w:vMerge w:val="restart"/>
            <w:vAlign w:val="center"/>
          </w:tcPr>
          <w:p w14:paraId="567F7896" w14:textId="77777777" w:rsidR="0091643F" w:rsidRPr="00FA3C8C" w:rsidRDefault="0091643F" w:rsidP="00733078">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Category</w:t>
            </w:r>
          </w:p>
        </w:tc>
        <w:tc>
          <w:tcPr>
            <w:tcW w:w="600" w:type="pct"/>
            <w:gridSpan w:val="2"/>
            <w:vAlign w:val="center"/>
          </w:tcPr>
          <w:p w14:paraId="52C25F92" w14:textId="77777777" w:rsidR="0091643F" w:rsidRPr="00FA3C8C" w:rsidRDefault="0091643F" w:rsidP="00733078">
            <w:pPr>
              <w:spacing w:line="276" w:lineRule="auto"/>
              <w:jc w:val="center"/>
              <w:rPr>
                <w:rFonts w:ascii="Times New Roman" w:hAnsi="Times New Roman" w:cs="Times New Roman"/>
                <w:b/>
                <w:bCs/>
                <w:sz w:val="24"/>
                <w:szCs w:val="24"/>
                <w:lang w:val="en-IN"/>
              </w:rPr>
            </w:pPr>
            <w:proofErr w:type="spellStart"/>
            <w:r w:rsidRPr="00DA7132">
              <w:rPr>
                <w:rFonts w:ascii="Times New Roman" w:hAnsi="Times New Roman" w:cs="Times New Roman"/>
                <w:b/>
                <w:bCs/>
                <w:sz w:val="24"/>
                <w:szCs w:val="24"/>
                <w:lang w:val="en-IN"/>
              </w:rPr>
              <w:t>Kolhar</w:t>
            </w:r>
            <w:proofErr w:type="spellEnd"/>
            <w:r w:rsidRPr="00FA3C8C">
              <w:rPr>
                <w:rFonts w:ascii="Times New Roman" w:hAnsi="Times New Roman" w:cs="Times New Roman"/>
                <w:b/>
                <w:bCs/>
                <w:sz w:val="24"/>
                <w:szCs w:val="24"/>
                <w:lang w:val="en-IN"/>
              </w:rPr>
              <w:t xml:space="preserve"> </w:t>
            </w:r>
          </w:p>
          <w:p w14:paraId="3601AA8D" w14:textId="05D9387D"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hAnsi="Times New Roman" w:cs="Times New Roman"/>
                <w:b/>
                <w:bCs/>
                <w:sz w:val="24"/>
                <w:szCs w:val="24"/>
              </w:rPr>
              <w:t>(n</w:t>
            </w:r>
            <w:r w:rsidRPr="00FA3C8C">
              <w:rPr>
                <w:rFonts w:ascii="Times New Roman" w:hAnsi="Times New Roman" w:cs="Times New Roman"/>
                <w:b/>
                <w:bCs/>
                <w:sz w:val="24"/>
                <w:szCs w:val="24"/>
                <w:vertAlign w:val="subscript"/>
              </w:rPr>
              <w:t>1</w:t>
            </w:r>
            <w:r w:rsidRPr="00FA3C8C">
              <w:rPr>
                <w:rFonts w:ascii="Times New Roman" w:hAnsi="Times New Roman" w:cs="Times New Roman"/>
                <w:b/>
                <w:bCs/>
                <w:sz w:val="24"/>
                <w:szCs w:val="24"/>
              </w:rPr>
              <w:t>=30)</w:t>
            </w:r>
          </w:p>
        </w:tc>
        <w:tc>
          <w:tcPr>
            <w:tcW w:w="600" w:type="pct"/>
            <w:gridSpan w:val="2"/>
            <w:vAlign w:val="center"/>
          </w:tcPr>
          <w:p w14:paraId="17AC284E"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DA7132">
              <w:rPr>
                <w:rFonts w:ascii="Times New Roman" w:eastAsia="Times New Roman" w:hAnsi="Times New Roman" w:cs="Times New Roman"/>
                <w:b/>
                <w:bCs/>
                <w:sz w:val="24"/>
                <w:szCs w:val="24"/>
                <w:lang w:eastAsia="en-IN"/>
              </w:rPr>
              <w:t>Indi</w:t>
            </w:r>
            <w:r w:rsidRPr="00FA3C8C">
              <w:rPr>
                <w:rFonts w:ascii="Times New Roman" w:eastAsia="Times New Roman" w:hAnsi="Times New Roman" w:cs="Times New Roman"/>
                <w:b/>
                <w:bCs/>
                <w:kern w:val="0"/>
                <w:sz w:val="24"/>
                <w:szCs w:val="24"/>
                <w14:ligatures w14:val="none"/>
              </w:rPr>
              <w:t xml:space="preserve"> </w:t>
            </w:r>
          </w:p>
          <w:p w14:paraId="6065B165" w14:textId="4292E4C5"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2</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1D36810B"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r w:rsidRPr="00DA7132">
              <w:rPr>
                <w:rFonts w:ascii="Times New Roman" w:eastAsia="Times New Roman" w:hAnsi="Times New Roman" w:cs="Times New Roman"/>
                <w:b/>
                <w:bCs/>
                <w:sz w:val="24"/>
                <w:szCs w:val="24"/>
                <w:lang w:eastAsia="en-IN"/>
              </w:rPr>
              <w:t>Mudhol</w:t>
            </w:r>
          </w:p>
          <w:p w14:paraId="129B7B55" w14:textId="4F0136B2" w:rsidR="0091643F" w:rsidRPr="00DA7132" w:rsidRDefault="0091643F" w:rsidP="00733078">
            <w:pPr>
              <w:spacing w:line="276" w:lineRule="auto"/>
              <w:jc w:val="center"/>
              <w:rPr>
                <w:rFonts w:ascii="Times New Roman" w:eastAsia="Times New Roman" w:hAnsi="Times New Roman" w:cs="Times New Roman"/>
                <w:b/>
                <w:bCs/>
                <w:sz w:val="24"/>
                <w:szCs w:val="24"/>
                <w:lang w:eastAsia="en-IN"/>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3</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0954AA45" w14:textId="77777777" w:rsidR="0091643F" w:rsidRPr="00FA3C8C" w:rsidRDefault="0091643F" w:rsidP="00733078">
            <w:pPr>
              <w:spacing w:line="276" w:lineRule="auto"/>
              <w:jc w:val="center"/>
              <w:rPr>
                <w:rFonts w:ascii="Times New Roman" w:eastAsia="Times New Roman" w:hAnsi="Times New Roman" w:cs="Times New Roman"/>
                <w:b/>
                <w:bCs/>
                <w:sz w:val="24"/>
                <w:szCs w:val="24"/>
                <w:lang w:eastAsia="en-IN"/>
              </w:rPr>
            </w:pPr>
            <w:proofErr w:type="spellStart"/>
            <w:r w:rsidRPr="00DA7132">
              <w:rPr>
                <w:rFonts w:ascii="Times New Roman" w:eastAsia="Times New Roman" w:hAnsi="Times New Roman" w:cs="Times New Roman"/>
                <w:b/>
                <w:bCs/>
                <w:sz w:val="24"/>
                <w:szCs w:val="24"/>
                <w:lang w:eastAsia="en-IN"/>
              </w:rPr>
              <w:t>Hungunda</w:t>
            </w:r>
            <w:proofErr w:type="spellEnd"/>
          </w:p>
          <w:p w14:paraId="087A3DFC" w14:textId="1014D709"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w:t>
            </w:r>
            <w:r w:rsidRPr="00FA3C8C">
              <w:rPr>
                <w:rFonts w:ascii="Times New Roman" w:eastAsia="Times New Roman" w:hAnsi="Times New Roman" w:cs="Times New Roman"/>
                <w:b/>
                <w:bCs/>
                <w:kern w:val="0"/>
                <w:sz w:val="24"/>
                <w:szCs w:val="24"/>
                <w:vertAlign w:val="subscript"/>
                <w14:ligatures w14:val="none"/>
              </w:rPr>
              <w:t>4</w:t>
            </w:r>
            <w:r w:rsidRPr="00FA3C8C">
              <w:rPr>
                <w:rFonts w:ascii="Times New Roman" w:eastAsia="Times New Roman" w:hAnsi="Times New Roman" w:cs="Times New Roman"/>
                <w:b/>
                <w:bCs/>
                <w:kern w:val="0"/>
                <w:sz w:val="24"/>
                <w:szCs w:val="24"/>
                <w14:ligatures w14:val="none"/>
              </w:rPr>
              <w:t>=30)</w:t>
            </w:r>
          </w:p>
        </w:tc>
        <w:tc>
          <w:tcPr>
            <w:tcW w:w="600" w:type="pct"/>
            <w:gridSpan w:val="2"/>
            <w:vAlign w:val="center"/>
          </w:tcPr>
          <w:p w14:paraId="7B9C0771" w14:textId="77777777" w:rsidR="0091643F" w:rsidRPr="00FA3C8C" w:rsidRDefault="0091643F" w:rsidP="00733078">
            <w:pPr>
              <w:spacing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Overall</w:t>
            </w:r>
          </w:p>
          <w:p w14:paraId="0A75BC9E" w14:textId="2BD66B1E" w:rsidR="0091643F" w:rsidRPr="00FA3C8C" w:rsidRDefault="0091643F" w:rsidP="00733078">
            <w:pPr>
              <w:spacing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(n=120)</w:t>
            </w:r>
          </w:p>
        </w:tc>
      </w:tr>
      <w:tr w:rsidR="00034D5E" w:rsidRPr="00FA3C8C" w14:paraId="45F234D5" w14:textId="61D1C0E1" w:rsidTr="00034D5E">
        <w:trPr>
          <w:cantSplit/>
          <w:trHeight w:val="20"/>
          <w:jc w:val="center"/>
        </w:trPr>
        <w:tc>
          <w:tcPr>
            <w:tcW w:w="204" w:type="pct"/>
            <w:vMerge/>
            <w:vAlign w:val="center"/>
          </w:tcPr>
          <w:p w14:paraId="3471A8AA"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076050D0" w14:textId="77777777" w:rsidR="0091643F" w:rsidRPr="00FA3C8C" w:rsidRDefault="0091643F" w:rsidP="0091643F">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Merge/>
          </w:tcPr>
          <w:p w14:paraId="1508E0E1" w14:textId="77777777"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p>
        </w:tc>
        <w:tc>
          <w:tcPr>
            <w:tcW w:w="300" w:type="pct"/>
            <w:vAlign w:val="center"/>
          </w:tcPr>
          <w:p w14:paraId="12CC7065" w14:textId="2A9AC62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78C7A880" w14:textId="33751C07"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564D7B1F" w14:textId="1889DB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FFC03C5" w14:textId="3F9A8EE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45CAA308" w14:textId="3D2992FE"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kern w:val="0"/>
                <w:sz w:val="24"/>
                <w:szCs w:val="24"/>
                <w14:ligatures w14:val="none"/>
              </w:rPr>
            </w:pPr>
            <w:r w:rsidRPr="00FA3C8C">
              <w:rPr>
                <w:rFonts w:ascii="Times New Roman" w:eastAsia="Times New Roman" w:hAnsi="Times New Roman" w:cs="Times New Roman"/>
                <w:b/>
                <w:bCs/>
                <w:kern w:val="0"/>
                <w:sz w:val="24"/>
                <w:szCs w:val="24"/>
                <w14:ligatures w14:val="none"/>
              </w:rPr>
              <w:t>f</w:t>
            </w:r>
          </w:p>
        </w:tc>
        <w:tc>
          <w:tcPr>
            <w:tcW w:w="300" w:type="pct"/>
          </w:tcPr>
          <w:p w14:paraId="660B6A05" w14:textId="78BC61D5"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063DE1ED" w14:textId="2F58129B"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0" w:type="pct"/>
          </w:tcPr>
          <w:p w14:paraId="61CB31F9" w14:textId="6506A06D"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c>
          <w:tcPr>
            <w:tcW w:w="300" w:type="pct"/>
            <w:vAlign w:val="center"/>
          </w:tcPr>
          <w:p w14:paraId="1B3B1DC8" w14:textId="6F850145" w:rsidR="0091643F" w:rsidRPr="00FA3C8C" w:rsidRDefault="0091643F"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sidRPr="00FA3C8C">
              <w:rPr>
                <w:rFonts w:ascii="Times New Roman" w:eastAsia="Times New Roman" w:hAnsi="Times New Roman" w:cs="Times New Roman"/>
                <w:b/>
                <w:bCs/>
                <w:kern w:val="0"/>
                <w:sz w:val="24"/>
                <w:szCs w:val="24"/>
                <w14:ligatures w14:val="none"/>
              </w:rPr>
              <w:t>f</w:t>
            </w:r>
          </w:p>
        </w:tc>
        <w:tc>
          <w:tcPr>
            <w:tcW w:w="301" w:type="pct"/>
          </w:tcPr>
          <w:p w14:paraId="46E15C84" w14:textId="60054D5C" w:rsidR="0091643F" w:rsidRPr="00FA3C8C" w:rsidRDefault="00C42ED5" w:rsidP="0091643F">
            <w:pPr>
              <w:shd w:val="clear" w:color="auto" w:fill="FFFFFF" w:themeFill="background1"/>
              <w:spacing w:before="50" w:after="6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per cent</w:t>
            </w:r>
          </w:p>
        </w:tc>
      </w:tr>
      <w:tr w:rsidR="00034D5E" w:rsidRPr="00FA3C8C" w14:paraId="5D0CCAB3" w14:textId="4EA7198E" w:rsidTr="00034D5E">
        <w:trPr>
          <w:cantSplit/>
          <w:trHeight w:val="20"/>
          <w:jc w:val="center"/>
        </w:trPr>
        <w:tc>
          <w:tcPr>
            <w:tcW w:w="204" w:type="pct"/>
            <w:vMerge w:val="restart"/>
            <w:vAlign w:val="center"/>
          </w:tcPr>
          <w:p w14:paraId="77E1AB8A" w14:textId="252AFDB6"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1" w:type="pct"/>
            <w:vMerge w:val="restart"/>
            <w:vAlign w:val="center"/>
          </w:tcPr>
          <w:p w14:paraId="277EB702" w14:textId="735DEC2A"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p w14:paraId="433F9487" w14:textId="2C86F0E5"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7.80</w:t>
            </w:r>
          </w:p>
          <w:p w14:paraId="7931DFD9" w14:textId="12C45A2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S.D. = </w:t>
            </w:r>
            <w:r>
              <w:rPr>
                <w:rFonts w:ascii="Times New Roman" w:eastAsia="Times New Roman" w:hAnsi="Times New Roman" w:cs="Times New Roman"/>
                <w:kern w:val="0"/>
                <w:sz w:val="24"/>
                <w:szCs w:val="24"/>
                <w14:ligatures w14:val="none"/>
              </w:rPr>
              <w:t>4.63</w:t>
            </w:r>
          </w:p>
        </w:tc>
        <w:tc>
          <w:tcPr>
            <w:tcW w:w="903" w:type="pct"/>
            <w:vAlign w:val="center"/>
          </w:tcPr>
          <w:p w14:paraId="09657BC0" w14:textId="38A2442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&lt;5.49</w:t>
            </w:r>
            <w:r w:rsidRPr="00F812E0">
              <w:rPr>
                <w:rFonts w:ascii="Times New Roman" w:hAnsi="Times New Roman" w:cs="Times New Roman"/>
                <w:color w:val="000000"/>
                <w:kern w:val="24"/>
                <w:sz w:val="24"/>
                <w:szCs w:val="24"/>
              </w:rPr>
              <w:t xml:space="preserve">) </w:t>
            </w:r>
          </w:p>
        </w:tc>
        <w:tc>
          <w:tcPr>
            <w:tcW w:w="300" w:type="pct"/>
            <w:vAlign w:val="center"/>
          </w:tcPr>
          <w:p w14:paraId="1549283B" w14:textId="0034FE5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4E72006A" w14:textId="0C0E048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2990ABE" w14:textId="0CE41C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12</w:t>
            </w:r>
          </w:p>
        </w:tc>
        <w:tc>
          <w:tcPr>
            <w:tcW w:w="300" w:type="pct"/>
            <w:vAlign w:val="center"/>
          </w:tcPr>
          <w:p w14:paraId="02251B3F" w14:textId="2622062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343DF46A" w14:textId="65202B4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15</w:t>
            </w:r>
          </w:p>
        </w:tc>
        <w:tc>
          <w:tcPr>
            <w:tcW w:w="300" w:type="pct"/>
            <w:vAlign w:val="center"/>
          </w:tcPr>
          <w:p w14:paraId="197A25E0" w14:textId="1E2857D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47D654BC" w14:textId="6DCC1B2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4D37C2C2" w14:textId="4A398D0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047D7C0E" w14:textId="098533C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B8C421C" w14:textId="562045B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1E52E609" w14:textId="4ED13118" w:rsidTr="00034D5E">
        <w:trPr>
          <w:cantSplit/>
          <w:trHeight w:val="20"/>
          <w:jc w:val="center"/>
        </w:trPr>
        <w:tc>
          <w:tcPr>
            <w:tcW w:w="204" w:type="pct"/>
            <w:vMerge/>
            <w:vAlign w:val="center"/>
          </w:tcPr>
          <w:p w14:paraId="4EC915E9"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135A602B"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0D2800E7" w14:textId="206279EC"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5.49 – 10.11</w:t>
            </w:r>
            <w:r w:rsidRPr="00F812E0">
              <w:rPr>
                <w:rFonts w:ascii="Times New Roman" w:hAnsi="Times New Roman" w:cs="Times New Roman"/>
                <w:color w:val="000000"/>
                <w:kern w:val="24"/>
                <w:sz w:val="24"/>
                <w:szCs w:val="24"/>
              </w:rPr>
              <w:t xml:space="preserve">) </w:t>
            </w:r>
          </w:p>
        </w:tc>
        <w:tc>
          <w:tcPr>
            <w:tcW w:w="300" w:type="pct"/>
            <w:vAlign w:val="center"/>
          </w:tcPr>
          <w:p w14:paraId="52B768FF" w14:textId="10CFABD9"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10</w:t>
            </w:r>
          </w:p>
        </w:tc>
        <w:tc>
          <w:tcPr>
            <w:tcW w:w="300" w:type="pct"/>
            <w:vAlign w:val="center"/>
          </w:tcPr>
          <w:p w14:paraId="7CDCF281" w14:textId="0A0063A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143D8A0" w14:textId="0252567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722AC401" w14:textId="2BCAEBD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2DA51BD" w14:textId="0CBFD82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8</w:t>
            </w:r>
          </w:p>
        </w:tc>
        <w:tc>
          <w:tcPr>
            <w:tcW w:w="300" w:type="pct"/>
            <w:vAlign w:val="center"/>
          </w:tcPr>
          <w:p w14:paraId="21BC8456" w14:textId="36D36D3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C7E6A73" w14:textId="1CE4A09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C5FB775" w14:textId="09F065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68C66663" w14:textId="2F1F50F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42</w:t>
            </w:r>
          </w:p>
        </w:tc>
        <w:tc>
          <w:tcPr>
            <w:tcW w:w="301" w:type="pct"/>
            <w:vAlign w:val="center"/>
          </w:tcPr>
          <w:p w14:paraId="4A55488D" w14:textId="5F7161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35.00</w:t>
            </w:r>
          </w:p>
        </w:tc>
      </w:tr>
      <w:tr w:rsidR="00034D5E" w:rsidRPr="00FA3C8C" w14:paraId="4E2C6E22" w14:textId="44CD131A" w:rsidTr="00034D5E">
        <w:trPr>
          <w:cantSplit/>
          <w:trHeight w:val="20"/>
          <w:jc w:val="center"/>
        </w:trPr>
        <w:tc>
          <w:tcPr>
            <w:tcW w:w="204" w:type="pct"/>
            <w:vMerge/>
            <w:vAlign w:val="center"/>
          </w:tcPr>
          <w:p w14:paraId="6D4F980C"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kern w:val="0"/>
                <w:sz w:val="24"/>
                <w:szCs w:val="24"/>
                <w14:ligatures w14:val="none"/>
              </w:rPr>
            </w:pPr>
          </w:p>
        </w:tc>
        <w:tc>
          <w:tcPr>
            <w:tcW w:w="891" w:type="pct"/>
            <w:vMerge/>
            <w:vAlign w:val="center"/>
          </w:tcPr>
          <w:p w14:paraId="2188E7B7"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p>
        </w:tc>
        <w:tc>
          <w:tcPr>
            <w:tcW w:w="903" w:type="pct"/>
            <w:vAlign w:val="center"/>
          </w:tcPr>
          <w:p w14:paraId="1C2E2BED" w14:textId="1C104E8D" w:rsidR="00A271E4" w:rsidRPr="00F812E0"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&gt;10.11</w:t>
            </w:r>
            <w:r w:rsidRPr="00F812E0">
              <w:rPr>
                <w:rFonts w:ascii="Times New Roman" w:hAnsi="Times New Roman" w:cs="Times New Roman"/>
                <w:color w:val="000000"/>
                <w:kern w:val="24"/>
                <w:sz w:val="24"/>
                <w:szCs w:val="24"/>
              </w:rPr>
              <w:t xml:space="preserve">) </w:t>
            </w:r>
          </w:p>
        </w:tc>
        <w:tc>
          <w:tcPr>
            <w:tcW w:w="300" w:type="pct"/>
            <w:vAlign w:val="center"/>
          </w:tcPr>
          <w:p w14:paraId="3257F1C6" w14:textId="4BFC320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5</w:t>
            </w:r>
          </w:p>
        </w:tc>
        <w:tc>
          <w:tcPr>
            <w:tcW w:w="300" w:type="pct"/>
            <w:vAlign w:val="center"/>
          </w:tcPr>
          <w:p w14:paraId="798495DA" w14:textId="25193B9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E30820" w14:textId="22C6793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9</w:t>
            </w:r>
          </w:p>
        </w:tc>
        <w:tc>
          <w:tcPr>
            <w:tcW w:w="300" w:type="pct"/>
            <w:vAlign w:val="center"/>
          </w:tcPr>
          <w:p w14:paraId="51C76199" w14:textId="33240E5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0ABBB39B" w14:textId="6810A64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kern w:val="0"/>
                <w:sz w:val="24"/>
                <w:szCs w:val="24"/>
                <w14:ligatures w14:val="none"/>
              </w:rPr>
            </w:pPr>
            <w:r w:rsidRPr="00034D5E">
              <w:rPr>
                <w:rFonts w:ascii="Times New Roman" w:hAnsi="Times New Roman" w:cs="Times New Roman"/>
                <w:color w:val="000000" w:themeColor="text1"/>
                <w:sz w:val="24"/>
                <w:szCs w:val="24"/>
              </w:rPr>
              <w:t>7</w:t>
            </w:r>
          </w:p>
        </w:tc>
        <w:tc>
          <w:tcPr>
            <w:tcW w:w="300" w:type="pct"/>
            <w:vAlign w:val="center"/>
          </w:tcPr>
          <w:p w14:paraId="68406EB8" w14:textId="61C8A5F9"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DE5FE13" w14:textId="666BA65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13C8B56F" w14:textId="4AD886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5B5104A7" w14:textId="1BB47D8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0A62AA09" w14:textId="76415EF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7E1E9275" w14:textId="0621C9BB" w:rsidTr="00034D5E">
        <w:trPr>
          <w:cantSplit/>
          <w:trHeight w:val="20"/>
          <w:jc w:val="center"/>
        </w:trPr>
        <w:tc>
          <w:tcPr>
            <w:tcW w:w="204" w:type="pct"/>
            <w:vMerge w:val="restart"/>
            <w:vAlign w:val="center"/>
          </w:tcPr>
          <w:p w14:paraId="1989E4AC" w14:textId="7D53F3E6" w:rsidR="00A271E4" w:rsidRPr="00F812E0"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91" w:type="pct"/>
            <w:vMerge w:val="restart"/>
            <w:vAlign w:val="center"/>
          </w:tcPr>
          <w:p w14:paraId="16C22280" w14:textId="77777777" w:rsidR="00034D5E"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Pr>
                <w:rFonts w:ascii="Times New Roman" w:hAnsi="Times New Roman"/>
                <w:sz w:val="24"/>
                <w:szCs w:val="24"/>
                <w:lang w:val="en-IN"/>
              </w:rPr>
              <w:t xml:space="preserve">Extension participation </w:t>
            </w:r>
            <w:r w:rsidRPr="00FA3C8C">
              <w:rPr>
                <w:rFonts w:ascii="Times New Roman" w:eastAsia="Times New Roman" w:hAnsi="Times New Roman" w:cs="Times New Roman"/>
                <w:kern w:val="0"/>
                <w:sz w:val="24"/>
                <w:szCs w:val="24"/>
                <w14:ligatures w14:val="none"/>
              </w:rPr>
              <w:t xml:space="preserve"> </w:t>
            </w:r>
          </w:p>
          <w:p w14:paraId="5A16578D" w14:textId="3FEA3363"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5.28</w:t>
            </w:r>
          </w:p>
          <w:p w14:paraId="2629977D" w14:textId="6D9DA74E"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3.14</w:t>
            </w:r>
          </w:p>
        </w:tc>
        <w:tc>
          <w:tcPr>
            <w:tcW w:w="903" w:type="pct"/>
            <w:vAlign w:val="center"/>
          </w:tcPr>
          <w:p w14:paraId="24A55307" w14:textId="389A9808"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&lt;3.70</w:t>
            </w:r>
            <w:r w:rsidRPr="00F812E0">
              <w:rPr>
                <w:rFonts w:ascii="Times New Roman" w:hAnsi="Times New Roman" w:cs="Times New Roman"/>
                <w:color w:val="000000"/>
                <w:kern w:val="24"/>
                <w:sz w:val="24"/>
                <w:szCs w:val="24"/>
              </w:rPr>
              <w:t xml:space="preserve">) </w:t>
            </w:r>
          </w:p>
        </w:tc>
        <w:tc>
          <w:tcPr>
            <w:tcW w:w="300" w:type="pct"/>
            <w:vAlign w:val="center"/>
          </w:tcPr>
          <w:p w14:paraId="756F0B5B" w14:textId="5B7CD6D2"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375D6051" w14:textId="5F4A261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0139DC4" w14:textId="0F2791F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100D5B0B" w14:textId="7C172CE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4B983DD9" w14:textId="3B22073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77F25680" w14:textId="237AFD3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2A8978E9" w14:textId="6886D2B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12</w:t>
            </w:r>
          </w:p>
        </w:tc>
        <w:tc>
          <w:tcPr>
            <w:tcW w:w="300" w:type="pct"/>
            <w:vAlign w:val="center"/>
          </w:tcPr>
          <w:p w14:paraId="12CAAF93" w14:textId="174F49EB"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40.00</w:t>
            </w:r>
          </w:p>
        </w:tc>
        <w:tc>
          <w:tcPr>
            <w:tcW w:w="300" w:type="pct"/>
            <w:vAlign w:val="center"/>
          </w:tcPr>
          <w:p w14:paraId="76F05CA1" w14:textId="5A01B8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w:t>
            </w:r>
          </w:p>
        </w:tc>
        <w:tc>
          <w:tcPr>
            <w:tcW w:w="301" w:type="pct"/>
            <w:vAlign w:val="center"/>
          </w:tcPr>
          <w:p w14:paraId="5944AFB9" w14:textId="0F1633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32.50</w:t>
            </w:r>
          </w:p>
        </w:tc>
      </w:tr>
      <w:tr w:rsidR="00034D5E" w:rsidRPr="00FA3C8C" w14:paraId="62105324" w14:textId="3B162D2A" w:rsidTr="00034D5E">
        <w:trPr>
          <w:cantSplit/>
          <w:trHeight w:val="20"/>
          <w:jc w:val="center"/>
        </w:trPr>
        <w:tc>
          <w:tcPr>
            <w:tcW w:w="204" w:type="pct"/>
            <w:vMerge/>
            <w:vAlign w:val="center"/>
          </w:tcPr>
          <w:p w14:paraId="75E58A03"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1EC8A8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6A8A429D" w14:textId="1C9F025C"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3.70 – 6.85</w:t>
            </w:r>
            <w:r w:rsidRPr="00F812E0">
              <w:rPr>
                <w:rFonts w:ascii="Times New Roman" w:hAnsi="Times New Roman" w:cs="Times New Roman"/>
                <w:color w:val="000000"/>
                <w:kern w:val="24"/>
                <w:sz w:val="24"/>
                <w:szCs w:val="24"/>
              </w:rPr>
              <w:t xml:space="preserve">) </w:t>
            </w:r>
          </w:p>
        </w:tc>
        <w:tc>
          <w:tcPr>
            <w:tcW w:w="300" w:type="pct"/>
            <w:vAlign w:val="center"/>
          </w:tcPr>
          <w:p w14:paraId="552A7361" w14:textId="3AA3CD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19</w:t>
            </w:r>
          </w:p>
        </w:tc>
        <w:tc>
          <w:tcPr>
            <w:tcW w:w="300" w:type="pct"/>
            <w:vAlign w:val="center"/>
          </w:tcPr>
          <w:p w14:paraId="3208BE72" w14:textId="3919C5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63.33</w:t>
            </w:r>
          </w:p>
        </w:tc>
        <w:tc>
          <w:tcPr>
            <w:tcW w:w="300" w:type="pct"/>
            <w:vAlign w:val="center"/>
          </w:tcPr>
          <w:p w14:paraId="589921C2" w14:textId="2022B65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6F1C5A43" w14:textId="6EBB182D"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05B1014C" w14:textId="405181C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7BF49834" w14:textId="11EC4B6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728B70B6" w14:textId="57D38B1F"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17115C22" w14:textId="698CFA6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A6FE77B" w14:textId="61BE50C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45</w:t>
            </w:r>
          </w:p>
        </w:tc>
        <w:tc>
          <w:tcPr>
            <w:tcW w:w="301" w:type="pct"/>
            <w:vAlign w:val="center"/>
          </w:tcPr>
          <w:p w14:paraId="5CCF7FBE" w14:textId="5D2EC1A1"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37.50</w:t>
            </w:r>
          </w:p>
        </w:tc>
      </w:tr>
      <w:tr w:rsidR="00034D5E" w:rsidRPr="00FA3C8C" w14:paraId="6A7A879E" w14:textId="1F6493E9" w:rsidTr="00034D5E">
        <w:trPr>
          <w:cantSplit/>
          <w:trHeight w:val="20"/>
          <w:jc w:val="center"/>
        </w:trPr>
        <w:tc>
          <w:tcPr>
            <w:tcW w:w="204" w:type="pct"/>
            <w:vMerge/>
            <w:vAlign w:val="center"/>
          </w:tcPr>
          <w:p w14:paraId="275276C7"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1A37CF2"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7FD22CA" w14:textId="749AEF8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&gt;6.85</w:t>
            </w:r>
            <w:r w:rsidRPr="00F812E0">
              <w:rPr>
                <w:rFonts w:ascii="Times New Roman" w:hAnsi="Times New Roman" w:cs="Times New Roman"/>
                <w:color w:val="000000"/>
                <w:kern w:val="24"/>
                <w:sz w:val="24"/>
                <w:szCs w:val="24"/>
              </w:rPr>
              <w:t xml:space="preserve">) </w:t>
            </w:r>
          </w:p>
        </w:tc>
        <w:tc>
          <w:tcPr>
            <w:tcW w:w="300" w:type="pct"/>
            <w:vAlign w:val="center"/>
          </w:tcPr>
          <w:p w14:paraId="652C4ECF" w14:textId="2CC41FA8"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13E0234" w14:textId="7AFF3FC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6FD85A93" w14:textId="1A9B62F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2B83A25B" w14:textId="563192CC"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5A17B183" w14:textId="3115199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9060A64" w14:textId="11837CAA"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5A01CF05" w14:textId="6070237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11</w:t>
            </w:r>
          </w:p>
        </w:tc>
        <w:tc>
          <w:tcPr>
            <w:tcW w:w="300" w:type="pct"/>
            <w:vAlign w:val="center"/>
          </w:tcPr>
          <w:p w14:paraId="276C4504" w14:textId="490CFCA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36.67</w:t>
            </w:r>
          </w:p>
        </w:tc>
        <w:tc>
          <w:tcPr>
            <w:tcW w:w="300" w:type="pct"/>
            <w:vAlign w:val="center"/>
          </w:tcPr>
          <w:p w14:paraId="126FEA41" w14:textId="65C732A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36</w:t>
            </w:r>
          </w:p>
        </w:tc>
        <w:tc>
          <w:tcPr>
            <w:tcW w:w="301" w:type="pct"/>
            <w:vAlign w:val="center"/>
          </w:tcPr>
          <w:p w14:paraId="708B1D18" w14:textId="25EFF3FC"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r>
      <w:tr w:rsidR="00034D5E" w:rsidRPr="00FA3C8C" w14:paraId="54912D88" w14:textId="23E81E8D" w:rsidTr="00034D5E">
        <w:trPr>
          <w:cantSplit/>
          <w:trHeight w:val="20"/>
          <w:jc w:val="center"/>
        </w:trPr>
        <w:tc>
          <w:tcPr>
            <w:tcW w:w="204" w:type="pct"/>
            <w:vMerge w:val="restart"/>
            <w:vAlign w:val="center"/>
          </w:tcPr>
          <w:p w14:paraId="55C41BE0" w14:textId="18C0B505" w:rsidR="00A271E4" w:rsidRPr="00F55236"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91" w:type="pct"/>
            <w:vMerge w:val="restart"/>
            <w:vAlign w:val="center"/>
          </w:tcPr>
          <w:p w14:paraId="3F99553F" w14:textId="77777777" w:rsidR="00A271E4"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Mass media exposure </w:t>
            </w:r>
          </w:p>
          <w:p w14:paraId="720C6BAA" w14:textId="66BEB17F"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6.13</w:t>
            </w:r>
          </w:p>
          <w:p w14:paraId="5F6E36B1" w14:textId="2B1C537D"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2.43</w:t>
            </w:r>
          </w:p>
        </w:tc>
        <w:tc>
          <w:tcPr>
            <w:tcW w:w="903" w:type="pct"/>
            <w:vAlign w:val="center"/>
          </w:tcPr>
          <w:p w14:paraId="223507BC" w14:textId="0D4F3354"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&lt;4.91</w:t>
            </w:r>
            <w:r w:rsidRPr="00F812E0">
              <w:rPr>
                <w:rFonts w:ascii="Times New Roman" w:hAnsi="Times New Roman" w:cs="Times New Roman"/>
                <w:color w:val="000000"/>
                <w:kern w:val="24"/>
                <w:sz w:val="24"/>
                <w:szCs w:val="24"/>
              </w:rPr>
              <w:t xml:space="preserve">) </w:t>
            </w:r>
          </w:p>
        </w:tc>
        <w:tc>
          <w:tcPr>
            <w:tcW w:w="300" w:type="pct"/>
            <w:vAlign w:val="center"/>
          </w:tcPr>
          <w:p w14:paraId="67766C32" w14:textId="0A815FA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23C4DF9B" w14:textId="203E594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45219D25" w14:textId="3A57326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42B60C8" w14:textId="3E355CC7"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35966C42" w14:textId="158A5BB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7CBD304" w14:textId="77EDCB6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66C3F551" w14:textId="0916AC1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6A69D" w14:textId="45D3D1E8"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6A7205C" w14:textId="35DC4FC4"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31</w:t>
            </w:r>
          </w:p>
        </w:tc>
        <w:tc>
          <w:tcPr>
            <w:tcW w:w="301" w:type="pct"/>
            <w:vAlign w:val="center"/>
          </w:tcPr>
          <w:p w14:paraId="1AE8D261" w14:textId="5FECEE2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25.83</w:t>
            </w:r>
          </w:p>
        </w:tc>
      </w:tr>
      <w:tr w:rsidR="00034D5E" w:rsidRPr="00FA3C8C" w14:paraId="0B30B285" w14:textId="70DB8DD4" w:rsidTr="00034D5E">
        <w:trPr>
          <w:cantSplit/>
          <w:trHeight w:val="20"/>
          <w:jc w:val="center"/>
        </w:trPr>
        <w:tc>
          <w:tcPr>
            <w:tcW w:w="204" w:type="pct"/>
            <w:vMerge/>
            <w:vAlign w:val="center"/>
          </w:tcPr>
          <w:p w14:paraId="5D16D21D"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4F878AC3"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1DE327B8" w14:textId="66695710"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4.91 – 7.34</w:t>
            </w:r>
            <w:r w:rsidRPr="00F812E0">
              <w:rPr>
                <w:rFonts w:ascii="Times New Roman" w:hAnsi="Times New Roman" w:cs="Times New Roman"/>
                <w:color w:val="000000"/>
                <w:kern w:val="24"/>
                <w:sz w:val="24"/>
                <w:szCs w:val="24"/>
              </w:rPr>
              <w:t xml:space="preserve">) </w:t>
            </w:r>
          </w:p>
        </w:tc>
        <w:tc>
          <w:tcPr>
            <w:tcW w:w="300" w:type="pct"/>
            <w:vAlign w:val="center"/>
          </w:tcPr>
          <w:p w14:paraId="2E777F42" w14:textId="12F42F6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w:t>
            </w:r>
          </w:p>
        </w:tc>
        <w:tc>
          <w:tcPr>
            <w:tcW w:w="300" w:type="pct"/>
            <w:vAlign w:val="center"/>
          </w:tcPr>
          <w:p w14:paraId="1BFDDC4C" w14:textId="3CCB026B"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53.33</w:t>
            </w:r>
          </w:p>
        </w:tc>
        <w:tc>
          <w:tcPr>
            <w:tcW w:w="300" w:type="pct"/>
            <w:vAlign w:val="center"/>
          </w:tcPr>
          <w:p w14:paraId="3959D068" w14:textId="20352373"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49D813BB" w14:textId="319DAE7F"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459CFFEC" w14:textId="78A130A4"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5583396B" w14:textId="5AD3F817"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3312C7EB" w14:textId="6A2880E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13</w:t>
            </w:r>
          </w:p>
        </w:tc>
        <w:tc>
          <w:tcPr>
            <w:tcW w:w="300" w:type="pct"/>
            <w:vAlign w:val="center"/>
          </w:tcPr>
          <w:p w14:paraId="3B3AB0D8" w14:textId="2EE70786"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43.33</w:t>
            </w:r>
          </w:p>
        </w:tc>
        <w:tc>
          <w:tcPr>
            <w:tcW w:w="300" w:type="pct"/>
            <w:vAlign w:val="center"/>
          </w:tcPr>
          <w:p w14:paraId="728C4B46" w14:textId="1F78B00D"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w:t>
            </w:r>
          </w:p>
        </w:tc>
        <w:tc>
          <w:tcPr>
            <w:tcW w:w="301" w:type="pct"/>
            <w:vAlign w:val="center"/>
          </w:tcPr>
          <w:p w14:paraId="31DCFFDE" w14:textId="74069572"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r>
      <w:tr w:rsidR="00034D5E" w:rsidRPr="00FA3C8C" w14:paraId="790EA13C" w14:textId="0650B940" w:rsidTr="00034D5E">
        <w:trPr>
          <w:cantSplit/>
          <w:trHeight w:val="20"/>
          <w:jc w:val="center"/>
        </w:trPr>
        <w:tc>
          <w:tcPr>
            <w:tcW w:w="204" w:type="pct"/>
            <w:vMerge/>
            <w:vAlign w:val="center"/>
          </w:tcPr>
          <w:p w14:paraId="30EDA275" w14:textId="77777777" w:rsidR="00A271E4" w:rsidRPr="00FA3C8C" w:rsidRDefault="00A271E4" w:rsidP="00A271E4">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277E33F4" w14:textId="77777777" w:rsidR="00A271E4" w:rsidRPr="00FA3C8C" w:rsidRDefault="00A271E4" w:rsidP="00A271E4">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2F9BDC20" w14:textId="41764879" w:rsidR="00A271E4" w:rsidRPr="00F812E0" w:rsidRDefault="00A271E4" w:rsidP="00A271E4">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&gt;7.34</w:t>
            </w:r>
            <w:r w:rsidRPr="00F812E0">
              <w:rPr>
                <w:rFonts w:ascii="Times New Roman" w:hAnsi="Times New Roman" w:cs="Times New Roman"/>
                <w:color w:val="000000"/>
                <w:kern w:val="24"/>
                <w:sz w:val="24"/>
                <w:szCs w:val="24"/>
              </w:rPr>
              <w:t xml:space="preserve">) </w:t>
            </w:r>
          </w:p>
        </w:tc>
        <w:tc>
          <w:tcPr>
            <w:tcW w:w="300" w:type="pct"/>
            <w:vAlign w:val="center"/>
          </w:tcPr>
          <w:p w14:paraId="09589238" w14:textId="53289CB6"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w:t>
            </w:r>
          </w:p>
        </w:tc>
        <w:tc>
          <w:tcPr>
            <w:tcW w:w="300" w:type="pct"/>
            <w:vAlign w:val="center"/>
          </w:tcPr>
          <w:p w14:paraId="11E69E6C" w14:textId="5810C3CA"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w:t>
            </w:r>
          </w:p>
        </w:tc>
        <w:tc>
          <w:tcPr>
            <w:tcW w:w="300" w:type="pct"/>
            <w:vAlign w:val="center"/>
          </w:tcPr>
          <w:p w14:paraId="25EE129C" w14:textId="093C0F10"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15</w:t>
            </w:r>
          </w:p>
        </w:tc>
        <w:tc>
          <w:tcPr>
            <w:tcW w:w="300" w:type="pct"/>
            <w:vAlign w:val="center"/>
          </w:tcPr>
          <w:p w14:paraId="39F352C6" w14:textId="601A92E1"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50.00</w:t>
            </w:r>
          </w:p>
        </w:tc>
        <w:tc>
          <w:tcPr>
            <w:tcW w:w="300" w:type="pct"/>
            <w:vAlign w:val="center"/>
          </w:tcPr>
          <w:p w14:paraId="394CC137" w14:textId="10E17595" w:rsidR="00A271E4" w:rsidRPr="00034D5E" w:rsidRDefault="00A271E4"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48EA82D3" w14:textId="346885D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509D2CF4" w14:textId="70186A15"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547000AA" w14:textId="73AA8FA0"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38D25B8A" w14:textId="3BA0357E"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w:t>
            </w:r>
          </w:p>
        </w:tc>
        <w:tc>
          <w:tcPr>
            <w:tcW w:w="301" w:type="pct"/>
            <w:vAlign w:val="center"/>
          </w:tcPr>
          <w:p w14:paraId="61DF784E" w14:textId="0C30FF03" w:rsidR="00A271E4" w:rsidRPr="00034D5E" w:rsidRDefault="00A271E4"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27.50</w:t>
            </w:r>
          </w:p>
        </w:tc>
      </w:tr>
      <w:tr w:rsidR="00034D5E" w:rsidRPr="00FA3C8C" w14:paraId="27364902" w14:textId="5517410B" w:rsidTr="00034D5E">
        <w:trPr>
          <w:cantSplit/>
          <w:trHeight w:val="20"/>
          <w:jc w:val="center"/>
        </w:trPr>
        <w:tc>
          <w:tcPr>
            <w:tcW w:w="204" w:type="pct"/>
            <w:vMerge w:val="restart"/>
            <w:vAlign w:val="center"/>
          </w:tcPr>
          <w:p w14:paraId="2EC4B528" w14:textId="33ED3B09" w:rsidR="00034D5E" w:rsidRPr="00F55236"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91" w:type="pct"/>
            <w:vMerge w:val="restart"/>
            <w:vAlign w:val="center"/>
          </w:tcPr>
          <w:p w14:paraId="4C433432" w14:textId="77777777" w:rsidR="00034D5E"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participation </w:t>
            </w:r>
          </w:p>
          <w:p w14:paraId="4936364F" w14:textId="0856ACF1"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kern w:val="0"/>
                <w:sz w:val="24"/>
                <w:szCs w:val="24"/>
                <w14:ligatures w14:val="none"/>
              </w:rPr>
            </w:pPr>
            <w:r w:rsidRPr="00FA3C8C">
              <w:rPr>
                <w:rFonts w:ascii="Times New Roman" w:eastAsia="Times New Roman" w:hAnsi="Times New Roman" w:cs="Times New Roman"/>
                <w:kern w:val="0"/>
                <w:sz w:val="24"/>
                <w:szCs w:val="24"/>
                <w14:ligatures w14:val="none"/>
              </w:rPr>
              <w:t xml:space="preserve">Mean = </w:t>
            </w:r>
            <w:r>
              <w:rPr>
                <w:rFonts w:ascii="Times New Roman" w:eastAsia="Times New Roman" w:hAnsi="Times New Roman" w:cs="Times New Roman"/>
                <w:kern w:val="0"/>
                <w:sz w:val="24"/>
                <w:szCs w:val="24"/>
                <w14:ligatures w14:val="none"/>
              </w:rPr>
              <w:t>2.06</w:t>
            </w:r>
          </w:p>
          <w:p w14:paraId="4B66830B" w14:textId="1DBEE86D"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r w:rsidRPr="00FA3C8C">
              <w:rPr>
                <w:rFonts w:ascii="Times New Roman" w:eastAsia="Times New Roman" w:hAnsi="Times New Roman" w:cs="Times New Roman"/>
                <w:kern w:val="0"/>
                <w:sz w:val="24"/>
                <w:szCs w:val="24"/>
                <w14:ligatures w14:val="none"/>
              </w:rPr>
              <w:t>S.D. =</w:t>
            </w:r>
            <w:r>
              <w:rPr>
                <w:rFonts w:ascii="Times New Roman" w:eastAsia="Times New Roman" w:hAnsi="Times New Roman" w:cs="Times New Roman"/>
                <w:kern w:val="0"/>
                <w:sz w:val="24"/>
                <w:szCs w:val="24"/>
                <w14:ligatures w14:val="none"/>
              </w:rPr>
              <w:t xml:space="preserve"> 1.95</w:t>
            </w:r>
          </w:p>
        </w:tc>
        <w:tc>
          <w:tcPr>
            <w:tcW w:w="903" w:type="pct"/>
            <w:vAlign w:val="center"/>
          </w:tcPr>
          <w:p w14:paraId="36BE09B9" w14:textId="51D0193A"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Low (</w:t>
            </w:r>
            <w:r>
              <w:rPr>
                <w:rFonts w:ascii="Times New Roman" w:hAnsi="Times New Roman" w:cs="Times New Roman"/>
                <w:color w:val="000000"/>
                <w:kern w:val="24"/>
                <w:sz w:val="24"/>
                <w:szCs w:val="24"/>
              </w:rPr>
              <w:t>&lt;1.08</w:t>
            </w:r>
            <w:r w:rsidRPr="00F812E0">
              <w:rPr>
                <w:rFonts w:ascii="Times New Roman" w:hAnsi="Times New Roman" w:cs="Times New Roman"/>
                <w:color w:val="000000"/>
                <w:kern w:val="24"/>
                <w:sz w:val="24"/>
                <w:szCs w:val="24"/>
              </w:rPr>
              <w:t xml:space="preserve">) </w:t>
            </w:r>
          </w:p>
        </w:tc>
        <w:tc>
          <w:tcPr>
            <w:tcW w:w="300" w:type="pct"/>
            <w:vAlign w:val="center"/>
          </w:tcPr>
          <w:p w14:paraId="3387D80C" w14:textId="3C837A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18</w:t>
            </w:r>
          </w:p>
        </w:tc>
        <w:tc>
          <w:tcPr>
            <w:tcW w:w="300" w:type="pct"/>
            <w:vAlign w:val="center"/>
          </w:tcPr>
          <w:p w14:paraId="73E11DA5" w14:textId="1B0B0DE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60.00</w:t>
            </w:r>
          </w:p>
        </w:tc>
        <w:tc>
          <w:tcPr>
            <w:tcW w:w="300" w:type="pct"/>
            <w:vAlign w:val="center"/>
          </w:tcPr>
          <w:p w14:paraId="7D781607" w14:textId="4443728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8</w:t>
            </w:r>
          </w:p>
        </w:tc>
        <w:tc>
          <w:tcPr>
            <w:tcW w:w="300" w:type="pct"/>
            <w:vAlign w:val="center"/>
          </w:tcPr>
          <w:p w14:paraId="1746FFDE" w14:textId="6A8E3841"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26.67</w:t>
            </w:r>
          </w:p>
        </w:tc>
        <w:tc>
          <w:tcPr>
            <w:tcW w:w="300" w:type="pct"/>
            <w:vAlign w:val="center"/>
          </w:tcPr>
          <w:p w14:paraId="02F20A4D" w14:textId="33E82B5C"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14</w:t>
            </w:r>
          </w:p>
        </w:tc>
        <w:tc>
          <w:tcPr>
            <w:tcW w:w="300" w:type="pct"/>
            <w:vAlign w:val="center"/>
          </w:tcPr>
          <w:p w14:paraId="75F78902" w14:textId="6CD42D3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46.67</w:t>
            </w:r>
          </w:p>
        </w:tc>
        <w:tc>
          <w:tcPr>
            <w:tcW w:w="300" w:type="pct"/>
            <w:vAlign w:val="center"/>
          </w:tcPr>
          <w:p w14:paraId="1A81D3E9" w14:textId="56342F96"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27544399" w14:textId="2B1267B5"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01AB645F" w14:textId="53F8517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47</w:t>
            </w:r>
          </w:p>
        </w:tc>
        <w:tc>
          <w:tcPr>
            <w:tcW w:w="301" w:type="pct"/>
            <w:vAlign w:val="center"/>
          </w:tcPr>
          <w:p w14:paraId="782734BC" w14:textId="78595EF3"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39.17</w:t>
            </w:r>
          </w:p>
        </w:tc>
      </w:tr>
      <w:tr w:rsidR="00034D5E" w:rsidRPr="00FA3C8C" w14:paraId="40B4A59B" w14:textId="131F062A" w:rsidTr="00034D5E">
        <w:trPr>
          <w:cantSplit/>
          <w:trHeight w:val="20"/>
          <w:jc w:val="center"/>
        </w:trPr>
        <w:tc>
          <w:tcPr>
            <w:tcW w:w="204" w:type="pct"/>
            <w:vMerge/>
            <w:vAlign w:val="center"/>
          </w:tcPr>
          <w:p w14:paraId="6C2C8A07"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03B825C2"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4A8D36A7" w14:textId="4BE46FC5"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Medium (</w:t>
            </w:r>
            <w:r>
              <w:rPr>
                <w:rFonts w:ascii="Times New Roman" w:hAnsi="Times New Roman" w:cs="Times New Roman"/>
                <w:color w:val="000000"/>
                <w:kern w:val="24"/>
                <w:sz w:val="24"/>
                <w:szCs w:val="24"/>
              </w:rPr>
              <w:t>1.08 – 3.04</w:t>
            </w:r>
            <w:r w:rsidRPr="00F812E0">
              <w:rPr>
                <w:rFonts w:ascii="Times New Roman" w:hAnsi="Times New Roman" w:cs="Times New Roman"/>
                <w:color w:val="000000"/>
                <w:kern w:val="24"/>
                <w:sz w:val="24"/>
                <w:szCs w:val="24"/>
              </w:rPr>
              <w:t xml:space="preserve">) </w:t>
            </w:r>
          </w:p>
        </w:tc>
        <w:tc>
          <w:tcPr>
            <w:tcW w:w="300" w:type="pct"/>
            <w:vAlign w:val="center"/>
          </w:tcPr>
          <w:p w14:paraId="267680D5" w14:textId="1220FAF6"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10</w:t>
            </w:r>
          </w:p>
        </w:tc>
        <w:tc>
          <w:tcPr>
            <w:tcW w:w="300" w:type="pct"/>
            <w:vAlign w:val="center"/>
          </w:tcPr>
          <w:p w14:paraId="60698CC2" w14:textId="1648710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33.33</w:t>
            </w:r>
          </w:p>
        </w:tc>
        <w:tc>
          <w:tcPr>
            <w:tcW w:w="300" w:type="pct"/>
            <w:vAlign w:val="center"/>
          </w:tcPr>
          <w:p w14:paraId="2B392EE4" w14:textId="6D10F5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3E6DD99E" w14:textId="3EB35BD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BC8AD8E" w14:textId="22D71A5B"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9</w:t>
            </w:r>
          </w:p>
        </w:tc>
        <w:tc>
          <w:tcPr>
            <w:tcW w:w="300" w:type="pct"/>
            <w:vAlign w:val="center"/>
          </w:tcPr>
          <w:p w14:paraId="7EE3A82B" w14:textId="311ACF4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30.00</w:t>
            </w:r>
          </w:p>
        </w:tc>
        <w:tc>
          <w:tcPr>
            <w:tcW w:w="300" w:type="pct"/>
            <w:vAlign w:val="center"/>
          </w:tcPr>
          <w:p w14:paraId="6CB6FA6C" w14:textId="7C2158E7"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17</w:t>
            </w:r>
          </w:p>
        </w:tc>
        <w:tc>
          <w:tcPr>
            <w:tcW w:w="300" w:type="pct"/>
            <w:vAlign w:val="center"/>
          </w:tcPr>
          <w:p w14:paraId="55AB5BEE" w14:textId="265C8111"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56.67</w:t>
            </w:r>
          </w:p>
        </w:tc>
        <w:tc>
          <w:tcPr>
            <w:tcW w:w="300" w:type="pct"/>
            <w:vAlign w:val="center"/>
          </w:tcPr>
          <w:p w14:paraId="42B1F945" w14:textId="179C76A2"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53</w:t>
            </w:r>
          </w:p>
        </w:tc>
        <w:tc>
          <w:tcPr>
            <w:tcW w:w="301" w:type="pct"/>
            <w:vAlign w:val="center"/>
          </w:tcPr>
          <w:p w14:paraId="283C2218" w14:textId="687FDD1F"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44.17</w:t>
            </w:r>
          </w:p>
        </w:tc>
      </w:tr>
      <w:tr w:rsidR="00034D5E" w:rsidRPr="00FA3C8C" w14:paraId="5B415056" w14:textId="25F4CC56" w:rsidTr="00034D5E">
        <w:trPr>
          <w:cantSplit/>
          <w:trHeight w:val="20"/>
          <w:jc w:val="center"/>
        </w:trPr>
        <w:tc>
          <w:tcPr>
            <w:tcW w:w="204" w:type="pct"/>
            <w:vMerge/>
            <w:vAlign w:val="center"/>
          </w:tcPr>
          <w:p w14:paraId="04728A98" w14:textId="77777777" w:rsidR="00034D5E" w:rsidRPr="00FA3C8C" w:rsidRDefault="00034D5E" w:rsidP="00034D5E">
            <w:pPr>
              <w:shd w:val="clear" w:color="auto" w:fill="FFFFFF" w:themeFill="background1"/>
              <w:spacing w:before="50" w:after="60" w:line="276" w:lineRule="auto"/>
              <w:jc w:val="center"/>
              <w:rPr>
                <w:rFonts w:ascii="Times New Roman" w:eastAsia="Times New Roman" w:hAnsi="Times New Roman" w:cs="Times New Roman"/>
                <w:sz w:val="24"/>
                <w:szCs w:val="24"/>
              </w:rPr>
            </w:pPr>
          </w:p>
        </w:tc>
        <w:tc>
          <w:tcPr>
            <w:tcW w:w="891" w:type="pct"/>
            <w:vMerge/>
            <w:vAlign w:val="center"/>
          </w:tcPr>
          <w:p w14:paraId="393B956D" w14:textId="77777777" w:rsidR="00034D5E" w:rsidRPr="00FA3C8C" w:rsidRDefault="00034D5E" w:rsidP="00034D5E">
            <w:pPr>
              <w:shd w:val="clear" w:color="auto" w:fill="FFFFFF" w:themeFill="background1"/>
              <w:spacing w:before="50" w:after="60" w:line="276" w:lineRule="auto"/>
              <w:rPr>
                <w:rFonts w:ascii="Times New Roman" w:eastAsia="Times New Roman" w:hAnsi="Times New Roman" w:cs="Times New Roman"/>
                <w:sz w:val="24"/>
                <w:szCs w:val="24"/>
              </w:rPr>
            </w:pPr>
          </w:p>
        </w:tc>
        <w:tc>
          <w:tcPr>
            <w:tcW w:w="903" w:type="pct"/>
            <w:vAlign w:val="center"/>
          </w:tcPr>
          <w:p w14:paraId="3DE056E2" w14:textId="744F183C" w:rsidR="00034D5E" w:rsidRPr="00F812E0" w:rsidRDefault="00034D5E" w:rsidP="00034D5E">
            <w:pPr>
              <w:shd w:val="clear" w:color="auto" w:fill="FFFFFF" w:themeFill="background1"/>
              <w:spacing w:before="50" w:after="60" w:line="276" w:lineRule="auto"/>
              <w:rPr>
                <w:rFonts w:ascii="Times New Roman" w:hAnsi="Times New Roman" w:cs="Times New Roman"/>
                <w:color w:val="000000"/>
                <w:kern w:val="24"/>
                <w:sz w:val="24"/>
                <w:szCs w:val="24"/>
              </w:rPr>
            </w:pPr>
            <w:r w:rsidRPr="00F812E0">
              <w:rPr>
                <w:rFonts w:ascii="Times New Roman" w:hAnsi="Times New Roman" w:cs="Times New Roman"/>
                <w:color w:val="000000"/>
                <w:kern w:val="24"/>
                <w:sz w:val="24"/>
                <w:szCs w:val="24"/>
              </w:rPr>
              <w:t>High (</w:t>
            </w:r>
            <w:r>
              <w:rPr>
                <w:rFonts w:ascii="Times New Roman" w:hAnsi="Times New Roman" w:cs="Times New Roman"/>
                <w:color w:val="000000"/>
                <w:kern w:val="24"/>
                <w:sz w:val="24"/>
                <w:szCs w:val="24"/>
              </w:rPr>
              <w:t>&gt;3.04</w:t>
            </w:r>
            <w:r w:rsidRPr="00F812E0">
              <w:rPr>
                <w:rFonts w:ascii="Times New Roman" w:hAnsi="Times New Roman" w:cs="Times New Roman"/>
                <w:color w:val="000000"/>
                <w:kern w:val="24"/>
                <w:sz w:val="24"/>
                <w:szCs w:val="24"/>
              </w:rPr>
              <w:t xml:space="preserve">) </w:t>
            </w:r>
          </w:p>
        </w:tc>
        <w:tc>
          <w:tcPr>
            <w:tcW w:w="300" w:type="pct"/>
            <w:vAlign w:val="center"/>
          </w:tcPr>
          <w:p w14:paraId="6271DF3C" w14:textId="742411B2"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w:t>
            </w:r>
          </w:p>
        </w:tc>
        <w:tc>
          <w:tcPr>
            <w:tcW w:w="300" w:type="pct"/>
            <w:vAlign w:val="center"/>
          </w:tcPr>
          <w:p w14:paraId="48EC56B0" w14:textId="26C7CDCE"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6.67</w:t>
            </w:r>
          </w:p>
        </w:tc>
        <w:tc>
          <w:tcPr>
            <w:tcW w:w="300" w:type="pct"/>
            <w:vAlign w:val="center"/>
          </w:tcPr>
          <w:p w14:paraId="458DF769" w14:textId="01D65BB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5</w:t>
            </w:r>
          </w:p>
        </w:tc>
        <w:tc>
          <w:tcPr>
            <w:tcW w:w="300" w:type="pct"/>
            <w:vAlign w:val="center"/>
          </w:tcPr>
          <w:p w14:paraId="6826FE57" w14:textId="178A09F9"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c>
          <w:tcPr>
            <w:tcW w:w="300" w:type="pct"/>
            <w:vAlign w:val="center"/>
          </w:tcPr>
          <w:p w14:paraId="72593F39" w14:textId="6C8EB5CD" w:rsidR="00034D5E" w:rsidRPr="00034D5E" w:rsidRDefault="00034D5E" w:rsidP="00034D5E">
            <w:pPr>
              <w:shd w:val="clear" w:color="auto" w:fill="FFFFFF" w:themeFill="background1"/>
              <w:spacing w:before="50" w:after="60" w:line="276" w:lineRule="auto"/>
              <w:jc w:val="center"/>
              <w:rPr>
                <w:rFonts w:ascii="Times New Roman" w:eastAsia="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7</w:t>
            </w:r>
          </w:p>
        </w:tc>
        <w:tc>
          <w:tcPr>
            <w:tcW w:w="300" w:type="pct"/>
            <w:vAlign w:val="center"/>
          </w:tcPr>
          <w:p w14:paraId="619270E9" w14:textId="39E15F9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23.33</w:t>
            </w:r>
          </w:p>
        </w:tc>
        <w:tc>
          <w:tcPr>
            <w:tcW w:w="300" w:type="pct"/>
            <w:vAlign w:val="center"/>
          </w:tcPr>
          <w:p w14:paraId="64DB63DE" w14:textId="45D0396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6</w:t>
            </w:r>
          </w:p>
        </w:tc>
        <w:tc>
          <w:tcPr>
            <w:tcW w:w="300" w:type="pct"/>
            <w:vAlign w:val="center"/>
          </w:tcPr>
          <w:p w14:paraId="5A37C093" w14:textId="6037D2AD"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20.00</w:t>
            </w:r>
          </w:p>
        </w:tc>
        <w:tc>
          <w:tcPr>
            <w:tcW w:w="300" w:type="pct"/>
            <w:vAlign w:val="center"/>
          </w:tcPr>
          <w:p w14:paraId="4F9326B8" w14:textId="0C52D7EA"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20</w:t>
            </w:r>
          </w:p>
        </w:tc>
        <w:tc>
          <w:tcPr>
            <w:tcW w:w="301" w:type="pct"/>
            <w:vAlign w:val="center"/>
          </w:tcPr>
          <w:p w14:paraId="3B4FBC02" w14:textId="6131E3D4" w:rsidR="00034D5E" w:rsidRPr="00034D5E" w:rsidRDefault="00034D5E" w:rsidP="00034D5E">
            <w:pPr>
              <w:shd w:val="clear" w:color="auto" w:fill="FFFFFF" w:themeFill="background1"/>
              <w:spacing w:before="50" w:after="60" w:line="276" w:lineRule="auto"/>
              <w:jc w:val="center"/>
              <w:rPr>
                <w:rFonts w:ascii="Times New Roman" w:hAnsi="Times New Roman" w:cs="Times New Roman"/>
                <w:color w:val="000000" w:themeColor="text1"/>
                <w:sz w:val="24"/>
                <w:szCs w:val="24"/>
              </w:rPr>
            </w:pPr>
            <w:r w:rsidRPr="00034D5E">
              <w:rPr>
                <w:rFonts w:ascii="Times New Roman" w:hAnsi="Times New Roman" w:cs="Times New Roman"/>
                <w:color w:val="000000" w:themeColor="text1"/>
                <w:sz w:val="24"/>
                <w:szCs w:val="24"/>
              </w:rPr>
              <w:t>16.67</w:t>
            </w:r>
          </w:p>
        </w:tc>
      </w:tr>
    </w:tbl>
    <w:p w14:paraId="590AFFC0" w14:textId="77777777" w:rsidR="00F55236" w:rsidRDefault="00F55236" w:rsidP="00F55236">
      <w:pPr>
        <w:rPr>
          <w:rFonts w:ascii="Times New Roman" w:eastAsia="Times New Roman" w:hAnsi="Times New Roman" w:cs="Times New Roman"/>
          <w:b/>
          <w:bCs/>
          <w:sz w:val="24"/>
          <w:szCs w:val="24"/>
          <w:lang w:eastAsia="en-IN"/>
        </w:rPr>
      </w:pPr>
    </w:p>
    <w:p w14:paraId="66B808ED" w14:textId="0BA3B867" w:rsidR="00384D66" w:rsidRPr="00240F96" w:rsidRDefault="00384D66" w:rsidP="00240F96">
      <w:pPr>
        <w:spacing w:before="120" w:after="120" w:line="440" w:lineRule="atLeast"/>
        <w:ind w:firstLine="598"/>
        <w:jc w:val="both"/>
        <w:rPr>
          <w:rFonts w:ascii="Times New Roman" w:hAnsi="Times New Roman"/>
          <w:sz w:val="24"/>
          <w:szCs w:val="24"/>
        </w:rPr>
      </w:pPr>
      <w:r w:rsidRPr="00384D66">
        <w:rPr>
          <w:rFonts w:ascii="Times New Roman" w:eastAsia="Times New Roman" w:hAnsi="Times New Roman" w:cs="Times New Roman"/>
          <w:sz w:val="24"/>
          <w:szCs w:val="24"/>
          <w:lang w:eastAsia="en-IN"/>
        </w:rPr>
        <w:lastRenderedPageBreak/>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revealed </w:t>
      </w:r>
      <w:r>
        <w:rPr>
          <w:rFonts w:ascii="Times New Roman" w:eastAsia="Times New Roman" w:hAnsi="Times New Roman" w:cs="Times New Roman"/>
          <w:sz w:val="24"/>
          <w:szCs w:val="24"/>
          <w:lang w:eastAsia="en-IN"/>
        </w:rPr>
        <w:t xml:space="preserve">that, </w:t>
      </w:r>
      <w:r w:rsidRPr="00384D66">
        <w:rPr>
          <w:rFonts w:ascii="Times New Roman" w:eastAsia="Times New Roman" w:hAnsi="Times New Roman" w:cs="Times New Roman"/>
          <w:sz w:val="24"/>
          <w:szCs w:val="24"/>
          <w:lang w:eastAsia="en-IN"/>
        </w:rPr>
        <w:t xml:space="preserve">the distribution of respondents according to </w:t>
      </w:r>
      <w:r>
        <w:rPr>
          <w:rFonts w:ascii="Times New Roman" w:eastAsia="Times New Roman" w:hAnsi="Times New Roman" w:cs="Times New Roman"/>
          <w:sz w:val="24"/>
          <w:szCs w:val="24"/>
          <w:lang w:eastAsia="en-IN"/>
        </w:rPr>
        <w:t>communication characteristics</w:t>
      </w:r>
      <w:r w:rsidRPr="00384D66">
        <w:rPr>
          <w:rFonts w:ascii="Times New Roman" w:eastAsia="Times New Roman" w:hAnsi="Times New Roman" w:cs="Times New Roman"/>
          <w:sz w:val="24"/>
          <w:szCs w:val="24"/>
          <w:lang w:eastAsia="en-IN"/>
        </w:rPr>
        <w:t xml:space="preserve">. With respect to extension contact, more than one-third (39.17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farmers were placed in the low category, followed by 35.00 per cent in the medium category and 25.83 per cent in the high category (mean = 7.80; SD = 4.63)</w:t>
      </w:r>
      <w:r w:rsidR="00240F96">
        <w:rPr>
          <w:rFonts w:ascii="Times New Roman" w:eastAsia="Times New Roman" w:hAnsi="Times New Roman" w:cs="Times New Roman"/>
          <w:sz w:val="24"/>
          <w:szCs w:val="24"/>
          <w:lang w:eastAsia="en-IN"/>
        </w:rPr>
        <w:t xml:space="preserve"> </w:t>
      </w:r>
      <w:r w:rsidR="00240F96" w:rsidRPr="00E7265C">
        <w:rPr>
          <w:rFonts w:ascii="Times New Roman" w:hAnsi="Times New Roman"/>
          <w:bCs/>
          <w:sz w:val="24"/>
          <w:szCs w:val="24"/>
        </w:rPr>
        <w:t xml:space="preserve">The results were in line with </w:t>
      </w:r>
      <w:r w:rsidR="00240F96" w:rsidRPr="00E7265C">
        <w:rPr>
          <w:rFonts w:ascii="Times New Roman" w:hAnsi="Times New Roman"/>
          <w:sz w:val="24"/>
          <w:szCs w:val="24"/>
        </w:rPr>
        <w:t xml:space="preserve">Mukherjee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(2020),Mahesh </w:t>
      </w:r>
      <w:proofErr w:type="spellStart"/>
      <w:r w:rsidR="00240F96" w:rsidRPr="00E7265C">
        <w:rPr>
          <w:rFonts w:ascii="Times New Roman" w:hAnsi="Times New Roman"/>
          <w:sz w:val="24"/>
          <w:szCs w:val="24"/>
        </w:rPr>
        <w:t>Babu</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et al</w:t>
      </w:r>
      <w:r w:rsidR="00240F96" w:rsidRPr="00E7265C">
        <w:rPr>
          <w:rFonts w:ascii="Times New Roman" w:hAnsi="Times New Roman"/>
          <w:sz w:val="24"/>
          <w:szCs w:val="24"/>
        </w:rPr>
        <w:t>. (2021).</w:t>
      </w:r>
      <w:r w:rsidRPr="00384D66">
        <w:rPr>
          <w:rFonts w:ascii="Times New Roman" w:eastAsia="Times New Roman" w:hAnsi="Times New Roman" w:cs="Times New Roman"/>
          <w:sz w:val="24"/>
          <w:szCs w:val="24"/>
          <w:lang w:eastAsia="en-IN"/>
        </w:rPr>
        <w:t xml:space="preserve">In terms of extension participation, more than one-third (37.50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respondents belonged to the medium category, followed by 32.50 per cent in the low category and 30.00 per cent in the high category (mean = 5.28; SD = 3.14)</w:t>
      </w:r>
      <w:r w:rsidR="00240F96">
        <w:rPr>
          <w:rFonts w:ascii="Times New Roman" w:eastAsia="Times New Roman" w:hAnsi="Times New Roman" w:cs="Times New Roman"/>
          <w:sz w:val="24"/>
          <w:szCs w:val="24"/>
          <w:lang w:eastAsia="en-IN"/>
        </w:rPr>
        <w:t xml:space="preserve"> </w:t>
      </w:r>
      <w:r w:rsidR="00240F96" w:rsidRPr="00E7265C">
        <w:rPr>
          <w:rFonts w:ascii="Times New Roman" w:hAnsi="Times New Roman"/>
          <w:sz w:val="24"/>
          <w:szCs w:val="24"/>
        </w:rPr>
        <w:t xml:space="preserve">The results were in similar to that of </w:t>
      </w:r>
      <w:proofErr w:type="spellStart"/>
      <w:r w:rsidR="00240F96" w:rsidRPr="00E7265C">
        <w:rPr>
          <w:rFonts w:ascii="Times New Roman" w:hAnsi="Times New Roman"/>
          <w:sz w:val="24"/>
          <w:szCs w:val="24"/>
        </w:rPr>
        <w:t>Morwal</w:t>
      </w:r>
      <w:proofErr w:type="spellEnd"/>
      <w:r w:rsidR="00240F96" w:rsidRPr="00E7265C">
        <w:rPr>
          <w:rFonts w:ascii="Times New Roman" w:hAnsi="Times New Roman"/>
          <w:sz w:val="24"/>
          <w:szCs w:val="24"/>
        </w:rPr>
        <w:t xml:space="preserv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(2019).</w:t>
      </w:r>
      <w:r w:rsidRPr="00384D66">
        <w:rPr>
          <w:rFonts w:ascii="Times New Roman" w:eastAsia="Times New Roman" w:hAnsi="Times New Roman" w:cs="Times New Roman"/>
          <w:sz w:val="24"/>
          <w:szCs w:val="24"/>
          <w:lang w:eastAsia="en-IN"/>
        </w:rPr>
        <w:t xml:space="preserve">With respect to mass media exposure, nearly half (46.67 </w:t>
      </w:r>
      <w:r w:rsidR="00C42ED5">
        <w:rPr>
          <w:rFonts w:ascii="Times New Roman" w:eastAsia="Times New Roman" w:hAnsi="Times New Roman" w:cs="Times New Roman"/>
          <w:sz w:val="24"/>
          <w:szCs w:val="24"/>
          <w:lang w:eastAsia="en-IN"/>
        </w:rPr>
        <w:t xml:space="preserve"> per cent</w:t>
      </w:r>
      <w:r w:rsidRPr="00384D66">
        <w:rPr>
          <w:rFonts w:ascii="Times New Roman" w:eastAsia="Times New Roman" w:hAnsi="Times New Roman" w:cs="Times New Roman"/>
          <w:sz w:val="24"/>
          <w:szCs w:val="24"/>
          <w:lang w:eastAsia="en-IN"/>
        </w:rPr>
        <w:t>) of the respondents belonged to the medium category, while 27.50 per cent were placed in the high category and 25.83 per cent in the low category (mean = 6.13; SD = 2.43)</w:t>
      </w:r>
      <w:r w:rsidR="00240F96">
        <w:rPr>
          <w:rFonts w:ascii="Times New Roman" w:eastAsia="Times New Roman" w:hAnsi="Times New Roman" w:cs="Times New Roman"/>
          <w:sz w:val="24"/>
          <w:szCs w:val="24"/>
          <w:lang w:eastAsia="en-IN"/>
        </w:rPr>
        <w:t xml:space="preserve"> </w:t>
      </w:r>
      <w:r w:rsidR="00240F96">
        <w:rPr>
          <w:rFonts w:ascii="Times New Roman" w:hAnsi="Times New Roman"/>
          <w:bCs/>
          <w:sz w:val="24"/>
          <w:szCs w:val="24"/>
        </w:rPr>
        <w:t>t</w:t>
      </w:r>
      <w:r w:rsidR="00240F96" w:rsidRPr="00E7265C">
        <w:rPr>
          <w:rFonts w:ascii="Times New Roman" w:hAnsi="Times New Roman"/>
          <w:bCs/>
          <w:sz w:val="24"/>
          <w:szCs w:val="24"/>
        </w:rPr>
        <w:t xml:space="preserve">he study was in line with </w:t>
      </w:r>
      <w:proofErr w:type="spellStart"/>
      <w:r w:rsidR="00240F96" w:rsidRPr="00E7265C">
        <w:rPr>
          <w:rFonts w:ascii="Times New Roman" w:hAnsi="Times New Roman"/>
          <w:bCs/>
          <w:sz w:val="24"/>
          <w:szCs w:val="24"/>
        </w:rPr>
        <w:t>sreeram</w:t>
      </w:r>
      <w:proofErr w:type="spellEnd"/>
      <w:r w:rsidR="00240F96" w:rsidRPr="00E7265C">
        <w:rPr>
          <w:rFonts w:ascii="Times New Roman" w:hAnsi="Times New Roman"/>
          <w:bCs/>
          <w:sz w:val="24"/>
          <w:szCs w:val="24"/>
        </w:rPr>
        <w:t xml:space="preserve"> (2013)</w:t>
      </w:r>
      <w:r w:rsidRPr="00384D66">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Regarding social participation, more than two-fifths (</w:t>
      </w:r>
      <w:proofErr w:type="gramStart"/>
      <w:r w:rsidRPr="00384D66">
        <w:rPr>
          <w:rFonts w:ascii="Times New Roman" w:eastAsia="Times New Roman" w:hAnsi="Times New Roman" w:cs="Times New Roman"/>
          <w:sz w:val="24"/>
          <w:szCs w:val="24"/>
          <w:lang w:eastAsia="en-IN"/>
        </w:rPr>
        <w:t xml:space="preserve">44.17 </w:t>
      </w:r>
      <w:r w:rsidR="00C42ED5">
        <w:rPr>
          <w:rFonts w:ascii="Times New Roman" w:eastAsia="Times New Roman" w:hAnsi="Times New Roman" w:cs="Times New Roman"/>
          <w:sz w:val="24"/>
          <w:szCs w:val="24"/>
          <w:lang w:eastAsia="en-IN"/>
        </w:rPr>
        <w:t xml:space="preserve"> per</w:t>
      </w:r>
      <w:proofErr w:type="gramEnd"/>
      <w:r w:rsidR="00C42ED5">
        <w:rPr>
          <w:rFonts w:ascii="Times New Roman" w:eastAsia="Times New Roman" w:hAnsi="Times New Roman" w:cs="Times New Roman"/>
          <w:sz w:val="24"/>
          <w:szCs w:val="24"/>
          <w:lang w:eastAsia="en-IN"/>
        </w:rPr>
        <w:t xml:space="preserve"> cent</w:t>
      </w:r>
      <w:r w:rsidRPr="00384D66">
        <w:rPr>
          <w:rFonts w:ascii="Times New Roman" w:eastAsia="Times New Roman" w:hAnsi="Times New Roman" w:cs="Times New Roman"/>
          <w:sz w:val="24"/>
          <w:szCs w:val="24"/>
          <w:lang w:eastAsia="en-IN"/>
        </w:rPr>
        <w:t>) of farmers were in the medium category, followed by 39.17 per cent in the low category and only 16.67 per cent in the high category (mean = 2.06; SD = 1.95)</w:t>
      </w:r>
      <w:r w:rsidR="00240F96">
        <w:rPr>
          <w:rFonts w:ascii="Times New Roman" w:eastAsia="Times New Roman" w:hAnsi="Times New Roman" w:cs="Times New Roman"/>
          <w:sz w:val="24"/>
          <w:szCs w:val="24"/>
          <w:lang w:eastAsia="en-IN"/>
        </w:rPr>
        <w:t xml:space="preserve"> </w:t>
      </w:r>
      <w:r w:rsidR="00240F96">
        <w:rPr>
          <w:rFonts w:ascii="Times New Roman" w:hAnsi="Times New Roman"/>
          <w:bCs/>
          <w:sz w:val="24"/>
          <w:szCs w:val="24"/>
        </w:rPr>
        <w:t>t</w:t>
      </w:r>
      <w:r w:rsidR="00240F96" w:rsidRPr="00E7265C">
        <w:rPr>
          <w:rFonts w:ascii="Times New Roman" w:hAnsi="Times New Roman"/>
          <w:bCs/>
          <w:sz w:val="24"/>
          <w:szCs w:val="24"/>
        </w:rPr>
        <w:t xml:space="preserve">he results were in line with </w:t>
      </w:r>
      <w:r w:rsidR="00240F96" w:rsidRPr="00E7265C">
        <w:rPr>
          <w:rFonts w:ascii="Times New Roman" w:hAnsi="Times New Roman"/>
          <w:sz w:val="24"/>
          <w:szCs w:val="24"/>
        </w:rPr>
        <w:t xml:space="preserve">Mukherjee </w:t>
      </w:r>
      <w:r w:rsidR="00240F96" w:rsidRPr="00E7265C">
        <w:rPr>
          <w:rFonts w:ascii="Times New Roman" w:hAnsi="Times New Roman"/>
          <w:i/>
          <w:sz w:val="24"/>
          <w:szCs w:val="24"/>
        </w:rPr>
        <w:t>et al</w:t>
      </w:r>
      <w:r w:rsidR="00240F96" w:rsidRPr="00E7265C">
        <w:rPr>
          <w:rFonts w:ascii="Times New Roman" w:hAnsi="Times New Roman"/>
          <w:sz w:val="24"/>
          <w:szCs w:val="24"/>
        </w:rPr>
        <w:t xml:space="preserve"> (2020).</w:t>
      </w:r>
    </w:p>
    <w:p w14:paraId="5424D5DD" w14:textId="77777777" w:rsidR="00384D66" w:rsidRDefault="00384D66" w:rsidP="00384D66">
      <w:pPr>
        <w:spacing w:line="360" w:lineRule="auto"/>
        <w:ind w:firstLine="720"/>
        <w:jc w:val="both"/>
        <w:rPr>
          <w:rFonts w:ascii="Times New Roman" w:eastAsia="Times New Roman" w:hAnsi="Times New Roman" w:cs="Times New Roman"/>
          <w:sz w:val="24"/>
          <w:szCs w:val="24"/>
          <w:lang w:eastAsia="en-IN"/>
        </w:rPr>
      </w:pPr>
      <w:r w:rsidRPr="00384D66">
        <w:rPr>
          <w:rFonts w:ascii="Times New Roman" w:eastAsia="Times New Roman" w:hAnsi="Times New Roman" w:cs="Times New Roman"/>
          <w:sz w:val="24"/>
          <w:szCs w:val="24"/>
          <w:lang w:eastAsia="en-IN"/>
        </w:rPr>
        <w:t xml:space="preserve">The results in table </w:t>
      </w:r>
      <w:r>
        <w:rPr>
          <w:rFonts w:ascii="Times New Roman" w:eastAsia="Times New Roman" w:hAnsi="Times New Roman" w:cs="Times New Roman"/>
          <w:sz w:val="24"/>
          <w:szCs w:val="24"/>
          <w:lang w:eastAsia="en-IN"/>
        </w:rPr>
        <w:t>4</w:t>
      </w:r>
      <w:r w:rsidRPr="00384D66">
        <w:rPr>
          <w:rFonts w:ascii="Times New Roman" w:eastAsia="Times New Roman" w:hAnsi="Times New Roman" w:cs="Times New Roman"/>
          <w:sz w:val="24"/>
          <w:szCs w:val="24"/>
          <w:lang w:eastAsia="en-IN"/>
        </w:rPr>
        <w:t xml:space="preserve"> indicate</w:t>
      </w:r>
      <w:r>
        <w:rPr>
          <w:rFonts w:ascii="Times New Roman" w:eastAsia="Times New Roman" w:hAnsi="Times New Roman" w:cs="Times New Roman"/>
          <w:sz w:val="24"/>
          <w:szCs w:val="24"/>
          <w:lang w:eastAsia="en-IN"/>
        </w:rPr>
        <w:t>s</w:t>
      </w:r>
      <w:r w:rsidRPr="00384D66">
        <w:rPr>
          <w:rFonts w:ascii="Times New Roman" w:eastAsia="Times New Roman" w:hAnsi="Times New Roman" w:cs="Times New Roman"/>
          <w:sz w:val="24"/>
          <w:szCs w:val="24"/>
          <w:lang w:eastAsia="en-IN"/>
        </w:rPr>
        <w:t xml:space="preserve"> that</w:t>
      </w:r>
      <w:r>
        <w:rPr>
          <w:rFonts w:ascii="Times New Roman" w:eastAsia="Times New Roman" w:hAnsi="Times New Roman" w:cs="Times New Roman"/>
          <w:sz w:val="24"/>
          <w:szCs w:val="24"/>
          <w:lang w:eastAsia="en-IN"/>
        </w:rPr>
        <w:t>, the</w:t>
      </w:r>
      <w:r w:rsidRPr="00384D66">
        <w:rPr>
          <w:rFonts w:ascii="Times New Roman" w:eastAsia="Times New Roman" w:hAnsi="Times New Roman" w:cs="Times New Roman"/>
          <w:sz w:val="24"/>
          <w:szCs w:val="24"/>
          <w:lang w:eastAsia="en-IN"/>
        </w:rPr>
        <w:t xml:space="preserve"> extension contact among farmers was largely concentrated in the low and medium categories, suggesting restricted interaction with extension agencies. Limited access to extension personnel and inadequate frequency of contact might be reasons behind this trend. Strengthening extension delivery and ensuring timely advisory services could help in moving farmers towards the high-contact category.</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Extension participation showed a balanced spread across low, medium, and high categories, which reflects variability in farmers’ involvement in training, demonstrations and group activities. Enhancing farmer participation through regular training programmes, exposure visits</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and farmer field schools can increase skill acquisition and improve adoption of scientific practices.</w:t>
      </w:r>
    </w:p>
    <w:p w14:paraId="36E579CB" w14:textId="0E3888FE" w:rsidR="00384D66" w:rsidRPr="00384D66" w:rsidRDefault="00384D66" w:rsidP="00384D66">
      <w:pPr>
        <w:spacing w:line="360" w:lineRule="auto"/>
        <w:ind w:firstLine="720"/>
        <w:jc w:val="both"/>
        <w:rPr>
          <w:rFonts w:ascii="Times New Roman" w:eastAsia="Times New Roman" w:hAnsi="Times New Roman" w:cs="Times New Roman"/>
          <w:sz w:val="24"/>
          <w:szCs w:val="24"/>
          <w:lang w:eastAsia="en-IN"/>
        </w:rPr>
        <w:sectPr w:rsidR="00384D66" w:rsidRPr="00384D66" w:rsidSect="00F812E0">
          <w:pgSz w:w="16838" w:h="11906" w:orient="landscape"/>
          <w:pgMar w:top="1440" w:right="1440" w:bottom="1440" w:left="1440" w:header="706" w:footer="706" w:gutter="0"/>
          <w:cols w:space="708"/>
          <w:docGrid w:linePitch="360"/>
        </w:sectPr>
      </w:pPr>
      <w:r w:rsidRPr="00384D66">
        <w:rPr>
          <w:rFonts w:ascii="Times New Roman" w:eastAsia="Times New Roman" w:hAnsi="Times New Roman" w:cs="Times New Roman"/>
          <w:sz w:val="24"/>
          <w:szCs w:val="24"/>
          <w:lang w:eastAsia="en-IN"/>
        </w:rPr>
        <w:t>In terms of mass media exposure, the dominance of the medium category highlights that farmers do make use of newspapers, radio and television but may not be fully leveraging them for agricultural information. Encouraging farmers to use modern ICT tools, mobile apps and social media platforms could significantly enhance their access to timely and relevant information.</w:t>
      </w:r>
      <w:r>
        <w:rPr>
          <w:rFonts w:ascii="Times New Roman" w:eastAsia="Times New Roman" w:hAnsi="Times New Roman" w:cs="Times New Roman"/>
          <w:sz w:val="24"/>
          <w:szCs w:val="24"/>
          <w:lang w:eastAsia="en-IN"/>
        </w:rPr>
        <w:t xml:space="preserve"> </w:t>
      </w:r>
      <w:r w:rsidRPr="00384D66">
        <w:rPr>
          <w:rFonts w:ascii="Times New Roman" w:eastAsia="Times New Roman" w:hAnsi="Times New Roman" w:cs="Times New Roman"/>
          <w:sz w:val="24"/>
          <w:szCs w:val="24"/>
          <w:lang w:eastAsia="en-IN"/>
        </w:rPr>
        <w:t xml:space="preserve">Social participation was predominantly in the medium and low categories, indicating that most farmers had limited involvement in cooperatives, SHGs, or farmer associations. Strengthening farmer </w:t>
      </w:r>
      <w:r w:rsidRPr="00384D66">
        <w:rPr>
          <w:rFonts w:ascii="Times New Roman" w:eastAsia="Times New Roman" w:hAnsi="Times New Roman" w:cs="Times New Roman"/>
          <w:sz w:val="24"/>
          <w:szCs w:val="24"/>
          <w:lang w:eastAsia="en-IN"/>
        </w:rPr>
        <w:lastRenderedPageBreak/>
        <w:t xml:space="preserve">groups and promoting collective action could enhance social capital, improve bargaining power, and foster greater entrepreneurial behaviour among </w:t>
      </w:r>
      <w:r w:rsidR="00C0200A">
        <w:rPr>
          <w:rFonts w:ascii="Times New Roman" w:eastAsia="Times New Roman" w:hAnsi="Times New Roman" w:cs="Times New Roman"/>
          <w:sz w:val="24"/>
          <w:szCs w:val="24"/>
          <w:lang w:eastAsia="en-IN"/>
        </w:rPr>
        <w:t>farmer producer organization members</w:t>
      </w:r>
      <w:r w:rsidRPr="00384D66">
        <w:rPr>
          <w:rFonts w:ascii="Times New Roman" w:eastAsia="Times New Roman" w:hAnsi="Times New Roman" w:cs="Times New Roman"/>
          <w:sz w:val="24"/>
          <w:szCs w:val="24"/>
          <w:lang w:eastAsia="en-IN"/>
        </w:rPr>
        <w:t>.</w:t>
      </w:r>
    </w:p>
    <w:p w14:paraId="615BA24D" w14:textId="79B59BFC" w:rsidR="00F55236" w:rsidRDefault="00F55236" w:rsidP="00F55236">
      <w:pPr>
        <w:spacing w:before="240" w:line="360" w:lineRule="auto"/>
        <w:ind w:left="900" w:hanging="900"/>
        <w:rPr>
          <w:rFonts w:ascii="Times New Roman" w:hAnsi="Times New Roman" w:cs="Times New Roman"/>
          <w:b/>
          <w:bCs/>
          <w:sz w:val="24"/>
          <w:szCs w:val="24"/>
        </w:rPr>
      </w:pPr>
      <w:r w:rsidRPr="00F55236">
        <w:rPr>
          <w:rFonts w:ascii="Times New Roman" w:eastAsia="Times New Roman" w:hAnsi="Times New Roman" w:cs="Times New Roman"/>
          <w:b/>
          <w:bCs/>
          <w:sz w:val="24"/>
          <w:szCs w:val="24"/>
          <w:lang w:eastAsia="en-IN"/>
        </w:rPr>
        <w:lastRenderedPageBreak/>
        <w:t>Table 5:</w:t>
      </w:r>
      <w:r>
        <w:rPr>
          <w:rFonts w:ascii="Times New Roman" w:eastAsia="Times New Roman" w:hAnsi="Times New Roman" w:cs="Times New Roman"/>
          <w:sz w:val="24"/>
          <w:szCs w:val="24"/>
          <w:lang w:eastAsia="en-IN"/>
        </w:rPr>
        <w:t xml:space="preserve"> </w:t>
      </w:r>
      <w:r>
        <w:rPr>
          <w:rFonts w:ascii="Times New Roman" w:hAnsi="Times New Roman" w:cs="Times New Roman"/>
          <w:b/>
          <w:bCs/>
          <w:sz w:val="24"/>
          <w:szCs w:val="24"/>
        </w:rPr>
        <w:t xml:space="preserve">Comparative analysis of profile characteristics among members of FPOs in </w:t>
      </w:r>
      <w:proofErr w:type="spellStart"/>
      <w:r>
        <w:rPr>
          <w:rFonts w:ascii="Times New Roman" w:hAnsi="Times New Roman" w:cs="Times New Roman"/>
          <w:b/>
          <w:bCs/>
          <w:sz w:val="24"/>
          <w:szCs w:val="24"/>
        </w:rPr>
        <w:t>Vijayapura</w:t>
      </w:r>
      <w:proofErr w:type="spellEnd"/>
      <w:r>
        <w:rPr>
          <w:rFonts w:ascii="Times New Roman" w:hAnsi="Times New Roman" w:cs="Times New Roman"/>
          <w:b/>
          <w:bCs/>
          <w:sz w:val="24"/>
          <w:szCs w:val="24"/>
        </w:rPr>
        <w:t xml:space="preserve"> and </w:t>
      </w:r>
      <w:proofErr w:type="spellStart"/>
      <w:r>
        <w:rPr>
          <w:rFonts w:ascii="Times New Roman" w:hAnsi="Times New Roman" w:cs="Times New Roman"/>
          <w:b/>
          <w:bCs/>
          <w:sz w:val="24"/>
          <w:szCs w:val="24"/>
        </w:rPr>
        <w:t>Bagalkote</w:t>
      </w:r>
      <w:proofErr w:type="spellEnd"/>
      <w:r>
        <w:rPr>
          <w:rFonts w:ascii="Times New Roman" w:hAnsi="Times New Roman" w:cs="Times New Roman"/>
          <w:b/>
          <w:bCs/>
          <w:sz w:val="24"/>
          <w:szCs w:val="24"/>
        </w:rPr>
        <w:t xml:space="preserve"> districts of Karnataka</w:t>
      </w:r>
    </w:p>
    <w:p w14:paraId="38A63F6D" w14:textId="1568DDFA" w:rsidR="00F55236" w:rsidRDefault="00F55236" w:rsidP="00F55236">
      <w:pPr>
        <w:spacing w:after="0" w:line="360" w:lineRule="auto"/>
        <w:ind w:left="900" w:hanging="900"/>
        <w:jc w:val="right"/>
        <w:rPr>
          <w:rFonts w:ascii="Times New Roman" w:hAnsi="Times New Roman" w:cs="Times New Roman"/>
          <w:b/>
          <w:bCs/>
          <w:sz w:val="24"/>
          <w:szCs w:val="24"/>
        </w:rPr>
      </w:pPr>
      <w:r>
        <w:rPr>
          <w:rFonts w:ascii="Times New Roman" w:eastAsia="Times New Roman" w:hAnsi="Times New Roman" w:cs="Times New Roman"/>
          <w:b/>
          <w:bCs/>
          <w:sz w:val="24"/>
          <w:szCs w:val="24"/>
          <w:lang w:eastAsia="en-IN"/>
        </w:rPr>
        <w:t>(n=120)</w:t>
      </w:r>
    </w:p>
    <w:tbl>
      <w:tblPr>
        <w:tblStyle w:val="TableGrid"/>
        <w:tblW w:w="5000" w:type="pct"/>
        <w:tblLook w:val="04A0" w:firstRow="1" w:lastRow="0" w:firstColumn="1" w:lastColumn="0" w:noHBand="0" w:noVBand="1"/>
      </w:tblPr>
      <w:tblGrid>
        <w:gridCol w:w="570"/>
        <w:gridCol w:w="2105"/>
        <w:gridCol w:w="1356"/>
        <w:gridCol w:w="1236"/>
        <w:gridCol w:w="1356"/>
        <w:gridCol w:w="1356"/>
        <w:gridCol w:w="1037"/>
      </w:tblGrid>
      <w:tr w:rsidR="0091643F" w:rsidRPr="00F55236" w14:paraId="12627CDF" w14:textId="77777777" w:rsidTr="0091643F">
        <w:trPr>
          <w:trHeight w:val="755"/>
        </w:trPr>
        <w:tc>
          <w:tcPr>
            <w:tcW w:w="318" w:type="pct"/>
            <w:vMerge w:val="restart"/>
            <w:vAlign w:val="center"/>
          </w:tcPr>
          <w:p w14:paraId="7EEFF41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Sl. No.</w:t>
            </w:r>
          </w:p>
        </w:tc>
        <w:tc>
          <w:tcPr>
            <w:tcW w:w="1191" w:type="pct"/>
            <w:vMerge w:val="restart"/>
            <w:vAlign w:val="center"/>
          </w:tcPr>
          <w:p w14:paraId="5673DF42"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Characteristics</w:t>
            </w:r>
          </w:p>
        </w:tc>
        <w:tc>
          <w:tcPr>
            <w:tcW w:w="1440" w:type="pct"/>
            <w:gridSpan w:val="2"/>
            <w:vAlign w:val="center"/>
          </w:tcPr>
          <w:p w14:paraId="3648DD24" w14:textId="7F31C1E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Vijayapura</w:t>
            </w:r>
          </w:p>
          <w:p w14:paraId="245872B7" w14:textId="49C17C7F"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5</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1453" w:type="pct"/>
            <w:gridSpan w:val="2"/>
            <w:vAlign w:val="center"/>
          </w:tcPr>
          <w:p w14:paraId="703598A4" w14:textId="48CFB43C"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proofErr w:type="spellStart"/>
            <w:r w:rsidRPr="00F55236">
              <w:rPr>
                <w:rFonts w:ascii="Times New Roman" w:eastAsia="Times New Roman" w:hAnsi="Times New Roman" w:cs="Times New Roman"/>
                <w:b/>
                <w:bCs/>
                <w:kern w:val="0"/>
                <w:sz w:val="24"/>
                <w:szCs w:val="24"/>
                <w14:ligatures w14:val="none"/>
              </w:rPr>
              <w:t>B</w:t>
            </w:r>
            <w:r>
              <w:rPr>
                <w:rFonts w:ascii="Times New Roman" w:eastAsia="Times New Roman" w:hAnsi="Times New Roman" w:cs="Times New Roman"/>
                <w:b/>
                <w:bCs/>
                <w:kern w:val="0"/>
                <w:sz w:val="24"/>
                <w:szCs w:val="24"/>
                <w14:ligatures w14:val="none"/>
              </w:rPr>
              <w:t>agalkote</w:t>
            </w:r>
            <w:proofErr w:type="spellEnd"/>
            <w:r w:rsidRPr="00F55236">
              <w:rPr>
                <w:rFonts w:ascii="Times New Roman" w:eastAsia="Times New Roman" w:hAnsi="Times New Roman" w:cs="Times New Roman"/>
                <w:b/>
                <w:bCs/>
                <w:kern w:val="0"/>
                <w:sz w:val="24"/>
                <w:szCs w:val="24"/>
                <w14:ligatures w14:val="none"/>
              </w:rPr>
              <w:t xml:space="preserve"> </w:t>
            </w:r>
          </w:p>
          <w:p w14:paraId="532DB454" w14:textId="75D46ACD"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(n</w:t>
            </w:r>
            <w:r w:rsidR="00720F50">
              <w:rPr>
                <w:rFonts w:ascii="Times New Roman" w:eastAsia="Times New Roman" w:hAnsi="Times New Roman" w:cs="Times New Roman"/>
                <w:b/>
                <w:bCs/>
                <w:kern w:val="0"/>
                <w:sz w:val="24"/>
                <w:szCs w:val="24"/>
                <w:vertAlign w:val="subscript"/>
                <w14:ligatures w14:val="none"/>
              </w:rPr>
              <w:t>6</w:t>
            </w:r>
            <w:r w:rsidRPr="00F5523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6</w:t>
            </w:r>
            <w:r w:rsidRPr="00F55236">
              <w:rPr>
                <w:rFonts w:ascii="Times New Roman" w:eastAsia="Times New Roman" w:hAnsi="Times New Roman" w:cs="Times New Roman"/>
                <w:b/>
                <w:bCs/>
                <w:kern w:val="0"/>
                <w:sz w:val="24"/>
                <w:szCs w:val="24"/>
                <w14:ligatures w14:val="none"/>
              </w:rPr>
              <w:t>0)</w:t>
            </w:r>
          </w:p>
        </w:tc>
        <w:tc>
          <w:tcPr>
            <w:tcW w:w="598" w:type="pct"/>
            <w:vAlign w:val="center"/>
          </w:tcPr>
          <w:p w14:paraId="1B6BD1F6" w14:textId="77777777" w:rsidR="0091643F" w:rsidRPr="00F55236" w:rsidRDefault="0091643F"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t-test</w:t>
            </w:r>
          </w:p>
        </w:tc>
      </w:tr>
      <w:tr w:rsidR="00CC3202" w:rsidRPr="00F55236" w14:paraId="4A2B5544" w14:textId="77777777" w:rsidTr="0091643F">
        <w:trPr>
          <w:trHeight w:val="70"/>
        </w:trPr>
        <w:tc>
          <w:tcPr>
            <w:tcW w:w="318" w:type="pct"/>
            <w:vMerge/>
          </w:tcPr>
          <w:p w14:paraId="675D3AD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p>
        </w:tc>
        <w:tc>
          <w:tcPr>
            <w:tcW w:w="1191" w:type="pct"/>
            <w:vMerge/>
          </w:tcPr>
          <w:p w14:paraId="7EA672E3" w14:textId="77777777" w:rsidR="00CC3202" w:rsidRPr="00F55236" w:rsidRDefault="00CC3202"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p>
        </w:tc>
        <w:tc>
          <w:tcPr>
            <w:tcW w:w="747" w:type="pct"/>
            <w:vAlign w:val="center"/>
          </w:tcPr>
          <w:p w14:paraId="52925E2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54340452"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760" w:type="pct"/>
            <w:vAlign w:val="center"/>
          </w:tcPr>
          <w:p w14:paraId="6A96900F"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 xml:space="preserve">Mean Score </w:t>
            </w:r>
          </w:p>
        </w:tc>
        <w:tc>
          <w:tcPr>
            <w:tcW w:w="693" w:type="pct"/>
            <w:vAlign w:val="center"/>
          </w:tcPr>
          <w:p w14:paraId="2D217A39"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S.D.</w:t>
            </w:r>
          </w:p>
        </w:tc>
        <w:tc>
          <w:tcPr>
            <w:tcW w:w="598" w:type="pct"/>
            <w:vAlign w:val="center"/>
          </w:tcPr>
          <w:p w14:paraId="785AB053" w14:textId="77777777" w:rsidR="00CC3202" w:rsidRPr="00F55236" w:rsidRDefault="00CC3202"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eastAsia="Times New Roman" w:hAnsi="Times New Roman" w:cs="Times New Roman"/>
                <w:b/>
                <w:bCs/>
                <w:kern w:val="0"/>
                <w:sz w:val="24"/>
                <w:szCs w:val="24"/>
                <w14:ligatures w14:val="none"/>
              </w:rPr>
              <w:t>p-value</w:t>
            </w:r>
          </w:p>
        </w:tc>
      </w:tr>
      <w:tr w:rsidR="00F55236" w:rsidRPr="00F55236" w14:paraId="61764168" w14:textId="77777777" w:rsidTr="00F55236">
        <w:trPr>
          <w:trHeight w:val="20"/>
        </w:trPr>
        <w:tc>
          <w:tcPr>
            <w:tcW w:w="318" w:type="pct"/>
            <w:vAlign w:val="center"/>
          </w:tcPr>
          <w:p w14:paraId="7B72E7F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w:t>
            </w:r>
          </w:p>
        </w:tc>
        <w:tc>
          <w:tcPr>
            <w:tcW w:w="4682" w:type="pct"/>
            <w:gridSpan w:val="6"/>
            <w:vAlign w:val="center"/>
          </w:tcPr>
          <w:p w14:paraId="02390B61"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Personal variables</w:t>
            </w:r>
          </w:p>
        </w:tc>
      </w:tr>
      <w:tr w:rsidR="00F55236" w:rsidRPr="00F55236" w14:paraId="316570B0" w14:textId="77777777" w:rsidTr="00CC3202">
        <w:trPr>
          <w:trHeight w:val="20"/>
        </w:trPr>
        <w:tc>
          <w:tcPr>
            <w:tcW w:w="318" w:type="pct"/>
          </w:tcPr>
          <w:p w14:paraId="10B8235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p>
        </w:tc>
        <w:tc>
          <w:tcPr>
            <w:tcW w:w="1191" w:type="pct"/>
          </w:tcPr>
          <w:p w14:paraId="03301141"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 xml:space="preserve">Age </w:t>
            </w:r>
          </w:p>
        </w:tc>
        <w:tc>
          <w:tcPr>
            <w:tcW w:w="747" w:type="pct"/>
            <w:vAlign w:val="center"/>
          </w:tcPr>
          <w:p w14:paraId="6612A5E1" w14:textId="65DE07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44.67</w:t>
            </w:r>
          </w:p>
        </w:tc>
        <w:tc>
          <w:tcPr>
            <w:tcW w:w="693" w:type="pct"/>
            <w:vAlign w:val="center"/>
          </w:tcPr>
          <w:p w14:paraId="74729C94" w14:textId="3B9D637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9.84</w:t>
            </w:r>
          </w:p>
        </w:tc>
        <w:tc>
          <w:tcPr>
            <w:tcW w:w="760" w:type="pct"/>
            <w:vAlign w:val="center"/>
          </w:tcPr>
          <w:p w14:paraId="6BEDC390" w14:textId="52B027AE"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43.10</w:t>
            </w:r>
          </w:p>
        </w:tc>
        <w:tc>
          <w:tcPr>
            <w:tcW w:w="693" w:type="pct"/>
            <w:vAlign w:val="center"/>
          </w:tcPr>
          <w:p w14:paraId="1B745770" w14:textId="2EA59F3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10.60</w:t>
            </w:r>
          </w:p>
        </w:tc>
        <w:tc>
          <w:tcPr>
            <w:tcW w:w="598" w:type="pct"/>
            <w:vAlign w:val="center"/>
          </w:tcPr>
          <w:p w14:paraId="594B1B5C" w14:textId="433262C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0.064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5C32B8B2" w14:textId="77777777" w:rsidTr="00CC3202">
        <w:trPr>
          <w:trHeight w:val="20"/>
        </w:trPr>
        <w:tc>
          <w:tcPr>
            <w:tcW w:w="318" w:type="pct"/>
          </w:tcPr>
          <w:p w14:paraId="1BA0E8B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2.</w:t>
            </w:r>
          </w:p>
        </w:tc>
        <w:tc>
          <w:tcPr>
            <w:tcW w:w="1191" w:type="pct"/>
            <w:vAlign w:val="center"/>
          </w:tcPr>
          <w:p w14:paraId="070D0AC7" w14:textId="77777777"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Education</w:t>
            </w:r>
          </w:p>
        </w:tc>
        <w:tc>
          <w:tcPr>
            <w:tcW w:w="747" w:type="pct"/>
            <w:vAlign w:val="center"/>
          </w:tcPr>
          <w:p w14:paraId="1A633AA7" w14:textId="543F551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37</w:t>
            </w:r>
          </w:p>
        </w:tc>
        <w:tc>
          <w:tcPr>
            <w:tcW w:w="693" w:type="pct"/>
            <w:vAlign w:val="center"/>
          </w:tcPr>
          <w:p w14:paraId="6BCDE1A5" w14:textId="0687A8C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140329">
              <w:rPr>
                <w:rFonts w:ascii="Times New Roman" w:eastAsia="Times New Roman" w:hAnsi="Times New Roman" w:cs="Times New Roman"/>
                <w:kern w:val="0"/>
                <w:sz w:val="24"/>
                <w:szCs w:val="24"/>
                <w14:ligatures w14:val="none"/>
              </w:rPr>
              <w:t>46</w:t>
            </w:r>
          </w:p>
        </w:tc>
        <w:tc>
          <w:tcPr>
            <w:tcW w:w="760" w:type="pct"/>
            <w:vAlign w:val="center"/>
          </w:tcPr>
          <w:p w14:paraId="545673FF" w14:textId="25B955B2" w:rsidR="00140329" w:rsidRPr="00F55236" w:rsidRDefault="00140329" w:rsidP="00140329">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4.87</w:t>
            </w:r>
          </w:p>
        </w:tc>
        <w:tc>
          <w:tcPr>
            <w:tcW w:w="693" w:type="pct"/>
            <w:vAlign w:val="center"/>
          </w:tcPr>
          <w:p w14:paraId="13ACDD9F" w14:textId="69728C3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1.04</w:t>
            </w:r>
          </w:p>
        </w:tc>
        <w:tc>
          <w:tcPr>
            <w:tcW w:w="598" w:type="pct"/>
            <w:vAlign w:val="center"/>
          </w:tcPr>
          <w:p w14:paraId="69BEEA63" w14:textId="7453AA05"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046*</w:t>
            </w:r>
          </w:p>
        </w:tc>
      </w:tr>
      <w:tr w:rsidR="00F55236" w:rsidRPr="00F55236" w14:paraId="33F2FC61" w14:textId="77777777" w:rsidTr="00CC3202">
        <w:trPr>
          <w:trHeight w:val="20"/>
        </w:trPr>
        <w:tc>
          <w:tcPr>
            <w:tcW w:w="318" w:type="pct"/>
          </w:tcPr>
          <w:p w14:paraId="20E4719D"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3.</w:t>
            </w:r>
          </w:p>
        </w:tc>
        <w:tc>
          <w:tcPr>
            <w:tcW w:w="1191" w:type="pct"/>
            <w:vAlign w:val="center"/>
          </w:tcPr>
          <w:p w14:paraId="76E74B8E" w14:textId="687CDFB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Land holding</w:t>
            </w:r>
          </w:p>
        </w:tc>
        <w:tc>
          <w:tcPr>
            <w:tcW w:w="747" w:type="pct"/>
            <w:vAlign w:val="center"/>
          </w:tcPr>
          <w:p w14:paraId="224A7748" w14:textId="6AAF0C6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14.83</w:t>
            </w:r>
          </w:p>
        </w:tc>
        <w:tc>
          <w:tcPr>
            <w:tcW w:w="693" w:type="pct"/>
            <w:vAlign w:val="center"/>
          </w:tcPr>
          <w:p w14:paraId="1DCEBFD4" w14:textId="4BA02DB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760" w:type="pct"/>
            <w:vAlign w:val="center"/>
          </w:tcPr>
          <w:p w14:paraId="1FA1E41C" w14:textId="7994E082"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21.34</w:t>
            </w:r>
          </w:p>
        </w:tc>
        <w:tc>
          <w:tcPr>
            <w:tcW w:w="693" w:type="pct"/>
            <w:vAlign w:val="center"/>
          </w:tcPr>
          <w:p w14:paraId="20B8D393" w14:textId="1DDEB15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18.67</w:t>
            </w:r>
          </w:p>
        </w:tc>
        <w:tc>
          <w:tcPr>
            <w:tcW w:w="598" w:type="pct"/>
            <w:vAlign w:val="center"/>
          </w:tcPr>
          <w:p w14:paraId="6D997A3A" w14:textId="315A2117"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008</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4BABBAB6" w14:textId="77777777" w:rsidTr="00CC3202">
        <w:trPr>
          <w:trHeight w:val="20"/>
        </w:trPr>
        <w:tc>
          <w:tcPr>
            <w:tcW w:w="318" w:type="pct"/>
          </w:tcPr>
          <w:p w14:paraId="0BC8F214"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4.</w:t>
            </w:r>
          </w:p>
        </w:tc>
        <w:tc>
          <w:tcPr>
            <w:tcW w:w="1191" w:type="pct"/>
            <w:vAlign w:val="center"/>
          </w:tcPr>
          <w:p w14:paraId="36FB9EC4" w14:textId="2093B161"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Occupation </w:t>
            </w:r>
          </w:p>
        </w:tc>
        <w:tc>
          <w:tcPr>
            <w:tcW w:w="747" w:type="pct"/>
            <w:vAlign w:val="center"/>
          </w:tcPr>
          <w:p w14:paraId="6E069333" w14:textId="5C80FFDF"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3.68</w:t>
            </w:r>
          </w:p>
        </w:tc>
        <w:tc>
          <w:tcPr>
            <w:tcW w:w="693" w:type="pct"/>
            <w:vAlign w:val="center"/>
          </w:tcPr>
          <w:p w14:paraId="0D4A0F1B" w14:textId="06950609"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1.49</w:t>
            </w:r>
          </w:p>
        </w:tc>
        <w:tc>
          <w:tcPr>
            <w:tcW w:w="760" w:type="pct"/>
            <w:vAlign w:val="center"/>
          </w:tcPr>
          <w:p w14:paraId="6D3230C9" w14:textId="48528848"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3.17</w:t>
            </w:r>
          </w:p>
        </w:tc>
        <w:tc>
          <w:tcPr>
            <w:tcW w:w="693" w:type="pct"/>
            <w:vAlign w:val="center"/>
          </w:tcPr>
          <w:p w14:paraId="39866EC7" w14:textId="0DA025D0"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598" w:type="pct"/>
            <w:vAlign w:val="center"/>
          </w:tcPr>
          <w:p w14:paraId="7554A786" w14:textId="07E5E3AF"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0.086</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6B1C0CE" w14:textId="77777777" w:rsidTr="00F55236">
        <w:trPr>
          <w:trHeight w:val="20"/>
        </w:trPr>
        <w:tc>
          <w:tcPr>
            <w:tcW w:w="318" w:type="pct"/>
          </w:tcPr>
          <w:p w14:paraId="1626BBD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w:t>
            </w:r>
          </w:p>
        </w:tc>
        <w:tc>
          <w:tcPr>
            <w:tcW w:w="4682" w:type="pct"/>
            <w:gridSpan w:val="6"/>
            <w:vAlign w:val="center"/>
          </w:tcPr>
          <w:p w14:paraId="6701449A"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Socio-Economic variables</w:t>
            </w:r>
          </w:p>
        </w:tc>
      </w:tr>
      <w:tr w:rsidR="00F55236" w:rsidRPr="00F55236" w14:paraId="305FBC23" w14:textId="77777777" w:rsidTr="00CC3202">
        <w:trPr>
          <w:trHeight w:val="20"/>
        </w:trPr>
        <w:tc>
          <w:tcPr>
            <w:tcW w:w="318" w:type="pct"/>
          </w:tcPr>
          <w:p w14:paraId="5C3E782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5.</w:t>
            </w:r>
          </w:p>
        </w:tc>
        <w:tc>
          <w:tcPr>
            <w:tcW w:w="1191" w:type="pct"/>
            <w:vAlign w:val="center"/>
          </w:tcPr>
          <w:p w14:paraId="6394376C" w14:textId="5D08AAC2"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sidRPr="00F55236">
              <w:rPr>
                <w:rFonts w:ascii="Times New Roman" w:hAnsi="Times New Roman" w:cs="Times New Roman"/>
                <w:sz w:val="24"/>
                <w:szCs w:val="24"/>
              </w:rPr>
              <w:t>Annual income</w:t>
            </w:r>
          </w:p>
        </w:tc>
        <w:tc>
          <w:tcPr>
            <w:tcW w:w="747" w:type="pct"/>
            <w:vAlign w:val="center"/>
          </w:tcPr>
          <w:p w14:paraId="481F2079" w14:textId="23E4A7B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1713466.67</w:t>
            </w:r>
          </w:p>
        </w:tc>
        <w:tc>
          <w:tcPr>
            <w:tcW w:w="693" w:type="pct"/>
            <w:vAlign w:val="center"/>
          </w:tcPr>
          <w:p w14:paraId="6D2D8D8F" w14:textId="364E638C"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843107.87</w:t>
            </w:r>
          </w:p>
        </w:tc>
        <w:tc>
          <w:tcPr>
            <w:tcW w:w="760" w:type="pct"/>
            <w:vAlign w:val="center"/>
          </w:tcPr>
          <w:p w14:paraId="079C8B5B" w14:textId="05DC366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9</w:t>
            </w:r>
            <w:r>
              <w:rPr>
                <w:rFonts w:ascii="Times New Roman" w:eastAsia="Times New Roman" w:hAnsi="Times New Roman" w:cs="Times New Roman"/>
                <w:kern w:val="0"/>
                <w:sz w:val="24"/>
                <w:szCs w:val="24"/>
                <w14:ligatures w14:val="none"/>
              </w:rPr>
              <w:t>54166.67</w:t>
            </w:r>
          </w:p>
        </w:tc>
        <w:tc>
          <w:tcPr>
            <w:tcW w:w="693" w:type="pct"/>
            <w:vAlign w:val="center"/>
          </w:tcPr>
          <w:p w14:paraId="1B9AE4D2" w14:textId="18B3A8D1"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00140329">
              <w:rPr>
                <w:rFonts w:ascii="Times New Roman" w:eastAsia="Times New Roman" w:hAnsi="Times New Roman" w:cs="Times New Roman"/>
                <w:kern w:val="0"/>
                <w:sz w:val="24"/>
                <w:szCs w:val="24"/>
                <w14:ligatures w14:val="none"/>
              </w:rPr>
              <w:t>6</w:t>
            </w:r>
            <w:r>
              <w:rPr>
                <w:rFonts w:ascii="Times New Roman" w:eastAsia="Times New Roman" w:hAnsi="Times New Roman" w:cs="Times New Roman"/>
                <w:kern w:val="0"/>
                <w:sz w:val="24"/>
                <w:szCs w:val="24"/>
                <w14:ligatures w14:val="none"/>
              </w:rPr>
              <w:t>45875.76</w:t>
            </w:r>
          </w:p>
        </w:tc>
        <w:tc>
          <w:tcPr>
            <w:tcW w:w="598" w:type="pct"/>
            <w:vAlign w:val="center"/>
          </w:tcPr>
          <w:p w14:paraId="20492010" w14:textId="26221E1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11648B">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029</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D1BB827" w14:textId="77777777" w:rsidTr="00CC3202">
        <w:trPr>
          <w:trHeight w:val="20"/>
        </w:trPr>
        <w:tc>
          <w:tcPr>
            <w:tcW w:w="318" w:type="pct"/>
          </w:tcPr>
          <w:p w14:paraId="63C158A3"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6.</w:t>
            </w:r>
          </w:p>
        </w:tc>
        <w:tc>
          <w:tcPr>
            <w:tcW w:w="1191" w:type="pct"/>
            <w:vAlign w:val="center"/>
          </w:tcPr>
          <w:p w14:paraId="0B7261D3" w14:textId="2F2B36B0"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Scientific orientation</w:t>
            </w:r>
          </w:p>
        </w:tc>
        <w:tc>
          <w:tcPr>
            <w:tcW w:w="747" w:type="pct"/>
            <w:vAlign w:val="center"/>
          </w:tcPr>
          <w:p w14:paraId="3E1F91C0" w14:textId="6BAE03BE"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14.13</w:t>
            </w:r>
          </w:p>
        </w:tc>
        <w:tc>
          <w:tcPr>
            <w:tcW w:w="693" w:type="pct"/>
            <w:vAlign w:val="center"/>
          </w:tcPr>
          <w:p w14:paraId="5C275222" w14:textId="0B916265"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2.05</w:t>
            </w:r>
          </w:p>
        </w:tc>
        <w:tc>
          <w:tcPr>
            <w:tcW w:w="760" w:type="pct"/>
            <w:vAlign w:val="center"/>
          </w:tcPr>
          <w:p w14:paraId="6B86C4F4" w14:textId="18D0A137"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13.62</w:t>
            </w:r>
          </w:p>
        </w:tc>
        <w:tc>
          <w:tcPr>
            <w:tcW w:w="693" w:type="pct"/>
            <w:vAlign w:val="center"/>
          </w:tcPr>
          <w:p w14:paraId="2C3EC658" w14:textId="21CD1CE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3.81</w:t>
            </w:r>
          </w:p>
        </w:tc>
        <w:tc>
          <w:tcPr>
            <w:tcW w:w="598" w:type="pct"/>
            <w:vAlign w:val="center"/>
          </w:tcPr>
          <w:p w14:paraId="7F4BE1A0" w14:textId="3B643AF1" w:rsidR="00F55236" w:rsidRPr="00140329"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0.335</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49DCB6AB" w14:textId="77777777" w:rsidTr="00F55236">
        <w:trPr>
          <w:trHeight w:val="20"/>
        </w:trPr>
        <w:tc>
          <w:tcPr>
            <w:tcW w:w="318" w:type="pct"/>
          </w:tcPr>
          <w:p w14:paraId="1CF1DAF6"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b/>
                <w:bCs/>
                <w:kern w:val="0"/>
                <w:sz w:val="24"/>
                <w:szCs w:val="24"/>
                <w14:ligatures w14:val="none"/>
              </w:rPr>
              <w:t>III</w:t>
            </w:r>
          </w:p>
        </w:tc>
        <w:tc>
          <w:tcPr>
            <w:tcW w:w="4682" w:type="pct"/>
            <w:gridSpan w:val="6"/>
            <w:vAlign w:val="center"/>
          </w:tcPr>
          <w:p w14:paraId="0569E0AB" w14:textId="77777777"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b/>
                <w:bCs/>
                <w:kern w:val="0"/>
                <w:sz w:val="24"/>
                <w:szCs w:val="24"/>
                <w14:ligatures w14:val="none"/>
              </w:rPr>
            </w:pPr>
            <w:r w:rsidRPr="00F55236">
              <w:rPr>
                <w:rFonts w:ascii="Times New Roman" w:hAnsi="Times New Roman" w:cs="Times New Roman"/>
                <w:b/>
                <w:bCs/>
                <w:sz w:val="24"/>
                <w:szCs w:val="24"/>
              </w:rPr>
              <w:t>Communication variables</w:t>
            </w:r>
          </w:p>
        </w:tc>
      </w:tr>
      <w:tr w:rsidR="00F55236" w:rsidRPr="00F55236" w14:paraId="77729D5B" w14:textId="77777777" w:rsidTr="00CC3202">
        <w:trPr>
          <w:trHeight w:val="20"/>
        </w:trPr>
        <w:tc>
          <w:tcPr>
            <w:tcW w:w="318" w:type="pct"/>
          </w:tcPr>
          <w:p w14:paraId="3358A0F4" w14:textId="0F7D7B2E"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1191" w:type="pct"/>
            <w:vAlign w:val="center"/>
          </w:tcPr>
          <w:p w14:paraId="6A237A85" w14:textId="69CFFD2B"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contact</w:t>
            </w:r>
          </w:p>
        </w:tc>
        <w:tc>
          <w:tcPr>
            <w:tcW w:w="747" w:type="pct"/>
            <w:vAlign w:val="center"/>
          </w:tcPr>
          <w:p w14:paraId="6E201DE6" w14:textId="133A2E62"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7.33</w:t>
            </w:r>
          </w:p>
        </w:tc>
        <w:tc>
          <w:tcPr>
            <w:tcW w:w="693" w:type="pct"/>
            <w:vAlign w:val="center"/>
          </w:tcPr>
          <w:p w14:paraId="6127FBBC" w14:textId="0C1B0E73"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4.41</w:t>
            </w:r>
          </w:p>
        </w:tc>
        <w:tc>
          <w:tcPr>
            <w:tcW w:w="760" w:type="pct"/>
            <w:vAlign w:val="center"/>
          </w:tcPr>
          <w:p w14:paraId="55F14CD0" w14:textId="06032A2D"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r w:rsidR="0011648B">
              <w:rPr>
                <w:rFonts w:ascii="Times New Roman" w:eastAsia="Times New Roman" w:hAnsi="Times New Roman" w:cs="Times New Roman"/>
                <w:kern w:val="0"/>
                <w:sz w:val="24"/>
                <w:szCs w:val="24"/>
                <w14:ligatures w14:val="none"/>
              </w:rPr>
              <w:t>.27</w:t>
            </w:r>
          </w:p>
        </w:tc>
        <w:tc>
          <w:tcPr>
            <w:tcW w:w="693" w:type="pct"/>
            <w:vAlign w:val="center"/>
          </w:tcPr>
          <w:p w14:paraId="251CA886" w14:textId="3ACF67FB"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11648B">
              <w:rPr>
                <w:rFonts w:ascii="Times New Roman" w:eastAsia="Times New Roman" w:hAnsi="Times New Roman" w:cs="Times New Roman"/>
                <w:kern w:val="0"/>
                <w:sz w:val="24"/>
                <w:szCs w:val="24"/>
                <w14:ligatures w14:val="none"/>
              </w:rPr>
              <w:t>.79</w:t>
            </w:r>
          </w:p>
        </w:tc>
        <w:tc>
          <w:tcPr>
            <w:tcW w:w="598" w:type="pct"/>
            <w:vAlign w:val="center"/>
          </w:tcPr>
          <w:p w14:paraId="5779D1CE" w14:textId="1860B953" w:rsidR="00F55236" w:rsidRPr="00140329"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0.004</w:t>
            </w:r>
            <w:r>
              <w:rPr>
                <w:rFonts w:ascii="Times New Roman" w:eastAsia="Times New Roman" w:hAnsi="Times New Roman" w:cs="Times New Roman"/>
                <w:kern w:val="0"/>
                <w:sz w:val="24"/>
                <w:szCs w:val="24"/>
                <w:vertAlign w:val="superscript"/>
                <w14:ligatures w14:val="none"/>
              </w:rPr>
              <w:t>**</w:t>
            </w:r>
          </w:p>
        </w:tc>
      </w:tr>
      <w:tr w:rsidR="00F55236" w:rsidRPr="00F55236" w14:paraId="3CB078AD" w14:textId="77777777" w:rsidTr="00CC3202">
        <w:trPr>
          <w:trHeight w:val="20"/>
        </w:trPr>
        <w:tc>
          <w:tcPr>
            <w:tcW w:w="318" w:type="pct"/>
          </w:tcPr>
          <w:p w14:paraId="030B9DE1" w14:textId="1E1D5E06"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6FB470EA" w14:textId="41C4C996"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Extension participation</w:t>
            </w:r>
          </w:p>
        </w:tc>
        <w:tc>
          <w:tcPr>
            <w:tcW w:w="747" w:type="pct"/>
            <w:vAlign w:val="center"/>
          </w:tcPr>
          <w:p w14:paraId="785CB958" w14:textId="4211FAFA"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5.43</w:t>
            </w:r>
          </w:p>
        </w:tc>
        <w:tc>
          <w:tcPr>
            <w:tcW w:w="693" w:type="pct"/>
            <w:vAlign w:val="center"/>
          </w:tcPr>
          <w:p w14:paraId="183F4AF3" w14:textId="23ED2BFB"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2.39</w:t>
            </w:r>
          </w:p>
        </w:tc>
        <w:tc>
          <w:tcPr>
            <w:tcW w:w="760" w:type="pct"/>
            <w:vAlign w:val="center"/>
          </w:tcPr>
          <w:p w14:paraId="4F2B07FF" w14:textId="45FB5C40" w:rsidR="00F55236" w:rsidRPr="00F55236" w:rsidRDefault="00140329"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11648B">
              <w:rPr>
                <w:rFonts w:ascii="Times New Roman" w:eastAsia="Times New Roman" w:hAnsi="Times New Roman" w:cs="Times New Roman"/>
                <w:kern w:val="0"/>
                <w:sz w:val="24"/>
                <w:szCs w:val="24"/>
                <w14:ligatures w14:val="none"/>
              </w:rPr>
              <w:t>.12</w:t>
            </w:r>
          </w:p>
        </w:tc>
        <w:tc>
          <w:tcPr>
            <w:tcW w:w="693" w:type="pct"/>
            <w:vAlign w:val="center"/>
          </w:tcPr>
          <w:p w14:paraId="40DE928F" w14:textId="7CCB05FD" w:rsidR="00F55236" w:rsidRPr="00F55236" w:rsidRDefault="0011648B"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r w:rsidR="00140329">
              <w:rPr>
                <w:rFonts w:ascii="Times New Roman" w:eastAsia="Times New Roman" w:hAnsi="Times New Roman" w:cs="Times New Roman"/>
                <w:kern w:val="0"/>
                <w:sz w:val="24"/>
                <w:szCs w:val="24"/>
                <w14:ligatures w14:val="none"/>
              </w:rPr>
              <w:t>98</w:t>
            </w:r>
          </w:p>
        </w:tc>
        <w:tc>
          <w:tcPr>
            <w:tcW w:w="598" w:type="pct"/>
            <w:vAlign w:val="center"/>
          </w:tcPr>
          <w:p w14:paraId="35A95862" w14:textId="29E5D037"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w:t>
            </w:r>
            <w:r w:rsidR="00140329">
              <w:rPr>
                <w:rFonts w:ascii="Times New Roman" w:eastAsia="Times New Roman" w:hAnsi="Times New Roman" w:cs="Times New Roman"/>
                <w:kern w:val="0"/>
                <w:sz w:val="24"/>
                <w:szCs w:val="24"/>
                <w14:ligatures w14:val="none"/>
              </w:rPr>
              <w:t>0476</w:t>
            </w:r>
            <w:r w:rsidR="00140329">
              <w:rPr>
                <w:rFonts w:ascii="Times New Roman" w:eastAsia="Times New Roman" w:hAnsi="Times New Roman" w:cs="Times New Roman"/>
                <w:kern w:val="0"/>
                <w:sz w:val="24"/>
                <w:szCs w:val="24"/>
                <w:vertAlign w:val="superscript"/>
                <w14:ligatures w14:val="none"/>
              </w:rPr>
              <w:t>*</w:t>
            </w:r>
          </w:p>
        </w:tc>
      </w:tr>
      <w:tr w:rsidR="00F55236" w:rsidRPr="00F55236" w14:paraId="13177E26" w14:textId="77777777" w:rsidTr="00CC3202">
        <w:trPr>
          <w:trHeight w:val="20"/>
        </w:trPr>
        <w:tc>
          <w:tcPr>
            <w:tcW w:w="318" w:type="pct"/>
          </w:tcPr>
          <w:p w14:paraId="59124CDA" w14:textId="64526CCA" w:rsidR="00F55236" w:rsidRPr="00F55236" w:rsidRDefault="00720F50"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F55236" w:rsidRPr="00F55236">
              <w:rPr>
                <w:rFonts w:ascii="Times New Roman" w:eastAsia="Times New Roman" w:hAnsi="Times New Roman" w:cs="Times New Roman"/>
                <w:kern w:val="0"/>
                <w:sz w:val="24"/>
                <w:szCs w:val="24"/>
                <w14:ligatures w14:val="none"/>
              </w:rPr>
              <w:t>.</w:t>
            </w:r>
          </w:p>
        </w:tc>
        <w:tc>
          <w:tcPr>
            <w:tcW w:w="1191" w:type="pct"/>
            <w:vAlign w:val="center"/>
          </w:tcPr>
          <w:p w14:paraId="2E1B3664" w14:textId="1445EA9C"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Mass media exposure</w:t>
            </w:r>
          </w:p>
        </w:tc>
        <w:tc>
          <w:tcPr>
            <w:tcW w:w="747" w:type="pct"/>
            <w:vAlign w:val="center"/>
          </w:tcPr>
          <w:p w14:paraId="65026315" w14:textId="6766BFA3"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6.30</w:t>
            </w:r>
          </w:p>
        </w:tc>
        <w:tc>
          <w:tcPr>
            <w:tcW w:w="693" w:type="pct"/>
            <w:vAlign w:val="center"/>
          </w:tcPr>
          <w:p w14:paraId="27A004C8" w14:textId="0768F6F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2.64</w:t>
            </w:r>
          </w:p>
        </w:tc>
        <w:tc>
          <w:tcPr>
            <w:tcW w:w="760" w:type="pct"/>
            <w:vAlign w:val="center"/>
          </w:tcPr>
          <w:p w14:paraId="40E43291" w14:textId="6EE0488C"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5.95</w:t>
            </w:r>
          </w:p>
        </w:tc>
        <w:tc>
          <w:tcPr>
            <w:tcW w:w="693" w:type="pct"/>
            <w:vAlign w:val="center"/>
          </w:tcPr>
          <w:p w14:paraId="0D74AA36" w14:textId="35FB6367"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2.19</w:t>
            </w:r>
          </w:p>
        </w:tc>
        <w:tc>
          <w:tcPr>
            <w:tcW w:w="598" w:type="pct"/>
            <w:vAlign w:val="center"/>
          </w:tcPr>
          <w:p w14:paraId="4FB2A2AC" w14:textId="5062F5F0"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Pr>
                <w:rFonts w:ascii="Times New Roman" w:eastAsia="Times New Roman" w:hAnsi="Times New Roman" w:cs="Times New Roman"/>
                <w:kern w:val="0"/>
                <w:sz w:val="24"/>
                <w:szCs w:val="24"/>
                <w14:ligatures w14:val="none"/>
              </w:rPr>
              <w:t>0.454</w:t>
            </w:r>
            <w:r w:rsidR="00140329">
              <w:rPr>
                <w:rFonts w:ascii="Times New Roman" w:eastAsia="Times New Roman" w:hAnsi="Times New Roman" w:cs="Times New Roman"/>
                <w:kern w:val="0"/>
                <w:sz w:val="24"/>
                <w:szCs w:val="24"/>
                <w:vertAlign w:val="superscript"/>
                <w14:ligatures w14:val="none"/>
              </w:rPr>
              <w:t>NS</w:t>
            </w:r>
          </w:p>
        </w:tc>
      </w:tr>
      <w:tr w:rsidR="00F55236" w:rsidRPr="00F55236" w14:paraId="33FFE276" w14:textId="77777777" w:rsidTr="00CC3202">
        <w:trPr>
          <w:trHeight w:val="20"/>
        </w:trPr>
        <w:tc>
          <w:tcPr>
            <w:tcW w:w="318" w:type="pct"/>
          </w:tcPr>
          <w:p w14:paraId="074F2D3B" w14:textId="178974CE" w:rsidR="00F55236" w:rsidRPr="00F55236" w:rsidRDefault="00F55236"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sidRPr="00F55236">
              <w:rPr>
                <w:rFonts w:ascii="Times New Roman" w:eastAsia="Times New Roman" w:hAnsi="Times New Roman" w:cs="Times New Roman"/>
                <w:kern w:val="0"/>
                <w:sz w:val="24"/>
                <w:szCs w:val="24"/>
                <w14:ligatures w14:val="none"/>
              </w:rPr>
              <w:t>1</w:t>
            </w:r>
            <w:r w:rsidR="00720F50">
              <w:rPr>
                <w:rFonts w:ascii="Times New Roman" w:eastAsia="Times New Roman" w:hAnsi="Times New Roman" w:cs="Times New Roman"/>
                <w:kern w:val="0"/>
                <w:sz w:val="24"/>
                <w:szCs w:val="24"/>
                <w14:ligatures w14:val="none"/>
              </w:rPr>
              <w:t>0</w:t>
            </w:r>
            <w:r w:rsidRPr="00F55236">
              <w:rPr>
                <w:rFonts w:ascii="Times New Roman" w:eastAsia="Times New Roman" w:hAnsi="Times New Roman" w:cs="Times New Roman"/>
                <w:kern w:val="0"/>
                <w:sz w:val="24"/>
                <w:szCs w:val="24"/>
                <w14:ligatures w14:val="none"/>
              </w:rPr>
              <w:t>.</w:t>
            </w:r>
          </w:p>
        </w:tc>
        <w:tc>
          <w:tcPr>
            <w:tcW w:w="1191" w:type="pct"/>
            <w:vAlign w:val="center"/>
          </w:tcPr>
          <w:p w14:paraId="0386F778" w14:textId="54640689" w:rsidR="00F55236" w:rsidRPr="00F55236" w:rsidRDefault="00F55236" w:rsidP="00733078">
            <w:pPr>
              <w:shd w:val="clear" w:color="auto" w:fill="FFFFFF" w:themeFill="background1"/>
              <w:spacing w:before="60" w:after="6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Social participation</w:t>
            </w:r>
          </w:p>
        </w:tc>
        <w:tc>
          <w:tcPr>
            <w:tcW w:w="747" w:type="pct"/>
            <w:vAlign w:val="center"/>
          </w:tcPr>
          <w:p w14:paraId="6BD0718F" w14:textId="0B5C1034"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1.72</w:t>
            </w:r>
          </w:p>
        </w:tc>
        <w:tc>
          <w:tcPr>
            <w:tcW w:w="693" w:type="pct"/>
            <w:vAlign w:val="center"/>
          </w:tcPr>
          <w:p w14:paraId="36A17947" w14:textId="69FFD641"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1.39</w:t>
            </w:r>
          </w:p>
        </w:tc>
        <w:tc>
          <w:tcPr>
            <w:tcW w:w="760" w:type="pct"/>
            <w:vAlign w:val="center"/>
          </w:tcPr>
          <w:p w14:paraId="6BB67C38" w14:textId="7608B51D" w:rsidR="00F55236" w:rsidRPr="00F55236"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2.40</w:t>
            </w:r>
          </w:p>
        </w:tc>
        <w:tc>
          <w:tcPr>
            <w:tcW w:w="693" w:type="pct"/>
            <w:vAlign w:val="center"/>
          </w:tcPr>
          <w:p w14:paraId="52C871F8" w14:textId="6B369079" w:rsidR="000D4278" w:rsidRPr="00F55236" w:rsidRDefault="000D4278" w:rsidP="000D4278">
            <w:pPr>
              <w:shd w:val="clear" w:color="auto" w:fill="FFFFFF" w:themeFill="background1"/>
              <w:spacing w:before="60" w:after="60" w:line="276"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2.34</w:t>
            </w:r>
          </w:p>
        </w:tc>
        <w:tc>
          <w:tcPr>
            <w:tcW w:w="598" w:type="pct"/>
            <w:vAlign w:val="center"/>
          </w:tcPr>
          <w:p w14:paraId="6EC91A39" w14:textId="34968EDE" w:rsidR="00F55236" w:rsidRPr="00140329" w:rsidRDefault="000D4278" w:rsidP="00733078">
            <w:pPr>
              <w:shd w:val="clear" w:color="auto" w:fill="FFFFFF" w:themeFill="background1"/>
              <w:spacing w:before="60" w:after="60" w:line="276" w:lineRule="auto"/>
              <w:jc w:val="center"/>
              <w:rPr>
                <w:rFonts w:ascii="Times New Roman" w:eastAsia="Times New Roman" w:hAnsi="Times New Roman" w:cs="Times New Roman"/>
                <w:kern w:val="0"/>
                <w:sz w:val="24"/>
                <w:szCs w:val="24"/>
                <w:vertAlign w:val="superscript"/>
                <w14:ligatures w14:val="none"/>
              </w:rPr>
            </w:pPr>
            <w:r w:rsidRPr="000D4278">
              <w:rPr>
                <w:rFonts w:ascii="Times New Roman" w:eastAsia="Times New Roman" w:hAnsi="Times New Roman" w:cs="Times New Roman"/>
                <w:kern w:val="0"/>
                <w:sz w:val="24"/>
                <w:szCs w:val="24"/>
                <w14:ligatures w14:val="none"/>
              </w:rPr>
              <w:t>0.081</w:t>
            </w:r>
            <w:r w:rsidR="00140329">
              <w:rPr>
                <w:rFonts w:ascii="Times New Roman" w:eastAsia="Times New Roman" w:hAnsi="Times New Roman" w:cs="Times New Roman"/>
                <w:kern w:val="0"/>
                <w:sz w:val="24"/>
                <w:szCs w:val="24"/>
                <w:vertAlign w:val="superscript"/>
                <w14:ligatures w14:val="none"/>
              </w:rPr>
              <w:t>NS</w:t>
            </w:r>
          </w:p>
        </w:tc>
      </w:tr>
    </w:tbl>
    <w:p w14:paraId="44AA6D8D" w14:textId="77777777" w:rsidR="00F55236" w:rsidRDefault="00F55236" w:rsidP="00F55236">
      <w:pPr>
        <w:rPr>
          <w:rFonts w:ascii="Times New Roman" w:eastAsia="Times New Roman" w:hAnsi="Times New Roman" w:cs="Times New Roman"/>
          <w:sz w:val="24"/>
          <w:szCs w:val="24"/>
          <w:lang w:eastAsia="en-IN"/>
        </w:rPr>
      </w:pPr>
    </w:p>
    <w:p w14:paraId="671DA072" w14:textId="0113FFE2"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comparison of characteristics between </w:t>
      </w:r>
      <w:proofErr w:type="spellStart"/>
      <w:r w:rsidRPr="00C84C94">
        <w:rPr>
          <w:rFonts w:ascii="Times New Roman" w:eastAsia="Times New Roman" w:hAnsi="Times New Roman" w:cs="Times New Roman"/>
          <w:sz w:val="24"/>
          <w:szCs w:val="24"/>
          <w:lang w:val="en-US" w:eastAsia="en-IN"/>
        </w:rPr>
        <w:t>Vijayapura</w:t>
      </w:r>
      <w:proofErr w:type="spellEnd"/>
      <w:r w:rsidRPr="00C84C94">
        <w:rPr>
          <w:rFonts w:ascii="Times New Roman" w:eastAsia="Times New Roman" w:hAnsi="Times New Roman" w:cs="Times New Roman"/>
          <w:sz w:val="24"/>
          <w:szCs w:val="24"/>
          <w:lang w:val="en-US" w:eastAsia="en-IN"/>
        </w:rPr>
        <w:t xml:space="preserve"> and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showed significant differences in several aspects. Education was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4.87) than in Vijayapura (mean = 3.37). Landholding size was also greater among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(mean = 21.34 acres) compared to Vijayapura farmers (mean = 14.83 acres). Annual income was significantly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29.54 lakhs) than in Vijayapura (mean = 17.13 lakhs). Similarly, extension contact was greater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12.27) than in Vijayapura (mean = 7.33), and extension participation was also higher in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(mean = 6.12) compared to Vijayapura (mean = 5.43)</w:t>
      </w:r>
      <w:r w:rsidR="00DC6776">
        <w:rPr>
          <w:rFonts w:ascii="Times New Roman" w:eastAsia="Times New Roman" w:hAnsi="Times New Roman" w:cs="Times New Roman"/>
          <w:sz w:val="24"/>
          <w:szCs w:val="24"/>
          <w:lang w:val="en-US" w:eastAsia="en-IN"/>
        </w:rPr>
        <w:t xml:space="preserve"> (</w:t>
      </w:r>
      <w:proofErr w:type="spellStart"/>
      <w:r w:rsidR="00DC6776" w:rsidRPr="00B36DBA">
        <w:rPr>
          <w:rFonts w:ascii="Times New Roman" w:eastAsia="Times New Roman" w:hAnsi="Times New Roman" w:cs="Times New Roman"/>
          <w:sz w:val="24"/>
          <w:szCs w:val="24"/>
          <w:lang w:eastAsia="en-IN"/>
        </w:rPr>
        <w:t>Chopade</w:t>
      </w:r>
      <w:proofErr w:type="spellEnd"/>
      <w:r w:rsidR="00DC6776">
        <w:rPr>
          <w:rFonts w:ascii="Times New Roman" w:eastAsia="Times New Roman" w:hAnsi="Times New Roman" w:cs="Times New Roman"/>
          <w:sz w:val="24"/>
          <w:szCs w:val="24"/>
          <w:lang w:eastAsia="en-IN"/>
        </w:rPr>
        <w:t>, 2019).</w:t>
      </w:r>
    </w:p>
    <w:p w14:paraId="76A12DD2" w14:textId="432C3E76"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lastRenderedPageBreak/>
        <w:t>On the other hand, no significant differences were found in age (44.67 vs. 43.10 years), occupation (3.68 vs. 3.17), scientific orientation (14.13 vs. 13.62), mass media exposure (6.30 vs. 5.95), and social participation (1.72 vs. 2.40), indicating that farmers across both districts were broadly similar in these characteristics</w:t>
      </w:r>
      <w:r w:rsidR="00DC6776">
        <w:rPr>
          <w:rFonts w:ascii="Times New Roman" w:eastAsia="Times New Roman" w:hAnsi="Times New Roman" w:cs="Times New Roman"/>
          <w:sz w:val="24"/>
          <w:szCs w:val="24"/>
          <w:lang w:val="en-US" w:eastAsia="en-IN"/>
        </w:rPr>
        <w:t xml:space="preserve"> (Asha ,2018).</w:t>
      </w:r>
    </w:p>
    <w:p w14:paraId="13EDC7FA" w14:textId="2762E75E" w:rsidR="00C84C94" w:rsidRPr="00C84C94" w:rsidRDefault="00C84C94" w:rsidP="00C84C94">
      <w:pPr>
        <w:spacing w:line="360" w:lineRule="auto"/>
        <w:ind w:firstLine="720"/>
        <w:jc w:val="both"/>
        <w:rPr>
          <w:rFonts w:ascii="Times New Roman" w:eastAsia="Times New Roman" w:hAnsi="Times New Roman" w:cs="Times New Roman"/>
          <w:sz w:val="24"/>
          <w:szCs w:val="24"/>
          <w:lang w:val="en-US" w:eastAsia="en-IN"/>
        </w:rPr>
      </w:pPr>
      <w:r w:rsidRPr="00C84C94">
        <w:rPr>
          <w:rFonts w:ascii="Times New Roman" w:eastAsia="Times New Roman" w:hAnsi="Times New Roman" w:cs="Times New Roman"/>
          <w:sz w:val="24"/>
          <w:szCs w:val="24"/>
          <w:lang w:val="en-US" w:eastAsia="en-IN"/>
        </w:rPr>
        <w:t xml:space="preserve">The results indicate that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 are comparatively stronger in socio-economic and communication aspects such as education, landholding, income, and extension linkages. This suggests that they have greater access to resources, information, and institutional support, which may enhance their ability to adopt improved agricultural practices. The absence of significant differences in age, occupation, scientific orientation, mass media exposure, and social participation reflects that both groups of farmers share similar personal and socio-psychological backgrounds. These similarities provide a common base, while the differences highlight the structural and institutional advantages enjoyed by </w:t>
      </w:r>
      <w:proofErr w:type="spellStart"/>
      <w:r w:rsidRPr="00C84C94">
        <w:rPr>
          <w:rFonts w:ascii="Times New Roman" w:eastAsia="Times New Roman" w:hAnsi="Times New Roman" w:cs="Times New Roman"/>
          <w:sz w:val="24"/>
          <w:szCs w:val="24"/>
          <w:lang w:val="en-US" w:eastAsia="en-IN"/>
        </w:rPr>
        <w:t>Bagalkote</w:t>
      </w:r>
      <w:proofErr w:type="spellEnd"/>
      <w:r w:rsidRPr="00C84C94">
        <w:rPr>
          <w:rFonts w:ascii="Times New Roman" w:eastAsia="Times New Roman" w:hAnsi="Times New Roman" w:cs="Times New Roman"/>
          <w:sz w:val="24"/>
          <w:szCs w:val="24"/>
          <w:lang w:val="en-US" w:eastAsia="en-IN"/>
        </w:rPr>
        <w:t xml:space="preserve"> farmers.</w:t>
      </w:r>
    </w:p>
    <w:p w14:paraId="695E1302" w14:textId="72A54241" w:rsidR="00B6367B" w:rsidRPr="006E29B1" w:rsidRDefault="00F55236" w:rsidP="006E29B1">
      <w:pPr>
        <w:rPr>
          <w:rFonts w:ascii="Times New Roman" w:eastAsia="Times New Roman" w:hAnsi="Times New Roman" w:cs="Times New Roman"/>
          <w:b/>
          <w:bCs/>
          <w:sz w:val="24"/>
          <w:szCs w:val="24"/>
          <w:lang w:eastAsia="en-IN"/>
        </w:rPr>
      </w:pPr>
      <w:r w:rsidRPr="00F55236">
        <w:rPr>
          <w:rFonts w:ascii="Times New Roman" w:eastAsia="Times New Roman" w:hAnsi="Times New Roman" w:cs="Times New Roman"/>
          <w:b/>
          <w:bCs/>
          <w:sz w:val="24"/>
          <w:szCs w:val="24"/>
          <w:lang w:eastAsia="en-IN"/>
        </w:rPr>
        <w:t xml:space="preserve">4. </w:t>
      </w:r>
      <w:r>
        <w:rPr>
          <w:rFonts w:ascii="Times New Roman" w:eastAsia="Times New Roman" w:hAnsi="Times New Roman" w:cs="Times New Roman"/>
          <w:b/>
          <w:bCs/>
          <w:sz w:val="24"/>
          <w:szCs w:val="24"/>
          <w:lang w:eastAsia="en-IN"/>
        </w:rPr>
        <w:t>C</w:t>
      </w:r>
      <w:r w:rsidRPr="00F55236">
        <w:rPr>
          <w:rFonts w:ascii="Times New Roman" w:eastAsia="Times New Roman" w:hAnsi="Times New Roman" w:cs="Times New Roman"/>
          <w:b/>
          <w:bCs/>
          <w:sz w:val="24"/>
          <w:szCs w:val="24"/>
          <w:lang w:eastAsia="en-IN"/>
        </w:rPr>
        <w:t>onclusion</w:t>
      </w:r>
      <w:bookmarkEnd w:id="3"/>
    </w:p>
    <w:p w14:paraId="506A1743" w14:textId="77777777" w:rsidR="00C0200A" w:rsidRPr="00C0200A" w:rsidRDefault="00C0200A" w:rsidP="00C0200A">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The overall profile of the respondents revealed that a majority belonged to the middle-age group with relatively good educational levels, predominantly high school and graduation, and most of them were medium farmers. Agriculture combined with animal husbandry emerged as the major occupation, highlighting the importance of integrated farming systems for sustaining livelihoods. In terms of income, more than two-thirds of the farmers were placed in the medium-income category, which suggests moderate economic stability but limited potential for large-scale investments. Scientific orientation, however, showed that a significant share of farmers still remained in the low category, pointing towards a gap in the adoption of scientific approaches and innovative practices.</w:t>
      </w:r>
    </w:p>
    <w:p w14:paraId="75AF14F5" w14:textId="6069072B" w:rsidR="000C6C1D" w:rsidRPr="0007014C" w:rsidRDefault="00C0200A" w:rsidP="0007014C">
      <w:pPr>
        <w:spacing w:before="100" w:beforeAutospacing="1" w:after="100" w:afterAutospacing="1" w:line="360" w:lineRule="auto"/>
        <w:ind w:firstLine="720"/>
        <w:jc w:val="both"/>
        <w:rPr>
          <w:rFonts w:ascii="Times New Roman" w:hAnsi="Times New Roman"/>
          <w:color w:val="000000"/>
          <w:sz w:val="24"/>
          <w:szCs w:val="24"/>
          <w:lang w:val="en-US"/>
        </w:rPr>
      </w:pPr>
      <w:r w:rsidRPr="00C0200A">
        <w:rPr>
          <w:rFonts w:ascii="Times New Roman" w:hAnsi="Times New Roman"/>
          <w:color w:val="000000"/>
          <w:sz w:val="24"/>
          <w:szCs w:val="24"/>
          <w:lang w:val="en-US"/>
        </w:rPr>
        <w:t xml:space="preserve">Extension and social variables indicated mixed patterns. A considerable proportion of farmers reported low to medium levels of extension contact, participation, and social involvement, reflecting restricted access to institutional support and networking opportunities. Mass media exposure was largely confined to traditional sources, with limited use of modern ICT platforms. To address these gaps, policy interventions should focus on strengthening extension services through regular field visits and digital advisory systems, promoting farmer interest groups and cooperatives to enhance social capital, and encouraging wider use of ICT and mobile-based applications for timely information. Skill development </w:t>
      </w:r>
      <w:proofErr w:type="spellStart"/>
      <w:r w:rsidRPr="00C0200A">
        <w:rPr>
          <w:rFonts w:ascii="Times New Roman" w:hAnsi="Times New Roman"/>
          <w:color w:val="000000"/>
          <w:sz w:val="24"/>
          <w:szCs w:val="24"/>
          <w:lang w:val="en-US"/>
        </w:rPr>
        <w:t>programmes</w:t>
      </w:r>
      <w:proofErr w:type="spellEnd"/>
      <w:r w:rsidRPr="00C0200A">
        <w:rPr>
          <w:rFonts w:ascii="Times New Roman" w:hAnsi="Times New Roman"/>
          <w:color w:val="000000"/>
          <w:sz w:val="24"/>
          <w:szCs w:val="24"/>
          <w:lang w:val="en-US"/>
        </w:rPr>
        <w:t xml:space="preserve">, exposure visits, and entrepreneurship-focused training should be prioritized to build scientific </w:t>
      </w:r>
      <w:r w:rsidRPr="00C0200A">
        <w:rPr>
          <w:rFonts w:ascii="Times New Roman" w:hAnsi="Times New Roman"/>
          <w:color w:val="000000"/>
          <w:sz w:val="24"/>
          <w:szCs w:val="24"/>
          <w:lang w:val="en-US"/>
        </w:rPr>
        <w:lastRenderedPageBreak/>
        <w:t>orientation and improve decision-making capacity, ultimately fostering higher levels of innovation and sustainable income generation among farmers.</w:t>
      </w:r>
      <w:bookmarkEnd w:id="0"/>
    </w:p>
    <w:p w14:paraId="7A964903" w14:textId="68EAA288" w:rsidR="00424975" w:rsidRPr="00B36DBA" w:rsidRDefault="006E29B1" w:rsidP="00B36DBA">
      <w:pPr>
        <w:spacing w:before="100" w:beforeAutospacing="1" w:after="100" w:afterAutospacing="1"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5. </w:t>
      </w:r>
      <w:r w:rsidR="00B6367B" w:rsidRPr="00B6367B">
        <w:rPr>
          <w:rFonts w:ascii="Times New Roman" w:hAnsi="Times New Roman"/>
          <w:b/>
          <w:bCs/>
          <w:color w:val="000000"/>
          <w:sz w:val="24"/>
          <w:szCs w:val="24"/>
        </w:rPr>
        <w:t xml:space="preserve">References </w:t>
      </w:r>
    </w:p>
    <w:p w14:paraId="2646347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Agarwal, Subodh and Goyal, S. (2022). Progression of Farmer Producer Organisations in India. </w:t>
      </w:r>
      <w:r w:rsidRPr="00B00AEF">
        <w:rPr>
          <w:rFonts w:ascii="Times New Roman" w:hAnsi="Times New Roman"/>
          <w:i/>
          <w:iCs/>
          <w:color w:val="000000"/>
          <w:sz w:val="24"/>
          <w:szCs w:val="24"/>
        </w:rPr>
        <w:t>The Indian Journal of Agricultural Sciences</w:t>
      </w:r>
      <w:r w:rsidRPr="00B00AEF">
        <w:rPr>
          <w:rFonts w:ascii="Times New Roman" w:hAnsi="Times New Roman"/>
          <w:color w:val="000000"/>
          <w:sz w:val="24"/>
          <w:szCs w:val="24"/>
        </w:rPr>
        <w:t>, 92(10): 1-8.</w:t>
      </w:r>
    </w:p>
    <w:p w14:paraId="6E57B5D5"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Ajith, A. (2018). Farmer Producer Organization of Idukki district: A multidimensional analysis on role, function and performance. M.Sc. (Ag.) Thesis, Kerala Agricultural University, Thrissur, 167p.</w:t>
      </w:r>
    </w:p>
    <w:p w14:paraId="35E7AF34"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Amitha</w:t>
      </w:r>
      <w:proofErr w:type="spellEnd"/>
      <w:r w:rsidRPr="00B00AEF">
        <w:rPr>
          <w:rFonts w:ascii="Times New Roman" w:hAnsi="Times New Roman"/>
          <w:color w:val="000000"/>
          <w:sz w:val="24"/>
          <w:szCs w:val="24"/>
        </w:rPr>
        <w:t xml:space="preserve">, C., Savitha, S., Sudha Rani, V., and </w:t>
      </w:r>
      <w:proofErr w:type="spellStart"/>
      <w:r w:rsidRPr="00B00AEF">
        <w:rPr>
          <w:rFonts w:ascii="Times New Roman" w:hAnsi="Times New Roman"/>
          <w:color w:val="000000"/>
          <w:sz w:val="24"/>
          <w:szCs w:val="24"/>
        </w:rPr>
        <w:t>Laxminarayana</w:t>
      </w:r>
      <w:proofErr w:type="spellEnd"/>
      <w:r w:rsidRPr="00B00AEF">
        <w:rPr>
          <w:rFonts w:ascii="Times New Roman" w:hAnsi="Times New Roman"/>
          <w:color w:val="000000"/>
          <w:sz w:val="24"/>
          <w:szCs w:val="24"/>
        </w:rPr>
        <w:t xml:space="preserve">, P. (2021). Evaluation of performance of Farmer Producer Organizations (FPOs) in Medak district of Telangana state.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24(1): 24-29.</w:t>
      </w:r>
    </w:p>
    <w:p w14:paraId="14393D6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Arvind, R. B., Belli, Karuna, K. M., Anil, K., and Harish, B. P. (2025). Assessing entrepreneurial behaviour of FPO members: Evidence from North Karnataka, India. </w:t>
      </w:r>
      <w:r w:rsidRPr="00B00AEF">
        <w:rPr>
          <w:rFonts w:ascii="Times New Roman" w:hAnsi="Times New Roman"/>
          <w:i/>
          <w:iCs/>
          <w:color w:val="000000"/>
          <w:sz w:val="24"/>
          <w:szCs w:val="24"/>
        </w:rPr>
        <w:t>Journal of Experimental Agriculture International</w:t>
      </w:r>
      <w:r w:rsidRPr="00B00AEF">
        <w:rPr>
          <w:rFonts w:ascii="Times New Roman" w:hAnsi="Times New Roman"/>
          <w:color w:val="000000"/>
          <w:sz w:val="24"/>
          <w:szCs w:val="24"/>
        </w:rPr>
        <w:t>, 47(8): 226-234.</w:t>
      </w:r>
    </w:p>
    <w:p w14:paraId="72F648C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Binkadakatti</w:t>
      </w:r>
      <w:proofErr w:type="spellEnd"/>
      <w:r w:rsidRPr="00B00AEF">
        <w:rPr>
          <w:rFonts w:ascii="Times New Roman" w:hAnsi="Times New Roman"/>
          <w:color w:val="000000"/>
          <w:sz w:val="24"/>
          <w:szCs w:val="24"/>
        </w:rPr>
        <w:t xml:space="preserve">, J. S., </w:t>
      </w:r>
      <w:proofErr w:type="spellStart"/>
      <w:r w:rsidRPr="00B00AEF">
        <w:rPr>
          <w:rFonts w:ascii="Times New Roman" w:hAnsi="Times New Roman"/>
          <w:color w:val="000000"/>
          <w:sz w:val="24"/>
          <w:szCs w:val="24"/>
        </w:rPr>
        <w:t>Hanchinal</w:t>
      </w:r>
      <w:proofErr w:type="spellEnd"/>
      <w:r w:rsidRPr="00B00AEF">
        <w:rPr>
          <w:rFonts w:ascii="Times New Roman" w:hAnsi="Times New Roman"/>
          <w:color w:val="000000"/>
          <w:sz w:val="24"/>
          <w:szCs w:val="24"/>
        </w:rPr>
        <w:t xml:space="preserve">, S. N., and </w:t>
      </w:r>
      <w:proofErr w:type="spellStart"/>
      <w:r w:rsidRPr="00B00AEF">
        <w:rPr>
          <w:rFonts w:ascii="Times New Roman" w:hAnsi="Times New Roman"/>
          <w:color w:val="000000"/>
          <w:sz w:val="24"/>
          <w:szCs w:val="24"/>
        </w:rPr>
        <w:t>Pawar</w:t>
      </w:r>
      <w:proofErr w:type="spellEnd"/>
      <w:r w:rsidRPr="00B00AEF">
        <w:rPr>
          <w:rFonts w:ascii="Times New Roman" w:hAnsi="Times New Roman"/>
          <w:color w:val="000000"/>
          <w:sz w:val="24"/>
          <w:szCs w:val="24"/>
        </w:rPr>
        <w:t xml:space="preserve">, B. (2011). Impact of KVK training programme on personal, socio-economic status and knowledge level of </w:t>
      </w:r>
      <w:proofErr w:type="spellStart"/>
      <w:r w:rsidRPr="00B00AEF">
        <w:rPr>
          <w:rFonts w:ascii="Times New Roman" w:hAnsi="Times New Roman"/>
          <w:color w:val="000000"/>
          <w:sz w:val="24"/>
          <w:szCs w:val="24"/>
        </w:rPr>
        <w:t>pigeonpea</w:t>
      </w:r>
      <w:proofErr w:type="spellEnd"/>
      <w:r w:rsidRPr="00B00AEF">
        <w:rPr>
          <w:rFonts w:ascii="Times New Roman" w:hAnsi="Times New Roman"/>
          <w:color w:val="000000"/>
          <w:sz w:val="24"/>
          <w:szCs w:val="24"/>
        </w:rPr>
        <w:t xml:space="preserve"> farmers in Gulbarga district. </w:t>
      </w:r>
      <w:r w:rsidRPr="00B00AEF">
        <w:rPr>
          <w:rFonts w:ascii="Times New Roman" w:hAnsi="Times New Roman"/>
          <w:i/>
          <w:iCs/>
          <w:color w:val="000000"/>
          <w:sz w:val="24"/>
          <w:szCs w:val="24"/>
        </w:rPr>
        <w:t>Agric. Update</w:t>
      </w:r>
      <w:r w:rsidRPr="00B00AEF">
        <w:rPr>
          <w:rFonts w:ascii="Times New Roman" w:hAnsi="Times New Roman"/>
          <w:color w:val="000000"/>
          <w:sz w:val="24"/>
          <w:szCs w:val="24"/>
        </w:rPr>
        <w:t>, 6(1): 133-136.</w:t>
      </w:r>
    </w:p>
    <w:p w14:paraId="6D52CD6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Chandra, S. K. (2017). A study on entrepreneurial behaviour of </w:t>
      </w:r>
      <w:proofErr w:type="spellStart"/>
      <w:r w:rsidRPr="00B00AEF">
        <w:rPr>
          <w:rFonts w:ascii="Times New Roman" w:hAnsi="Times New Roman"/>
          <w:color w:val="000000"/>
          <w:sz w:val="24"/>
          <w:szCs w:val="24"/>
        </w:rPr>
        <w:t>agri</w:t>
      </w:r>
      <w:proofErr w:type="spellEnd"/>
      <w:r w:rsidRPr="00B00AEF">
        <w:rPr>
          <w:rFonts w:ascii="Times New Roman" w:hAnsi="Times New Roman"/>
          <w:color w:val="000000"/>
          <w:sz w:val="24"/>
          <w:szCs w:val="24"/>
        </w:rPr>
        <w:t>-input retailers in Bilaspur district of Chhattisgarh. M.Sc. (Ag.) Thesis, Indira Gandhi Krishi Vishwavidyalaya, Raipur, India.</w:t>
      </w:r>
    </w:p>
    <w:p w14:paraId="1C9E39B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Chopade</w:t>
      </w:r>
      <w:proofErr w:type="spellEnd"/>
      <w:r w:rsidRPr="00B00AEF">
        <w:rPr>
          <w:rFonts w:ascii="Times New Roman" w:hAnsi="Times New Roman"/>
          <w:color w:val="000000"/>
          <w:sz w:val="24"/>
          <w:szCs w:val="24"/>
        </w:rPr>
        <w:t xml:space="preserve">, S. L., </w:t>
      </w:r>
      <w:proofErr w:type="spellStart"/>
      <w:r w:rsidRPr="00B00AEF">
        <w:rPr>
          <w:rFonts w:ascii="Times New Roman" w:hAnsi="Times New Roman"/>
          <w:color w:val="000000"/>
          <w:sz w:val="24"/>
          <w:szCs w:val="24"/>
        </w:rPr>
        <w:t>Kapse</w:t>
      </w:r>
      <w:proofErr w:type="spellEnd"/>
      <w:r w:rsidRPr="00B00AEF">
        <w:rPr>
          <w:rFonts w:ascii="Times New Roman" w:hAnsi="Times New Roman"/>
          <w:color w:val="000000"/>
          <w:sz w:val="24"/>
          <w:szCs w:val="24"/>
        </w:rPr>
        <w:t xml:space="preserve">, P. S., and </w:t>
      </w:r>
      <w:proofErr w:type="spellStart"/>
      <w:r w:rsidRPr="00B00AEF">
        <w:rPr>
          <w:rFonts w:ascii="Times New Roman" w:hAnsi="Times New Roman"/>
          <w:color w:val="000000"/>
          <w:sz w:val="24"/>
          <w:szCs w:val="24"/>
        </w:rPr>
        <w:t>Dhulgand</w:t>
      </w:r>
      <w:proofErr w:type="spellEnd"/>
      <w:r w:rsidRPr="00B00AEF">
        <w:rPr>
          <w:rFonts w:ascii="Times New Roman" w:hAnsi="Times New Roman"/>
          <w:color w:val="000000"/>
          <w:sz w:val="24"/>
          <w:szCs w:val="24"/>
        </w:rPr>
        <w:t xml:space="preserve">, V. G. (2019). Estimating profile of the Farmer Producer Company members. </w:t>
      </w:r>
      <w:r w:rsidRPr="00B00AEF">
        <w:rPr>
          <w:rFonts w:ascii="Times New Roman" w:hAnsi="Times New Roman"/>
          <w:i/>
          <w:iCs/>
          <w:color w:val="000000"/>
          <w:sz w:val="24"/>
          <w:szCs w:val="24"/>
        </w:rPr>
        <w:t>International Journal of Current Microbiology and Applied Sciences</w:t>
      </w:r>
      <w:r w:rsidRPr="00B00AEF">
        <w:rPr>
          <w:rFonts w:ascii="Times New Roman" w:hAnsi="Times New Roman"/>
          <w:color w:val="000000"/>
          <w:sz w:val="24"/>
          <w:szCs w:val="24"/>
        </w:rPr>
        <w:t>, 8(8): 1988-1994.</w:t>
      </w:r>
    </w:p>
    <w:p w14:paraId="7D19DB5A"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Dechamma</w:t>
      </w:r>
      <w:proofErr w:type="spellEnd"/>
      <w:r w:rsidRPr="00B00AEF">
        <w:rPr>
          <w:rFonts w:ascii="Times New Roman" w:hAnsi="Times New Roman"/>
          <w:color w:val="000000"/>
          <w:sz w:val="24"/>
          <w:szCs w:val="24"/>
        </w:rPr>
        <w:t xml:space="preserve">, S., Krishnamurthy, B., Shashidhar, B. M., and </w:t>
      </w:r>
      <w:proofErr w:type="spellStart"/>
      <w:r w:rsidRPr="00B00AEF">
        <w:rPr>
          <w:rFonts w:ascii="Times New Roman" w:hAnsi="Times New Roman"/>
          <w:color w:val="000000"/>
          <w:sz w:val="24"/>
          <w:szCs w:val="24"/>
        </w:rPr>
        <w:t>Vasanthakumari</w:t>
      </w:r>
      <w:proofErr w:type="spellEnd"/>
      <w:r w:rsidRPr="00B00AEF">
        <w:rPr>
          <w:rFonts w:ascii="Times New Roman" w:hAnsi="Times New Roman"/>
          <w:color w:val="000000"/>
          <w:sz w:val="24"/>
          <w:szCs w:val="24"/>
        </w:rPr>
        <w:t xml:space="preserve">, R. (2020). Profile characteristics of members of Farmer Producer Organizations (FPOs). </w:t>
      </w:r>
      <w:r w:rsidRPr="00B00AEF">
        <w:rPr>
          <w:rFonts w:ascii="Times New Roman" w:hAnsi="Times New Roman"/>
          <w:i/>
          <w:iCs/>
          <w:color w:val="000000"/>
          <w:sz w:val="24"/>
          <w:szCs w:val="24"/>
        </w:rPr>
        <w:t>International Journal of Agriculture Sciences</w:t>
      </w:r>
      <w:r w:rsidRPr="00B00AEF">
        <w:rPr>
          <w:rFonts w:ascii="Times New Roman" w:hAnsi="Times New Roman"/>
          <w:color w:val="000000"/>
          <w:sz w:val="24"/>
          <w:szCs w:val="24"/>
        </w:rPr>
        <w:t>, 12(3): 45-52.</w:t>
      </w:r>
    </w:p>
    <w:p w14:paraId="640107C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lastRenderedPageBreak/>
        <w:t xml:space="preserve">Deshmukh, S. K. J. M. and </w:t>
      </w:r>
      <w:proofErr w:type="spellStart"/>
      <w:r w:rsidRPr="00B00AEF">
        <w:rPr>
          <w:rFonts w:ascii="Times New Roman" w:hAnsi="Times New Roman"/>
          <w:color w:val="000000"/>
          <w:sz w:val="24"/>
          <w:szCs w:val="24"/>
        </w:rPr>
        <w:t>Sk</w:t>
      </w:r>
      <w:proofErr w:type="spellEnd"/>
      <w:r w:rsidRPr="00B00AEF">
        <w:rPr>
          <w:rFonts w:ascii="Times New Roman" w:hAnsi="Times New Roman"/>
          <w:color w:val="000000"/>
          <w:sz w:val="24"/>
          <w:szCs w:val="24"/>
        </w:rPr>
        <w:t xml:space="preserve">, M. S. R. (2019). Association between selected attributes of FPO members and their entrepreneurial behaviour.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19(2): 60-62.</w:t>
      </w:r>
    </w:p>
    <w:p w14:paraId="16942F5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Gorai</w:t>
      </w:r>
      <w:proofErr w:type="spellEnd"/>
      <w:r w:rsidRPr="00B00AEF">
        <w:rPr>
          <w:rFonts w:ascii="Times New Roman" w:hAnsi="Times New Roman"/>
          <w:color w:val="000000"/>
          <w:sz w:val="24"/>
          <w:szCs w:val="24"/>
        </w:rPr>
        <w:t xml:space="preserve">, S. K., </w:t>
      </w:r>
      <w:proofErr w:type="spellStart"/>
      <w:r w:rsidRPr="00B00AEF">
        <w:rPr>
          <w:rFonts w:ascii="Times New Roman" w:hAnsi="Times New Roman"/>
          <w:color w:val="000000"/>
          <w:sz w:val="24"/>
          <w:szCs w:val="24"/>
        </w:rPr>
        <w:t>Wason</w:t>
      </w:r>
      <w:proofErr w:type="spellEnd"/>
      <w:r w:rsidRPr="00B00AEF">
        <w:rPr>
          <w:rFonts w:ascii="Times New Roman" w:hAnsi="Times New Roman"/>
          <w:color w:val="000000"/>
          <w:sz w:val="24"/>
          <w:szCs w:val="24"/>
        </w:rPr>
        <w:t xml:space="preserve">, M., </w:t>
      </w:r>
      <w:proofErr w:type="spellStart"/>
      <w:r w:rsidRPr="00B00AEF">
        <w:rPr>
          <w:rFonts w:ascii="Times New Roman" w:hAnsi="Times New Roman"/>
          <w:color w:val="000000"/>
          <w:sz w:val="24"/>
          <w:szCs w:val="24"/>
        </w:rPr>
        <w:t>Padaria</w:t>
      </w:r>
      <w:proofErr w:type="spellEnd"/>
      <w:r w:rsidRPr="00B00AEF">
        <w:rPr>
          <w:rFonts w:ascii="Times New Roman" w:hAnsi="Times New Roman"/>
          <w:color w:val="000000"/>
          <w:sz w:val="24"/>
          <w:szCs w:val="24"/>
        </w:rPr>
        <w:t xml:space="preserve">, R., Rao, P. S., and Paul, R. (2022). Comparative analysis of the profile of the member farmers of high-performing and low-performing Farmer Producer Organisations in West Bengal. </w:t>
      </w:r>
      <w:r w:rsidRPr="00B00AEF">
        <w:rPr>
          <w:rFonts w:ascii="Times New Roman" w:hAnsi="Times New Roman"/>
          <w:i/>
          <w:iCs/>
          <w:color w:val="000000"/>
          <w:sz w:val="24"/>
          <w:szCs w:val="24"/>
        </w:rPr>
        <w:t>Indian Journal of Agricultural Sciences</w:t>
      </w:r>
      <w:r w:rsidRPr="00B00AEF">
        <w:rPr>
          <w:rFonts w:ascii="Times New Roman" w:hAnsi="Times New Roman"/>
          <w:color w:val="000000"/>
          <w:sz w:val="24"/>
          <w:szCs w:val="24"/>
        </w:rPr>
        <w:t>, 92(7): 931-940.</w:t>
      </w:r>
    </w:p>
    <w:p w14:paraId="4DE8F27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Government of India, Ministry of Statistics &amp; Programme Implementation. (2025, July 30). 4.9 Land holdings and agricultural census. </w:t>
      </w:r>
      <w:r w:rsidRPr="00B00AEF">
        <w:rPr>
          <w:rFonts w:ascii="Times New Roman" w:hAnsi="Times New Roman"/>
          <w:i/>
          <w:iCs/>
          <w:color w:val="000000"/>
          <w:sz w:val="24"/>
          <w:szCs w:val="24"/>
        </w:rPr>
        <w:t>Annual Report</w:t>
      </w:r>
      <w:r w:rsidRPr="00B00AEF">
        <w:rPr>
          <w:rFonts w:ascii="Times New Roman" w:hAnsi="Times New Roman"/>
          <w:color w:val="000000"/>
          <w:sz w:val="24"/>
          <w:szCs w:val="24"/>
        </w:rPr>
        <w:t xml:space="preserve"> (Section 4.9). Retrieved August 28, 2025, from https://mospi.gov.in.</w:t>
      </w:r>
    </w:p>
    <w:p w14:paraId="7CAAEBF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Jose, Asha Elizabeth. (2018). A study on entrepreneurial behaviour of Farmers Producer Organisation (FPO) members for livelihood security. M.Sc. Thesis, Kerala Agricultural University, </w:t>
      </w:r>
      <w:proofErr w:type="spellStart"/>
      <w:r w:rsidRPr="00B00AEF">
        <w:rPr>
          <w:rFonts w:ascii="Times New Roman" w:hAnsi="Times New Roman"/>
          <w:color w:val="000000"/>
          <w:sz w:val="24"/>
          <w:szCs w:val="24"/>
        </w:rPr>
        <w:t>Vellayani</w:t>
      </w:r>
      <w:proofErr w:type="spellEnd"/>
      <w:r w:rsidRPr="00B00AEF">
        <w:rPr>
          <w:rFonts w:ascii="Times New Roman" w:hAnsi="Times New Roman"/>
          <w:color w:val="000000"/>
          <w:sz w:val="24"/>
          <w:szCs w:val="24"/>
        </w:rPr>
        <w:t>, Kerala, India.</w:t>
      </w:r>
    </w:p>
    <w:p w14:paraId="442A4A2D"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Khandave</w:t>
      </w:r>
      <w:proofErr w:type="spellEnd"/>
      <w:r w:rsidRPr="00B00AEF">
        <w:rPr>
          <w:rFonts w:ascii="Times New Roman" w:hAnsi="Times New Roman"/>
          <w:color w:val="000000"/>
          <w:sz w:val="24"/>
          <w:szCs w:val="24"/>
        </w:rPr>
        <w:t xml:space="preserve">, S., Deshmukh, J. M., and </w:t>
      </w:r>
      <w:proofErr w:type="spellStart"/>
      <w:r w:rsidRPr="00B00AEF">
        <w:rPr>
          <w:rFonts w:ascii="Times New Roman" w:hAnsi="Times New Roman"/>
          <w:color w:val="000000"/>
          <w:sz w:val="24"/>
          <w:szCs w:val="24"/>
        </w:rPr>
        <w:t>Sk</w:t>
      </w:r>
      <w:proofErr w:type="spellEnd"/>
      <w:r w:rsidRPr="00B00AEF">
        <w:rPr>
          <w:rFonts w:ascii="Times New Roman" w:hAnsi="Times New Roman"/>
          <w:color w:val="000000"/>
          <w:sz w:val="24"/>
          <w:szCs w:val="24"/>
        </w:rPr>
        <w:t xml:space="preserve">, M. S. R. (2019). Association between selected attributes of FPO members and their entrepreneurial behaviour. </w:t>
      </w:r>
      <w:r w:rsidRPr="00B00AEF">
        <w:rPr>
          <w:rFonts w:ascii="Times New Roman" w:hAnsi="Times New Roman"/>
          <w:i/>
          <w:iCs/>
          <w:color w:val="000000"/>
          <w:sz w:val="24"/>
          <w:szCs w:val="24"/>
        </w:rPr>
        <w:t>Indian Research Journal of Extension Education</w:t>
      </w:r>
      <w:r w:rsidRPr="00B00AEF">
        <w:rPr>
          <w:rFonts w:ascii="Times New Roman" w:hAnsi="Times New Roman"/>
          <w:color w:val="000000"/>
          <w:sz w:val="24"/>
          <w:szCs w:val="24"/>
        </w:rPr>
        <w:t>, 19(2&amp;3): 60-62.</w:t>
      </w:r>
    </w:p>
    <w:p w14:paraId="256C8115"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Kumar, P., </w:t>
      </w:r>
      <w:proofErr w:type="spellStart"/>
      <w:r w:rsidRPr="00B00AEF">
        <w:rPr>
          <w:rFonts w:ascii="Times New Roman" w:hAnsi="Times New Roman"/>
          <w:color w:val="000000"/>
          <w:sz w:val="24"/>
          <w:szCs w:val="24"/>
        </w:rPr>
        <w:t>Manaswi</w:t>
      </w:r>
      <w:proofErr w:type="spellEnd"/>
      <w:r w:rsidRPr="00B00AEF">
        <w:rPr>
          <w:rFonts w:ascii="Times New Roman" w:hAnsi="Times New Roman"/>
          <w:color w:val="000000"/>
          <w:sz w:val="24"/>
          <w:szCs w:val="24"/>
        </w:rPr>
        <w:t xml:space="preserve">, B. H., Prakash, P., </w:t>
      </w:r>
      <w:proofErr w:type="spellStart"/>
      <w:r w:rsidRPr="00B00AEF">
        <w:rPr>
          <w:rFonts w:ascii="Times New Roman" w:hAnsi="Times New Roman"/>
          <w:color w:val="000000"/>
          <w:sz w:val="24"/>
          <w:szCs w:val="24"/>
        </w:rPr>
        <w:t>Anbukkani</w:t>
      </w:r>
      <w:proofErr w:type="spellEnd"/>
      <w:r w:rsidRPr="00B00AEF">
        <w:rPr>
          <w:rFonts w:ascii="Times New Roman" w:hAnsi="Times New Roman"/>
          <w:color w:val="000000"/>
          <w:sz w:val="24"/>
          <w:szCs w:val="24"/>
        </w:rPr>
        <w:t xml:space="preserve">, P., Kar, A., Jha, G. K., Rao, D. U. M., and Lenin, V. (2019). Impact of farmer producer organization on organic chilli production in Telangana, India. </w:t>
      </w:r>
      <w:r w:rsidRPr="00B00AEF">
        <w:rPr>
          <w:rFonts w:ascii="Times New Roman" w:hAnsi="Times New Roman"/>
          <w:i/>
          <w:iCs/>
          <w:color w:val="000000"/>
          <w:sz w:val="24"/>
          <w:szCs w:val="24"/>
        </w:rPr>
        <w:t>Indian Journal of Traditional Knowledge</w:t>
      </w:r>
      <w:r w:rsidRPr="00B00AEF">
        <w:rPr>
          <w:rFonts w:ascii="Times New Roman" w:hAnsi="Times New Roman"/>
          <w:color w:val="000000"/>
          <w:sz w:val="24"/>
          <w:szCs w:val="24"/>
        </w:rPr>
        <w:t>, 19(1): 33-43.</w:t>
      </w:r>
    </w:p>
    <w:p w14:paraId="4EA0C93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Kumar, S., Kumar, R., Meena, P. C., and Kumar, A. (2023). Determinants of performance and constraints faced by Farmer Producer Organizations (FPOs) in India. </w:t>
      </w:r>
      <w:r w:rsidRPr="00B00AEF">
        <w:rPr>
          <w:rFonts w:ascii="Times New Roman" w:hAnsi="Times New Roman"/>
          <w:i/>
          <w:iCs/>
          <w:color w:val="000000"/>
          <w:sz w:val="24"/>
          <w:szCs w:val="24"/>
        </w:rPr>
        <w:t>Indian Journal of Extension Education</w:t>
      </w:r>
      <w:r w:rsidRPr="00B00AEF">
        <w:rPr>
          <w:rFonts w:ascii="Times New Roman" w:hAnsi="Times New Roman"/>
          <w:color w:val="000000"/>
          <w:sz w:val="24"/>
          <w:szCs w:val="24"/>
        </w:rPr>
        <w:t>, 59(2): 1-5.</w:t>
      </w:r>
    </w:p>
    <w:p w14:paraId="0953FA82"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Mahesh </w:t>
      </w:r>
      <w:proofErr w:type="spellStart"/>
      <w:r w:rsidRPr="00B00AEF">
        <w:rPr>
          <w:rFonts w:ascii="Times New Roman" w:hAnsi="Times New Roman"/>
          <w:color w:val="000000"/>
          <w:sz w:val="24"/>
          <w:szCs w:val="24"/>
        </w:rPr>
        <w:t>Babu</w:t>
      </w:r>
      <w:proofErr w:type="spellEnd"/>
      <w:r w:rsidRPr="00B00AEF">
        <w:rPr>
          <w:rFonts w:ascii="Times New Roman" w:hAnsi="Times New Roman"/>
          <w:color w:val="000000"/>
          <w:sz w:val="24"/>
          <w:szCs w:val="24"/>
        </w:rPr>
        <w:t xml:space="preserve">, T., Lakshmi, T., Prasad, S. V., Sumathi, V., and Ramana Murthy, B. (2021). Profile of farmer producer organization (FPO) members in Rayalaseema region of Andhra Pradesh.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10(4S): 501-505.</w:t>
      </w:r>
    </w:p>
    <w:p w14:paraId="75BDF13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lastRenderedPageBreak/>
        <w:t>Nandhini</w:t>
      </w:r>
      <w:proofErr w:type="spellEnd"/>
      <w:r w:rsidRPr="00B00AEF">
        <w:rPr>
          <w:rFonts w:ascii="Times New Roman" w:hAnsi="Times New Roman"/>
          <w:color w:val="000000"/>
          <w:sz w:val="24"/>
          <w:szCs w:val="24"/>
        </w:rPr>
        <w:t xml:space="preserve">, S., Sivakumar, S. D., Balaji, P., </w:t>
      </w:r>
      <w:proofErr w:type="spellStart"/>
      <w:r w:rsidRPr="00B00AEF">
        <w:rPr>
          <w:rFonts w:ascii="Times New Roman" w:hAnsi="Times New Roman"/>
          <w:color w:val="000000"/>
          <w:sz w:val="24"/>
          <w:szCs w:val="24"/>
        </w:rPr>
        <w:t>Venkatesa</w:t>
      </w:r>
      <w:proofErr w:type="spellEnd"/>
      <w:r w:rsidRPr="00B00AEF">
        <w:rPr>
          <w:rFonts w:ascii="Times New Roman" w:hAnsi="Times New Roman"/>
          <w:color w:val="000000"/>
          <w:sz w:val="24"/>
          <w:szCs w:val="24"/>
        </w:rPr>
        <w:t xml:space="preserve">, P., </w:t>
      </w:r>
      <w:proofErr w:type="spellStart"/>
      <w:r w:rsidRPr="00B00AEF">
        <w:rPr>
          <w:rFonts w:ascii="Times New Roman" w:hAnsi="Times New Roman"/>
          <w:color w:val="000000"/>
          <w:sz w:val="24"/>
          <w:szCs w:val="24"/>
        </w:rPr>
        <w:t>Anandhi</w:t>
      </w:r>
      <w:proofErr w:type="spellEnd"/>
      <w:r w:rsidRPr="00B00AEF">
        <w:rPr>
          <w:rFonts w:ascii="Times New Roman" w:hAnsi="Times New Roman"/>
          <w:color w:val="000000"/>
          <w:sz w:val="24"/>
          <w:szCs w:val="24"/>
        </w:rPr>
        <w:t xml:space="preserve">, V., Balasubramanian, P., </w:t>
      </w:r>
      <w:proofErr w:type="spellStart"/>
      <w:r w:rsidRPr="00B00AEF">
        <w:rPr>
          <w:rFonts w:ascii="Times New Roman" w:hAnsi="Times New Roman"/>
          <w:color w:val="000000"/>
          <w:sz w:val="24"/>
          <w:szCs w:val="24"/>
        </w:rPr>
        <w:t>Vasanthi</w:t>
      </w:r>
      <w:proofErr w:type="spellEnd"/>
      <w:r w:rsidRPr="00B00AEF">
        <w:rPr>
          <w:rFonts w:ascii="Times New Roman" w:hAnsi="Times New Roman"/>
          <w:color w:val="000000"/>
          <w:sz w:val="24"/>
          <w:szCs w:val="24"/>
        </w:rPr>
        <w:t xml:space="preserve">, R., and Ajay Kumar. (2023). Impact of blockchain technology adoption in farms of FPO members. </w:t>
      </w:r>
      <w:r w:rsidRPr="00B00AEF">
        <w:rPr>
          <w:rFonts w:ascii="Times New Roman" w:hAnsi="Times New Roman"/>
          <w:i/>
          <w:iCs/>
          <w:color w:val="000000"/>
          <w:sz w:val="24"/>
          <w:szCs w:val="24"/>
        </w:rPr>
        <w:t>The Indian Journal of Agricultural Sciences</w:t>
      </w:r>
      <w:r w:rsidRPr="00B00AEF">
        <w:rPr>
          <w:rFonts w:ascii="Times New Roman" w:hAnsi="Times New Roman"/>
          <w:color w:val="000000"/>
          <w:sz w:val="24"/>
          <w:szCs w:val="24"/>
        </w:rPr>
        <w:t>, 93(9): 1145-1153.</w:t>
      </w:r>
    </w:p>
    <w:p w14:paraId="12DAC5D6"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Nandini, H. M., Badal, P. S., and Anil, K. (2022). Basic profile and financial performance of farmer producer organizations (FPOs) in eastern dry zone of Karnataka.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11(4): 243-246.</w:t>
      </w:r>
    </w:p>
    <w:p w14:paraId="6DE45EE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Navya</w:t>
      </w:r>
      <w:proofErr w:type="spellEnd"/>
      <w:r w:rsidRPr="00B00AEF">
        <w:rPr>
          <w:rFonts w:ascii="Times New Roman" w:hAnsi="Times New Roman"/>
          <w:color w:val="000000"/>
          <w:sz w:val="24"/>
          <w:szCs w:val="24"/>
        </w:rPr>
        <w:t>, G., Sailaja, V., Kumar, P. G., and Rani, B. S. (n.d.). Profile of members of the tribal Farmer Producer Groups (FPGs) in Visakhapatnam district of Andhra Pradesh. Unpublished Report.</w:t>
      </w:r>
    </w:p>
    <w:p w14:paraId="6D19E50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Nayak, A. K. J. R. (2014). All India baseline study on producer companies and natural farming practices. NABARD Chair Report, Xavier Institute of Management, Bhubaneswar.</w:t>
      </w:r>
    </w:p>
    <w:p w14:paraId="15739250"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Nayak, B. and Banerjee, P. K. (2022). An analysis of socio-economic profile characteristics of vegetable growers in Odisha.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11(8S): 1770-1774.</w:t>
      </w:r>
    </w:p>
    <w:p w14:paraId="0DC0C20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Nikam</w:t>
      </w:r>
      <w:proofErr w:type="spellEnd"/>
      <w:r w:rsidRPr="00B00AEF">
        <w:rPr>
          <w:rFonts w:ascii="Times New Roman" w:hAnsi="Times New Roman"/>
          <w:color w:val="000000"/>
          <w:sz w:val="24"/>
          <w:szCs w:val="24"/>
        </w:rPr>
        <w:t xml:space="preserve">, V., Singh, P., </w:t>
      </w:r>
      <w:proofErr w:type="spellStart"/>
      <w:r w:rsidRPr="00B00AEF">
        <w:rPr>
          <w:rFonts w:ascii="Times New Roman" w:hAnsi="Times New Roman"/>
          <w:color w:val="000000"/>
          <w:sz w:val="24"/>
          <w:szCs w:val="24"/>
        </w:rPr>
        <w:t>Arathy</w:t>
      </w:r>
      <w:proofErr w:type="spellEnd"/>
      <w:r w:rsidRPr="00B00AEF">
        <w:rPr>
          <w:rFonts w:ascii="Times New Roman" w:hAnsi="Times New Roman"/>
          <w:color w:val="000000"/>
          <w:sz w:val="24"/>
          <w:szCs w:val="24"/>
        </w:rPr>
        <w:t xml:space="preserve">, A., and Kumar, S. (2019). Farmer producer organisations: Innovative institutions for upliftment of small farmers. </w:t>
      </w:r>
      <w:r w:rsidRPr="00B00AEF">
        <w:rPr>
          <w:rFonts w:ascii="Times New Roman" w:hAnsi="Times New Roman"/>
          <w:i/>
          <w:iCs/>
          <w:color w:val="000000"/>
          <w:sz w:val="24"/>
          <w:szCs w:val="24"/>
        </w:rPr>
        <w:t>Indian Journal of Agricultural Sciences</w:t>
      </w:r>
      <w:r w:rsidRPr="00B00AEF">
        <w:rPr>
          <w:rFonts w:ascii="Times New Roman" w:hAnsi="Times New Roman"/>
          <w:color w:val="000000"/>
          <w:sz w:val="24"/>
          <w:szCs w:val="24"/>
        </w:rPr>
        <w:t>, 89(5): 789-796.</w:t>
      </w:r>
    </w:p>
    <w:p w14:paraId="36E084DF"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Padmaja, S. S., Ojha, J. K., </w:t>
      </w:r>
      <w:proofErr w:type="spellStart"/>
      <w:r w:rsidRPr="00B00AEF">
        <w:rPr>
          <w:rFonts w:ascii="Times New Roman" w:hAnsi="Times New Roman"/>
          <w:color w:val="000000"/>
          <w:sz w:val="24"/>
          <w:szCs w:val="24"/>
        </w:rPr>
        <w:t>Shok</w:t>
      </w:r>
      <w:proofErr w:type="spellEnd"/>
      <w:r w:rsidRPr="00B00AEF">
        <w:rPr>
          <w:rFonts w:ascii="Times New Roman" w:hAnsi="Times New Roman"/>
          <w:color w:val="000000"/>
          <w:sz w:val="24"/>
          <w:szCs w:val="24"/>
        </w:rPr>
        <w:t xml:space="preserve">, A., and </w:t>
      </w:r>
      <w:proofErr w:type="spellStart"/>
      <w:r w:rsidRPr="00B00AEF">
        <w:rPr>
          <w:rFonts w:ascii="Times New Roman" w:hAnsi="Times New Roman"/>
          <w:color w:val="000000"/>
          <w:sz w:val="24"/>
          <w:szCs w:val="24"/>
        </w:rPr>
        <w:t>Nikam</w:t>
      </w:r>
      <w:proofErr w:type="spellEnd"/>
      <w:r w:rsidRPr="00B00AEF">
        <w:rPr>
          <w:rFonts w:ascii="Times New Roman" w:hAnsi="Times New Roman"/>
          <w:color w:val="000000"/>
          <w:sz w:val="24"/>
          <w:szCs w:val="24"/>
        </w:rPr>
        <w:t>, V. R. (2019). Farmer producer companies in India: Trends, patterns, performance and way forward. National Institute of Agricultural Economics and Policy Research Report.</w:t>
      </w:r>
    </w:p>
    <w:p w14:paraId="5E56424A"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 xml:space="preserve">Patil, P. A., </w:t>
      </w:r>
      <w:proofErr w:type="spellStart"/>
      <w:r w:rsidRPr="00B00AEF">
        <w:rPr>
          <w:rFonts w:ascii="Times New Roman" w:hAnsi="Times New Roman"/>
          <w:color w:val="000000"/>
          <w:sz w:val="24"/>
          <w:szCs w:val="24"/>
        </w:rPr>
        <w:t>Kharde</w:t>
      </w:r>
      <w:proofErr w:type="spellEnd"/>
      <w:r w:rsidRPr="00B00AEF">
        <w:rPr>
          <w:rFonts w:ascii="Times New Roman" w:hAnsi="Times New Roman"/>
          <w:color w:val="000000"/>
          <w:sz w:val="24"/>
          <w:szCs w:val="24"/>
        </w:rPr>
        <w:t xml:space="preserve">, P. B., </w:t>
      </w:r>
      <w:proofErr w:type="spellStart"/>
      <w:r w:rsidRPr="00B00AEF">
        <w:rPr>
          <w:rFonts w:ascii="Times New Roman" w:hAnsi="Times New Roman"/>
          <w:color w:val="000000"/>
          <w:sz w:val="24"/>
          <w:szCs w:val="24"/>
        </w:rPr>
        <w:t>Ahire</w:t>
      </w:r>
      <w:proofErr w:type="spellEnd"/>
      <w:r w:rsidRPr="00B00AEF">
        <w:rPr>
          <w:rFonts w:ascii="Times New Roman" w:hAnsi="Times New Roman"/>
          <w:color w:val="000000"/>
          <w:sz w:val="24"/>
          <w:szCs w:val="24"/>
        </w:rPr>
        <w:t xml:space="preserve">, M. C., </w:t>
      </w:r>
      <w:proofErr w:type="spellStart"/>
      <w:r w:rsidRPr="00B00AEF">
        <w:rPr>
          <w:rFonts w:ascii="Times New Roman" w:hAnsi="Times New Roman"/>
          <w:color w:val="000000"/>
          <w:sz w:val="24"/>
          <w:szCs w:val="24"/>
        </w:rPr>
        <w:t>Kokate</w:t>
      </w:r>
      <w:proofErr w:type="spellEnd"/>
      <w:r w:rsidRPr="00B00AEF">
        <w:rPr>
          <w:rFonts w:ascii="Times New Roman" w:hAnsi="Times New Roman"/>
          <w:color w:val="000000"/>
          <w:sz w:val="24"/>
          <w:szCs w:val="24"/>
        </w:rPr>
        <w:t xml:space="preserve">, K. D., and </w:t>
      </w:r>
      <w:proofErr w:type="spellStart"/>
      <w:r w:rsidRPr="00B00AEF">
        <w:rPr>
          <w:rFonts w:ascii="Times New Roman" w:hAnsi="Times New Roman"/>
          <w:color w:val="000000"/>
          <w:sz w:val="24"/>
          <w:szCs w:val="24"/>
        </w:rPr>
        <w:t>Pokharkar</w:t>
      </w:r>
      <w:proofErr w:type="spellEnd"/>
      <w:r w:rsidRPr="00B00AEF">
        <w:rPr>
          <w:rFonts w:ascii="Times New Roman" w:hAnsi="Times New Roman"/>
          <w:color w:val="000000"/>
          <w:sz w:val="24"/>
          <w:szCs w:val="24"/>
        </w:rPr>
        <w:t xml:space="preserve">, V. G. (2023). Relationship between the profile of member farmers and impact of farmer Producer Company on the member farmers. </w:t>
      </w:r>
      <w:r w:rsidRPr="00B00AEF">
        <w:rPr>
          <w:rFonts w:ascii="Times New Roman" w:hAnsi="Times New Roman"/>
          <w:i/>
          <w:iCs/>
          <w:color w:val="000000"/>
          <w:sz w:val="24"/>
          <w:szCs w:val="24"/>
        </w:rPr>
        <w:t>The Pharma Innovation Journal</w:t>
      </w:r>
      <w:r w:rsidRPr="00B00AEF">
        <w:rPr>
          <w:rFonts w:ascii="Times New Roman" w:hAnsi="Times New Roman"/>
          <w:color w:val="000000"/>
          <w:sz w:val="24"/>
          <w:szCs w:val="24"/>
        </w:rPr>
        <w:t>, 12(8S): 842-845.</w:t>
      </w:r>
    </w:p>
    <w:p w14:paraId="2E3A0493"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Sreeram</w:t>
      </w:r>
      <w:proofErr w:type="spellEnd"/>
      <w:r w:rsidRPr="00B00AEF">
        <w:rPr>
          <w:rFonts w:ascii="Times New Roman" w:hAnsi="Times New Roman"/>
          <w:color w:val="000000"/>
          <w:sz w:val="24"/>
          <w:szCs w:val="24"/>
        </w:rPr>
        <w:t>, V. (2013). A study on entrepreneurial behaviour of members of “</w:t>
      </w:r>
      <w:proofErr w:type="spellStart"/>
      <w:r w:rsidRPr="00B00AEF">
        <w:rPr>
          <w:rFonts w:ascii="Times New Roman" w:hAnsi="Times New Roman"/>
          <w:color w:val="000000"/>
          <w:sz w:val="24"/>
          <w:szCs w:val="24"/>
        </w:rPr>
        <w:t>Kudumbasree</w:t>
      </w:r>
      <w:proofErr w:type="spellEnd"/>
      <w:r w:rsidRPr="00B00AEF">
        <w:rPr>
          <w:rFonts w:ascii="Times New Roman" w:hAnsi="Times New Roman"/>
          <w:color w:val="000000"/>
          <w:sz w:val="24"/>
          <w:szCs w:val="24"/>
        </w:rPr>
        <w:t xml:space="preserve">” NHGs in Palakkad district of Kerala. M.Sc. (Ag.) Thesis, Acharya N. G. </w:t>
      </w:r>
      <w:proofErr w:type="spellStart"/>
      <w:r w:rsidRPr="00B00AEF">
        <w:rPr>
          <w:rFonts w:ascii="Times New Roman" w:hAnsi="Times New Roman"/>
          <w:color w:val="000000"/>
          <w:sz w:val="24"/>
          <w:szCs w:val="24"/>
        </w:rPr>
        <w:t>Ranga</w:t>
      </w:r>
      <w:proofErr w:type="spellEnd"/>
      <w:r w:rsidRPr="00B00AEF">
        <w:rPr>
          <w:rFonts w:ascii="Times New Roman" w:hAnsi="Times New Roman"/>
          <w:color w:val="000000"/>
          <w:sz w:val="24"/>
          <w:szCs w:val="24"/>
        </w:rPr>
        <w:t xml:space="preserve"> Agricultural University, Hyderabad, India, 175p.</w:t>
      </w:r>
    </w:p>
    <w:p w14:paraId="02CE4044"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Supe</w:t>
      </w:r>
      <w:proofErr w:type="spellEnd"/>
      <w:r w:rsidRPr="00B00AEF">
        <w:rPr>
          <w:rFonts w:ascii="Times New Roman" w:hAnsi="Times New Roman"/>
          <w:color w:val="000000"/>
          <w:sz w:val="24"/>
          <w:szCs w:val="24"/>
        </w:rPr>
        <w:t xml:space="preserve">, S. V. (1969). Factor related to difference of rationality in decision making among </w:t>
      </w:r>
      <w:bookmarkStart w:id="4" w:name="_GoBack"/>
      <w:bookmarkEnd w:id="4"/>
      <w:r w:rsidRPr="00B00AEF">
        <w:rPr>
          <w:rFonts w:ascii="Times New Roman" w:hAnsi="Times New Roman"/>
          <w:color w:val="000000"/>
          <w:sz w:val="24"/>
          <w:szCs w:val="24"/>
        </w:rPr>
        <w:t>farmers. Ph.D. Thesis, IARI, New Delhi.</w:t>
      </w:r>
    </w:p>
    <w:p w14:paraId="3D842168"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lastRenderedPageBreak/>
        <w:t xml:space="preserve">Sumana, N. A., </w:t>
      </w:r>
      <w:proofErr w:type="spellStart"/>
      <w:r w:rsidRPr="00B00AEF">
        <w:rPr>
          <w:rFonts w:ascii="Times New Roman" w:hAnsi="Times New Roman"/>
          <w:color w:val="000000"/>
          <w:sz w:val="24"/>
          <w:szCs w:val="24"/>
        </w:rPr>
        <w:t>Lakshminarayan</w:t>
      </w:r>
      <w:proofErr w:type="spellEnd"/>
      <w:r w:rsidRPr="00B00AEF">
        <w:rPr>
          <w:rFonts w:ascii="Times New Roman" w:hAnsi="Times New Roman"/>
          <w:color w:val="000000"/>
          <w:sz w:val="24"/>
          <w:szCs w:val="24"/>
        </w:rPr>
        <w:t xml:space="preserve">, M. T., </w:t>
      </w:r>
      <w:proofErr w:type="spellStart"/>
      <w:r w:rsidRPr="00B00AEF">
        <w:rPr>
          <w:rFonts w:ascii="Times New Roman" w:hAnsi="Times New Roman"/>
          <w:color w:val="000000"/>
          <w:sz w:val="24"/>
          <w:szCs w:val="24"/>
        </w:rPr>
        <w:t>Nataraju</w:t>
      </w:r>
      <w:proofErr w:type="spellEnd"/>
      <w:r w:rsidRPr="00B00AEF">
        <w:rPr>
          <w:rFonts w:ascii="Times New Roman" w:hAnsi="Times New Roman"/>
          <w:color w:val="000000"/>
          <w:sz w:val="24"/>
          <w:szCs w:val="24"/>
        </w:rPr>
        <w:t xml:space="preserve">, M. S., and James, D. (2018). Profile and marketing practices of grape growers. </w:t>
      </w:r>
      <w:r w:rsidRPr="00B00AEF">
        <w:rPr>
          <w:rFonts w:ascii="Times New Roman" w:hAnsi="Times New Roman"/>
          <w:i/>
          <w:iCs/>
          <w:color w:val="000000"/>
          <w:sz w:val="24"/>
          <w:szCs w:val="24"/>
        </w:rPr>
        <w:t>Indian Journal of Economics and Development</w:t>
      </w:r>
      <w:r w:rsidRPr="00B00AEF">
        <w:rPr>
          <w:rFonts w:ascii="Times New Roman" w:hAnsi="Times New Roman"/>
          <w:color w:val="000000"/>
          <w:sz w:val="24"/>
          <w:szCs w:val="24"/>
        </w:rPr>
        <w:t>, 6(2): 1-6.</w:t>
      </w:r>
    </w:p>
    <w:p w14:paraId="11026F2C"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Surudhi</w:t>
      </w:r>
      <w:proofErr w:type="spellEnd"/>
      <w:r w:rsidRPr="00B00AEF">
        <w:rPr>
          <w:rFonts w:ascii="Times New Roman" w:hAnsi="Times New Roman"/>
          <w:color w:val="000000"/>
          <w:sz w:val="24"/>
          <w:szCs w:val="24"/>
        </w:rPr>
        <w:t xml:space="preserve">, M., </w:t>
      </w:r>
      <w:proofErr w:type="spellStart"/>
      <w:r w:rsidRPr="00B00AEF">
        <w:rPr>
          <w:rFonts w:ascii="Times New Roman" w:hAnsi="Times New Roman"/>
          <w:color w:val="000000"/>
          <w:sz w:val="24"/>
          <w:szCs w:val="24"/>
        </w:rPr>
        <w:t>Asokhan</w:t>
      </w:r>
      <w:proofErr w:type="spellEnd"/>
      <w:r w:rsidRPr="00B00AEF">
        <w:rPr>
          <w:rFonts w:ascii="Times New Roman" w:hAnsi="Times New Roman"/>
          <w:color w:val="000000"/>
          <w:sz w:val="24"/>
          <w:szCs w:val="24"/>
        </w:rPr>
        <w:t xml:space="preserve">, M., and Arunachalam, R. (2018). Utilization pattern of extension tools and methods by Agricultural Extension Agents. </w:t>
      </w:r>
      <w:r w:rsidRPr="00B00AEF">
        <w:rPr>
          <w:rFonts w:ascii="Times New Roman" w:hAnsi="Times New Roman"/>
          <w:i/>
          <w:iCs/>
          <w:color w:val="000000"/>
          <w:sz w:val="24"/>
          <w:szCs w:val="24"/>
        </w:rPr>
        <w:t>Journal of Extension Education</w:t>
      </w:r>
      <w:r w:rsidRPr="00B00AEF">
        <w:rPr>
          <w:rFonts w:ascii="Times New Roman" w:hAnsi="Times New Roman"/>
          <w:color w:val="000000"/>
          <w:sz w:val="24"/>
          <w:szCs w:val="24"/>
        </w:rPr>
        <w:t>, 29(2): 55-62.</w:t>
      </w:r>
    </w:p>
    <w:p w14:paraId="256FB40B"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r w:rsidRPr="00B00AEF">
        <w:rPr>
          <w:rFonts w:ascii="Times New Roman" w:hAnsi="Times New Roman"/>
          <w:color w:val="000000"/>
          <w:sz w:val="24"/>
          <w:szCs w:val="24"/>
        </w:rPr>
        <w:t>Trivedi, G. and Pareek, U. (1963). Socio-economic status scale (rural): Measurement in extension research. Instruments Developed at IARI, New Delhi.</w:t>
      </w:r>
    </w:p>
    <w:p w14:paraId="495AC14B"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Valenzona</w:t>
      </w:r>
      <w:proofErr w:type="spellEnd"/>
      <w:r w:rsidRPr="00B00AEF">
        <w:rPr>
          <w:rFonts w:ascii="Times New Roman" w:hAnsi="Times New Roman"/>
          <w:color w:val="000000"/>
          <w:sz w:val="24"/>
          <w:szCs w:val="24"/>
        </w:rPr>
        <w:t xml:space="preserve">, R. M. P., </w:t>
      </w:r>
      <w:proofErr w:type="spellStart"/>
      <w:r w:rsidRPr="00B00AEF">
        <w:rPr>
          <w:rFonts w:ascii="Times New Roman" w:hAnsi="Times New Roman"/>
          <w:color w:val="000000"/>
          <w:sz w:val="24"/>
          <w:szCs w:val="24"/>
        </w:rPr>
        <w:t>Amestoso</w:t>
      </w:r>
      <w:proofErr w:type="spellEnd"/>
      <w:r w:rsidRPr="00B00AEF">
        <w:rPr>
          <w:rFonts w:ascii="Times New Roman" w:hAnsi="Times New Roman"/>
          <w:color w:val="000000"/>
          <w:sz w:val="24"/>
          <w:szCs w:val="24"/>
        </w:rPr>
        <w:t xml:space="preserve">, N. T., and </w:t>
      </w:r>
      <w:proofErr w:type="spellStart"/>
      <w:r w:rsidRPr="00B00AEF">
        <w:rPr>
          <w:rFonts w:ascii="Times New Roman" w:hAnsi="Times New Roman"/>
          <w:color w:val="000000"/>
          <w:sz w:val="24"/>
          <w:szCs w:val="24"/>
        </w:rPr>
        <w:t>Casinillo</w:t>
      </w:r>
      <w:proofErr w:type="spellEnd"/>
      <w:r w:rsidRPr="00B00AEF">
        <w:rPr>
          <w:rFonts w:ascii="Times New Roman" w:hAnsi="Times New Roman"/>
          <w:color w:val="000000"/>
          <w:sz w:val="24"/>
          <w:szCs w:val="24"/>
        </w:rPr>
        <w:t xml:space="preserve">, L. F. (2020). Assessing the success of farmers’ associations: The case of Baybay City, Leyte, Philippines. </w:t>
      </w:r>
      <w:r w:rsidRPr="00B00AEF">
        <w:rPr>
          <w:rFonts w:ascii="Times New Roman" w:hAnsi="Times New Roman"/>
          <w:i/>
          <w:iCs/>
          <w:color w:val="000000"/>
          <w:sz w:val="24"/>
          <w:szCs w:val="24"/>
        </w:rPr>
        <w:t>Journal of Agriculture and Technology Management (JATM)</w:t>
      </w:r>
      <w:r w:rsidRPr="00B00AEF">
        <w:rPr>
          <w:rFonts w:ascii="Times New Roman" w:hAnsi="Times New Roman"/>
          <w:color w:val="000000"/>
          <w:sz w:val="24"/>
          <w:szCs w:val="24"/>
        </w:rPr>
        <w:t>, 23(1): 14-25.</w:t>
      </w:r>
    </w:p>
    <w:p w14:paraId="39B63609" w14:textId="77777777" w:rsidR="00B00AEF" w:rsidRPr="00B00AEF" w:rsidRDefault="00B00AEF" w:rsidP="00B00AEF">
      <w:pPr>
        <w:spacing w:before="100" w:beforeAutospacing="1" w:after="100" w:afterAutospacing="1" w:line="360" w:lineRule="auto"/>
        <w:ind w:left="720" w:hanging="720"/>
        <w:jc w:val="both"/>
        <w:rPr>
          <w:rFonts w:ascii="Times New Roman" w:hAnsi="Times New Roman"/>
          <w:color w:val="000000"/>
          <w:sz w:val="24"/>
          <w:szCs w:val="24"/>
        </w:rPr>
      </w:pPr>
      <w:proofErr w:type="spellStart"/>
      <w:r w:rsidRPr="00B00AEF">
        <w:rPr>
          <w:rFonts w:ascii="Times New Roman" w:hAnsi="Times New Roman"/>
          <w:color w:val="000000"/>
          <w:sz w:val="24"/>
          <w:szCs w:val="24"/>
        </w:rPr>
        <w:t>Venkataramulu</w:t>
      </w:r>
      <w:proofErr w:type="spellEnd"/>
      <w:r w:rsidRPr="00B00AEF">
        <w:rPr>
          <w:rFonts w:ascii="Times New Roman" w:hAnsi="Times New Roman"/>
          <w:color w:val="000000"/>
          <w:sz w:val="24"/>
          <w:szCs w:val="24"/>
        </w:rPr>
        <w:t>, S. (2003). A study on the knowledge level, adoption and marketing behaviour of chilli growers in Guntur district of Andhra Pradesh. M.Sc. (Agri.) Thesis, University of Agricultural Sciences, Dharwad.</w:t>
      </w:r>
    </w:p>
    <w:p w14:paraId="002233D7" w14:textId="77777777" w:rsidR="00B36DBA" w:rsidRPr="00424975" w:rsidRDefault="00B36DBA" w:rsidP="00424975">
      <w:pPr>
        <w:spacing w:before="100" w:beforeAutospacing="1" w:after="100" w:afterAutospacing="1" w:line="360" w:lineRule="auto"/>
        <w:ind w:left="720" w:hanging="720"/>
        <w:jc w:val="both"/>
        <w:rPr>
          <w:rFonts w:ascii="Times New Roman" w:hAnsi="Times New Roman"/>
          <w:color w:val="000000"/>
          <w:sz w:val="24"/>
          <w:szCs w:val="24"/>
        </w:rPr>
      </w:pPr>
    </w:p>
    <w:sectPr w:rsidR="00B36DBA" w:rsidRPr="004249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52D24" w14:textId="77777777" w:rsidR="00055B6B" w:rsidRDefault="00055B6B" w:rsidP="00F812E0">
      <w:pPr>
        <w:spacing w:after="0" w:line="240" w:lineRule="auto"/>
      </w:pPr>
      <w:r>
        <w:separator/>
      </w:r>
    </w:p>
  </w:endnote>
  <w:endnote w:type="continuationSeparator" w:id="0">
    <w:p w14:paraId="4174B780" w14:textId="77777777" w:rsidR="00055B6B" w:rsidRDefault="00055B6B" w:rsidP="00F8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EF1B7" w14:textId="77777777" w:rsidR="00797747" w:rsidRDefault="00797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9B26" w14:textId="77777777" w:rsidR="00797747" w:rsidRDefault="00797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A437B" w14:textId="77777777" w:rsidR="00797747" w:rsidRDefault="00797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2858" w14:textId="77777777" w:rsidR="00055B6B" w:rsidRDefault="00055B6B" w:rsidP="00F812E0">
      <w:pPr>
        <w:spacing w:after="0" w:line="240" w:lineRule="auto"/>
      </w:pPr>
      <w:r>
        <w:separator/>
      </w:r>
    </w:p>
  </w:footnote>
  <w:footnote w:type="continuationSeparator" w:id="0">
    <w:p w14:paraId="5DB1B087" w14:textId="77777777" w:rsidR="00055B6B" w:rsidRDefault="00055B6B" w:rsidP="00F81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9685" w14:textId="7C5E7F65" w:rsidR="00797747" w:rsidRDefault="00797747">
    <w:pPr>
      <w:pStyle w:val="Header"/>
    </w:pPr>
    <w:r>
      <w:rPr>
        <w:noProof/>
      </w:rPr>
      <w:pict w14:anchorId="5BC3A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4809D" w14:textId="584D16CC" w:rsidR="00797747" w:rsidRDefault="00797747">
    <w:pPr>
      <w:pStyle w:val="Header"/>
    </w:pPr>
    <w:r>
      <w:rPr>
        <w:noProof/>
      </w:rPr>
      <w:pict w14:anchorId="0C920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A9D8" w14:textId="673039B1" w:rsidR="00797747" w:rsidRDefault="00797747">
    <w:pPr>
      <w:pStyle w:val="Header"/>
    </w:pPr>
    <w:r>
      <w:rPr>
        <w:noProof/>
      </w:rPr>
      <w:pict w14:anchorId="67A2A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89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3B4"/>
    <w:multiLevelType w:val="hybridMultilevel"/>
    <w:tmpl w:val="A06E114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63796B"/>
    <w:multiLevelType w:val="multilevel"/>
    <w:tmpl w:val="8632D5E2"/>
    <w:lvl w:ilvl="0">
      <w:start w:val="3"/>
      <w:numFmt w:val="decimal"/>
      <w:lvlText w:val="%1"/>
      <w:lvlJc w:val="left"/>
      <w:pPr>
        <w:ind w:left="3665" w:hanging="480"/>
      </w:pPr>
      <w:rPr>
        <w:rFonts w:hint="default"/>
      </w:rPr>
    </w:lvl>
    <w:lvl w:ilvl="1">
      <w:start w:val="8"/>
      <w:numFmt w:val="decimal"/>
      <w:lvlText w:val="%1.%2"/>
      <w:lvlJc w:val="left"/>
      <w:pPr>
        <w:ind w:left="3665" w:hanging="480"/>
      </w:pPr>
      <w:rPr>
        <w:rFonts w:hint="default"/>
      </w:rPr>
    </w:lvl>
    <w:lvl w:ilvl="2">
      <w:start w:val="1"/>
      <w:numFmt w:val="decimal"/>
      <w:lvlText w:val="%1.%2.%3"/>
      <w:lvlJc w:val="left"/>
      <w:pPr>
        <w:ind w:left="3905" w:hanging="720"/>
      </w:pPr>
      <w:rPr>
        <w:rFonts w:hint="default"/>
      </w:rPr>
    </w:lvl>
    <w:lvl w:ilvl="3">
      <w:start w:val="1"/>
      <w:numFmt w:val="decimal"/>
      <w:lvlText w:val="%1.%2.%3.%4"/>
      <w:lvlJc w:val="left"/>
      <w:pPr>
        <w:ind w:left="3905" w:hanging="720"/>
      </w:pPr>
      <w:rPr>
        <w:rFonts w:hint="default"/>
      </w:rPr>
    </w:lvl>
    <w:lvl w:ilvl="4">
      <w:start w:val="1"/>
      <w:numFmt w:val="decimal"/>
      <w:lvlText w:val="%1.%2.%3.%4.%5"/>
      <w:lvlJc w:val="left"/>
      <w:pPr>
        <w:ind w:left="4265"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4625"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4985" w:hanging="1800"/>
      </w:pPr>
      <w:rPr>
        <w:rFonts w:hint="default"/>
      </w:rPr>
    </w:lvl>
  </w:abstractNum>
  <w:abstractNum w:abstractNumId="2" w15:restartNumberingAfterBreak="0">
    <w:nsid w:val="25F01A57"/>
    <w:multiLevelType w:val="hybridMultilevel"/>
    <w:tmpl w:val="8ACA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7E2291"/>
    <w:multiLevelType w:val="hybridMultilevel"/>
    <w:tmpl w:val="8ACA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6666F"/>
    <w:multiLevelType w:val="hybridMultilevel"/>
    <w:tmpl w:val="711000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CD2889"/>
    <w:multiLevelType w:val="hybridMultilevel"/>
    <w:tmpl w:val="700854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570A0C"/>
    <w:multiLevelType w:val="hybridMultilevel"/>
    <w:tmpl w:val="12B0311E"/>
    <w:lvl w:ilvl="0" w:tplc="E6748FCC">
      <w:start w:val="2"/>
      <w:numFmt w:val="decimal"/>
      <w:lvlText w:val="%1)"/>
      <w:lvlJc w:val="left"/>
      <w:pPr>
        <w:ind w:left="405" w:hanging="360"/>
      </w:pPr>
      <w:rPr>
        <w:rFonts w:cs="Times New Roman"/>
        <w:b/>
      </w:rPr>
    </w:lvl>
    <w:lvl w:ilvl="1" w:tplc="40090019">
      <w:start w:val="1"/>
      <w:numFmt w:val="lowerLetter"/>
      <w:lvlText w:val="%2."/>
      <w:lvlJc w:val="left"/>
      <w:pPr>
        <w:ind w:left="1125" w:hanging="360"/>
      </w:pPr>
    </w:lvl>
    <w:lvl w:ilvl="2" w:tplc="4009001B">
      <w:start w:val="1"/>
      <w:numFmt w:val="lowerRoman"/>
      <w:lvlText w:val="%3."/>
      <w:lvlJc w:val="right"/>
      <w:pPr>
        <w:ind w:left="1845" w:hanging="180"/>
      </w:pPr>
    </w:lvl>
    <w:lvl w:ilvl="3" w:tplc="4009000F">
      <w:start w:val="1"/>
      <w:numFmt w:val="decimal"/>
      <w:lvlText w:val="%4."/>
      <w:lvlJc w:val="left"/>
      <w:pPr>
        <w:ind w:left="2565" w:hanging="360"/>
      </w:pPr>
    </w:lvl>
    <w:lvl w:ilvl="4" w:tplc="40090019">
      <w:start w:val="1"/>
      <w:numFmt w:val="lowerLetter"/>
      <w:lvlText w:val="%5."/>
      <w:lvlJc w:val="left"/>
      <w:pPr>
        <w:ind w:left="3285" w:hanging="360"/>
      </w:pPr>
    </w:lvl>
    <w:lvl w:ilvl="5" w:tplc="4009001B">
      <w:start w:val="1"/>
      <w:numFmt w:val="lowerRoman"/>
      <w:lvlText w:val="%6."/>
      <w:lvlJc w:val="right"/>
      <w:pPr>
        <w:ind w:left="4005" w:hanging="180"/>
      </w:pPr>
    </w:lvl>
    <w:lvl w:ilvl="6" w:tplc="4009000F">
      <w:start w:val="1"/>
      <w:numFmt w:val="decimal"/>
      <w:lvlText w:val="%7."/>
      <w:lvlJc w:val="left"/>
      <w:pPr>
        <w:ind w:left="4725" w:hanging="360"/>
      </w:pPr>
    </w:lvl>
    <w:lvl w:ilvl="7" w:tplc="40090019">
      <w:start w:val="1"/>
      <w:numFmt w:val="lowerLetter"/>
      <w:lvlText w:val="%8."/>
      <w:lvlJc w:val="left"/>
      <w:pPr>
        <w:ind w:left="5445" w:hanging="360"/>
      </w:pPr>
    </w:lvl>
    <w:lvl w:ilvl="8" w:tplc="4009001B">
      <w:start w:val="1"/>
      <w:numFmt w:val="lowerRoman"/>
      <w:lvlText w:val="%9."/>
      <w:lvlJc w:val="right"/>
      <w:pPr>
        <w:ind w:left="6165" w:hanging="180"/>
      </w:pPr>
    </w:lvl>
  </w:abstractNum>
  <w:abstractNum w:abstractNumId="7" w15:restartNumberingAfterBreak="0">
    <w:nsid w:val="608474B9"/>
    <w:multiLevelType w:val="hybridMultilevel"/>
    <w:tmpl w:val="5382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0A"/>
    <w:rsid w:val="000161BE"/>
    <w:rsid w:val="00034D5E"/>
    <w:rsid w:val="00055B6B"/>
    <w:rsid w:val="0007014C"/>
    <w:rsid w:val="0007219F"/>
    <w:rsid w:val="0009351F"/>
    <w:rsid w:val="000C6340"/>
    <w:rsid w:val="000C6C1D"/>
    <w:rsid w:val="000D4278"/>
    <w:rsid w:val="000F6151"/>
    <w:rsid w:val="0010623A"/>
    <w:rsid w:val="0011648B"/>
    <w:rsid w:val="00140329"/>
    <w:rsid w:val="00164840"/>
    <w:rsid w:val="001C2160"/>
    <w:rsid w:val="00214558"/>
    <w:rsid w:val="00240F96"/>
    <w:rsid w:val="00242B9A"/>
    <w:rsid w:val="002A3EC1"/>
    <w:rsid w:val="002F33D6"/>
    <w:rsid w:val="00311BA9"/>
    <w:rsid w:val="003565D2"/>
    <w:rsid w:val="00372826"/>
    <w:rsid w:val="00384D66"/>
    <w:rsid w:val="00422E70"/>
    <w:rsid w:val="00424975"/>
    <w:rsid w:val="00431C9B"/>
    <w:rsid w:val="00475413"/>
    <w:rsid w:val="004B396E"/>
    <w:rsid w:val="0057115D"/>
    <w:rsid w:val="0058066C"/>
    <w:rsid w:val="00584791"/>
    <w:rsid w:val="005D41C5"/>
    <w:rsid w:val="006014F4"/>
    <w:rsid w:val="00621C50"/>
    <w:rsid w:val="006309C4"/>
    <w:rsid w:val="006773B6"/>
    <w:rsid w:val="00677563"/>
    <w:rsid w:val="006E29B1"/>
    <w:rsid w:val="00707E9C"/>
    <w:rsid w:val="00720F50"/>
    <w:rsid w:val="00733078"/>
    <w:rsid w:val="007413C3"/>
    <w:rsid w:val="00752357"/>
    <w:rsid w:val="00797747"/>
    <w:rsid w:val="008208A6"/>
    <w:rsid w:val="0083014D"/>
    <w:rsid w:val="008603AB"/>
    <w:rsid w:val="008D182B"/>
    <w:rsid w:val="0091643F"/>
    <w:rsid w:val="009438E2"/>
    <w:rsid w:val="009C3FBE"/>
    <w:rsid w:val="00A05D05"/>
    <w:rsid w:val="00A271E4"/>
    <w:rsid w:val="00A62090"/>
    <w:rsid w:val="00A8056F"/>
    <w:rsid w:val="00A952B8"/>
    <w:rsid w:val="00A97B2E"/>
    <w:rsid w:val="00B00AEF"/>
    <w:rsid w:val="00B36DBA"/>
    <w:rsid w:val="00B6367B"/>
    <w:rsid w:val="00B825C5"/>
    <w:rsid w:val="00B844F4"/>
    <w:rsid w:val="00B92000"/>
    <w:rsid w:val="00C0200A"/>
    <w:rsid w:val="00C42ED5"/>
    <w:rsid w:val="00C67C48"/>
    <w:rsid w:val="00C84C94"/>
    <w:rsid w:val="00CA7FE2"/>
    <w:rsid w:val="00CC3202"/>
    <w:rsid w:val="00CF05E4"/>
    <w:rsid w:val="00D5382D"/>
    <w:rsid w:val="00D72359"/>
    <w:rsid w:val="00D908E9"/>
    <w:rsid w:val="00D955EF"/>
    <w:rsid w:val="00DC29A6"/>
    <w:rsid w:val="00DC6776"/>
    <w:rsid w:val="00E22609"/>
    <w:rsid w:val="00E2423F"/>
    <w:rsid w:val="00ED50E9"/>
    <w:rsid w:val="00F32C0A"/>
    <w:rsid w:val="00F404D4"/>
    <w:rsid w:val="00F418AF"/>
    <w:rsid w:val="00F55236"/>
    <w:rsid w:val="00F60F14"/>
    <w:rsid w:val="00F812E0"/>
    <w:rsid w:val="00F823E8"/>
    <w:rsid w:val="00F93883"/>
    <w:rsid w:val="00F95763"/>
    <w:rsid w:val="00FA3C8C"/>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89C2E"/>
  <w15:chartTrackingRefBased/>
  <w15:docId w15:val="{98FDF0FE-A279-455D-92F5-C8917ADD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84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11BA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1BA9"/>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11BA9"/>
    <w:rPr>
      <w:b/>
      <w:bCs/>
    </w:rPr>
  </w:style>
  <w:style w:type="character" w:styleId="Emphasis">
    <w:name w:val="Emphasis"/>
    <w:basedOn w:val="DefaultParagraphFont"/>
    <w:uiPriority w:val="20"/>
    <w:qFormat/>
    <w:rsid w:val="00311BA9"/>
    <w:rPr>
      <w:i/>
      <w:iCs/>
    </w:rPr>
  </w:style>
  <w:style w:type="paragraph" w:styleId="NormalWeb">
    <w:name w:val="Normal (Web)"/>
    <w:uiPriority w:val="99"/>
    <w:qFormat/>
    <w:rsid w:val="000C634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BodyText">
    <w:name w:val="Body Text"/>
    <w:basedOn w:val="Normal"/>
    <w:link w:val="BodyTextChar"/>
    <w:uiPriority w:val="1"/>
    <w:qFormat/>
    <w:rsid w:val="00B6367B"/>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6367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92000"/>
    <w:pPr>
      <w:ind w:left="720"/>
      <w:contextualSpacing/>
    </w:pPr>
  </w:style>
  <w:style w:type="character" w:styleId="Hyperlink">
    <w:name w:val="Hyperlink"/>
    <w:uiPriority w:val="99"/>
    <w:unhideWhenUsed/>
    <w:rsid w:val="00D72359"/>
    <w:rPr>
      <w:color w:val="0563C1"/>
      <w:u w:val="single"/>
    </w:rPr>
  </w:style>
  <w:style w:type="paragraph" w:styleId="CommentText">
    <w:name w:val="annotation text"/>
    <w:basedOn w:val="Normal"/>
    <w:link w:val="CommentTextChar"/>
    <w:uiPriority w:val="99"/>
    <w:unhideWhenUsed/>
    <w:rsid w:val="00D72359"/>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D72359"/>
    <w:rPr>
      <w:rFonts w:ascii="Calibri" w:eastAsia="Calibri" w:hAnsi="Calibri" w:cs="Times New Roman"/>
      <w:sz w:val="20"/>
      <w:szCs w:val="20"/>
      <w:lang w:val="en-US"/>
    </w:rPr>
  </w:style>
  <w:style w:type="table" w:styleId="TableGrid">
    <w:name w:val="Table Grid"/>
    <w:basedOn w:val="TableNormal"/>
    <w:uiPriority w:val="39"/>
    <w:qFormat/>
    <w:rsid w:val="00D7235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72359"/>
    <w:pPr>
      <w:spacing w:after="0" w:line="240" w:lineRule="auto"/>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D72359"/>
    <w:rPr>
      <w:color w:val="666666"/>
    </w:rPr>
  </w:style>
  <w:style w:type="paragraph" w:styleId="Header">
    <w:name w:val="header"/>
    <w:basedOn w:val="Normal"/>
    <w:link w:val="HeaderChar"/>
    <w:uiPriority w:val="99"/>
    <w:unhideWhenUsed/>
    <w:rsid w:val="00F81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2E0"/>
  </w:style>
  <w:style w:type="paragraph" w:styleId="Footer">
    <w:name w:val="footer"/>
    <w:basedOn w:val="Normal"/>
    <w:link w:val="FooterChar"/>
    <w:uiPriority w:val="99"/>
    <w:unhideWhenUsed/>
    <w:rsid w:val="00F81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2E0"/>
  </w:style>
  <w:style w:type="character" w:customStyle="1" w:styleId="Heading2Char">
    <w:name w:val="Heading 2 Char"/>
    <w:basedOn w:val="DefaultParagraphFont"/>
    <w:link w:val="Heading2"/>
    <w:uiPriority w:val="9"/>
    <w:semiHidden/>
    <w:rsid w:val="00C84C9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2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0853">
      <w:bodyDiv w:val="1"/>
      <w:marLeft w:val="0"/>
      <w:marRight w:val="0"/>
      <w:marTop w:val="0"/>
      <w:marBottom w:val="0"/>
      <w:divBdr>
        <w:top w:val="none" w:sz="0" w:space="0" w:color="auto"/>
        <w:left w:val="none" w:sz="0" w:space="0" w:color="auto"/>
        <w:bottom w:val="none" w:sz="0" w:space="0" w:color="auto"/>
        <w:right w:val="none" w:sz="0" w:space="0" w:color="auto"/>
      </w:divBdr>
    </w:div>
    <w:div w:id="93212543">
      <w:bodyDiv w:val="1"/>
      <w:marLeft w:val="0"/>
      <w:marRight w:val="0"/>
      <w:marTop w:val="0"/>
      <w:marBottom w:val="0"/>
      <w:divBdr>
        <w:top w:val="none" w:sz="0" w:space="0" w:color="auto"/>
        <w:left w:val="none" w:sz="0" w:space="0" w:color="auto"/>
        <w:bottom w:val="none" w:sz="0" w:space="0" w:color="auto"/>
        <w:right w:val="none" w:sz="0" w:space="0" w:color="auto"/>
      </w:divBdr>
    </w:div>
    <w:div w:id="234978342">
      <w:bodyDiv w:val="1"/>
      <w:marLeft w:val="0"/>
      <w:marRight w:val="0"/>
      <w:marTop w:val="0"/>
      <w:marBottom w:val="0"/>
      <w:divBdr>
        <w:top w:val="none" w:sz="0" w:space="0" w:color="auto"/>
        <w:left w:val="none" w:sz="0" w:space="0" w:color="auto"/>
        <w:bottom w:val="none" w:sz="0" w:space="0" w:color="auto"/>
        <w:right w:val="none" w:sz="0" w:space="0" w:color="auto"/>
      </w:divBdr>
    </w:div>
    <w:div w:id="616565650">
      <w:bodyDiv w:val="1"/>
      <w:marLeft w:val="0"/>
      <w:marRight w:val="0"/>
      <w:marTop w:val="0"/>
      <w:marBottom w:val="0"/>
      <w:divBdr>
        <w:top w:val="none" w:sz="0" w:space="0" w:color="auto"/>
        <w:left w:val="none" w:sz="0" w:space="0" w:color="auto"/>
        <w:bottom w:val="none" w:sz="0" w:space="0" w:color="auto"/>
        <w:right w:val="none" w:sz="0" w:space="0" w:color="auto"/>
      </w:divBdr>
    </w:div>
    <w:div w:id="716976396">
      <w:bodyDiv w:val="1"/>
      <w:marLeft w:val="0"/>
      <w:marRight w:val="0"/>
      <w:marTop w:val="0"/>
      <w:marBottom w:val="0"/>
      <w:divBdr>
        <w:top w:val="none" w:sz="0" w:space="0" w:color="auto"/>
        <w:left w:val="none" w:sz="0" w:space="0" w:color="auto"/>
        <w:bottom w:val="none" w:sz="0" w:space="0" w:color="auto"/>
        <w:right w:val="none" w:sz="0" w:space="0" w:color="auto"/>
      </w:divBdr>
    </w:div>
    <w:div w:id="752092406">
      <w:bodyDiv w:val="1"/>
      <w:marLeft w:val="0"/>
      <w:marRight w:val="0"/>
      <w:marTop w:val="0"/>
      <w:marBottom w:val="0"/>
      <w:divBdr>
        <w:top w:val="none" w:sz="0" w:space="0" w:color="auto"/>
        <w:left w:val="none" w:sz="0" w:space="0" w:color="auto"/>
        <w:bottom w:val="none" w:sz="0" w:space="0" w:color="auto"/>
        <w:right w:val="none" w:sz="0" w:space="0" w:color="auto"/>
      </w:divBdr>
    </w:div>
    <w:div w:id="847713252">
      <w:bodyDiv w:val="1"/>
      <w:marLeft w:val="0"/>
      <w:marRight w:val="0"/>
      <w:marTop w:val="0"/>
      <w:marBottom w:val="0"/>
      <w:divBdr>
        <w:top w:val="none" w:sz="0" w:space="0" w:color="auto"/>
        <w:left w:val="none" w:sz="0" w:space="0" w:color="auto"/>
        <w:bottom w:val="none" w:sz="0" w:space="0" w:color="auto"/>
        <w:right w:val="none" w:sz="0" w:space="0" w:color="auto"/>
      </w:divBdr>
    </w:div>
    <w:div w:id="950090151">
      <w:bodyDiv w:val="1"/>
      <w:marLeft w:val="0"/>
      <w:marRight w:val="0"/>
      <w:marTop w:val="0"/>
      <w:marBottom w:val="0"/>
      <w:divBdr>
        <w:top w:val="none" w:sz="0" w:space="0" w:color="auto"/>
        <w:left w:val="none" w:sz="0" w:space="0" w:color="auto"/>
        <w:bottom w:val="none" w:sz="0" w:space="0" w:color="auto"/>
        <w:right w:val="none" w:sz="0" w:space="0" w:color="auto"/>
      </w:divBdr>
    </w:div>
    <w:div w:id="1089541699">
      <w:bodyDiv w:val="1"/>
      <w:marLeft w:val="0"/>
      <w:marRight w:val="0"/>
      <w:marTop w:val="0"/>
      <w:marBottom w:val="0"/>
      <w:divBdr>
        <w:top w:val="none" w:sz="0" w:space="0" w:color="auto"/>
        <w:left w:val="none" w:sz="0" w:space="0" w:color="auto"/>
        <w:bottom w:val="none" w:sz="0" w:space="0" w:color="auto"/>
        <w:right w:val="none" w:sz="0" w:space="0" w:color="auto"/>
      </w:divBdr>
    </w:div>
    <w:div w:id="1092967600">
      <w:bodyDiv w:val="1"/>
      <w:marLeft w:val="0"/>
      <w:marRight w:val="0"/>
      <w:marTop w:val="0"/>
      <w:marBottom w:val="0"/>
      <w:divBdr>
        <w:top w:val="none" w:sz="0" w:space="0" w:color="auto"/>
        <w:left w:val="none" w:sz="0" w:space="0" w:color="auto"/>
        <w:bottom w:val="none" w:sz="0" w:space="0" w:color="auto"/>
        <w:right w:val="none" w:sz="0" w:space="0" w:color="auto"/>
      </w:divBdr>
    </w:div>
    <w:div w:id="1254969817">
      <w:bodyDiv w:val="1"/>
      <w:marLeft w:val="0"/>
      <w:marRight w:val="0"/>
      <w:marTop w:val="0"/>
      <w:marBottom w:val="0"/>
      <w:divBdr>
        <w:top w:val="none" w:sz="0" w:space="0" w:color="auto"/>
        <w:left w:val="none" w:sz="0" w:space="0" w:color="auto"/>
        <w:bottom w:val="none" w:sz="0" w:space="0" w:color="auto"/>
        <w:right w:val="none" w:sz="0" w:space="0" w:color="auto"/>
      </w:divBdr>
    </w:div>
    <w:div w:id="1280141728">
      <w:bodyDiv w:val="1"/>
      <w:marLeft w:val="0"/>
      <w:marRight w:val="0"/>
      <w:marTop w:val="0"/>
      <w:marBottom w:val="0"/>
      <w:divBdr>
        <w:top w:val="none" w:sz="0" w:space="0" w:color="auto"/>
        <w:left w:val="none" w:sz="0" w:space="0" w:color="auto"/>
        <w:bottom w:val="none" w:sz="0" w:space="0" w:color="auto"/>
        <w:right w:val="none" w:sz="0" w:space="0" w:color="auto"/>
      </w:divBdr>
    </w:div>
    <w:div w:id="1384253780">
      <w:bodyDiv w:val="1"/>
      <w:marLeft w:val="0"/>
      <w:marRight w:val="0"/>
      <w:marTop w:val="0"/>
      <w:marBottom w:val="0"/>
      <w:divBdr>
        <w:top w:val="none" w:sz="0" w:space="0" w:color="auto"/>
        <w:left w:val="none" w:sz="0" w:space="0" w:color="auto"/>
        <w:bottom w:val="none" w:sz="0" w:space="0" w:color="auto"/>
        <w:right w:val="none" w:sz="0" w:space="0" w:color="auto"/>
      </w:divBdr>
    </w:div>
    <w:div w:id="1576821160">
      <w:bodyDiv w:val="1"/>
      <w:marLeft w:val="0"/>
      <w:marRight w:val="0"/>
      <w:marTop w:val="0"/>
      <w:marBottom w:val="0"/>
      <w:divBdr>
        <w:top w:val="none" w:sz="0" w:space="0" w:color="auto"/>
        <w:left w:val="none" w:sz="0" w:space="0" w:color="auto"/>
        <w:bottom w:val="none" w:sz="0" w:space="0" w:color="auto"/>
        <w:right w:val="none" w:sz="0" w:space="0" w:color="auto"/>
      </w:divBdr>
    </w:div>
    <w:div w:id="1681539283">
      <w:bodyDiv w:val="1"/>
      <w:marLeft w:val="0"/>
      <w:marRight w:val="0"/>
      <w:marTop w:val="0"/>
      <w:marBottom w:val="0"/>
      <w:divBdr>
        <w:top w:val="none" w:sz="0" w:space="0" w:color="auto"/>
        <w:left w:val="none" w:sz="0" w:space="0" w:color="auto"/>
        <w:bottom w:val="none" w:sz="0" w:space="0" w:color="auto"/>
        <w:right w:val="none" w:sz="0" w:space="0" w:color="auto"/>
      </w:divBdr>
    </w:div>
    <w:div w:id="193609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4630</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KARUNA MALAGI</dc:creator>
  <cp:keywords/>
  <dc:description/>
  <cp:lastModifiedBy> </cp:lastModifiedBy>
  <cp:revision>2</cp:revision>
  <dcterms:created xsi:type="dcterms:W3CDTF">2025-09-05T08:33:00Z</dcterms:created>
  <dcterms:modified xsi:type="dcterms:W3CDTF">2025-09-05T08:33:00Z</dcterms:modified>
</cp:coreProperties>
</file>