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EEFC9" w14:textId="0F7F7EBC" w:rsidR="006F0F7F" w:rsidRPr="006F0F7F" w:rsidRDefault="00B4669F" w:rsidP="00032D1A">
      <w:pPr>
        <w:spacing w:after="0" w:line="480" w:lineRule="auto"/>
        <w:jc w:val="center"/>
        <w:rPr>
          <w:rFonts w:ascii="Arial" w:hAnsi="Arial" w:cs="Arial"/>
          <w:b/>
          <w:bCs/>
        </w:rPr>
      </w:pPr>
      <w:bookmarkStart w:id="0" w:name="_Hlk190853008"/>
      <w:r w:rsidRPr="002D5A4A">
        <w:rPr>
          <w:rFonts w:ascii="Arial" w:hAnsi="Arial" w:cs="Arial"/>
          <w:b/>
          <w:bCs/>
          <w:highlight w:val="yellow"/>
        </w:rPr>
        <w:t>O</w:t>
      </w:r>
      <w:r w:rsidRPr="002D5A4A">
        <w:rPr>
          <w:rFonts w:ascii="Arial" w:hAnsi="Arial" w:cs="Arial"/>
          <w:b/>
          <w:bCs/>
          <w:highlight w:val="yellow"/>
        </w:rPr>
        <w:t>ccurrence</w:t>
      </w:r>
      <w:r w:rsidRPr="002D5A4A">
        <w:rPr>
          <w:rFonts w:ascii="Arial" w:hAnsi="Arial" w:cs="Arial"/>
          <w:b/>
          <w:bCs/>
          <w:highlight w:val="yellow"/>
        </w:rPr>
        <w:t xml:space="preserve"> and</w:t>
      </w:r>
      <w:r w:rsidRPr="006F0F7F">
        <w:rPr>
          <w:rFonts w:ascii="Arial" w:hAnsi="Arial" w:cs="Arial"/>
          <w:b/>
          <w:bCs/>
        </w:rPr>
        <w:t xml:space="preserve"> Pathological </w:t>
      </w:r>
      <w:r>
        <w:rPr>
          <w:rFonts w:ascii="Arial" w:hAnsi="Arial" w:cs="Arial"/>
          <w:b/>
          <w:bCs/>
        </w:rPr>
        <w:t>Characterisation of</w:t>
      </w:r>
      <w:r w:rsidRPr="006F0F7F">
        <w:rPr>
          <w:rFonts w:ascii="Arial" w:hAnsi="Arial" w:cs="Arial"/>
          <w:b/>
          <w:bCs/>
        </w:rPr>
        <w:t xml:space="preserve"> Lymphoid Leukosis </w:t>
      </w:r>
      <w:r>
        <w:rPr>
          <w:rFonts w:ascii="Arial" w:hAnsi="Arial" w:cs="Arial"/>
          <w:b/>
          <w:bCs/>
        </w:rPr>
        <w:t>in</w:t>
      </w:r>
      <w:r w:rsidRPr="006F0F7F">
        <w:rPr>
          <w:rFonts w:ascii="Arial" w:hAnsi="Arial" w:cs="Arial"/>
          <w:b/>
          <w:bCs/>
        </w:rPr>
        <w:t xml:space="preserve"> </w:t>
      </w:r>
      <w:r w:rsidRPr="006F0F7F">
        <w:rPr>
          <w:rFonts w:ascii="Arial" w:hAnsi="Arial" w:cs="Arial"/>
          <w:b/>
          <w:bCs/>
        </w:rPr>
        <w:t>Crossbred</w:t>
      </w:r>
      <w:r>
        <w:rPr>
          <w:rFonts w:ascii="Arial" w:hAnsi="Arial" w:cs="Arial"/>
          <w:b/>
          <w:bCs/>
        </w:rPr>
        <w:t xml:space="preserve"> Native Chicken</w:t>
      </w:r>
    </w:p>
    <w:bookmarkEnd w:id="0"/>
    <w:p w14:paraId="1125F15A" w14:textId="77777777" w:rsidR="008374ED" w:rsidRDefault="008374ED" w:rsidP="00A91A48">
      <w:pPr>
        <w:spacing w:after="0" w:line="480" w:lineRule="auto"/>
        <w:jc w:val="both"/>
        <w:rPr>
          <w:rFonts w:ascii="Arial" w:hAnsi="Arial" w:cs="Arial"/>
          <w:b/>
          <w:bCs/>
        </w:rPr>
      </w:pPr>
    </w:p>
    <w:p w14:paraId="1FE6CD3A" w14:textId="77777777" w:rsidR="008374ED" w:rsidRDefault="008374ED" w:rsidP="00A91A48">
      <w:pPr>
        <w:spacing w:after="0" w:line="480" w:lineRule="auto"/>
        <w:jc w:val="both"/>
        <w:rPr>
          <w:rFonts w:ascii="Arial" w:hAnsi="Arial" w:cs="Arial"/>
          <w:b/>
          <w:bCs/>
        </w:rPr>
      </w:pPr>
    </w:p>
    <w:p w14:paraId="22B97ED6" w14:textId="77A8C051" w:rsidR="00684849" w:rsidRPr="006F0F7F" w:rsidRDefault="00281E44" w:rsidP="00A91A48">
      <w:pPr>
        <w:spacing w:after="0" w:line="480" w:lineRule="auto"/>
        <w:jc w:val="both"/>
        <w:rPr>
          <w:rFonts w:ascii="Arial" w:hAnsi="Arial" w:cs="Arial"/>
          <w:b/>
          <w:bCs/>
        </w:rPr>
      </w:pPr>
      <w:r w:rsidRPr="006F0F7F">
        <w:rPr>
          <w:rFonts w:ascii="Arial" w:hAnsi="Arial" w:cs="Arial"/>
          <w:b/>
          <w:bCs/>
        </w:rPr>
        <w:t>ABSTRACT</w:t>
      </w:r>
    </w:p>
    <w:p w14:paraId="42D92FC0" w14:textId="2914A231" w:rsid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Lymphoid leukosis (LL), a neoplastic disease caused by avian leukosis virus (ALV), continues to pose a major challenge to the poultry industry by reducing flock productivity and causing economic losses through mortality, reduced growth rate, and compromised </w:t>
      </w:r>
      <w:r w:rsidR="00702610" w:rsidRPr="002D5A4A">
        <w:rPr>
          <w:rFonts w:ascii="Arial" w:hAnsi="Arial" w:cs="Arial"/>
          <w:sz w:val="20"/>
          <w:szCs w:val="20"/>
          <w:highlight w:val="yellow"/>
        </w:rPr>
        <w:t>egg production. The present</w:t>
      </w:r>
      <w:r w:rsidR="00702610" w:rsidRPr="006F0F7F">
        <w:rPr>
          <w:rFonts w:ascii="Arial" w:hAnsi="Arial" w:cs="Arial"/>
          <w:sz w:val="20"/>
          <w:szCs w:val="20"/>
        </w:rPr>
        <w:t xml:space="preserve"> study was undertaken to investigate the incidence and histopathological features of LL in crossbred native chickens maintained under </w:t>
      </w:r>
      <w:r w:rsidR="00671595" w:rsidRPr="002D5A4A">
        <w:rPr>
          <w:rFonts w:ascii="Arial" w:hAnsi="Arial" w:cs="Arial"/>
          <w:sz w:val="20"/>
          <w:szCs w:val="20"/>
          <w:highlight w:val="yellow"/>
        </w:rPr>
        <w:t>organised</w:t>
      </w:r>
      <w:r w:rsidR="00671595" w:rsidRPr="002D5A4A">
        <w:rPr>
          <w:rFonts w:ascii="Arial" w:hAnsi="Arial" w:cs="Arial"/>
          <w:sz w:val="20"/>
          <w:szCs w:val="20"/>
          <w:highlight w:val="yellow"/>
        </w:rPr>
        <w:t xml:space="preserve"> </w:t>
      </w:r>
      <w:r w:rsidR="00702610" w:rsidRPr="002D5A4A">
        <w:rPr>
          <w:rFonts w:ascii="Arial" w:hAnsi="Arial" w:cs="Arial"/>
          <w:sz w:val="20"/>
          <w:szCs w:val="20"/>
          <w:highlight w:val="yellow"/>
        </w:rPr>
        <w:t>farming</w:t>
      </w:r>
      <w:r w:rsidR="00702610" w:rsidRPr="006F0F7F">
        <w:rPr>
          <w:rFonts w:ascii="Arial" w:hAnsi="Arial" w:cs="Arial"/>
          <w:sz w:val="20"/>
          <w:szCs w:val="20"/>
        </w:rPr>
        <w:t xml:space="preserve"> systems. </w:t>
      </w:r>
      <w:r w:rsidR="00C41D90" w:rsidRPr="002D5A4A">
        <w:rPr>
          <w:rFonts w:ascii="Arial" w:hAnsi="Arial" w:cs="Arial"/>
          <w:sz w:val="20"/>
          <w:szCs w:val="20"/>
          <w:highlight w:val="yellow"/>
        </w:rPr>
        <w:t>Eight representative carcasses of crossbred native chickens of varying ages were collected from organised poultry flocks. All carcasses underwent thorough postmortem examination, with detailed recording of gross pathological changes in visceral organs such as the liver, kidneys, spleen, and intestines. Microscopic examination was carried out using a compound light microscope to evaluate neoplastic changes in tissue specimens. Cytological smears were prepared from impression samples of tumorous lesions, fixed with methanol, and stained with Giemsa stain for evaluation of cellular morphology.</w:t>
      </w:r>
      <w:r w:rsidR="00C41D90" w:rsidRPr="00C41D90">
        <w:rPr>
          <w:rFonts w:ascii="Arial" w:hAnsi="Arial" w:cs="Arial"/>
          <w:sz w:val="20"/>
          <w:szCs w:val="20"/>
        </w:rPr>
        <w:t xml:space="preserve"> </w:t>
      </w:r>
      <w:r w:rsidR="00702610" w:rsidRPr="006F0F7F">
        <w:rPr>
          <w:rFonts w:ascii="Arial" w:hAnsi="Arial" w:cs="Arial"/>
          <w:sz w:val="20"/>
          <w:szCs w:val="20"/>
        </w:rPr>
        <w:t xml:space="preserve">Affected birds presented clinical signs of weakness, reduced feed intake, progressive weight loss, and mortality. Postmortem examination revealed hepatomegaly, splenomegaly, and </w:t>
      </w:r>
      <w:r w:rsidR="00345BC8" w:rsidRPr="006F0F7F">
        <w:rPr>
          <w:rFonts w:ascii="Arial" w:hAnsi="Arial" w:cs="Arial"/>
          <w:sz w:val="20"/>
          <w:szCs w:val="20"/>
        </w:rPr>
        <w:t>tumour</w:t>
      </w:r>
      <w:r w:rsidR="00702610" w:rsidRPr="006F0F7F">
        <w:rPr>
          <w:rFonts w:ascii="Arial" w:hAnsi="Arial" w:cs="Arial"/>
          <w:sz w:val="20"/>
          <w:szCs w:val="20"/>
        </w:rPr>
        <w:t xml:space="preserve">-like nodular growths in visceral organs. Histopathological analysis confirmed the presence of diffuse lymphocytic infiltrations, obliteration of normal organ architecture, and mitotic figures, which are characteristic hallmarks of lymphoid leukosis. </w:t>
      </w:r>
      <w:r w:rsidR="00F22F08" w:rsidRPr="002D5A4A">
        <w:rPr>
          <w:rFonts w:ascii="Arial" w:hAnsi="Arial" w:cs="Arial"/>
          <w:sz w:val="20"/>
          <w:szCs w:val="20"/>
          <w:highlight w:val="yellow"/>
        </w:rPr>
        <w:t>Out of the eight carcasses examined, five (62.5%) were diagnosed with LL based on characteristic gross lesions, histopathological changes, and cytological findings.</w:t>
      </w:r>
      <w:r w:rsidR="00F22F08" w:rsidRPr="006F0F7F">
        <w:rPr>
          <w:rFonts w:ascii="Arial" w:hAnsi="Arial" w:cs="Arial"/>
          <w:sz w:val="20"/>
          <w:szCs w:val="20"/>
        </w:rPr>
        <w:t xml:space="preserve"> </w:t>
      </w:r>
      <w:r w:rsidR="00702610" w:rsidRPr="006F0F7F">
        <w:rPr>
          <w:rFonts w:ascii="Arial" w:hAnsi="Arial" w:cs="Arial"/>
          <w:sz w:val="20"/>
          <w:szCs w:val="20"/>
        </w:rPr>
        <w:t xml:space="preserve">The findings not only establish the continued occurrence of LL in crossbred native chickens but also highlight the importance of histopathology in differentiating LL from Marek’s disease, which presents with overlapping gross </w:t>
      </w:r>
      <w:r w:rsidR="00702610" w:rsidRPr="002D5A4A">
        <w:rPr>
          <w:rFonts w:ascii="Arial" w:hAnsi="Arial" w:cs="Arial"/>
          <w:sz w:val="20"/>
          <w:szCs w:val="20"/>
          <w:highlight w:val="yellow"/>
        </w:rPr>
        <w:t>lesions</w:t>
      </w:r>
      <w:r w:rsidR="00E41E7B" w:rsidRPr="002D5A4A">
        <w:rPr>
          <w:rFonts w:ascii="Arial" w:hAnsi="Arial" w:cs="Arial"/>
          <w:sz w:val="20"/>
          <w:szCs w:val="20"/>
          <w:highlight w:val="yellow"/>
        </w:rPr>
        <w:t xml:space="preserve">. </w:t>
      </w:r>
      <w:r w:rsidR="00702610" w:rsidRPr="002D5A4A">
        <w:rPr>
          <w:rFonts w:ascii="Arial" w:hAnsi="Arial" w:cs="Arial"/>
          <w:sz w:val="20"/>
          <w:szCs w:val="20"/>
          <w:highlight w:val="yellow"/>
        </w:rPr>
        <w:t>This</w:t>
      </w:r>
      <w:r w:rsidR="00702610" w:rsidRPr="006F0F7F">
        <w:rPr>
          <w:rFonts w:ascii="Arial" w:hAnsi="Arial" w:cs="Arial"/>
          <w:sz w:val="20"/>
          <w:szCs w:val="20"/>
        </w:rPr>
        <w:t xml:space="preserve"> study underscores the relevance of continuous surveillance, routine diagnostic evaluation, and awareness among poultry farmers to reduce the risk of LL spread. Future research should focus on molecular detection of ALV strains, genetic resistance markers, and the development of effective breeding and management strategies </w:t>
      </w:r>
      <w:r w:rsidR="00702610" w:rsidRPr="002D5A4A">
        <w:rPr>
          <w:rFonts w:ascii="Arial" w:hAnsi="Arial" w:cs="Arial"/>
          <w:sz w:val="20"/>
          <w:szCs w:val="20"/>
          <w:highlight w:val="yellow"/>
        </w:rPr>
        <w:t xml:space="preserve">to </w:t>
      </w:r>
      <w:r w:rsidR="00671595" w:rsidRPr="002D5A4A">
        <w:rPr>
          <w:rFonts w:ascii="Arial" w:hAnsi="Arial" w:cs="Arial"/>
          <w:sz w:val="20"/>
          <w:szCs w:val="20"/>
          <w:highlight w:val="yellow"/>
        </w:rPr>
        <w:t>minimise</w:t>
      </w:r>
      <w:r w:rsidR="00671595" w:rsidRPr="006F0F7F">
        <w:rPr>
          <w:rFonts w:ascii="Arial" w:hAnsi="Arial" w:cs="Arial"/>
          <w:sz w:val="20"/>
          <w:szCs w:val="20"/>
        </w:rPr>
        <w:t xml:space="preserve"> </w:t>
      </w:r>
      <w:r w:rsidR="00702610" w:rsidRPr="006F0F7F">
        <w:rPr>
          <w:rFonts w:ascii="Arial" w:hAnsi="Arial" w:cs="Arial"/>
          <w:sz w:val="20"/>
          <w:szCs w:val="20"/>
        </w:rPr>
        <w:t>economic losses associated with LL.</w:t>
      </w:r>
    </w:p>
    <w:p w14:paraId="070C678D" w14:textId="6C2A62E6" w:rsidR="00F15D16" w:rsidRPr="006F0F7F" w:rsidRDefault="00281E44" w:rsidP="00D7322E">
      <w:pPr>
        <w:spacing w:line="480" w:lineRule="auto"/>
        <w:jc w:val="center"/>
        <w:rPr>
          <w:rFonts w:ascii="Arial" w:hAnsi="Arial" w:cs="Arial"/>
          <w:i/>
          <w:iCs/>
          <w:sz w:val="20"/>
          <w:szCs w:val="20"/>
        </w:rPr>
      </w:pPr>
      <w:r w:rsidRPr="002D5A4A">
        <w:rPr>
          <w:rFonts w:ascii="Arial" w:hAnsi="Arial" w:cs="Arial"/>
          <w:b/>
          <w:bCs/>
          <w:sz w:val="20"/>
          <w:szCs w:val="20"/>
        </w:rPr>
        <w:lastRenderedPageBreak/>
        <w:t>Keywords</w:t>
      </w:r>
      <w:r w:rsidRPr="00D7322E">
        <w:rPr>
          <w:rFonts w:ascii="Arial" w:hAnsi="Arial" w:cs="Arial"/>
          <w:i/>
          <w:iCs/>
          <w:sz w:val="20"/>
          <w:szCs w:val="20"/>
        </w:rPr>
        <w:t>:</w:t>
      </w:r>
      <w:r w:rsidRPr="006F0F7F">
        <w:rPr>
          <w:rFonts w:ascii="Arial" w:hAnsi="Arial" w:cs="Arial"/>
          <w:sz w:val="20"/>
          <w:szCs w:val="20"/>
        </w:rPr>
        <w:t xml:space="preserve"> </w:t>
      </w:r>
      <w:r w:rsidR="00F15D16" w:rsidRPr="006F0F7F">
        <w:rPr>
          <w:rFonts w:ascii="Arial" w:hAnsi="Arial" w:cs="Arial"/>
          <w:i/>
          <w:iCs/>
          <w:sz w:val="20"/>
          <w:szCs w:val="20"/>
        </w:rPr>
        <w:t>Lymphoid leukosis, crossbred native chicken, neoplastic lesions, histopathology</w:t>
      </w:r>
      <w:r w:rsidR="00950C82">
        <w:rPr>
          <w:rFonts w:ascii="Arial" w:hAnsi="Arial" w:cs="Arial"/>
          <w:i/>
          <w:iCs/>
          <w:sz w:val="20"/>
          <w:szCs w:val="20"/>
        </w:rPr>
        <w:t xml:space="preserve">, </w:t>
      </w:r>
      <w:r w:rsidR="00950C82" w:rsidRPr="002D5A4A">
        <w:rPr>
          <w:rFonts w:ascii="Arial" w:hAnsi="Arial" w:cs="Arial"/>
          <w:i/>
          <w:iCs/>
          <w:sz w:val="20"/>
          <w:szCs w:val="20"/>
          <w:highlight w:val="yellow"/>
        </w:rPr>
        <w:t>avian</w:t>
      </w:r>
      <w:r w:rsidR="00950C82">
        <w:rPr>
          <w:rFonts w:ascii="Arial" w:hAnsi="Arial" w:cs="Arial"/>
          <w:i/>
          <w:iCs/>
          <w:sz w:val="20"/>
          <w:szCs w:val="20"/>
          <w:highlight w:val="yellow"/>
        </w:rPr>
        <w:t xml:space="preserve"> </w:t>
      </w:r>
      <w:r w:rsidR="00950C82" w:rsidRPr="002D5A4A">
        <w:rPr>
          <w:rFonts w:ascii="Arial" w:hAnsi="Arial" w:cs="Arial"/>
          <w:i/>
          <w:iCs/>
          <w:sz w:val="20"/>
          <w:szCs w:val="20"/>
          <w:highlight w:val="yellow"/>
        </w:rPr>
        <w:t>leukosis virus</w:t>
      </w:r>
      <w:r w:rsidR="00950C82" w:rsidRPr="002D5A4A">
        <w:rPr>
          <w:rFonts w:ascii="Arial" w:hAnsi="Arial" w:cs="Arial"/>
          <w:i/>
          <w:iCs/>
          <w:sz w:val="20"/>
          <w:szCs w:val="20"/>
          <w:highlight w:val="yellow"/>
        </w:rPr>
        <w:t xml:space="preserve">, </w:t>
      </w:r>
      <w:r w:rsidR="00950C82" w:rsidRPr="002D5A4A">
        <w:rPr>
          <w:rFonts w:ascii="Arial" w:hAnsi="Arial" w:cs="Arial"/>
          <w:i/>
          <w:iCs/>
          <w:sz w:val="20"/>
          <w:szCs w:val="20"/>
          <w:highlight w:val="yellow"/>
        </w:rPr>
        <w:t>poultry pathology</w:t>
      </w:r>
    </w:p>
    <w:p w14:paraId="3931970C" w14:textId="506A1AED" w:rsidR="00702610" w:rsidRPr="006F0F7F" w:rsidRDefault="00702610" w:rsidP="001B45C3">
      <w:pPr>
        <w:spacing w:after="0" w:line="480" w:lineRule="auto"/>
        <w:jc w:val="both"/>
        <w:rPr>
          <w:rFonts w:ascii="Arial" w:hAnsi="Arial" w:cs="Arial"/>
          <w:b/>
          <w:bCs/>
        </w:rPr>
      </w:pPr>
      <w:r w:rsidRPr="006F0F7F">
        <w:rPr>
          <w:rFonts w:ascii="Arial" w:hAnsi="Arial" w:cs="Arial"/>
          <w:b/>
          <w:bCs/>
        </w:rPr>
        <w:t>INTRODUCTION</w:t>
      </w:r>
    </w:p>
    <w:p w14:paraId="47DD3C91" w14:textId="71A51A82" w:rsidR="00702610" w:rsidRPr="006F0F7F" w:rsidRDefault="00702610" w:rsidP="00C01AD5">
      <w:pPr>
        <w:spacing w:after="0" w:line="480" w:lineRule="auto"/>
        <w:jc w:val="both"/>
        <w:rPr>
          <w:rFonts w:ascii="Arial" w:hAnsi="Arial" w:cs="Arial"/>
          <w:sz w:val="20"/>
          <w:szCs w:val="20"/>
        </w:rPr>
      </w:pPr>
      <w:r w:rsidRPr="006F0F7F">
        <w:rPr>
          <w:rFonts w:ascii="Arial" w:hAnsi="Arial" w:cs="Arial"/>
          <w:sz w:val="20"/>
          <w:szCs w:val="20"/>
        </w:rPr>
        <w:tab/>
      </w:r>
      <w:r w:rsidR="00C01AD5">
        <w:rPr>
          <w:rFonts w:ascii="Arial" w:hAnsi="Arial" w:cs="Arial"/>
          <w:sz w:val="20"/>
          <w:szCs w:val="20"/>
        </w:rPr>
        <w:t xml:space="preserve">Lymphoid leukosis (LL) is a common neoplastic disease in poultry, caused predominantly by avian leukosis virus (ALV) subgroups A and B. </w:t>
      </w:r>
      <w:r w:rsidR="00195DCB" w:rsidRPr="002D5A4A">
        <w:rPr>
          <w:rFonts w:ascii="Arial" w:hAnsi="Arial" w:cs="Arial"/>
          <w:sz w:val="20"/>
          <w:szCs w:val="20"/>
          <w:highlight w:val="yellow"/>
        </w:rPr>
        <w:t>ALV is an enveloped virus containing a positive-sense pseudodiploid single-stranded RNA (</w:t>
      </w:r>
      <w:proofErr w:type="spellStart"/>
      <w:r w:rsidR="00195DCB" w:rsidRPr="002D5A4A">
        <w:rPr>
          <w:rFonts w:ascii="Arial" w:hAnsi="Arial" w:cs="Arial"/>
          <w:sz w:val="20"/>
          <w:szCs w:val="20"/>
          <w:highlight w:val="yellow"/>
        </w:rPr>
        <w:t>ssRNA</w:t>
      </w:r>
      <w:proofErr w:type="spellEnd"/>
      <w:r w:rsidR="00195DCB" w:rsidRPr="002D5A4A">
        <w:rPr>
          <w:rFonts w:ascii="Arial" w:hAnsi="Arial" w:cs="Arial"/>
          <w:sz w:val="20"/>
          <w:szCs w:val="20"/>
          <w:highlight w:val="yellow"/>
        </w:rPr>
        <w:t xml:space="preserve">) molecule. The genome of this virus is </w:t>
      </w:r>
      <w:r w:rsidR="00195DCB" w:rsidRPr="002D5A4A">
        <w:rPr>
          <w:rFonts w:ascii="Cambria Math" w:hAnsi="Cambria Math" w:cs="Cambria Math"/>
          <w:sz w:val="20"/>
          <w:szCs w:val="20"/>
          <w:highlight w:val="yellow"/>
        </w:rPr>
        <w:t>∼</w:t>
      </w:r>
      <w:r w:rsidR="00195DCB" w:rsidRPr="002D5A4A">
        <w:rPr>
          <w:rFonts w:ascii="Arial" w:hAnsi="Arial" w:cs="Arial"/>
          <w:sz w:val="20"/>
          <w:szCs w:val="20"/>
          <w:highlight w:val="yellow"/>
        </w:rPr>
        <w:t>7.2 kb in length</w:t>
      </w:r>
      <w:r w:rsidR="00195DCB" w:rsidRPr="002D5A4A">
        <w:rPr>
          <w:rFonts w:ascii="Arial" w:hAnsi="Arial" w:cs="Arial"/>
          <w:sz w:val="20"/>
          <w:szCs w:val="20"/>
          <w:highlight w:val="yellow"/>
        </w:rPr>
        <w:t>.</w:t>
      </w:r>
      <w:r w:rsidR="00195DCB">
        <w:rPr>
          <w:rFonts w:ascii="Arial" w:hAnsi="Arial" w:cs="Arial"/>
          <w:sz w:val="20"/>
          <w:szCs w:val="20"/>
        </w:rPr>
        <w:t xml:space="preserve"> </w:t>
      </w:r>
      <w:r w:rsidR="00195DCB" w:rsidRPr="002D5A4A">
        <w:rPr>
          <w:rFonts w:ascii="Arial" w:hAnsi="Arial" w:cs="Arial"/>
          <w:sz w:val="20"/>
          <w:szCs w:val="20"/>
          <w:highlight w:val="yellow"/>
        </w:rPr>
        <w:t>The virus genome is non-segmented and comprises three major coding genes: gag (encoding the internal structural proteins of the virion), pol (encoding RNA-dependent DNA polymerase), and env (encoding the envelope glycoprotein) (</w:t>
      </w:r>
      <w:r w:rsidR="00195DCB" w:rsidRPr="002D5A4A">
        <w:rPr>
          <w:highlight w:val="yellow"/>
        </w:rPr>
        <w:t>Tang et al. </w:t>
      </w:r>
      <w:hyperlink r:id="rId8" w:anchor="vms370044-bib-0031" w:history="1">
        <w:r w:rsidR="00195DCB" w:rsidRPr="002D5A4A">
          <w:rPr>
            <w:highlight w:val="yellow"/>
          </w:rPr>
          <w:t>2022</w:t>
        </w:r>
      </w:hyperlink>
      <w:r w:rsidR="00195DCB" w:rsidRPr="002D5A4A">
        <w:rPr>
          <w:rFonts w:ascii="Arial" w:hAnsi="Arial" w:cs="Arial"/>
          <w:sz w:val="20"/>
          <w:szCs w:val="20"/>
          <w:highlight w:val="yellow"/>
        </w:rPr>
        <w:t>). The virion also codes three enzymes</w:t>
      </w:r>
      <w:r w:rsidR="003349FA">
        <w:rPr>
          <w:rFonts w:ascii="Arial" w:hAnsi="Arial" w:cs="Arial"/>
          <w:sz w:val="20"/>
          <w:szCs w:val="20"/>
          <w:highlight w:val="yellow"/>
        </w:rPr>
        <w:t>:</w:t>
      </w:r>
      <w:r w:rsidR="00195DCB" w:rsidRPr="002D5A4A">
        <w:rPr>
          <w:rFonts w:ascii="Arial" w:hAnsi="Arial" w:cs="Arial"/>
          <w:sz w:val="20"/>
          <w:szCs w:val="20"/>
          <w:highlight w:val="yellow"/>
        </w:rPr>
        <w:t xml:space="preserve"> reverse transcriptase (RT), integrase, and protease that are essential for the reverse transcription of viral RNA to DNA copies</w:t>
      </w:r>
      <w:r w:rsidR="00195DCB">
        <w:rPr>
          <w:rFonts w:ascii="Arial" w:hAnsi="Arial" w:cs="Arial"/>
          <w:sz w:val="20"/>
          <w:szCs w:val="20"/>
          <w:highlight w:val="yellow"/>
        </w:rPr>
        <w:t xml:space="preserve"> (</w:t>
      </w:r>
      <w:r w:rsidR="00F761BD" w:rsidRPr="00A2254A">
        <w:rPr>
          <w:rFonts w:ascii="Arial" w:hAnsi="Arial" w:cs="Arial"/>
          <w:sz w:val="20"/>
          <w:szCs w:val="20"/>
          <w:highlight w:val="yellow"/>
        </w:rPr>
        <w:t>Hossain</w:t>
      </w:r>
      <w:r w:rsidR="00F761BD">
        <w:rPr>
          <w:rFonts w:ascii="Arial" w:hAnsi="Arial" w:cs="Arial"/>
          <w:sz w:val="20"/>
          <w:szCs w:val="20"/>
          <w:highlight w:val="yellow"/>
        </w:rPr>
        <w:t xml:space="preserve"> et al., 2024</w:t>
      </w:r>
      <w:r w:rsidR="00195DCB">
        <w:rPr>
          <w:rFonts w:ascii="Arial" w:hAnsi="Arial" w:cs="Arial"/>
          <w:sz w:val="20"/>
          <w:szCs w:val="20"/>
          <w:highlight w:val="yellow"/>
        </w:rPr>
        <w:t>)</w:t>
      </w:r>
      <w:r w:rsidR="00195DCB" w:rsidRPr="002D5A4A">
        <w:rPr>
          <w:rFonts w:ascii="Arial" w:hAnsi="Arial" w:cs="Arial"/>
          <w:sz w:val="20"/>
          <w:szCs w:val="20"/>
          <w:highlight w:val="yellow"/>
        </w:rPr>
        <w:t>.</w:t>
      </w:r>
      <w:r w:rsidR="00195DCB" w:rsidRPr="00195DCB">
        <w:rPr>
          <w:rFonts w:ascii="Arial" w:hAnsi="Arial" w:cs="Arial"/>
          <w:sz w:val="20"/>
          <w:szCs w:val="20"/>
        </w:rPr>
        <w:t> </w:t>
      </w:r>
      <w:r w:rsidR="00195DCB" w:rsidRPr="002D5A4A">
        <w:rPr>
          <w:rFonts w:ascii="Arial" w:hAnsi="Arial" w:cs="Arial"/>
          <w:sz w:val="20"/>
          <w:szCs w:val="20"/>
          <w:highlight w:val="yellow"/>
        </w:rPr>
        <w:t>The</w:t>
      </w:r>
      <w:r w:rsidR="00195DCB" w:rsidRPr="002D5A4A">
        <w:rPr>
          <w:rFonts w:ascii="Arial" w:hAnsi="Arial" w:cs="Arial"/>
          <w:sz w:val="20"/>
          <w:szCs w:val="20"/>
          <w:highlight w:val="yellow"/>
        </w:rPr>
        <w:t xml:space="preserve"> </w:t>
      </w:r>
      <w:r w:rsidR="00C01AD5" w:rsidRPr="002D5A4A">
        <w:rPr>
          <w:rFonts w:ascii="Arial" w:hAnsi="Arial" w:cs="Arial"/>
          <w:sz w:val="20"/>
          <w:szCs w:val="20"/>
          <w:highlight w:val="yellow"/>
        </w:rPr>
        <w:t xml:space="preserve">pathology </w:t>
      </w:r>
      <w:r w:rsidR="00195DCB" w:rsidRPr="002D5A4A">
        <w:rPr>
          <w:rFonts w:ascii="Arial" w:hAnsi="Arial" w:cs="Arial"/>
          <w:sz w:val="20"/>
          <w:szCs w:val="20"/>
          <w:highlight w:val="yellow"/>
        </w:rPr>
        <w:t xml:space="preserve">of LL </w:t>
      </w:r>
      <w:r w:rsidR="00C01AD5" w:rsidRPr="002D5A4A">
        <w:rPr>
          <w:rFonts w:ascii="Arial" w:hAnsi="Arial" w:cs="Arial"/>
          <w:sz w:val="20"/>
          <w:szCs w:val="20"/>
          <w:highlight w:val="yellow"/>
        </w:rPr>
        <w:t xml:space="preserve">is </w:t>
      </w:r>
      <w:r w:rsidR="00671595" w:rsidRPr="002D5A4A">
        <w:rPr>
          <w:rFonts w:ascii="Arial" w:hAnsi="Arial" w:cs="Arial"/>
          <w:sz w:val="20"/>
          <w:szCs w:val="20"/>
          <w:highlight w:val="yellow"/>
        </w:rPr>
        <w:t>characterised</w:t>
      </w:r>
      <w:r w:rsidR="00671595" w:rsidRPr="002D5A4A">
        <w:rPr>
          <w:rFonts w:ascii="Arial" w:hAnsi="Arial" w:cs="Arial"/>
          <w:sz w:val="20"/>
          <w:szCs w:val="20"/>
          <w:highlight w:val="yellow"/>
        </w:rPr>
        <w:t xml:space="preserve"> </w:t>
      </w:r>
      <w:r w:rsidR="00C01AD5" w:rsidRPr="002D5A4A">
        <w:rPr>
          <w:rFonts w:ascii="Arial" w:hAnsi="Arial" w:cs="Arial"/>
          <w:sz w:val="20"/>
          <w:szCs w:val="20"/>
          <w:highlight w:val="yellow"/>
        </w:rPr>
        <w:t>by</w:t>
      </w:r>
      <w:r w:rsidR="00C01AD5">
        <w:rPr>
          <w:rFonts w:ascii="Arial" w:hAnsi="Arial" w:cs="Arial"/>
          <w:sz w:val="20"/>
          <w:szCs w:val="20"/>
        </w:rPr>
        <w:t xml:space="preserve"> nodular to diffuse lymphoid infiltrations in visceral organs</w:t>
      </w:r>
      <w:r w:rsidR="00671595">
        <w:rPr>
          <w:rFonts w:ascii="Arial" w:hAnsi="Arial" w:cs="Arial"/>
          <w:sz w:val="20"/>
          <w:szCs w:val="20"/>
        </w:rPr>
        <w:t>,</w:t>
      </w:r>
      <w:r w:rsidR="00C01AD5">
        <w:rPr>
          <w:rFonts w:ascii="Arial" w:hAnsi="Arial" w:cs="Arial"/>
          <w:sz w:val="20"/>
          <w:szCs w:val="20"/>
        </w:rPr>
        <w:t xml:space="preserve"> including the liver, spleen, bursa of Fabricius, kidneys, ovaries, mesentery, lungs and heart (Soujanya </w:t>
      </w:r>
      <w:r w:rsidR="001B6F0B" w:rsidRPr="001B6F0B">
        <w:rPr>
          <w:rFonts w:ascii="Arial" w:hAnsi="Arial" w:cs="Arial"/>
          <w:i/>
          <w:iCs/>
          <w:sz w:val="20"/>
          <w:szCs w:val="20"/>
        </w:rPr>
        <w:t>et al</w:t>
      </w:r>
      <w:r w:rsidR="00C01AD5">
        <w:rPr>
          <w:rFonts w:ascii="Arial" w:hAnsi="Arial" w:cs="Arial"/>
          <w:sz w:val="20"/>
          <w:szCs w:val="20"/>
        </w:rPr>
        <w:t xml:space="preserve">., 2019). </w:t>
      </w:r>
      <w:r w:rsidR="00682607">
        <w:rPr>
          <w:rFonts w:ascii="Arial" w:hAnsi="Arial" w:cs="Arial"/>
          <w:sz w:val="20"/>
          <w:szCs w:val="20"/>
        </w:rPr>
        <w:t>Tumorous</w:t>
      </w:r>
      <w:r w:rsidR="00C01AD5">
        <w:rPr>
          <w:rFonts w:ascii="Arial" w:hAnsi="Arial" w:cs="Arial"/>
          <w:sz w:val="20"/>
          <w:szCs w:val="20"/>
        </w:rPr>
        <w:t xml:space="preserve"> involvement of the liver is an important lesion in nearly all cases. Lymphoid leukosis was mostly observed in layer birds over 13 weeks of age and not in any of the tissues from broiler birds (Balachandran</w:t>
      </w:r>
      <w:r w:rsidR="00671595">
        <w:rPr>
          <w:rFonts w:ascii="Arial" w:hAnsi="Arial" w:cs="Arial"/>
          <w:sz w:val="20"/>
          <w:szCs w:val="20"/>
        </w:rPr>
        <w:t xml:space="preserve"> </w:t>
      </w:r>
      <w:r w:rsidR="00C01AD5">
        <w:rPr>
          <w:rFonts w:ascii="Arial" w:hAnsi="Arial" w:cs="Arial"/>
          <w:i/>
          <w:iCs/>
          <w:sz w:val="20"/>
          <w:szCs w:val="20"/>
        </w:rPr>
        <w:t>et.al</w:t>
      </w:r>
      <w:r w:rsidR="00C01AD5">
        <w:rPr>
          <w:rFonts w:ascii="Arial" w:hAnsi="Arial" w:cs="Arial"/>
          <w:sz w:val="20"/>
          <w:szCs w:val="20"/>
        </w:rPr>
        <w:t xml:space="preserve"> 2009). Microscopically, LL is </w:t>
      </w:r>
      <w:r w:rsidR="00671595" w:rsidRPr="002D5A4A">
        <w:rPr>
          <w:rFonts w:ascii="Arial" w:hAnsi="Arial" w:cs="Arial"/>
          <w:sz w:val="20"/>
          <w:szCs w:val="20"/>
          <w:highlight w:val="yellow"/>
        </w:rPr>
        <w:t>characterised</w:t>
      </w:r>
      <w:r w:rsidR="00671595" w:rsidRPr="002D5A4A">
        <w:rPr>
          <w:rFonts w:ascii="Arial" w:hAnsi="Arial" w:cs="Arial"/>
          <w:sz w:val="20"/>
          <w:szCs w:val="20"/>
          <w:highlight w:val="yellow"/>
        </w:rPr>
        <w:t xml:space="preserve"> </w:t>
      </w:r>
      <w:r w:rsidR="00C01AD5" w:rsidRPr="002D5A4A">
        <w:rPr>
          <w:rFonts w:ascii="Arial" w:hAnsi="Arial" w:cs="Arial"/>
          <w:sz w:val="20"/>
          <w:szCs w:val="20"/>
          <w:highlight w:val="yellow"/>
        </w:rPr>
        <w:t>by diffuse</w:t>
      </w:r>
      <w:r w:rsidR="00C01AD5">
        <w:rPr>
          <w:rFonts w:ascii="Arial" w:hAnsi="Arial" w:cs="Arial"/>
          <w:sz w:val="20"/>
          <w:szCs w:val="20"/>
        </w:rPr>
        <w:t xml:space="preserve"> or coalescing areas of extravascular, immature lymphoid cells. The </w:t>
      </w:r>
      <w:r w:rsidR="00345BC8">
        <w:rPr>
          <w:rFonts w:ascii="Arial" w:hAnsi="Arial" w:cs="Arial"/>
          <w:sz w:val="20"/>
          <w:szCs w:val="20"/>
        </w:rPr>
        <w:t>tumour</w:t>
      </w:r>
      <w:r w:rsidR="00C01AD5">
        <w:rPr>
          <w:rFonts w:ascii="Arial" w:hAnsi="Arial" w:cs="Arial"/>
          <w:sz w:val="20"/>
          <w:szCs w:val="20"/>
        </w:rPr>
        <w:t xml:space="preserve"> cells typically resemble large lymphocytes or lymphoblasts, exhibit B-cell markers, and express surface IgM. The disease has an incubation period of over four months and originates in the bursa of Fabricius</w:t>
      </w:r>
      <w:r w:rsidR="00671595">
        <w:rPr>
          <w:rFonts w:ascii="Arial" w:hAnsi="Arial" w:cs="Arial"/>
          <w:sz w:val="20"/>
          <w:szCs w:val="20"/>
        </w:rPr>
        <w:t>,</w:t>
      </w:r>
      <w:r w:rsidR="00C01AD5">
        <w:rPr>
          <w:rFonts w:ascii="Arial" w:hAnsi="Arial" w:cs="Arial"/>
          <w:sz w:val="20"/>
          <w:szCs w:val="20"/>
        </w:rPr>
        <w:t xml:space="preserve"> where lymphoid follicles undergo preneoplastic hyperplasia due to integration of ALV provirus into the </w:t>
      </w:r>
      <w:r w:rsidR="00C01AD5">
        <w:rPr>
          <w:rStyle w:val="Emphasis"/>
          <w:rFonts w:ascii="Arial" w:hAnsi="Arial" w:cs="Arial"/>
          <w:sz w:val="20"/>
          <w:szCs w:val="20"/>
        </w:rPr>
        <w:t>c-</w:t>
      </w:r>
      <w:proofErr w:type="spellStart"/>
      <w:r w:rsidR="00C01AD5">
        <w:rPr>
          <w:rStyle w:val="Emphasis"/>
          <w:rFonts w:ascii="Arial" w:hAnsi="Arial" w:cs="Arial"/>
          <w:sz w:val="20"/>
          <w:szCs w:val="20"/>
        </w:rPr>
        <w:t>myc</w:t>
      </w:r>
      <w:proofErr w:type="spellEnd"/>
      <w:r w:rsidR="00C01AD5">
        <w:rPr>
          <w:rFonts w:ascii="Arial" w:hAnsi="Arial" w:cs="Arial"/>
          <w:sz w:val="20"/>
          <w:szCs w:val="20"/>
        </w:rPr>
        <w:t xml:space="preserve"> gene, leading to </w:t>
      </w:r>
      <w:proofErr w:type="spellStart"/>
      <w:r w:rsidR="00C01AD5">
        <w:rPr>
          <w:rFonts w:ascii="Arial" w:hAnsi="Arial" w:cs="Arial"/>
          <w:sz w:val="20"/>
          <w:szCs w:val="20"/>
        </w:rPr>
        <w:t>Myc</w:t>
      </w:r>
      <w:proofErr w:type="spellEnd"/>
      <w:r w:rsidR="00C01AD5">
        <w:rPr>
          <w:rFonts w:ascii="Arial" w:hAnsi="Arial" w:cs="Arial"/>
          <w:sz w:val="20"/>
          <w:szCs w:val="20"/>
        </w:rPr>
        <w:t xml:space="preserve"> protein overexpression and disrupted B-cell differentiation. While many such lesions regress, some progress to nodular </w:t>
      </w:r>
      <w:r w:rsidR="00345BC8">
        <w:rPr>
          <w:rFonts w:ascii="Arial" w:hAnsi="Arial" w:cs="Arial"/>
          <w:sz w:val="20"/>
          <w:szCs w:val="20"/>
        </w:rPr>
        <w:t>tumour</w:t>
      </w:r>
      <w:r w:rsidR="00C01AD5">
        <w:rPr>
          <w:rFonts w:ascii="Arial" w:hAnsi="Arial" w:cs="Arial"/>
          <w:sz w:val="20"/>
          <w:szCs w:val="20"/>
        </w:rPr>
        <w:t xml:space="preserve">s visible by around 14 weeks of age. These neoplastic cells can </w:t>
      </w:r>
      <w:r w:rsidR="00671595" w:rsidRPr="002D5A4A">
        <w:rPr>
          <w:rFonts w:ascii="Arial" w:hAnsi="Arial" w:cs="Arial"/>
          <w:sz w:val="20"/>
          <w:szCs w:val="20"/>
          <w:highlight w:val="yellow"/>
        </w:rPr>
        <w:t>metastasise</w:t>
      </w:r>
      <w:r w:rsidR="00671595" w:rsidRPr="002D5A4A">
        <w:rPr>
          <w:rFonts w:ascii="Arial" w:hAnsi="Arial" w:cs="Arial"/>
          <w:sz w:val="20"/>
          <w:szCs w:val="20"/>
          <w:highlight w:val="yellow"/>
        </w:rPr>
        <w:t xml:space="preserve"> </w:t>
      </w:r>
      <w:r w:rsidR="00C01AD5" w:rsidRPr="002D5A4A">
        <w:rPr>
          <w:rFonts w:ascii="Arial" w:hAnsi="Arial" w:cs="Arial"/>
          <w:sz w:val="20"/>
          <w:szCs w:val="20"/>
          <w:highlight w:val="yellow"/>
        </w:rPr>
        <w:t>to organs</w:t>
      </w:r>
      <w:r w:rsidR="00C01AD5">
        <w:rPr>
          <w:rFonts w:ascii="Arial" w:hAnsi="Arial" w:cs="Arial"/>
        </w:rPr>
        <w:t xml:space="preserve"> </w:t>
      </w:r>
      <w:r w:rsidR="00C01AD5">
        <w:rPr>
          <w:rFonts w:ascii="Arial" w:hAnsi="Arial" w:cs="Arial"/>
          <w:sz w:val="20"/>
          <w:szCs w:val="20"/>
        </w:rPr>
        <w:t>such as the liver and spleen, ultimately resulting in mortality</w:t>
      </w:r>
      <w:r w:rsidR="00C01AD5">
        <w:rPr>
          <w:rFonts w:ascii="Arial" w:hAnsi="Arial" w:cs="Arial"/>
        </w:rPr>
        <w:t xml:space="preserve"> </w:t>
      </w:r>
      <w:r w:rsidR="00C01AD5">
        <w:rPr>
          <w:rFonts w:ascii="Arial" w:hAnsi="Arial" w:cs="Arial"/>
          <w:sz w:val="20"/>
          <w:szCs w:val="20"/>
        </w:rPr>
        <w:t>(Pattison, Poultry Diseases, 6th Edition).</w:t>
      </w:r>
    </w:p>
    <w:p w14:paraId="33542ECA" w14:textId="5406CBB9" w:rsidR="00702610" w:rsidRDefault="00702610" w:rsidP="00E94781">
      <w:pPr>
        <w:spacing w:after="0" w:line="480" w:lineRule="auto"/>
        <w:jc w:val="both"/>
        <w:rPr>
          <w:rFonts w:ascii="Arial" w:hAnsi="Arial" w:cs="Arial"/>
          <w:sz w:val="20"/>
          <w:szCs w:val="20"/>
        </w:rPr>
      </w:pPr>
      <w:r w:rsidRPr="006F0F7F">
        <w:rPr>
          <w:rFonts w:ascii="Arial" w:hAnsi="Arial" w:cs="Arial"/>
          <w:sz w:val="20"/>
          <w:szCs w:val="20"/>
        </w:rPr>
        <w:tab/>
        <w:t xml:space="preserve">Infected birds typically show nonspecific clinical signs, including weight loss, </w:t>
      </w:r>
      <w:r w:rsidR="00345BC8" w:rsidRPr="006F0F7F">
        <w:rPr>
          <w:rFonts w:ascii="Arial" w:hAnsi="Arial" w:cs="Arial"/>
          <w:sz w:val="20"/>
          <w:szCs w:val="20"/>
        </w:rPr>
        <w:t>anaemia</w:t>
      </w:r>
      <w:r w:rsidRPr="006F0F7F">
        <w:rPr>
          <w:rFonts w:ascii="Arial" w:hAnsi="Arial" w:cs="Arial"/>
          <w:sz w:val="20"/>
          <w:szCs w:val="20"/>
        </w:rPr>
        <w:t>, depression, and decreased productivity, which makes early clinical diagnosis difficult (</w:t>
      </w:r>
      <w:r w:rsidR="005F3586" w:rsidRPr="006F0F7F">
        <w:rPr>
          <w:rFonts w:ascii="Arial" w:hAnsi="Arial" w:cs="Arial"/>
          <w:sz w:val="20"/>
          <w:szCs w:val="20"/>
        </w:rPr>
        <w:t>Payne &amp; Venugopal, 2000</w:t>
      </w:r>
      <w:r w:rsidRPr="006F0F7F">
        <w:rPr>
          <w:rFonts w:ascii="Arial" w:hAnsi="Arial" w:cs="Arial"/>
          <w:sz w:val="20"/>
          <w:szCs w:val="20"/>
        </w:rPr>
        <w:t xml:space="preserve">). Post-mortem examination reveals </w:t>
      </w:r>
      <w:r w:rsidR="00345BC8">
        <w:rPr>
          <w:rFonts w:ascii="Arial" w:hAnsi="Arial" w:cs="Arial"/>
          <w:sz w:val="20"/>
          <w:szCs w:val="20"/>
        </w:rPr>
        <w:t>tumour</w:t>
      </w:r>
      <w:r w:rsidRPr="006F0F7F">
        <w:rPr>
          <w:rFonts w:ascii="Arial" w:hAnsi="Arial" w:cs="Arial"/>
          <w:sz w:val="20"/>
          <w:szCs w:val="20"/>
        </w:rPr>
        <w:t xml:space="preserve"> nodules in visceral organs, and histopathology remains a gold standard in distinguishing LL from other neoplastic diseases, particularly Marek’s disease (MD), which primarily affects T-cells and involves the sciatic nerve (</w:t>
      </w:r>
      <w:r w:rsidR="00FA391E" w:rsidRPr="006F0F7F">
        <w:rPr>
          <w:rFonts w:ascii="Arial" w:hAnsi="Arial" w:cs="Arial"/>
          <w:sz w:val="20"/>
          <w:szCs w:val="20"/>
        </w:rPr>
        <w:t>Zavala &amp; Cheng, 2006</w:t>
      </w:r>
      <w:r w:rsidR="00FA391E">
        <w:rPr>
          <w:rFonts w:ascii="Arial" w:hAnsi="Arial" w:cs="Arial"/>
          <w:sz w:val="20"/>
          <w:szCs w:val="20"/>
        </w:rPr>
        <w:t xml:space="preserve">: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r w:rsidR="0000090A">
        <w:rPr>
          <w:rFonts w:ascii="Arial" w:hAnsi="Arial" w:cs="Arial"/>
          <w:sz w:val="20"/>
          <w:szCs w:val="20"/>
        </w:rPr>
        <w:t xml:space="preserve"> </w:t>
      </w:r>
      <w:r w:rsidR="0000090A" w:rsidRPr="002D5A4A">
        <w:rPr>
          <w:rFonts w:ascii="Arial" w:hAnsi="Arial" w:cs="Arial"/>
          <w:sz w:val="20"/>
          <w:szCs w:val="20"/>
          <w:highlight w:val="yellow"/>
        </w:rPr>
        <w:t>Affected birds usually have enlarged peripheral nerves, as in the classical form. In younger birds, liver enlargement is usually moderate in extent, but in adult birds</w:t>
      </w:r>
      <w:r w:rsidR="00FA358F">
        <w:rPr>
          <w:rFonts w:ascii="Arial" w:hAnsi="Arial" w:cs="Arial"/>
          <w:sz w:val="20"/>
          <w:szCs w:val="20"/>
          <w:highlight w:val="yellow"/>
        </w:rPr>
        <w:t>,</w:t>
      </w:r>
      <w:r w:rsidR="0000090A" w:rsidRPr="002D5A4A">
        <w:rPr>
          <w:rFonts w:ascii="Arial" w:hAnsi="Arial" w:cs="Arial"/>
          <w:sz w:val="20"/>
          <w:szCs w:val="20"/>
          <w:highlight w:val="yellow"/>
        </w:rPr>
        <w:t xml:space="preserve"> the liver may </w:t>
      </w:r>
      <w:r w:rsidR="0000090A" w:rsidRPr="002D5A4A">
        <w:rPr>
          <w:rFonts w:ascii="Arial" w:hAnsi="Arial" w:cs="Arial"/>
          <w:sz w:val="20"/>
          <w:szCs w:val="20"/>
          <w:highlight w:val="yellow"/>
        </w:rPr>
        <w:lastRenderedPageBreak/>
        <w:t>be greatly enlarged and the gross appearance identical to that seen in lymphoid leukosis, from which the disease must be differentiated. Nerve lesions are often absent in adult birds with Marek’s Disease</w:t>
      </w:r>
      <w:r w:rsidR="009D2A99" w:rsidRPr="002D5A4A">
        <w:rPr>
          <w:rFonts w:ascii="Arial" w:hAnsi="Arial" w:cs="Arial"/>
          <w:sz w:val="20"/>
          <w:szCs w:val="20"/>
          <w:highlight w:val="yellow"/>
        </w:rPr>
        <w:t xml:space="preserve"> (</w:t>
      </w:r>
      <w:r w:rsidR="00FA358F" w:rsidRPr="002D5A4A">
        <w:rPr>
          <w:rFonts w:ascii="Arial" w:hAnsi="Arial" w:cs="Arial"/>
          <w:sz w:val="20"/>
          <w:szCs w:val="20"/>
          <w:highlight w:val="yellow"/>
          <w:lang w:val="en-US"/>
        </w:rPr>
        <w:t>Tuli</w:t>
      </w:r>
      <w:r w:rsidR="00FA358F">
        <w:rPr>
          <w:rFonts w:ascii="Arial" w:hAnsi="Arial" w:cs="Arial"/>
          <w:sz w:val="20"/>
          <w:szCs w:val="20"/>
          <w:highlight w:val="yellow"/>
          <w:lang w:val="en-US"/>
        </w:rPr>
        <w:t xml:space="preserve"> </w:t>
      </w:r>
      <w:r w:rsidR="00FA358F" w:rsidRPr="002D5A4A">
        <w:rPr>
          <w:rFonts w:ascii="Arial" w:hAnsi="Arial" w:cs="Arial"/>
          <w:sz w:val="20"/>
          <w:szCs w:val="20"/>
          <w:highlight w:val="yellow"/>
          <w:lang w:val="en-US"/>
        </w:rPr>
        <w:t xml:space="preserve">&amp; </w:t>
      </w:r>
      <w:proofErr w:type="spellStart"/>
      <w:r w:rsidR="00FA358F" w:rsidRPr="002D5A4A">
        <w:rPr>
          <w:rFonts w:ascii="Arial" w:hAnsi="Arial" w:cs="Arial"/>
          <w:sz w:val="20"/>
          <w:szCs w:val="20"/>
          <w:highlight w:val="yellow"/>
          <w:lang w:val="en-US"/>
        </w:rPr>
        <w:t>Fayisa</w:t>
      </w:r>
      <w:proofErr w:type="spellEnd"/>
      <w:r w:rsidR="00FA358F" w:rsidRPr="002D5A4A">
        <w:rPr>
          <w:rFonts w:ascii="Arial" w:hAnsi="Arial" w:cs="Arial"/>
          <w:sz w:val="20"/>
          <w:szCs w:val="20"/>
          <w:highlight w:val="yellow"/>
          <w:lang w:val="en-US"/>
        </w:rPr>
        <w:t xml:space="preserve">, </w:t>
      </w:r>
      <w:r w:rsidR="00FA358F">
        <w:rPr>
          <w:rFonts w:ascii="Arial" w:hAnsi="Arial" w:cs="Arial"/>
          <w:sz w:val="20"/>
          <w:szCs w:val="20"/>
          <w:highlight w:val="yellow"/>
          <w:lang w:val="en-US"/>
        </w:rPr>
        <w:t>2023</w:t>
      </w:r>
      <w:r w:rsidR="009D2A99" w:rsidRPr="002D5A4A">
        <w:rPr>
          <w:rFonts w:ascii="Arial" w:hAnsi="Arial" w:cs="Arial"/>
          <w:sz w:val="20"/>
          <w:szCs w:val="20"/>
          <w:highlight w:val="yellow"/>
        </w:rPr>
        <w:t>).</w:t>
      </w:r>
      <w:r w:rsidR="009D2A99">
        <w:rPr>
          <w:rFonts w:ascii="Arial" w:hAnsi="Arial" w:cs="Arial"/>
          <w:sz w:val="20"/>
          <w:szCs w:val="20"/>
        </w:rPr>
        <w:t xml:space="preserve"> </w:t>
      </w:r>
    </w:p>
    <w:p w14:paraId="6164E014" w14:textId="4B83F7C7" w:rsidR="00942A89" w:rsidRDefault="00881390" w:rsidP="00942A89">
      <w:pPr>
        <w:spacing w:after="0" w:line="480" w:lineRule="auto"/>
        <w:jc w:val="both"/>
        <w:rPr>
          <w:rFonts w:ascii="Arial" w:hAnsi="Arial" w:cs="Arial"/>
          <w:sz w:val="20"/>
          <w:szCs w:val="20"/>
        </w:rPr>
      </w:pPr>
      <w:r>
        <w:rPr>
          <w:rFonts w:ascii="Arial" w:hAnsi="Arial" w:cs="Arial"/>
          <w:sz w:val="20"/>
          <w:szCs w:val="20"/>
        </w:rPr>
        <w:tab/>
      </w:r>
      <w:r w:rsidR="00942A89" w:rsidRPr="00942A89">
        <w:rPr>
          <w:rFonts w:ascii="Arial" w:hAnsi="Arial" w:cs="Arial"/>
          <w:sz w:val="20"/>
          <w:szCs w:val="20"/>
        </w:rPr>
        <w:t>Globally, lymphoid leukosis (LL) continues to challenge both backyard poultry keepers and commercial operations, particularly in regions without comprehensive eradication programs (</w:t>
      </w:r>
      <w:r w:rsidR="00942A89" w:rsidRPr="00A240F8">
        <w:rPr>
          <w:rFonts w:ascii="Arial" w:hAnsi="Arial" w:cs="Arial"/>
          <w:sz w:val="20"/>
          <w:szCs w:val="20"/>
        </w:rPr>
        <w:t xml:space="preserve">Payne &amp; Nair, </w:t>
      </w:r>
      <w:r w:rsidR="00942A89">
        <w:rPr>
          <w:rFonts w:ascii="Arial" w:hAnsi="Arial" w:cs="Arial"/>
          <w:sz w:val="20"/>
          <w:szCs w:val="20"/>
        </w:rPr>
        <w:t>2012</w:t>
      </w:r>
      <w:r w:rsidR="00E26A2B">
        <w:rPr>
          <w:rFonts w:ascii="Arial" w:hAnsi="Arial" w:cs="Arial"/>
          <w:sz w:val="20"/>
          <w:szCs w:val="20"/>
        </w:rPr>
        <w:t xml:space="preserve">; </w:t>
      </w:r>
      <w:r w:rsidR="00E26A2B" w:rsidRPr="00E26A2B">
        <w:rPr>
          <w:rFonts w:ascii="Arial" w:hAnsi="Arial" w:cs="Arial"/>
          <w:sz w:val="20"/>
          <w:szCs w:val="20"/>
          <w:highlight w:val="yellow"/>
        </w:rPr>
        <w:t>Liebhart</w:t>
      </w:r>
      <w:r w:rsidR="00E26A2B" w:rsidRPr="002D5A4A">
        <w:rPr>
          <w:rFonts w:ascii="Arial" w:hAnsi="Arial" w:cs="Arial"/>
          <w:sz w:val="20"/>
          <w:szCs w:val="20"/>
          <w:highlight w:val="yellow"/>
        </w:rPr>
        <w:t xml:space="preserve"> et al., 2023</w:t>
      </w:r>
      <w:r w:rsidR="00942A89" w:rsidRPr="002D5A4A">
        <w:rPr>
          <w:rFonts w:ascii="Arial" w:hAnsi="Arial" w:cs="Arial"/>
          <w:sz w:val="20"/>
          <w:szCs w:val="20"/>
          <w:highlight w:val="yellow"/>
        </w:rPr>
        <w:t>).</w:t>
      </w:r>
      <w:r w:rsidR="00942A89" w:rsidRPr="00942A89">
        <w:rPr>
          <w:rFonts w:ascii="Arial" w:hAnsi="Arial" w:cs="Arial"/>
          <w:sz w:val="20"/>
          <w:szCs w:val="20"/>
        </w:rPr>
        <w:t xml:space="preserve"> The coexistence of native and commercial breeds in many developing countries acts as a viral reservoir, complicating control efforts (</w:t>
      </w:r>
      <w:proofErr w:type="spellStart"/>
      <w:r w:rsidR="00D713CA" w:rsidRPr="00D713CA">
        <w:rPr>
          <w:rFonts w:ascii="Arial" w:hAnsi="Arial" w:cs="Arial"/>
          <w:sz w:val="20"/>
          <w:szCs w:val="20"/>
        </w:rPr>
        <w:t>Elamurugan</w:t>
      </w:r>
      <w:proofErr w:type="spellEnd"/>
      <w:r w:rsidR="00D713CA" w:rsidRPr="00D713CA">
        <w:rPr>
          <w:rFonts w:ascii="Arial" w:hAnsi="Arial" w:cs="Arial"/>
          <w:sz w:val="20"/>
          <w:szCs w:val="20"/>
        </w:rPr>
        <w:t xml:space="preserve"> et al., 2015</w:t>
      </w:r>
      <w:r w:rsidR="00D713CA">
        <w:rPr>
          <w:rFonts w:ascii="Arial" w:hAnsi="Arial" w:cs="Arial"/>
          <w:sz w:val="20"/>
          <w:szCs w:val="20"/>
        </w:rPr>
        <w:t xml:space="preserve">; </w:t>
      </w:r>
      <w:r w:rsidR="00942A89" w:rsidRPr="00942A89">
        <w:rPr>
          <w:rFonts w:ascii="Arial" w:hAnsi="Arial" w:cs="Arial"/>
          <w:sz w:val="20"/>
          <w:szCs w:val="20"/>
        </w:rPr>
        <w:t>Mo</w:t>
      </w:r>
      <w:r w:rsidR="00942A89">
        <w:rPr>
          <w:rFonts w:ascii="Arial" w:hAnsi="Arial" w:cs="Arial"/>
          <w:sz w:val="20"/>
          <w:szCs w:val="20"/>
        </w:rPr>
        <w:t xml:space="preserve"> </w:t>
      </w:r>
      <w:r w:rsidR="001B6F0B" w:rsidRPr="001B6F0B">
        <w:rPr>
          <w:rFonts w:ascii="Arial" w:hAnsi="Arial" w:cs="Arial"/>
          <w:i/>
          <w:iCs/>
          <w:sz w:val="20"/>
          <w:szCs w:val="20"/>
        </w:rPr>
        <w:t>et al</w:t>
      </w:r>
      <w:r w:rsidR="00942A89">
        <w:rPr>
          <w:rFonts w:ascii="Arial" w:hAnsi="Arial" w:cs="Arial"/>
          <w:sz w:val="20"/>
          <w:szCs w:val="20"/>
        </w:rPr>
        <w:t xml:space="preserve">, </w:t>
      </w:r>
      <w:r w:rsidR="00942A89" w:rsidRPr="00942A89">
        <w:rPr>
          <w:rFonts w:ascii="Arial" w:hAnsi="Arial" w:cs="Arial"/>
          <w:sz w:val="20"/>
          <w:szCs w:val="20"/>
        </w:rPr>
        <w:t>2022</w:t>
      </w:r>
      <w:r w:rsidR="00641D75">
        <w:rPr>
          <w:rFonts w:ascii="Arial" w:hAnsi="Arial" w:cs="Arial"/>
          <w:sz w:val="20"/>
          <w:szCs w:val="20"/>
        </w:rPr>
        <w:t>)</w:t>
      </w:r>
      <w:r w:rsidR="00641D75" w:rsidRPr="00942A89">
        <w:rPr>
          <w:rFonts w:ascii="Arial" w:hAnsi="Arial" w:cs="Arial"/>
          <w:sz w:val="20"/>
          <w:szCs w:val="20"/>
        </w:rPr>
        <w:t xml:space="preserve">. </w:t>
      </w:r>
      <w:r w:rsidR="00942A89" w:rsidRPr="00942A89">
        <w:rPr>
          <w:rFonts w:ascii="Arial" w:hAnsi="Arial" w:cs="Arial"/>
          <w:sz w:val="20"/>
          <w:szCs w:val="20"/>
        </w:rPr>
        <w:t xml:space="preserve">Additionally, vertical transmission of ALV-J—from hen to chick via the egg—secures viral persistence even under improved biosecurity measures (Li </w:t>
      </w:r>
      <w:r w:rsidR="001B6F0B" w:rsidRPr="001B6F0B">
        <w:rPr>
          <w:rFonts w:ascii="Arial" w:hAnsi="Arial" w:cs="Arial"/>
          <w:i/>
          <w:iCs/>
          <w:sz w:val="20"/>
          <w:szCs w:val="20"/>
        </w:rPr>
        <w:t>et al</w:t>
      </w:r>
      <w:r w:rsidR="00942A89" w:rsidRPr="00942A89">
        <w:rPr>
          <w:rFonts w:ascii="Arial" w:hAnsi="Arial" w:cs="Arial"/>
          <w:sz w:val="20"/>
          <w:szCs w:val="20"/>
        </w:rPr>
        <w:t>., 2017).</w:t>
      </w:r>
    </w:p>
    <w:p w14:paraId="21B607EE" w14:textId="334C20D7" w:rsidR="00702610" w:rsidRPr="006F0F7F" w:rsidRDefault="00702610" w:rsidP="00942A89">
      <w:pPr>
        <w:spacing w:after="0" w:line="480" w:lineRule="auto"/>
        <w:jc w:val="both"/>
        <w:rPr>
          <w:rFonts w:ascii="Arial" w:hAnsi="Arial" w:cs="Arial"/>
          <w:sz w:val="20"/>
          <w:szCs w:val="20"/>
        </w:rPr>
      </w:pPr>
      <w:r w:rsidRPr="006F0F7F">
        <w:rPr>
          <w:rFonts w:ascii="Arial" w:hAnsi="Arial" w:cs="Arial"/>
          <w:sz w:val="20"/>
          <w:szCs w:val="20"/>
        </w:rPr>
        <w:tab/>
        <w:t xml:space="preserve">The significance of LL in poultry health management lies not only in its economic consequences but also in its potential to interfere with vaccination efficacy against other poultry pathogens, due to virus-induced immunosuppression (Payne &amp; Venugopal, 2000). The continued occurrence of LL, even in crossbred and native chicken populations, highlights the importance of routine monitoring, histopathological confirmation, and policy interventions for effective </w:t>
      </w:r>
      <w:r w:rsidRPr="002D5A4A">
        <w:rPr>
          <w:rFonts w:ascii="Arial" w:hAnsi="Arial" w:cs="Arial"/>
          <w:sz w:val="20"/>
          <w:szCs w:val="20"/>
          <w:highlight w:val="yellow"/>
        </w:rPr>
        <w:t>control</w:t>
      </w:r>
      <w:r w:rsidR="00613429" w:rsidRPr="002D5A4A">
        <w:rPr>
          <w:rFonts w:ascii="Arial" w:hAnsi="Arial" w:cs="Arial"/>
          <w:sz w:val="20"/>
          <w:szCs w:val="20"/>
          <w:highlight w:val="yellow"/>
        </w:rPr>
        <w:t xml:space="preserve"> (</w:t>
      </w:r>
      <w:r w:rsidR="00CC4C7A" w:rsidRPr="00CC4C7A">
        <w:rPr>
          <w:rFonts w:ascii="Arial" w:hAnsi="Arial" w:cs="Arial"/>
          <w:sz w:val="20"/>
          <w:szCs w:val="20"/>
          <w:highlight w:val="yellow"/>
        </w:rPr>
        <w:t>Wang</w:t>
      </w:r>
      <w:r w:rsidR="00CC4C7A">
        <w:rPr>
          <w:rFonts w:ascii="Arial" w:hAnsi="Arial" w:cs="Arial"/>
          <w:sz w:val="20"/>
          <w:szCs w:val="20"/>
          <w:highlight w:val="yellow"/>
        </w:rPr>
        <w:t xml:space="preserve"> et al., 2025</w:t>
      </w:r>
      <w:r w:rsidR="00613429" w:rsidRPr="002D5A4A">
        <w:rPr>
          <w:rFonts w:ascii="Arial" w:hAnsi="Arial" w:cs="Arial"/>
          <w:sz w:val="20"/>
          <w:szCs w:val="20"/>
          <w:highlight w:val="yellow"/>
        </w:rPr>
        <w:t>)</w:t>
      </w:r>
      <w:r w:rsidRPr="002D5A4A">
        <w:rPr>
          <w:rFonts w:ascii="Arial" w:hAnsi="Arial" w:cs="Arial"/>
          <w:sz w:val="20"/>
          <w:szCs w:val="20"/>
          <w:highlight w:val="yellow"/>
        </w:rPr>
        <w:t>.</w:t>
      </w:r>
    </w:p>
    <w:p w14:paraId="31623818" w14:textId="5214DDE0"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present study was undertaken to investigate the occurrence of visceral lymphoid leukosis in crossbred native chickens presented for post-mortem examination. The work focused on gross and histopathological </w:t>
      </w:r>
      <w:r w:rsidR="004766FF" w:rsidRPr="002D5A4A">
        <w:rPr>
          <w:rFonts w:ascii="Arial" w:hAnsi="Arial" w:cs="Arial"/>
          <w:sz w:val="20"/>
          <w:szCs w:val="20"/>
          <w:highlight w:val="yellow"/>
        </w:rPr>
        <w:t>characterisation</w:t>
      </w:r>
      <w:r w:rsidR="004766FF" w:rsidRPr="002D5A4A">
        <w:rPr>
          <w:rFonts w:ascii="Arial" w:hAnsi="Arial" w:cs="Arial"/>
          <w:sz w:val="20"/>
          <w:szCs w:val="20"/>
          <w:highlight w:val="yellow"/>
        </w:rPr>
        <w:t xml:space="preserve"> </w:t>
      </w:r>
      <w:r w:rsidRPr="002D5A4A">
        <w:rPr>
          <w:rFonts w:ascii="Arial" w:hAnsi="Arial" w:cs="Arial"/>
          <w:sz w:val="20"/>
          <w:szCs w:val="20"/>
          <w:highlight w:val="yellow"/>
        </w:rPr>
        <w:t>of lesions</w:t>
      </w:r>
      <w:r w:rsidRPr="006F0F7F">
        <w:rPr>
          <w:rFonts w:ascii="Arial" w:hAnsi="Arial" w:cs="Arial"/>
          <w:sz w:val="20"/>
          <w:szCs w:val="20"/>
        </w:rPr>
        <w:t xml:space="preserve"> in different visceral organs, differentiation from Marek’s disease, and assessment of implications for poultry health management under </w:t>
      </w:r>
      <w:r w:rsidR="004766FF" w:rsidRPr="002D5A4A">
        <w:rPr>
          <w:rFonts w:ascii="Arial" w:hAnsi="Arial" w:cs="Arial"/>
          <w:sz w:val="20"/>
          <w:szCs w:val="20"/>
          <w:highlight w:val="yellow"/>
        </w:rPr>
        <w:t>organised</w:t>
      </w:r>
      <w:r w:rsidR="004766FF" w:rsidRPr="002D5A4A">
        <w:rPr>
          <w:rFonts w:ascii="Arial" w:hAnsi="Arial" w:cs="Arial"/>
          <w:sz w:val="20"/>
          <w:szCs w:val="20"/>
          <w:highlight w:val="yellow"/>
        </w:rPr>
        <w:t xml:space="preserve"> </w:t>
      </w:r>
      <w:r w:rsidRPr="002D5A4A">
        <w:rPr>
          <w:rFonts w:ascii="Arial" w:hAnsi="Arial" w:cs="Arial"/>
          <w:sz w:val="20"/>
          <w:szCs w:val="20"/>
          <w:highlight w:val="yellow"/>
        </w:rPr>
        <w:t>farming conditions</w:t>
      </w:r>
      <w:r w:rsidRPr="006F0F7F">
        <w:rPr>
          <w:rFonts w:ascii="Arial" w:hAnsi="Arial" w:cs="Arial"/>
          <w:sz w:val="20"/>
          <w:szCs w:val="20"/>
        </w:rPr>
        <w:t>.</w:t>
      </w:r>
    </w:p>
    <w:p w14:paraId="7533D5E6" w14:textId="77777777" w:rsidR="00684849" w:rsidRPr="006F0F7F" w:rsidRDefault="00281E44" w:rsidP="006F0F7F">
      <w:pPr>
        <w:spacing w:line="480" w:lineRule="auto"/>
        <w:jc w:val="both"/>
        <w:rPr>
          <w:rFonts w:ascii="Arial" w:hAnsi="Arial" w:cs="Arial"/>
          <w:b/>
          <w:bCs/>
        </w:rPr>
      </w:pPr>
      <w:r w:rsidRPr="006F0F7F">
        <w:rPr>
          <w:rFonts w:ascii="Arial" w:hAnsi="Arial" w:cs="Arial"/>
          <w:b/>
          <w:bCs/>
        </w:rPr>
        <w:t>MATERIALS AND METHODS</w:t>
      </w:r>
    </w:p>
    <w:p w14:paraId="7E291DE9"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Sample Collection</w:t>
      </w:r>
    </w:p>
    <w:p w14:paraId="0A6D64DD" w14:textId="0590AB00"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Eight representative carcasses of crossbred native chickens of varying ages, which had succumbed to sudden mortality, were collected from </w:t>
      </w:r>
      <w:r w:rsidR="004766FF" w:rsidRPr="002D5A4A">
        <w:rPr>
          <w:rFonts w:ascii="Arial" w:hAnsi="Arial" w:cs="Arial"/>
          <w:sz w:val="20"/>
          <w:szCs w:val="20"/>
          <w:highlight w:val="yellow"/>
        </w:rPr>
        <w:t>organised</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poultry</w:t>
      </w:r>
      <w:r w:rsidR="00702610" w:rsidRPr="006F0F7F">
        <w:rPr>
          <w:rFonts w:ascii="Arial" w:hAnsi="Arial" w:cs="Arial"/>
          <w:sz w:val="20"/>
          <w:szCs w:val="20"/>
        </w:rPr>
        <w:t xml:space="preserve"> flocks. Each carcass was subjected to systematic postmortem examination. Tissue samples from grossly affected birds were collected under aseptic conditions for both cytological and histopathological analyses. In total, five out of eight carcasses (62.5%) exhibited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lesions, and samples from these cases were processed further.</w:t>
      </w:r>
    </w:p>
    <w:p w14:paraId="21C33772"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Gross Pathological Examination</w:t>
      </w:r>
    </w:p>
    <w:p w14:paraId="5932DCFD" w14:textId="77A45B5F" w:rsidR="00702610" w:rsidRPr="006F0F7F" w:rsidRDefault="006F0F7F" w:rsidP="006F0F7F">
      <w:pPr>
        <w:spacing w:line="480" w:lineRule="auto"/>
        <w:jc w:val="both"/>
        <w:rPr>
          <w:rFonts w:ascii="Arial" w:hAnsi="Arial" w:cs="Arial"/>
          <w:sz w:val="20"/>
          <w:szCs w:val="20"/>
        </w:rPr>
      </w:pPr>
      <w:r>
        <w:rPr>
          <w:rFonts w:ascii="Arial" w:hAnsi="Arial" w:cs="Arial"/>
          <w:sz w:val="20"/>
          <w:szCs w:val="20"/>
        </w:rPr>
        <w:lastRenderedPageBreak/>
        <w:tab/>
      </w:r>
      <w:bookmarkStart w:id="1" w:name="_Hlk208411442"/>
      <w:r w:rsidR="00702610" w:rsidRPr="006F0F7F">
        <w:rPr>
          <w:rFonts w:ascii="Arial" w:hAnsi="Arial" w:cs="Arial"/>
          <w:sz w:val="20"/>
          <w:szCs w:val="20"/>
        </w:rPr>
        <w:t xml:space="preserve">All carcasses underwent thorough postmortem examination, with detailed recording of gross pathological changes in visceral organs such as the liver, kidneys, spleen, and intestines. </w:t>
      </w:r>
      <w:bookmarkEnd w:id="1"/>
      <w:r w:rsidR="00702610" w:rsidRPr="006F0F7F">
        <w:rPr>
          <w:rFonts w:ascii="Arial" w:hAnsi="Arial" w:cs="Arial"/>
          <w:sz w:val="20"/>
          <w:szCs w:val="20"/>
        </w:rPr>
        <w:t xml:space="preserve">Prominent findings included hepatomegaly, splenomegaly, and the presence of </w:t>
      </w:r>
      <w:proofErr w:type="spellStart"/>
      <w:r w:rsidR="00702610" w:rsidRPr="006F0F7F">
        <w:rPr>
          <w:rFonts w:ascii="Arial" w:hAnsi="Arial" w:cs="Arial"/>
          <w:sz w:val="20"/>
          <w:szCs w:val="20"/>
        </w:rPr>
        <w:t>grayish</w:t>
      </w:r>
      <w:proofErr w:type="spellEnd"/>
      <w:r w:rsidR="00702610" w:rsidRPr="006F0F7F">
        <w:rPr>
          <w:rFonts w:ascii="Arial" w:hAnsi="Arial" w:cs="Arial"/>
          <w:sz w:val="20"/>
          <w:szCs w:val="20"/>
        </w:rPr>
        <w:t xml:space="preserve">-white nodular </w:t>
      </w:r>
      <w:r w:rsidR="00345BC8">
        <w:rPr>
          <w:rFonts w:ascii="Arial" w:hAnsi="Arial" w:cs="Arial"/>
          <w:sz w:val="20"/>
          <w:szCs w:val="20"/>
        </w:rPr>
        <w:t>tumour</w:t>
      </w:r>
      <w:r w:rsidR="00702610" w:rsidRPr="006F0F7F">
        <w:rPr>
          <w:rFonts w:ascii="Arial" w:hAnsi="Arial" w:cs="Arial"/>
          <w:sz w:val="20"/>
          <w:szCs w:val="20"/>
        </w:rPr>
        <w:t>s, predominantly affecting the liver and kidneys. The extent, distribution, and morphological characteristics of the lesions were noted in detail, providing preliminary evidence suggestive of lymphoid leukosis.</w:t>
      </w:r>
    </w:p>
    <w:p w14:paraId="0F54C82E"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Histopathological Examination</w:t>
      </w:r>
    </w:p>
    <w:p w14:paraId="42904043" w14:textId="5B131B89"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Tissue specimens collected from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organs were fixed in 10% neutral buffered formalin immediately after collection to preserve cellular integrity. Fixed tissues were washed under running tap water, dehydrated in ascending grades of alcohol, cleared in xylene, and embedded in paraffin wax. Thin sections of approximately 5 µm thickness were obtained using a rotary microtome and mounted on clean glass slides. The sections were stained with </w:t>
      </w:r>
      <w:r w:rsidR="00682607" w:rsidRPr="006F0F7F">
        <w:rPr>
          <w:rFonts w:ascii="Arial" w:hAnsi="Arial" w:cs="Arial"/>
          <w:sz w:val="20"/>
          <w:szCs w:val="20"/>
        </w:rPr>
        <w:t>Haematoxylin</w:t>
      </w:r>
      <w:r w:rsidR="00702610" w:rsidRPr="006F0F7F">
        <w:rPr>
          <w:rFonts w:ascii="Arial" w:hAnsi="Arial" w:cs="Arial"/>
          <w:sz w:val="20"/>
          <w:szCs w:val="20"/>
        </w:rPr>
        <w:t xml:space="preserve"> and Eosin (H&amp;E) following the standard protocol described by Luna (1968). </w:t>
      </w:r>
      <w:bookmarkStart w:id="2" w:name="_Hlk208411467"/>
      <w:r w:rsidR="00702610" w:rsidRPr="006F0F7F">
        <w:rPr>
          <w:rFonts w:ascii="Arial" w:hAnsi="Arial" w:cs="Arial"/>
          <w:sz w:val="20"/>
          <w:szCs w:val="20"/>
        </w:rPr>
        <w:t>Microscopic examination was carried out using a compound light microscope to evaluate neoplastic changes.</w:t>
      </w:r>
      <w:r w:rsidR="00702610" w:rsidRPr="006F0F7F">
        <w:rPr>
          <w:rFonts w:ascii="Arial" w:hAnsi="Arial" w:cs="Arial"/>
          <w:sz w:val="20"/>
          <w:szCs w:val="20"/>
        </w:rPr>
        <w:br/>
      </w:r>
      <w:bookmarkEnd w:id="2"/>
      <w:r w:rsidR="00702610" w:rsidRPr="006F0F7F">
        <w:rPr>
          <w:rFonts w:ascii="Arial" w:hAnsi="Arial" w:cs="Arial"/>
          <w:sz w:val="20"/>
          <w:szCs w:val="20"/>
        </w:rPr>
        <w:t xml:space="preserve">The histological evaluation focused on identifying hallmarks of lymphoid leukosis, including diffuse or nodular infiltration of uniform lymphoblast-like cells, nuclear pleomorphism, and obliteration of normal tissue architecture (Payne &amp; Nair, 2012; Soujanya </w:t>
      </w:r>
      <w:r w:rsidR="001B6F0B" w:rsidRPr="001B6F0B">
        <w:rPr>
          <w:rFonts w:ascii="Arial" w:hAnsi="Arial" w:cs="Arial"/>
          <w:i/>
          <w:iCs/>
          <w:sz w:val="20"/>
          <w:szCs w:val="20"/>
        </w:rPr>
        <w:t>et al</w:t>
      </w:r>
      <w:r w:rsidR="00702610" w:rsidRPr="006F0F7F">
        <w:rPr>
          <w:rFonts w:ascii="Arial" w:hAnsi="Arial" w:cs="Arial"/>
          <w:sz w:val="20"/>
          <w:szCs w:val="20"/>
        </w:rPr>
        <w:t>., 2019).</w:t>
      </w:r>
    </w:p>
    <w:p w14:paraId="32FE22FB" w14:textId="77777777" w:rsidR="00702610" w:rsidRPr="006F0F7F" w:rsidRDefault="00702610" w:rsidP="002629E0">
      <w:pPr>
        <w:spacing w:after="0" w:line="480" w:lineRule="auto"/>
        <w:jc w:val="both"/>
        <w:rPr>
          <w:rFonts w:ascii="Arial" w:hAnsi="Arial" w:cs="Arial"/>
          <w:b/>
          <w:bCs/>
        </w:rPr>
      </w:pPr>
      <w:r w:rsidRPr="006F0F7F">
        <w:rPr>
          <w:rFonts w:ascii="Arial" w:hAnsi="Arial" w:cs="Arial"/>
          <w:b/>
          <w:bCs/>
        </w:rPr>
        <w:t>Diagnostic Criteria</w:t>
      </w:r>
    </w:p>
    <w:p w14:paraId="5A90CC73" w14:textId="20289B9F"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bookmarkStart w:id="3" w:name="_Hlk208411490"/>
      <w:r w:rsidR="00702610" w:rsidRPr="006F0F7F">
        <w:rPr>
          <w:rFonts w:ascii="Arial" w:hAnsi="Arial" w:cs="Arial"/>
          <w:sz w:val="20"/>
          <w:szCs w:val="20"/>
        </w:rPr>
        <w:t xml:space="preserve">Cytological smears were prepared from impression samples of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lesions, fixed with methanol, and stained with Giemsa stain for evaluation of cellular morphology. </w:t>
      </w:r>
      <w:bookmarkEnd w:id="3"/>
      <w:r w:rsidR="00702610" w:rsidRPr="006F0F7F">
        <w:rPr>
          <w:rFonts w:ascii="Arial" w:hAnsi="Arial" w:cs="Arial"/>
          <w:sz w:val="20"/>
          <w:szCs w:val="20"/>
        </w:rPr>
        <w:t>These smears revealed diagnostic features such as high cellularity, presence of lymphoblasts with vesicular nuclei, prominent nucleoli, and a high nuclear-to-cytoplasmic ratio, consistent with lymphoid leukosis. The combination of gross pathology, histopathology, and cytology provided a reliable diagnostic basis to differentiate lymphoid leukosis from Marek’s disease, as per established avian pathology guidelines</w:t>
      </w:r>
      <w:r w:rsidR="0081159E">
        <w:rPr>
          <w:rFonts w:ascii="Arial" w:hAnsi="Arial" w:cs="Arial"/>
          <w:sz w:val="20"/>
          <w:szCs w:val="20"/>
        </w:rPr>
        <w:t xml:space="preserve"> (</w:t>
      </w:r>
      <w:r w:rsidR="00702610" w:rsidRPr="006F0F7F">
        <w:rPr>
          <w:rFonts w:ascii="Arial" w:hAnsi="Arial" w:cs="Arial"/>
          <w:sz w:val="20"/>
          <w:szCs w:val="20"/>
        </w:rPr>
        <w:t>Payne &amp; Venugopal, 2000; Payne &amp; Nair, 2012).</w:t>
      </w:r>
    </w:p>
    <w:p w14:paraId="3A75CE20" w14:textId="02A03177" w:rsidR="00684849" w:rsidRPr="006F0F7F" w:rsidRDefault="00281E44" w:rsidP="006F0F7F">
      <w:pPr>
        <w:spacing w:line="480" w:lineRule="auto"/>
        <w:jc w:val="both"/>
        <w:rPr>
          <w:rFonts w:ascii="Arial" w:hAnsi="Arial" w:cs="Arial"/>
          <w:b/>
          <w:bCs/>
        </w:rPr>
      </w:pPr>
      <w:r w:rsidRPr="006F0F7F">
        <w:rPr>
          <w:rFonts w:ascii="Arial" w:hAnsi="Arial" w:cs="Arial"/>
          <w:b/>
          <w:bCs/>
        </w:rPr>
        <w:t>RESULTS AND DISCUSSION</w:t>
      </w:r>
    </w:p>
    <w:p w14:paraId="72AB29AE" w14:textId="5CF09120"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Out of the eight carcasses examined, five (62.5%) were diagnosed with lymphoid leukosis (LL) based on characteristic gross lesions, histopathological changes, and cytological findings. The </w:t>
      </w:r>
      <w:r w:rsidR="00345BC8">
        <w:rPr>
          <w:rFonts w:ascii="Arial" w:hAnsi="Arial" w:cs="Arial"/>
          <w:sz w:val="20"/>
          <w:szCs w:val="20"/>
        </w:rPr>
        <w:t>tumour</w:t>
      </w:r>
      <w:r w:rsidRPr="006F0F7F">
        <w:rPr>
          <w:rFonts w:ascii="Arial" w:hAnsi="Arial" w:cs="Arial"/>
          <w:sz w:val="20"/>
          <w:szCs w:val="20"/>
        </w:rPr>
        <w:t>s were observed as either discrete nodules or diffuse proliferations involving multiple visceral organs.</w:t>
      </w:r>
    </w:p>
    <w:p w14:paraId="2B6ADFC4"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lastRenderedPageBreak/>
        <w:t>Gross Pathology</w:t>
      </w:r>
    </w:p>
    <w:p w14:paraId="3E172DCE" w14:textId="19FCE390"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The most prominent lesion was hepatomegaly, with the liver markedly enlarged and showing multiple, firm, greyish-white to nodular neoplastic growths scattered across the parenchyma (Fig. 1). The kidneys were pale, markedly enlarged, and contained numerous surface nodules. The heart also exhibited multiple white nodules accompanied </w:t>
      </w:r>
      <w:r w:rsidR="00702610" w:rsidRPr="002D5A4A">
        <w:rPr>
          <w:rFonts w:ascii="Arial" w:hAnsi="Arial" w:cs="Arial"/>
          <w:sz w:val="20"/>
          <w:szCs w:val="20"/>
          <w:highlight w:val="yellow"/>
        </w:rPr>
        <w:t xml:space="preserve">by </w:t>
      </w:r>
      <w:r w:rsidR="004766FF" w:rsidRPr="002D5A4A">
        <w:rPr>
          <w:rFonts w:ascii="Arial" w:hAnsi="Arial" w:cs="Arial"/>
          <w:sz w:val="20"/>
          <w:szCs w:val="20"/>
          <w:highlight w:val="yellow"/>
        </w:rPr>
        <w:t>generalised</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enlargement</w:t>
      </w:r>
      <w:r w:rsidR="00702610" w:rsidRPr="006F0F7F">
        <w:rPr>
          <w:rFonts w:ascii="Arial" w:hAnsi="Arial" w:cs="Arial"/>
          <w:sz w:val="20"/>
          <w:szCs w:val="20"/>
        </w:rPr>
        <w:t>. These findings are consistent with the gross pathological features of LL reported earlier in native and commercial chickens (</w:t>
      </w:r>
      <w:r w:rsidR="00682607" w:rsidRPr="00682607">
        <w:rPr>
          <w:rFonts w:ascii="Arial" w:hAnsi="Arial" w:cs="Arial"/>
          <w:sz w:val="20"/>
          <w:szCs w:val="20"/>
        </w:rPr>
        <w:t>Sagarika</w:t>
      </w:r>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xml:space="preserve">., 2017; Soujanya </w:t>
      </w:r>
      <w:r w:rsidR="001B6F0B" w:rsidRPr="001B6F0B">
        <w:rPr>
          <w:rFonts w:ascii="Arial" w:hAnsi="Arial" w:cs="Arial"/>
          <w:i/>
          <w:iCs/>
          <w:sz w:val="20"/>
          <w:szCs w:val="20"/>
        </w:rPr>
        <w:t>et al</w:t>
      </w:r>
      <w:r w:rsidR="00702610" w:rsidRPr="006F0F7F">
        <w:rPr>
          <w:rFonts w:ascii="Arial" w:hAnsi="Arial" w:cs="Arial"/>
          <w:sz w:val="20"/>
          <w:szCs w:val="20"/>
        </w:rPr>
        <w:t>., 2019).</w:t>
      </w:r>
    </w:p>
    <w:p w14:paraId="1A451C3E" w14:textId="06762FBD"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An important diagnostic feature observed in this study was the absence of peripheral nerve enlargement. The sciatic nerves appeared normal, which helped in differentiating lymphoid leukosis from Marek’s disease, as the latter is classically </w:t>
      </w:r>
      <w:r w:rsidR="004766FF" w:rsidRPr="002D5A4A">
        <w:rPr>
          <w:rFonts w:ascii="Arial" w:hAnsi="Arial" w:cs="Arial"/>
          <w:sz w:val="20"/>
          <w:szCs w:val="20"/>
          <w:highlight w:val="yellow"/>
        </w:rPr>
        <w:t>characterised</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by nerve</w:t>
      </w:r>
      <w:r w:rsidR="00702610" w:rsidRPr="006F0F7F">
        <w:rPr>
          <w:rFonts w:ascii="Arial" w:hAnsi="Arial" w:cs="Arial"/>
          <w:sz w:val="20"/>
          <w:szCs w:val="20"/>
        </w:rPr>
        <w:t xml:space="preserve"> enlargement and infiltration (Payne and Nair, 2012). Similarly, there were no </w:t>
      </w:r>
      <w:r w:rsidR="00682607">
        <w:rPr>
          <w:rFonts w:ascii="Arial" w:hAnsi="Arial" w:cs="Arial"/>
          <w:sz w:val="20"/>
          <w:szCs w:val="20"/>
        </w:rPr>
        <w:t>tumoro</w:t>
      </w:r>
      <w:r w:rsidR="00682607" w:rsidRPr="006F0F7F">
        <w:rPr>
          <w:rFonts w:ascii="Arial" w:hAnsi="Arial" w:cs="Arial"/>
          <w:sz w:val="20"/>
          <w:szCs w:val="20"/>
        </w:rPr>
        <w:t>us</w:t>
      </w:r>
      <w:r w:rsidR="00702610" w:rsidRPr="006F0F7F">
        <w:rPr>
          <w:rFonts w:ascii="Arial" w:hAnsi="Arial" w:cs="Arial"/>
          <w:sz w:val="20"/>
          <w:szCs w:val="20"/>
        </w:rPr>
        <w:t xml:space="preserve"> growths on the skin or feather follicles, further excluding Marek’s disease as a differential diagnosis. </w:t>
      </w:r>
      <w:r w:rsidR="00702610" w:rsidRPr="002D5A4A">
        <w:rPr>
          <w:rFonts w:ascii="Arial" w:hAnsi="Arial" w:cs="Arial"/>
          <w:sz w:val="20"/>
          <w:szCs w:val="20"/>
          <w:highlight w:val="yellow"/>
        </w:rPr>
        <w:t xml:space="preserve">The </w:t>
      </w:r>
      <w:r w:rsidR="004766FF" w:rsidRPr="002D5A4A">
        <w:rPr>
          <w:rFonts w:ascii="Arial" w:hAnsi="Arial" w:cs="Arial"/>
          <w:sz w:val="20"/>
          <w:szCs w:val="20"/>
          <w:highlight w:val="yellow"/>
        </w:rPr>
        <w:t>localisation</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of</w:t>
      </w:r>
      <w:r w:rsidR="00702610" w:rsidRPr="006F0F7F">
        <w:rPr>
          <w:rFonts w:ascii="Arial" w:hAnsi="Arial" w:cs="Arial"/>
          <w:sz w:val="20"/>
          <w:szCs w:val="20"/>
        </w:rPr>
        <w:t xml:space="preserve"> lesions to visceral organs, particularly the liver, kidneys, and heart, with sparing of peripheral nerves, is a hallmark feature of LL, as also highlighted by previous workers (Balachandran </w:t>
      </w:r>
      <w:r w:rsidR="001B6F0B" w:rsidRPr="001B6F0B">
        <w:rPr>
          <w:rFonts w:ascii="Arial" w:hAnsi="Arial" w:cs="Arial"/>
          <w:i/>
          <w:iCs/>
          <w:sz w:val="20"/>
          <w:szCs w:val="20"/>
        </w:rPr>
        <w:t>et al</w:t>
      </w:r>
      <w:r w:rsidR="00702610" w:rsidRPr="006F0F7F">
        <w:rPr>
          <w:rFonts w:ascii="Arial" w:hAnsi="Arial" w:cs="Arial"/>
          <w:sz w:val="20"/>
          <w:szCs w:val="20"/>
        </w:rPr>
        <w:t xml:space="preserve">., 2009; Xu </w:t>
      </w:r>
      <w:r w:rsidR="001B6F0B" w:rsidRPr="001B6F0B">
        <w:rPr>
          <w:rFonts w:ascii="Arial" w:hAnsi="Arial" w:cs="Arial"/>
          <w:i/>
          <w:iCs/>
          <w:sz w:val="20"/>
          <w:szCs w:val="20"/>
        </w:rPr>
        <w:t>et al</w:t>
      </w:r>
      <w:r w:rsidR="00702610" w:rsidRPr="006F0F7F">
        <w:rPr>
          <w:rFonts w:ascii="Arial" w:hAnsi="Arial" w:cs="Arial"/>
          <w:sz w:val="20"/>
          <w:szCs w:val="20"/>
        </w:rPr>
        <w:t>., 2004).</w:t>
      </w:r>
    </w:p>
    <w:tbl>
      <w:tblPr>
        <w:tblStyle w:val="TableGrid"/>
        <w:tblW w:w="8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17"/>
      </w:tblGrid>
      <w:tr w:rsidR="00684849" w:rsidRPr="006F0F7F" w14:paraId="61BEC059" w14:textId="77777777" w:rsidTr="006F0F7F">
        <w:trPr>
          <w:trHeight w:val="317"/>
        </w:trPr>
        <w:tc>
          <w:tcPr>
            <w:tcW w:w="8833" w:type="dxa"/>
            <w:gridSpan w:val="2"/>
          </w:tcPr>
          <w:p w14:paraId="6A97EF28" w14:textId="77777777" w:rsidR="00684849" w:rsidRPr="006F0F7F" w:rsidRDefault="00281E44" w:rsidP="006F0F7F">
            <w:pPr>
              <w:spacing w:line="480" w:lineRule="auto"/>
              <w:jc w:val="both"/>
              <w:rPr>
                <w:rFonts w:ascii="Arial" w:hAnsi="Arial" w:cs="Arial"/>
                <w:b/>
                <w:bCs/>
                <w:sz w:val="20"/>
                <w:szCs w:val="20"/>
              </w:rPr>
            </w:pPr>
            <w:r w:rsidRPr="006F0F7F">
              <w:rPr>
                <w:rFonts w:ascii="Arial" w:hAnsi="Arial" w:cs="Arial"/>
                <w:b/>
                <w:bCs/>
                <w:sz w:val="20"/>
                <w:szCs w:val="20"/>
              </w:rPr>
              <w:t>Fig.1. Liver showing nodular growths on the surface</w:t>
            </w:r>
          </w:p>
        </w:tc>
      </w:tr>
      <w:tr w:rsidR="00684849" w:rsidRPr="006F0F7F" w14:paraId="038D854F" w14:textId="77777777" w:rsidTr="006F0F7F">
        <w:trPr>
          <w:trHeight w:val="3388"/>
        </w:trPr>
        <w:tc>
          <w:tcPr>
            <w:tcW w:w="4416" w:type="dxa"/>
          </w:tcPr>
          <w:p w14:paraId="6DE608F8" w14:textId="3A9729B0" w:rsidR="00684849" w:rsidRPr="006F0F7F" w:rsidRDefault="006F0F7F" w:rsidP="006F0F7F">
            <w:pPr>
              <w:spacing w:line="480" w:lineRule="auto"/>
              <w:jc w:val="both"/>
              <w:rPr>
                <w:rFonts w:ascii="Arial" w:hAnsi="Arial" w:cs="Arial"/>
                <w:sz w:val="20"/>
                <w:szCs w:val="20"/>
              </w:rPr>
            </w:pPr>
            <w:r>
              <w:rPr>
                <w:rFonts w:ascii="Arial" w:hAnsi="Arial" w:cs="Arial"/>
                <w:noProof/>
                <w:sz w:val="20"/>
                <w:szCs w:val="20"/>
                <w14:ligatures w14:val="none"/>
              </w:rPr>
              <mc:AlternateContent>
                <mc:Choice Requires="wps">
                  <w:drawing>
                    <wp:anchor distT="0" distB="0" distL="114300" distR="114300" simplePos="0" relativeHeight="251659264" behindDoc="0" locked="0" layoutInCell="1" allowOverlap="1" wp14:anchorId="54270F7E" wp14:editId="545D627A">
                      <wp:simplePos x="0" y="0"/>
                      <wp:positionH relativeFrom="column">
                        <wp:posOffset>1309843</wp:posOffset>
                      </wp:positionH>
                      <wp:positionV relativeFrom="paragraph">
                        <wp:posOffset>517099</wp:posOffset>
                      </wp:positionV>
                      <wp:extent cx="174492" cy="92975"/>
                      <wp:effectExtent l="38100" t="38100" r="16510" b="40640"/>
                      <wp:wrapNone/>
                      <wp:docPr id="32911298" name="Straight Arrow Connector 1"/>
                      <wp:cNvGraphicFramePr/>
                      <a:graphic xmlns:a="http://schemas.openxmlformats.org/drawingml/2006/main">
                        <a:graphicData uri="http://schemas.microsoft.com/office/word/2010/wordprocessingShape">
                          <wps:wsp>
                            <wps:cNvCnPr/>
                            <wps:spPr>
                              <a:xfrm flipH="1" flipV="1">
                                <a:off x="0" y="0"/>
                                <a:ext cx="174492" cy="929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40475A" id="_x0000_t32" coordsize="21600,21600" o:spt="32" o:oned="t" path="m,l21600,21600e" filled="f">
                      <v:path arrowok="t" fillok="f" o:connecttype="none"/>
                      <o:lock v:ext="edit" shapetype="t"/>
                    </v:shapetype>
                    <v:shape id="Straight Arrow Connector 1" o:spid="_x0000_s1026" type="#_x0000_t32" style="position:absolute;margin-left:103.15pt;margin-top:40.7pt;width:13.75pt;height:7.3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" strokecolor="black [3213]" strokeweight="2.25pt">
                      <v:stroke endarrow="block" joinstyle="miter"/>
                    </v:shape>
                  </w:pict>
                </mc:Fallback>
              </mc:AlternateContent>
            </w:r>
            <w:r w:rsidR="00281E44" w:rsidRPr="006F0F7F">
              <w:rPr>
                <w:rFonts w:ascii="Arial" w:hAnsi="Arial" w:cs="Arial"/>
                <w:noProof/>
                <w:sz w:val="20"/>
                <w:szCs w:val="20"/>
              </w:rPr>
              <w:drawing>
                <wp:inline distT="0" distB="0" distL="0" distR="0" wp14:anchorId="159836D1" wp14:editId="0B7BAFB1">
                  <wp:extent cx="2661285" cy="2042160"/>
                  <wp:effectExtent l="0" t="0" r="5715" b="0"/>
                  <wp:docPr id="120028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807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62492" cy="2043065"/>
                          </a:xfrm>
                          <a:prstGeom prst="rect">
                            <a:avLst/>
                          </a:prstGeom>
                          <a:noFill/>
                        </pic:spPr>
                      </pic:pic>
                    </a:graphicData>
                  </a:graphic>
                </wp:inline>
              </w:drawing>
            </w:r>
          </w:p>
        </w:tc>
        <w:tc>
          <w:tcPr>
            <w:tcW w:w="4417" w:type="dxa"/>
          </w:tcPr>
          <w:p w14:paraId="2CF30EDA" w14:textId="77777777" w:rsidR="00684849" w:rsidRPr="006F0F7F" w:rsidRDefault="00281E44" w:rsidP="006F0F7F">
            <w:pPr>
              <w:spacing w:line="480" w:lineRule="auto"/>
              <w:jc w:val="both"/>
              <w:rPr>
                <w:rFonts w:ascii="Arial" w:hAnsi="Arial" w:cs="Arial"/>
                <w:sz w:val="20"/>
                <w:szCs w:val="20"/>
              </w:rPr>
            </w:pPr>
            <w:r w:rsidRPr="006F0F7F">
              <w:rPr>
                <w:rFonts w:ascii="Arial" w:hAnsi="Arial" w:cs="Arial"/>
                <w:noProof/>
                <w:sz w:val="20"/>
                <w:szCs w:val="20"/>
              </w:rPr>
              <w:drawing>
                <wp:inline distT="0" distB="0" distL="0" distR="0" wp14:anchorId="230FE2E2" wp14:editId="337FB9D1">
                  <wp:extent cx="2667635" cy="2061845"/>
                  <wp:effectExtent l="0" t="0" r="0" b="0"/>
                  <wp:docPr id="482692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9239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71968" cy="2064805"/>
                          </a:xfrm>
                          <a:prstGeom prst="rect">
                            <a:avLst/>
                          </a:prstGeom>
                          <a:noFill/>
                          <a:ln>
                            <a:noFill/>
                          </a:ln>
                        </pic:spPr>
                      </pic:pic>
                    </a:graphicData>
                  </a:graphic>
                </wp:inline>
              </w:drawing>
            </w:r>
          </w:p>
        </w:tc>
      </w:tr>
      <w:tr w:rsidR="00684849" w:rsidRPr="006F0F7F" w14:paraId="186BF7A7" w14:textId="77777777" w:rsidTr="006F0F7F">
        <w:trPr>
          <w:trHeight w:val="289"/>
        </w:trPr>
        <w:tc>
          <w:tcPr>
            <w:tcW w:w="8833" w:type="dxa"/>
            <w:gridSpan w:val="2"/>
          </w:tcPr>
          <w:p w14:paraId="673FDF72" w14:textId="77777777" w:rsidR="00684849" w:rsidRPr="006F0F7F" w:rsidRDefault="00281E44" w:rsidP="00255E62">
            <w:pPr>
              <w:spacing w:line="480" w:lineRule="auto"/>
              <w:jc w:val="center"/>
              <w:rPr>
                <w:rFonts w:ascii="Arial" w:hAnsi="Arial" w:cs="Arial"/>
                <w:b/>
                <w:bCs/>
                <w:sz w:val="20"/>
                <w:szCs w:val="20"/>
              </w:rPr>
            </w:pPr>
            <w:r w:rsidRPr="006F0F7F">
              <w:rPr>
                <w:rFonts w:ascii="Arial" w:hAnsi="Arial" w:cs="Arial"/>
                <w:b/>
                <w:bCs/>
                <w:sz w:val="20"/>
                <w:szCs w:val="20"/>
              </w:rPr>
              <w:t>Fig.2. Enlargement of kidneys</w:t>
            </w:r>
          </w:p>
        </w:tc>
      </w:tr>
      <w:tr w:rsidR="00684849" w:rsidRPr="006F0F7F" w14:paraId="3BBC870A" w14:textId="77777777" w:rsidTr="006F0F7F">
        <w:trPr>
          <w:trHeight w:val="2973"/>
        </w:trPr>
        <w:tc>
          <w:tcPr>
            <w:tcW w:w="8833" w:type="dxa"/>
            <w:gridSpan w:val="2"/>
          </w:tcPr>
          <w:p w14:paraId="01086FFA" w14:textId="77777777" w:rsidR="00684849" w:rsidRPr="006F0F7F" w:rsidRDefault="00281E44" w:rsidP="00255E62">
            <w:pPr>
              <w:spacing w:line="480" w:lineRule="auto"/>
              <w:jc w:val="center"/>
              <w:rPr>
                <w:rFonts w:ascii="Arial" w:hAnsi="Arial" w:cs="Arial"/>
                <w:sz w:val="20"/>
                <w:szCs w:val="20"/>
              </w:rPr>
            </w:pPr>
            <w:r w:rsidRPr="006F0F7F">
              <w:rPr>
                <w:rFonts w:ascii="Arial" w:hAnsi="Arial" w:cs="Arial"/>
                <w:noProof/>
                <w:sz w:val="20"/>
                <w:szCs w:val="20"/>
              </w:rPr>
              <w:lastRenderedPageBreak/>
              <w:drawing>
                <wp:inline distT="0" distB="0" distL="0" distR="0" wp14:anchorId="460845DE" wp14:editId="466D1F4E">
                  <wp:extent cx="2437130" cy="1763395"/>
                  <wp:effectExtent l="0" t="0" r="1270" b="8255"/>
                  <wp:docPr id="1977403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03682" name="Picture 2"/>
                          <pic:cNvPicPr>
                            <a:picLocks noChangeAspect="1" noChangeArrowheads="1"/>
                          </pic:cNvPicPr>
                        </pic:nvPicPr>
                        <pic:blipFill>
                          <a:blip r:embed="rId11">
                            <a:alphaModFix amt="85000"/>
                            <a:extLst>
                              <a:ext uri="{28A0092B-C50C-407E-A947-70E740481C1C}">
                                <a14:useLocalDpi xmlns:a14="http://schemas.microsoft.com/office/drawing/2010/main" val="0"/>
                              </a:ext>
                            </a:extLst>
                          </a:blip>
                          <a:srcRect t="-2" b="20829"/>
                          <a:stretch>
                            <a:fillRect/>
                          </a:stretch>
                        </pic:blipFill>
                        <pic:spPr>
                          <a:xfrm>
                            <a:off x="0" y="0"/>
                            <a:ext cx="2456701" cy="1777853"/>
                          </a:xfrm>
                          <a:prstGeom prst="rect">
                            <a:avLst/>
                          </a:prstGeom>
                          <a:noFill/>
                          <a:ln>
                            <a:noFill/>
                          </a:ln>
                        </pic:spPr>
                      </pic:pic>
                    </a:graphicData>
                  </a:graphic>
                </wp:inline>
              </w:drawing>
            </w:r>
          </w:p>
        </w:tc>
      </w:tr>
    </w:tbl>
    <w:p w14:paraId="4A954D78" w14:textId="77777777" w:rsidR="00684849" w:rsidRPr="006F0F7F" w:rsidRDefault="00281E44" w:rsidP="000642D8">
      <w:pPr>
        <w:spacing w:after="0" w:line="480" w:lineRule="auto"/>
        <w:jc w:val="both"/>
        <w:rPr>
          <w:rFonts w:ascii="Arial" w:hAnsi="Arial" w:cs="Arial"/>
          <w:b/>
          <w:bCs/>
        </w:rPr>
      </w:pPr>
      <w:r w:rsidRPr="006F0F7F">
        <w:rPr>
          <w:rFonts w:ascii="Arial" w:hAnsi="Arial" w:cs="Arial"/>
          <w:b/>
          <w:bCs/>
        </w:rPr>
        <w:t>HISTOPATHOLOGY:</w:t>
      </w:r>
    </w:p>
    <w:p w14:paraId="4ACFD8FD" w14:textId="1CCA0732" w:rsidR="00702610" w:rsidRPr="006F0F7F" w:rsidRDefault="00702610" w:rsidP="004E10D4">
      <w:pPr>
        <w:spacing w:after="0" w:line="480" w:lineRule="auto"/>
        <w:jc w:val="both"/>
        <w:rPr>
          <w:rFonts w:ascii="Arial" w:hAnsi="Arial" w:cs="Arial"/>
          <w:sz w:val="20"/>
          <w:szCs w:val="20"/>
        </w:rPr>
      </w:pPr>
      <w:r w:rsidRPr="006F0F7F">
        <w:rPr>
          <w:rFonts w:ascii="Arial" w:hAnsi="Arial" w:cs="Arial"/>
          <w:sz w:val="20"/>
          <w:szCs w:val="20"/>
        </w:rPr>
        <w:tab/>
        <w:t>Histopathological evaluation provided critical evidence in differentiating lymphoid leukosis from Marek’s disease. The liver revealed multifocal proliferation of uniform neoplastic lymphoid cells consistent with findings reported by</w:t>
      </w:r>
      <w:r w:rsidR="00CD7D13">
        <w:rPr>
          <w:rFonts w:ascii="Arial" w:hAnsi="Arial" w:cs="Arial"/>
          <w:sz w:val="20"/>
          <w:szCs w:val="20"/>
        </w:rPr>
        <w:t xml:space="preserve"> </w:t>
      </w:r>
      <w:r w:rsidR="00D713CA" w:rsidRPr="00D713CA">
        <w:rPr>
          <w:rFonts w:ascii="Arial" w:hAnsi="Arial" w:cs="Arial"/>
          <w:sz w:val="20"/>
          <w:szCs w:val="20"/>
        </w:rPr>
        <w:t>Sagarika</w:t>
      </w:r>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(2017). </w:t>
      </w:r>
      <w:r w:rsidR="00682607" w:rsidRPr="006F0F7F">
        <w:rPr>
          <w:rFonts w:ascii="Arial" w:hAnsi="Arial" w:cs="Arial"/>
          <w:sz w:val="20"/>
          <w:szCs w:val="20"/>
        </w:rPr>
        <w:t>Haematoxylin</w:t>
      </w:r>
      <w:r w:rsidRPr="006F0F7F">
        <w:rPr>
          <w:rFonts w:ascii="Arial" w:hAnsi="Arial" w:cs="Arial"/>
          <w:sz w:val="20"/>
          <w:szCs w:val="20"/>
        </w:rPr>
        <w:t xml:space="preserve"> and eosin (H&amp;E, ×10) staining highlighted dense populations of lymphoblasts replacing normal hepatic architecture.</w:t>
      </w:r>
    </w:p>
    <w:p w14:paraId="22C451DB" w14:textId="6C5D75F5"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kidneys were severely affected, exhibiting extensive interstitial infiltration of neoplastic lymphoblasts that almost completely replaced renal tubules (H&amp;E, ×10). Such renal involvement is a characteristic lesion of lymphoid leukosis, as previously documented by Payne </w:t>
      </w:r>
      <w:r w:rsidR="00D713CA">
        <w:rPr>
          <w:rFonts w:ascii="Arial" w:hAnsi="Arial" w:cs="Arial"/>
          <w:sz w:val="20"/>
          <w:szCs w:val="20"/>
        </w:rPr>
        <w:t>&amp;</w:t>
      </w:r>
      <w:r w:rsidRPr="006F0F7F">
        <w:rPr>
          <w:rFonts w:ascii="Arial" w:hAnsi="Arial" w:cs="Arial"/>
          <w:sz w:val="20"/>
          <w:szCs w:val="20"/>
        </w:rPr>
        <w:t xml:space="preserve"> Venugopal (2000).</w:t>
      </w:r>
    </w:p>
    <w:p w14:paraId="1AFD5797" w14:textId="3C321EBF" w:rsidR="00902360"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Cardiac tissues showed severe infiltration of lymphocytes within the myocardium, leading to disruption of myocardial </w:t>
      </w:r>
      <w:r w:rsidR="00682607" w:rsidRPr="006F0F7F">
        <w:rPr>
          <w:rFonts w:ascii="Arial" w:hAnsi="Arial" w:cs="Arial"/>
          <w:sz w:val="20"/>
          <w:szCs w:val="20"/>
        </w:rPr>
        <w:t>fibres</w:t>
      </w:r>
      <w:r w:rsidRPr="006F0F7F">
        <w:rPr>
          <w:rFonts w:ascii="Arial" w:hAnsi="Arial" w:cs="Arial"/>
          <w:sz w:val="20"/>
          <w:szCs w:val="20"/>
        </w:rPr>
        <w:t xml:space="preserve"> (H&amp;E, ×10). These lesions corroborate the systemic nature of the neoplasm</w:t>
      </w:r>
      <w:r w:rsidR="00D713CA">
        <w:rPr>
          <w:rFonts w:ascii="Arial" w:hAnsi="Arial" w:cs="Arial"/>
          <w:sz w:val="20"/>
          <w:szCs w:val="20"/>
        </w:rPr>
        <w:t xml:space="preserve">. </w:t>
      </w:r>
      <w:r w:rsidRPr="006F0F7F">
        <w:rPr>
          <w:rFonts w:ascii="Arial" w:hAnsi="Arial" w:cs="Arial"/>
          <w:sz w:val="20"/>
          <w:szCs w:val="20"/>
        </w:rPr>
        <w:t>Importantly, no histological involvement of peripheral nerves was noted, further supporting the diagnosis of lymphoid leukosis over Marek’s disease (</w:t>
      </w:r>
      <w:r w:rsidR="00340B87" w:rsidRPr="00340B87">
        <w:rPr>
          <w:rFonts w:ascii="Arial" w:hAnsi="Arial" w:cs="Arial"/>
          <w:sz w:val="20"/>
          <w:szCs w:val="20"/>
        </w:rPr>
        <w:t>Davison</w:t>
      </w:r>
      <w:r w:rsidR="00340B87">
        <w:rPr>
          <w:rFonts w:ascii="Arial" w:hAnsi="Arial" w:cs="Arial"/>
          <w:sz w:val="20"/>
          <w:szCs w:val="20"/>
        </w:rPr>
        <w:t xml:space="preserve"> </w:t>
      </w:r>
      <w:r w:rsidR="00340B87" w:rsidRPr="00340B87">
        <w:rPr>
          <w:rFonts w:ascii="Arial" w:hAnsi="Arial" w:cs="Arial"/>
          <w:sz w:val="20"/>
          <w:szCs w:val="20"/>
        </w:rPr>
        <w:t>&amp; Nair, 2005</w:t>
      </w:r>
      <w:r w:rsidRPr="006F0F7F">
        <w:rPr>
          <w:rFonts w:ascii="Arial" w:hAnsi="Arial" w:cs="Arial"/>
          <w:sz w:val="20"/>
          <w:szCs w:val="20"/>
        </w:rPr>
        <w:t>).</w:t>
      </w:r>
      <w:r w:rsidR="00902360">
        <w:rPr>
          <w:rFonts w:ascii="Arial" w:hAnsi="Arial" w:cs="Arial"/>
          <w:sz w:val="20"/>
          <w:szCs w:val="20"/>
        </w:rPr>
        <w:t xml:space="preserve"> </w:t>
      </w:r>
    </w:p>
    <w:p w14:paraId="69683C5E" w14:textId="5717E95C" w:rsidR="00702610" w:rsidRPr="006F0F7F" w:rsidRDefault="00902360"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The uniformity of lymphoid cells, lack of mitotic pleomorphism, and absence of intranuclear inclusion bodies served as additional confirmatory criteria for lymphoid leukosis, consistent with earlier comparative pathology reports </w:t>
      </w:r>
      <w:r w:rsidR="00C3025A">
        <w:rPr>
          <w:rFonts w:ascii="Arial" w:hAnsi="Arial" w:cs="Arial"/>
          <w:sz w:val="20"/>
          <w:szCs w:val="20"/>
        </w:rPr>
        <w:t>(</w:t>
      </w:r>
      <w:r w:rsidRPr="00902360">
        <w:rPr>
          <w:rFonts w:ascii="Arial" w:hAnsi="Arial" w:cs="Arial"/>
          <w:sz w:val="20"/>
          <w:szCs w:val="20"/>
        </w:rPr>
        <w:t>Payne &amp; Nair, 2012</w:t>
      </w:r>
      <w:r w:rsidR="00702610" w:rsidRPr="006F0F7F">
        <w:rPr>
          <w:rFonts w:ascii="Arial" w:hAnsi="Arial" w:cs="Arial"/>
          <w:sz w:val="20"/>
          <w:szCs w:val="20"/>
        </w:rPr>
        <w:t>).</w:t>
      </w:r>
    </w:p>
    <w:tbl>
      <w:tblPr>
        <w:tblStyle w:val="TableGrid"/>
        <w:tblW w:w="67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96"/>
      </w:tblGrid>
      <w:tr w:rsidR="00684849" w:rsidRPr="006F0F7F" w14:paraId="20192207" w14:textId="77777777" w:rsidTr="006F0F7F">
        <w:trPr>
          <w:trHeight w:val="226"/>
          <w:jc w:val="center"/>
        </w:trPr>
        <w:tc>
          <w:tcPr>
            <w:tcW w:w="3366" w:type="dxa"/>
          </w:tcPr>
          <w:p w14:paraId="20279534"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Fig.3. Liver showing uniform neoplastic lymphoid cells</w:t>
            </w:r>
          </w:p>
        </w:tc>
        <w:tc>
          <w:tcPr>
            <w:tcW w:w="3396" w:type="dxa"/>
          </w:tcPr>
          <w:p w14:paraId="2993A477"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Fig.4. Kidney showing severe interstitial infiltration of lymphoblasts</w:t>
            </w:r>
          </w:p>
        </w:tc>
      </w:tr>
      <w:tr w:rsidR="00684849" w:rsidRPr="006F0F7F" w14:paraId="24717189" w14:textId="77777777" w:rsidTr="006F0F7F">
        <w:trPr>
          <w:trHeight w:val="1667"/>
          <w:jc w:val="center"/>
        </w:trPr>
        <w:tc>
          <w:tcPr>
            <w:tcW w:w="3366" w:type="dxa"/>
          </w:tcPr>
          <w:p w14:paraId="7F3B343D" w14:textId="77777777" w:rsidR="00684849" w:rsidRPr="006F0F7F" w:rsidRDefault="00281E44" w:rsidP="00A738F0">
            <w:pPr>
              <w:spacing w:line="240" w:lineRule="auto"/>
              <w:jc w:val="both"/>
              <w:rPr>
                <w:rFonts w:ascii="Arial" w:hAnsi="Arial" w:cs="Arial"/>
                <w:sz w:val="20"/>
                <w:szCs w:val="20"/>
              </w:rPr>
            </w:pPr>
            <w:r w:rsidRPr="006F0F7F">
              <w:rPr>
                <w:rFonts w:ascii="Arial" w:hAnsi="Arial" w:cs="Arial"/>
                <w:noProof/>
                <w:sz w:val="20"/>
                <w:szCs w:val="20"/>
              </w:rPr>
              <w:lastRenderedPageBreak/>
              <w:drawing>
                <wp:inline distT="0" distB="0" distL="0" distR="0" wp14:anchorId="6356BC04" wp14:editId="1177C6A3">
                  <wp:extent cx="2000250" cy="1605915"/>
                  <wp:effectExtent l="0" t="0" r="0" b="0"/>
                  <wp:docPr id="1247492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92996"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21026" cy="1622240"/>
                          </a:xfrm>
                          <a:prstGeom prst="rect">
                            <a:avLst/>
                          </a:prstGeom>
                          <a:noFill/>
                          <a:ln>
                            <a:noFill/>
                          </a:ln>
                        </pic:spPr>
                      </pic:pic>
                    </a:graphicData>
                  </a:graphic>
                </wp:inline>
              </w:drawing>
            </w:r>
          </w:p>
        </w:tc>
        <w:tc>
          <w:tcPr>
            <w:tcW w:w="3396" w:type="dxa"/>
          </w:tcPr>
          <w:p w14:paraId="1D50163A" w14:textId="77777777" w:rsidR="00684849" w:rsidRPr="006F0F7F" w:rsidRDefault="00281E44" w:rsidP="00A738F0">
            <w:pPr>
              <w:spacing w:line="240" w:lineRule="auto"/>
              <w:jc w:val="both"/>
              <w:rPr>
                <w:rFonts w:ascii="Arial" w:hAnsi="Arial" w:cs="Arial"/>
                <w:sz w:val="20"/>
                <w:szCs w:val="20"/>
              </w:rPr>
            </w:pPr>
            <w:r w:rsidRPr="006F0F7F">
              <w:rPr>
                <w:rFonts w:ascii="Arial" w:hAnsi="Arial" w:cs="Arial"/>
                <w:noProof/>
                <w:sz w:val="20"/>
                <w:szCs w:val="20"/>
              </w:rPr>
              <w:drawing>
                <wp:inline distT="0" distB="0" distL="0" distR="0" wp14:anchorId="3B0C253F" wp14:editId="5BFDA70B">
                  <wp:extent cx="2019300" cy="1621155"/>
                  <wp:effectExtent l="0" t="0" r="0" b="0"/>
                  <wp:docPr id="4707512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51213"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46324" cy="1642546"/>
                          </a:xfrm>
                          <a:prstGeom prst="rect">
                            <a:avLst/>
                          </a:prstGeom>
                          <a:noFill/>
                          <a:ln>
                            <a:noFill/>
                          </a:ln>
                        </pic:spPr>
                      </pic:pic>
                    </a:graphicData>
                  </a:graphic>
                </wp:inline>
              </w:drawing>
            </w:r>
          </w:p>
        </w:tc>
      </w:tr>
      <w:tr w:rsidR="00684849" w:rsidRPr="006F0F7F" w14:paraId="121302EE" w14:textId="77777777" w:rsidTr="006F0F7F">
        <w:trPr>
          <w:trHeight w:val="216"/>
          <w:jc w:val="center"/>
        </w:trPr>
        <w:tc>
          <w:tcPr>
            <w:tcW w:w="6762" w:type="dxa"/>
            <w:gridSpan w:val="2"/>
          </w:tcPr>
          <w:p w14:paraId="2F1D4CAB" w14:textId="77777777" w:rsidR="00684849" w:rsidRPr="006F0F7F" w:rsidRDefault="00281E44" w:rsidP="00A738F0">
            <w:pPr>
              <w:spacing w:line="240" w:lineRule="auto"/>
              <w:jc w:val="both"/>
              <w:rPr>
                <w:rFonts w:ascii="Arial" w:hAnsi="Arial" w:cs="Arial"/>
                <w:b/>
                <w:bCs/>
                <w:sz w:val="20"/>
                <w:szCs w:val="20"/>
              </w:rPr>
            </w:pPr>
            <w:r w:rsidRPr="006F0F7F">
              <w:rPr>
                <w:rFonts w:ascii="Arial" w:hAnsi="Arial" w:cs="Arial"/>
                <w:b/>
                <w:bCs/>
                <w:sz w:val="20"/>
                <w:szCs w:val="20"/>
              </w:rPr>
              <w:t>Fig.5. Heart showing infiltration of lymphocytes in myocardium</w:t>
            </w:r>
          </w:p>
        </w:tc>
      </w:tr>
      <w:tr w:rsidR="00684849" w:rsidRPr="006F0F7F" w14:paraId="64B458CB" w14:textId="77777777" w:rsidTr="006F0F7F">
        <w:trPr>
          <w:trHeight w:val="1813"/>
          <w:jc w:val="center"/>
        </w:trPr>
        <w:tc>
          <w:tcPr>
            <w:tcW w:w="6762" w:type="dxa"/>
            <w:gridSpan w:val="2"/>
          </w:tcPr>
          <w:p w14:paraId="7E6430E2" w14:textId="77777777" w:rsidR="00684849" w:rsidRPr="006F0F7F" w:rsidRDefault="00281E44" w:rsidP="00027493">
            <w:pPr>
              <w:spacing w:line="240" w:lineRule="auto"/>
              <w:jc w:val="center"/>
              <w:rPr>
                <w:rFonts w:ascii="Arial" w:hAnsi="Arial" w:cs="Arial"/>
                <w:sz w:val="20"/>
                <w:szCs w:val="20"/>
              </w:rPr>
            </w:pPr>
            <w:r w:rsidRPr="006F0F7F">
              <w:rPr>
                <w:rFonts w:ascii="Arial" w:hAnsi="Arial" w:cs="Arial"/>
                <w:noProof/>
                <w:sz w:val="20"/>
                <w:szCs w:val="20"/>
              </w:rPr>
              <w:drawing>
                <wp:inline distT="0" distB="0" distL="0" distR="0" wp14:anchorId="2CFE43F0" wp14:editId="31811A17">
                  <wp:extent cx="2321560" cy="1841500"/>
                  <wp:effectExtent l="0" t="0" r="2540" b="6350"/>
                  <wp:docPr id="8765916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591693"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46425" cy="1860747"/>
                          </a:xfrm>
                          <a:prstGeom prst="rect">
                            <a:avLst/>
                          </a:prstGeom>
                          <a:noFill/>
                          <a:ln>
                            <a:noFill/>
                          </a:ln>
                        </pic:spPr>
                      </pic:pic>
                    </a:graphicData>
                  </a:graphic>
                </wp:inline>
              </w:drawing>
            </w:r>
          </w:p>
        </w:tc>
      </w:tr>
    </w:tbl>
    <w:p w14:paraId="75BF45F9" w14:textId="77777777" w:rsidR="00684849" w:rsidRPr="006F0F7F" w:rsidRDefault="00281E44" w:rsidP="006F0F7F">
      <w:pPr>
        <w:spacing w:line="480" w:lineRule="auto"/>
        <w:jc w:val="both"/>
        <w:rPr>
          <w:rFonts w:ascii="Arial" w:hAnsi="Arial" w:cs="Arial"/>
          <w:b/>
          <w:bCs/>
        </w:rPr>
      </w:pPr>
      <w:r w:rsidRPr="006F0F7F">
        <w:rPr>
          <w:rFonts w:ascii="Arial" w:hAnsi="Arial" w:cs="Arial"/>
          <w:b/>
          <w:bCs/>
        </w:rPr>
        <w:t>CYTOLOGY</w:t>
      </w:r>
    </w:p>
    <w:p w14:paraId="5ABCF898" w14:textId="50FB6917"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Cytological examination of impression smears from the affected visceral organs revealed high cellularity with a predominance of large, discrete lymphoblasts. These cells exhibited round to oval vesicular nuclei with finely dispersed chromatin, a high nuclear-to-cytoplasmic ratio, and one to multiple prominent nucleoli. The cytoplasm was scant to moderate and basophilic (Giemsa, ×40). These findings are in accordance with previous reports of lymphoid leukosis in poultry, where lymphoblast-like cells were identified as the predominant neoplastic population (Ravikumar </w:t>
      </w:r>
      <w:r w:rsidR="001B6F0B" w:rsidRPr="001B6F0B">
        <w:rPr>
          <w:rFonts w:ascii="Arial" w:hAnsi="Arial" w:cs="Arial"/>
          <w:i/>
          <w:iCs/>
          <w:sz w:val="20"/>
          <w:szCs w:val="20"/>
        </w:rPr>
        <w:t>et al</w:t>
      </w:r>
      <w:r w:rsidRPr="006F0F7F">
        <w:rPr>
          <w:rFonts w:ascii="Arial" w:hAnsi="Arial" w:cs="Arial"/>
          <w:sz w:val="20"/>
          <w:szCs w:val="20"/>
        </w:rPr>
        <w:t xml:space="preserve">., 2019; Kishore </w:t>
      </w:r>
      <w:r w:rsidR="001B6F0B" w:rsidRPr="001B6F0B">
        <w:rPr>
          <w:rFonts w:ascii="Arial" w:hAnsi="Arial" w:cs="Arial"/>
          <w:i/>
          <w:iCs/>
          <w:sz w:val="20"/>
          <w:szCs w:val="20"/>
        </w:rPr>
        <w:t>et al</w:t>
      </w:r>
      <w:r w:rsidRPr="006F0F7F">
        <w:rPr>
          <w:rFonts w:ascii="Arial" w:hAnsi="Arial" w:cs="Arial"/>
          <w:sz w:val="20"/>
          <w:szCs w:val="20"/>
        </w:rPr>
        <w:t>., 2022).</w:t>
      </w:r>
    </w:p>
    <w:p w14:paraId="1E99BB15" w14:textId="190E8763"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uniform morphology of the lymphoblasts, along with the absence of marked cellular pleomorphism, served as a distinguishing feature from Marek’s disease, which typically demonstrates pleomorphic lymphoid cells with mitotic activity (Balachandran </w:t>
      </w:r>
      <w:r w:rsidR="001B6F0B" w:rsidRPr="001B6F0B">
        <w:rPr>
          <w:rFonts w:ascii="Arial" w:hAnsi="Arial" w:cs="Arial"/>
          <w:i/>
          <w:iCs/>
          <w:sz w:val="20"/>
          <w:szCs w:val="20"/>
        </w:rPr>
        <w:t>et al</w:t>
      </w:r>
      <w:r w:rsidRPr="006F0F7F">
        <w:rPr>
          <w:rFonts w:ascii="Arial" w:hAnsi="Arial" w:cs="Arial"/>
          <w:sz w:val="20"/>
          <w:szCs w:val="20"/>
        </w:rPr>
        <w:t xml:space="preserve">., 2009; Sagarika </w:t>
      </w:r>
      <w:r w:rsidR="001B6F0B" w:rsidRPr="001B6F0B">
        <w:rPr>
          <w:rFonts w:ascii="Arial" w:hAnsi="Arial" w:cs="Arial"/>
          <w:i/>
          <w:iCs/>
          <w:sz w:val="20"/>
          <w:szCs w:val="20"/>
        </w:rPr>
        <w:t>et al</w:t>
      </w:r>
      <w:r w:rsidRPr="006F0F7F">
        <w:rPr>
          <w:rFonts w:ascii="Arial" w:hAnsi="Arial" w:cs="Arial"/>
          <w:sz w:val="20"/>
          <w:szCs w:val="20"/>
        </w:rPr>
        <w:t>., 2017). Similar cytomorphological patterns of lymphoblast infiltration have also been reported in other avian species, further confirming the diagnostic value of cytology in lymphoid leukosis (</w:t>
      </w:r>
      <w:proofErr w:type="spellStart"/>
      <w:r w:rsidRPr="006F0F7F">
        <w:rPr>
          <w:rFonts w:ascii="Arial" w:hAnsi="Arial" w:cs="Arial"/>
          <w:sz w:val="20"/>
          <w:szCs w:val="20"/>
        </w:rPr>
        <w:t>Abdelmenem</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xml:space="preserve">., 2024; Ramya </w:t>
      </w:r>
      <w:r w:rsidR="001B6F0B" w:rsidRPr="001B6F0B">
        <w:rPr>
          <w:rFonts w:ascii="Arial" w:hAnsi="Arial" w:cs="Arial"/>
          <w:i/>
          <w:iCs/>
          <w:sz w:val="20"/>
          <w:szCs w:val="20"/>
        </w:rPr>
        <w:t>et al</w:t>
      </w:r>
      <w:r w:rsidRPr="006F0F7F">
        <w:rPr>
          <w:rFonts w:ascii="Arial" w:hAnsi="Arial" w:cs="Arial"/>
          <w:sz w:val="20"/>
          <w:szCs w:val="20"/>
        </w:rPr>
        <w:t>., 2024).</w:t>
      </w:r>
    </w:p>
    <w:p w14:paraId="0AAAE2A2" w14:textId="4B5BBA7F"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Thus, cytological evaluation provided a rapid, reliable, and cost-effective diagnostic adjunct to histopathology, supporting earlier observations on the role of cytology in avian leukosis complex diagnosis (Sagarika </w:t>
      </w:r>
      <w:r w:rsidR="001B6F0B" w:rsidRPr="001B6F0B">
        <w:rPr>
          <w:rFonts w:ascii="Arial" w:hAnsi="Arial" w:cs="Arial"/>
          <w:i/>
          <w:iCs/>
          <w:sz w:val="20"/>
          <w:szCs w:val="20"/>
        </w:rPr>
        <w:t>et al</w:t>
      </w:r>
      <w:r w:rsidRPr="006F0F7F">
        <w:rPr>
          <w:rFonts w:ascii="Arial" w:hAnsi="Arial" w:cs="Arial"/>
          <w:sz w:val="20"/>
          <w:szCs w:val="20"/>
        </w:rPr>
        <w:t xml:space="preserve">., 2017; </w:t>
      </w:r>
      <w:proofErr w:type="spellStart"/>
      <w:r w:rsidR="00284228" w:rsidRPr="00284228">
        <w:rPr>
          <w:rFonts w:ascii="Arial" w:hAnsi="Arial" w:cs="Arial"/>
          <w:sz w:val="20"/>
          <w:szCs w:val="20"/>
        </w:rPr>
        <w:t>Ezeugwu</w:t>
      </w:r>
      <w:proofErr w:type="spellEnd"/>
      <w:r w:rsidR="00284228" w:rsidRPr="00284228">
        <w:rPr>
          <w:rFonts w:ascii="Arial" w:hAnsi="Arial" w:cs="Arial"/>
          <w:sz w:val="20"/>
          <w:szCs w:val="20"/>
        </w:rPr>
        <w:t xml:space="preserve"> </w:t>
      </w:r>
      <w:r w:rsidR="001B6F0B" w:rsidRPr="001B6F0B">
        <w:rPr>
          <w:rFonts w:ascii="Arial" w:hAnsi="Arial" w:cs="Arial"/>
          <w:i/>
          <w:iCs/>
          <w:sz w:val="20"/>
          <w:szCs w:val="20"/>
        </w:rPr>
        <w:t>et al</w:t>
      </w:r>
      <w:r w:rsidRPr="00284228">
        <w:rPr>
          <w:rFonts w:ascii="Arial" w:hAnsi="Arial" w:cs="Arial"/>
          <w:sz w:val="20"/>
          <w:szCs w:val="20"/>
        </w:rPr>
        <w:t>., 2025</w:t>
      </w:r>
      <w:r w:rsidRPr="006F0F7F">
        <w:rPr>
          <w:rFonts w:ascii="Arial" w:hAnsi="Arial" w:cs="Arial"/>
          <w:sz w:val="20"/>
          <w:szCs w:val="20"/>
        </w:rPr>
        <w:t>).</w:t>
      </w:r>
    </w:p>
    <w:tbl>
      <w:tblPr>
        <w:tblStyle w:val="TableGrid"/>
        <w:tblW w:w="0" w:type="auto"/>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tblGrid>
      <w:tr w:rsidR="00684849" w:rsidRPr="006F0F7F" w14:paraId="08B6C053" w14:textId="77777777">
        <w:trPr>
          <w:trHeight w:val="245"/>
        </w:trPr>
        <w:tc>
          <w:tcPr>
            <w:tcW w:w="4186" w:type="dxa"/>
          </w:tcPr>
          <w:p w14:paraId="4AB7D016" w14:textId="77777777" w:rsidR="00684849" w:rsidRPr="006F0F7F" w:rsidRDefault="00281E44" w:rsidP="006F0F7F">
            <w:pPr>
              <w:spacing w:line="480" w:lineRule="auto"/>
              <w:jc w:val="both"/>
              <w:rPr>
                <w:rFonts w:ascii="Arial" w:hAnsi="Arial" w:cs="Arial"/>
                <w:b/>
                <w:bCs/>
                <w:sz w:val="20"/>
                <w:szCs w:val="20"/>
              </w:rPr>
            </w:pPr>
            <w:r w:rsidRPr="006F0F7F">
              <w:rPr>
                <w:rFonts w:ascii="Arial" w:hAnsi="Arial" w:cs="Arial"/>
                <w:b/>
                <w:bCs/>
                <w:sz w:val="20"/>
                <w:szCs w:val="20"/>
              </w:rPr>
              <w:lastRenderedPageBreak/>
              <w:t>Fig.6. Impression smears showing high cellularity with numerous large, discrete lymphoblasts</w:t>
            </w:r>
          </w:p>
        </w:tc>
      </w:tr>
      <w:tr w:rsidR="00684849" w:rsidRPr="006F0F7F" w14:paraId="32F47ACE" w14:textId="77777777">
        <w:trPr>
          <w:trHeight w:val="1968"/>
        </w:trPr>
        <w:tc>
          <w:tcPr>
            <w:tcW w:w="4186" w:type="dxa"/>
          </w:tcPr>
          <w:p w14:paraId="65FCEBF1" w14:textId="77777777" w:rsidR="00684849" w:rsidRPr="006F0F7F" w:rsidRDefault="00281E44" w:rsidP="006F0F7F">
            <w:pPr>
              <w:spacing w:line="480" w:lineRule="auto"/>
              <w:jc w:val="both"/>
              <w:rPr>
                <w:rFonts w:ascii="Arial" w:hAnsi="Arial" w:cs="Arial"/>
                <w:sz w:val="20"/>
                <w:szCs w:val="20"/>
              </w:rPr>
            </w:pPr>
            <w:r w:rsidRPr="006F0F7F">
              <w:rPr>
                <w:rFonts w:ascii="Arial" w:hAnsi="Arial" w:cs="Arial"/>
                <w:noProof/>
                <w:sz w:val="20"/>
                <w:szCs w:val="20"/>
              </w:rPr>
              <w:drawing>
                <wp:inline distT="0" distB="0" distL="0" distR="0" wp14:anchorId="40D2BE45" wp14:editId="6FDA35B4">
                  <wp:extent cx="2230755" cy="1786255"/>
                  <wp:effectExtent l="0" t="0" r="9525" b="12065"/>
                  <wp:docPr id="6601726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72651"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30755" cy="1786255"/>
                          </a:xfrm>
                          <a:prstGeom prst="rect">
                            <a:avLst/>
                          </a:prstGeom>
                          <a:noFill/>
                        </pic:spPr>
                      </pic:pic>
                    </a:graphicData>
                  </a:graphic>
                </wp:inline>
              </w:drawing>
            </w:r>
          </w:p>
        </w:tc>
      </w:tr>
    </w:tbl>
    <w:p w14:paraId="2D2A74B0" w14:textId="3BC99034" w:rsidR="00702610" w:rsidRPr="006F0F7F" w:rsidRDefault="00281E44" w:rsidP="006F0F7F">
      <w:pPr>
        <w:spacing w:line="480" w:lineRule="auto"/>
        <w:jc w:val="both"/>
        <w:rPr>
          <w:rFonts w:ascii="Arial" w:hAnsi="Arial" w:cs="Arial"/>
          <w:b/>
          <w:bCs/>
        </w:rPr>
      </w:pPr>
      <w:r w:rsidRPr="006F0F7F">
        <w:rPr>
          <w:rFonts w:ascii="Arial" w:hAnsi="Arial" w:cs="Arial"/>
          <w:b/>
          <w:bCs/>
        </w:rPr>
        <w:t xml:space="preserve">CASE </w:t>
      </w:r>
      <w:r w:rsidR="00702610" w:rsidRPr="006F0F7F">
        <w:rPr>
          <w:rFonts w:ascii="Arial" w:hAnsi="Arial" w:cs="Arial"/>
          <w:b/>
          <w:bCs/>
        </w:rPr>
        <w:t>DIAGNOSIS</w:t>
      </w:r>
    </w:p>
    <w:p w14:paraId="3219DB87" w14:textId="7F121636" w:rsidR="00702610" w:rsidRPr="006F0F7F" w:rsidRDefault="00702610" w:rsidP="006F0F7F">
      <w:pPr>
        <w:spacing w:line="480" w:lineRule="auto"/>
        <w:jc w:val="both"/>
        <w:rPr>
          <w:rFonts w:ascii="Arial" w:hAnsi="Arial" w:cs="Arial"/>
          <w:sz w:val="20"/>
          <w:szCs w:val="20"/>
        </w:rPr>
      </w:pPr>
      <w:r w:rsidRPr="006F0F7F">
        <w:rPr>
          <w:rFonts w:ascii="Arial" w:hAnsi="Arial" w:cs="Arial"/>
          <w:sz w:val="20"/>
          <w:szCs w:val="20"/>
        </w:rPr>
        <w:tab/>
        <w:t xml:space="preserve">The overall gross, histopathological, and cytological findings are consistent with visceral lymphoid leukosis (LL) </w:t>
      </w:r>
      <w:r w:rsidR="004766FF" w:rsidRPr="002D5A4A">
        <w:rPr>
          <w:rFonts w:ascii="Arial" w:hAnsi="Arial" w:cs="Arial"/>
          <w:sz w:val="20"/>
          <w:szCs w:val="20"/>
          <w:highlight w:val="yellow"/>
        </w:rPr>
        <w:t>characterised</w:t>
      </w:r>
      <w:r w:rsidR="004766FF" w:rsidRPr="002D5A4A">
        <w:rPr>
          <w:rFonts w:ascii="Arial" w:hAnsi="Arial" w:cs="Arial"/>
          <w:sz w:val="20"/>
          <w:szCs w:val="20"/>
          <w:highlight w:val="yellow"/>
        </w:rPr>
        <w:t xml:space="preserve"> </w:t>
      </w:r>
      <w:r w:rsidRPr="002D5A4A">
        <w:rPr>
          <w:rFonts w:ascii="Arial" w:hAnsi="Arial" w:cs="Arial"/>
          <w:sz w:val="20"/>
          <w:szCs w:val="20"/>
          <w:highlight w:val="yellow"/>
        </w:rPr>
        <w:t>by multisystemic</w:t>
      </w:r>
      <w:r w:rsidRPr="006F0F7F">
        <w:rPr>
          <w:rFonts w:ascii="Arial" w:hAnsi="Arial" w:cs="Arial"/>
          <w:sz w:val="20"/>
          <w:szCs w:val="20"/>
        </w:rPr>
        <w:t xml:space="preserve"> involvement, particularly of the liver, kidneys, and intestine. The neoplastic lymphoblast proliferation in visceral organs without involvement of the sciatic nerve strongly supports the diagnosis of LL and helps to differentiate it from Marek’s disease, which typically shows peripheral nerve enlargement as a key lesion (Payne and Venugopal, 2000; Zavala and Cheng, 2019). The presence of uniform lymphoblasts with scant cytoplasm and prominent nucleoli on cytology, along with multifocal infiltrations in the parenchymal organs, further consolidates the diagnosis. These findings are in close agreement with earlier reports on lymphoid leukosis in poultry, where similar systemic lesions were described (</w:t>
      </w:r>
      <w:r w:rsidR="00902360" w:rsidRPr="00902360">
        <w:rPr>
          <w:rFonts w:ascii="Arial" w:hAnsi="Arial" w:cs="Arial"/>
          <w:sz w:val="20"/>
          <w:szCs w:val="20"/>
        </w:rPr>
        <w:t>Payne &amp; Nair, 2012; Xu et al., 2004;</w:t>
      </w:r>
      <w:r w:rsidR="00902360">
        <w:rPr>
          <w:rFonts w:ascii="Arial" w:hAnsi="Arial" w:cs="Arial"/>
          <w:sz w:val="20"/>
          <w:szCs w:val="20"/>
        </w:rPr>
        <w:t xml:space="preserve">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p>
    <w:p w14:paraId="17E10899" w14:textId="1AFBFEB2" w:rsidR="00702610" w:rsidRPr="00610181" w:rsidRDefault="00702610" w:rsidP="006F0F7F">
      <w:pPr>
        <w:spacing w:line="480" w:lineRule="auto"/>
        <w:jc w:val="both"/>
        <w:rPr>
          <w:rFonts w:ascii="Arial" w:hAnsi="Arial" w:cs="Arial"/>
          <w:b/>
          <w:bCs/>
          <w:sz w:val="20"/>
          <w:szCs w:val="20"/>
        </w:rPr>
      </w:pPr>
      <w:r w:rsidRPr="00610181">
        <w:rPr>
          <w:rFonts w:ascii="Arial" w:hAnsi="Arial" w:cs="Arial"/>
          <w:b/>
          <w:bCs/>
          <w:sz w:val="20"/>
          <w:szCs w:val="20"/>
        </w:rPr>
        <w:t xml:space="preserve">Table 1. Diagnostic features observed in the present case of visceral lymphoid leukosis in </w:t>
      </w:r>
      <w:r w:rsidR="004766FF" w:rsidRPr="002D5A4A">
        <w:rPr>
          <w:rFonts w:ascii="Arial" w:hAnsi="Arial" w:cs="Arial"/>
          <w:b/>
          <w:bCs/>
          <w:sz w:val="20"/>
          <w:szCs w:val="20"/>
          <w:highlight w:val="yellow"/>
        </w:rPr>
        <w:t>crossbred</w:t>
      </w:r>
      <w:r w:rsidR="00420141" w:rsidRPr="002D5A4A">
        <w:rPr>
          <w:rFonts w:ascii="Arial" w:hAnsi="Arial" w:cs="Arial"/>
          <w:b/>
          <w:bCs/>
          <w:sz w:val="20"/>
          <w:szCs w:val="20"/>
          <w:highlight w:val="yellow"/>
        </w:rPr>
        <w:t xml:space="preserve"> native</w:t>
      </w:r>
      <w:r w:rsidR="00420141" w:rsidRPr="00610181">
        <w:rPr>
          <w:rFonts w:ascii="Arial" w:hAnsi="Arial" w:cs="Arial"/>
          <w:b/>
          <w:bCs/>
          <w:sz w:val="20"/>
          <w:szCs w:val="20"/>
        </w:rPr>
        <w:t xml:space="preserve"> chicken.</w:t>
      </w:r>
    </w:p>
    <w:tbl>
      <w:tblPr>
        <w:tblStyle w:val="TableGrid"/>
        <w:tblW w:w="0" w:type="auto"/>
        <w:tblLook w:val="04A0" w:firstRow="1" w:lastRow="0" w:firstColumn="1" w:lastColumn="0" w:noHBand="0" w:noVBand="1"/>
      </w:tblPr>
      <w:tblGrid>
        <w:gridCol w:w="1749"/>
        <w:gridCol w:w="3281"/>
        <w:gridCol w:w="2412"/>
        <w:gridCol w:w="1574"/>
      </w:tblGrid>
      <w:tr w:rsidR="006F0F7F" w:rsidRPr="006F0F7F" w14:paraId="32FB89EB" w14:textId="77777777" w:rsidTr="00D715C9">
        <w:tc>
          <w:tcPr>
            <w:tcW w:w="0" w:type="auto"/>
            <w:vAlign w:val="center"/>
            <w:hideMark/>
          </w:tcPr>
          <w:p w14:paraId="748E8F16"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Organ/System</w:t>
            </w:r>
          </w:p>
        </w:tc>
        <w:tc>
          <w:tcPr>
            <w:tcW w:w="0" w:type="auto"/>
            <w:vAlign w:val="center"/>
            <w:hideMark/>
          </w:tcPr>
          <w:p w14:paraId="1C142280" w14:textId="6AE15D5D"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Histopathological</w:t>
            </w:r>
            <w:r w:rsidR="00D715C9">
              <w:rPr>
                <w:rFonts w:ascii="Arial" w:hAnsi="Arial" w:cs="Arial"/>
                <w:b/>
                <w:bCs/>
                <w:sz w:val="20"/>
                <w:szCs w:val="20"/>
              </w:rPr>
              <w:t xml:space="preserve"> </w:t>
            </w:r>
            <w:r w:rsidRPr="00D715C9">
              <w:rPr>
                <w:rFonts w:ascii="Arial" w:hAnsi="Arial" w:cs="Arial"/>
                <w:b/>
                <w:bCs/>
                <w:sz w:val="20"/>
                <w:szCs w:val="20"/>
              </w:rPr>
              <w:t>/</w:t>
            </w:r>
            <w:r w:rsidR="00D715C9">
              <w:rPr>
                <w:rFonts w:ascii="Arial" w:hAnsi="Arial" w:cs="Arial"/>
                <w:b/>
                <w:bCs/>
                <w:sz w:val="20"/>
                <w:szCs w:val="20"/>
              </w:rPr>
              <w:t xml:space="preserve"> </w:t>
            </w:r>
            <w:r w:rsidRPr="00D715C9">
              <w:rPr>
                <w:rFonts w:ascii="Arial" w:hAnsi="Arial" w:cs="Arial"/>
                <w:b/>
                <w:bCs/>
                <w:sz w:val="20"/>
                <w:szCs w:val="20"/>
              </w:rPr>
              <w:t>Cytological Findings</w:t>
            </w:r>
          </w:p>
        </w:tc>
        <w:tc>
          <w:tcPr>
            <w:tcW w:w="0" w:type="auto"/>
            <w:vAlign w:val="center"/>
            <w:hideMark/>
          </w:tcPr>
          <w:p w14:paraId="4B7C445E"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Diagnostic Significance</w:t>
            </w:r>
          </w:p>
        </w:tc>
        <w:tc>
          <w:tcPr>
            <w:tcW w:w="0" w:type="auto"/>
            <w:vAlign w:val="center"/>
            <w:hideMark/>
          </w:tcPr>
          <w:p w14:paraId="7957A901" w14:textId="77777777" w:rsidR="00702610" w:rsidRPr="00D715C9" w:rsidRDefault="00702610" w:rsidP="00D715C9">
            <w:pPr>
              <w:spacing w:after="0" w:line="276" w:lineRule="auto"/>
              <w:jc w:val="center"/>
              <w:rPr>
                <w:rFonts w:ascii="Arial" w:hAnsi="Arial" w:cs="Arial"/>
                <w:b/>
                <w:bCs/>
                <w:sz w:val="20"/>
                <w:szCs w:val="20"/>
              </w:rPr>
            </w:pPr>
            <w:r w:rsidRPr="00D715C9">
              <w:rPr>
                <w:rFonts w:ascii="Arial" w:hAnsi="Arial" w:cs="Arial"/>
                <w:b/>
                <w:bCs/>
                <w:sz w:val="20"/>
                <w:szCs w:val="20"/>
              </w:rPr>
              <w:t>Reference</w:t>
            </w:r>
          </w:p>
        </w:tc>
      </w:tr>
      <w:tr w:rsidR="006F0F7F" w:rsidRPr="006F0F7F" w14:paraId="461FBDAC" w14:textId="77777777" w:rsidTr="006F0F7F">
        <w:tc>
          <w:tcPr>
            <w:tcW w:w="0" w:type="auto"/>
            <w:hideMark/>
          </w:tcPr>
          <w:p w14:paraId="76E6CE44"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Liver</w:t>
            </w:r>
          </w:p>
        </w:tc>
        <w:tc>
          <w:tcPr>
            <w:tcW w:w="0" w:type="auto"/>
            <w:hideMark/>
          </w:tcPr>
          <w:p w14:paraId="0F83F500"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Multifocal proliferation of uniform neoplastic lymphoid cells (H&amp;E ×10)</w:t>
            </w:r>
          </w:p>
        </w:tc>
        <w:tc>
          <w:tcPr>
            <w:tcW w:w="0" w:type="auto"/>
            <w:hideMark/>
          </w:tcPr>
          <w:p w14:paraId="545AC2DC" w14:textId="5066B952"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Consistent with LL </w:t>
            </w:r>
            <w:r w:rsidR="00345BC8">
              <w:rPr>
                <w:rFonts w:ascii="Arial" w:hAnsi="Arial" w:cs="Arial"/>
                <w:sz w:val="20"/>
                <w:szCs w:val="20"/>
              </w:rPr>
              <w:t>tumori</w:t>
            </w:r>
            <w:r w:rsidR="00345BC8" w:rsidRPr="006F0F7F">
              <w:rPr>
                <w:rFonts w:ascii="Arial" w:hAnsi="Arial" w:cs="Arial"/>
                <w:sz w:val="20"/>
                <w:szCs w:val="20"/>
              </w:rPr>
              <w:t>genesis</w:t>
            </w:r>
            <w:r w:rsidR="004766FF">
              <w:rPr>
                <w:rFonts w:ascii="Arial" w:hAnsi="Arial" w:cs="Arial"/>
                <w:sz w:val="20"/>
                <w:szCs w:val="20"/>
              </w:rPr>
              <w:t>,</w:t>
            </w:r>
            <w:r w:rsidR="004766FF" w:rsidRPr="006F0F7F">
              <w:rPr>
                <w:rFonts w:ascii="Arial" w:hAnsi="Arial" w:cs="Arial"/>
                <w:sz w:val="20"/>
                <w:szCs w:val="20"/>
              </w:rPr>
              <w:t xml:space="preserve"> </w:t>
            </w:r>
            <w:r w:rsidR="004766FF" w:rsidRPr="002D5A4A">
              <w:rPr>
                <w:rFonts w:ascii="Arial" w:hAnsi="Arial" w:cs="Arial"/>
                <w:sz w:val="20"/>
                <w:szCs w:val="20"/>
                <w:highlight w:val="yellow"/>
              </w:rPr>
              <w:t xml:space="preserve">the </w:t>
            </w:r>
            <w:r w:rsidRPr="002D5A4A">
              <w:rPr>
                <w:rFonts w:ascii="Arial" w:hAnsi="Arial" w:cs="Arial"/>
                <w:sz w:val="20"/>
                <w:szCs w:val="20"/>
                <w:highlight w:val="yellow"/>
              </w:rPr>
              <w:t>liver</w:t>
            </w:r>
            <w:r w:rsidRPr="006F0F7F">
              <w:rPr>
                <w:rFonts w:ascii="Arial" w:hAnsi="Arial" w:cs="Arial"/>
                <w:sz w:val="20"/>
                <w:szCs w:val="20"/>
              </w:rPr>
              <w:t xml:space="preserve"> is the </w:t>
            </w:r>
            <w:r w:rsidR="00682607" w:rsidRPr="006F0F7F">
              <w:rPr>
                <w:rFonts w:ascii="Arial" w:hAnsi="Arial" w:cs="Arial"/>
                <w:sz w:val="20"/>
                <w:szCs w:val="20"/>
              </w:rPr>
              <w:t>most</w:t>
            </w:r>
            <w:r w:rsidR="00682607">
              <w:rPr>
                <w:rFonts w:ascii="Arial" w:hAnsi="Arial" w:cs="Arial"/>
                <w:sz w:val="20"/>
                <w:szCs w:val="20"/>
              </w:rPr>
              <w:t xml:space="preserve"> </w:t>
            </w:r>
            <w:r w:rsidR="00682607" w:rsidRPr="006F0F7F">
              <w:rPr>
                <w:rFonts w:ascii="Arial" w:hAnsi="Arial" w:cs="Arial"/>
                <w:sz w:val="20"/>
                <w:szCs w:val="20"/>
              </w:rPr>
              <w:t>affected</w:t>
            </w:r>
            <w:r w:rsidRPr="006F0F7F">
              <w:rPr>
                <w:rFonts w:ascii="Arial" w:hAnsi="Arial" w:cs="Arial"/>
                <w:sz w:val="20"/>
                <w:szCs w:val="20"/>
              </w:rPr>
              <w:t xml:space="preserve"> organ</w:t>
            </w:r>
          </w:p>
        </w:tc>
        <w:tc>
          <w:tcPr>
            <w:tcW w:w="0" w:type="auto"/>
            <w:hideMark/>
          </w:tcPr>
          <w:p w14:paraId="38F2652A" w14:textId="19AAFB1A"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Payne &amp; Nair, 2012; </w:t>
            </w:r>
            <w:proofErr w:type="spellStart"/>
            <w:r w:rsidRPr="006F0F7F">
              <w:rPr>
                <w:rFonts w:ascii="Arial" w:hAnsi="Arial" w:cs="Arial"/>
                <w:sz w:val="20"/>
                <w:szCs w:val="20"/>
              </w:rPr>
              <w:t>Ezeugwu</w:t>
            </w:r>
            <w:proofErr w:type="spellEnd"/>
            <w:r w:rsidRPr="006F0F7F">
              <w:rPr>
                <w:rFonts w:ascii="Arial" w:hAnsi="Arial" w:cs="Arial"/>
                <w:sz w:val="20"/>
                <w:szCs w:val="20"/>
              </w:rPr>
              <w:t xml:space="preserve"> </w:t>
            </w:r>
            <w:r w:rsidR="001B6F0B" w:rsidRPr="001B6F0B">
              <w:rPr>
                <w:rFonts w:ascii="Arial" w:hAnsi="Arial" w:cs="Arial"/>
                <w:i/>
                <w:iCs/>
                <w:sz w:val="20"/>
                <w:szCs w:val="20"/>
              </w:rPr>
              <w:t>et al</w:t>
            </w:r>
            <w:r w:rsidRPr="006F0F7F">
              <w:rPr>
                <w:rFonts w:ascii="Arial" w:hAnsi="Arial" w:cs="Arial"/>
                <w:sz w:val="20"/>
                <w:szCs w:val="20"/>
              </w:rPr>
              <w:t>., 2025</w:t>
            </w:r>
          </w:p>
        </w:tc>
      </w:tr>
      <w:tr w:rsidR="006F0F7F" w:rsidRPr="006F0F7F" w14:paraId="55D452A6" w14:textId="77777777" w:rsidTr="006F0F7F">
        <w:tc>
          <w:tcPr>
            <w:tcW w:w="0" w:type="auto"/>
            <w:hideMark/>
          </w:tcPr>
          <w:p w14:paraId="4ABC38EA"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Kidneys</w:t>
            </w:r>
          </w:p>
        </w:tc>
        <w:tc>
          <w:tcPr>
            <w:tcW w:w="0" w:type="auto"/>
            <w:hideMark/>
          </w:tcPr>
          <w:p w14:paraId="31E04326"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Severe interstitial infiltration of lymphoblasts replacing renal tubules (H&amp;E ×10)</w:t>
            </w:r>
          </w:p>
        </w:tc>
        <w:tc>
          <w:tcPr>
            <w:tcW w:w="0" w:type="auto"/>
            <w:hideMark/>
          </w:tcPr>
          <w:p w14:paraId="037CCFFE"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Indicates systemic infiltration, common in LL cases</w:t>
            </w:r>
          </w:p>
        </w:tc>
        <w:tc>
          <w:tcPr>
            <w:tcW w:w="0" w:type="auto"/>
            <w:hideMark/>
          </w:tcPr>
          <w:p w14:paraId="6643E5D0" w14:textId="155D5CC8"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Zavala &amp; Cheng, 2006</w:t>
            </w:r>
          </w:p>
        </w:tc>
      </w:tr>
      <w:tr w:rsidR="006F0F7F" w:rsidRPr="006F0F7F" w14:paraId="6A607E16" w14:textId="77777777" w:rsidTr="006F0F7F">
        <w:tc>
          <w:tcPr>
            <w:tcW w:w="0" w:type="auto"/>
            <w:hideMark/>
          </w:tcPr>
          <w:p w14:paraId="4D738E55"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lastRenderedPageBreak/>
              <w:t>Heart (Myocardium)</w:t>
            </w:r>
          </w:p>
        </w:tc>
        <w:tc>
          <w:tcPr>
            <w:tcW w:w="0" w:type="auto"/>
            <w:hideMark/>
          </w:tcPr>
          <w:p w14:paraId="65283F86"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Dense infiltration of neoplastic lymphocytes (H&amp;E ×10)</w:t>
            </w:r>
          </w:p>
        </w:tc>
        <w:tc>
          <w:tcPr>
            <w:tcW w:w="0" w:type="auto"/>
            <w:hideMark/>
          </w:tcPr>
          <w:p w14:paraId="5419E00E" w14:textId="49631D0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Multisystemic involvement </w:t>
            </w:r>
            <w:r w:rsidR="004766FF">
              <w:rPr>
                <w:rFonts w:ascii="Arial" w:hAnsi="Arial" w:cs="Arial"/>
                <w:sz w:val="20"/>
                <w:szCs w:val="20"/>
              </w:rPr>
              <w:t xml:space="preserve">is </w:t>
            </w:r>
            <w:r w:rsidRPr="006F0F7F">
              <w:rPr>
                <w:rFonts w:ascii="Arial" w:hAnsi="Arial" w:cs="Arial"/>
                <w:sz w:val="20"/>
                <w:szCs w:val="20"/>
              </w:rPr>
              <w:t>characteristic of LL</w:t>
            </w:r>
          </w:p>
        </w:tc>
        <w:tc>
          <w:tcPr>
            <w:tcW w:w="0" w:type="auto"/>
            <w:hideMark/>
          </w:tcPr>
          <w:p w14:paraId="7FB553E5"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Fadly &amp; Nair, 2008</w:t>
            </w:r>
          </w:p>
        </w:tc>
      </w:tr>
      <w:tr w:rsidR="006F0F7F" w:rsidRPr="006F0F7F" w14:paraId="0D327B73" w14:textId="77777777" w:rsidTr="006F0F7F">
        <w:tc>
          <w:tcPr>
            <w:tcW w:w="0" w:type="auto"/>
            <w:hideMark/>
          </w:tcPr>
          <w:p w14:paraId="4C1928D4"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Peripheral Nerves (sciatic)</w:t>
            </w:r>
          </w:p>
        </w:tc>
        <w:tc>
          <w:tcPr>
            <w:tcW w:w="0" w:type="auto"/>
            <w:hideMark/>
          </w:tcPr>
          <w:p w14:paraId="7C402EDE"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No lesions or enlargement detected</w:t>
            </w:r>
          </w:p>
        </w:tc>
        <w:tc>
          <w:tcPr>
            <w:tcW w:w="0" w:type="auto"/>
            <w:hideMark/>
          </w:tcPr>
          <w:p w14:paraId="45530364" w14:textId="211D880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Differentiates LL from MD</w:t>
            </w:r>
            <w:r w:rsidR="00682607">
              <w:rPr>
                <w:rFonts w:ascii="Arial" w:hAnsi="Arial" w:cs="Arial"/>
                <w:sz w:val="20"/>
                <w:szCs w:val="20"/>
              </w:rPr>
              <w:t xml:space="preserve">. </w:t>
            </w:r>
            <w:r w:rsidRPr="006F0F7F">
              <w:rPr>
                <w:rFonts w:ascii="Arial" w:hAnsi="Arial" w:cs="Arial"/>
                <w:sz w:val="20"/>
                <w:szCs w:val="20"/>
              </w:rPr>
              <w:t>MD shows nerve enlargement and demyelination</w:t>
            </w:r>
          </w:p>
        </w:tc>
        <w:tc>
          <w:tcPr>
            <w:tcW w:w="0" w:type="auto"/>
            <w:hideMark/>
          </w:tcPr>
          <w:p w14:paraId="1CB60034" w14:textId="3391AA9B"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Payne &amp; Nair, 2012</w:t>
            </w:r>
          </w:p>
        </w:tc>
      </w:tr>
      <w:tr w:rsidR="006F0F7F" w:rsidRPr="006F0F7F" w14:paraId="6437C8AD" w14:textId="77777777" w:rsidTr="006F0F7F">
        <w:tc>
          <w:tcPr>
            <w:tcW w:w="0" w:type="auto"/>
            <w:hideMark/>
          </w:tcPr>
          <w:p w14:paraId="64B692DD" w14:textId="77777777"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Cytology (Impression Smear)</w:t>
            </w:r>
          </w:p>
        </w:tc>
        <w:tc>
          <w:tcPr>
            <w:tcW w:w="0" w:type="auto"/>
            <w:hideMark/>
          </w:tcPr>
          <w:p w14:paraId="4B2D08F1" w14:textId="1F6AA910"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Numerous large lymphoblasts with round vesicular nuclei, prominent nucleoli, high N:</w:t>
            </w:r>
            <w:r w:rsidR="004766FF">
              <w:rPr>
                <w:rFonts w:ascii="Arial" w:hAnsi="Arial" w:cs="Arial"/>
                <w:sz w:val="20"/>
                <w:szCs w:val="20"/>
              </w:rPr>
              <w:t xml:space="preserve"> </w:t>
            </w:r>
            <w:r w:rsidRPr="006F0F7F">
              <w:rPr>
                <w:rFonts w:ascii="Arial" w:hAnsi="Arial" w:cs="Arial"/>
                <w:sz w:val="20"/>
                <w:szCs w:val="20"/>
              </w:rPr>
              <w:t>C ratio, basophilic cytoplasm (Giemsa ×40)</w:t>
            </w:r>
          </w:p>
        </w:tc>
        <w:tc>
          <w:tcPr>
            <w:tcW w:w="0" w:type="auto"/>
            <w:hideMark/>
          </w:tcPr>
          <w:p w14:paraId="19BCEB88" w14:textId="43FCF62B"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 xml:space="preserve">Supports malignant lymphoid proliferation; cytology </w:t>
            </w:r>
            <w:r w:rsidR="004766FF" w:rsidRPr="002D5A4A">
              <w:rPr>
                <w:rFonts w:ascii="Arial" w:hAnsi="Arial" w:cs="Arial"/>
                <w:sz w:val="20"/>
                <w:szCs w:val="20"/>
                <w:highlight w:val="yellow"/>
              </w:rPr>
              <w:t xml:space="preserve">is </w:t>
            </w:r>
            <w:r w:rsidRPr="002D5A4A">
              <w:rPr>
                <w:rFonts w:ascii="Arial" w:hAnsi="Arial" w:cs="Arial"/>
                <w:sz w:val="20"/>
                <w:szCs w:val="20"/>
                <w:highlight w:val="yellow"/>
              </w:rPr>
              <w:t>helpful</w:t>
            </w:r>
            <w:r w:rsidRPr="006F0F7F">
              <w:rPr>
                <w:rFonts w:ascii="Arial" w:hAnsi="Arial" w:cs="Arial"/>
                <w:sz w:val="20"/>
                <w:szCs w:val="20"/>
              </w:rPr>
              <w:t xml:space="preserve"> for rapid LL confirmation</w:t>
            </w:r>
          </w:p>
        </w:tc>
        <w:tc>
          <w:tcPr>
            <w:tcW w:w="0" w:type="auto"/>
            <w:hideMark/>
          </w:tcPr>
          <w:p w14:paraId="7FA47C0C" w14:textId="1CD5413B" w:rsidR="00702610" w:rsidRPr="006F0F7F" w:rsidRDefault="00702610" w:rsidP="00D715C9">
            <w:pPr>
              <w:spacing w:after="0" w:line="276" w:lineRule="auto"/>
              <w:jc w:val="both"/>
              <w:rPr>
                <w:rFonts w:ascii="Arial" w:hAnsi="Arial" w:cs="Arial"/>
                <w:sz w:val="20"/>
                <w:szCs w:val="20"/>
              </w:rPr>
            </w:pPr>
            <w:r w:rsidRPr="006F0F7F">
              <w:rPr>
                <w:rFonts w:ascii="Arial" w:hAnsi="Arial" w:cs="Arial"/>
                <w:sz w:val="20"/>
                <w:szCs w:val="20"/>
              </w:rPr>
              <w:t>Zavala &amp; Cheng, 2006</w:t>
            </w:r>
          </w:p>
        </w:tc>
      </w:tr>
    </w:tbl>
    <w:p w14:paraId="3B7985F6" w14:textId="77777777" w:rsidR="00702610" w:rsidRPr="006F0F7F" w:rsidRDefault="00702610" w:rsidP="006F0F7F">
      <w:pPr>
        <w:spacing w:line="480" w:lineRule="auto"/>
        <w:jc w:val="both"/>
        <w:rPr>
          <w:rFonts w:ascii="Arial" w:hAnsi="Arial" w:cs="Arial"/>
          <w:sz w:val="20"/>
          <w:szCs w:val="20"/>
        </w:rPr>
      </w:pPr>
    </w:p>
    <w:p w14:paraId="7C69EFD1" w14:textId="72E44D61" w:rsidR="00684849" w:rsidRPr="006F0F7F" w:rsidRDefault="00281E44" w:rsidP="006F0F7F">
      <w:pPr>
        <w:spacing w:line="480" w:lineRule="auto"/>
        <w:jc w:val="both"/>
        <w:rPr>
          <w:rFonts w:ascii="Arial" w:hAnsi="Arial" w:cs="Arial"/>
          <w:b/>
          <w:bCs/>
        </w:rPr>
      </w:pPr>
      <w:r w:rsidRPr="006F0F7F">
        <w:rPr>
          <w:rFonts w:ascii="Arial" w:hAnsi="Arial" w:cs="Arial"/>
          <w:b/>
          <w:bCs/>
        </w:rPr>
        <w:t>CONCLUSION</w:t>
      </w:r>
    </w:p>
    <w:p w14:paraId="6F24E1DE" w14:textId="2E5B7727"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Lymphoid leucosis (LL) continues to pose a major threat to poultry health, leading to </w:t>
      </w:r>
      <w:r w:rsidR="00345BC8">
        <w:rPr>
          <w:rFonts w:ascii="Arial" w:hAnsi="Arial" w:cs="Arial"/>
          <w:sz w:val="20"/>
          <w:szCs w:val="20"/>
        </w:rPr>
        <w:t>tumour</w:t>
      </w:r>
      <w:r w:rsidR="00702610" w:rsidRPr="006F0F7F">
        <w:rPr>
          <w:rFonts w:ascii="Arial" w:hAnsi="Arial" w:cs="Arial"/>
          <w:sz w:val="20"/>
          <w:szCs w:val="20"/>
        </w:rPr>
        <w:t xml:space="preserve"> development in multiple visceral organs and causing substantial economic losses through mortality and decreased productivity. The present investigation confirmed the occurrence of LL in crossbred native chickens with multisystemic organ involvement, notably the liver, kidneys, and intestines. Importantly, the absence of sciatic nerve lesions allowed clear differentiation from Marek’s disease, reaffirming the diagnostic value of histopathological and cytological examinations. These findings, consistent with earlier reports (</w:t>
      </w:r>
      <w:r w:rsidR="00902360" w:rsidRPr="00902360">
        <w:rPr>
          <w:rFonts w:ascii="Arial" w:hAnsi="Arial" w:cs="Arial"/>
          <w:sz w:val="20"/>
          <w:szCs w:val="20"/>
        </w:rPr>
        <w:t xml:space="preserve">Payne &amp; Nair, 2012; </w:t>
      </w:r>
      <w:proofErr w:type="spellStart"/>
      <w:r w:rsidR="00902360" w:rsidRPr="00902360">
        <w:rPr>
          <w:rFonts w:ascii="Arial" w:hAnsi="Arial" w:cs="Arial"/>
          <w:sz w:val="20"/>
          <w:szCs w:val="20"/>
        </w:rPr>
        <w:t>Elamurugan</w:t>
      </w:r>
      <w:proofErr w:type="spellEnd"/>
      <w:r w:rsidR="00902360" w:rsidRPr="00902360">
        <w:rPr>
          <w:rFonts w:ascii="Arial" w:hAnsi="Arial" w:cs="Arial"/>
          <w:sz w:val="20"/>
          <w:szCs w:val="20"/>
        </w:rPr>
        <w:t xml:space="preserve"> et al., 2015; Mo et al., 2022;</w:t>
      </w:r>
      <w:r w:rsidR="00902360">
        <w:rPr>
          <w:rFonts w:ascii="Arial" w:hAnsi="Arial" w:cs="Arial"/>
          <w:sz w:val="20"/>
          <w:szCs w:val="20"/>
        </w:rPr>
        <w:t xml:space="preserve"> </w:t>
      </w:r>
      <w:proofErr w:type="spellStart"/>
      <w:r w:rsidR="00702610" w:rsidRPr="006F0F7F">
        <w:rPr>
          <w:rFonts w:ascii="Arial" w:hAnsi="Arial" w:cs="Arial"/>
          <w:sz w:val="20"/>
          <w:szCs w:val="20"/>
        </w:rPr>
        <w:t>Ezeugwu</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xml:space="preserve">., 2025), underscore the persistent presence of LL in </w:t>
      </w:r>
      <w:r w:rsidR="004766FF" w:rsidRPr="002D5A4A">
        <w:rPr>
          <w:rFonts w:ascii="Arial" w:hAnsi="Arial" w:cs="Arial"/>
          <w:sz w:val="20"/>
          <w:szCs w:val="20"/>
          <w:highlight w:val="yellow"/>
        </w:rPr>
        <w:t>organised</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poultry</w:t>
      </w:r>
      <w:r w:rsidR="00702610" w:rsidRPr="006F0F7F">
        <w:rPr>
          <w:rFonts w:ascii="Arial" w:hAnsi="Arial" w:cs="Arial"/>
          <w:sz w:val="20"/>
          <w:szCs w:val="20"/>
        </w:rPr>
        <w:t xml:space="preserve"> production systems. Strengthening biosecurity, implementing effective breeding and eradication programs, and adopting rigorous diagnostic surveillance remain critical measures to prevent disease spread and </w:t>
      </w:r>
      <w:r w:rsidR="004766FF" w:rsidRPr="002D5A4A">
        <w:rPr>
          <w:rFonts w:ascii="Arial" w:hAnsi="Arial" w:cs="Arial"/>
          <w:sz w:val="20"/>
          <w:szCs w:val="20"/>
          <w:highlight w:val="yellow"/>
        </w:rPr>
        <w:t>minimise</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its impact</w:t>
      </w:r>
      <w:r w:rsidR="00702610" w:rsidRPr="006F0F7F">
        <w:rPr>
          <w:rFonts w:ascii="Arial" w:hAnsi="Arial" w:cs="Arial"/>
          <w:sz w:val="20"/>
          <w:szCs w:val="20"/>
        </w:rPr>
        <w:t xml:space="preserve"> on poultry production.</w:t>
      </w:r>
    </w:p>
    <w:p w14:paraId="73B302E9" w14:textId="77777777" w:rsidR="00702610" w:rsidRPr="006F0F7F" w:rsidRDefault="00702610" w:rsidP="006F0F7F">
      <w:pPr>
        <w:spacing w:line="480" w:lineRule="auto"/>
        <w:jc w:val="both"/>
        <w:rPr>
          <w:rFonts w:ascii="Arial" w:hAnsi="Arial" w:cs="Arial"/>
          <w:b/>
          <w:bCs/>
        </w:rPr>
      </w:pPr>
      <w:r w:rsidRPr="006F0F7F">
        <w:rPr>
          <w:rFonts w:ascii="Arial" w:hAnsi="Arial" w:cs="Arial"/>
          <w:b/>
          <w:bCs/>
        </w:rPr>
        <w:t>Policy Recommendations, Limitations, and Future Prospects</w:t>
      </w:r>
    </w:p>
    <w:p w14:paraId="3583938A" w14:textId="6851CC8D" w:rsidR="00702610" w:rsidRPr="006F0F7F" w:rsidRDefault="006F0F7F" w:rsidP="00202722">
      <w:pPr>
        <w:spacing w:after="0"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The persistence of lymphoid leucosis (LL) in </w:t>
      </w:r>
      <w:r w:rsidR="004766FF" w:rsidRPr="002D5A4A">
        <w:rPr>
          <w:rFonts w:ascii="Arial" w:hAnsi="Arial" w:cs="Arial"/>
          <w:sz w:val="20"/>
          <w:szCs w:val="20"/>
          <w:highlight w:val="yellow"/>
        </w:rPr>
        <w:t>organised</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poultry</w:t>
      </w:r>
      <w:r w:rsidR="00702610" w:rsidRPr="006F0F7F">
        <w:rPr>
          <w:rFonts w:ascii="Arial" w:hAnsi="Arial" w:cs="Arial"/>
          <w:sz w:val="20"/>
          <w:szCs w:val="20"/>
        </w:rPr>
        <w:t xml:space="preserve"> production systems </w:t>
      </w:r>
      <w:proofErr w:type="gramStart"/>
      <w:r w:rsidR="00702610" w:rsidRPr="006F0F7F">
        <w:rPr>
          <w:rFonts w:ascii="Arial" w:hAnsi="Arial" w:cs="Arial"/>
          <w:sz w:val="20"/>
          <w:szCs w:val="20"/>
        </w:rPr>
        <w:t>highlights</w:t>
      </w:r>
      <w:proofErr w:type="gramEnd"/>
      <w:r w:rsidR="00702610" w:rsidRPr="006F0F7F">
        <w:rPr>
          <w:rFonts w:ascii="Arial" w:hAnsi="Arial" w:cs="Arial"/>
          <w:sz w:val="20"/>
          <w:szCs w:val="20"/>
        </w:rPr>
        <w:t xml:space="preserve"> the urgent need for integrated disease control strategies. Policy initiatives should focus on the implementation of stringent breeding and biosecurity programs, including the selection of resistant genetic lines and routine screening of breeder flocks for avian leukosis virus (ALV) contamination (</w:t>
      </w:r>
      <w:r w:rsidR="00902360" w:rsidRPr="006F0F7F">
        <w:rPr>
          <w:rFonts w:ascii="Arial" w:hAnsi="Arial" w:cs="Arial"/>
          <w:sz w:val="20"/>
          <w:szCs w:val="20"/>
        </w:rPr>
        <w:t>Payne &amp; Venugopal, 2000</w:t>
      </w:r>
      <w:r w:rsidR="00902360">
        <w:rPr>
          <w:rFonts w:ascii="Arial" w:hAnsi="Arial" w:cs="Arial"/>
          <w:sz w:val="20"/>
          <w:szCs w:val="20"/>
        </w:rPr>
        <w:t xml:space="preserve">; </w:t>
      </w:r>
      <w:r w:rsidR="00702610" w:rsidRPr="006F0F7F">
        <w:rPr>
          <w:rFonts w:ascii="Arial" w:hAnsi="Arial" w:cs="Arial"/>
          <w:sz w:val="20"/>
          <w:szCs w:val="20"/>
        </w:rPr>
        <w:t>Fadly &amp; Nair, 2008;</w:t>
      </w:r>
      <w:r w:rsidR="00902360">
        <w:rPr>
          <w:rFonts w:ascii="Arial" w:hAnsi="Arial" w:cs="Arial"/>
          <w:sz w:val="20"/>
          <w:szCs w:val="20"/>
        </w:rPr>
        <w:t xml:space="preserve"> </w:t>
      </w:r>
      <w:proofErr w:type="spellStart"/>
      <w:r w:rsidR="00902360" w:rsidRPr="00902360">
        <w:rPr>
          <w:rFonts w:ascii="Arial" w:hAnsi="Arial" w:cs="Arial"/>
          <w:sz w:val="20"/>
          <w:szCs w:val="20"/>
        </w:rPr>
        <w:t>Elamurugan</w:t>
      </w:r>
      <w:proofErr w:type="spellEnd"/>
      <w:r w:rsidR="00902360" w:rsidRPr="00902360">
        <w:rPr>
          <w:rFonts w:ascii="Arial" w:hAnsi="Arial" w:cs="Arial"/>
          <w:sz w:val="20"/>
          <w:szCs w:val="20"/>
        </w:rPr>
        <w:t xml:space="preserve"> et al., 2015</w:t>
      </w:r>
      <w:r w:rsidR="00702610" w:rsidRPr="006F0F7F">
        <w:rPr>
          <w:rFonts w:ascii="Arial" w:hAnsi="Arial" w:cs="Arial"/>
          <w:sz w:val="20"/>
          <w:szCs w:val="20"/>
        </w:rPr>
        <w:t xml:space="preserve">). Since LL contributes to economic losses through reduced productivity and mortality, government-supported compensation schemes and farmer training modules may help </w:t>
      </w:r>
      <w:r w:rsidR="004766FF" w:rsidRPr="002D5A4A">
        <w:rPr>
          <w:rFonts w:ascii="Arial" w:hAnsi="Arial" w:cs="Arial"/>
          <w:sz w:val="20"/>
          <w:szCs w:val="20"/>
          <w:highlight w:val="yellow"/>
        </w:rPr>
        <w:t>minimise</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financial</w:t>
      </w:r>
      <w:r w:rsidR="00702610" w:rsidRPr="006F0F7F">
        <w:rPr>
          <w:rFonts w:ascii="Arial" w:hAnsi="Arial" w:cs="Arial"/>
          <w:sz w:val="20"/>
          <w:szCs w:val="20"/>
        </w:rPr>
        <w:t xml:space="preserve"> impacts and improve adoption of preventive measures (</w:t>
      </w:r>
      <w:proofErr w:type="spellStart"/>
      <w:r w:rsidR="00702610" w:rsidRPr="006F0F7F">
        <w:rPr>
          <w:rFonts w:ascii="Arial" w:hAnsi="Arial" w:cs="Arial"/>
          <w:sz w:val="20"/>
          <w:szCs w:val="20"/>
        </w:rPr>
        <w:t>Ezeugwu</w:t>
      </w:r>
      <w:proofErr w:type="spellEnd"/>
      <w:r w:rsidR="00702610" w:rsidRPr="006F0F7F">
        <w:rPr>
          <w:rFonts w:ascii="Arial" w:hAnsi="Arial" w:cs="Arial"/>
          <w:sz w:val="20"/>
          <w:szCs w:val="20"/>
        </w:rPr>
        <w:t xml:space="preserve"> </w:t>
      </w:r>
      <w:r w:rsidR="001B6F0B" w:rsidRPr="001B6F0B">
        <w:rPr>
          <w:rFonts w:ascii="Arial" w:hAnsi="Arial" w:cs="Arial"/>
          <w:i/>
          <w:iCs/>
          <w:sz w:val="20"/>
          <w:szCs w:val="20"/>
        </w:rPr>
        <w:t>et al</w:t>
      </w:r>
      <w:r w:rsidR="00702610" w:rsidRPr="006F0F7F">
        <w:rPr>
          <w:rFonts w:ascii="Arial" w:hAnsi="Arial" w:cs="Arial"/>
          <w:sz w:val="20"/>
          <w:szCs w:val="20"/>
        </w:rPr>
        <w:t>., 2025).</w:t>
      </w:r>
    </w:p>
    <w:p w14:paraId="13BFE862" w14:textId="6008AF1C" w:rsidR="00702610" w:rsidRPr="006F0F7F" w:rsidRDefault="006F0F7F" w:rsidP="006F0F7F">
      <w:pPr>
        <w:spacing w:line="480" w:lineRule="auto"/>
        <w:jc w:val="both"/>
        <w:rPr>
          <w:rFonts w:ascii="Arial" w:hAnsi="Arial" w:cs="Arial"/>
          <w:sz w:val="20"/>
          <w:szCs w:val="20"/>
        </w:rPr>
      </w:pPr>
      <w:r>
        <w:rPr>
          <w:rFonts w:ascii="Arial" w:hAnsi="Arial" w:cs="Arial"/>
          <w:sz w:val="20"/>
          <w:szCs w:val="20"/>
        </w:rPr>
        <w:lastRenderedPageBreak/>
        <w:tab/>
      </w:r>
      <w:r w:rsidR="00702610" w:rsidRPr="006F0F7F">
        <w:rPr>
          <w:rFonts w:ascii="Arial" w:hAnsi="Arial" w:cs="Arial"/>
          <w:sz w:val="20"/>
          <w:szCs w:val="20"/>
        </w:rPr>
        <w:t>Despite the importance of these findings, this study has certain limitations. The sample size was restricted to a small group of crossbred native chickens, which may not fully represent the broader epidemiological status of LL across different regions and poultry production systems. Furthermore, the study primarily relied on histopathological examination, while advanced molecular diagnostic techniques (PCR, sequencing) were not employed, limiting the ability to confirm viral subgroups or detect latent infections (Zavala &amp; Cheng, 2006).</w:t>
      </w:r>
    </w:p>
    <w:p w14:paraId="4442A382" w14:textId="024AA94E"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 xml:space="preserve">Future research should </w:t>
      </w:r>
      <w:r w:rsidR="004766FF" w:rsidRPr="002D5A4A">
        <w:rPr>
          <w:rFonts w:ascii="Arial" w:hAnsi="Arial" w:cs="Arial"/>
          <w:sz w:val="20"/>
          <w:szCs w:val="20"/>
          <w:highlight w:val="yellow"/>
        </w:rPr>
        <w:t>prioritise</w:t>
      </w:r>
      <w:r w:rsidR="004766FF" w:rsidRPr="002D5A4A">
        <w:rPr>
          <w:rFonts w:ascii="Arial" w:hAnsi="Arial" w:cs="Arial"/>
          <w:sz w:val="20"/>
          <w:szCs w:val="20"/>
          <w:highlight w:val="yellow"/>
        </w:rPr>
        <w:t xml:space="preserve"> </w:t>
      </w:r>
      <w:r w:rsidR="00702610" w:rsidRPr="002D5A4A">
        <w:rPr>
          <w:rFonts w:ascii="Arial" w:hAnsi="Arial" w:cs="Arial"/>
          <w:sz w:val="20"/>
          <w:szCs w:val="20"/>
          <w:highlight w:val="yellow"/>
        </w:rPr>
        <w:t>molecular</w:t>
      </w:r>
      <w:r w:rsidR="00702610" w:rsidRPr="006F0F7F">
        <w:rPr>
          <w:rFonts w:ascii="Arial" w:hAnsi="Arial" w:cs="Arial"/>
          <w:sz w:val="20"/>
          <w:szCs w:val="20"/>
        </w:rPr>
        <w:t xml:space="preserve"> </w:t>
      </w:r>
      <w:r w:rsidR="004766FF" w:rsidRPr="002D5A4A">
        <w:rPr>
          <w:rFonts w:ascii="Arial" w:hAnsi="Arial" w:cs="Arial"/>
          <w:sz w:val="20"/>
          <w:szCs w:val="20"/>
          <w:highlight w:val="yellow"/>
        </w:rPr>
        <w:t>characterisation</w:t>
      </w:r>
      <w:r w:rsidR="004766FF" w:rsidRPr="006F0F7F">
        <w:rPr>
          <w:rFonts w:ascii="Arial" w:hAnsi="Arial" w:cs="Arial"/>
          <w:sz w:val="20"/>
          <w:szCs w:val="20"/>
        </w:rPr>
        <w:t xml:space="preserve"> </w:t>
      </w:r>
      <w:r w:rsidR="00702610" w:rsidRPr="006F0F7F">
        <w:rPr>
          <w:rFonts w:ascii="Arial" w:hAnsi="Arial" w:cs="Arial"/>
          <w:sz w:val="20"/>
          <w:szCs w:val="20"/>
        </w:rPr>
        <w:t xml:space="preserve">of ALV subgroups in Indian poultry to identify circulating strains and their pathogenic potential. Additionally, exploring host–pathogen interactions through immunogenetic studies may offer new insights into resistance breeding strategies. Long-term prospects </w:t>
      </w:r>
      <w:r w:rsidR="00702610" w:rsidRPr="002D5A4A">
        <w:rPr>
          <w:rFonts w:ascii="Arial" w:hAnsi="Arial" w:cs="Arial"/>
          <w:sz w:val="20"/>
          <w:szCs w:val="20"/>
          <w:highlight w:val="yellow"/>
        </w:rPr>
        <w:t xml:space="preserve">include </w:t>
      </w:r>
      <w:r w:rsidR="004766FF" w:rsidRPr="002D5A4A">
        <w:rPr>
          <w:rFonts w:ascii="Arial" w:hAnsi="Arial" w:cs="Arial"/>
          <w:sz w:val="20"/>
          <w:szCs w:val="20"/>
          <w:highlight w:val="yellow"/>
        </w:rPr>
        <w:t xml:space="preserve">the </w:t>
      </w:r>
      <w:r w:rsidR="00702610" w:rsidRPr="002D5A4A">
        <w:rPr>
          <w:rFonts w:ascii="Arial" w:hAnsi="Arial" w:cs="Arial"/>
          <w:sz w:val="20"/>
          <w:szCs w:val="20"/>
          <w:highlight w:val="yellow"/>
        </w:rPr>
        <w:t>development</w:t>
      </w:r>
      <w:r w:rsidR="00702610" w:rsidRPr="006F0F7F">
        <w:rPr>
          <w:rFonts w:ascii="Arial" w:hAnsi="Arial" w:cs="Arial"/>
          <w:sz w:val="20"/>
          <w:szCs w:val="20"/>
        </w:rPr>
        <w:t xml:space="preserve"> of marker-assisted selection programs for LL resistance and the integration of omics-based approaches (genomics, transcriptomics, and proteomics) to uncover biomarkers for early disease detection (Fadly &amp; Nair, 2008; Payne &amp; Venugopal, 2000).</w:t>
      </w:r>
    </w:p>
    <w:p w14:paraId="4B879D00" w14:textId="5491C584" w:rsidR="00702610" w:rsidRPr="006F0F7F" w:rsidRDefault="006F0F7F" w:rsidP="006F0F7F">
      <w:pPr>
        <w:spacing w:line="480" w:lineRule="auto"/>
        <w:jc w:val="both"/>
        <w:rPr>
          <w:rFonts w:ascii="Arial" w:hAnsi="Arial" w:cs="Arial"/>
          <w:sz w:val="20"/>
          <w:szCs w:val="20"/>
        </w:rPr>
      </w:pPr>
      <w:r>
        <w:rPr>
          <w:rFonts w:ascii="Arial" w:hAnsi="Arial" w:cs="Arial"/>
          <w:sz w:val="20"/>
          <w:szCs w:val="20"/>
        </w:rPr>
        <w:tab/>
      </w:r>
      <w:r w:rsidR="00702610" w:rsidRPr="006F0F7F">
        <w:rPr>
          <w:rFonts w:ascii="Arial" w:hAnsi="Arial" w:cs="Arial"/>
          <w:sz w:val="20"/>
          <w:szCs w:val="20"/>
        </w:rPr>
        <w:t>By combining policy-driven control programs, farmer awareness initiatives, and advanced research methodologies, the poultry sector can work towards reducing the burden of LL and ensuring sustainable production in the future.</w:t>
      </w:r>
    </w:p>
    <w:p w14:paraId="776088F5" w14:textId="50C2E656" w:rsidR="00B757AD" w:rsidRDefault="00B757AD" w:rsidP="006F0F7F">
      <w:pPr>
        <w:spacing w:line="480" w:lineRule="auto"/>
        <w:jc w:val="both"/>
        <w:rPr>
          <w:rFonts w:ascii="Arial" w:hAnsi="Arial" w:cs="Arial"/>
          <w:b/>
          <w:bCs/>
        </w:rPr>
      </w:pPr>
    </w:p>
    <w:p w14:paraId="600B4875" w14:textId="2BE79AD4" w:rsidR="00402606" w:rsidRDefault="00402606" w:rsidP="006F0F7F">
      <w:pPr>
        <w:spacing w:line="480" w:lineRule="auto"/>
        <w:jc w:val="both"/>
        <w:rPr>
          <w:rFonts w:ascii="Arial" w:hAnsi="Arial" w:cs="Arial"/>
          <w:b/>
          <w:bCs/>
        </w:rPr>
      </w:pPr>
    </w:p>
    <w:p w14:paraId="73EE23E9" w14:textId="77777777" w:rsidR="00402606" w:rsidRPr="000A6323" w:rsidRDefault="00402606" w:rsidP="00402606">
      <w:pPr>
        <w:rPr>
          <w:highlight w:val="yellow"/>
        </w:rPr>
      </w:pPr>
      <w:bookmarkStart w:id="4" w:name="_Hlk190852809"/>
      <w:bookmarkStart w:id="5" w:name="_Hlk207791737"/>
      <w:r w:rsidRPr="000A6323">
        <w:rPr>
          <w:highlight w:val="yellow"/>
        </w:rPr>
        <w:t>Disclaimer (Artificial intelligence)</w:t>
      </w:r>
    </w:p>
    <w:p w14:paraId="11E49C01" w14:textId="77777777" w:rsidR="00402606" w:rsidRPr="000A6323" w:rsidRDefault="00402606" w:rsidP="00402606">
      <w:pPr>
        <w:rPr>
          <w:highlight w:val="yellow"/>
        </w:rPr>
      </w:pPr>
      <w:r w:rsidRPr="000A6323">
        <w:rPr>
          <w:highlight w:val="yellow"/>
        </w:rPr>
        <w:t xml:space="preserve">Option 1: </w:t>
      </w:r>
    </w:p>
    <w:p w14:paraId="0A419DAB" w14:textId="77777777" w:rsidR="00402606" w:rsidRPr="000A6323" w:rsidRDefault="00402606" w:rsidP="00402606">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124A71A8" w14:textId="77777777" w:rsidR="00402606" w:rsidRPr="000A6323" w:rsidRDefault="00402606" w:rsidP="00402606">
      <w:pPr>
        <w:rPr>
          <w:highlight w:val="yellow"/>
        </w:rPr>
      </w:pPr>
      <w:r w:rsidRPr="000A6323">
        <w:rPr>
          <w:highlight w:val="yellow"/>
        </w:rPr>
        <w:t xml:space="preserve">Option 2: </w:t>
      </w:r>
    </w:p>
    <w:p w14:paraId="4CF6E6EA" w14:textId="77777777" w:rsidR="00402606" w:rsidRPr="000A6323" w:rsidRDefault="00402606" w:rsidP="00402606">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7057148" w14:textId="77777777" w:rsidR="00402606" w:rsidRPr="000A6323" w:rsidRDefault="00402606" w:rsidP="00402606">
      <w:pPr>
        <w:rPr>
          <w:highlight w:val="yellow"/>
        </w:rPr>
      </w:pPr>
      <w:r w:rsidRPr="000A6323">
        <w:rPr>
          <w:highlight w:val="yellow"/>
        </w:rPr>
        <w:t>Details of the AI usage are given below:</w:t>
      </w:r>
    </w:p>
    <w:p w14:paraId="66D79B90" w14:textId="77777777" w:rsidR="00402606" w:rsidRPr="000A6323" w:rsidRDefault="00402606" w:rsidP="00402606">
      <w:pPr>
        <w:rPr>
          <w:highlight w:val="yellow"/>
        </w:rPr>
      </w:pPr>
      <w:r w:rsidRPr="000A6323">
        <w:rPr>
          <w:highlight w:val="yellow"/>
        </w:rPr>
        <w:t>1.</w:t>
      </w:r>
    </w:p>
    <w:p w14:paraId="7877DD4B" w14:textId="77777777" w:rsidR="00402606" w:rsidRPr="000A6323" w:rsidRDefault="00402606" w:rsidP="00402606">
      <w:pPr>
        <w:rPr>
          <w:highlight w:val="yellow"/>
        </w:rPr>
      </w:pPr>
      <w:r w:rsidRPr="000A6323">
        <w:rPr>
          <w:highlight w:val="yellow"/>
        </w:rPr>
        <w:t>2.</w:t>
      </w:r>
    </w:p>
    <w:p w14:paraId="29717B5C" w14:textId="77777777" w:rsidR="00402606" w:rsidRPr="00D047BB" w:rsidRDefault="00402606" w:rsidP="00402606">
      <w:r w:rsidRPr="000A6323">
        <w:rPr>
          <w:highlight w:val="yellow"/>
        </w:rPr>
        <w:lastRenderedPageBreak/>
        <w:t>3.</w:t>
      </w:r>
    </w:p>
    <w:bookmarkEnd w:id="4"/>
    <w:p w14:paraId="01964EAB" w14:textId="77777777" w:rsidR="00402606" w:rsidRDefault="00402606" w:rsidP="00402606"/>
    <w:bookmarkEnd w:id="5"/>
    <w:p w14:paraId="7E54AC37" w14:textId="77777777" w:rsidR="00402606" w:rsidRPr="00D047BB" w:rsidRDefault="00402606" w:rsidP="00402606"/>
    <w:p w14:paraId="6F2B8730" w14:textId="77777777" w:rsidR="00402606" w:rsidRDefault="00402606" w:rsidP="006F0F7F">
      <w:pPr>
        <w:spacing w:line="480" w:lineRule="auto"/>
        <w:jc w:val="both"/>
        <w:rPr>
          <w:rFonts w:ascii="Arial" w:hAnsi="Arial" w:cs="Arial"/>
          <w:b/>
          <w:bCs/>
        </w:rPr>
      </w:pPr>
    </w:p>
    <w:p w14:paraId="6721CDE2" w14:textId="77777777" w:rsidR="00684849" w:rsidRPr="006F0F7F" w:rsidRDefault="00281E44" w:rsidP="006F0F7F">
      <w:pPr>
        <w:spacing w:line="480" w:lineRule="auto"/>
        <w:jc w:val="both"/>
        <w:rPr>
          <w:rFonts w:ascii="Arial" w:hAnsi="Arial" w:cs="Arial"/>
          <w:b/>
          <w:bCs/>
        </w:rPr>
      </w:pPr>
      <w:r w:rsidRPr="006F0F7F">
        <w:rPr>
          <w:rFonts w:ascii="Arial" w:hAnsi="Arial" w:cs="Arial"/>
          <w:b/>
          <w:bCs/>
        </w:rPr>
        <w:t>REFERENCES:</w:t>
      </w:r>
    </w:p>
    <w:p w14:paraId="5D1F7D69" w14:textId="706D9A83" w:rsidR="00702610" w:rsidRPr="00A240F8" w:rsidRDefault="00702610" w:rsidP="00A240F8">
      <w:pPr>
        <w:pStyle w:val="ListParagraph"/>
        <w:numPr>
          <w:ilvl w:val="0"/>
          <w:numId w:val="5"/>
        </w:numPr>
        <w:spacing w:line="480" w:lineRule="auto"/>
        <w:jc w:val="both"/>
        <w:rPr>
          <w:rFonts w:ascii="Arial" w:hAnsi="Arial" w:cs="Arial"/>
          <w:sz w:val="20"/>
          <w:szCs w:val="20"/>
        </w:rPr>
      </w:pPr>
      <w:proofErr w:type="spellStart"/>
      <w:r w:rsidRPr="00A240F8">
        <w:rPr>
          <w:rFonts w:ascii="Arial" w:hAnsi="Arial" w:cs="Arial"/>
          <w:sz w:val="20"/>
          <w:szCs w:val="20"/>
        </w:rPr>
        <w:t>Abdelmenem</w:t>
      </w:r>
      <w:proofErr w:type="spellEnd"/>
      <w:r w:rsidRPr="00A240F8">
        <w:rPr>
          <w:rFonts w:ascii="Arial" w:hAnsi="Arial" w:cs="Arial"/>
          <w:sz w:val="20"/>
          <w:szCs w:val="20"/>
        </w:rPr>
        <w:t xml:space="preserve"> Ahmed Elmeligy, Ali A. Ghania, Ahmed Fotouh.</w:t>
      </w:r>
      <w:r w:rsidR="001266D8">
        <w:rPr>
          <w:rFonts w:ascii="Arial" w:hAnsi="Arial" w:cs="Arial"/>
          <w:sz w:val="20"/>
          <w:szCs w:val="20"/>
        </w:rPr>
        <w:t xml:space="preserve"> </w:t>
      </w:r>
      <w:r w:rsidR="001266D8" w:rsidRPr="00A240F8">
        <w:rPr>
          <w:rFonts w:ascii="Arial" w:hAnsi="Arial" w:cs="Arial"/>
          <w:sz w:val="20"/>
          <w:szCs w:val="20"/>
        </w:rPr>
        <w:t>2024</w:t>
      </w:r>
      <w:r w:rsidR="001266D8">
        <w:rPr>
          <w:rFonts w:ascii="Arial" w:hAnsi="Arial" w:cs="Arial"/>
          <w:sz w:val="20"/>
          <w:szCs w:val="20"/>
        </w:rPr>
        <w:t>.</w:t>
      </w:r>
      <w:r w:rsidRPr="00A240F8">
        <w:rPr>
          <w:rFonts w:ascii="Arial" w:hAnsi="Arial" w:cs="Arial"/>
          <w:sz w:val="20"/>
          <w:szCs w:val="20"/>
        </w:rPr>
        <w:t xml:space="preserve"> Pathological and immunohistochemical studies of lymphoid leukosis in pigeons in Egypt. </w:t>
      </w:r>
      <w:r w:rsidRPr="00D87EC1">
        <w:rPr>
          <w:rFonts w:ascii="Arial" w:hAnsi="Arial" w:cs="Arial"/>
          <w:i/>
          <w:iCs/>
          <w:sz w:val="20"/>
          <w:szCs w:val="20"/>
        </w:rPr>
        <w:t xml:space="preserve">Open Veterinary Journal, </w:t>
      </w:r>
      <w:r w:rsidRPr="00A240F8">
        <w:rPr>
          <w:rFonts w:ascii="Arial" w:hAnsi="Arial" w:cs="Arial"/>
          <w:sz w:val="20"/>
          <w:szCs w:val="20"/>
        </w:rPr>
        <w:t>14(8): 1952–1959.</w:t>
      </w:r>
    </w:p>
    <w:p w14:paraId="3CBBACDD" w14:textId="5F1BCE42" w:rsidR="00D87EC1" w:rsidRDefault="00D87EC1" w:rsidP="00D87EC1">
      <w:pPr>
        <w:pStyle w:val="ListParagraph"/>
        <w:numPr>
          <w:ilvl w:val="0"/>
          <w:numId w:val="5"/>
        </w:numPr>
        <w:spacing w:line="480" w:lineRule="auto"/>
        <w:jc w:val="both"/>
        <w:rPr>
          <w:rFonts w:ascii="Arial" w:hAnsi="Arial" w:cs="Arial"/>
          <w:sz w:val="20"/>
          <w:szCs w:val="20"/>
        </w:rPr>
      </w:pPr>
      <w:r w:rsidRPr="00D87EC1">
        <w:rPr>
          <w:rFonts w:ascii="Arial" w:hAnsi="Arial" w:cs="Arial"/>
          <w:sz w:val="20"/>
          <w:szCs w:val="20"/>
        </w:rPr>
        <w:t xml:space="preserve">Balachandran, C., Pazhanivel, N., Vairamuthu, S., &amp; Murali, M. B. 2009. Marek’s disease and lymphoid leukosis in chicken: A histopathological survey. </w:t>
      </w:r>
      <w:proofErr w:type="spellStart"/>
      <w:r w:rsidRPr="00D87EC1">
        <w:rPr>
          <w:rFonts w:ascii="Arial" w:hAnsi="Arial" w:cs="Arial"/>
          <w:i/>
          <w:iCs/>
          <w:sz w:val="20"/>
          <w:szCs w:val="20"/>
        </w:rPr>
        <w:t>Tamilnadu</w:t>
      </w:r>
      <w:proofErr w:type="spellEnd"/>
      <w:r w:rsidRPr="00D87EC1">
        <w:rPr>
          <w:rFonts w:ascii="Arial" w:hAnsi="Arial" w:cs="Arial"/>
          <w:i/>
          <w:iCs/>
          <w:sz w:val="20"/>
          <w:szCs w:val="20"/>
        </w:rPr>
        <w:t xml:space="preserve"> Journal of Veterinary and Animal Sciences, </w:t>
      </w:r>
      <w:r w:rsidRPr="00D87EC1">
        <w:rPr>
          <w:rFonts w:ascii="Arial" w:hAnsi="Arial" w:cs="Arial"/>
          <w:sz w:val="20"/>
          <w:szCs w:val="20"/>
        </w:rPr>
        <w:t>5(4), 167–170.</w:t>
      </w:r>
    </w:p>
    <w:p w14:paraId="3F39C442" w14:textId="7376167A" w:rsidR="00340B87" w:rsidRDefault="00340B87" w:rsidP="00340B87">
      <w:pPr>
        <w:pStyle w:val="ListParagraph"/>
        <w:numPr>
          <w:ilvl w:val="0"/>
          <w:numId w:val="5"/>
        </w:numPr>
        <w:spacing w:line="480" w:lineRule="auto"/>
        <w:jc w:val="both"/>
        <w:rPr>
          <w:rFonts w:ascii="Arial" w:hAnsi="Arial" w:cs="Arial"/>
          <w:sz w:val="20"/>
          <w:szCs w:val="20"/>
        </w:rPr>
      </w:pPr>
      <w:r w:rsidRPr="00340B87">
        <w:rPr>
          <w:rFonts w:ascii="Arial" w:hAnsi="Arial" w:cs="Arial"/>
          <w:sz w:val="20"/>
          <w:szCs w:val="20"/>
        </w:rPr>
        <w:t>Davison, F.</w:t>
      </w:r>
      <w:r w:rsidR="00D87EC1">
        <w:rPr>
          <w:rFonts w:ascii="Arial" w:hAnsi="Arial" w:cs="Arial"/>
          <w:sz w:val="20"/>
          <w:szCs w:val="20"/>
        </w:rPr>
        <w:t xml:space="preserve"> </w:t>
      </w:r>
      <w:r w:rsidRPr="00340B87">
        <w:rPr>
          <w:rFonts w:ascii="Arial" w:hAnsi="Arial" w:cs="Arial"/>
          <w:sz w:val="20"/>
          <w:szCs w:val="20"/>
        </w:rPr>
        <w:t xml:space="preserve">&amp; Nair, V. 2005. Use of Marek’s disease vaccines: could they be driving the virus to increasing </w:t>
      </w:r>
      <w:r w:rsidR="00D87EC1" w:rsidRPr="00340B87">
        <w:rPr>
          <w:rFonts w:ascii="Arial" w:hAnsi="Arial" w:cs="Arial"/>
          <w:sz w:val="20"/>
          <w:szCs w:val="20"/>
        </w:rPr>
        <w:t>virulence?</w:t>
      </w:r>
      <w:r w:rsidRPr="00340B87">
        <w:rPr>
          <w:rFonts w:ascii="Arial" w:hAnsi="Arial" w:cs="Arial"/>
          <w:sz w:val="20"/>
          <w:szCs w:val="20"/>
        </w:rPr>
        <w:t xml:space="preserve"> </w:t>
      </w:r>
      <w:r w:rsidRPr="00340B87">
        <w:rPr>
          <w:rFonts w:ascii="Arial" w:hAnsi="Arial" w:cs="Arial"/>
          <w:i/>
          <w:iCs/>
          <w:sz w:val="20"/>
          <w:szCs w:val="20"/>
        </w:rPr>
        <w:t>Expert review of vaccines</w:t>
      </w:r>
      <w:r w:rsidRPr="00340B87">
        <w:rPr>
          <w:rFonts w:ascii="Arial" w:hAnsi="Arial" w:cs="Arial"/>
          <w:sz w:val="20"/>
          <w:szCs w:val="20"/>
        </w:rPr>
        <w:t xml:space="preserve">, </w:t>
      </w:r>
      <w:r w:rsidRPr="00340B87">
        <w:rPr>
          <w:rFonts w:ascii="Arial" w:hAnsi="Arial" w:cs="Arial"/>
          <w:i/>
          <w:iCs/>
          <w:sz w:val="20"/>
          <w:szCs w:val="20"/>
        </w:rPr>
        <w:t>4</w:t>
      </w:r>
      <w:r w:rsidRPr="00340B87">
        <w:rPr>
          <w:rFonts w:ascii="Arial" w:hAnsi="Arial" w:cs="Arial"/>
          <w:sz w:val="20"/>
          <w:szCs w:val="20"/>
        </w:rPr>
        <w:t>(1), 77-88.</w:t>
      </w:r>
    </w:p>
    <w:p w14:paraId="52E251FB" w14:textId="77777777" w:rsidR="00D713CA" w:rsidRPr="00D87EC1" w:rsidRDefault="00D713CA" w:rsidP="00D713CA">
      <w:pPr>
        <w:pStyle w:val="ListParagraph"/>
        <w:numPr>
          <w:ilvl w:val="0"/>
          <w:numId w:val="5"/>
        </w:numPr>
        <w:spacing w:line="480" w:lineRule="auto"/>
        <w:jc w:val="both"/>
        <w:rPr>
          <w:rFonts w:ascii="Arial" w:hAnsi="Arial" w:cs="Arial"/>
          <w:sz w:val="20"/>
          <w:szCs w:val="20"/>
        </w:rPr>
      </w:pPr>
      <w:proofErr w:type="spellStart"/>
      <w:r w:rsidRPr="002D5A4A">
        <w:rPr>
          <w:rFonts w:ascii="Arial" w:hAnsi="Arial" w:cs="Arial"/>
          <w:sz w:val="20"/>
          <w:szCs w:val="20"/>
          <w:lang w:val="es-US"/>
        </w:rPr>
        <w:t>Elamurugan</w:t>
      </w:r>
      <w:proofErr w:type="spellEnd"/>
      <w:r w:rsidRPr="002D5A4A">
        <w:rPr>
          <w:rFonts w:ascii="Arial" w:hAnsi="Arial" w:cs="Arial"/>
          <w:sz w:val="20"/>
          <w:szCs w:val="20"/>
          <w:lang w:val="es-US"/>
        </w:rPr>
        <w:t xml:space="preserve">, A., </w:t>
      </w:r>
      <w:proofErr w:type="spellStart"/>
      <w:r w:rsidRPr="002D5A4A">
        <w:rPr>
          <w:rFonts w:ascii="Arial" w:hAnsi="Arial" w:cs="Arial"/>
          <w:sz w:val="20"/>
          <w:szCs w:val="20"/>
          <w:lang w:val="es-US"/>
        </w:rPr>
        <w:t>Karthik</w:t>
      </w:r>
      <w:proofErr w:type="spellEnd"/>
      <w:r w:rsidRPr="002D5A4A">
        <w:rPr>
          <w:rFonts w:ascii="Arial" w:hAnsi="Arial" w:cs="Arial"/>
          <w:sz w:val="20"/>
          <w:szCs w:val="20"/>
          <w:lang w:val="es-US"/>
        </w:rPr>
        <w:t xml:space="preserve">, K., </w:t>
      </w:r>
      <w:proofErr w:type="spellStart"/>
      <w:r w:rsidRPr="002D5A4A">
        <w:rPr>
          <w:rFonts w:ascii="Arial" w:hAnsi="Arial" w:cs="Arial"/>
          <w:sz w:val="20"/>
          <w:szCs w:val="20"/>
          <w:lang w:val="es-US"/>
        </w:rPr>
        <w:t>Badasara</w:t>
      </w:r>
      <w:proofErr w:type="spellEnd"/>
      <w:r w:rsidRPr="002D5A4A">
        <w:rPr>
          <w:rFonts w:ascii="Arial" w:hAnsi="Arial" w:cs="Arial"/>
          <w:sz w:val="20"/>
          <w:szCs w:val="20"/>
          <w:lang w:val="es-US"/>
        </w:rPr>
        <w:t xml:space="preserve">, S. K., </w:t>
      </w:r>
      <w:proofErr w:type="spellStart"/>
      <w:r w:rsidRPr="002D5A4A">
        <w:rPr>
          <w:rFonts w:ascii="Arial" w:hAnsi="Arial" w:cs="Arial"/>
          <w:sz w:val="20"/>
          <w:szCs w:val="20"/>
          <w:lang w:val="es-US"/>
        </w:rPr>
        <w:t>Hajam</w:t>
      </w:r>
      <w:proofErr w:type="spellEnd"/>
      <w:r w:rsidRPr="002D5A4A">
        <w:rPr>
          <w:rFonts w:ascii="Arial" w:hAnsi="Arial" w:cs="Arial"/>
          <w:sz w:val="20"/>
          <w:szCs w:val="20"/>
          <w:lang w:val="es-US"/>
        </w:rPr>
        <w:t xml:space="preserve">, I. A., &amp; </w:t>
      </w:r>
      <w:proofErr w:type="spellStart"/>
      <w:r w:rsidRPr="002D5A4A">
        <w:rPr>
          <w:rFonts w:ascii="Arial" w:hAnsi="Arial" w:cs="Arial"/>
          <w:sz w:val="20"/>
          <w:szCs w:val="20"/>
          <w:lang w:val="es-US"/>
        </w:rPr>
        <w:t>Saravanan</w:t>
      </w:r>
      <w:proofErr w:type="spellEnd"/>
      <w:r w:rsidRPr="002D5A4A">
        <w:rPr>
          <w:rFonts w:ascii="Arial" w:hAnsi="Arial" w:cs="Arial"/>
          <w:sz w:val="20"/>
          <w:szCs w:val="20"/>
          <w:lang w:val="es-US"/>
        </w:rPr>
        <w:t xml:space="preserve">, M. (2015). </w:t>
      </w:r>
      <w:r w:rsidRPr="00D713CA">
        <w:rPr>
          <w:rFonts w:ascii="Arial" w:hAnsi="Arial" w:cs="Arial"/>
          <w:sz w:val="20"/>
          <w:szCs w:val="20"/>
        </w:rPr>
        <w:t xml:space="preserve">Novel insights into identification of shedders and transmitters of avian leukosis virus. </w:t>
      </w:r>
      <w:r w:rsidRPr="00D713CA">
        <w:rPr>
          <w:rFonts w:ascii="Arial" w:hAnsi="Arial" w:cs="Arial"/>
          <w:i/>
          <w:iCs/>
          <w:sz w:val="20"/>
          <w:szCs w:val="20"/>
        </w:rPr>
        <w:t>Asian Pacific Journal of Tropical Disease, 5</w:t>
      </w:r>
      <w:r w:rsidRPr="00D713CA">
        <w:rPr>
          <w:rFonts w:ascii="Arial" w:hAnsi="Arial" w:cs="Arial"/>
          <w:sz w:val="20"/>
          <w:szCs w:val="20"/>
        </w:rPr>
        <w:t>(Suppl. 1), S192–S201.</w:t>
      </w:r>
    </w:p>
    <w:p w14:paraId="4F6FE1ED" w14:textId="77777777" w:rsidR="00D713CA" w:rsidRPr="00A240F8" w:rsidRDefault="00D713CA" w:rsidP="00D713CA">
      <w:pPr>
        <w:pStyle w:val="ListParagraph"/>
        <w:numPr>
          <w:ilvl w:val="0"/>
          <w:numId w:val="5"/>
        </w:numPr>
        <w:spacing w:line="480" w:lineRule="auto"/>
        <w:jc w:val="both"/>
        <w:rPr>
          <w:rFonts w:ascii="Arial" w:hAnsi="Arial" w:cs="Arial"/>
          <w:sz w:val="20"/>
          <w:szCs w:val="20"/>
        </w:rPr>
      </w:pPr>
      <w:proofErr w:type="spellStart"/>
      <w:r>
        <w:rPr>
          <w:rFonts w:ascii="Arial" w:hAnsi="Arial" w:cs="Arial"/>
          <w:sz w:val="20"/>
          <w:szCs w:val="20"/>
        </w:rPr>
        <w:t>Ezeugwu</w:t>
      </w:r>
      <w:proofErr w:type="spellEnd"/>
      <w:r w:rsidRPr="00A240F8">
        <w:rPr>
          <w:rFonts w:ascii="Arial" w:hAnsi="Arial" w:cs="Arial"/>
          <w:sz w:val="20"/>
          <w:szCs w:val="20"/>
        </w:rPr>
        <w:t xml:space="preserve"> C.</w:t>
      </w:r>
      <w:r>
        <w:rPr>
          <w:rFonts w:ascii="Arial" w:hAnsi="Arial" w:cs="Arial"/>
          <w:sz w:val="20"/>
          <w:szCs w:val="20"/>
        </w:rPr>
        <w:t xml:space="preserve"> C.</w:t>
      </w:r>
      <w:r w:rsidRPr="00A240F8">
        <w:rPr>
          <w:rFonts w:ascii="Arial" w:hAnsi="Arial" w:cs="Arial"/>
          <w:sz w:val="20"/>
          <w:szCs w:val="20"/>
        </w:rPr>
        <w:t>, Olanrewaju S. O</w:t>
      </w:r>
      <w:r>
        <w:rPr>
          <w:rFonts w:ascii="Arial" w:hAnsi="Arial" w:cs="Arial"/>
          <w:sz w:val="20"/>
          <w:szCs w:val="20"/>
        </w:rPr>
        <w:t>.</w:t>
      </w:r>
      <w:r w:rsidRPr="00A240F8">
        <w:rPr>
          <w:rFonts w:ascii="Arial" w:hAnsi="Arial" w:cs="Arial"/>
          <w:sz w:val="20"/>
          <w:szCs w:val="20"/>
        </w:rPr>
        <w:t xml:space="preserve">, Olatunde B. </w:t>
      </w:r>
      <w:r>
        <w:rPr>
          <w:rFonts w:ascii="Arial" w:hAnsi="Arial" w:cs="Arial"/>
          <w:sz w:val="20"/>
          <w:szCs w:val="20"/>
        </w:rPr>
        <w:t>A</w:t>
      </w:r>
      <w:r w:rsidRPr="00A240F8">
        <w:rPr>
          <w:rFonts w:ascii="Arial" w:hAnsi="Arial" w:cs="Arial"/>
          <w:sz w:val="20"/>
          <w:szCs w:val="20"/>
        </w:rPr>
        <w:t xml:space="preserve">, Fatima S. 2025. </w:t>
      </w:r>
      <w:r w:rsidRPr="001B6F0B">
        <w:rPr>
          <w:rFonts w:ascii="Arial" w:hAnsi="Arial" w:cs="Arial"/>
          <w:i/>
          <w:iCs/>
          <w:sz w:val="20"/>
          <w:szCs w:val="20"/>
        </w:rPr>
        <w:t>Journal of Veterinary and Applied Sciences</w:t>
      </w:r>
      <w:r w:rsidRPr="00A240F8">
        <w:rPr>
          <w:rFonts w:ascii="Arial" w:hAnsi="Arial" w:cs="Arial"/>
          <w:sz w:val="20"/>
          <w:szCs w:val="20"/>
        </w:rPr>
        <w:t>, 15(1): 1050 – 1058.</w:t>
      </w:r>
    </w:p>
    <w:p w14:paraId="467CD619" w14:textId="047C15D0" w:rsidR="00702610"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t>Kishore, G., Reddy, M.R., Kumar, A.M. and Singh, V.</w:t>
      </w:r>
      <w:r w:rsidR="001B6F0B">
        <w:rPr>
          <w:rFonts w:ascii="Arial" w:hAnsi="Arial" w:cs="Arial"/>
          <w:sz w:val="20"/>
          <w:szCs w:val="20"/>
        </w:rPr>
        <w:t xml:space="preserve"> 2022.</w:t>
      </w:r>
      <w:r w:rsidRPr="00A240F8">
        <w:rPr>
          <w:rFonts w:ascii="Arial" w:hAnsi="Arial" w:cs="Arial"/>
          <w:sz w:val="20"/>
          <w:szCs w:val="20"/>
        </w:rPr>
        <w:t xml:space="preserve"> Prevalence of viral neoplastic diseases with special reference to avian leukosis and their infectious status in different pure line indigenous chickens. </w:t>
      </w:r>
      <w:r w:rsidRPr="001B6F0B">
        <w:rPr>
          <w:rFonts w:ascii="Arial" w:hAnsi="Arial" w:cs="Arial"/>
          <w:i/>
          <w:iCs/>
          <w:sz w:val="20"/>
          <w:szCs w:val="20"/>
        </w:rPr>
        <w:t>Indian J. Vet. Pathol</w:t>
      </w:r>
      <w:r w:rsidR="001B6F0B">
        <w:rPr>
          <w:rFonts w:ascii="Arial" w:hAnsi="Arial" w:cs="Arial"/>
          <w:i/>
          <w:iCs/>
          <w:sz w:val="20"/>
          <w:szCs w:val="20"/>
        </w:rPr>
        <w:t>ogy</w:t>
      </w:r>
      <w:r w:rsidRPr="001B6F0B">
        <w:rPr>
          <w:rFonts w:ascii="Arial" w:hAnsi="Arial" w:cs="Arial"/>
          <w:i/>
          <w:iCs/>
          <w:sz w:val="20"/>
          <w:szCs w:val="20"/>
        </w:rPr>
        <w:t>,</w:t>
      </w:r>
      <w:r w:rsidRPr="00A240F8">
        <w:rPr>
          <w:rFonts w:ascii="Arial" w:hAnsi="Arial" w:cs="Arial"/>
          <w:sz w:val="20"/>
          <w:szCs w:val="20"/>
        </w:rPr>
        <w:t xml:space="preserve"> 46(2): 126-135.</w:t>
      </w:r>
    </w:p>
    <w:p w14:paraId="02229183" w14:textId="3BA4567A" w:rsidR="00942A89" w:rsidRDefault="00942A89" w:rsidP="00A240F8">
      <w:pPr>
        <w:pStyle w:val="ListParagraph"/>
        <w:numPr>
          <w:ilvl w:val="0"/>
          <w:numId w:val="5"/>
        </w:numPr>
        <w:spacing w:line="480" w:lineRule="auto"/>
        <w:jc w:val="both"/>
        <w:rPr>
          <w:rFonts w:ascii="Arial" w:hAnsi="Arial" w:cs="Arial"/>
          <w:sz w:val="20"/>
          <w:szCs w:val="20"/>
        </w:rPr>
      </w:pPr>
      <w:r w:rsidRPr="00942A89">
        <w:rPr>
          <w:rFonts w:ascii="Arial" w:hAnsi="Arial" w:cs="Arial"/>
          <w:sz w:val="20"/>
          <w:szCs w:val="20"/>
        </w:rPr>
        <w:t>Li, Y., Cui, S., Li, W., Wang, Y.,</w:t>
      </w:r>
      <w:r w:rsidR="001B6F0B">
        <w:rPr>
          <w:rFonts w:ascii="Arial" w:hAnsi="Arial" w:cs="Arial"/>
          <w:sz w:val="20"/>
          <w:szCs w:val="20"/>
        </w:rPr>
        <w:t xml:space="preserve"> </w:t>
      </w:r>
      <w:r w:rsidR="001B6F0B" w:rsidRPr="001B6F0B">
        <w:rPr>
          <w:rFonts w:ascii="Arial" w:hAnsi="Arial" w:cs="Arial"/>
          <w:i/>
          <w:iCs/>
          <w:sz w:val="20"/>
          <w:szCs w:val="20"/>
        </w:rPr>
        <w:t>et al</w:t>
      </w:r>
      <w:r w:rsidRPr="00942A89">
        <w:rPr>
          <w:rFonts w:ascii="Arial" w:hAnsi="Arial" w:cs="Arial"/>
          <w:sz w:val="20"/>
          <w:szCs w:val="20"/>
        </w:rPr>
        <w:t xml:space="preserve">. 2017. Vertical transmission of avian leukosis virus subgroup J (ALV-J) from hens infected through artificial insemination with ALV-J infected semen. </w:t>
      </w:r>
      <w:r w:rsidRPr="00942A89">
        <w:rPr>
          <w:rFonts w:ascii="Arial" w:hAnsi="Arial" w:cs="Arial"/>
          <w:i/>
          <w:iCs/>
          <w:sz w:val="20"/>
          <w:szCs w:val="20"/>
        </w:rPr>
        <w:t>BMC Veterinary Research, 13</w:t>
      </w:r>
      <w:r w:rsidRPr="00942A89">
        <w:rPr>
          <w:rFonts w:ascii="Arial" w:hAnsi="Arial" w:cs="Arial"/>
          <w:sz w:val="20"/>
          <w:szCs w:val="20"/>
        </w:rPr>
        <w:t>, 204.</w:t>
      </w:r>
    </w:p>
    <w:p w14:paraId="2B65B672" w14:textId="232A89E4" w:rsidR="00942A89" w:rsidRDefault="00942A89" w:rsidP="00A240F8">
      <w:pPr>
        <w:pStyle w:val="ListParagraph"/>
        <w:numPr>
          <w:ilvl w:val="0"/>
          <w:numId w:val="5"/>
        </w:numPr>
        <w:spacing w:line="480" w:lineRule="auto"/>
        <w:jc w:val="both"/>
        <w:rPr>
          <w:rFonts w:ascii="Arial" w:hAnsi="Arial" w:cs="Arial"/>
          <w:sz w:val="20"/>
          <w:szCs w:val="20"/>
        </w:rPr>
      </w:pPr>
      <w:r w:rsidRPr="00942A89">
        <w:rPr>
          <w:rFonts w:ascii="Arial" w:hAnsi="Arial" w:cs="Arial"/>
          <w:sz w:val="20"/>
          <w:szCs w:val="20"/>
        </w:rPr>
        <w:t xml:space="preserve">Mo, G., Wei, P., Hu, B., Nie, Q., &amp; Zhang, X. 2022. Advances on genetic and genomic studies of ALV resistance. </w:t>
      </w:r>
      <w:r w:rsidRPr="00942A89">
        <w:rPr>
          <w:rFonts w:ascii="Arial" w:hAnsi="Arial" w:cs="Arial"/>
          <w:i/>
          <w:iCs/>
          <w:sz w:val="20"/>
          <w:szCs w:val="20"/>
        </w:rPr>
        <w:t>Journal of Animal Science and Biotechnology, 13</w:t>
      </w:r>
      <w:r w:rsidRPr="00942A89">
        <w:rPr>
          <w:rFonts w:ascii="Arial" w:hAnsi="Arial" w:cs="Arial"/>
          <w:sz w:val="20"/>
          <w:szCs w:val="20"/>
        </w:rPr>
        <w:t>, 123.</w:t>
      </w:r>
    </w:p>
    <w:p w14:paraId="34185A37" w14:textId="2B1F1331" w:rsidR="00D87EC1" w:rsidRPr="00A240F8" w:rsidRDefault="00D87EC1" w:rsidP="00D87EC1">
      <w:pPr>
        <w:pStyle w:val="ListParagraph"/>
        <w:numPr>
          <w:ilvl w:val="0"/>
          <w:numId w:val="5"/>
        </w:numPr>
        <w:spacing w:line="480" w:lineRule="auto"/>
        <w:jc w:val="both"/>
        <w:rPr>
          <w:rFonts w:ascii="Arial" w:hAnsi="Arial" w:cs="Arial"/>
          <w:sz w:val="20"/>
          <w:szCs w:val="20"/>
        </w:rPr>
      </w:pPr>
      <w:r w:rsidRPr="00FA391E">
        <w:rPr>
          <w:rFonts w:ascii="Arial" w:hAnsi="Arial" w:cs="Arial"/>
          <w:sz w:val="20"/>
          <w:szCs w:val="20"/>
        </w:rPr>
        <w:t xml:space="preserve">Payne, L. N., &amp; Venugopal, K. 2000. Neoplastic diseases: Marek's disease, avian leukosis and </w:t>
      </w:r>
      <w:proofErr w:type="spellStart"/>
      <w:r w:rsidRPr="00FA391E">
        <w:rPr>
          <w:rFonts w:ascii="Arial" w:hAnsi="Arial" w:cs="Arial"/>
          <w:sz w:val="20"/>
          <w:szCs w:val="20"/>
        </w:rPr>
        <w:t>reticuloendotheliosis</w:t>
      </w:r>
      <w:proofErr w:type="spellEnd"/>
      <w:r w:rsidRPr="00FA391E">
        <w:rPr>
          <w:rFonts w:ascii="Arial" w:hAnsi="Arial" w:cs="Arial"/>
          <w:sz w:val="20"/>
          <w:szCs w:val="20"/>
        </w:rPr>
        <w:t xml:space="preserve">. </w:t>
      </w:r>
      <w:r w:rsidRPr="00FA391E">
        <w:rPr>
          <w:rFonts w:ascii="Arial" w:hAnsi="Arial" w:cs="Arial"/>
          <w:i/>
          <w:iCs/>
          <w:sz w:val="20"/>
          <w:szCs w:val="20"/>
        </w:rPr>
        <w:t xml:space="preserve">Revue </w:t>
      </w:r>
      <w:proofErr w:type="spellStart"/>
      <w:r w:rsidRPr="00FA391E">
        <w:rPr>
          <w:rFonts w:ascii="Arial" w:hAnsi="Arial" w:cs="Arial"/>
          <w:i/>
          <w:iCs/>
          <w:sz w:val="20"/>
          <w:szCs w:val="20"/>
        </w:rPr>
        <w:t>Scientifique</w:t>
      </w:r>
      <w:proofErr w:type="spellEnd"/>
      <w:r w:rsidRPr="00FA391E">
        <w:rPr>
          <w:rFonts w:ascii="Arial" w:hAnsi="Arial" w:cs="Arial"/>
          <w:i/>
          <w:iCs/>
          <w:sz w:val="20"/>
          <w:szCs w:val="20"/>
        </w:rPr>
        <w:t xml:space="preserve"> et Technique-Office International des Epizooties</w:t>
      </w:r>
      <w:r w:rsidRPr="00FA391E">
        <w:rPr>
          <w:rFonts w:ascii="Arial" w:hAnsi="Arial" w:cs="Arial"/>
          <w:sz w:val="20"/>
          <w:szCs w:val="20"/>
        </w:rPr>
        <w:t xml:space="preserve">, </w:t>
      </w:r>
      <w:r w:rsidRPr="00FA391E">
        <w:rPr>
          <w:rFonts w:ascii="Arial" w:hAnsi="Arial" w:cs="Arial"/>
          <w:i/>
          <w:iCs/>
          <w:sz w:val="20"/>
          <w:szCs w:val="20"/>
        </w:rPr>
        <w:t>19</w:t>
      </w:r>
      <w:r w:rsidRPr="00FA391E">
        <w:rPr>
          <w:rFonts w:ascii="Arial" w:hAnsi="Arial" w:cs="Arial"/>
          <w:sz w:val="20"/>
          <w:szCs w:val="20"/>
        </w:rPr>
        <w:t>(2), 544-560.</w:t>
      </w:r>
    </w:p>
    <w:p w14:paraId="26FA0141" w14:textId="6551753F" w:rsidR="00702610" w:rsidRPr="00A240F8"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lastRenderedPageBreak/>
        <w:t xml:space="preserve">Payne, L. N., &amp; Nair, V. 2012. The long view: 40 years of avian leukosis research. </w:t>
      </w:r>
      <w:r w:rsidRPr="001B6F0B">
        <w:rPr>
          <w:rFonts w:ascii="Arial" w:hAnsi="Arial" w:cs="Arial"/>
          <w:i/>
          <w:iCs/>
          <w:sz w:val="20"/>
          <w:szCs w:val="20"/>
        </w:rPr>
        <w:t xml:space="preserve">Avian Pathology, </w:t>
      </w:r>
      <w:r w:rsidRPr="00A240F8">
        <w:rPr>
          <w:rFonts w:ascii="Arial" w:hAnsi="Arial" w:cs="Arial"/>
          <w:sz w:val="20"/>
          <w:szCs w:val="20"/>
        </w:rPr>
        <w:t xml:space="preserve">41(1), 11–19. </w:t>
      </w:r>
    </w:p>
    <w:p w14:paraId="347DA916" w14:textId="635614B3" w:rsidR="00702610" w:rsidRPr="00A240F8" w:rsidRDefault="00702610" w:rsidP="00A240F8">
      <w:pPr>
        <w:pStyle w:val="ListParagraph"/>
        <w:numPr>
          <w:ilvl w:val="0"/>
          <w:numId w:val="5"/>
        </w:numPr>
        <w:spacing w:line="480" w:lineRule="auto"/>
        <w:jc w:val="both"/>
        <w:rPr>
          <w:rFonts w:ascii="Arial" w:hAnsi="Arial" w:cs="Arial"/>
          <w:sz w:val="20"/>
          <w:szCs w:val="20"/>
        </w:rPr>
      </w:pPr>
      <w:r w:rsidRPr="00A240F8">
        <w:rPr>
          <w:rFonts w:ascii="Arial" w:hAnsi="Arial" w:cs="Arial"/>
          <w:sz w:val="20"/>
          <w:szCs w:val="20"/>
        </w:rPr>
        <w:t xml:space="preserve">Ramya R., Jayanthi N., Kalaiselvi G., </w:t>
      </w:r>
      <w:r w:rsidR="001B6F0B" w:rsidRPr="001B6F0B">
        <w:rPr>
          <w:rFonts w:ascii="Arial" w:hAnsi="Arial" w:cs="Arial"/>
          <w:i/>
          <w:iCs/>
          <w:sz w:val="20"/>
          <w:szCs w:val="20"/>
        </w:rPr>
        <w:t>et al</w:t>
      </w:r>
      <w:r w:rsidRPr="00A240F8">
        <w:rPr>
          <w:rFonts w:ascii="Arial" w:hAnsi="Arial" w:cs="Arial"/>
          <w:sz w:val="20"/>
          <w:szCs w:val="20"/>
        </w:rPr>
        <w:t xml:space="preserve">. </w:t>
      </w:r>
      <w:r w:rsidR="001B6F0B">
        <w:rPr>
          <w:rFonts w:ascii="Arial" w:hAnsi="Arial" w:cs="Arial"/>
          <w:sz w:val="20"/>
          <w:szCs w:val="20"/>
        </w:rPr>
        <w:t xml:space="preserve">2024. </w:t>
      </w:r>
      <w:r w:rsidRPr="00A240F8">
        <w:rPr>
          <w:rFonts w:ascii="Arial" w:hAnsi="Arial" w:cs="Arial"/>
          <w:sz w:val="20"/>
          <w:szCs w:val="20"/>
        </w:rPr>
        <w:t>Co-existence of fowl cholera and lymphoid leucosis in Desi chickens</w:t>
      </w:r>
      <w:r w:rsidRPr="001B6F0B">
        <w:rPr>
          <w:rFonts w:ascii="Arial" w:hAnsi="Arial" w:cs="Arial"/>
          <w:i/>
          <w:iCs/>
          <w:sz w:val="20"/>
          <w:szCs w:val="20"/>
        </w:rPr>
        <w:t>. Int. J. Vet. Sci. Anim. Husbandry,</w:t>
      </w:r>
      <w:r w:rsidR="001B6F0B">
        <w:rPr>
          <w:rFonts w:ascii="Arial" w:hAnsi="Arial" w:cs="Arial"/>
          <w:sz w:val="20"/>
          <w:szCs w:val="20"/>
        </w:rPr>
        <w:t xml:space="preserve"> </w:t>
      </w:r>
      <w:r w:rsidRPr="00A240F8">
        <w:rPr>
          <w:rFonts w:ascii="Arial" w:hAnsi="Arial" w:cs="Arial"/>
          <w:sz w:val="20"/>
          <w:szCs w:val="20"/>
        </w:rPr>
        <w:t>9(2): 687–691.</w:t>
      </w:r>
    </w:p>
    <w:p w14:paraId="1648475D" w14:textId="2B6941D6" w:rsidR="001B6F0B" w:rsidRDefault="001B6F0B" w:rsidP="00A240F8">
      <w:pPr>
        <w:pStyle w:val="ListParagraph"/>
        <w:numPr>
          <w:ilvl w:val="0"/>
          <w:numId w:val="5"/>
        </w:numPr>
        <w:spacing w:line="480" w:lineRule="auto"/>
        <w:jc w:val="both"/>
        <w:rPr>
          <w:rFonts w:ascii="Arial" w:hAnsi="Arial" w:cs="Arial"/>
          <w:sz w:val="20"/>
          <w:szCs w:val="20"/>
        </w:rPr>
      </w:pPr>
      <w:r w:rsidRPr="001B6F0B">
        <w:rPr>
          <w:rFonts w:ascii="Arial" w:hAnsi="Arial" w:cs="Arial"/>
          <w:sz w:val="20"/>
          <w:szCs w:val="20"/>
        </w:rPr>
        <w:t xml:space="preserve">Ravikumar, Y., Reddy, B. A. K., Namratha, M. L., Ramesh, G., </w:t>
      </w:r>
      <w:r w:rsidRPr="001B6F0B">
        <w:rPr>
          <w:rFonts w:ascii="Arial" w:hAnsi="Arial" w:cs="Arial"/>
          <w:i/>
          <w:iCs/>
          <w:sz w:val="20"/>
          <w:szCs w:val="20"/>
        </w:rPr>
        <w:t>et al.</w:t>
      </w:r>
      <w:r w:rsidRPr="001B6F0B">
        <w:rPr>
          <w:rFonts w:ascii="Arial" w:hAnsi="Arial" w:cs="Arial"/>
          <w:sz w:val="20"/>
          <w:szCs w:val="20"/>
        </w:rPr>
        <w:t xml:space="preserve"> 2019. Lymphoid Leucosis and Marek’s Disease in Chicken–Gross and Histopathological Studies. </w:t>
      </w:r>
      <w:r w:rsidRPr="001B6F0B">
        <w:rPr>
          <w:rFonts w:ascii="Arial" w:hAnsi="Arial" w:cs="Arial"/>
          <w:i/>
          <w:iCs/>
          <w:sz w:val="20"/>
          <w:szCs w:val="20"/>
        </w:rPr>
        <w:t>Journal of Livestock Research</w:t>
      </w:r>
      <w:r w:rsidRPr="001B6F0B">
        <w:rPr>
          <w:rFonts w:ascii="Arial" w:hAnsi="Arial" w:cs="Arial"/>
          <w:sz w:val="20"/>
          <w:szCs w:val="20"/>
        </w:rPr>
        <w:t xml:space="preserve">, </w:t>
      </w:r>
      <w:r w:rsidRPr="001B6F0B">
        <w:rPr>
          <w:rFonts w:ascii="Arial" w:hAnsi="Arial" w:cs="Arial"/>
          <w:i/>
          <w:iCs/>
          <w:sz w:val="20"/>
          <w:szCs w:val="20"/>
        </w:rPr>
        <w:t>9</w:t>
      </w:r>
      <w:r w:rsidRPr="001B6F0B">
        <w:rPr>
          <w:rFonts w:ascii="Arial" w:hAnsi="Arial" w:cs="Arial"/>
          <w:sz w:val="20"/>
          <w:szCs w:val="20"/>
        </w:rPr>
        <w:t xml:space="preserve">(8), 140-144. </w:t>
      </w:r>
    </w:p>
    <w:p w14:paraId="5C0405D0" w14:textId="2FAA59C3" w:rsidR="00702610" w:rsidRPr="00A240F8" w:rsidRDefault="00702610" w:rsidP="00A240F8">
      <w:pPr>
        <w:pStyle w:val="ListParagraph"/>
        <w:numPr>
          <w:ilvl w:val="0"/>
          <w:numId w:val="5"/>
        </w:numPr>
        <w:spacing w:line="480" w:lineRule="auto"/>
        <w:jc w:val="both"/>
        <w:rPr>
          <w:rFonts w:ascii="Arial" w:hAnsi="Arial" w:cs="Arial"/>
          <w:sz w:val="20"/>
          <w:szCs w:val="20"/>
        </w:rPr>
      </w:pPr>
      <w:proofErr w:type="spellStart"/>
      <w:r w:rsidRPr="002D5A4A">
        <w:rPr>
          <w:rFonts w:ascii="Arial" w:hAnsi="Arial" w:cs="Arial"/>
          <w:sz w:val="20"/>
          <w:szCs w:val="20"/>
          <w:lang w:val="es-US"/>
        </w:rPr>
        <w:t>Sagarika</w:t>
      </w:r>
      <w:proofErr w:type="spellEnd"/>
      <w:r w:rsidR="00A42DD6" w:rsidRPr="002D5A4A">
        <w:rPr>
          <w:rFonts w:ascii="Arial" w:hAnsi="Arial" w:cs="Arial"/>
          <w:sz w:val="20"/>
          <w:szCs w:val="20"/>
          <w:lang w:val="es-US"/>
        </w:rPr>
        <w:t xml:space="preserve"> S.</w:t>
      </w:r>
      <w:r w:rsidRPr="002D5A4A">
        <w:rPr>
          <w:rFonts w:ascii="Arial" w:hAnsi="Arial" w:cs="Arial"/>
          <w:sz w:val="20"/>
          <w:szCs w:val="20"/>
          <w:lang w:val="es-US"/>
        </w:rPr>
        <w:t xml:space="preserve">, Das D., Panda S.K., Das S., </w:t>
      </w:r>
      <w:r w:rsidR="001B6F0B" w:rsidRPr="002D5A4A">
        <w:rPr>
          <w:rFonts w:ascii="Arial" w:hAnsi="Arial" w:cs="Arial"/>
          <w:i/>
          <w:iCs/>
          <w:sz w:val="20"/>
          <w:szCs w:val="20"/>
          <w:lang w:val="es-US"/>
        </w:rPr>
        <w:t>et al</w:t>
      </w:r>
      <w:r w:rsidRPr="002D5A4A">
        <w:rPr>
          <w:rFonts w:ascii="Arial" w:hAnsi="Arial" w:cs="Arial"/>
          <w:sz w:val="20"/>
          <w:szCs w:val="20"/>
          <w:lang w:val="es-US"/>
        </w:rPr>
        <w:t>.</w:t>
      </w:r>
      <w:r w:rsidR="001B6F0B" w:rsidRPr="002D5A4A">
        <w:rPr>
          <w:rFonts w:ascii="Arial" w:hAnsi="Arial" w:cs="Arial"/>
          <w:sz w:val="20"/>
          <w:szCs w:val="20"/>
          <w:lang w:val="es-US"/>
        </w:rPr>
        <w:t xml:space="preserve"> 2017.</w:t>
      </w:r>
      <w:r w:rsidRPr="002D5A4A">
        <w:rPr>
          <w:rFonts w:ascii="Arial" w:hAnsi="Arial" w:cs="Arial"/>
          <w:sz w:val="20"/>
          <w:szCs w:val="20"/>
          <w:lang w:val="es-US"/>
        </w:rPr>
        <w:t xml:space="preserve"> </w:t>
      </w:r>
      <w:r w:rsidRPr="00A240F8">
        <w:rPr>
          <w:rFonts w:ascii="Arial" w:hAnsi="Arial" w:cs="Arial"/>
          <w:sz w:val="20"/>
          <w:szCs w:val="20"/>
        </w:rPr>
        <w:t xml:space="preserve">Avian leukosis in chickens: A </w:t>
      </w:r>
      <w:proofErr w:type="spellStart"/>
      <w:r w:rsidRPr="00A240F8">
        <w:rPr>
          <w:rFonts w:ascii="Arial" w:hAnsi="Arial" w:cs="Arial"/>
          <w:sz w:val="20"/>
          <w:szCs w:val="20"/>
        </w:rPr>
        <w:t>clinico</w:t>
      </w:r>
      <w:proofErr w:type="spellEnd"/>
      <w:r w:rsidRPr="00A240F8">
        <w:rPr>
          <w:rFonts w:ascii="Arial" w:hAnsi="Arial" w:cs="Arial"/>
          <w:sz w:val="20"/>
          <w:szCs w:val="20"/>
        </w:rPr>
        <w:t xml:space="preserve">-pathological survey. </w:t>
      </w:r>
      <w:r w:rsidRPr="001B6F0B">
        <w:rPr>
          <w:rFonts w:ascii="Arial" w:hAnsi="Arial" w:cs="Arial"/>
          <w:i/>
          <w:iCs/>
          <w:sz w:val="20"/>
          <w:szCs w:val="20"/>
        </w:rPr>
        <w:t xml:space="preserve">J. </w:t>
      </w:r>
      <w:proofErr w:type="spellStart"/>
      <w:r w:rsidRPr="001B6F0B">
        <w:rPr>
          <w:rFonts w:ascii="Arial" w:hAnsi="Arial" w:cs="Arial"/>
          <w:i/>
          <w:iCs/>
          <w:sz w:val="20"/>
          <w:szCs w:val="20"/>
        </w:rPr>
        <w:t>Entomol</w:t>
      </w:r>
      <w:proofErr w:type="spellEnd"/>
      <w:r w:rsidRPr="001B6F0B">
        <w:rPr>
          <w:rFonts w:ascii="Arial" w:hAnsi="Arial" w:cs="Arial"/>
          <w:i/>
          <w:iCs/>
          <w:sz w:val="20"/>
          <w:szCs w:val="20"/>
        </w:rPr>
        <w:t>. Zool. Stud.,</w:t>
      </w:r>
      <w:r w:rsidRPr="00A240F8">
        <w:rPr>
          <w:rFonts w:ascii="Arial" w:hAnsi="Arial" w:cs="Arial"/>
          <w:sz w:val="20"/>
          <w:szCs w:val="20"/>
        </w:rPr>
        <w:t xml:space="preserve"> 5(6): 1697–1701.</w:t>
      </w:r>
    </w:p>
    <w:p w14:paraId="2C7C9241" w14:textId="4B1E0318" w:rsidR="00D87EC1" w:rsidRDefault="00D87EC1" w:rsidP="00A240F8">
      <w:pPr>
        <w:pStyle w:val="ListParagraph"/>
        <w:numPr>
          <w:ilvl w:val="0"/>
          <w:numId w:val="5"/>
        </w:numPr>
        <w:spacing w:after="0" w:line="480" w:lineRule="auto"/>
        <w:jc w:val="both"/>
        <w:rPr>
          <w:rFonts w:ascii="Arial" w:hAnsi="Arial" w:cs="Arial"/>
          <w:sz w:val="20"/>
          <w:szCs w:val="20"/>
        </w:rPr>
      </w:pPr>
      <w:r w:rsidRPr="00D87EC1">
        <w:rPr>
          <w:rFonts w:ascii="Arial" w:hAnsi="Arial" w:cs="Arial"/>
          <w:sz w:val="20"/>
          <w:szCs w:val="20"/>
        </w:rPr>
        <w:t xml:space="preserve">Soujanya, S., Lakshman, M., &amp; Madhuri, D. 2019. Occurrence of lymphoid leukosis in chicken. </w:t>
      </w:r>
      <w:r w:rsidRPr="00D87EC1">
        <w:rPr>
          <w:rFonts w:ascii="Arial" w:hAnsi="Arial" w:cs="Arial"/>
          <w:i/>
          <w:iCs/>
          <w:sz w:val="20"/>
          <w:szCs w:val="20"/>
        </w:rPr>
        <w:t>The Pharma Innovation Journal</w:t>
      </w:r>
      <w:r w:rsidRPr="00D87EC1">
        <w:rPr>
          <w:rFonts w:ascii="Arial" w:hAnsi="Arial" w:cs="Arial"/>
          <w:sz w:val="20"/>
          <w:szCs w:val="20"/>
        </w:rPr>
        <w:t>, 8(1), 159–162.</w:t>
      </w:r>
    </w:p>
    <w:p w14:paraId="7045AB37" w14:textId="1A13F860" w:rsidR="00702610" w:rsidRPr="00A240F8" w:rsidRDefault="00702610" w:rsidP="00A240F8">
      <w:pPr>
        <w:pStyle w:val="ListParagraph"/>
        <w:numPr>
          <w:ilvl w:val="0"/>
          <w:numId w:val="5"/>
        </w:numPr>
        <w:spacing w:after="0" w:line="480" w:lineRule="auto"/>
        <w:jc w:val="both"/>
        <w:rPr>
          <w:rFonts w:ascii="Arial" w:hAnsi="Arial" w:cs="Arial"/>
          <w:sz w:val="20"/>
          <w:szCs w:val="20"/>
        </w:rPr>
      </w:pPr>
      <w:r w:rsidRPr="00A240F8">
        <w:rPr>
          <w:rFonts w:ascii="Arial" w:hAnsi="Arial" w:cs="Arial"/>
          <w:sz w:val="20"/>
          <w:szCs w:val="20"/>
        </w:rPr>
        <w:t xml:space="preserve">Xu, B., Dong, W., Yu, C. Y., He, Z., </w:t>
      </w:r>
      <w:r w:rsidR="001B6F0B" w:rsidRPr="001B6F0B">
        <w:rPr>
          <w:rFonts w:ascii="Arial" w:hAnsi="Arial" w:cs="Arial"/>
          <w:i/>
          <w:iCs/>
          <w:sz w:val="20"/>
          <w:szCs w:val="20"/>
        </w:rPr>
        <w:t>et al</w:t>
      </w:r>
      <w:r w:rsidRPr="00A240F8">
        <w:rPr>
          <w:rFonts w:ascii="Arial" w:hAnsi="Arial" w:cs="Arial"/>
          <w:sz w:val="20"/>
          <w:szCs w:val="20"/>
        </w:rPr>
        <w:t xml:space="preserve">. 2004. Occurrence of avian leukosis virus subgroup J in commercial layer flocks in China. </w:t>
      </w:r>
      <w:r w:rsidRPr="001B6F0B">
        <w:rPr>
          <w:rFonts w:ascii="Arial" w:hAnsi="Arial" w:cs="Arial"/>
          <w:i/>
          <w:iCs/>
          <w:sz w:val="20"/>
          <w:szCs w:val="20"/>
        </w:rPr>
        <w:t>Avian Pathology</w:t>
      </w:r>
      <w:r w:rsidRPr="00A240F8">
        <w:rPr>
          <w:rFonts w:ascii="Arial" w:hAnsi="Arial" w:cs="Arial"/>
          <w:sz w:val="20"/>
          <w:szCs w:val="20"/>
        </w:rPr>
        <w:t xml:space="preserve">, 33(1), 13–17. </w:t>
      </w:r>
    </w:p>
    <w:p w14:paraId="05268D9E" w14:textId="5CD3C87C" w:rsidR="006B3648" w:rsidRDefault="006B3648" w:rsidP="00A240F8">
      <w:pPr>
        <w:pStyle w:val="ListParagraph"/>
        <w:numPr>
          <w:ilvl w:val="0"/>
          <w:numId w:val="5"/>
        </w:numPr>
        <w:shd w:val="clear" w:color="auto" w:fill="FFFFFF"/>
        <w:spacing w:beforeAutospacing="1" w:after="0" w:afterAutospacing="1" w:line="480" w:lineRule="auto"/>
        <w:rPr>
          <w:rFonts w:ascii="Arial" w:eastAsia="Times New Roman" w:hAnsi="Arial" w:cs="Arial"/>
          <w:kern w:val="0"/>
          <w:sz w:val="20"/>
          <w:szCs w:val="20"/>
          <w:lang w:eastAsia="en-IN"/>
          <w14:ligatures w14:val="none"/>
        </w:rPr>
      </w:pPr>
      <w:r w:rsidRPr="00A240F8">
        <w:rPr>
          <w:rFonts w:ascii="Arial" w:hAnsi="Arial" w:cs="Arial"/>
          <w:sz w:val="20"/>
          <w:szCs w:val="20"/>
        </w:rPr>
        <w:t>Zavala</w:t>
      </w:r>
      <w:r w:rsidR="001B6F0B">
        <w:rPr>
          <w:rFonts w:ascii="Arial" w:hAnsi="Arial" w:cs="Arial"/>
          <w:sz w:val="20"/>
          <w:szCs w:val="20"/>
        </w:rPr>
        <w:t>,</w:t>
      </w:r>
      <w:r w:rsidRPr="00A240F8">
        <w:rPr>
          <w:rFonts w:ascii="Arial" w:hAnsi="Arial" w:cs="Arial"/>
          <w:sz w:val="20"/>
          <w:szCs w:val="20"/>
        </w:rPr>
        <w:t xml:space="preserve"> G</w:t>
      </w:r>
      <w:r w:rsidR="001B6F0B">
        <w:rPr>
          <w:rFonts w:ascii="Arial" w:hAnsi="Arial" w:cs="Arial"/>
          <w:sz w:val="20"/>
          <w:szCs w:val="20"/>
        </w:rPr>
        <w:t>,</w:t>
      </w:r>
      <w:r w:rsidRPr="00A240F8">
        <w:rPr>
          <w:rFonts w:ascii="Arial" w:hAnsi="Arial" w:cs="Arial"/>
          <w:sz w:val="20"/>
          <w:szCs w:val="20"/>
        </w:rPr>
        <w:t xml:space="preserve"> &amp; Cheng</w:t>
      </w:r>
      <w:r w:rsidR="005474D1">
        <w:rPr>
          <w:rFonts w:ascii="Arial" w:hAnsi="Arial" w:cs="Arial"/>
          <w:sz w:val="20"/>
          <w:szCs w:val="20"/>
        </w:rPr>
        <w:t>, S</w:t>
      </w:r>
      <w:r w:rsidRPr="00A240F8">
        <w:rPr>
          <w:rFonts w:ascii="Arial" w:hAnsi="Arial" w:cs="Arial"/>
          <w:sz w:val="20"/>
          <w:szCs w:val="20"/>
        </w:rPr>
        <w:t xml:space="preserve">. 2006. </w:t>
      </w:r>
      <w:r w:rsidRPr="00A240F8">
        <w:rPr>
          <w:rFonts w:ascii="Arial" w:eastAsia="Times New Roman" w:hAnsi="Arial" w:cs="Arial"/>
          <w:color w:val="111111"/>
          <w:kern w:val="36"/>
          <w:sz w:val="20"/>
          <w:szCs w:val="20"/>
          <w:lang w:eastAsia="en-IN"/>
          <w14:ligatures w14:val="none"/>
        </w:rPr>
        <w:t xml:space="preserve">Detection and Characterization of Avian Leukosis Virus in Marek's Disease Vaccines. </w:t>
      </w:r>
      <w:hyperlink r:id="rId16" w:history="1">
        <w:r w:rsidRPr="001B6F0B">
          <w:rPr>
            <w:rFonts w:ascii="Arial" w:eastAsia="Times New Roman" w:hAnsi="Arial" w:cs="Arial"/>
            <w:i/>
            <w:iCs/>
            <w:kern w:val="0"/>
            <w:sz w:val="20"/>
            <w:szCs w:val="20"/>
            <w:bdr w:val="none" w:sz="0" w:space="0" w:color="auto" w:frame="1"/>
            <w:lang w:eastAsia="en-IN"/>
            <w14:ligatures w14:val="none"/>
          </w:rPr>
          <w:t>Avian Diseases</w:t>
        </w:r>
      </w:hyperlink>
      <w:r w:rsidRPr="00A240F8">
        <w:rPr>
          <w:rFonts w:ascii="Arial" w:eastAsia="Times New Roman" w:hAnsi="Arial" w:cs="Arial"/>
          <w:color w:val="555555"/>
          <w:kern w:val="0"/>
          <w:sz w:val="20"/>
          <w:szCs w:val="20"/>
          <w:lang w:eastAsia="en-IN"/>
          <w14:ligatures w14:val="none"/>
        </w:rPr>
        <w:t xml:space="preserve"> , </w:t>
      </w:r>
      <w:r w:rsidRPr="00A240F8">
        <w:rPr>
          <w:rFonts w:ascii="Arial" w:eastAsia="Times New Roman" w:hAnsi="Arial" w:cs="Arial"/>
          <w:kern w:val="0"/>
          <w:sz w:val="20"/>
          <w:szCs w:val="20"/>
          <w:lang w:eastAsia="en-IN"/>
          <w14:ligatures w14:val="none"/>
        </w:rPr>
        <w:t>50(2):</w:t>
      </w:r>
      <w:r w:rsidR="00BC2EDB" w:rsidRPr="00A240F8">
        <w:rPr>
          <w:rFonts w:ascii="Arial" w:eastAsia="Times New Roman" w:hAnsi="Arial" w:cs="Arial"/>
          <w:kern w:val="0"/>
          <w:sz w:val="20"/>
          <w:szCs w:val="20"/>
          <w:lang w:eastAsia="en-IN"/>
          <w14:ligatures w14:val="none"/>
        </w:rPr>
        <w:t xml:space="preserve"> </w:t>
      </w:r>
      <w:r w:rsidRPr="00A240F8">
        <w:rPr>
          <w:rFonts w:ascii="Arial" w:eastAsia="Times New Roman" w:hAnsi="Arial" w:cs="Arial"/>
          <w:kern w:val="0"/>
          <w:sz w:val="20"/>
          <w:szCs w:val="20"/>
          <w:lang w:eastAsia="en-IN"/>
          <w14:ligatures w14:val="none"/>
        </w:rPr>
        <w:t>209-215.</w:t>
      </w:r>
    </w:p>
    <w:p w14:paraId="30CB1D2E" w14:textId="06CA96AF" w:rsidR="0055665E" w:rsidRPr="00DD7C24" w:rsidRDefault="0055665E" w:rsidP="00DD7C24">
      <w:pPr>
        <w:pStyle w:val="ListParagraph"/>
        <w:numPr>
          <w:ilvl w:val="0"/>
          <w:numId w:val="5"/>
        </w:numPr>
        <w:shd w:val="clear" w:color="auto" w:fill="FFFFFF"/>
        <w:spacing w:before="240" w:line="480" w:lineRule="auto"/>
        <w:jc w:val="both"/>
        <w:rPr>
          <w:rFonts w:ascii="Arial" w:eastAsia="Times New Roman" w:hAnsi="Arial" w:cs="Arial"/>
          <w:color w:val="000000"/>
          <w:kern w:val="0"/>
          <w:sz w:val="20"/>
          <w:szCs w:val="20"/>
          <w:lang w:eastAsia="en-IN"/>
          <w14:ligatures w14:val="none"/>
        </w:rPr>
      </w:pPr>
      <w:r w:rsidRPr="00DD7C24">
        <w:rPr>
          <w:rFonts w:ascii="Arial" w:eastAsia="Times New Roman" w:hAnsi="Arial" w:cs="Arial"/>
          <w:color w:val="000000"/>
          <w:kern w:val="0"/>
          <w:sz w:val="20"/>
          <w:szCs w:val="20"/>
          <w:lang w:eastAsia="en-IN"/>
          <w14:ligatures w14:val="none"/>
        </w:rPr>
        <w:t xml:space="preserve">Luna GLHT (1968). Manual of histological and special staining techniques. </w:t>
      </w:r>
      <w:proofErr w:type="spellStart"/>
      <w:r w:rsidRPr="00DD7C24">
        <w:rPr>
          <w:rFonts w:ascii="Arial" w:eastAsia="Times New Roman" w:hAnsi="Arial" w:cs="Arial"/>
          <w:color w:val="000000"/>
          <w:kern w:val="0"/>
          <w:sz w:val="20"/>
          <w:szCs w:val="20"/>
          <w:lang w:eastAsia="en-IN"/>
          <w14:ligatures w14:val="none"/>
        </w:rPr>
        <w:t>Edn</w:t>
      </w:r>
      <w:proofErr w:type="spellEnd"/>
      <w:r w:rsidRPr="00DD7C24">
        <w:rPr>
          <w:rFonts w:ascii="Arial" w:eastAsia="Times New Roman" w:hAnsi="Arial" w:cs="Arial"/>
          <w:color w:val="000000"/>
          <w:kern w:val="0"/>
          <w:sz w:val="20"/>
          <w:szCs w:val="20"/>
          <w:lang w:eastAsia="en-IN"/>
          <w14:ligatures w14:val="none"/>
        </w:rPr>
        <w:t xml:space="preserve"> 2, the </w:t>
      </w:r>
      <w:proofErr w:type="spellStart"/>
      <w:r w:rsidRPr="00DD7C24">
        <w:rPr>
          <w:rFonts w:ascii="Arial" w:eastAsia="Times New Roman" w:hAnsi="Arial" w:cs="Arial"/>
          <w:color w:val="000000"/>
          <w:kern w:val="0"/>
          <w:sz w:val="20"/>
          <w:szCs w:val="20"/>
          <w:lang w:eastAsia="en-IN"/>
          <w14:ligatures w14:val="none"/>
        </w:rPr>
        <w:t>Blakistone</w:t>
      </w:r>
      <w:proofErr w:type="spellEnd"/>
      <w:r w:rsidRPr="00DD7C24">
        <w:rPr>
          <w:rFonts w:ascii="Arial" w:eastAsia="Times New Roman" w:hAnsi="Arial" w:cs="Arial"/>
          <w:color w:val="000000"/>
          <w:kern w:val="0"/>
          <w:sz w:val="20"/>
          <w:szCs w:val="20"/>
          <w:lang w:eastAsia="en-IN"/>
          <w14:ligatures w14:val="none"/>
        </w:rPr>
        <w:t xml:space="preserve"> </w:t>
      </w:r>
      <w:proofErr w:type="spellStart"/>
      <w:r w:rsidRPr="00DD7C24">
        <w:rPr>
          <w:rFonts w:ascii="Arial" w:eastAsia="Times New Roman" w:hAnsi="Arial" w:cs="Arial"/>
          <w:color w:val="000000"/>
          <w:kern w:val="0"/>
          <w:sz w:val="20"/>
          <w:szCs w:val="20"/>
          <w:lang w:eastAsia="en-IN"/>
          <w14:ligatures w14:val="none"/>
        </w:rPr>
        <w:t>Divison</w:t>
      </w:r>
      <w:proofErr w:type="spellEnd"/>
      <w:r w:rsidRPr="00DD7C24">
        <w:rPr>
          <w:rFonts w:ascii="Arial" w:eastAsia="Times New Roman" w:hAnsi="Arial" w:cs="Arial"/>
          <w:color w:val="000000"/>
          <w:kern w:val="0"/>
          <w:sz w:val="20"/>
          <w:szCs w:val="20"/>
          <w:lang w:eastAsia="en-IN"/>
          <w14:ligatures w14:val="none"/>
        </w:rPr>
        <w:t xml:space="preserve"> McGraw-Hill Book Company, New York, Toronto London. 1-5:9-34.</w:t>
      </w:r>
    </w:p>
    <w:p w14:paraId="0835DE27" w14:textId="2B1CCBC1" w:rsidR="00684849" w:rsidRPr="00DD7C24" w:rsidRDefault="00755FDC" w:rsidP="00DD7C24">
      <w:pPr>
        <w:pStyle w:val="ListParagraph"/>
        <w:numPr>
          <w:ilvl w:val="0"/>
          <w:numId w:val="5"/>
        </w:numPr>
        <w:spacing w:before="240" w:line="480" w:lineRule="auto"/>
        <w:jc w:val="both"/>
        <w:rPr>
          <w:rFonts w:ascii="Arial" w:hAnsi="Arial" w:cs="Arial"/>
          <w:b/>
          <w:bCs/>
        </w:rPr>
      </w:pPr>
      <w:r w:rsidRPr="00DD7C24">
        <w:rPr>
          <w:rFonts w:ascii="Arial" w:hAnsi="Arial" w:cs="Arial"/>
          <w:sz w:val="20"/>
          <w:szCs w:val="20"/>
        </w:rPr>
        <w:t xml:space="preserve">Pattison, M., McMullin, P. F., Bradbury, J. M., &amp; Alexander, D. J. (Eds.). (2008). </w:t>
      </w:r>
      <w:r w:rsidRPr="00DD7C24">
        <w:rPr>
          <w:rFonts w:ascii="Arial" w:hAnsi="Arial" w:cs="Arial"/>
          <w:i/>
          <w:iCs/>
          <w:sz w:val="20"/>
          <w:szCs w:val="20"/>
        </w:rPr>
        <w:t>Poultry diseases</w:t>
      </w:r>
      <w:r w:rsidR="00284228" w:rsidRPr="00DD7C24">
        <w:rPr>
          <w:rFonts w:ascii="Arial" w:hAnsi="Arial" w:cs="Arial"/>
          <w:i/>
          <w:iCs/>
          <w:sz w:val="20"/>
          <w:szCs w:val="20"/>
        </w:rPr>
        <w:t xml:space="preserve"> </w:t>
      </w:r>
      <w:r w:rsidRPr="00DD7C24">
        <w:rPr>
          <w:rFonts w:ascii="Arial" w:hAnsi="Arial" w:cs="Arial"/>
          <w:sz w:val="20"/>
          <w:szCs w:val="20"/>
        </w:rPr>
        <w:t>(6th ed.). Saunders Elsevier.</w:t>
      </w:r>
    </w:p>
    <w:p w14:paraId="6C4FCEB3" w14:textId="0EA5B579" w:rsidR="001B6F0B" w:rsidRDefault="001B6F0B" w:rsidP="00DD7C24">
      <w:pPr>
        <w:pStyle w:val="ListParagraph"/>
        <w:numPr>
          <w:ilvl w:val="0"/>
          <w:numId w:val="5"/>
        </w:numPr>
        <w:spacing w:line="480" w:lineRule="auto"/>
        <w:jc w:val="both"/>
        <w:rPr>
          <w:rFonts w:ascii="Arial" w:hAnsi="Arial" w:cs="Arial"/>
          <w:sz w:val="20"/>
          <w:szCs w:val="20"/>
        </w:rPr>
      </w:pPr>
      <w:r w:rsidRPr="00DD7C24">
        <w:rPr>
          <w:rFonts w:ascii="Arial" w:hAnsi="Arial" w:cs="Arial"/>
          <w:sz w:val="20"/>
          <w:szCs w:val="20"/>
        </w:rPr>
        <w:t>Fadly, A.M. and Nair, V. 2008. Leukosis/sarcoma group. In Y.M. Saif, A.M. Fadly, J.R. Glisson, L.R. McDougald, L.K. Nolan and D.E. Swayne (Eds.). In Diseases of Poultry, 12th edition (pp. 514-568). Ames, IA: Blackwell Publishing.</w:t>
      </w:r>
    </w:p>
    <w:p w14:paraId="0C7D0E9B" w14:textId="508F245F" w:rsidR="00F761BD" w:rsidRPr="002D5A4A" w:rsidRDefault="00F761BD" w:rsidP="00DD7C24">
      <w:pPr>
        <w:pStyle w:val="ListParagraph"/>
        <w:numPr>
          <w:ilvl w:val="0"/>
          <w:numId w:val="5"/>
        </w:numPr>
        <w:spacing w:line="480" w:lineRule="auto"/>
        <w:jc w:val="both"/>
        <w:rPr>
          <w:rFonts w:ascii="Arial" w:hAnsi="Arial" w:cs="Arial"/>
          <w:sz w:val="20"/>
          <w:szCs w:val="20"/>
          <w:highlight w:val="yellow"/>
        </w:rPr>
      </w:pPr>
      <w:r w:rsidRPr="002D5A4A">
        <w:rPr>
          <w:rFonts w:ascii="Arial" w:hAnsi="Arial" w:cs="Arial"/>
          <w:sz w:val="20"/>
          <w:szCs w:val="20"/>
          <w:highlight w:val="yellow"/>
        </w:rPr>
        <w:t>Hossain, M. G., Pathan, R., Hasan, S. N., Mozumder, A., Mou, M. J., Akter, M., ... &amp; Akter, S. (2024). Molecular detection and genetic characterization of avian leukosis virus from field outbreaks in Bangladesh. </w:t>
      </w:r>
      <w:r w:rsidRPr="002D5A4A">
        <w:rPr>
          <w:rFonts w:ascii="Arial" w:hAnsi="Arial" w:cs="Arial"/>
          <w:i/>
          <w:iCs/>
          <w:sz w:val="20"/>
          <w:szCs w:val="20"/>
          <w:highlight w:val="yellow"/>
        </w:rPr>
        <w:t>Veterinary Medicine and Science</w:t>
      </w:r>
      <w:r w:rsidRPr="002D5A4A">
        <w:rPr>
          <w:rFonts w:ascii="Arial" w:hAnsi="Arial" w:cs="Arial"/>
          <w:sz w:val="20"/>
          <w:szCs w:val="20"/>
          <w:highlight w:val="yellow"/>
        </w:rPr>
        <w:t>, </w:t>
      </w:r>
      <w:r w:rsidRPr="002D5A4A">
        <w:rPr>
          <w:rFonts w:ascii="Arial" w:hAnsi="Arial" w:cs="Arial"/>
          <w:i/>
          <w:iCs/>
          <w:sz w:val="20"/>
          <w:szCs w:val="20"/>
          <w:highlight w:val="yellow"/>
        </w:rPr>
        <w:t>10</w:t>
      </w:r>
      <w:r w:rsidRPr="002D5A4A">
        <w:rPr>
          <w:rFonts w:ascii="Arial" w:hAnsi="Arial" w:cs="Arial"/>
          <w:sz w:val="20"/>
          <w:szCs w:val="20"/>
          <w:highlight w:val="yellow"/>
        </w:rPr>
        <w:t>(6), e70044.</w:t>
      </w:r>
    </w:p>
    <w:p w14:paraId="04ED8428" w14:textId="6019FC6D" w:rsidR="00F761BD" w:rsidRDefault="00CB49E7" w:rsidP="00DD7C24">
      <w:pPr>
        <w:pStyle w:val="ListParagraph"/>
        <w:numPr>
          <w:ilvl w:val="0"/>
          <w:numId w:val="5"/>
        </w:numPr>
        <w:spacing w:line="480" w:lineRule="auto"/>
        <w:jc w:val="both"/>
        <w:rPr>
          <w:rFonts w:ascii="Arial" w:hAnsi="Arial" w:cs="Arial"/>
          <w:sz w:val="20"/>
          <w:szCs w:val="20"/>
          <w:highlight w:val="yellow"/>
        </w:rPr>
      </w:pPr>
      <w:r w:rsidRPr="00CB49E7">
        <w:rPr>
          <w:rFonts w:ascii="Arial" w:hAnsi="Arial" w:cs="Arial"/>
          <w:sz w:val="20"/>
          <w:szCs w:val="20"/>
          <w:highlight w:val="yellow"/>
        </w:rPr>
        <w:t>Tang, S., Li, J., Chang, Y. F., &amp; Lin, W. (2022). Avian leucosis virus-host interaction: the involvement of host factors in viral replication. </w:t>
      </w:r>
      <w:r w:rsidRPr="00CB49E7">
        <w:rPr>
          <w:rFonts w:ascii="Arial" w:hAnsi="Arial" w:cs="Arial"/>
          <w:i/>
          <w:iCs/>
          <w:sz w:val="20"/>
          <w:szCs w:val="20"/>
          <w:highlight w:val="yellow"/>
        </w:rPr>
        <w:t>Frontiers in Immunology</w:t>
      </w:r>
      <w:r w:rsidRPr="00CB49E7">
        <w:rPr>
          <w:rFonts w:ascii="Arial" w:hAnsi="Arial" w:cs="Arial"/>
          <w:sz w:val="20"/>
          <w:szCs w:val="20"/>
          <w:highlight w:val="yellow"/>
        </w:rPr>
        <w:t>, </w:t>
      </w:r>
      <w:r w:rsidRPr="00CB49E7">
        <w:rPr>
          <w:rFonts w:ascii="Arial" w:hAnsi="Arial" w:cs="Arial"/>
          <w:i/>
          <w:iCs/>
          <w:sz w:val="20"/>
          <w:szCs w:val="20"/>
          <w:highlight w:val="yellow"/>
        </w:rPr>
        <w:t>13</w:t>
      </w:r>
      <w:r w:rsidRPr="00CB49E7">
        <w:rPr>
          <w:rFonts w:ascii="Arial" w:hAnsi="Arial" w:cs="Arial"/>
          <w:sz w:val="20"/>
          <w:szCs w:val="20"/>
          <w:highlight w:val="yellow"/>
        </w:rPr>
        <w:t>, 907287.</w:t>
      </w:r>
    </w:p>
    <w:p w14:paraId="2C9E9479" w14:textId="7CE76681" w:rsidR="00CB49E7" w:rsidRDefault="00CC4C7A" w:rsidP="00DD7C24">
      <w:pPr>
        <w:pStyle w:val="ListParagraph"/>
        <w:numPr>
          <w:ilvl w:val="0"/>
          <w:numId w:val="5"/>
        </w:numPr>
        <w:spacing w:line="480" w:lineRule="auto"/>
        <w:jc w:val="both"/>
        <w:rPr>
          <w:rFonts w:ascii="Arial" w:hAnsi="Arial" w:cs="Arial"/>
          <w:sz w:val="20"/>
          <w:szCs w:val="20"/>
          <w:highlight w:val="yellow"/>
        </w:rPr>
      </w:pPr>
      <w:r w:rsidRPr="00CC4C7A">
        <w:rPr>
          <w:rFonts w:ascii="Arial" w:hAnsi="Arial" w:cs="Arial"/>
          <w:sz w:val="20"/>
          <w:szCs w:val="20"/>
          <w:highlight w:val="yellow"/>
        </w:rPr>
        <w:t xml:space="preserve">Wang, M., Zhang, Q., Ju, R., Xia, J., Xu, C., Chen, W., &amp; Zhang, X. (2025). Characterization of TCRβ and IGH Repertoires in the Spleen of Two Chicken Lines with Differential ALV-J </w:t>
      </w:r>
      <w:r w:rsidRPr="00CC4C7A">
        <w:rPr>
          <w:rFonts w:ascii="Arial" w:hAnsi="Arial" w:cs="Arial"/>
          <w:sz w:val="20"/>
          <w:szCs w:val="20"/>
          <w:highlight w:val="yellow"/>
        </w:rPr>
        <w:lastRenderedPageBreak/>
        <w:t>Susceptibility Under Normal and Infection Conditions. </w:t>
      </w:r>
      <w:r w:rsidRPr="00CC4C7A">
        <w:rPr>
          <w:rFonts w:ascii="Arial" w:hAnsi="Arial" w:cs="Arial"/>
          <w:i/>
          <w:iCs/>
          <w:sz w:val="20"/>
          <w:szCs w:val="20"/>
          <w:highlight w:val="yellow"/>
        </w:rPr>
        <w:t xml:space="preserve">Animals: </w:t>
      </w:r>
      <w:proofErr w:type="gramStart"/>
      <w:r w:rsidRPr="00CC4C7A">
        <w:rPr>
          <w:rFonts w:ascii="Arial" w:hAnsi="Arial" w:cs="Arial"/>
          <w:i/>
          <w:iCs/>
          <w:sz w:val="20"/>
          <w:szCs w:val="20"/>
          <w:highlight w:val="yellow"/>
        </w:rPr>
        <w:t>an</w:t>
      </w:r>
      <w:proofErr w:type="gramEnd"/>
      <w:r w:rsidRPr="00CC4C7A">
        <w:rPr>
          <w:rFonts w:ascii="Arial" w:hAnsi="Arial" w:cs="Arial"/>
          <w:i/>
          <w:iCs/>
          <w:sz w:val="20"/>
          <w:szCs w:val="20"/>
          <w:highlight w:val="yellow"/>
        </w:rPr>
        <w:t xml:space="preserve"> Open Access Journal from MDPI</w:t>
      </w:r>
      <w:r w:rsidRPr="00CC4C7A">
        <w:rPr>
          <w:rFonts w:ascii="Arial" w:hAnsi="Arial" w:cs="Arial"/>
          <w:sz w:val="20"/>
          <w:szCs w:val="20"/>
          <w:highlight w:val="yellow"/>
        </w:rPr>
        <w:t>, </w:t>
      </w:r>
      <w:r w:rsidRPr="00CC4C7A">
        <w:rPr>
          <w:rFonts w:ascii="Arial" w:hAnsi="Arial" w:cs="Arial"/>
          <w:i/>
          <w:iCs/>
          <w:sz w:val="20"/>
          <w:szCs w:val="20"/>
          <w:highlight w:val="yellow"/>
        </w:rPr>
        <w:t>15</w:t>
      </w:r>
      <w:r w:rsidRPr="00CC4C7A">
        <w:rPr>
          <w:rFonts w:ascii="Arial" w:hAnsi="Arial" w:cs="Arial"/>
          <w:sz w:val="20"/>
          <w:szCs w:val="20"/>
          <w:highlight w:val="yellow"/>
        </w:rPr>
        <w:t>(3), 334.</w:t>
      </w:r>
    </w:p>
    <w:p w14:paraId="13C21C58" w14:textId="0671E207" w:rsidR="00CC4C7A" w:rsidRDefault="00FA358F" w:rsidP="00DD7C24">
      <w:pPr>
        <w:pStyle w:val="ListParagraph"/>
        <w:numPr>
          <w:ilvl w:val="0"/>
          <w:numId w:val="5"/>
        </w:numPr>
        <w:spacing w:line="480" w:lineRule="auto"/>
        <w:jc w:val="both"/>
        <w:rPr>
          <w:rFonts w:ascii="Arial" w:hAnsi="Arial" w:cs="Arial"/>
          <w:sz w:val="20"/>
          <w:szCs w:val="20"/>
          <w:highlight w:val="yellow"/>
        </w:rPr>
      </w:pPr>
      <w:proofErr w:type="spellStart"/>
      <w:r w:rsidRPr="002D5A4A">
        <w:rPr>
          <w:rFonts w:ascii="Arial" w:hAnsi="Arial" w:cs="Arial"/>
          <w:sz w:val="20"/>
          <w:szCs w:val="20"/>
          <w:highlight w:val="yellow"/>
          <w:lang w:val="es-US"/>
        </w:rPr>
        <w:t>Tuli</w:t>
      </w:r>
      <w:proofErr w:type="spellEnd"/>
      <w:r w:rsidRPr="002D5A4A">
        <w:rPr>
          <w:rFonts w:ascii="Arial" w:hAnsi="Arial" w:cs="Arial"/>
          <w:sz w:val="20"/>
          <w:szCs w:val="20"/>
          <w:highlight w:val="yellow"/>
          <w:lang w:val="es-US"/>
        </w:rPr>
        <w:t xml:space="preserve">, N. F., &amp; </w:t>
      </w:r>
      <w:proofErr w:type="spellStart"/>
      <w:r w:rsidRPr="002D5A4A">
        <w:rPr>
          <w:rFonts w:ascii="Arial" w:hAnsi="Arial" w:cs="Arial"/>
          <w:sz w:val="20"/>
          <w:szCs w:val="20"/>
          <w:highlight w:val="yellow"/>
          <w:lang w:val="es-US"/>
        </w:rPr>
        <w:t>Fayisa</w:t>
      </w:r>
      <w:proofErr w:type="spellEnd"/>
      <w:r w:rsidRPr="002D5A4A">
        <w:rPr>
          <w:rFonts w:ascii="Arial" w:hAnsi="Arial" w:cs="Arial"/>
          <w:sz w:val="20"/>
          <w:szCs w:val="20"/>
          <w:highlight w:val="yellow"/>
          <w:lang w:val="es-US"/>
        </w:rPr>
        <w:t xml:space="preserve">, W. O. (2023). </w:t>
      </w:r>
      <w:r w:rsidRPr="00FA358F">
        <w:rPr>
          <w:rFonts w:ascii="Arial" w:hAnsi="Arial" w:cs="Arial"/>
          <w:sz w:val="20"/>
          <w:szCs w:val="20"/>
          <w:highlight w:val="yellow"/>
        </w:rPr>
        <w:t xml:space="preserve">Review on virulence and diagnostic methods of </w:t>
      </w:r>
      <w:proofErr w:type="spellStart"/>
      <w:r w:rsidRPr="00FA358F">
        <w:rPr>
          <w:rFonts w:ascii="Arial" w:hAnsi="Arial" w:cs="Arial"/>
          <w:sz w:val="20"/>
          <w:szCs w:val="20"/>
          <w:highlight w:val="yellow"/>
        </w:rPr>
        <w:t>mareks</w:t>
      </w:r>
      <w:proofErr w:type="spellEnd"/>
      <w:r w:rsidRPr="00FA358F">
        <w:rPr>
          <w:rFonts w:ascii="Arial" w:hAnsi="Arial" w:cs="Arial"/>
          <w:sz w:val="20"/>
          <w:szCs w:val="20"/>
          <w:highlight w:val="yellow"/>
        </w:rPr>
        <w:t xml:space="preserve"> disease virus in chickens. </w:t>
      </w:r>
      <w:r w:rsidRPr="00FA358F">
        <w:rPr>
          <w:rFonts w:ascii="Arial" w:hAnsi="Arial" w:cs="Arial"/>
          <w:i/>
          <w:iCs/>
          <w:sz w:val="20"/>
          <w:szCs w:val="20"/>
          <w:highlight w:val="yellow"/>
        </w:rPr>
        <w:t xml:space="preserve">Journal of Internal Medicine Research &amp; Reports. SRC/JIMRR-127. DOI: </w:t>
      </w:r>
      <w:proofErr w:type="spellStart"/>
      <w:r w:rsidRPr="00FA358F">
        <w:rPr>
          <w:rFonts w:ascii="Arial" w:hAnsi="Arial" w:cs="Arial"/>
          <w:i/>
          <w:iCs/>
          <w:sz w:val="20"/>
          <w:szCs w:val="20"/>
          <w:highlight w:val="yellow"/>
        </w:rPr>
        <w:t>doi</w:t>
      </w:r>
      <w:proofErr w:type="spellEnd"/>
      <w:r w:rsidRPr="00FA358F">
        <w:rPr>
          <w:rFonts w:ascii="Arial" w:hAnsi="Arial" w:cs="Arial"/>
          <w:i/>
          <w:iCs/>
          <w:sz w:val="20"/>
          <w:szCs w:val="20"/>
          <w:highlight w:val="yellow"/>
        </w:rPr>
        <w:t>. org/10.47363/JIMRR/2023 (2)</w:t>
      </w:r>
      <w:r w:rsidRPr="00FA358F">
        <w:rPr>
          <w:rFonts w:ascii="Arial" w:hAnsi="Arial" w:cs="Arial"/>
          <w:sz w:val="20"/>
          <w:szCs w:val="20"/>
          <w:highlight w:val="yellow"/>
        </w:rPr>
        <w:t>, </w:t>
      </w:r>
      <w:r w:rsidRPr="00FA358F">
        <w:rPr>
          <w:rFonts w:ascii="Arial" w:hAnsi="Arial" w:cs="Arial"/>
          <w:i/>
          <w:iCs/>
          <w:sz w:val="20"/>
          <w:szCs w:val="20"/>
          <w:highlight w:val="yellow"/>
        </w:rPr>
        <w:t>125</w:t>
      </w:r>
      <w:r w:rsidRPr="00FA358F">
        <w:rPr>
          <w:rFonts w:ascii="Arial" w:hAnsi="Arial" w:cs="Arial"/>
          <w:sz w:val="20"/>
          <w:szCs w:val="20"/>
          <w:highlight w:val="yellow"/>
        </w:rPr>
        <w:t>, 2-7.</w:t>
      </w:r>
    </w:p>
    <w:p w14:paraId="164D8484" w14:textId="7D7BC024" w:rsidR="00FA358F" w:rsidRPr="002D5A4A" w:rsidRDefault="00E26A2B" w:rsidP="00DD7C24">
      <w:pPr>
        <w:pStyle w:val="ListParagraph"/>
        <w:numPr>
          <w:ilvl w:val="0"/>
          <w:numId w:val="5"/>
        </w:numPr>
        <w:spacing w:line="480" w:lineRule="auto"/>
        <w:jc w:val="both"/>
        <w:rPr>
          <w:rFonts w:ascii="Arial" w:hAnsi="Arial" w:cs="Arial"/>
          <w:sz w:val="20"/>
          <w:szCs w:val="20"/>
          <w:highlight w:val="yellow"/>
        </w:rPr>
      </w:pPr>
      <w:r w:rsidRPr="00E26A2B">
        <w:rPr>
          <w:rFonts w:ascii="Arial" w:hAnsi="Arial" w:cs="Arial"/>
          <w:sz w:val="20"/>
          <w:szCs w:val="20"/>
          <w:highlight w:val="yellow"/>
        </w:rPr>
        <w:t>Liebhart, D., Bilic, I., Grafl, B., Hess, C., &amp; Hess, M. (2023). Diagnosing infectious diseases in poultry requires a holistic approach: a review. </w:t>
      </w:r>
      <w:r w:rsidRPr="00E26A2B">
        <w:rPr>
          <w:rFonts w:ascii="Arial" w:hAnsi="Arial" w:cs="Arial"/>
          <w:i/>
          <w:iCs/>
          <w:sz w:val="20"/>
          <w:szCs w:val="20"/>
          <w:highlight w:val="yellow"/>
        </w:rPr>
        <w:t>Poultry</w:t>
      </w:r>
      <w:r w:rsidRPr="00E26A2B">
        <w:rPr>
          <w:rFonts w:ascii="Arial" w:hAnsi="Arial" w:cs="Arial"/>
          <w:sz w:val="20"/>
          <w:szCs w:val="20"/>
          <w:highlight w:val="yellow"/>
        </w:rPr>
        <w:t>, </w:t>
      </w:r>
      <w:r w:rsidRPr="00E26A2B">
        <w:rPr>
          <w:rFonts w:ascii="Arial" w:hAnsi="Arial" w:cs="Arial"/>
          <w:i/>
          <w:iCs/>
          <w:sz w:val="20"/>
          <w:szCs w:val="20"/>
          <w:highlight w:val="yellow"/>
        </w:rPr>
        <w:t>2</w:t>
      </w:r>
      <w:r w:rsidRPr="00E26A2B">
        <w:rPr>
          <w:rFonts w:ascii="Arial" w:hAnsi="Arial" w:cs="Arial"/>
          <w:sz w:val="20"/>
          <w:szCs w:val="20"/>
          <w:highlight w:val="yellow"/>
        </w:rPr>
        <w:t>(2), 252-280.</w:t>
      </w:r>
    </w:p>
    <w:p w14:paraId="53DD4FEB" w14:textId="77777777" w:rsidR="001B6F0B" w:rsidRPr="00284228" w:rsidRDefault="001B6F0B" w:rsidP="001B6F0B">
      <w:pPr>
        <w:pStyle w:val="ListParagraph"/>
        <w:spacing w:before="240" w:line="480" w:lineRule="auto"/>
        <w:jc w:val="both"/>
        <w:rPr>
          <w:rFonts w:ascii="Arial" w:hAnsi="Arial" w:cs="Arial"/>
          <w:b/>
          <w:bCs/>
        </w:rPr>
      </w:pPr>
    </w:p>
    <w:sectPr w:rsidR="001B6F0B" w:rsidRPr="0028422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F7DC2" w14:textId="77777777" w:rsidR="00F9096A" w:rsidRDefault="00F9096A">
      <w:pPr>
        <w:spacing w:line="240" w:lineRule="auto"/>
      </w:pPr>
      <w:r>
        <w:separator/>
      </w:r>
    </w:p>
  </w:endnote>
  <w:endnote w:type="continuationSeparator" w:id="0">
    <w:p w14:paraId="5AC925D1" w14:textId="77777777" w:rsidR="00F9096A" w:rsidRDefault="00F90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714F9" w14:textId="77777777" w:rsidR="008374ED" w:rsidRDefault="00837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CBEE9" w14:textId="1BD73FFC" w:rsidR="00684849" w:rsidRPr="00477DAC" w:rsidRDefault="00684849" w:rsidP="00477D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BC37D" w14:textId="77777777" w:rsidR="008374ED" w:rsidRDefault="00837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CB4DEC" w14:textId="77777777" w:rsidR="00F9096A" w:rsidRDefault="00F9096A">
      <w:pPr>
        <w:spacing w:after="0"/>
      </w:pPr>
      <w:r>
        <w:separator/>
      </w:r>
    </w:p>
  </w:footnote>
  <w:footnote w:type="continuationSeparator" w:id="0">
    <w:p w14:paraId="7B74101C" w14:textId="77777777" w:rsidR="00F9096A" w:rsidRDefault="00F9096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40" w14:textId="50E2EE80" w:rsidR="008374ED" w:rsidRDefault="00000000">
    <w:pPr>
      <w:pStyle w:val="Header"/>
    </w:pPr>
    <w:r>
      <w:rPr>
        <w:noProof/>
      </w:rPr>
      <w:pict w14:anchorId="51A8B9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3005B" w14:textId="4BCA7747" w:rsidR="008374ED" w:rsidRDefault="00000000">
    <w:pPr>
      <w:pStyle w:val="Header"/>
    </w:pPr>
    <w:r>
      <w:rPr>
        <w:noProof/>
      </w:rPr>
      <w:pict w14:anchorId="21D6E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2FC7F" w14:textId="0BA81FE4" w:rsidR="008374ED" w:rsidRDefault="00000000">
    <w:pPr>
      <w:pStyle w:val="Header"/>
    </w:pPr>
    <w:r>
      <w:rPr>
        <w:noProof/>
      </w:rPr>
      <w:pict w14:anchorId="132BA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22034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FD5F5E"/>
    <w:multiLevelType w:val="hybridMultilevel"/>
    <w:tmpl w:val="A956F0E0"/>
    <w:lvl w:ilvl="0" w:tplc="031A3C68">
      <w:start w:val="1"/>
      <w:numFmt w:val="decimal"/>
      <w:lvlText w:val="%1."/>
      <w:lvlJc w:val="left"/>
      <w:pPr>
        <w:ind w:left="720" w:hanging="360"/>
      </w:pPr>
      <w:rPr>
        <w:rFonts w:hint="default"/>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213DA3"/>
    <w:multiLevelType w:val="hybridMultilevel"/>
    <w:tmpl w:val="42DEA464"/>
    <w:lvl w:ilvl="0" w:tplc="031A3C68">
      <w:start w:val="1"/>
      <w:numFmt w:val="decimal"/>
      <w:lvlText w:val="%1."/>
      <w:lvlJc w:val="left"/>
      <w:pPr>
        <w:ind w:left="720" w:hanging="360"/>
      </w:pPr>
      <w:rPr>
        <w:rFonts w:hint="default"/>
        <w:b w:val="0"/>
        <w:bCs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F1A8744"/>
    <w:multiLevelType w:val="multilevel"/>
    <w:tmpl w:val="3F1A8744"/>
    <w:lvl w:ilvl="0">
      <w:start w:val="1"/>
      <w:numFmt w:val="decimal"/>
      <w:lvlText w:val="%1."/>
      <w:lvlJc w:val="left"/>
      <w:pPr>
        <w:tabs>
          <w:tab w:val="left" w:pos="720"/>
        </w:tabs>
        <w:ind w:left="720" w:hanging="360"/>
      </w:pPr>
      <w:rPr>
        <w:sz w:val="20"/>
        <w:szCs w:val="20"/>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69B5136B"/>
    <w:multiLevelType w:val="multilevel"/>
    <w:tmpl w:val="69B513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EBE033D"/>
    <w:multiLevelType w:val="hybridMultilevel"/>
    <w:tmpl w:val="B9B036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7726783">
    <w:abstractNumId w:val="3"/>
  </w:num>
  <w:num w:numId="2" w16cid:durableId="1941646434">
    <w:abstractNumId w:val="2"/>
  </w:num>
  <w:num w:numId="3" w16cid:durableId="364601512">
    <w:abstractNumId w:val="4"/>
  </w:num>
  <w:num w:numId="4" w16cid:durableId="914239620">
    <w:abstractNumId w:val="1"/>
  </w:num>
  <w:num w:numId="5" w16cid:durableId="1902906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Q0B1JGxmZGRgamRko6SsGpxcWZ+XkgBYa1AL23O9MsAAAA"/>
  </w:docVars>
  <w:rsids>
    <w:rsidRoot w:val="00171191"/>
    <w:rsid w:val="0000090A"/>
    <w:rsid w:val="00001B85"/>
    <w:rsid w:val="00007818"/>
    <w:rsid w:val="00014328"/>
    <w:rsid w:val="00015913"/>
    <w:rsid w:val="0002470D"/>
    <w:rsid w:val="00027493"/>
    <w:rsid w:val="00027ACC"/>
    <w:rsid w:val="00032D1A"/>
    <w:rsid w:val="00040F00"/>
    <w:rsid w:val="00045405"/>
    <w:rsid w:val="000574FD"/>
    <w:rsid w:val="00062160"/>
    <w:rsid w:val="000642D8"/>
    <w:rsid w:val="000678FF"/>
    <w:rsid w:val="000750B4"/>
    <w:rsid w:val="0008342B"/>
    <w:rsid w:val="00084007"/>
    <w:rsid w:val="00087B38"/>
    <w:rsid w:val="00087E7A"/>
    <w:rsid w:val="0009265A"/>
    <w:rsid w:val="000A1605"/>
    <w:rsid w:val="000A1933"/>
    <w:rsid w:val="000A2307"/>
    <w:rsid w:val="000B13ED"/>
    <w:rsid w:val="000B203C"/>
    <w:rsid w:val="000B4A58"/>
    <w:rsid w:val="000B5EEB"/>
    <w:rsid w:val="000C1A64"/>
    <w:rsid w:val="000C3FA3"/>
    <w:rsid w:val="000C4CA8"/>
    <w:rsid w:val="000C5768"/>
    <w:rsid w:val="000C65D8"/>
    <w:rsid w:val="000C6814"/>
    <w:rsid w:val="000C6EA6"/>
    <w:rsid w:val="000D2BF1"/>
    <w:rsid w:val="000D2FCE"/>
    <w:rsid w:val="000E18F9"/>
    <w:rsid w:val="000E345E"/>
    <w:rsid w:val="000E446B"/>
    <w:rsid w:val="000F1FEE"/>
    <w:rsid w:val="000F27C0"/>
    <w:rsid w:val="000F33AA"/>
    <w:rsid w:val="000F6247"/>
    <w:rsid w:val="0010058E"/>
    <w:rsid w:val="001006A7"/>
    <w:rsid w:val="00102243"/>
    <w:rsid w:val="00103A95"/>
    <w:rsid w:val="00106ECE"/>
    <w:rsid w:val="001070A4"/>
    <w:rsid w:val="001077B6"/>
    <w:rsid w:val="00111AB6"/>
    <w:rsid w:val="00113F16"/>
    <w:rsid w:val="00115E8A"/>
    <w:rsid w:val="001266D8"/>
    <w:rsid w:val="00137DE2"/>
    <w:rsid w:val="00146BCD"/>
    <w:rsid w:val="00151BD3"/>
    <w:rsid w:val="001652AA"/>
    <w:rsid w:val="0017092A"/>
    <w:rsid w:val="00171191"/>
    <w:rsid w:val="00171288"/>
    <w:rsid w:val="00183146"/>
    <w:rsid w:val="00195910"/>
    <w:rsid w:val="00195DCB"/>
    <w:rsid w:val="00197D7D"/>
    <w:rsid w:val="001A3428"/>
    <w:rsid w:val="001A683E"/>
    <w:rsid w:val="001B0DC2"/>
    <w:rsid w:val="001B45C3"/>
    <w:rsid w:val="001B6F0B"/>
    <w:rsid w:val="001C6463"/>
    <w:rsid w:val="001D1595"/>
    <w:rsid w:val="001D20C8"/>
    <w:rsid w:val="001F1F90"/>
    <w:rsid w:val="001F276F"/>
    <w:rsid w:val="001F2871"/>
    <w:rsid w:val="001F4587"/>
    <w:rsid w:val="001F4F10"/>
    <w:rsid w:val="001F5518"/>
    <w:rsid w:val="001F59D4"/>
    <w:rsid w:val="00202722"/>
    <w:rsid w:val="002061CE"/>
    <w:rsid w:val="002109B9"/>
    <w:rsid w:val="002134BD"/>
    <w:rsid w:val="0021626C"/>
    <w:rsid w:val="00224066"/>
    <w:rsid w:val="002345EE"/>
    <w:rsid w:val="00236122"/>
    <w:rsid w:val="00237045"/>
    <w:rsid w:val="00241541"/>
    <w:rsid w:val="002421A6"/>
    <w:rsid w:val="0024484A"/>
    <w:rsid w:val="00250035"/>
    <w:rsid w:val="00251BDC"/>
    <w:rsid w:val="00255E62"/>
    <w:rsid w:val="002609D8"/>
    <w:rsid w:val="00260AB7"/>
    <w:rsid w:val="002629E0"/>
    <w:rsid w:val="002733A9"/>
    <w:rsid w:val="002743EE"/>
    <w:rsid w:val="002759A1"/>
    <w:rsid w:val="0028153D"/>
    <w:rsid w:val="00281E44"/>
    <w:rsid w:val="00284228"/>
    <w:rsid w:val="0028502A"/>
    <w:rsid w:val="002856E7"/>
    <w:rsid w:val="00292979"/>
    <w:rsid w:val="002A4502"/>
    <w:rsid w:val="002A598B"/>
    <w:rsid w:val="002B7CB9"/>
    <w:rsid w:val="002C25AF"/>
    <w:rsid w:val="002D0116"/>
    <w:rsid w:val="002D37DB"/>
    <w:rsid w:val="002D5A4A"/>
    <w:rsid w:val="002E2E44"/>
    <w:rsid w:val="002F4C51"/>
    <w:rsid w:val="002F5AB8"/>
    <w:rsid w:val="003033F7"/>
    <w:rsid w:val="00307432"/>
    <w:rsid w:val="00310E23"/>
    <w:rsid w:val="00312E8D"/>
    <w:rsid w:val="00320BAD"/>
    <w:rsid w:val="00322F28"/>
    <w:rsid w:val="00325A6E"/>
    <w:rsid w:val="003338F8"/>
    <w:rsid w:val="003349FA"/>
    <w:rsid w:val="0033549A"/>
    <w:rsid w:val="00340B87"/>
    <w:rsid w:val="00342FA0"/>
    <w:rsid w:val="00344C4C"/>
    <w:rsid w:val="00344FB8"/>
    <w:rsid w:val="00345BC8"/>
    <w:rsid w:val="00356088"/>
    <w:rsid w:val="00357D97"/>
    <w:rsid w:val="003618DA"/>
    <w:rsid w:val="00365D94"/>
    <w:rsid w:val="00367BBF"/>
    <w:rsid w:val="003703D0"/>
    <w:rsid w:val="003718D9"/>
    <w:rsid w:val="00376741"/>
    <w:rsid w:val="003770D0"/>
    <w:rsid w:val="00380FA4"/>
    <w:rsid w:val="0038536B"/>
    <w:rsid w:val="00394BAD"/>
    <w:rsid w:val="003A0A52"/>
    <w:rsid w:val="003A3AB8"/>
    <w:rsid w:val="003B352D"/>
    <w:rsid w:val="003C0A15"/>
    <w:rsid w:val="003C28CB"/>
    <w:rsid w:val="003D3820"/>
    <w:rsid w:val="003D3D61"/>
    <w:rsid w:val="003D7ABD"/>
    <w:rsid w:val="003E4198"/>
    <w:rsid w:val="003E50EF"/>
    <w:rsid w:val="003E64CC"/>
    <w:rsid w:val="003F3545"/>
    <w:rsid w:val="00401B45"/>
    <w:rsid w:val="00401C10"/>
    <w:rsid w:val="00401CA9"/>
    <w:rsid w:val="00402606"/>
    <w:rsid w:val="00402949"/>
    <w:rsid w:val="00407B06"/>
    <w:rsid w:val="004120D0"/>
    <w:rsid w:val="00420141"/>
    <w:rsid w:val="00425186"/>
    <w:rsid w:val="0042599C"/>
    <w:rsid w:val="004264FB"/>
    <w:rsid w:val="00426E19"/>
    <w:rsid w:val="00427BB7"/>
    <w:rsid w:val="00432881"/>
    <w:rsid w:val="00433693"/>
    <w:rsid w:val="00433961"/>
    <w:rsid w:val="00433F78"/>
    <w:rsid w:val="00435924"/>
    <w:rsid w:val="00437DF4"/>
    <w:rsid w:val="00442DDD"/>
    <w:rsid w:val="0044334D"/>
    <w:rsid w:val="00443C19"/>
    <w:rsid w:val="0044545D"/>
    <w:rsid w:val="004562EB"/>
    <w:rsid w:val="00460007"/>
    <w:rsid w:val="00460732"/>
    <w:rsid w:val="00462156"/>
    <w:rsid w:val="00462216"/>
    <w:rsid w:val="0046563C"/>
    <w:rsid w:val="00474240"/>
    <w:rsid w:val="004766FF"/>
    <w:rsid w:val="00477DAC"/>
    <w:rsid w:val="0048547C"/>
    <w:rsid w:val="00492791"/>
    <w:rsid w:val="004A0BF9"/>
    <w:rsid w:val="004A24B2"/>
    <w:rsid w:val="004A70E7"/>
    <w:rsid w:val="004B638E"/>
    <w:rsid w:val="004C36E8"/>
    <w:rsid w:val="004D59F9"/>
    <w:rsid w:val="004D7AB2"/>
    <w:rsid w:val="004E10D4"/>
    <w:rsid w:val="004E1208"/>
    <w:rsid w:val="004E64FB"/>
    <w:rsid w:val="004F031D"/>
    <w:rsid w:val="004F2D7C"/>
    <w:rsid w:val="004F4BEA"/>
    <w:rsid w:val="004F5B80"/>
    <w:rsid w:val="004F70CB"/>
    <w:rsid w:val="004F7A11"/>
    <w:rsid w:val="0050187E"/>
    <w:rsid w:val="00504CC1"/>
    <w:rsid w:val="00506026"/>
    <w:rsid w:val="00507127"/>
    <w:rsid w:val="00511CF6"/>
    <w:rsid w:val="005200E4"/>
    <w:rsid w:val="005213BA"/>
    <w:rsid w:val="005235B3"/>
    <w:rsid w:val="00530BE8"/>
    <w:rsid w:val="00530F1D"/>
    <w:rsid w:val="00531DF3"/>
    <w:rsid w:val="00537983"/>
    <w:rsid w:val="00544502"/>
    <w:rsid w:val="00544BD7"/>
    <w:rsid w:val="00546159"/>
    <w:rsid w:val="00546FF0"/>
    <w:rsid w:val="005474D1"/>
    <w:rsid w:val="00551297"/>
    <w:rsid w:val="0055665E"/>
    <w:rsid w:val="00570567"/>
    <w:rsid w:val="0057191F"/>
    <w:rsid w:val="0057508E"/>
    <w:rsid w:val="00582527"/>
    <w:rsid w:val="005978FC"/>
    <w:rsid w:val="005A483C"/>
    <w:rsid w:val="005B24E3"/>
    <w:rsid w:val="005C4534"/>
    <w:rsid w:val="005C6BE0"/>
    <w:rsid w:val="005D1431"/>
    <w:rsid w:val="005D29CA"/>
    <w:rsid w:val="005D5CFF"/>
    <w:rsid w:val="005E4AA5"/>
    <w:rsid w:val="005F16D2"/>
    <w:rsid w:val="005F34AA"/>
    <w:rsid w:val="005F3586"/>
    <w:rsid w:val="005F3BC6"/>
    <w:rsid w:val="00600F21"/>
    <w:rsid w:val="00603247"/>
    <w:rsid w:val="00606C90"/>
    <w:rsid w:val="00606FA8"/>
    <w:rsid w:val="00610181"/>
    <w:rsid w:val="00613429"/>
    <w:rsid w:val="0061586B"/>
    <w:rsid w:val="00617ED0"/>
    <w:rsid w:val="00620F71"/>
    <w:rsid w:val="00621972"/>
    <w:rsid w:val="0062399C"/>
    <w:rsid w:val="00624A5B"/>
    <w:rsid w:val="00635620"/>
    <w:rsid w:val="006357C9"/>
    <w:rsid w:val="00641D75"/>
    <w:rsid w:val="00644118"/>
    <w:rsid w:val="00645CA9"/>
    <w:rsid w:val="006502E4"/>
    <w:rsid w:val="00665A53"/>
    <w:rsid w:val="00671595"/>
    <w:rsid w:val="00676FF0"/>
    <w:rsid w:val="00677608"/>
    <w:rsid w:val="0068030A"/>
    <w:rsid w:val="00680F04"/>
    <w:rsid w:val="00681C6B"/>
    <w:rsid w:val="00682607"/>
    <w:rsid w:val="00682C60"/>
    <w:rsid w:val="00684849"/>
    <w:rsid w:val="006849CB"/>
    <w:rsid w:val="0068663A"/>
    <w:rsid w:val="00686C6A"/>
    <w:rsid w:val="006924EA"/>
    <w:rsid w:val="006A18A0"/>
    <w:rsid w:val="006A1DF2"/>
    <w:rsid w:val="006A2B34"/>
    <w:rsid w:val="006A5447"/>
    <w:rsid w:val="006A5B0B"/>
    <w:rsid w:val="006B0543"/>
    <w:rsid w:val="006B272C"/>
    <w:rsid w:val="006B313F"/>
    <w:rsid w:val="006B3648"/>
    <w:rsid w:val="006B4FC0"/>
    <w:rsid w:val="006C30AF"/>
    <w:rsid w:val="006C3A08"/>
    <w:rsid w:val="006D2DB9"/>
    <w:rsid w:val="006D47C9"/>
    <w:rsid w:val="006D5895"/>
    <w:rsid w:val="006E1D84"/>
    <w:rsid w:val="006F0F7F"/>
    <w:rsid w:val="006F25E5"/>
    <w:rsid w:val="006F52F0"/>
    <w:rsid w:val="006F696F"/>
    <w:rsid w:val="006F7543"/>
    <w:rsid w:val="00702610"/>
    <w:rsid w:val="00704355"/>
    <w:rsid w:val="00710070"/>
    <w:rsid w:val="0071539B"/>
    <w:rsid w:val="00716D18"/>
    <w:rsid w:val="007221C0"/>
    <w:rsid w:val="00725B34"/>
    <w:rsid w:val="00731EFA"/>
    <w:rsid w:val="007324D9"/>
    <w:rsid w:val="00734786"/>
    <w:rsid w:val="00736613"/>
    <w:rsid w:val="00742A69"/>
    <w:rsid w:val="00744E44"/>
    <w:rsid w:val="00746D7C"/>
    <w:rsid w:val="00747142"/>
    <w:rsid w:val="00755FDC"/>
    <w:rsid w:val="00757237"/>
    <w:rsid w:val="00765F52"/>
    <w:rsid w:val="00771760"/>
    <w:rsid w:val="00772B99"/>
    <w:rsid w:val="00775E6F"/>
    <w:rsid w:val="00776308"/>
    <w:rsid w:val="007852C1"/>
    <w:rsid w:val="00787AC8"/>
    <w:rsid w:val="00787BAA"/>
    <w:rsid w:val="00790676"/>
    <w:rsid w:val="007A3B14"/>
    <w:rsid w:val="007A47B6"/>
    <w:rsid w:val="007A6755"/>
    <w:rsid w:val="007B4AE7"/>
    <w:rsid w:val="007B6CE4"/>
    <w:rsid w:val="007B75EE"/>
    <w:rsid w:val="007C178D"/>
    <w:rsid w:val="007C1D71"/>
    <w:rsid w:val="007C2D25"/>
    <w:rsid w:val="007C6BB2"/>
    <w:rsid w:val="007D0AA0"/>
    <w:rsid w:val="007D1C67"/>
    <w:rsid w:val="007D3A96"/>
    <w:rsid w:val="007D43FF"/>
    <w:rsid w:val="007E2E4A"/>
    <w:rsid w:val="007E3371"/>
    <w:rsid w:val="007E4A8A"/>
    <w:rsid w:val="007F01ED"/>
    <w:rsid w:val="007F273A"/>
    <w:rsid w:val="007F5836"/>
    <w:rsid w:val="00801A50"/>
    <w:rsid w:val="008036A4"/>
    <w:rsid w:val="00805A56"/>
    <w:rsid w:val="0081159E"/>
    <w:rsid w:val="00814CEF"/>
    <w:rsid w:val="00823E69"/>
    <w:rsid w:val="00824F68"/>
    <w:rsid w:val="00825424"/>
    <w:rsid w:val="00831A6C"/>
    <w:rsid w:val="00831C61"/>
    <w:rsid w:val="00834520"/>
    <w:rsid w:val="008374ED"/>
    <w:rsid w:val="00841FF7"/>
    <w:rsid w:val="00843445"/>
    <w:rsid w:val="00851582"/>
    <w:rsid w:val="00853E65"/>
    <w:rsid w:val="00854233"/>
    <w:rsid w:val="0086722C"/>
    <w:rsid w:val="00871379"/>
    <w:rsid w:val="00872BFB"/>
    <w:rsid w:val="00881390"/>
    <w:rsid w:val="0088632A"/>
    <w:rsid w:val="00891666"/>
    <w:rsid w:val="0089343E"/>
    <w:rsid w:val="008941BC"/>
    <w:rsid w:val="008960EE"/>
    <w:rsid w:val="00897E11"/>
    <w:rsid w:val="008A0120"/>
    <w:rsid w:val="008A532A"/>
    <w:rsid w:val="008A744A"/>
    <w:rsid w:val="008B4D55"/>
    <w:rsid w:val="008B58C4"/>
    <w:rsid w:val="008C0A4E"/>
    <w:rsid w:val="008C5A33"/>
    <w:rsid w:val="008D3765"/>
    <w:rsid w:val="008D5307"/>
    <w:rsid w:val="008D7B9D"/>
    <w:rsid w:val="008E03BD"/>
    <w:rsid w:val="008F24F8"/>
    <w:rsid w:val="008F40C3"/>
    <w:rsid w:val="00902360"/>
    <w:rsid w:val="0090452C"/>
    <w:rsid w:val="00904B72"/>
    <w:rsid w:val="00904D43"/>
    <w:rsid w:val="00907C9F"/>
    <w:rsid w:val="00910BA3"/>
    <w:rsid w:val="009236B1"/>
    <w:rsid w:val="00924A50"/>
    <w:rsid w:val="00931850"/>
    <w:rsid w:val="0093335B"/>
    <w:rsid w:val="009360A3"/>
    <w:rsid w:val="00941C1B"/>
    <w:rsid w:val="00942A89"/>
    <w:rsid w:val="00945BA5"/>
    <w:rsid w:val="00946509"/>
    <w:rsid w:val="009468CC"/>
    <w:rsid w:val="00947CF9"/>
    <w:rsid w:val="00950C82"/>
    <w:rsid w:val="00952752"/>
    <w:rsid w:val="00971619"/>
    <w:rsid w:val="00971EA9"/>
    <w:rsid w:val="00976322"/>
    <w:rsid w:val="0097644D"/>
    <w:rsid w:val="00980FC3"/>
    <w:rsid w:val="00985781"/>
    <w:rsid w:val="0098717E"/>
    <w:rsid w:val="009913E5"/>
    <w:rsid w:val="00996A1F"/>
    <w:rsid w:val="009A04CB"/>
    <w:rsid w:val="009A2CC8"/>
    <w:rsid w:val="009A7938"/>
    <w:rsid w:val="009B1817"/>
    <w:rsid w:val="009B38BB"/>
    <w:rsid w:val="009B7C40"/>
    <w:rsid w:val="009C172F"/>
    <w:rsid w:val="009C5FC7"/>
    <w:rsid w:val="009C6085"/>
    <w:rsid w:val="009D2A99"/>
    <w:rsid w:val="009D4112"/>
    <w:rsid w:val="009D5123"/>
    <w:rsid w:val="009D78B5"/>
    <w:rsid w:val="009E1CC6"/>
    <w:rsid w:val="009F6E35"/>
    <w:rsid w:val="00A07BCD"/>
    <w:rsid w:val="00A11D9D"/>
    <w:rsid w:val="00A16020"/>
    <w:rsid w:val="00A240F8"/>
    <w:rsid w:val="00A34C9F"/>
    <w:rsid w:val="00A368CA"/>
    <w:rsid w:val="00A404B6"/>
    <w:rsid w:val="00A42DD6"/>
    <w:rsid w:val="00A47406"/>
    <w:rsid w:val="00A52772"/>
    <w:rsid w:val="00A57FAC"/>
    <w:rsid w:val="00A61131"/>
    <w:rsid w:val="00A621FE"/>
    <w:rsid w:val="00A720B1"/>
    <w:rsid w:val="00A738F0"/>
    <w:rsid w:val="00A818EA"/>
    <w:rsid w:val="00A823E5"/>
    <w:rsid w:val="00A85334"/>
    <w:rsid w:val="00A903B2"/>
    <w:rsid w:val="00A91A48"/>
    <w:rsid w:val="00A91F52"/>
    <w:rsid w:val="00A928C2"/>
    <w:rsid w:val="00A94723"/>
    <w:rsid w:val="00A9597F"/>
    <w:rsid w:val="00A97623"/>
    <w:rsid w:val="00AA1B62"/>
    <w:rsid w:val="00AA7214"/>
    <w:rsid w:val="00AB7163"/>
    <w:rsid w:val="00AC1617"/>
    <w:rsid w:val="00AC2D6E"/>
    <w:rsid w:val="00AC3018"/>
    <w:rsid w:val="00AC492B"/>
    <w:rsid w:val="00AC4E94"/>
    <w:rsid w:val="00AC73E6"/>
    <w:rsid w:val="00AD62A9"/>
    <w:rsid w:val="00AE069D"/>
    <w:rsid w:val="00AE517B"/>
    <w:rsid w:val="00AE7D5C"/>
    <w:rsid w:val="00AF0FAB"/>
    <w:rsid w:val="00AF52E0"/>
    <w:rsid w:val="00AF5BAD"/>
    <w:rsid w:val="00AF6644"/>
    <w:rsid w:val="00AF725D"/>
    <w:rsid w:val="00B06F28"/>
    <w:rsid w:val="00B10250"/>
    <w:rsid w:val="00B1340F"/>
    <w:rsid w:val="00B13C67"/>
    <w:rsid w:val="00B21CF9"/>
    <w:rsid w:val="00B2624E"/>
    <w:rsid w:val="00B27A06"/>
    <w:rsid w:val="00B402F5"/>
    <w:rsid w:val="00B40556"/>
    <w:rsid w:val="00B405D4"/>
    <w:rsid w:val="00B40A33"/>
    <w:rsid w:val="00B43455"/>
    <w:rsid w:val="00B4405A"/>
    <w:rsid w:val="00B44295"/>
    <w:rsid w:val="00B4669F"/>
    <w:rsid w:val="00B47496"/>
    <w:rsid w:val="00B52621"/>
    <w:rsid w:val="00B56BFF"/>
    <w:rsid w:val="00B575D6"/>
    <w:rsid w:val="00B601E8"/>
    <w:rsid w:val="00B602F4"/>
    <w:rsid w:val="00B60B40"/>
    <w:rsid w:val="00B60CA2"/>
    <w:rsid w:val="00B61A8A"/>
    <w:rsid w:val="00B64647"/>
    <w:rsid w:val="00B7295D"/>
    <w:rsid w:val="00B74AD5"/>
    <w:rsid w:val="00B757AD"/>
    <w:rsid w:val="00B810B1"/>
    <w:rsid w:val="00B8693A"/>
    <w:rsid w:val="00B87DD7"/>
    <w:rsid w:val="00B96511"/>
    <w:rsid w:val="00BA2189"/>
    <w:rsid w:val="00BA334C"/>
    <w:rsid w:val="00BA493B"/>
    <w:rsid w:val="00BA7019"/>
    <w:rsid w:val="00BB028A"/>
    <w:rsid w:val="00BB4C52"/>
    <w:rsid w:val="00BC1559"/>
    <w:rsid w:val="00BC2EDB"/>
    <w:rsid w:val="00BC3230"/>
    <w:rsid w:val="00BD0709"/>
    <w:rsid w:val="00BD107C"/>
    <w:rsid w:val="00BD5176"/>
    <w:rsid w:val="00BD5F96"/>
    <w:rsid w:val="00BE27D6"/>
    <w:rsid w:val="00BE2F08"/>
    <w:rsid w:val="00BE2F92"/>
    <w:rsid w:val="00BE4A28"/>
    <w:rsid w:val="00BF7794"/>
    <w:rsid w:val="00C01AD5"/>
    <w:rsid w:val="00C07D80"/>
    <w:rsid w:val="00C152FB"/>
    <w:rsid w:val="00C21F28"/>
    <w:rsid w:val="00C26F9B"/>
    <w:rsid w:val="00C3025A"/>
    <w:rsid w:val="00C33E49"/>
    <w:rsid w:val="00C41D90"/>
    <w:rsid w:val="00C43E6E"/>
    <w:rsid w:val="00C43ECD"/>
    <w:rsid w:val="00C44157"/>
    <w:rsid w:val="00C46CD3"/>
    <w:rsid w:val="00C53A9D"/>
    <w:rsid w:val="00C54BD1"/>
    <w:rsid w:val="00C55D99"/>
    <w:rsid w:val="00C63220"/>
    <w:rsid w:val="00C6424D"/>
    <w:rsid w:val="00C77E6C"/>
    <w:rsid w:val="00C848A4"/>
    <w:rsid w:val="00C86268"/>
    <w:rsid w:val="00C9361D"/>
    <w:rsid w:val="00C94D75"/>
    <w:rsid w:val="00CA5098"/>
    <w:rsid w:val="00CA58C4"/>
    <w:rsid w:val="00CA5E4F"/>
    <w:rsid w:val="00CB2330"/>
    <w:rsid w:val="00CB2FA1"/>
    <w:rsid w:val="00CB398D"/>
    <w:rsid w:val="00CB3F13"/>
    <w:rsid w:val="00CB49E7"/>
    <w:rsid w:val="00CB5146"/>
    <w:rsid w:val="00CB5494"/>
    <w:rsid w:val="00CB6C31"/>
    <w:rsid w:val="00CB785D"/>
    <w:rsid w:val="00CC0BC1"/>
    <w:rsid w:val="00CC4C7A"/>
    <w:rsid w:val="00CD7D13"/>
    <w:rsid w:val="00CE1524"/>
    <w:rsid w:val="00CE2C3B"/>
    <w:rsid w:val="00CF47BA"/>
    <w:rsid w:val="00D00F24"/>
    <w:rsid w:val="00D03EA8"/>
    <w:rsid w:val="00D07575"/>
    <w:rsid w:val="00D12178"/>
    <w:rsid w:val="00D124A0"/>
    <w:rsid w:val="00D1322A"/>
    <w:rsid w:val="00D1446E"/>
    <w:rsid w:val="00D22DC7"/>
    <w:rsid w:val="00D2684D"/>
    <w:rsid w:val="00D26EE3"/>
    <w:rsid w:val="00D26F8E"/>
    <w:rsid w:val="00D3093B"/>
    <w:rsid w:val="00D44D75"/>
    <w:rsid w:val="00D64B23"/>
    <w:rsid w:val="00D67B07"/>
    <w:rsid w:val="00D713CA"/>
    <w:rsid w:val="00D715C9"/>
    <w:rsid w:val="00D728C7"/>
    <w:rsid w:val="00D7322E"/>
    <w:rsid w:val="00D73B4D"/>
    <w:rsid w:val="00D762B4"/>
    <w:rsid w:val="00D808C2"/>
    <w:rsid w:val="00D86A57"/>
    <w:rsid w:val="00D87EC1"/>
    <w:rsid w:val="00D9662E"/>
    <w:rsid w:val="00DB1465"/>
    <w:rsid w:val="00DB26DC"/>
    <w:rsid w:val="00DC4CB0"/>
    <w:rsid w:val="00DC5DC0"/>
    <w:rsid w:val="00DD57F6"/>
    <w:rsid w:val="00DD7C24"/>
    <w:rsid w:val="00DE1148"/>
    <w:rsid w:val="00DE26A5"/>
    <w:rsid w:val="00DF20D7"/>
    <w:rsid w:val="00DF61BE"/>
    <w:rsid w:val="00DF6B11"/>
    <w:rsid w:val="00DF6FAB"/>
    <w:rsid w:val="00DF7F86"/>
    <w:rsid w:val="00E0114E"/>
    <w:rsid w:val="00E016C4"/>
    <w:rsid w:val="00E25DFC"/>
    <w:rsid w:val="00E26A2B"/>
    <w:rsid w:val="00E331FE"/>
    <w:rsid w:val="00E3446A"/>
    <w:rsid w:val="00E41E7B"/>
    <w:rsid w:val="00E435E6"/>
    <w:rsid w:val="00E441B1"/>
    <w:rsid w:val="00E5139C"/>
    <w:rsid w:val="00E57903"/>
    <w:rsid w:val="00E84451"/>
    <w:rsid w:val="00E878B2"/>
    <w:rsid w:val="00E93944"/>
    <w:rsid w:val="00E94781"/>
    <w:rsid w:val="00E94997"/>
    <w:rsid w:val="00E96371"/>
    <w:rsid w:val="00E97968"/>
    <w:rsid w:val="00EA13B5"/>
    <w:rsid w:val="00EB6AD0"/>
    <w:rsid w:val="00EC0D4F"/>
    <w:rsid w:val="00EC1AFE"/>
    <w:rsid w:val="00EC66ED"/>
    <w:rsid w:val="00EC716C"/>
    <w:rsid w:val="00ED0B53"/>
    <w:rsid w:val="00ED2653"/>
    <w:rsid w:val="00EE056B"/>
    <w:rsid w:val="00EE0F31"/>
    <w:rsid w:val="00EE18A4"/>
    <w:rsid w:val="00EE1B5A"/>
    <w:rsid w:val="00EE241B"/>
    <w:rsid w:val="00EE5297"/>
    <w:rsid w:val="00EE7777"/>
    <w:rsid w:val="00EF26CE"/>
    <w:rsid w:val="00EF2F25"/>
    <w:rsid w:val="00EF3D28"/>
    <w:rsid w:val="00F03FB3"/>
    <w:rsid w:val="00F140F9"/>
    <w:rsid w:val="00F15D16"/>
    <w:rsid w:val="00F15E33"/>
    <w:rsid w:val="00F16AB9"/>
    <w:rsid w:val="00F16E5B"/>
    <w:rsid w:val="00F2205E"/>
    <w:rsid w:val="00F22DF4"/>
    <w:rsid w:val="00F22F08"/>
    <w:rsid w:val="00F257E6"/>
    <w:rsid w:val="00F276C3"/>
    <w:rsid w:val="00F30CE0"/>
    <w:rsid w:val="00F33514"/>
    <w:rsid w:val="00F35852"/>
    <w:rsid w:val="00F41A97"/>
    <w:rsid w:val="00F60D0B"/>
    <w:rsid w:val="00F6127F"/>
    <w:rsid w:val="00F63B95"/>
    <w:rsid w:val="00F70FCB"/>
    <w:rsid w:val="00F761BD"/>
    <w:rsid w:val="00F8674E"/>
    <w:rsid w:val="00F86B19"/>
    <w:rsid w:val="00F9096A"/>
    <w:rsid w:val="00F94F46"/>
    <w:rsid w:val="00FA358F"/>
    <w:rsid w:val="00FA391E"/>
    <w:rsid w:val="00FA5961"/>
    <w:rsid w:val="00FA596B"/>
    <w:rsid w:val="00FA71E5"/>
    <w:rsid w:val="00FA7AE4"/>
    <w:rsid w:val="00FB045E"/>
    <w:rsid w:val="00FB6068"/>
    <w:rsid w:val="00FC381B"/>
    <w:rsid w:val="00FD078D"/>
    <w:rsid w:val="00FD14FA"/>
    <w:rsid w:val="00FD59EE"/>
    <w:rsid w:val="00FE4C38"/>
    <w:rsid w:val="00FE688C"/>
    <w:rsid w:val="00FF24FE"/>
    <w:rsid w:val="00FF4CAA"/>
    <w:rsid w:val="01966549"/>
    <w:rsid w:val="0958086A"/>
    <w:rsid w:val="10E22752"/>
    <w:rsid w:val="256E7CB3"/>
    <w:rsid w:val="35316ED2"/>
    <w:rsid w:val="395024DF"/>
    <w:rsid w:val="3BF511EF"/>
    <w:rsid w:val="3F051C53"/>
    <w:rsid w:val="44BB13F3"/>
    <w:rsid w:val="452B604A"/>
    <w:rsid w:val="525513A4"/>
    <w:rsid w:val="544011A3"/>
    <w:rsid w:val="566775D0"/>
    <w:rsid w:val="5D9C45B3"/>
    <w:rsid w:val="606C7440"/>
    <w:rsid w:val="643B1DB7"/>
    <w:rsid w:val="657141B7"/>
  </w:rsids>
  <m:mathPr>
    <m:mathFont m:val="Cambria Math"/>
    <m:brkBin m:val="before"/>
    <m:brkBinSub m:val="--"/>
    <m:smallFrac m:val="0"/>
    <m:dispDef/>
    <m:lMargin m:val="0"/>
    <m:rMargin m:val="0"/>
    <m:defJc m:val="centerGroup"/>
    <m:wrapIndent m:val="1440"/>
    <m:intLim m:val="subSup"/>
    <m:naryLim m:val="undOvr"/>
  </m:mathPr>
  <w:themeFontLang w:val="en-IN"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FF40A"/>
  <w15:docId w15:val="{D4BD9C1E-0D0E-46FA-92C6-1EAC1119D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2">
    <w:name w:val="heading 2"/>
    <w:basedOn w:val="Normal"/>
    <w:next w:val="Normal"/>
    <w:link w:val="Heading2Char"/>
    <w:uiPriority w:val="9"/>
    <w:semiHidden/>
    <w:unhideWhenUsed/>
    <w:qFormat/>
    <w:rsid w:val="007026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qFormat/>
    <w:pPr>
      <w:spacing w:before="100" w:beforeAutospacing="1" w:after="100" w:afterAutospacing="1"/>
      <w:outlineLvl w:val="2"/>
    </w:pPr>
    <w:rPr>
      <w:rFonts w:ascii="SimSun" w:hAnsi="SimSun" w:hint="eastAsia"/>
      <w:b/>
      <w:bCs/>
      <w:sz w:val="27"/>
      <w:szCs w:val="27"/>
      <w:lang w:val="en-US" w:eastAsia="zh-CN"/>
    </w:rPr>
  </w:style>
  <w:style w:type="paragraph" w:styleId="Heading4">
    <w:name w:val="heading 4"/>
    <w:next w:val="Normal"/>
    <w:link w:val="Heading4Char"/>
    <w:qFormat/>
    <w:pPr>
      <w:spacing w:before="100" w:beforeAutospacing="1" w:after="100"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NormalWeb">
    <w:name w:val="Normal (Web)"/>
    <w:uiPriority w:val="99"/>
    <w:qFormat/>
    <w:pPr>
      <w:spacing w:before="100" w:beforeAutospacing="1" w:after="100" w:afterAutospacing="1"/>
    </w:pPr>
    <w:rPr>
      <w:sz w:val="24"/>
      <w:szCs w:val="24"/>
      <w:lang w:val="en-US" w:eastAsia="zh-CN"/>
    </w:rPr>
  </w:style>
  <w:style w:type="character" w:styleId="Strong">
    <w:name w:val="Strong"/>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efault">
    <w:name w:val="Default"/>
    <w:qFormat/>
    <w:pPr>
      <w:autoSpaceDE w:val="0"/>
      <w:autoSpaceDN w:val="0"/>
      <w:adjustRightInd w:val="0"/>
    </w:pPr>
    <w:rPr>
      <w:rFonts w:eastAsiaTheme="minorHAnsi"/>
      <w:color w:val="000000"/>
      <w:sz w:val="24"/>
      <w:szCs w:val="24"/>
      <w:lang w:eastAsia="en-US" w:bidi="ta-IN"/>
      <w14:ligatures w14:val="standardContextual"/>
    </w:rPr>
  </w:style>
  <w:style w:type="character" w:customStyle="1" w:styleId="Heading3Char">
    <w:name w:val="Heading 3 Char"/>
    <w:basedOn w:val="DefaultParagraphFont"/>
    <w:link w:val="Heading3"/>
    <w:qFormat/>
    <w:rPr>
      <w:rFonts w:ascii="SimSun" w:eastAsia="SimSun" w:hAnsi="SimSun" w:cs="Times New Roman"/>
      <w:b/>
      <w:bCs/>
      <w:kern w:val="0"/>
      <w:sz w:val="27"/>
      <w:szCs w:val="27"/>
      <w:lang w:val="en-US" w:eastAsia="zh-CN"/>
      <w14:ligatures w14:val="none"/>
    </w:rPr>
  </w:style>
  <w:style w:type="character" w:customStyle="1" w:styleId="Heading4Char">
    <w:name w:val="Heading 4 Char"/>
    <w:basedOn w:val="DefaultParagraphFont"/>
    <w:link w:val="Heading4"/>
    <w:qFormat/>
    <w:rPr>
      <w:rFonts w:ascii="SimSun" w:eastAsia="SimSun" w:hAnsi="SimSun" w:cs="Times New Roman"/>
      <w:b/>
      <w:bCs/>
      <w:kern w:val="0"/>
      <w:sz w:val="24"/>
      <w:szCs w:val="24"/>
      <w:lang w:val="en-US" w:eastAsia="zh-CN"/>
      <w14:ligatures w14:val="none"/>
    </w:rPr>
  </w:style>
  <w:style w:type="character" w:customStyle="1" w:styleId="HeaderChar">
    <w:name w:val="Header Char"/>
    <w:basedOn w:val="DefaultParagraphFont"/>
    <w:link w:val="Header"/>
    <w:uiPriority w:val="99"/>
    <w:qFormat/>
    <w:rPr>
      <w:kern w:val="2"/>
      <w:sz w:val="22"/>
      <w:szCs w:val="22"/>
      <w:lang w:eastAsia="en-US"/>
      <w14:ligatures w14:val="standardContextual"/>
    </w:rPr>
  </w:style>
  <w:style w:type="character" w:customStyle="1" w:styleId="FooterChar">
    <w:name w:val="Footer Char"/>
    <w:basedOn w:val="DefaultParagraphFont"/>
    <w:link w:val="Footer"/>
    <w:uiPriority w:val="99"/>
    <w:qFormat/>
    <w:rPr>
      <w:kern w:val="2"/>
      <w:sz w:val="22"/>
      <w:szCs w:val="22"/>
      <w:lang w:eastAsia="en-US"/>
      <w14:ligatures w14:val="standardContextual"/>
    </w:rPr>
  </w:style>
  <w:style w:type="paragraph" w:styleId="Revision">
    <w:name w:val="Revision"/>
    <w:hidden/>
    <w:uiPriority w:val="99"/>
    <w:unhideWhenUsed/>
    <w:rsid w:val="00F15D16"/>
    <w:rPr>
      <w:rFonts w:asciiTheme="minorHAnsi" w:eastAsiaTheme="minorHAnsi" w:hAnsiTheme="minorHAnsi" w:cstheme="minorBidi"/>
      <w:kern w:val="2"/>
      <w:sz w:val="22"/>
      <w:szCs w:val="22"/>
      <w:lang w:eastAsia="en-US"/>
      <w14:ligatures w14:val="standardContextual"/>
    </w:rPr>
  </w:style>
  <w:style w:type="character" w:customStyle="1" w:styleId="Heading2Char">
    <w:name w:val="Heading 2 Char"/>
    <w:basedOn w:val="DefaultParagraphFont"/>
    <w:link w:val="Heading2"/>
    <w:uiPriority w:val="9"/>
    <w:semiHidden/>
    <w:rsid w:val="00702610"/>
    <w:rPr>
      <w:rFonts w:asciiTheme="majorHAnsi" w:eastAsiaTheme="majorEastAsia" w:hAnsiTheme="majorHAnsi" w:cstheme="majorBidi"/>
      <w:color w:val="2F5496" w:themeColor="accent1" w:themeShade="BF"/>
      <w:kern w:val="2"/>
      <w:sz w:val="26"/>
      <w:szCs w:val="26"/>
      <w:lang w:eastAsia="en-US"/>
      <w14:ligatures w14:val="standardContextual"/>
    </w:rPr>
  </w:style>
  <w:style w:type="character" w:styleId="Hyperlink">
    <w:name w:val="Hyperlink"/>
    <w:basedOn w:val="DefaultParagraphFont"/>
    <w:uiPriority w:val="99"/>
    <w:unhideWhenUsed/>
    <w:rsid w:val="00702610"/>
    <w:rPr>
      <w:color w:val="0563C1" w:themeColor="hyperlink"/>
      <w:u w:val="single"/>
    </w:rPr>
  </w:style>
  <w:style w:type="character" w:styleId="UnresolvedMention">
    <w:name w:val="Unresolved Mention"/>
    <w:basedOn w:val="DefaultParagraphFont"/>
    <w:uiPriority w:val="99"/>
    <w:semiHidden/>
    <w:unhideWhenUsed/>
    <w:rsid w:val="00477D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nlinelibrary.wiley.com/doi/full/10.1002/vms3.70044"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researchgate.net/journal/Avian-Diseases-1938-4351?_tp=eyJjb250ZXh0Ijp7ImZpcnN0UGFnZSI6InB1YmxpY2F0aW9uIiwicGFnZSI6InB1YmxpY2F0aW9uIn1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AFE34C-AABF-4F68-906F-44D45FF1AE21}">
  <we:reference id="wa104382081" version="1.55.1.0" store="en-US"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5E7E5-B0FA-4FF3-BC5A-6F3B01E2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3471</Words>
  <Characters>21387</Characters>
  <Application>Microsoft Office Word</Application>
  <DocSecurity>0</DocSecurity>
  <Lines>375</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Sukandhiya Krishnan</dc:creator>
  <cp:lastModifiedBy>Editor-17</cp:lastModifiedBy>
  <cp:revision>45</cp:revision>
  <dcterms:created xsi:type="dcterms:W3CDTF">2025-09-01T08:54:00Z</dcterms:created>
  <dcterms:modified xsi:type="dcterms:W3CDTF">2025-09-10T10:43:00Z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46DE5DCA348D493A8FD79AD5D51A7CC7_12</vt:lpwstr>
  </property>
  <property fmtid="{D5CDD505-2E9C-101B-9397-08002B2CF9AE}" pid="4" name="GrammarlyDocumentId">
    <vt:lpwstr>d08f42b9-d2d7-40e5-bd83-9fdda9d2a192</vt:lpwstr>
  </property>
</Properties>
</file>