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DEE09" w14:textId="6A458CBD" w:rsidR="00006468" w:rsidRPr="00ED5347" w:rsidRDefault="000864FF" w:rsidP="00925095">
      <w:pPr>
        <w:spacing w:after="0" w:line="360" w:lineRule="auto"/>
        <w:jc w:val="center"/>
        <w:rPr>
          <w:rFonts w:ascii="Times New Roman" w:hAnsi="Times New Roman" w:cs="Times New Roman"/>
          <w:b/>
          <w:bCs/>
        </w:rPr>
      </w:pPr>
      <w:r w:rsidRPr="00ED5347">
        <w:rPr>
          <w:rFonts w:ascii="Times New Roman" w:hAnsi="Times New Roman" w:cs="Times New Roman"/>
          <w:b/>
          <w:bCs/>
        </w:rPr>
        <w:t>Targeting SERPINE1 with Esculetin for Migraine Management: Computational Insights and In-vitro Validation</w:t>
      </w:r>
    </w:p>
    <w:p w14:paraId="54124CCC" w14:textId="77777777" w:rsidR="00006468" w:rsidRDefault="00006468" w:rsidP="00925095">
      <w:pPr>
        <w:spacing w:after="0" w:line="360" w:lineRule="auto"/>
        <w:jc w:val="center"/>
        <w:rPr>
          <w:rFonts w:ascii="Times New Roman" w:hAnsi="Times New Roman" w:cs="Times New Roman"/>
          <w:b/>
          <w:bCs/>
          <w:sz w:val="28"/>
          <w:szCs w:val="28"/>
        </w:rPr>
      </w:pPr>
    </w:p>
    <w:p w14:paraId="684C647D" w14:textId="56ED07D2" w:rsidR="0084148E" w:rsidRDefault="0084148E" w:rsidP="0084148E">
      <w:pPr>
        <w:spacing w:line="360" w:lineRule="auto"/>
        <w:jc w:val="both"/>
        <w:rPr>
          <w:rFonts w:ascii="Times New Roman" w:hAnsi="Times New Roman" w:cs="Times New Roman"/>
          <w:sz w:val="20"/>
          <w:szCs w:val="20"/>
        </w:rPr>
      </w:pPr>
      <w:r w:rsidRPr="00925095">
        <w:rPr>
          <w:rFonts w:ascii="Times New Roman" w:hAnsi="Times New Roman" w:cs="Times New Roman"/>
          <w:b/>
          <w:bCs/>
        </w:rPr>
        <w:t>Abstract</w:t>
      </w:r>
      <w:r w:rsidRPr="00925095">
        <w:rPr>
          <w:rFonts w:ascii="Times New Roman" w:hAnsi="Times New Roman" w:cs="Times New Roman"/>
          <w:sz w:val="20"/>
          <w:szCs w:val="20"/>
        </w:rPr>
        <w:br/>
      </w:r>
      <w:r w:rsidR="004F358B" w:rsidRPr="004F358B">
        <w:rPr>
          <w:rFonts w:ascii="Times New Roman" w:hAnsi="Times New Roman" w:cs="Times New Roman"/>
          <w:sz w:val="20"/>
          <w:szCs w:val="20"/>
        </w:rPr>
        <w:t xml:space="preserve">Migraine is a multifactorial neurovascular disorder involving aberrant neuronal excitability, vascular dysregulation, and neuroinflammation. Current therapies often provide incomplete relief and may cause adverse effects, highlighting the need for safer, multi-target interventions. This study explored the potential anti-migraine mechanisms of esculetin, a naturally occurring coumarin derivative with antioxidant, anti-inflammatory, and </w:t>
      </w:r>
      <w:proofErr w:type="spellStart"/>
      <w:r w:rsidR="004F358B" w:rsidRPr="004F358B">
        <w:rPr>
          <w:rFonts w:ascii="Times New Roman" w:hAnsi="Times New Roman" w:cs="Times New Roman"/>
          <w:sz w:val="20"/>
          <w:szCs w:val="20"/>
        </w:rPr>
        <w:t>vasomodulatory</w:t>
      </w:r>
      <w:proofErr w:type="spellEnd"/>
      <w:r w:rsidR="004F358B" w:rsidRPr="004F358B">
        <w:rPr>
          <w:rFonts w:ascii="Times New Roman" w:hAnsi="Times New Roman" w:cs="Times New Roman"/>
          <w:sz w:val="20"/>
          <w:szCs w:val="20"/>
        </w:rPr>
        <w:t xml:space="preserve"> properties. Network pharmacology identified SERPINE1 (serpin family E member 1), GSK3B (glycogen synthase kinase 3 beta), STAT1 (signal transducer and activator of transcription 1), IRAK1 (interleukin-1 receptor-associated kinase 1), and CA12 (carbonic anhydrase 12) as hub targets linked to Toll-like receptor signaling, neuroinflammatory regulation, and vascular remodeling. Molecular docking ranked SERPINE1 (plasminogen activator inhibitor-1, PAI-1; PDB: 4AQH) as the highest-affinity target (−7.50 kcal/mol) via dual hydrogen bonds and π–π stacking, followed by GSK3B and STAT1. Molecular dynamics (MD) simulations confirmed stable esculetin–SERPINE1 binding with consistent root-mean-square deviation (RMSD) and persistent hydrogen bond occupancy, indicating sustained interaction under physiological conditions. In vitro assays using U-87 glioblastoma cells showed preserved viability (&gt;85%) at 6.25–50 μM, while higher concentrations induced dose-dependent cytotoxicity (half-maximal inhibitory concentration, IC₅₀ ≈ 220 μM). 2′,7′-Dichlorofluorescin diacetate (DCFH-DA) fluorescence revealed elevated reactive oxygen species (ROS) levels at IC₅₀, suggesting oxidative stress contributes to high-dose cytotoxicity. These findings suggest esculetin may act as a multi-target migraine modulator, particularly via SERPINE1 inhibition, with a dose-dependent shift from neuroprotection to oxidative stress induction. Further in vivo validation and blood–brain barrier (BBB) permeability studies are warranted to assess clinical translation.</w:t>
      </w:r>
    </w:p>
    <w:p w14:paraId="6BA4A840" w14:textId="77777777" w:rsidR="00925095" w:rsidRPr="00925095" w:rsidRDefault="00925095" w:rsidP="0084148E">
      <w:pPr>
        <w:spacing w:line="360" w:lineRule="auto"/>
        <w:jc w:val="both"/>
        <w:rPr>
          <w:rFonts w:ascii="Times New Roman" w:hAnsi="Times New Roman" w:cs="Times New Roman"/>
          <w:sz w:val="20"/>
          <w:szCs w:val="20"/>
        </w:rPr>
      </w:pPr>
    </w:p>
    <w:p w14:paraId="55B80964" w14:textId="77777777" w:rsidR="0084148E" w:rsidRPr="00925095" w:rsidRDefault="0084148E" w:rsidP="0084148E">
      <w:pPr>
        <w:spacing w:line="360" w:lineRule="auto"/>
        <w:jc w:val="both"/>
        <w:rPr>
          <w:rFonts w:ascii="Times New Roman" w:hAnsi="Times New Roman" w:cs="Times New Roman"/>
          <w:b/>
          <w:bCs/>
          <w:sz w:val="20"/>
          <w:szCs w:val="20"/>
        </w:rPr>
      </w:pPr>
      <w:r w:rsidRPr="00925095">
        <w:rPr>
          <w:rFonts w:ascii="Times New Roman" w:hAnsi="Times New Roman" w:cs="Times New Roman"/>
          <w:b/>
          <w:bCs/>
        </w:rPr>
        <w:t>Keywords</w:t>
      </w:r>
      <w:r w:rsidRPr="00925095">
        <w:rPr>
          <w:rFonts w:ascii="Times New Roman" w:hAnsi="Times New Roman" w:cs="Times New Roman"/>
        </w:rPr>
        <w:t>:</w:t>
      </w:r>
      <w:r w:rsidRPr="00925095">
        <w:rPr>
          <w:rFonts w:ascii="Times New Roman" w:hAnsi="Times New Roman" w:cs="Times New Roman"/>
          <w:sz w:val="20"/>
          <w:szCs w:val="20"/>
        </w:rPr>
        <w:t xml:space="preserve"> Esculetin, Migraine, SERPINE1, Molecular docking, Oxidative stress</w:t>
      </w:r>
    </w:p>
    <w:p w14:paraId="67958D28" w14:textId="77777777" w:rsidR="0084148E" w:rsidRPr="00925095" w:rsidRDefault="0084148E" w:rsidP="002E7452">
      <w:pPr>
        <w:spacing w:line="360" w:lineRule="auto"/>
        <w:jc w:val="both"/>
        <w:rPr>
          <w:rFonts w:ascii="Times New Roman" w:hAnsi="Times New Roman" w:cs="Times New Roman"/>
          <w:b/>
          <w:bCs/>
          <w:sz w:val="20"/>
          <w:szCs w:val="20"/>
        </w:rPr>
      </w:pPr>
    </w:p>
    <w:p w14:paraId="32A70036" w14:textId="77777777" w:rsidR="0084148E" w:rsidRPr="00925095" w:rsidRDefault="0084148E">
      <w:pPr>
        <w:rPr>
          <w:rFonts w:ascii="Times New Roman" w:hAnsi="Times New Roman" w:cs="Times New Roman"/>
          <w:b/>
          <w:bCs/>
          <w:sz w:val="20"/>
          <w:szCs w:val="20"/>
        </w:rPr>
      </w:pPr>
      <w:r w:rsidRPr="00925095">
        <w:rPr>
          <w:rFonts w:ascii="Times New Roman" w:hAnsi="Times New Roman" w:cs="Times New Roman"/>
          <w:b/>
          <w:bCs/>
          <w:sz w:val="20"/>
          <w:szCs w:val="20"/>
        </w:rPr>
        <w:br w:type="page"/>
      </w:r>
    </w:p>
    <w:p w14:paraId="21BF1106" w14:textId="6F553389" w:rsidR="002E7452" w:rsidRPr="00925095" w:rsidRDefault="002E7452" w:rsidP="002E7452">
      <w:pPr>
        <w:spacing w:line="360" w:lineRule="auto"/>
        <w:jc w:val="both"/>
        <w:rPr>
          <w:rFonts w:ascii="Times New Roman" w:hAnsi="Times New Roman" w:cs="Times New Roman"/>
          <w:b/>
          <w:bCs/>
        </w:rPr>
      </w:pPr>
      <w:r w:rsidRPr="00925095">
        <w:rPr>
          <w:rFonts w:ascii="Times New Roman" w:hAnsi="Times New Roman" w:cs="Times New Roman"/>
          <w:b/>
          <w:bCs/>
        </w:rPr>
        <w:lastRenderedPageBreak/>
        <w:t>1. INTRODUCTION</w:t>
      </w:r>
    </w:p>
    <w:p w14:paraId="57E159D1" w14:textId="19728083" w:rsidR="002E7452"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Migraine is one of the most prevalent and disabling neurological disorders worldwide, characterized by recurrent attacks of moderate to severe headache, often lasting 4–72 hours, and frequently accompanied by nausea, vomiting, photophobia, and phonophobia. Globally, it is estimated to affect over 1 billion individuals, with a lifetime prevalence of approximately 18% in women and 6% in men</w:t>
      </w:r>
      <w:r w:rsidR="00715663" w:rsidRPr="00925095">
        <w:rPr>
          <w:rFonts w:ascii="Times New Roman" w:hAnsi="Times New Roman" w:cs="Times New Roman"/>
          <w:sz w:val="20"/>
          <w:szCs w:val="20"/>
        </w:rPr>
        <w:t xml:space="preserve"> </w:t>
      </w:r>
      <w:r w:rsidR="00715663" w:rsidRPr="00925095">
        <w:rPr>
          <w:rFonts w:ascii="Times New Roman" w:hAnsi="Times New Roman" w:cs="Times New Roman"/>
          <w:sz w:val="20"/>
          <w:szCs w:val="20"/>
        </w:rPr>
        <w:fldChar w:fldCharType="begin"/>
      </w:r>
      <w:r w:rsidR="00715663" w:rsidRPr="00925095">
        <w:rPr>
          <w:rFonts w:ascii="Times New Roman" w:hAnsi="Times New Roman" w:cs="Times New Roman"/>
          <w:sz w:val="20"/>
          <w:szCs w:val="20"/>
        </w:rPr>
        <w:instrText xml:space="preserve"> ADDIN ZOTERO_ITEM CSL_CITATION {"citationID":"4F5wDjiC","properties":{"formattedCitation":"(1,2)","plainCitation":"(1,2)","noteIndex":0},"citationItems":[{"id":2079,"uris":["http://zotero.org/groups/5334213/items/IYUI7FZL"],"itemData":{"id":2079,"type":"chapter","abstract":"Migraine is a genetically influenced complex neurological disorder characterized by episodes of moderate-to-severe headaches, typically unilateral and frequently accompanied by nausea and heightened sensitivity to light and sound. The word \"migraine\" is derived from the Greek word hemikrania, which was later converted into Latin as hemigranea. The French translation of the term is migraine.  Migraine is a common cause of disability and loss of work. Migraine attacks are complex and recurrent neurological events that can unfold for hours to days and significantly impact daily activities and the quality of life of individuals. The most prevalent type of migraine, accounting for 75% of cases, is migraine without aura. Subtypes of Migraine  Migraines can be classified into the following subtypes according to the Headache Classification Committee of the International Headache Society. : A migraine without aura: This subtype involves recurrent headache attacks lasting 4 to 72 hours. The pain is typically unilateral, pulsating in quality, moderate-to-severe in intensity, aggravated by physical activity, and associated with nausea, light (photophobia), and sound sensitivity (phonophobia). Migraine with aura: This subtype features recurrent, fully reversible attacks lasting minutes, typically presenting with 1 or more unilateral symptoms such as visual, sensory, speech and language, motor, brainstem, or retinal disturbances, usually followed by headache and other migraine symptoms. Chronic migraine: This is defined as a headache that occurs on 15 or more days in a month for more than 3 months, with migraine features present on at least 8 or more days in a month. Probable migraine: This is a symptomatic migraine attack that lacks 1 of the features required to fulfill the criteria for 1 of the above and does not meet the criteria for another type of headache. Episodic syndromes that may be associated with migraine are mentioned below. Recurrent gastrointestinal disturbances involve recurrent attacks of abdominal pain, discomfort, nausea, and vomiting that may be associated with migraines. Benign paroxysmal vertigo involves brief, recurrent attacks of vertigo. Benign paroxysmal torticollis is characterized by recurrent episodes of head tilt to 1 side. Complications of Migraine Migraines can lead to various complications, including the following:                                                 : Status migrainosus: This is a debilitating migraine attack that lasts more than 72 hours. Persistent aura without infarction: This refers to an aura that persists for more than 1 week without evidence of infarction on neuroimaging. Migrainous infarction: This refers to 1 or more aura symptoms associated with brain ischemia on neuroimaging during a typical migraine attack. Migraine aura-triggered seizure: This occurs during an attack of migraine with aura, where a seizure is triggered. .","call-number":"NBK560787","container-title":"StatPearls","event-place":"Treasure Island (FL)","language":"eng","license":"Copyright © 2025, StatPearls Publishing LLC.","note":"PMID: 32809622","publisher":"StatPearls Publishing","publisher-place":"Treasure Island (FL)","source":"PubMed","title":"Migraine Headache","URL":"http://www.ncbi.nlm.nih.gov/books/NBK560787/","author":[{"family":"Pescador Ruschel","given":"Marco A."},{"family":"De Jesus","given":"Orlando"}],"accessed":{"date-parts":[["2025",8,19]]},"issued":{"date-parts":[["2025"]]}}},{"id":2082,"uris":["http://zotero.org/groups/5334213/items/IVZPCD3Y"],"itemData":{"id":2082,"type":"article-journal","abstract":"Migraine is a disabling primary headache disorder that directly affects more than one billion people worldwide. Despite its widespread prevalence, migraine remains under-diagnosed and under-treated. To support clinical decision-making, we convened a European panel of experts to develop a ten-step approach to the diagnosis and management of migraine. Each step was established by expert consensus and supported by a review of current literature, and the Consensus Statement is endorsed by the European Headache Federation and the European Academy of Neurology. In this Consensus Statement, we introduce typical clinical features, diagnostic criteria and differential diagnoses of migraine. We then emphasize the value of patient centricity and patient education to ensure treatment adherence and satisfaction with care provision. Further, we outline best practices for acute and preventive treatment of migraine in various patient populations, including adults, children and adolescents, pregnant and breastfeeding women, and older people. In addition, we provide recommendations for evaluating treatment response and managing treatment failure. Lastly, we discuss the management of complications and comorbidities as well as the importance of planning long-term follow-up.","container-title":"Nature Reviews Neurology","DOI":"10.1038/s41582-021-00509-5","ISSN":"1759-4766","issue":"8","journalAbbreviation":"Nat Rev Neurol","language":"en","license":"2021 The Author(s)","note":"publisher: Nature Publishing Group","page":"501-514","source":"www.nature.com","title":"Diagnosis and management of migraine in ten steps","volume":"17","author":[{"family":"Eigenbrodt","given":"Anna K."},{"family":"Ashina","given":"Håkan"},{"family":"Khan","given":"Sabrina"},{"family":"Diener","given":"Hans-Christoph"},{"family":"Mitsikostas","given":"Dimos D."},{"family":"Sinclair","given":"Alexandra J."},{"family":"Pozo-Rosich","given":"Patricia"},{"family":"Martelletti","given":"Paolo"},{"family":"Ducros","given":"Anne"},{"family":"Lantéri-Minet","given":"Michel"},{"family":"Braschinsky","given":"Mark"},{"family":"Rio","given":"Margarita Sanchez","non-dropping-particle":"del"},{"family":"Daniel","given":"Oved"},{"family":"Özge","given":"Aynur"},{"family":"Mammadbayli","given":"Ayten"},{"family":"Arons","given":"Mihails"},{"family":"Skorobogatykh","given":"Kirill"},{"family":"Romanenko","given":"Vladimir"},{"family":"Terwindt","given":"Gisela M."},{"family":"Paemeleire","given":"Koen"},{"family":"Sacco","given":"Simona"},{"family":"Reuter","given":"Uwe"},{"family":"Lampl","given":"Christian"},{"family":"Schytz","given":"Henrik W."},{"family":"Katsarava","given":"Zaza"},{"family":"Steiner","given":"Timothy J."},{"family":"Ashina","given":"Messoud"}],"issued":{"date-parts":[["2021",8]]}}}],"schema":"https://github.com/citation-style-language/schema/raw/master/csl-citation.json"} </w:instrText>
      </w:r>
      <w:r w:rsidR="00715663" w:rsidRPr="00925095">
        <w:rPr>
          <w:rFonts w:ascii="Times New Roman" w:hAnsi="Times New Roman" w:cs="Times New Roman"/>
          <w:sz w:val="20"/>
          <w:szCs w:val="20"/>
        </w:rPr>
        <w:fldChar w:fldCharType="separate"/>
      </w:r>
      <w:r w:rsidR="00715663" w:rsidRPr="00925095">
        <w:rPr>
          <w:rFonts w:ascii="Times New Roman" w:hAnsi="Times New Roman" w:cs="Times New Roman"/>
          <w:sz w:val="20"/>
          <w:szCs w:val="20"/>
        </w:rPr>
        <w:t>(1,2)</w:t>
      </w:r>
      <w:r w:rsidR="00715663" w:rsidRPr="00925095">
        <w:rPr>
          <w:rFonts w:ascii="Times New Roman" w:hAnsi="Times New Roman" w:cs="Times New Roman"/>
          <w:sz w:val="20"/>
          <w:szCs w:val="20"/>
        </w:rPr>
        <w:fldChar w:fldCharType="end"/>
      </w:r>
      <w:r w:rsidRPr="00925095">
        <w:rPr>
          <w:rFonts w:ascii="Times New Roman" w:hAnsi="Times New Roman" w:cs="Times New Roman"/>
          <w:sz w:val="20"/>
          <w:szCs w:val="20"/>
        </w:rPr>
        <w:t>. Migraine ranks second among all causes of years lived with disability (YLDs), particularly affecting individuals in their most productive years (15–49 years). The socioeconomic burden is substantial, with direct healthcare costs and indirect productivity losses estimated to exceed $20 billion annually in the United States alone, and similar trends are observed in Europe and Asia</w:t>
      </w:r>
      <w:r w:rsidR="00715663" w:rsidRPr="00925095">
        <w:rPr>
          <w:rFonts w:ascii="Times New Roman" w:hAnsi="Times New Roman" w:cs="Times New Roman"/>
          <w:sz w:val="20"/>
          <w:szCs w:val="20"/>
        </w:rPr>
        <w:t xml:space="preserve"> </w:t>
      </w:r>
      <w:r w:rsidR="00715663" w:rsidRPr="00925095">
        <w:rPr>
          <w:rFonts w:ascii="Times New Roman" w:hAnsi="Times New Roman" w:cs="Times New Roman"/>
          <w:sz w:val="20"/>
          <w:szCs w:val="20"/>
        </w:rPr>
        <w:fldChar w:fldCharType="begin"/>
      </w:r>
      <w:r w:rsidR="00715663" w:rsidRPr="00925095">
        <w:rPr>
          <w:rFonts w:ascii="Times New Roman" w:hAnsi="Times New Roman" w:cs="Times New Roman"/>
          <w:sz w:val="20"/>
          <w:szCs w:val="20"/>
        </w:rPr>
        <w:instrText xml:space="preserve"> ADDIN ZOTERO_ITEM CSL_CITATION {"citationID":"OyZSa4js","properties":{"formattedCitation":"(3)","plainCitation":"(3)","noteIndex":0},"citationItems":[{"id":2084,"uris":["http://zotero.org/groups/5334213/items/V7F9ZTYI"],"itemData":{"id":2084,"type":"article-journal","container-title":"The Journal of Headache and Pain","DOI":"10.1186/s10194-020-01208-0","ISSN":"1129-2377","issue":"1","journalAbbreviation":"The Journal of Headache and Pain","page":"137","source":"BioMed Central","title":"Migraine remains second among the world’s causes of disability, and first among young women: findings from GBD2019","title-short":"Migraine remains second among the world’s causes of disability, and first among young women","volume":"21","author":[{"family":"Steiner","given":"T. J."},{"family":"Stovner","given":"L. J."},{"family":"Jensen","given":"R."},{"family":"Uluduz","given":"D."},{"family":"Katsarava","given":"Z."},{"literal":"on behalf of Lifting The Burden: the Global Campaign against Headache"}],"issued":{"date-parts":[["2020",12,2]]}}}],"schema":"https://github.com/citation-style-language/schema/raw/master/csl-citation.json"} </w:instrText>
      </w:r>
      <w:r w:rsidR="00715663" w:rsidRPr="00925095">
        <w:rPr>
          <w:rFonts w:ascii="Times New Roman" w:hAnsi="Times New Roman" w:cs="Times New Roman"/>
          <w:sz w:val="20"/>
          <w:szCs w:val="20"/>
        </w:rPr>
        <w:fldChar w:fldCharType="separate"/>
      </w:r>
      <w:r w:rsidR="00715663" w:rsidRPr="00925095">
        <w:rPr>
          <w:rFonts w:ascii="Times New Roman" w:hAnsi="Times New Roman" w:cs="Times New Roman"/>
          <w:sz w:val="20"/>
          <w:szCs w:val="20"/>
        </w:rPr>
        <w:t>(3)</w:t>
      </w:r>
      <w:r w:rsidR="00715663"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50F3305D" w14:textId="123104A2" w:rsidR="002E7452"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pathogenesis of migraine is complex and multifactorial, involving neurovascular dysregulation, cortical hyperexcitability, and inflammatory signaling within the trigeminovascular system. Two pivotal mechanisms-oxidative stress and neuroinflammation-are increasingly recognized as central to migraine initiation and persistence</w:t>
      </w:r>
      <w:r w:rsidR="00CC4494" w:rsidRPr="00925095">
        <w:rPr>
          <w:rFonts w:ascii="Times New Roman" w:hAnsi="Times New Roman" w:cs="Times New Roman"/>
          <w:sz w:val="20"/>
          <w:szCs w:val="20"/>
        </w:rPr>
        <w:t xml:space="preserve"> </w:t>
      </w:r>
      <w:r w:rsidR="00CC4494" w:rsidRPr="00925095">
        <w:rPr>
          <w:rFonts w:ascii="Times New Roman" w:hAnsi="Times New Roman" w:cs="Times New Roman"/>
          <w:sz w:val="20"/>
          <w:szCs w:val="20"/>
        </w:rPr>
        <w:fldChar w:fldCharType="begin"/>
      </w:r>
      <w:r w:rsidR="00CC4494" w:rsidRPr="00925095">
        <w:rPr>
          <w:rFonts w:ascii="Times New Roman" w:hAnsi="Times New Roman" w:cs="Times New Roman"/>
          <w:sz w:val="20"/>
          <w:szCs w:val="20"/>
        </w:rPr>
        <w:instrText xml:space="preserve"> ADDIN ZOTERO_ITEM CSL_CITATION {"citationID":"lwNpNxGj","properties":{"formattedCitation":"(4)","plainCitation":"(4)","noteIndex":0},"citationItems":[{"id":2087,"uris":["http://zotero.org/groups/5334213/items/WEFMB8AA"],"itemData":{"id":2087,"type":"article-journal","abstract":"Plaguing humans for more than two millennia, manifest on every continent studied, and with more than one billion patients having an attack in any year, migraine stands as the sixth most common cause of disability on the planet. The pathophysiology of migraine has emerged from a historical consideration of the “humors” through mid-20th century distraction of the now defunct Vascular Theory to a clear place as a neurological disorder. It could be said there are three questions: why, how, and when? Why: migraine is largely accepted to be an inherited tendency for the brain to lose control of its inputs. How: the now classical trigeminal durovascular afferent pathway has been explored in laboratory and clinic; interrogated with immunohistochemistry to functional brain imaging to offer a roadmap of the attack. When: migraine attacks emerge due to a disorder of brain sensory processing that itself likely cycles, influenced by genetics and the environment. In the first, premonitory, phase that precedes headache, brain stem and diencephalic systems modulating afferent signals, light-photophobia or sound-phonophobia, begin to dysfunction and eventually to evolve to the pain phase and with time the resolution or postdromal phase. Understanding the biology of migraine through careful bench-based research has led to major classes of therapeutics being identified: triptans, serotonin 5-HT1B/1D receptor agonists; gepants, calcitonin gene-related peptide (CGRP) receptor antagonists; ditans, 5-HT1F receptor agonists, CGRP mechanisms monoclonal antibodies; and glurants, mGlu5 modulators; with the promise of more to come. Investment in understanding migraine has been very successful and leaves us at a new dawn, able to transform its impact on a global scale, as well as understand fundamental aspects of human biology.","container-title":"Physiological Reviews","DOI":"10.1152/physrev.00034.2015","ISSN":"0031-9333","issue":"2","note":"publisher: American Physiological Society","page":"553-622","source":"journals.physiology.org (Atypon)","title":"Pathophysiology of Migraine: A Disorder of Sensory Processing","title-short":"Pathophysiology of Migraine","volume":"97","author":[{"family":"Goadsby","given":"Peter J."},{"family":"Holland","given":"Philip R."},{"family":"Martins-Oliveira","given":"Margarida"},{"family":"Hoffmann","given":"Jan"},{"family":"Schankin","given":"Christoph"},{"family":"Akerman","given":"Simon"}],"issued":{"date-parts":[["2017",4]]}}}],"schema":"https://github.com/citation-style-language/schema/raw/master/csl-citation.json"} </w:instrText>
      </w:r>
      <w:r w:rsidR="00CC4494" w:rsidRPr="00925095">
        <w:rPr>
          <w:rFonts w:ascii="Times New Roman" w:hAnsi="Times New Roman" w:cs="Times New Roman"/>
          <w:sz w:val="20"/>
          <w:szCs w:val="20"/>
        </w:rPr>
        <w:fldChar w:fldCharType="separate"/>
      </w:r>
      <w:r w:rsidR="00CC4494" w:rsidRPr="00925095">
        <w:rPr>
          <w:rFonts w:ascii="Times New Roman" w:hAnsi="Times New Roman" w:cs="Times New Roman"/>
          <w:sz w:val="20"/>
          <w:szCs w:val="20"/>
        </w:rPr>
        <w:t>(4)</w:t>
      </w:r>
      <w:r w:rsidR="00CC4494" w:rsidRPr="00925095">
        <w:rPr>
          <w:rFonts w:ascii="Times New Roman" w:hAnsi="Times New Roman" w:cs="Times New Roman"/>
          <w:sz w:val="20"/>
          <w:szCs w:val="20"/>
        </w:rPr>
        <w:fldChar w:fldCharType="end"/>
      </w:r>
      <w:r w:rsidRPr="00925095">
        <w:rPr>
          <w:rFonts w:ascii="Times New Roman" w:hAnsi="Times New Roman" w:cs="Times New Roman"/>
          <w:sz w:val="20"/>
          <w:szCs w:val="20"/>
        </w:rPr>
        <w:t>. Elevated levels of reactive oxygen species (ROS) lead to mitochondrial dysfunction, lipid peroxidation, and neuronal injury, which contribute to cortical spreading depression (CSD)-a wave of neuronal depolarization thought to underlie migraine aura. Concurrently, pro-inflammatory cytokines such as tumor necrosis factor-alpha (TNF-α), interleukin-1β (IL-1β), and interleukin-6 (IL-6) amplify trigeminal nerve activation and sensitize pain pathways</w:t>
      </w:r>
      <w:r w:rsidR="00CC4494" w:rsidRPr="00925095">
        <w:rPr>
          <w:rFonts w:ascii="Times New Roman" w:hAnsi="Times New Roman" w:cs="Times New Roman"/>
          <w:sz w:val="20"/>
          <w:szCs w:val="20"/>
        </w:rPr>
        <w:t xml:space="preserve"> </w:t>
      </w:r>
      <w:r w:rsidR="00CC4494" w:rsidRPr="00925095">
        <w:rPr>
          <w:rFonts w:ascii="Times New Roman" w:hAnsi="Times New Roman" w:cs="Times New Roman"/>
          <w:sz w:val="20"/>
          <w:szCs w:val="20"/>
        </w:rPr>
        <w:fldChar w:fldCharType="begin"/>
      </w:r>
      <w:r w:rsidR="00CC4494" w:rsidRPr="00925095">
        <w:rPr>
          <w:rFonts w:ascii="Times New Roman" w:hAnsi="Times New Roman" w:cs="Times New Roman"/>
          <w:sz w:val="20"/>
          <w:szCs w:val="20"/>
        </w:rPr>
        <w:instrText xml:space="preserve"> ADDIN ZOTERO_ITEM CSL_CITATION {"citationID":"6Mo0V9t0","properties":{"formattedCitation":"(5)","plainCitation":"(5)","noteIndex":0},"citationItems":[{"id":2089,"uris":["http://zotero.org/groups/5334213/items/3TTAVU93"],"itemData":{"id":2089,"type":"article-journal","abstract":"Neuroinflammation has an important role in the pathophysiology of migraine, which is a complex neuro-glio-vascular disorder. The main aim of this review is to highlight findings of cortical spreading depolarization (CSD)-induced neuroinflammatory signaling in brain parenchyma from the inflammasome perspective. In addition, we discuss the limited data of the contribution of inflammasomes to other aspects of migraine pathophysiology, foremost the activation of the trigeminovascular system and thereby the generation of migraine pain.","container-title":"The Journal of Headache and Pain","DOI":"10.1186/s10194-021-01271-1","ISSN":"1129-2377","issue":"1","journalAbbreviation":"The Journal of Headache and Pain","page":"55","source":"BioMed Central","title":"Migraine and neuroinflammation: the inflammasome perspective","title-short":"Migraine and neuroinflammation","volume":"22","author":[{"family":"Kursun","given":"Oguzhan"},{"family":"Yemisci","given":"Muge"},{"family":"Maagdenberg","given":"Arn M. J. M.","non-dropping-particle":"van den"},{"family":"Karatas","given":"Hulya"}],"issued":{"date-parts":[["2021",6,10]]}}}],"schema":"https://github.com/citation-style-language/schema/raw/master/csl-citation.json"} </w:instrText>
      </w:r>
      <w:r w:rsidR="00CC4494" w:rsidRPr="00925095">
        <w:rPr>
          <w:rFonts w:ascii="Times New Roman" w:hAnsi="Times New Roman" w:cs="Times New Roman"/>
          <w:sz w:val="20"/>
          <w:szCs w:val="20"/>
        </w:rPr>
        <w:fldChar w:fldCharType="separate"/>
      </w:r>
      <w:r w:rsidR="00CC4494" w:rsidRPr="00925095">
        <w:rPr>
          <w:rFonts w:ascii="Times New Roman" w:hAnsi="Times New Roman" w:cs="Times New Roman"/>
          <w:sz w:val="20"/>
          <w:szCs w:val="20"/>
        </w:rPr>
        <w:t>(5)</w:t>
      </w:r>
      <w:r w:rsidR="00CC4494" w:rsidRPr="00925095">
        <w:rPr>
          <w:rFonts w:ascii="Times New Roman" w:hAnsi="Times New Roman" w:cs="Times New Roman"/>
          <w:sz w:val="20"/>
          <w:szCs w:val="20"/>
        </w:rPr>
        <w:fldChar w:fldCharType="end"/>
      </w:r>
      <w:r w:rsidRPr="00925095">
        <w:rPr>
          <w:rFonts w:ascii="Times New Roman" w:hAnsi="Times New Roman" w:cs="Times New Roman"/>
          <w:sz w:val="20"/>
          <w:szCs w:val="20"/>
        </w:rPr>
        <w:t>. Another key mediator in migraine pathophysiology is calcitonin gene-related peptide (CGRP), a potent vasodilatory neuropeptide released from trigeminal afferents during migraine attacks. CGRP promotes neurogenic inflammation, plasma protein extravasation, and central pain transmission. Targeting the oxidative stress–CGRP–neuroinflammation axis is therefore a compelling therapeutic strategy for migraine</w:t>
      </w:r>
      <w:r w:rsidR="00CC4494" w:rsidRPr="00925095">
        <w:rPr>
          <w:rFonts w:ascii="Times New Roman" w:hAnsi="Times New Roman" w:cs="Times New Roman"/>
          <w:sz w:val="20"/>
          <w:szCs w:val="20"/>
        </w:rPr>
        <w:t xml:space="preserve"> </w:t>
      </w:r>
      <w:r w:rsidR="00CC4494" w:rsidRPr="00925095">
        <w:rPr>
          <w:rFonts w:ascii="Times New Roman" w:hAnsi="Times New Roman" w:cs="Times New Roman"/>
          <w:sz w:val="20"/>
          <w:szCs w:val="20"/>
        </w:rPr>
        <w:fldChar w:fldCharType="begin"/>
      </w:r>
      <w:r w:rsidR="00CC4494" w:rsidRPr="00925095">
        <w:rPr>
          <w:rFonts w:ascii="Times New Roman" w:hAnsi="Times New Roman" w:cs="Times New Roman"/>
          <w:sz w:val="20"/>
          <w:szCs w:val="20"/>
        </w:rPr>
        <w:instrText xml:space="preserve"> ADDIN ZOTERO_ITEM CSL_CITATION {"citationID":"9bYbdkSf","properties":{"formattedCitation":"(6)","plainCitation":"(6)","noteIndex":0},"citationItems":[{"id":2092,"uris":["http://zotero.org/groups/5334213/items/V7MYJYNB"],"itemData":{"id":2092,"type":"article-journal","abstract":"Migraine is a neurological disorder that manifests as a debilitating headache associated with altered sensory perception. The neuropeptide calcitonin gene-related peptide (CGRP) is now firmly established as a key player in migraine. Clinical trials carried out during the past decade have proved that CGRP receptor antagonists are effective for treating migraine, and antibodies to the receptor and CGRP are currently under investigation. Despite this progress in the clinical arena, the mechanisms by which CGRP triggers migraine remain uncertain. This review discusses mechanisms whereby CGRP enhances sensitivity to sensory input at multiple levels in both the periphery and central nervous system. Future studies on epistatic and epigenetic regulators of CGRP actions are expected to shed further light on CGRP actions in migraine. In conclusion, targeting CGRP represents an approachable therapeutic strategy for migraine.","container-title":"Annual review of pharmacology and toxicology","DOI":"10.1146/annurev-pharmtox-010814-124701","ISSN":"0362-1642","journalAbbreviation":"Annu Rev Pharmacol Toxicol","note":"PMID: 25340934\nPMCID: PMC4392770","page":"533-552","source":"PubMed Central","title":"Calcitonin Gene-Related Peptide (CGRP)","volume":"55","author":[{"family":"Russo","given":"Andrew F."}],"issued":{"date-parts":[["2015"]]}}}],"schema":"https://github.com/citation-style-language/schema/raw/master/csl-citation.json"} </w:instrText>
      </w:r>
      <w:r w:rsidR="00CC4494" w:rsidRPr="00925095">
        <w:rPr>
          <w:rFonts w:ascii="Times New Roman" w:hAnsi="Times New Roman" w:cs="Times New Roman"/>
          <w:sz w:val="20"/>
          <w:szCs w:val="20"/>
        </w:rPr>
        <w:fldChar w:fldCharType="separate"/>
      </w:r>
      <w:r w:rsidR="00CC4494" w:rsidRPr="00925095">
        <w:rPr>
          <w:rFonts w:ascii="Times New Roman" w:hAnsi="Times New Roman" w:cs="Times New Roman"/>
          <w:sz w:val="20"/>
          <w:szCs w:val="20"/>
        </w:rPr>
        <w:t>(6)</w:t>
      </w:r>
      <w:r w:rsidR="00CC4494" w:rsidRPr="00925095">
        <w:rPr>
          <w:rFonts w:ascii="Times New Roman" w:hAnsi="Times New Roman" w:cs="Times New Roman"/>
          <w:sz w:val="20"/>
          <w:szCs w:val="20"/>
        </w:rPr>
        <w:fldChar w:fldCharType="end"/>
      </w:r>
      <w:r w:rsidR="00CC4494" w:rsidRPr="00925095">
        <w:rPr>
          <w:rFonts w:ascii="Times New Roman" w:hAnsi="Times New Roman" w:cs="Times New Roman"/>
          <w:sz w:val="20"/>
          <w:szCs w:val="20"/>
        </w:rPr>
        <w:t>.</w:t>
      </w:r>
    </w:p>
    <w:p w14:paraId="2472F5A6" w14:textId="40529874" w:rsidR="00A13334"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Current pharmacological treatments-including triptans, nonsteroidal anti-inflammatory drugs (NSAIDs), and CGRP antagonists-have brought relief to many patients but remain inadequate for a significant subset</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{"citationID":"5FnZhrR1","properties":{"formattedCitation":"(7)","plainCitation":"(7)","noteIndex":0},"citationItems":[{"id":2098,"uris":["http://zotero.org/groups/5334213/items/U5M7QBA6"],"itemData":{"id":2098,"type":"article-journal","abstract":"This article presents a comprehensive review on migraine, a prevalent neurological disorder characterized by chronic headaches, by focusing on their pathogenesis and treatment advances. By examining molecular markers and leveraging imaging techniques, the research identifies key mechanisms and triggers in migraine pathology, thereby improving our understanding of its pathophysiology. Special emphasis is given to the role of calcitonin gene-related peptide (CGRP) in migraine development. CGRP not only contributes to symptoms but also represents a promising therapeutic target, with inhibitors showing effectiveness in migraine management. The article further explores traditional medical treatments, scrutinizing the mechanisms, benefits, and limitations of commonly prescribed medications. This provides a segue into an analysis of emerging therapeutic strategies and their potential to enhance migraine management. Finally, the paper delves into neuromodulation as an innovative treatment modality. Clinical studies indicating its effectiveness in migraine management are reviewed, and the advantages and limitations of this technique are discussed. In summary, the article aims to enhance the understanding of migraine pathogenesis and present novel therapeutic possibilities that could revolutionize patient care.","container-title":"Neurology International","DOI":"10.3390/neurolint15030067","ISSN":"2035-8385","issue":"3","journalAbbreviation":"Neurol Int","note":"PMID: 37755358\nPMCID: PMC10535528","page":"1052-1105","source":"PubMed Central","title":"Migraine: Advances in the Pathogenesis and Treatment","title-short":"Migraine","volume":"15","author":[{"family":"Pleș","given":"Horia"},{"family":"Florian","given":"Ioan-Alexandru"},{"family":"Timis","given":"Teodora-Larisa"},{"family":"Covache-Busuioc","given":"Razvan-Adrian"},{"family":"Glavan","given":"Luca-Andrei"},{"family":"Dumitrascu","given":"David-Ioan"},{"family":"Popa","given":"Andrei Adrian"},{"family":"Bordeianu","given":"Andrei"},{"family":"Ciurea","given":"Alexandru Vlad"}],"issued":{"date-parts":[["2023",8,31]]}}}],"schema":"https://github.com/citation-style-language/schema/raw/master/csl-citation.json"}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(7)</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 Triptans, while effective for acute attacks, are associated with vasoconstrictive effects and are contraindicated in patients with cardiovascular disease. NSAIDs carry risks of gastrointestinal bleeding, renal impairment, and rebound headaches with overuse</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{"citationID":"WPV9kaQ6","properties":{"formattedCitation":"(8)","plainCitation":"(8)","noteIndex":0},"citationItems":[{"id":2101,"uris":["http://zotero.org/groups/5334213/items/CNVTY96U"],"itemData":{"id":2101,"type":"chapter","abstract":"Triptans comprise a class of medications approved by the US Food and Drug Administration (FDA) as the first-line agent for treating acute migraine episodes with or without aura. In the United States, 7 triptans are available in diverse dosage formulations, including sumatriptan, naratriptan, zolmitriptan, rizatriptan, almotriptan, frovatriptan, and eletriptan. Sumatriptan, in its subcutaneous formulation, is also approved for treating cluster headaches. Almotriptan has an FDA indication for use in adolescents for treating migraines lasting at least 4 hours. The FDA has also approved zolmitriptan nasal spray for children aged 12 or older and rizatriptan for children aged 6 to 17. Frovatriptan, naratriptan, and oral zolmitriptan have off-label uses for preventing menstrual migraine.","call-number":"NBK554507","container-title":"StatPearls","event-place":"Treasure Island (FL)","language":"eng","license":"Copyright © 2025, StatPearls Publishing LLC.","note":"PMID: 32119394","publisher":"StatPearls Publishing","publisher-place":"Treasure Island (FL)","source":"PubMed","title":"Triptans","URL":"http://www.ncbi.nlm.nih.gov/books/NBK554507/","author":[{"family":"Nicolas","given":"Samar"},{"family":"Nicolas","given":"Diala"}],"accessed":{"date-parts":[["2025",8,19]]},"issued":{"date-parts":[["2025"]]}}}],"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(8)</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 Although monoclonal antibodies targeting CGRP or its receptor have shown promise in prevention, their high cost, limited long-term safety data, and variability in patient response hinder widespread use. Furthermore, medication-overuse headaches remain a significant clinical challenge, reinforcing the need for novel, multi-targeted therapies with improved safety and tolerability</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{"citationID":"a0o6QuE0","properties":{"formattedCitation":"(9)","plainCitation":"(9)","noteIndex":0},"citationItems":[{"id":2104,"uris":["http://zotero.org/groups/5334213/items/VUIAX6HX"],"itemData":{"id":2104,"type":"article-journal","abstract":"Introduction\nMigraine is a common debilitating neurological disorder affecting a large proportion of the general population. Calcitonin gene-related peptide (CGRP), a 37-amino acid neuropeptide, plays a key role in the pathophysiology of migraine, and the development of therapies targeting the anti-CGRP pathway has revolutionized the field of migraine treatment.\n\nMethods\nAn expert task force of neurologists in the United Arab Emirates (UAE) developed and critically assessed recommendations on the use of CGRP-based therapies in migraine treatment and management in the UAE, based on available published literature. A consensus was reached for each statement by means of an open-voting process, based on a predefined agreement level of at least 60%.\n\nResults\nThe consensus recommendations advocate the need for guidelines for the appropriate use of CGRP-based therapies by defining patient cohorts and appropriate monitoring of therapeutic response as well as standardizing the initiation, assessment, and cessation of treatment. The consensus recommendations were primarily formulated on the basis of international studies, because of the limited availability of regional and local data. As such, they may also act as guidelines for global healthcare providers.\n\nConclusions\nThese are the first consensus recommendations for the UAE that address the use of CGRP-based therapies in the treatment and management of migraine, integrating both clinical evidence and medical expertise to enhance clinical judgment and decision-making.","container-title":"Neurology and Therapy","DOI":"10.1007/s40120-023-00550-0","ISSN":"2193-8253","issue":"6","journalAbbreviation":"Neurol Ther","note":"PMID: 37792218\nPMCID: PMC10630270","page":"1845-1865","source":"PubMed Central","title":"Consensus-Based Recommendations on the Use of CGRP-Based Therapies for Migraine Prevention in the UAE","volume":"12","author":[{"family":"Alsaadi","given":"Taoufik"},{"family":"Kayed","given":"Deeb M."},{"family":"Al-Madani","given":"Abubaker"},{"family":"Hassan","given":"Ali Mohamed"},{"family":"Terruzzi","given":"Alessandro"},{"family":"Krieger","given":"Derk"},{"family":"Riachi","given":"Naji"},{"family":"Sarathchandran","given":"Pournamy"},{"family":"Al-Rukn","given":"Suhail"}],"issued":{"date-parts":[["2023",10,4]]}}}],"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(9)</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3A1D857F" w14:textId="1522E292" w:rsidR="002E7452"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Esculetin (6,7-dihydroxycoumarin), a naturally occurring coumarin derivative found in various medicinal plants, has attracted attention for its strong antioxidant, anti-inflammatory, and neuroprotective properties. It has been shown to scavenge free radicals, regulate inflammatory signaling, and protect neuronal cells from oxidative damage. Preclinical studies further suggest its neuroprotective potential in ischemic stroke, epilepsy, and neurodegenerative conditions</w:t>
      </w:r>
      <w:r w:rsidR="00CC4494" w:rsidRPr="00925095">
        <w:rPr>
          <w:rFonts w:ascii="Times New Roman" w:hAnsi="Times New Roman" w:cs="Times New Roman"/>
          <w:sz w:val="20"/>
          <w:szCs w:val="20"/>
        </w:rPr>
        <w:t xml:space="preserve"> </w:t>
      </w:r>
      <w:r w:rsidR="00CC4494"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{"citationID":"UDUDqLXB","properties":{"formattedCitation":"(10)","plainCitation":"(10)","noteIndex":0},"citationItems":[{"id":2095,"uris":["http://zotero.org/groups/5334213/items/B9MH35W9"],"itemData":{"id":2095,"type":"article-journal","abstract":"Nrf2 (nuclear factor erythroid 2-related factor 2) is a transcription factor related to stress response and cellular homeostasis that plays a key role in maintaining the redox system. The imbalance of the redox system is a triggering factor for the initiation and progression of non-communicable diseases (NCDs), including Inflammatory Bowel Disease (IBD). Nrf2 and its inhibitor Kelch-like ECH-associated protein 1 (Keap1) are the main regulators of oxidative stress and their activation has been recognized as a promising strategy for the treatment or prevention of several acute and chronic diseases. Moreover, activation of Nrf2/keap signaling pathway promotes inhibition of NF-κB, a transcriptional factor related to pro-inflammatory cytokines expression, synchronically promoting an anti-inflammatory response. Several natural coumarins have been reported as potent antioxidant and intestinal anti-inflammatory compounds, acting by different mechanisms, mainly as a modulator of Nrf2/keap signaling pathway. Based on in vivo and in vitro studies, this review focuses on the natural coumarins obtained from both plant products and fermentative processes of food plants by gut microbiota, which activate Nrf2/keap signaling pathway and produce intestinal anti-inflammatory activity. Although gut metabolites urolithin A and urolithin B as well as other plant-derived coumarins display intestinal anti-inflammatory activity modulating Nrf2 signaling pathway, in vitro and in vivo studies are necessary for better pharmacological characterization and evaluation of their potential as lead compounds. Esculetin, 4-methylesculetin, daphnetin, osthole, and imperatorin are the most promising coumarin derivatives as lead compounds for the design and synthesis of Nrf2 activators with intestinal anti-inflammatory activity. However, further structure–activity relationships studies with coumarin derivatives in experimental models of intestinal inflammation and subsequent clinical trials in health and disease volunteers are essential to determine the efficacy and safety in IBD patients.","container-title":"Pharmaceuticals","DOI":"10.3390/ph16040511","ISSN":"1424-8247","issue":"4","journalAbbreviation":"Pharmaceuticals (Basel)","note":"PMID: 37111267\nPMCID: PMC10142712","page":"511","source":"PubMed Central","title":"Natural Coumarin Derivatives Activating Nrf2 Signaling Pathway as Lead Compounds for the Design and Synthesis of Intestinal Anti-Inflammatory Drugs","volume":"16","author":[{"family":"Di Stasi","given":"Luiz C."}],"issued":{"date-parts":[["2023",3,30]]}}}],"schema":"https://github.com/citation-style-language/schema/raw/master/csl-citation.json"} </w:instrText>
      </w:r>
      <w:r w:rsidR="00CC4494"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(10)</w:t>
      </w:r>
      <w:r w:rsidR="00CC4494" w:rsidRPr="00925095">
        <w:rPr>
          <w:rFonts w:ascii="Times New Roman" w:hAnsi="Times New Roman" w:cs="Times New Roman"/>
          <w:sz w:val="20"/>
          <w:szCs w:val="20"/>
        </w:rPr>
        <w:fldChar w:fldCharType="end"/>
      </w:r>
      <w:r w:rsidRPr="00925095">
        <w:rPr>
          <w:rFonts w:ascii="Times New Roman" w:hAnsi="Times New Roman" w:cs="Times New Roman"/>
          <w:sz w:val="20"/>
          <w:szCs w:val="20"/>
        </w:rPr>
        <w:t>. Esculetin can suppress pro-inflammatory mediators such as TNF-α and IL-6, regulate mitochondrial function, and modulate CGRP signaling, which may attenuate migraine-associated neurogenic inflammation and pain.</w:t>
      </w:r>
    </w:p>
    <w:p w14:paraId="19971F7F" w14:textId="20A4A60C" w:rsidR="002E7452"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Moreover, esculetin may act on additional pain-related targets, including inhibition of cyclooxygenase (COX), lipoxygenase, and modulation of transient receptor potential (TRP) channels, which are involved in neuronal </w:t>
      </w:r>
      <w:r w:rsidRPr="00925095">
        <w:rPr>
          <w:rFonts w:ascii="Times New Roman" w:hAnsi="Times New Roman" w:cs="Times New Roman"/>
          <w:sz w:val="20"/>
          <w:szCs w:val="20"/>
        </w:rPr>
        <w:lastRenderedPageBreak/>
        <w:t>excitability and pain sensitization. Despite promising bioactivity, limitations such as low aqueous solubility and moderate metabolic stability may restrict its clinical application. Nanoparticle-based formulations and other delivery strategies are being explored to overcome these barriers and improve pharmacokinetics</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{"citationID":"B68hhAmn","properties":{"formattedCitation":"(11)","plainCitation":"(11)","noteIndex":0},"citationItems":[{"id":2107,"uris":["http://zotero.org/groups/5334213/items/B7296K4M"],"itemData":{"id":2107,"type":"article-journal","abstract":"The use of nanotechnology has the potential to revolutionize the detection and treatment of cancer. Developments in protein engineering and materials science have led to the emergence of new nanoscale targeting techniques, which offer renewed hope for cancer patients. While several nanocarriers for medicinal purposes have been approved for human trials, only a few have been authorized for clinical use in targeting cancer cells. In this review, we analyze some of the authorized formulations and discuss the challenges of translating findings from the lab to the clinic. This study highlights the various nanocarriers and compounds that can be used for selective tumor targeting and the inherent difficulties in cancer therapy. Nanotechnology provides a promising platform for improving cancer detection and treatment in the future, but further research is needed to overcome the current limitations in clinical translation.","container-title":"Molecular Cancer","DOI":"10.1186/s12943-023-01865-0","ISSN":"1476-4598","journalAbbreviation":"Mol Cancer","note":"PMID: 37814270\nPMCID: PMC10561438","page":"169","source":"PubMed Central","title":"Progressing nanotechnology to improve targeted cancer treatment: overcoming hurdles in its clinical implementation","title-short":"Progressing nanotechnology to improve targeted cancer treatment","volume":"22","author":[{"family":"Chehelgerdi","given":"Mohammad"},{"family":"Chehelgerdi","given":"Matin"},{"family":"Allela","given":"Omer Qutaiba B."},{"family":"Pecho","given":"Renzon Daniel Cosme"},{"family":"Jayasankar","given":"Narayanan"},{"family":"Rao","given":"Devendra Pratap"},{"family":"Thamaraikani","given":"Tamilanban"},{"family":"Vasanthan","given":"Manimaran"},{"family":"Viktor","given":"Patrik"},{"family":"Lakshmaiya","given":"Natrayan"},{"family":"Saadh","given":"Mohamed J."},{"family":"Amajd","given":"Ayesha"},{"family":"Abo-Zaid","given":"Mabrouk A."},{"family":"Castillo-Acobo","given":"Roxana Yolanda"},{"family":"Ismail","given":"Ahmed H."},{"family":"Amin","given":"Ali H."},{"family":"Akhavan-Sigari","given":"Reza"}],"issued":{"date-parts":[["2023",10,9]]}}}],"schema":"https://github.com/citation-style-language/schema/raw/master/csl-citation.json"}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(11)</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3E06FD35" w14:textId="40E1D76A" w:rsidR="002E7452" w:rsidRPr="00925095" w:rsidRDefault="002E7452" w:rsidP="002E7452">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In this research work, we focus on esculetin, a furocoumarin derivative, as a potential anti-migraine agent. Using network pharmacology, we aim to predict its key molecular targets, pathways, and associated genes. We then employ molecular docking to assess binding affinity and molecular dynamics simulations to evaluate the stability of drug–target complexes. Finally, in vitro studies, including cell viability and ROS assay, will be performed to validate its antioxidant and neuroprotective potential, paving the way for its development as a novel therapeutic for migraine management.</w:t>
      </w:r>
    </w:p>
    <w:p w14:paraId="4DC74B48" w14:textId="07EB50A8" w:rsidR="002E7452" w:rsidRPr="00925095" w:rsidRDefault="002E7452"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 xml:space="preserve">2. Materials and methods </w:t>
      </w:r>
      <w:r w:rsidR="000C3EC6" w:rsidRPr="00925095">
        <w:rPr>
          <w:rFonts w:ascii="Times New Roman" w:hAnsi="Times New Roman" w:cs="Times New Roman"/>
          <w:b/>
          <w:bCs/>
        </w:rPr>
        <w:tab/>
      </w:r>
    </w:p>
    <w:p w14:paraId="7752C771"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2.1. Screening of compounds and prediction of targets for Esculetin</w:t>
      </w:r>
    </w:p>
    <w:p w14:paraId="289F4C4C" w14:textId="7DC0BD14"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The 3D chemical structure of esculetin was obtained from the PubChem database. Potential protein targets were predicted using SwissTargetPrediction, restricting the search to </w:t>
      </w:r>
      <w:r w:rsidRPr="00925095">
        <w:rPr>
          <w:rFonts w:ascii="Times New Roman" w:hAnsi="Times New Roman" w:cs="Times New Roman"/>
          <w:i/>
          <w:iCs/>
          <w:sz w:val="20"/>
          <w:szCs w:val="20"/>
        </w:rPr>
        <w:t>Homo sapiens</w:t>
      </w:r>
      <w:r w:rsidRPr="00925095">
        <w:rPr>
          <w:rFonts w:ascii="Times New Roman" w:hAnsi="Times New Roman" w:cs="Times New Roman"/>
          <w:sz w:val="20"/>
          <w:szCs w:val="20"/>
        </w:rPr>
        <w:t xml:space="preserve">. Targets with high probability scores were selected. All retrieved targets were standardized to their official gene names using the </w:t>
      </w:r>
      <w:proofErr w:type="spellStart"/>
      <w:r w:rsidRPr="00925095">
        <w:rPr>
          <w:rFonts w:ascii="Times New Roman" w:hAnsi="Times New Roman" w:cs="Times New Roman"/>
          <w:sz w:val="20"/>
          <w:szCs w:val="20"/>
        </w:rPr>
        <w:t>UniProtKB</w:t>
      </w:r>
      <w:proofErr w:type="spellEnd"/>
      <w:r w:rsidRPr="00925095">
        <w:rPr>
          <w:rFonts w:ascii="Times New Roman" w:hAnsi="Times New Roman" w:cs="Times New Roman"/>
          <w:sz w:val="20"/>
          <w:szCs w:val="20"/>
        </w:rPr>
        <w:t xml:space="preserve"> database (</w:t>
      </w:r>
      <w:hyperlink r:id="rId7" w:history="1">
        <w:r w:rsidRPr="00925095">
          <w:rPr>
            <w:rStyle w:val="Hyperlink"/>
            <w:rFonts w:ascii="Times New Roman" w:hAnsi="Times New Roman" w:cs="Times New Roman"/>
            <w:sz w:val="20"/>
            <w:szCs w:val="20"/>
          </w:rPr>
          <w:t>https://www.uniprot.org</w:t>
        </w:r>
      </w:hyperlink>
      <w:r w:rsidRPr="00925095">
        <w:rPr>
          <w:rFonts w:ascii="Times New Roman" w:hAnsi="Times New Roman" w:cs="Times New Roman"/>
          <w:sz w:val="20"/>
          <w:szCs w:val="20"/>
        </w:rPr>
        <w:t>)</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{"citationID":"OndITvzj","properties":{"formattedCitation":"(12)","plainCitation":"(12)","noteIndex":0},"citationItems":[{"id":2112,"uris":["http://zotero.org/groups/5334213/items/ZUANCBG8"],"itemData":{"id":2112,"type":"article-journal","abstract":"In this study, the role of traditional Chinese medicine (TCM) in relieving epidermal growth factor receptor-tyrosine kinase inhibitor- (EGFR-TKI-) associated diarrhea was discussed by network pharmacology and data mining. Prediction of drug targets by introducing the EGFR-TKI molecular structures into the SwissTargetPrediction platform and diarrhea-related targets in the DrugBank, GeneCards, DisGeNET, and OMIM databases were obtained. Compounds in the drug-disease target intersection were screened by absorption, distribution, metabolism, and excretion parameters and Lipinski's rule in Traditional Chinese Medicine Systems Pharmacology. TCM-containing compounds were selected, and information on the property, taste, and meridian tropism of these TCMs was summarized and analyzed. A target-compound-TCM network diagram was constructed, and core targets, compounds, and TCMs were selected. The core targets and components were docked by AutoDock Vina (Version 1.1.2) to explore the target combinations of related compounds and evaluate the docking activity of related targets and compounds. Twenty-three potential therapeutic TCM targets for the treatment of EGFR-TKI-related diarrhea were obtained. There were 339 compounds acting on potential therapeutic targets, involving a total of 402 TCMs. The results of molecular docking showed good binding between the core targets and compounds, and the binding between the core targets and compounds was similar to that of the core target and the recommended drug loperamide. TCMs have multitarget characteristics and are present in a variety of compounds used for relieving EGFR-TKI-associated diarrhea. Antitumor activity and the efficacy of alleviating diarrhea are the pharmacological basis of combining TCMs with EGFR-TKI in the treatment of non-small-cell lung cancer. The core targets, compounds, and TCMs can provide data to support experimental and clinical studies on the relief of EGFR-TKI-associated diarrhea in the future.","container-title":"Evidence-based Complementary and Alternative Medicine : eCAM","DOI":"10.1155/2021/5530898","ISSN":"1741-427X","journalAbbreviation":"Evid Based Complement Alternat Med","note":"PMID: 33868436\nPMCID: PMC8032531","page":"5530898","source":"PubMed Central","title":"The Use of Traditional Chinese Medicine in Relieving EGFR-TKI-Associated Diarrhea Based on Network Pharmacology and Data Mining","volume":"2021","author":[{"family":"Hu","given":"Shuaihang"},{"family":"Dan","given":"Wenchao"},{"family":"Liu","given":"Jinlei"},{"family":"Ha","given":"Peng"},{"family":"Zhou","given":"Tong"},{"family":"Guo","given":"Xinyuan"},{"family":"Hou","given":"Wei"}],"issued":{"date-parts":[["2021",4,1]]}}}],"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(12)</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023ED315"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2.2. Screening of migraine-related targets</w:t>
      </w:r>
    </w:p>
    <w:p w14:paraId="5E230676" w14:textId="69B2A629"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Migraine-associated genes were collected from </w:t>
      </w:r>
      <w:proofErr w:type="spellStart"/>
      <w:r w:rsidRPr="00925095">
        <w:rPr>
          <w:rFonts w:ascii="Times New Roman" w:hAnsi="Times New Roman" w:cs="Times New Roman"/>
          <w:sz w:val="20"/>
          <w:szCs w:val="20"/>
        </w:rPr>
        <w:t>GeneCards</w:t>
      </w:r>
      <w:proofErr w:type="spellEnd"/>
      <w:r w:rsidRPr="00925095">
        <w:rPr>
          <w:rFonts w:ascii="Times New Roman" w:hAnsi="Times New Roman" w:cs="Times New Roman"/>
          <w:sz w:val="20"/>
          <w:szCs w:val="20"/>
        </w:rPr>
        <w:t xml:space="preserve"> and </w:t>
      </w:r>
      <w:proofErr w:type="spellStart"/>
      <w:r w:rsidRPr="00925095">
        <w:rPr>
          <w:rFonts w:ascii="Times New Roman" w:hAnsi="Times New Roman" w:cs="Times New Roman"/>
          <w:sz w:val="20"/>
          <w:szCs w:val="20"/>
        </w:rPr>
        <w:t>DisGeNET</w:t>
      </w:r>
      <w:proofErr w:type="spellEnd"/>
      <w:r w:rsidRPr="00925095">
        <w:rPr>
          <w:rFonts w:ascii="Times New Roman" w:hAnsi="Times New Roman" w:cs="Times New Roman"/>
          <w:sz w:val="20"/>
          <w:szCs w:val="20"/>
        </w:rPr>
        <w:t xml:space="preserve"> databases using the keyword “Migraine.” Duplicates were removed, and the combined dataset was exported in CSV format. Overlapping targets between migraine-related and esculetin-predicted targets were identified using Venny tool. A Venn diagram representing the intersection of these target sets was generated using </w:t>
      </w:r>
      <w:proofErr w:type="spellStart"/>
      <w:r w:rsidRPr="00925095">
        <w:rPr>
          <w:rFonts w:ascii="Times New Roman" w:hAnsi="Times New Roman" w:cs="Times New Roman"/>
          <w:sz w:val="20"/>
          <w:szCs w:val="20"/>
        </w:rPr>
        <w:t>Jvenn</w:t>
      </w:r>
      <w:proofErr w:type="spellEnd"/>
      <w:r w:rsidRPr="00925095">
        <w:rPr>
          <w:rFonts w:ascii="Times New Roman" w:hAnsi="Times New Roman" w:cs="Times New Roman"/>
          <w:sz w:val="20"/>
          <w:szCs w:val="20"/>
        </w:rPr>
        <w:t xml:space="preserve"> (</w:t>
      </w:r>
      <w:hyperlink r:id="rId8" w:history="1">
        <w:r w:rsidRPr="00925095">
          <w:rPr>
            <w:rStyle w:val="Hyperlink"/>
            <w:rFonts w:ascii="Times New Roman" w:hAnsi="Times New Roman" w:cs="Times New Roman"/>
            <w:sz w:val="20"/>
            <w:szCs w:val="20"/>
          </w:rPr>
          <w:t>http://jvenn.toulouse.inra.fr</w:t>
        </w:r>
      </w:hyperlink>
      <w:r w:rsidRPr="00925095">
        <w:rPr>
          <w:rFonts w:ascii="Times New Roman" w:hAnsi="Times New Roman" w:cs="Times New Roman"/>
          <w:sz w:val="20"/>
          <w:szCs w:val="20"/>
        </w:rPr>
        <w:t>).</w:t>
      </w:r>
    </w:p>
    <w:p w14:paraId="00BBC89E"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2.3. Construction of protein–protein interaction (PPI) networks</w:t>
      </w:r>
    </w:p>
    <w:p w14:paraId="4CE27DDB" w14:textId="00EB04D2"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intersecting targets were imported into the STRING database (</w:t>
      </w:r>
      <w:hyperlink r:id="rId9" w:history="1">
        <w:r w:rsidRPr="00925095">
          <w:rPr>
            <w:rStyle w:val="Hyperlink"/>
            <w:rFonts w:ascii="Times New Roman" w:hAnsi="Times New Roman" w:cs="Times New Roman"/>
            <w:sz w:val="20"/>
            <w:szCs w:val="20"/>
          </w:rPr>
          <w:t>https://string-db.org/</w:t>
        </w:r>
      </w:hyperlink>
      <w:r w:rsidRPr="00925095">
        <w:rPr>
          <w:rFonts w:ascii="Times New Roman" w:hAnsi="Times New Roman" w:cs="Times New Roman"/>
          <w:sz w:val="20"/>
          <w:szCs w:val="20"/>
        </w:rPr>
        <w:t xml:space="preserve">) with the organism set to </w:t>
      </w:r>
      <w:r w:rsidRPr="00925095">
        <w:rPr>
          <w:rFonts w:ascii="Times New Roman" w:hAnsi="Times New Roman" w:cs="Times New Roman"/>
          <w:i/>
          <w:iCs/>
          <w:sz w:val="20"/>
          <w:szCs w:val="20"/>
        </w:rPr>
        <w:t>Homo sapiens</w:t>
      </w:r>
      <w:r w:rsidRPr="00925095">
        <w:rPr>
          <w:rFonts w:ascii="Times New Roman" w:hAnsi="Times New Roman" w:cs="Times New Roman"/>
          <w:sz w:val="20"/>
          <w:szCs w:val="20"/>
        </w:rPr>
        <w:t xml:space="preserve"> and a minimum required interaction score of 0.900 (high confidence). Disconnected nodes were removed from the network. The PPI network data were downloaded in TSV format and imported into Cytoscape 3.7.2 for visualization. Topological analysis was performed using degree centrality (DC), closeness centrality (CC), and betweenness centrality (BC), with the cutoff value set to the median. The Molecular Complex Detection (MCODE) plugin was applied to identify significant clusters with the following parameters: degree cutoff = 2, node score cutoff = 0.2, k-core = 2, and max depth = 100</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{"citationID":"vXL4poQa","properties":{"formattedCitation":"(13)","plainCitation":"(13)","noteIndex":0},"citationItems":[{"id":2115,"uris":["http://zotero.org/groups/5334213/items/FYCMURY5"],"itemData":{"id":2115,"type":"article-journal","abstract":"Background\nThis study aims to evaluate the efficacy and therapeutic mechanism of bufalin on lung adenocarcinoma (LUAD) through a comprehensive strategy integrating network pharmacology, metabolomics and molecular biology verification.\nMethods\nThe putative targets of bufalin were discerned from PharmMapper and Swiss Target Prediction database. LUAD-related targets were obtained by target filtering of GeneCard database and data mining of GEO database. PPI network was constructed to screen the core targets, and their clinical significance was assessed through several public databases. GO and KEGG pathway analyses were performed to identify possible enrichment of genes with specific biological themes. Molecular docking and molecular dynamics (MD) simulation were employed to determine the correlation and binding pattern between bufalin and core targets. The potential mechanisms of bufalin acting on LUAD, as predicted by network pharmacology analyses, were experimentally validated using in-vitro and in-vivo models. Finally, the effects of bufalin intervention on metabolite profile and metabolic pathway in LUAD nude mice were investigated by non-targeted metabolomics.\nResults\n209 bufalin targets and 1082 LUAD-associated targets were harvested, of which 51 intersection targets were identified. 10 core targets including Akt1, STAT3, EGFR, CASP3 and SRC were picked out through network topology analysis, and they had a potent binding activity with bufalin as indicated by molecular docking and MD simulation. Hub module of PPI network was closely related to cell proliferation and apoptosis. GO and KEGG enrichment analyses suggested that bufalin exerted therapeutic effects on LUAD possibly by inhibiting proliferation and promoting apoptosis via PI3K/Akt, FoxO1 and MAPK/ERK pathways, which were confirmed by a series of in-vitro studies as well as HE, TUNEL and Ki-67 staining of tumor tissues. Further metabolomics analysis revealed that bufalin mainly regulated ABC transporter and remodeled AA metabolism, thereby contributing to the treatment of LUAD.\nConclusion\nFrom molecular and metabolic perspective, the present study not only provided a unique insight into the possible mechanisms of bufalin against LUAD after successfully filtering out associated key target genes, differential endogenous metabolites, and signaling pathways, but also proposed a novel promising therapeutic strategy for LUAD.","container-title":"Computers in Biology and Medicine","DOI":"10.1016/j.compbiomed.2023.106777","ISSN":"0010-4825","journalAbbreviation":"Computers in Biology and Medicine","page":"106777","source":"ScienceDirect","title":"Molecular and metabolic mechanisms of bufalin against lung adenocarcinoma: New and comprehensive evidences from network pharmacology, metabolomics and molecular biology experiment","title-short":"Molecular and metabolic mechanisms of bufalin against lung adenocarcinoma","volume":"157","author":[{"family":"Shi","given":"Shulong"},{"family":"Zhao","given":"Sihao"},{"family":"Tian","given":"Xinchen"},{"family":"Liu","given":"Fen"},{"family":"Lu","given":"Xiulian"},{"family":"Zang","given":"Hengchang"},{"family":"Li","given":"Feng"},{"family":"Xiang","given":"Longquan"},{"family":"Li","given":"Luning"},{"family":"Jiang","given":"Shulong"}],"issued":{"date-parts":[["2023",5,1]]}}}],"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(13)</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28032110"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2.4. Construction of compound–target–pathway network</w:t>
      </w:r>
    </w:p>
    <w:p w14:paraId="08E4C67C" w14:textId="4E89B03D" w:rsidR="000C3EC6"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esculetin–target–pathway interaction network was constructed using Cytoscape 3.7.2, integrating the identified targets and enriched pathways from KEGG analysis. The node size and color were adjusted according to their degree value to reflect network importance.</w:t>
      </w:r>
    </w:p>
    <w:p w14:paraId="3875C131" w14:textId="77777777" w:rsidR="00925095" w:rsidRDefault="00925095" w:rsidP="000C3EC6">
      <w:pPr>
        <w:tabs>
          <w:tab w:val="left" w:pos="3750"/>
        </w:tabs>
        <w:spacing w:line="360" w:lineRule="auto"/>
        <w:jc w:val="both"/>
        <w:rPr>
          <w:rFonts w:ascii="Times New Roman" w:hAnsi="Times New Roman" w:cs="Times New Roman"/>
          <w:sz w:val="20"/>
          <w:szCs w:val="20"/>
        </w:rPr>
      </w:pPr>
    </w:p>
    <w:p w14:paraId="31BE91C1" w14:textId="77777777" w:rsidR="00925095" w:rsidRPr="00925095" w:rsidRDefault="00925095" w:rsidP="000C3EC6">
      <w:pPr>
        <w:tabs>
          <w:tab w:val="left" w:pos="3750"/>
        </w:tabs>
        <w:spacing w:line="360" w:lineRule="auto"/>
        <w:jc w:val="both"/>
        <w:rPr>
          <w:rFonts w:ascii="Times New Roman" w:hAnsi="Times New Roman" w:cs="Times New Roman"/>
          <w:sz w:val="20"/>
          <w:szCs w:val="20"/>
        </w:rPr>
      </w:pPr>
    </w:p>
    <w:p w14:paraId="4B9F43DC"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lastRenderedPageBreak/>
        <w:t>2.5. Molecular docking studies in Schrödinger</w:t>
      </w:r>
    </w:p>
    <w:p w14:paraId="37FB2D55" w14:textId="77777777"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Docking was performed using the Schrödinger Maestro platform (Schrödinger Release 2024-1). The 3D structures of hub proteins were downloaded from the Protein Data Bank (PDB), selecting high-resolution crystal structures with co-crystallized ligands where available. Protein preparation was carried out using the Protein Preparation Wizard, which involved removal of crystallographic water molecules beyond 5 Å from the active site, addition of hydrogen atoms, optimization of side-chain orientations, and minimization using the OPLS4 force field.</w:t>
      </w:r>
    </w:p>
    <w:p w14:paraId="3663C050" w14:textId="63217765"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ligand structure of esculetin was prepared using LigPrep with default parameters, generating low-energy 3D conformations and assigning protonation states at physiological pH (7.0 ± 0.2) using Epik. The receptor grid was generated around the native ligand-binding site using the Receptor Grid Generation tool. Docking was carried out using Glide in extra precision (XP) mode to predict binding poses and interaction energies. Docking scores (</w:t>
      </w:r>
      <w:proofErr w:type="spellStart"/>
      <w:r w:rsidRPr="00925095">
        <w:rPr>
          <w:rFonts w:ascii="Times New Roman" w:hAnsi="Times New Roman" w:cs="Times New Roman"/>
          <w:sz w:val="20"/>
          <w:szCs w:val="20"/>
        </w:rPr>
        <w:t>GlideScore</w:t>
      </w:r>
      <w:proofErr w:type="spellEnd"/>
      <w:r w:rsidRPr="00925095">
        <w:rPr>
          <w:rFonts w:ascii="Times New Roman" w:hAnsi="Times New Roman" w:cs="Times New Roman"/>
          <w:sz w:val="20"/>
          <w:szCs w:val="20"/>
        </w:rPr>
        <w:t>) and interaction fingerprints, including hydrogen bonds, π–π stacking, and hydrophobic contacts, were recorded for further analysis</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{"citationID":"oKHUuF4k","properties":{"formattedCitation":"(14)","plainCitation":"(14)","noteIndex":0},"citationItems":[{"id":2118,"uris":["http://zotero.org/groups/5334213/items/Z5SYZVBU"],"itemData":{"id":2118,"type":"article-journal","abstract":"Cyclooxygenase-2 (COX-2) is a key enzyme involved in overexpression in several human cancerous diseases including breast cancer. By performing efficient virtual screening in a series of active molecules or compounds from the Maybridge, NCI (National Cancer Institute), and Enamine databases, potential identification of COX-2 inhibitors could lead to new prognostic strategies in the treatment of breast cancer. Based on a 50% structural similitude, compounds were chosen as the inductive model of COX-2 inhibitions from these databases. Selected compounds were filtered and tested with Lipinski's rule of five followed by absorption, distribution, metabolism, and excretion (ADME) properties. Subsequently, molecular docking was performed to achieve accuracy in screening and also to find an interactive mechanism between hit compounds with their respective binding sites. Simultaneously, molecular simulations of top-scored compounds were selected and coded such as Maybridge_55417, NCI_30552, and Enamine_62410. Chosen compounds were analyzed and interpreted with COX-2 affinity. Results endorsed that hydrophobic affinity and optimum hydrogen bonds were the forces driven in the interactive mechanism of in silico hits compounds with COX-2 and can be used as efficient alternative therapeutic agents targeting deleterious breast cancer. With these in silico findings, compounds identified may prevent the action of the COX-2 enzyme and thereby diminish the incidence of breast cancer.","container-title":"BioMed Research International","DOI":"10.1155/2022/3338549","ISSN":"2314-6133","journalAbbreviation":"Biomed Res Int","note":"PMID: 35800218\nPMCID: PMC9256436","page":"3338549","source":"PubMed Central","title":"Screening of Potential Breast Cancer Inhibitors through Molecular Docking and Molecular Dynamics Simulation","volume":"2022","author":[{"family":"Pandi","given":"Sangavi"},{"family":"Kulanthaivel","given":"Langeswaran"},{"family":"Subbaraj","given":"Gowtham Kumar"},{"family":"Rajaram","given":"Sangeetha"},{"family":"Subramanian","given":"Senthilkumar"}],"issued":{"date-parts":[["2022",6,28]]}}}],"schema":"https://github.com/citation-style-language/schema/raw/master/csl-citation.json"}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(14)</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2BD57BC7" w14:textId="77777777" w:rsidR="000C3EC6" w:rsidRPr="00925095" w:rsidRDefault="000C3EC6"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2.6. Molecular dynamics (MD) simulations in Schrödinger</w:t>
      </w:r>
    </w:p>
    <w:p w14:paraId="37FA5C68" w14:textId="77777777"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MD simulations were performed using the Desmond module of Schrödinger to assess the stability of the top-ranked esculetin–target complexes. The docked complexes were placed in an orthorhombic simulation box solvated with the TIP3P water model, with a 10 Å buffer distance in all directions. Counterions (Na⁺ or Cl⁻) were added to neutralize the system, and an additional 0.15 M NaCl was introduced to mimic physiological ionic strength.</w:t>
      </w:r>
    </w:p>
    <w:p w14:paraId="19B93CB7" w14:textId="2DDE0192" w:rsidR="000C3EC6" w:rsidRPr="00925095" w:rsidRDefault="000C3EC6"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Energy minimization was performed using the OPLS4 force field to remove steric clashes. The system was equilibrated using the NVT ensemble for 1 ns at 300 K, followed by the NPT ensemble for 1 ns at 1 </w:t>
      </w:r>
      <w:proofErr w:type="spellStart"/>
      <w:r w:rsidRPr="00925095">
        <w:rPr>
          <w:rFonts w:ascii="Times New Roman" w:hAnsi="Times New Roman" w:cs="Times New Roman"/>
          <w:sz w:val="20"/>
          <w:szCs w:val="20"/>
        </w:rPr>
        <w:t>atm</w:t>
      </w:r>
      <w:proofErr w:type="spellEnd"/>
      <w:r w:rsidRPr="00925095">
        <w:rPr>
          <w:rFonts w:ascii="Times New Roman" w:hAnsi="Times New Roman" w:cs="Times New Roman"/>
          <w:sz w:val="20"/>
          <w:szCs w:val="20"/>
        </w:rPr>
        <w:t xml:space="preserve"> pressure using the Berendsen thermostat and </w:t>
      </w:r>
      <w:proofErr w:type="spellStart"/>
      <w:r w:rsidRPr="00925095">
        <w:rPr>
          <w:rFonts w:ascii="Times New Roman" w:hAnsi="Times New Roman" w:cs="Times New Roman"/>
          <w:sz w:val="20"/>
          <w:szCs w:val="20"/>
        </w:rPr>
        <w:t>barostat</w:t>
      </w:r>
      <w:proofErr w:type="spellEnd"/>
      <w:r w:rsidRPr="00925095">
        <w:rPr>
          <w:rFonts w:ascii="Times New Roman" w:hAnsi="Times New Roman" w:cs="Times New Roman"/>
          <w:sz w:val="20"/>
          <w:szCs w:val="20"/>
        </w:rPr>
        <w:t>. Production runs were carried out for 100 ns, and trajectory data were recorded every 100 ps. Post-simulation analysis included root mean square deviation (RMSD), root mean square fluctuation (RMSF), radius of gyration (</w:t>
      </w:r>
      <w:proofErr w:type="spellStart"/>
      <w:r w:rsidRPr="00925095">
        <w:rPr>
          <w:rFonts w:ascii="Times New Roman" w:hAnsi="Times New Roman" w:cs="Times New Roman"/>
          <w:sz w:val="20"/>
          <w:szCs w:val="20"/>
        </w:rPr>
        <w:t>Rg</w:t>
      </w:r>
      <w:proofErr w:type="spellEnd"/>
      <w:r w:rsidRPr="00925095">
        <w:rPr>
          <w:rFonts w:ascii="Times New Roman" w:hAnsi="Times New Roman" w:cs="Times New Roman"/>
          <w:sz w:val="20"/>
          <w:szCs w:val="20"/>
        </w:rPr>
        <w:t>), hydrogen bond occupancy, and protein–ligand contact maps to evaluate conformational stability and interaction persistence</w:t>
      </w:r>
      <w:r w:rsidR="00F84EA5" w:rsidRPr="00925095">
        <w:rPr>
          <w:rFonts w:ascii="Times New Roman" w:hAnsi="Times New Roman" w:cs="Times New Roman"/>
          <w:sz w:val="20"/>
          <w:szCs w:val="20"/>
        </w:rPr>
        <w:t xml:space="preserve"> </w:t>
      </w:r>
      <w:r w:rsidR="00F84EA5" w:rsidRPr="00925095">
        <w:rPr>
          <w:rFonts w:ascii="Times New Roman" w:hAnsi="Times New Roman" w:cs="Times New Roman"/>
          <w:sz w:val="20"/>
          <w:szCs w:val="20"/>
        </w:rPr>
        <w:fldChar w:fldCharType="begin"/>
      </w:r>
      <w:r w:rsidR="00F84EA5" w:rsidRPr="00925095">
        <w:rPr>
          <w:rFonts w:ascii="Times New Roman" w:hAnsi="Times New Roman" w:cs="Times New Roman"/>
          <w:sz w:val="20"/>
          <w:szCs w:val="20"/>
        </w:rPr>
        <w:instrText xml:space="preserve"> ADDIN ZOTERO_ITEM CSL_CITATION {"citationID":"DVH3s3Nf","properties":{"formattedCitation":"(15)","plainCitation":"(15)","noteIndex":0},"citationItems":[{"id":2121,"uris":["http://zotero.org/groups/5334213/items/9H2Y944P"],"itemData":{"id":2121,"type":"article-journal","abstract":"SARS-CoV-2, a deadly coronavirus sparked COVID-19 pandemic around the globe. With an increased mutation rate, this infectious agent is highly transmissible inducing an escalated rate of infections and death everywhere. Hence, the discovery of a viable antiviral therapy option is urgent. Computational approaches have offered a revolutionary framework to identify novel antimicrobial treatment regimens and allow a quicker, cost-effective, and productive conversion into the health center by evaluating preliminary and safety investigations. The primary purpose of this research was to find plausible plant-derived antiviral small molecules to halt the viral entrance into individuals by clogging the adherence of Spike protein with human ACE2 receptor and to suppress their genome replication by obstructing the activity of Nsp3 (Nonstructural protein 3) and 3CLpro (main protease). An in-house library of 1163 phytochemicals were selected from the NPASS and PubChem databases for downstream analysis. Preliminary analysis with SwissADME and pkCSM revealed 149 finest small molecules from the large dataset. Virtual screening using the molecular docking scoring and the MM-GBSA data analysis revealed that three candidate ligands CHEMBL503 (Lovastatin), CHEMBL490355 (Sulfuretin), and CHEMBL4216332 (Grayanoside A) successfully formed docked complex within the active site of human ACE2 receptor, Nsp3, and 3CLpro, respectively. Dual method molecular dynamics (MD) simulation and post-MD MM-GBSA further confirmed efficient binding and stable interaction between the ligands and target proteins. Furthermore, biological activity spectra and molecular target analysis revealed that all three preselected phytochemicals were biologically active and safe for human use. Throughout the adopted methodology, all three therapeutic candidates significantly outperformed the control drugs (Molnupiravir and Paxlovid). Finally, our research implies that these SARS-CoV-2 protein antagonists might be viable therapeutic options. At the same time, enough wet lab evaluations would be needed to ensure the therapeutic potency of the recommended drug candidates for SARS-CoV-2.","container-title":"BioMed Research International","DOI":"10.1155/2023/5469258","ISSN":"2314-6133","journalAbbreviation":"Biomed Res Int","note":"PMID: 37214084\nPMCID: PMC10195178","page":"5469258","source":"PubMed Central","title":"In Silico Identification and Analysis of Potentially Bioactive Antiviral Phytochemicals against SARS-CoV-2: A Molecular Docking and Dynamics Simulation Approach","title-short":"In Silico Identification and Analysis of Potentially Bioactive Antiviral Phytochemicals against SARS-CoV-2","volume":"2023","author":[{"family":"Halder","given":"Sajal Kumar"},{"family":"Sultana","given":"Ive"},{"family":"Shuvo","given":"Md Nazmussakib"},{"family":"Shil","given":"Aparna"},{"family":"Himel","given":"Mahbubul Kabir"},{"family":"Hasan","given":"Md. Ashraful"},{"family":"Shawan","given":"Mohammad Mahfuz Ali Khan"}],"issued":{"date-parts":[["2023",5,11]]}}}],"schema":"https://github.com/citation-style-language/schema/raw/master/csl-citation.json"} </w:instrText>
      </w:r>
      <w:r w:rsidR="00F84EA5" w:rsidRPr="00925095">
        <w:rPr>
          <w:rFonts w:ascii="Times New Roman" w:hAnsi="Times New Roman" w:cs="Times New Roman"/>
          <w:sz w:val="20"/>
          <w:szCs w:val="20"/>
        </w:rPr>
        <w:fldChar w:fldCharType="separate"/>
      </w:r>
      <w:r w:rsidR="00F84EA5" w:rsidRPr="00925095">
        <w:rPr>
          <w:rFonts w:ascii="Times New Roman" w:hAnsi="Times New Roman" w:cs="Times New Roman"/>
          <w:sz w:val="20"/>
          <w:szCs w:val="20"/>
        </w:rPr>
        <w:t>(15)</w:t>
      </w:r>
      <w:r w:rsidR="00F84EA5" w:rsidRPr="00925095">
        <w:rPr>
          <w:rFonts w:ascii="Times New Roman" w:hAnsi="Times New Roman" w:cs="Times New Roman"/>
          <w:sz w:val="20"/>
          <w:szCs w:val="20"/>
        </w:rPr>
        <w:fldChar w:fldCharType="end"/>
      </w:r>
      <w:r w:rsidRPr="00925095">
        <w:rPr>
          <w:rFonts w:ascii="Times New Roman" w:hAnsi="Times New Roman" w:cs="Times New Roman"/>
          <w:sz w:val="20"/>
          <w:szCs w:val="20"/>
        </w:rPr>
        <w:t>.</w:t>
      </w:r>
    </w:p>
    <w:p w14:paraId="02702158" w14:textId="41BE62FC" w:rsidR="00E81797" w:rsidRPr="00925095" w:rsidRDefault="00E81797" w:rsidP="00E8179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rPr>
        <w:t>2.7 Cell Culture Maintenance</w:t>
      </w:r>
      <w:r w:rsidRPr="00925095">
        <w:rPr>
          <w:rFonts w:ascii="Times New Roman" w:hAnsi="Times New Roman" w:cs="Times New Roman"/>
          <w:sz w:val="20"/>
          <w:szCs w:val="20"/>
        </w:rPr>
        <w:br/>
        <w:t>U-87 (MG) human brain glioblastoma epithelial cells were cultured in Dulbecco’s Modified Eagle Medium (DMEM) supplemented with 10% (v/v) heat-inactivated fetal bovine serum, 100 U/mL penicillin, and 100 μg/mL streptomycin. Cells were maintained at 37 °C in a humidified atmosphere containing 5% CO₂ and 95% air, and sub-cultured during the logarithmic growth phase.</w:t>
      </w:r>
    </w:p>
    <w:p w14:paraId="22BBD668" w14:textId="04D8615D" w:rsidR="00E81797" w:rsidRPr="00925095" w:rsidRDefault="00E81797" w:rsidP="00E8179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rPr>
        <w:t>2.7.1 MTT Assay for Anticancer Activity</w:t>
      </w:r>
      <w:r w:rsidRPr="00925095">
        <w:rPr>
          <w:rFonts w:ascii="Times New Roman" w:hAnsi="Times New Roman" w:cs="Times New Roman"/>
          <w:sz w:val="20"/>
          <w:szCs w:val="20"/>
        </w:rPr>
        <w:br/>
        <w:t xml:space="preserve">The anticancer potential of the test sample was evaluated using the MTT assay. Briefly, U-87 (MG) cells were seeded in 96-well microplates at a density of 1 × 10⁴ cells/well and incubated for 48 h to reach 70–80% confluence. The cells were then treated with varying concentrations of the sample and incubated for 24 h under standard culture conditions. Morphological changes in both treated and untreated (control) cells were observed and photographed under a digital inverted microscope (20× magnification). Following treatment, cells were washed with phosphate-buffered saline (PBS, pH 7.4) and incubated with 20 μL of MTT solution (5 mg/mL in PBS) for 4 h at 37 °C in the dark. The resulting formazan crystals were solubilized in 100 μL of dimethyl sulfoxide (DMSO), </w:t>
      </w:r>
      <w:r w:rsidRPr="00925095">
        <w:rPr>
          <w:rFonts w:ascii="Times New Roman" w:hAnsi="Times New Roman" w:cs="Times New Roman"/>
          <w:sz w:val="20"/>
          <w:szCs w:val="20"/>
        </w:rPr>
        <w:lastRenderedPageBreak/>
        <w:t>and absorbance was measured at 570 nm using a spectrophotometer. Cell viability was calculated using the equation:</w:t>
      </w:r>
    </w:p>
    <w:p w14:paraId="6C6023A3" w14:textId="7E29E480" w:rsidR="000C3EC6" w:rsidRPr="00925095" w:rsidRDefault="00213578" w:rsidP="000C3EC6">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rPr>
        <w:t>2.7.2 Reactive Oxygen Species (ROS) Analysis</w:t>
      </w:r>
      <w:r w:rsidRPr="00925095">
        <w:rPr>
          <w:rFonts w:ascii="Times New Roman" w:hAnsi="Times New Roman" w:cs="Times New Roman"/>
          <w:sz w:val="20"/>
          <w:szCs w:val="20"/>
        </w:rPr>
        <w:br/>
        <w:t xml:space="preserve">Intracellular reactive oxygen species (ROS) generation in U-87 (MG) cells was assessed using the oxidative conversion of the non-fluorescent, cell-permeable probe dichloro-dihydro-fluorescein diacetate (DCFH-DA) into the fluorescent compound </w:t>
      </w:r>
      <w:proofErr w:type="spellStart"/>
      <w:r w:rsidRPr="00925095">
        <w:rPr>
          <w:rFonts w:ascii="Times New Roman" w:hAnsi="Times New Roman" w:cs="Times New Roman"/>
          <w:sz w:val="20"/>
          <w:szCs w:val="20"/>
        </w:rPr>
        <w:t>dichlorofluorescein</w:t>
      </w:r>
      <w:proofErr w:type="spellEnd"/>
      <w:r w:rsidRPr="00925095">
        <w:rPr>
          <w:rFonts w:ascii="Times New Roman" w:hAnsi="Times New Roman" w:cs="Times New Roman"/>
          <w:sz w:val="20"/>
          <w:szCs w:val="20"/>
        </w:rPr>
        <w:t xml:space="preserve"> (DCF). U-87 cells were seeded in 6-well plates at a density of 1 × 10⁵ cells/well and treated with the IC₅₀ concentration of the test sample for 24 h under standard culture conditions. Subsequently, the cells were incubated with 1 μL of DCFH-DA (1 mg/mL) for 20 min in the dark. The intracellular fluorescence of DCF was then visualized and documented using a fluorescence microscope.</w:t>
      </w:r>
    </w:p>
    <w:p w14:paraId="6CF5BCE3" w14:textId="2BBDC31E" w:rsidR="000C3EC6" w:rsidRPr="00925095" w:rsidRDefault="006B4087" w:rsidP="000C3EC6">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3. Results</w:t>
      </w:r>
    </w:p>
    <w:p w14:paraId="49B80347" w14:textId="77777777" w:rsidR="006B4087" w:rsidRPr="00925095" w:rsidRDefault="006B4087" w:rsidP="006B4087">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3.1. Identification of Common Targets between Esculetin and Migraine</w:t>
      </w:r>
    </w:p>
    <w:p w14:paraId="6EE16F3E" w14:textId="4C34B9ED" w:rsidR="00213578" w:rsidRPr="00925095" w:rsidRDefault="00925095"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58240" behindDoc="1" locked="0" layoutInCell="1" allowOverlap="1" wp14:anchorId="501A6E71" wp14:editId="315A527B">
            <wp:simplePos x="0" y="0"/>
            <wp:positionH relativeFrom="column">
              <wp:posOffset>1179191</wp:posOffset>
            </wp:positionH>
            <wp:positionV relativeFrom="paragraph">
              <wp:posOffset>1285252</wp:posOffset>
            </wp:positionV>
            <wp:extent cx="3388360" cy="3263900"/>
            <wp:effectExtent l="0" t="0" r="2540" b="0"/>
            <wp:wrapNone/>
            <wp:docPr id="52005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8360"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087" w:rsidRPr="00925095">
        <w:rPr>
          <w:rFonts w:ascii="Times New Roman" w:hAnsi="Times New Roman" w:cs="Times New Roman"/>
          <w:sz w:val="20"/>
          <w:szCs w:val="20"/>
        </w:rPr>
        <w:t xml:space="preserve">To elucidate the potential therapeutic mechanisms of esculetin in migraine, target prediction was performed using network pharmacology approaches. A total of 108 putative targets associated with esculetin were retrieved from target prediction databases. Simultaneously, 5,008 migraine-related genes were collected from </w:t>
      </w:r>
      <w:proofErr w:type="spellStart"/>
      <w:r w:rsidR="006B4087" w:rsidRPr="00925095">
        <w:rPr>
          <w:rFonts w:ascii="Times New Roman" w:hAnsi="Times New Roman" w:cs="Times New Roman"/>
          <w:sz w:val="20"/>
          <w:szCs w:val="20"/>
        </w:rPr>
        <w:t>GeneCards</w:t>
      </w:r>
      <w:proofErr w:type="spellEnd"/>
      <w:r w:rsidR="006B4087" w:rsidRPr="00925095">
        <w:rPr>
          <w:rFonts w:ascii="Times New Roman" w:hAnsi="Times New Roman" w:cs="Times New Roman"/>
          <w:sz w:val="20"/>
          <w:szCs w:val="20"/>
        </w:rPr>
        <w:t xml:space="preserve"> and </w:t>
      </w:r>
      <w:proofErr w:type="spellStart"/>
      <w:r w:rsidR="006B4087" w:rsidRPr="00925095">
        <w:rPr>
          <w:rFonts w:ascii="Times New Roman" w:hAnsi="Times New Roman" w:cs="Times New Roman"/>
          <w:sz w:val="20"/>
          <w:szCs w:val="20"/>
        </w:rPr>
        <w:t>DisGeNET</w:t>
      </w:r>
      <w:proofErr w:type="spellEnd"/>
      <w:r w:rsidR="006B4087" w:rsidRPr="00925095">
        <w:rPr>
          <w:rFonts w:ascii="Times New Roman" w:hAnsi="Times New Roman" w:cs="Times New Roman"/>
          <w:sz w:val="20"/>
          <w:szCs w:val="20"/>
        </w:rPr>
        <w:t xml:space="preserve"> databases. Intersection analysis using a Venn diagram revealed 50 overlapping targets between esculetin and migraine </w:t>
      </w:r>
      <w:r w:rsidR="006B4087" w:rsidRPr="00925095">
        <w:rPr>
          <w:rFonts w:ascii="Times New Roman" w:hAnsi="Times New Roman" w:cs="Times New Roman"/>
          <w:b/>
          <w:bCs/>
          <w:sz w:val="20"/>
          <w:szCs w:val="20"/>
        </w:rPr>
        <w:t>(Fig.1)</w:t>
      </w:r>
      <w:r w:rsidR="006B4087" w:rsidRPr="00925095">
        <w:rPr>
          <w:rFonts w:ascii="Times New Roman" w:hAnsi="Times New Roman" w:cs="Times New Roman"/>
          <w:sz w:val="20"/>
          <w:szCs w:val="20"/>
        </w:rPr>
        <w:t>. These common targets were considered as the core set for subsequent protein–protein interaction (PPI) network construction, functional enrichment, and molecular docking analyses, as they may play a critical role in mediating the therapeutic effects of esculetin against migraine.</w:t>
      </w:r>
    </w:p>
    <w:p w14:paraId="6D7935C1" w14:textId="3C7E1692" w:rsidR="006B4087" w:rsidRPr="00925095" w:rsidRDefault="006B4087" w:rsidP="006B4087">
      <w:pPr>
        <w:tabs>
          <w:tab w:val="left" w:pos="3750"/>
        </w:tabs>
        <w:spacing w:line="360" w:lineRule="auto"/>
        <w:jc w:val="both"/>
        <w:rPr>
          <w:rFonts w:ascii="Times New Roman" w:hAnsi="Times New Roman" w:cs="Times New Roman"/>
          <w:b/>
          <w:bCs/>
          <w:sz w:val="20"/>
          <w:szCs w:val="20"/>
        </w:rPr>
      </w:pPr>
    </w:p>
    <w:p w14:paraId="2A20B6C8" w14:textId="77777777" w:rsidR="006B4087" w:rsidRPr="00925095" w:rsidRDefault="006B4087" w:rsidP="006B4087">
      <w:pPr>
        <w:tabs>
          <w:tab w:val="left" w:pos="3750"/>
        </w:tabs>
        <w:spacing w:line="360" w:lineRule="auto"/>
        <w:jc w:val="both"/>
        <w:rPr>
          <w:rFonts w:ascii="Times New Roman" w:hAnsi="Times New Roman" w:cs="Times New Roman"/>
          <w:b/>
          <w:bCs/>
          <w:sz w:val="20"/>
          <w:szCs w:val="20"/>
        </w:rPr>
      </w:pPr>
    </w:p>
    <w:p w14:paraId="641C013E" w14:textId="77777777" w:rsidR="006B4087" w:rsidRPr="00925095" w:rsidRDefault="006B4087" w:rsidP="006B4087">
      <w:pPr>
        <w:tabs>
          <w:tab w:val="left" w:pos="3750"/>
        </w:tabs>
        <w:spacing w:line="360" w:lineRule="auto"/>
        <w:jc w:val="both"/>
        <w:rPr>
          <w:rFonts w:ascii="Times New Roman" w:hAnsi="Times New Roman" w:cs="Times New Roman"/>
          <w:b/>
          <w:bCs/>
          <w:sz w:val="20"/>
          <w:szCs w:val="20"/>
        </w:rPr>
      </w:pPr>
    </w:p>
    <w:p w14:paraId="3C8E8D17" w14:textId="77777777" w:rsidR="006B4087" w:rsidRPr="00925095" w:rsidRDefault="006B4087" w:rsidP="006B4087">
      <w:pPr>
        <w:tabs>
          <w:tab w:val="left" w:pos="3750"/>
        </w:tabs>
        <w:spacing w:line="360" w:lineRule="auto"/>
        <w:jc w:val="both"/>
        <w:rPr>
          <w:rFonts w:ascii="Times New Roman" w:hAnsi="Times New Roman" w:cs="Times New Roman"/>
          <w:b/>
          <w:bCs/>
          <w:sz w:val="20"/>
          <w:szCs w:val="20"/>
        </w:rPr>
      </w:pPr>
    </w:p>
    <w:p w14:paraId="58C93B46" w14:textId="77777777" w:rsidR="006B4087" w:rsidRPr="00925095" w:rsidRDefault="006B4087" w:rsidP="006B4087">
      <w:pPr>
        <w:tabs>
          <w:tab w:val="left" w:pos="3750"/>
        </w:tabs>
        <w:spacing w:line="360" w:lineRule="auto"/>
        <w:jc w:val="both"/>
        <w:rPr>
          <w:rFonts w:ascii="Times New Roman" w:hAnsi="Times New Roman" w:cs="Times New Roman"/>
          <w:b/>
          <w:bCs/>
          <w:sz w:val="20"/>
          <w:szCs w:val="20"/>
        </w:rPr>
      </w:pPr>
    </w:p>
    <w:p w14:paraId="7BD5059F"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28C80A33"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260EAF32"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3AC84167" w14:textId="1D3C1C19" w:rsidR="006B4087" w:rsidRPr="00925095" w:rsidRDefault="006B408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w:t>
      </w:r>
      <w:r w:rsidRPr="00925095">
        <w:rPr>
          <w:rFonts w:ascii="Times New Roman" w:hAnsi="Times New Roman" w:cs="Times New Roman"/>
          <w:sz w:val="20"/>
          <w:szCs w:val="20"/>
        </w:rPr>
        <w:t xml:space="preserve"> Venn diagram showing the overlap between esculetin-associated targets (blue) and migraine-related genes (pink). The intersection represents 50 shared targets potentially involved in </w:t>
      </w:r>
      <w:proofErr w:type="spellStart"/>
      <w:r w:rsidRPr="00925095">
        <w:rPr>
          <w:rFonts w:ascii="Times New Roman" w:hAnsi="Times New Roman" w:cs="Times New Roman"/>
          <w:sz w:val="20"/>
          <w:szCs w:val="20"/>
        </w:rPr>
        <w:t>esculetin’s</w:t>
      </w:r>
      <w:proofErr w:type="spellEnd"/>
      <w:r w:rsidRPr="00925095">
        <w:rPr>
          <w:rFonts w:ascii="Times New Roman" w:hAnsi="Times New Roman" w:cs="Times New Roman"/>
          <w:sz w:val="20"/>
          <w:szCs w:val="20"/>
        </w:rPr>
        <w:t xml:space="preserve"> anti-migraine activity.</w:t>
      </w:r>
    </w:p>
    <w:p w14:paraId="3B1F71E1"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35933FDA"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04918624" w14:textId="77777777" w:rsidR="00925095" w:rsidRDefault="00925095" w:rsidP="006B4087">
      <w:pPr>
        <w:tabs>
          <w:tab w:val="left" w:pos="3750"/>
        </w:tabs>
        <w:spacing w:line="360" w:lineRule="auto"/>
        <w:jc w:val="both"/>
        <w:rPr>
          <w:rFonts w:ascii="Times New Roman" w:hAnsi="Times New Roman" w:cs="Times New Roman"/>
          <w:b/>
          <w:bCs/>
          <w:sz w:val="20"/>
          <w:szCs w:val="20"/>
        </w:rPr>
      </w:pPr>
    </w:p>
    <w:p w14:paraId="1442BD39" w14:textId="6D056F73" w:rsidR="006B4087" w:rsidRPr="00925095" w:rsidRDefault="006B4087" w:rsidP="006B4087">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lastRenderedPageBreak/>
        <w:t>3.</w:t>
      </w:r>
      <w:r w:rsidR="00334A85" w:rsidRPr="00925095">
        <w:rPr>
          <w:rFonts w:ascii="Times New Roman" w:hAnsi="Times New Roman" w:cs="Times New Roman"/>
          <w:b/>
          <w:bCs/>
        </w:rPr>
        <w:t>1.</w:t>
      </w:r>
      <w:r w:rsidRPr="00925095">
        <w:rPr>
          <w:rFonts w:ascii="Times New Roman" w:hAnsi="Times New Roman" w:cs="Times New Roman"/>
          <w:b/>
          <w:bCs/>
        </w:rPr>
        <w:t>2. Construction of the PPI Network for Common Targets</w:t>
      </w:r>
    </w:p>
    <w:p w14:paraId="4BBAB30E" w14:textId="4215CEE2" w:rsidR="006B4087" w:rsidRPr="00925095" w:rsidRDefault="004B7CF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60288" behindDoc="1" locked="0" layoutInCell="1" allowOverlap="1" wp14:anchorId="43864456" wp14:editId="3BE1EE21">
            <wp:simplePos x="0" y="0"/>
            <wp:positionH relativeFrom="column">
              <wp:posOffset>1272803</wp:posOffset>
            </wp:positionH>
            <wp:positionV relativeFrom="paragraph">
              <wp:posOffset>1974589</wp:posOffset>
            </wp:positionV>
            <wp:extent cx="3687782" cy="3607112"/>
            <wp:effectExtent l="0" t="0" r="0" b="0"/>
            <wp:wrapNone/>
            <wp:docPr id="1666281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283" t="11346" r="11811" b="3076"/>
                    <a:stretch>
                      <a:fillRect/>
                    </a:stretch>
                  </pic:blipFill>
                  <pic:spPr bwMode="auto">
                    <a:xfrm>
                      <a:off x="0" y="0"/>
                      <a:ext cx="3692140" cy="361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4087" w:rsidRPr="00925095">
        <w:rPr>
          <w:rFonts w:ascii="Times New Roman" w:hAnsi="Times New Roman" w:cs="Times New Roman"/>
          <w:sz w:val="20"/>
          <w:szCs w:val="20"/>
        </w:rPr>
        <w:t xml:space="preserve">The 50 overlapping targets between esculetin and migraine </w:t>
      </w:r>
      <w:r w:rsidR="006B4087" w:rsidRPr="00925095">
        <w:rPr>
          <w:rFonts w:ascii="Times New Roman" w:hAnsi="Times New Roman" w:cs="Times New Roman"/>
          <w:b/>
          <w:bCs/>
          <w:sz w:val="20"/>
          <w:szCs w:val="20"/>
        </w:rPr>
        <w:t>(Fig.2)</w:t>
      </w:r>
      <w:r w:rsidR="006B4087" w:rsidRPr="00925095">
        <w:rPr>
          <w:rFonts w:ascii="Times New Roman" w:hAnsi="Times New Roman" w:cs="Times New Roman"/>
          <w:sz w:val="20"/>
          <w:szCs w:val="20"/>
        </w:rPr>
        <w:t xml:space="preserve"> were subjected to protein–protein interaction (PPI) analysis using the STRING database (version 12.0), with the species set to </w:t>
      </w:r>
      <w:r w:rsidR="006B4087" w:rsidRPr="00925095">
        <w:rPr>
          <w:rFonts w:ascii="Times New Roman" w:hAnsi="Times New Roman" w:cs="Times New Roman"/>
          <w:i/>
          <w:iCs/>
          <w:sz w:val="20"/>
          <w:szCs w:val="20"/>
        </w:rPr>
        <w:t>Homo sapiens</w:t>
      </w:r>
      <w:r w:rsidR="006B4087" w:rsidRPr="00925095">
        <w:rPr>
          <w:rFonts w:ascii="Times New Roman" w:hAnsi="Times New Roman" w:cs="Times New Roman"/>
          <w:sz w:val="20"/>
          <w:szCs w:val="20"/>
        </w:rPr>
        <w:t xml:space="preserve"> and a high-confidence interaction score threshold (≥ 0.900). The resulting network consisted of 50 nodes and 148 edges, indicating a significantly higher interaction density compared to a random network of similar size, thus highlighting functional connectivity among these targets. Nodes in the network represent proteins, and edges represent predicted functional associations derived from experimental data, co-expression profiles, curated databases, and text mining. The average node degree was 5.92, with </w:t>
      </w:r>
      <w:r w:rsidR="006B4087" w:rsidRPr="00925095">
        <w:rPr>
          <w:rFonts w:ascii="Times New Roman" w:hAnsi="Times New Roman" w:cs="Times New Roman"/>
          <w:i/>
          <w:iCs/>
          <w:sz w:val="20"/>
          <w:szCs w:val="20"/>
        </w:rPr>
        <w:t>SERPINE1</w:t>
      </w:r>
      <w:r w:rsidR="006B4087" w:rsidRPr="00925095">
        <w:rPr>
          <w:rFonts w:ascii="Times New Roman" w:hAnsi="Times New Roman" w:cs="Times New Roman"/>
          <w:sz w:val="20"/>
          <w:szCs w:val="20"/>
        </w:rPr>
        <w:t xml:space="preserve">, </w:t>
      </w:r>
      <w:r w:rsidR="006B4087" w:rsidRPr="00925095">
        <w:rPr>
          <w:rFonts w:ascii="Times New Roman" w:hAnsi="Times New Roman" w:cs="Times New Roman"/>
          <w:i/>
          <w:iCs/>
          <w:sz w:val="20"/>
          <w:szCs w:val="20"/>
        </w:rPr>
        <w:t>STAT1</w:t>
      </w:r>
      <w:r w:rsidR="006B4087" w:rsidRPr="00925095">
        <w:rPr>
          <w:rFonts w:ascii="Times New Roman" w:hAnsi="Times New Roman" w:cs="Times New Roman"/>
          <w:sz w:val="20"/>
          <w:szCs w:val="20"/>
        </w:rPr>
        <w:t xml:space="preserve">, </w:t>
      </w:r>
      <w:r w:rsidR="006B4087" w:rsidRPr="00925095">
        <w:rPr>
          <w:rFonts w:ascii="Times New Roman" w:hAnsi="Times New Roman" w:cs="Times New Roman"/>
          <w:i/>
          <w:iCs/>
          <w:sz w:val="20"/>
          <w:szCs w:val="20"/>
        </w:rPr>
        <w:t>TBK1</w:t>
      </w:r>
      <w:r w:rsidR="006B4087" w:rsidRPr="00925095">
        <w:rPr>
          <w:rFonts w:ascii="Times New Roman" w:hAnsi="Times New Roman" w:cs="Times New Roman"/>
          <w:sz w:val="20"/>
          <w:szCs w:val="20"/>
        </w:rPr>
        <w:t xml:space="preserve">, </w:t>
      </w:r>
      <w:r w:rsidR="006B4087" w:rsidRPr="00925095">
        <w:rPr>
          <w:rFonts w:ascii="Times New Roman" w:hAnsi="Times New Roman" w:cs="Times New Roman"/>
          <w:i/>
          <w:iCs/>
          <w:sz w:val="20"/>
          <w:szCs w:val="20"/>
        </w:rPr>
        <w:t>GSK3B</w:t>
      </w:r>
      <w:r w:rsidR="006B4087" w:rsidRPr="00925095">
        <w:rPr>
          <w:rFonts w:ascii="Times New Roman" w:hAnsi="Times New Roman" w:cs="Times New Roman"/>
          <w:sz w:val="20"/>
          <w:szCs w:val="20"/>
        </w:rPr>
        <w:t xml:space="preserve">, and </w:t>
      </w:r>
      <w:r w:rsidR="006B4087" w:rsidRPr="00925095">
        <w:rPr>
          <w:rFonts w:ascii="Times New Roman" w:hAnsi="Times New Roman" w:cs="Times New Roman"/>
          <w:i/>
          <w:iCs/>
          <w:sz w:val="20"/>
          <w:szCs w:val="20"/>
        </w:rPr>
        <w:t>SLC2A1</w:t>
      </w:r>
      <w:r w:rsidR="006B4087" w:rsidRPr="00925095">
        <w:rPr>
          <w:rFonts w:ascii="Times New Roman" w:hAnsi="Times New Roman" w:cs="Times New Roman"/>
          <w:sz w:val="20"/>
          <w:szCs w:val="20"/>
        </w:rPr>
        <w:t xml:space="preserve"> showing the highest connectivity, suggesting their central role in the biological mechanisms linking esculetin to migraine modulation.</w:t>
      </w:r>
    </w:p>
    <w:p w14:paraId="034C3FFE" w14:textId="63B56CA5"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69207796" w14:textId="0515E702"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01497B59" w14:textId="7DFFCA26"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578079FE" w14:textId="70B2C84A"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62884A4A" w14:textId="6AF4A564" w:rsidR="006B4087" w:rsidRPr="00925095" w:rsidRDefault="00213578" w:rsidP="00213578">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ab/>
      </w:r>
    </w:p>
    <w:p w14:paraId="3207D5EA"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4E81CDBE" w14:textId="77777777" w:rsidR="002A210A" w:rsidRPr="00925095" w:rsidRDefault="002A210A" w:rsidP="006B4087">
      <w:pPr>
        <w:tabs>
          <w:tab w:val="left" w:pos="3750"/>
        </w:tabs>
        <w:spacing w:line="360" w:lineRule="auto"/>
        <w:jc w:val="both"/>
        <w:rPr>
          <w:rFonts w:ascii="Times New Roman" w:hAnsi="Times New Roman" w:cs="Times New Roman"/>
          <w:sz w:val="20"/>
          <w:szCs w:val="20"/>
        </w:rPr>
      </w:pPr>
    </w:p>
    <w:p w14:paraId="340A4988" w14:textId="77777777" w:rsidR="002A210A" w:rsidRPr="00925095" w:rsidRDefault="002A210A" w:rsidP="006B4087">
      <w:pPr>
        <w:tabs>
          <w:tab w:val="left" w:pos="3750"/>
        </w:tabs>
        <w:spacing w:line="360" w:lineRule="auto"/>
        <w:jc w:val="both"/>
        <w:rPr>
          <w:rFonts w:ascii="Times New Roman" w:hAnsi="Times New Roman" w:cs="Times New Roman"/>
          <w:sz w:val="20"/>
          <w:szCs w:val="20"/>
        </w:rPr>
      </w:pPr>
    </w:p>
    <w:p w14:paraId="4FF441C8" w14:textId="77777777" w:rsidR="002A210A" w:rsidRPr="00925095" w:rsidRDefault="002A210A" w:rsidP="006B4087">
      <w:pPr>
        <w:tabs>
          <w:tab w:val="left" w:pos="3750"/>
        </w:tabs>
        <w:spacing w:line="360" w:lineRule="auto"/>
        <w:jc w:val="both"/>
        <w:rPr>
          <w:rFonts w:ascii="Times New Roman" w:hAnsi="Times New Roman" w:cs="Times New Roman"/>
          <w:sz w:val="20"/>
          <w:szCs w:val="20"/>
        </w:rPr>
      </w:pPr>
    </w:p>
    <w:p w14:paraId="7098160B" w14:textId="77777777" w:rsidR="002A210A" w:rsidRPr="00925095" w:rsidRDefault="002A210A" w:rsidP="006B4087">
      <w:pPr>
        <w:tabs>
          <w:tab w:val="left" w:pos="3750"/>
        </w:tabs>
        <w:spacing w:line="360" w:lineRule="auto"/>
        <w:jc w:val="both"/>
        <w:rPr>
          <w:rFonts w:ascii="Times New Roman" w:hAnsi="Times New Roman" w:cs="Times New Roman"/>
          <w:sz w:val="20"/>
          <w:szCs w:val="20"/>
        </w:rPr>
      </w:pPr>
    </w:p>
    <w:p w14:paraId="6FCA8183" w14:textId="77777777" w:rsidR="002A210A" w:rsidRPr="00925095" w:rsidRDefault="002A210A" w:rsidP="006B4087">
      <w:pPr>
        <w:tabs>
          <w:tab w:val="left" w:pos="3750"/>
        </w:tabs>
        <w:spacing w:line="360" w:lineRule="auto"/>
        <w:jc w:val="both"/>
        <w:rPr>
          <w:rFonts w:ascii="Times New Roman" w:hAnsi="Times New Roman" w:cs="Times New Roman"/>
          <w:sz w:val="20"/>
          <w:szCs w:val="20"/>
        </w:rPr>
      </w:pPr>
    </w:p>
    <w:p w14:paraId="681EFC06" w14:textId="5149EFE5" w:rsidR="006B4087" w:rsidRPr="00925095" w:rsidRDefault="006B408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 xml:space="preserve">Figure </w:t>
      </w:r>
      <w:r w:rsidR="002A210A" w:rsidRPr="00925095">
        <w:rPr>
          <w:rFonts w:ascii="Times New Roman" w:hAnsi="Times New Roman" w:cs="Times New Roman"/>
          <w:b/>
          <w:bCs/>
          <w:sz w:val="20"/>
          <w:szCs w:val="20"/>
        </w:rPr>
        <w:t>2</w:t>
      </w:r>
      <w:r w:rsidRPr="00925095">
        <w:rPr>
          <w:rFonts w:ascii="Times New Roman" w:hAnsi="Times New Roman" w:cs="Times New Roman"/>
          <w:b/>
          <w:bCs/>
          <w:sz w:val="20"/>
          <w:szCs w:val="20"/>
        </w:rPr>
        <w:t>.</w:t>
      </w:r>
      <w:r w:rsidRPr="00925095">
        <w:rPr>
          <w:rFonts w:ascii="Times New Roman" w:hAnsi="Times New Roman" w:cs="Times New Roman"/>
          <w:sz w:val="20"/>
          <w:szCs w:val="20"/>
        </w:rPr>
        <w:t xml:space="preserve"> Protein–protein interaction (PPI) network of the 50 common targets between esculetin and migraine constructed using the STRING database. Node size reflects degree centrality, while edge color denotes interaction evidence type: green (</w:t>
      </w:r>
      <w:proofErr w:type="spellStart"/>
      <w:r w:rsidRPr="00925095">
        <w:rPr>
          <w:rFonts w:ascii="Times New Roman" w:hAnsi="Times New Roman" w:cs="Times New Roman"/>
          <w:sz w:val="20"/>
          <w:szCs w:val="20"/>
        </w:rPr>
        <w:t>neighborhood</w:t>
      </w:r>
      <w:proofErr w:type="spellEnd"/>
      <w:r w:rsidRPr="00925095">
        <w:rPr>
          <w:rFonts w:ascii="Times New Roman" w:hAnsi="Times New Roman" w:cs="Times New Roman"/>
          <w:sz w:val="20"/>
          <w:szCs w:val="20"/>
        </w:rPr>
        <w:t>), purple (experiments), blue (co-occurrence), yellow (text mining), and pink (curated databases).</w:t>
      </w:r>
    </w:p>
    <w:p w14:paraId="05396687" w14:textId="55E2F076" w:rsidR="006B4087" w:rsidRPr="00925095" w:rsidRDefault="006B4087" w:rsidP="006B4087">
      <w:pPr>
        <w:tabs>
          <w:tab w:val="left" w:pos="3750"/>
        </w:tabs>
        <w:spacing w:line="360" w:lineRule="auto"/>
        <w:jc w:val="both"/>
        <w:rPr>
          <w:rFonts w:ascii="Times New Roman" w:hAnsi="Times New Roman" w:cs="Times New Roman"/>
          <w:b/>
          <w:bCs/>
          <w:sz w:val="20"/>
          <w:szCs w:val="20"/>
        </w:rPr>
      </w:pPr>
      <w:r w:rsidRPr="00925095">
        <w:rPr>
          <w:rFonts w:ascii="Times New Roman" w:hAnsi="Times New Roman" w:cs="Times New Roman"/>
          <w:b/>
          <w:bCs/>
          <w:sz w:val="20"/>
          <w:szCs w:val="20"/>
        </w:rPr>
        <w:t>3.</w:t>
      </w:r>
      <w:r w:rsidR="00334A85" w:rsidRPr="00925095">
        <w:rPr>
          <w:rFonts w:ascii="Times New Roman" w:hAnsi="Times New Roman" w:cs="Times New Roman"/>
          <w:b/>
          <w:bCs/>
          <w:sz w:val="20"/>
          <w:szCs w:val="20"/>
        </w:rPr>
        <w:t>1.</w:t>
      </w:r>
      <w:r w:rsidR="002A210A" w:rsidRPr="00925095">
        <w:rPr>
          <w:rFonts w:ascii="Times New Roman" w:hAnsi="Times New Roman" w:cs="Times New Roman"/>
          <w:b/>
          <w:bCs/>
          <w:sz w:val="20"/>
          <w:szCs w:val="20"/>
        </w:rPr>
        <w:t>3</w:t>
      </w:r>
      <w:r w:rsidRPr="00925095">
        <w:rPr>
          <w:rFonts w:ascii="Times New Roman" w:hAnsi="Times New Roman" w:cs="Times New Roman"/>
          <w:b/>
          <w:bCs/>
          <w:sz w:val="20"/>
          <w:szCs w:val="20"/>
        </w:rPr>
        <w:t>. Identification of Core Targets from the PPI Network</w:t>
      </w:r>
    </w:p>
    <w:p w14:paraId="6E00E987" w14:textId="74EC7D45" w:rsidR="006B4087" w:rsidRPr="00925095" w:rsidRDefault="006B408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Following the intersection analysis, the 50 common targets were imported into the STRING database to generate a high-confidence protein–protein interaction (PPI) network (interaction score ≥ 0.900, species set to </w:t>
      </w:r>
      <w:r w:rsidRPr="00925095">
        <w:rPr>
          <w:rFonts w:ascii="Times New Roman" w:hAnsi="Times New Roman" w:cs="Times New Roman"/>
          <w:i/>
          <w:iCs/>
          <w:sz w:val="20"/>
          <w:szCs w:val="20"/>
        </w:rPr>
        <w:t>Homo sapiens</w:t>
      </w:r>
      <w:r w:rsidRPr="00925095">
        <w:rPr>
          <w:rFonts w:ascii="Times New Roman" w:hAnsi="Times New Roman" w:cs="Times New Roman"/>
          <w:sz w:val="20"/>
          <w:szCs w:val="20"/>
        </w:rPr>
        <w:t xml:space="preserve">). The network was visualized and analyzed using Cytoscape 3.9.1, and topological parameters — degree centrality (DC), betweenness centrality (BC), and closeness centrality (CC) — were calculated to identify key nodes. The Molecular Complex Detection (MCODE) algorithm was applied to filter functional modules. From this analysis, </w:t>
      </w:r>
      <w:r w:rsidRPr="00925095">
        <w:rPr>
          <w:rFonts w:ascii="Times New Roman" w:hAnsi="Times New Roman" w:cs="Times New Roman"/>
          <w:b/>
          <w:bCs/>
          <w:sz w:val="20"/>
          <w:szCs w:val="20"/>
        </w:rPr>
        <w:t>10 hub genes</w:t>
      </w:r>
      <w:r w:rsidRPr="00925095">
        <w:rPr>
          <w:rFonts w:ascii="Times New Roman" w:hAnsi="Times New Roman" w:cs="Times New Roman"/>
          <w:sz w:val="20"/>
          <w:szCs w:val="20"/>
        </w:rPr>
        <w:t xml:space="preserve"> were identified as potential core targets: </w:t>
      </w:r>
      <w:r w:rsidRPr="00925095">
        <w:rPr>
          <w:rFonts w:ascii="Times New Roman" w:hAnsi="Times New Roman" w:cs="Times New Roman"/>
          <w:i/>
          <w:iCs/>
          <w:sz w:val="20"/>
          <w:szCs w:val="20"/>
        </w:rPr>
        <w:t>GSK3B</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CHUK</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IRAK1</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SERPINE1</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SLC2A1</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STAT1</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TBK1</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CTSD</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CA9</w:t>
      </w:r>
      <w:r w:rsidRPr="00925095">
        <w:rPr>
          <w:rFonts w:ascii="Times New Roman" w:hAnsi="Times New Roman" w:cs="Times New Roman"/>
          <w:sz w:val="20"/>
          <w:szCs w:val="20"/>
        </w:rPr>
        <w:t xml:space="preserve">, and </w:t>
      </w:r>
      <w:r w:rsidRPr="00925095">
        <w:rPr>
          <w:rFonts w:ascii="Times New Roman" w:hAnsi="Times New Roman" w:cs="Times New Roman"/>
          <w:i/>
          <w:iCs/>
          <w:sz w:val="20"/>
          <w:szCs w:val="20"/>
        </w:rPr>
        <w:t>CA12</w:t>
      </w:r>
      <w:r w:rsidRPr="00925095">
        <w:rPr>
          <w:rFonts w:ascii="Times New Roman" w:hAnsi="Times New Roman" w:cs="Times New Roman"/>
          <w:sz w:val="20"/>
          <w:szCs w:val="20"/>
        </w:rPr>
        <w:t xml:space="preserve"> </w:t>
      </w:r>
      <w:r w:rsidRPr="00925095">
        <w:rPr>
          <w:rFonts w:ascii="Times New Roman" w:hAnsi="Times New Roman" w:cs="Times New Roman"/>
          <w:b/>
          <w:bCs/>
          <w:sz w:val="20"/>
          <w:szCs w:val="20"/>
        </w:rPr>
        <w:t>(Fig.</w:t>
      </w:r>
      <w:r w:rsidR="002A210A" w:rsidRPr="00925095">
        <w:rPr>
          <w:rFonts w:ascii="Times New Roman" w:hAnsi="Times New Roman" w:cs="Times New Roman"/>
          <w:b/>
          <w:bCs/>
          <w:sz w:val="20"/>
          <w:szCs w:val="20"/>
        </w:rPr>
        <w:t>3</w:t>
      </w:r>
      <w:r w:rsidRPr="00925095">
        <w:rPr>
          <w:rFonts w:ascii="Times New Roman" w:hAnsi="Times New Roman" w:cs="Times New Roman"/>
          <w:b/>
          <w:bCs/>
          <w:sz w:val="20"/>
          <w:szCs w:val="20"/>
        </w:rPr>
        <w:t>; Table 1)</w:t>
      </w:r>
      <w:r w:rsidRPr="00925095">
        <w:rPr>
          <w:rFonts w:ascii="Times New Roman" w:hAnsi="Times New Roman" w:cs="Times New Roman"/>
          <w:sz w:val="20"/>
          <w:szCs w:val="20"/>
        </w:rPr>
        <w:t xml:space="preserve">. These genes exhibited the highest connectivity and </w:t>
      </w:r>
      <w:r w:rsidRPr="00925095">
        <w:rPr>
          <w:rFonts w:ascii="Times New Roman" w:hAnsi="Times New Roman" w:cs="Times New Roman"/>
          <w:sz w:val="20"/>
          <w:szCs w:val="20"/>
        </w:rPr>
        <w:lastRenderedPageBreak/>
        <w:t xml:space="preserve">centrality within the PPI network, suggesting a pivotal role in the pharmacological action of esculetin against migraine. Notably, </w:t>
      </w:r>
      <w:r w:rsidRPr="00925095">
        <w:rPr>
          <w:rFonts w:ascii="Times New Roman" w:hAnsi="Times New Roman" w:cs="Times New Roman"/>
          <w:i/>
          <w:iCs/>
          <w:sz w:val="20"/>
          <w:szCs w:val="20"/>
        </w:rPr>
        <w:t>SERPINE1</w:t>
      </w:r>
      <w:r w:rsidRPr="00925095">
        <w:rPr>
          <w:rFonts w:ascii="Times New Roman" w:hAnsi="Times New Roman" w:cs="Times New Roman"/>
          <w:sz w:val="20"/>
          <w:szCs w:val="20"/>
        </w:rPr>
        <w:t xml:space="preserve"> and </w:t>
      </w:r>
      <w:r w:rsidRPr="00925095">
        <w:rPr>
          <w:rFonts w:ascii="Times New Roman" w:hAnsi="Times New Roman" w:cs="Times New Roman"/>
          <w:i/>
          <w:iCs/>
          <w:sz w:val="20"/>
          <w:szCs w:val="20"/>
        </w:rPr>
        <w:t>STAT1</w:t>
      </w:r>
      <w:r w:rsidRPr="00925095">
        <w:rPr>
          <w:rFonts w:ascii="Times New Roman" w:hAnsi="Times New Roman" w:cs="Times New Roman"/>
          <w:sz w:val="20"/>
          <w:szCs w:val="20"/>
        </w:rPr>
        <w:t xml:space="preserve"> demonstrated the strongest network connectivity, indicating their potential as key regulatory nodes in disease modulation.</w:t>
      </w:r>
    </w:p>
    <w:p w14:paraId="67907128" w14:textId="61CA48CE" w:rsidR="006B4087" w:rsidRPr="00925095" w:rsidRDefault="006B408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59264" behindDoc="1" locked="0" layoutInCell="1" allowOverlap="1" wp14:anchorId="7F74E33A" wp14:editId="461CE5D1">
            <wp:simplePos x="0" y="0"/>
            <wp:positionH relativeFrom="column">
              <wp:posOffset>850900</wp:posOffset>
            </wp:positionH>
            <wp:positionV relativeFrom="paragraph">
              <wp:posOffset>20320</wp:posOffset>
            </wp:positionV>
            <wp:extent cx="3994150" cy="3514697"/>
            <wp:effectExtent l="0" t="0" r="0" b="0"/>
            <wp:wrapNone/>
            <wp:docPr id="1349879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397" r="26656"/>
                    <a:stretch>
                      <a:fillRect/>
                    </a:stretch>
                  </pic:blipFill>
                  <pic:spPr bwMode="auto">
                    <a:xfrm>
                      <a:off x="0" y="0"/>
                      <a:ext cx="3994150" cy="35146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612B3" w14:textId="16251D59"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19D1B436" w14:textId="3C74C78E" w:rsidR="006B4087" w:rsidRPr="00925095" w:rsidRDefault="006B4087" w:rsidP="006B4087">
      <w:pPr>
        <w:tabs>
          <w:tab w:val="left" w:pos="627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ab/>
      </w:r>
    </w:p>
    <w:p w14:paraId="6B9AF9C4"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7100ACD2"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1C41E97F"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5E6B3397"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0FE1B0DD"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5CBAA0FE"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07BDF26D"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02CFB248" w14:textId="77777777" w:rsidR="006B4087" w:rsidRPr="00925095" w:rsidRDefault="006B4087" w:rsidP="006B4087">
      <w:pPr>
        <w:tabs>
          <w:tab w:val="left" w:pos="3750"/>
        </w:tabs>
        <w:spacing w:line="360" w:lineRule="auto"/>
        <w:jc w:val="both"/>
        <w:rPr>
          <w:rFonts w:ascii="Times New Roman" w:hAnsi="Times New Roman" w:cs="Times New Roman"/>
          <w:sz w:val="20"/>
          <w:szCs w:val="20"/>
        </w:rPr>
      </w:pPr>
    </w:p>
    <w:p w14:paraId="35A6C040" w14:textId="0EA47495" w:rsidR="006B4087" w:rsidRPr="00925095" w:rsidRDefault="006B4087"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 xml:space="preserve">Figure </w:t>
      </w:r>
      <w:r w:rsidR="002A210A" w:rsidRPr="00925095">
        <w:rPr>
          <w:rFonts w:ascii="Times New Roman" w:hAnsi="Times New Roman" w:cs="Times New Roman"/>
          <w:b/>
          <w:bCs/>
          <w:sz w:val="20"/>
          <w:szCs w:val="20"/>
        </w:rPr>
        <w:t>3</w:t>
      </w:r>
      <w:r w:rsidRPr="00925095">
        <w:rPr>
          <w:rFonts w:ascii="Times New Roman" w:hAnsi="Times New Roman" w:cs="Times New Roman"/>
          <w:b/>
          <w:bCs/>
          <w:sz w:val="20"/>
          <w:szCs w:val="20"/>
        </w:rPr>
        <w:t>.</w:t>
      </w:r>
      <w:r w:rsidRPr="00925095">
        <w:rPr>
          <w:rFonts w:ascii="Times New Roman" w:hAnsi="Times New Roman" w:cs="Times New Roman"/>
          <w:sz w:val="20"/>
          <w:szCs w:val="20"/>
        </w:rPr>
        <w:t xml:space="preserve"> Top 10 hub genes identified from the PPI network analysis using Cytoscape. Node size reflects degree centrality, while node color indicates connectivity strength (yellow to red gradient from lower to higher).</w:t>
      </w:r>
    </w:p>
    <w:p w14:paraId="632CFF3A" w14:textId="0954B7D7" w:rsidR="002A210A" w:rsidRPr="00925095" w:rsidRDefault="002A210A" w:rsidP="002A210A">
      <w:pPr>
        <w:tabs>
          <w:tab w:val="left" w:pos="3750"/>
        </w:tabs>
        <w:spacing w:line="360" w:lineRule="auto"/>
        <w:jc w:val="both"/>
        <w:rPr>
          <w:rFonts w:ascii="Times New Roman" w:hAnsi="Times New Roman" w:cs="Times New Roman"/>
          <w:b/>
          <w:bCs/>
        </w:rPr>
      </w:pPr>
      <w:r w:rsidRPr="00925095">
        <w:rPr>
          <w:rFonts w:ascii="Times New Roman" w:hAnsi="Times New Roman" w:cs="Times New Roman"/>
          <w:b/>
          <w:bCs/>
        </w:rPr>
        <w:t>3.</w:t>
      </w:r>
      <w:r w:rsidR="00334A85" w:rsidRPr="00925095">
        <w:rPr>
          <w:rFonts w:ascii="Times New Roman" w:hAnsi="Times New Roman" w:cs="Times New Roman"/>
          <w:b/>
          <w:bCs/>
        </w:rPr>
        <w:t>1.</w:t>
      </w:r>
      <w:r w:rsidRPr="00925095">
        <w:rPr>
          <w:rFonts w:ascii="Times New Roman" w:hAnsi="Times New Roman" w:cs="Times New Roman"/>
          <w:b/>
          <w:bCs/>
        </w:rPr>
        <w:t>4. KEGG Pathway Enrichment Analysis</w:t>
      </w:r>
    </w:p>
    <w:p w14:paraId="5048515A" w14:textId="418056F1" w:rsidR="002A210A" w:rsidRPr="00925095" w:rsidRDefault="002A210A" w:rsidP="002A210A">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To further elucidate the biological functions of the 50 common targets, KEGG pathway enrichment analysis was performed. The top 15 significantly enriched pathways (FDR &lt; 0.05) are shown in </w:t>
      </w:r>
      <w:r w:rsidRPr="00925095">
        <w:rPr>
          <w:rFonts w:ascii="Times New Roman" w:hAnsi="Times New Roman" w:cs="Times New Roman"/>
          <w:b/>
          <w:bCs/>
          <w:sz w:val="20"/>
          <w:szCs w:val="20"/>
        </w:rPr>
        <w:t>(Fig.4)</w:t>
      </w:r>
      <w:r w:rsidRPr="00925095">
        <w:rPr>
          <w:rFonts w:ascii="Times New Roman" w:hAnsi="Times New Roman" w:cs="Times New Roman"/>
          <w:sz w:val="20"/>
          <w:szCs w:val="20"/>
        </w:rPr>
        <w:t>. The most enriched pathway was the Toll-like receptor signaling pathway, followed by Measles and the IL-17 signaling pathway, each showing a high fold enrichment (&gt; 75) and strong statistical significance (−log10FDR &gt; 6).</w:t>
      </w:r>
    </w:p>
    <w:p w14:paraId="6FB0C5A7" w14:textId="73942308" w:rsidR="006B4087" w:rsidRPr="00925095" w:rsidRDefault="002A210A" w:rsidP="006B4087">
      <w:pPr>
        <w:tabs>
          <w:tab w:val="left" w:pos="375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Several enriched pathways were associated with immune and inflammatory responses, including Chagas disease, Yersinia infection, Toxoplasmosis, and Kaposi sarcoma-associated herpesvirus infection. Additionally, pathways related to viral infections (Hepatitis B, Hepatitis C, COVID-19) and metabolic regulation (Thyroid hormone signaling pathway, Lipid and atherosclerosis) were also prominent. These results suggest that the therapeutic effect of esculetin against migraine may involve modulation of immune-inflammatory pathways and viral infection-related mechanisms, highlighting the pleiotropic pharmacological potential of the identified targets.</w:t>
      </w:r>
    </w:p>
    <w:p w14:paraId="09787BB7" w14:textId="77777777" w:rsidR="00925095" w:rsidRDefault="00925095" w:rsidP="00213578">
      <w:pPr>
        <w:tabs>
          <w:tab w:val="left" w:pos="3750"/>
        </w:tabs>
        <w:spacing w:line="360" w:lineRule="auto"/>
        <w:jc w:val="center"/>
        <w:rPr>
          <w:rFonts w:ascii="Times New Roman" w:hAnsi="Times New Roman" w:cs="Times New Roman"/>
          <w:b/>
          <w:bCs/>
          <w:sz w:val="20"/>
          <w:szCs w:val="20"/>
        </w:rPr>
      </w:pPr>
    </w:p>
    <w:p w14:paraId="15FCD0B6" w14:textId="77777777" w:rsidR="00925095" w:rsidRDefault="00925095" w:rsidP="00213578">
      <w:pPr>
        <w:tabs>
          <w:tab w:val="left" w:pos="3750"/>
        </w:tabs>
        <w:spacing w:line="360" w:lineRule="auto"/>
        <w:jc w:val="center"/>
        <w:rPr>
          <w:rFonts w:ascii="Times New Roman" w:hAnsi="Times New Roman" w:cs="Times New Roman"/>
          <w:b/>
          <w:bCs/>
          <w:sz w:val="20"/>
          <w:szCs w:val="20"/>
        </w:rPr>
      </w:pPr>
    </w:p>
    <w:p w14:paraId="02ED4408" w14:textId="77777777" w:rsidR="00925095" w:rsidRDefault="00925095" w:rsidP="00213578">
      <w:pPr>
        <w:tabs>
          <w:tab w:val="left" w:pos="3750"/>
        </w:tabs>
        <w:spacing w:line="360" w:lineRule="auto"/>
        <w:jc w:val="center"/>
        <w:rPr>
          <w:rFonts w:ascii="Times New Roman" w:hAnsi="Times New Roman" w:cs="Times New Roman"/>
          <w:b/>
          <w:bCs/>
          <w:sz w:val="20"/>
          <w:szCs w:val="20"/>
        </w:rPr>
      </w:pPr>
    </w:p>
    <w:p w14:paraId="2FF05420" w14:textId="77777777" w:rsidR="00925095" w:rsidRDefault="00925095" w:rsidP="00213578">
      <w:pPr>
        <w:tabs>
          <w:tab w:val="left" w:pos="3750"/>
        </w:tabs>
        <w:spacing w:line="360" w:lineRule="auto"/>
        <w:jc w:val="center"/>
        <w:rPr>
          <w:rFonts w:ascii="Times New Roman" w:hAnsi="Times New Roman" w:cs="Times New Roman"/>
          <w:b/>
          <w:bCs/>
          <w:sz w:val="20"/>
          <w:szCs w:val="20"/>
        </w:rPr>
      </w:pPr>
    </w:p>
    <w:p w14:paraId="4C00B44F" w14:textId="77777777" w:rsidR="00925095" w:rsidRDefault="00925095" w:rsidP="00213578">
      <w:pPr>
        <w:tabs>
          <w:tab w:val="left" w:pos="3750"/>
        </w:tabs>
        <w:spacing w:line="360" w:lineRule="auto"/>
        <w:jc w:val="center"/>
        <w:rPr>
          <w:rFonts w:ascii="Times New Roman" w:hAnsi="Times New Roman" w:cs="Times New Roman"/>
          <w:b/>
          <w:bCs/>
          <w:sz w:val="20"/>
          <w:szCs w:val="20"/>
        </w:rPr>
      </w:pPr>
    </w:p>
    <w:p w14:paraId="1347ABCE" w14:textId="31D82498" w:rsidR="006B4087" w:rsidRPr="00925095" w:rsidRDefault="006B4087" w:rsidP="00213578">
      <w:pPr>
        <w:tabs>
          <w:tab w:val="left" w:pos="3750"/>
        </w:tabs>
        <w:spacing w:line="360" w:lineRule="auto"/>
        <w:jc w:val="center"/>
        <w:rPr>
          <w:rFonts w:ascii="Times New Roman" w:hAnsi="Times New Roman" w:cs="Times New Roman"/>
          <w:sz w:val="20"/>
          <w:szCs w:val="20"/>
        </w:rPr>
      </w:pPr>
      <w:r w:rsidRPr="00925095">
        <w:rPr>
          <w:rFonts w:ascii="Times New Roman" w:hAnsi="Times New Roman" w:cs="Times New Roman"/>
          <w:b/>
          <w:bCs/>
          <w:sz w:val="20"/>
          <w:szCs w:val="20"/>
        </w:rPr>
        <w:t>Table 1.</w:t>
      </w:r>
      <w:r w:rsidRPr="00925095">
        <w:rPr>
          <w:rFonts w:ascii="Times New Roman" w:hAnsi="Times New Roman" w:cs="Times New Roman"/>
          <w:sz w:val="20"/>
          <w:szCs w:val="20"/>
        </w:rPr>
        <w:t xml:space="preserve"> Top 10 hub genes identified from the PPI network analysis based on the degree centrality score.</w:t>
      </w:r>
    </w:p>
    <w:tbl>
      <w:tblPr>
        <w:tblStyle w:val="TableGrid"/>
        <w:tblpPr w:leftFromText="180" w:rightFromText="180" w:vertAnchor="page" w:horzAnchor="page" w:tblpX="3402" w:tblpY="2581"/>
        <w:tblW w:w="3230" w:type="dxa"/>
        <w:tblLook w:val="04A0" w:firstRow="1" w:lastRow="0" w:firstColumn="1" w:lastColumn="0" w:noHBand="0" w:noVBand="1"/>
      </w:tblPr>
      <w:tblGrid>
        <w:gridCol w:w="960"/>
        <w:gridCol w:w="1310"/>
        <w:gridCol w:w="960"/>
      </w:tblGrid>
      <w:tr w:rsidR="00925095" w:rsidRPr="00925095" w14:paraId="584BBF33" w14:textId="77777777" w:rsidTr="00925095">
        <w:trPr>
          <w:trHeight w:val="300"/>
        </w:trPr>
        <w:tc>
          <w:tcPr>
            <w:tcW w:w="960" w:type="dxa"/>
            <w:noWrap/>
            <w:vAlign w:val="center"/>
            <w:hideMark/>
          </w:tcPr>
          <w:p w14:paraId="5A3AD91E" w14:textId="77777777" w:rsidR="00925095" w:rsidRPr="00925095" w:rsidRDefault="00925095" w:rsidP="00925095">
            <w:pPr>
              <w:jc w:val="center"/>
              <w:rPr>
                <w:rFonts w:ascii="Times New Roman" w:eastAsia="Times New Roman" w:hAnsi="Times New Roman" w:cs="Times New Roman"/>
                <w:b/>
                <w:bCs/>
                <w:color w:val="000000"/>
                <w:kern w:val="0"/>
                <w:sz w:val="20"/>
                <w:szCs w:val="20"/>
                <w:lang w:eastAsia="en-IN"/>
                <w14:ligatures w14:val="none"/>
              </w:rPr>
            </w:pPr>
            <w:r w:rsidRPr="00925095">
              <w:rPr>
                <w:rFonts w:ascii="Times New Roman" w:eastAsia="Times New Roman" w:hAnsi="Times New Roman" w:cs="Times New Roman"/>
                <w:b/>
                <w:bCs/>
                <w:color w:val="000000"/>
                <w:kern w:val="0"/>
                <w:sz w:val="20"/>
                <w:szCs w:val="20"/>
                <w:lang w:eastAsia="en-IN"/>
                <w14:ligatures w14:val="none"/>
              </w:rPr>
              <w:t>Rank</w:t>
            </w:r>
          </w:p>
        </w:tc>
        <w:tc>
          <w:tcPr>
            <w:tcW w:w="1310" w:type="dxa"/>
            <w:noWrap/>
            <w:vAlign w:val="center"/>
            <w:hideMark/>
          </w:tcPr>
          <w:p w14:paraId="1EA84258" w14:textId="77777777" w:rsidR="00925095" w:rsidRPr="00925095" w:rsidRDefault="00925095" w:rsidP="00925095">
            <w:pPr>
              <w:jc w:val="center"/>
              <w:rPr>
                <w:rFonts w:ascii="Times New Roman" w:eastAsia="Times New Roman" w:hAnsi="Times New Roman" w:cs="Times New Roman"/>
                <w:b/>
                <w:bCs/>
                <w:color w:val="000000"/>
                <w:kern w:val="0"/>
                <w:sz w:val="20"/>
                <w:szCs w:val="20"/>
                <w:lang w:eastAsia="en-IN"/>
                <w14:ligatures w14:val="none"/>
              </w:rPr>
            </w:pPr>
            <w:r w:rsidRPr="00925095">
              <w:rPr>
                <w:rFonts w:ascii="Times New Roman" w:eastAsia="Times New Roman" w:hAnsi="Times New Roman" w:cs="Times New Roman"/>
                <w:b/>
                <w:bCs/>
                <w:color w:val="000000"/>
                <w:kern w:val="0"/>
                <w:sz w:val="20"/>
                <w:szCs w:val="20"/>
                <w:lang w:eastAsia="en-IN"/>
                <w14:ligatures w14:val="none"/>
              </w:rPr>
              <w:t>Name</w:t>
            </w:r>
          </w:p>
        </w:tc>
        <w:tc>
          <w:tcPr>
            <w:tcW w:w="960" w:type="dxa"/>
            <w:noWrap/>
            <w:vAlign w:val="center"/>
            <w:hideMark/>
          </w:tcPr>
          <w:p w14:paraId="3805F9C5" w14:textId="77777777" w:rsidR="00925095" w:rsidRPr="00925095" w:rsidRDefault="00925095" w:rsidP="00925095">
            <w:pPr>
              <w:jc w:val="center"/>
              <w:rPr>
                <w:rFonts w:ascii="Times New Roman" w:eastAsia="Times New Roman" w:hAnsi="Times New Roman" w:cs="Times New Roman"/>
                <w:b/>
                <w:bCs/>
                <w:color w:val="000000"/>
                <w:kern w:val="0"/>
                <w:sz w:val="20"/>
                <w:szCs w:val="20"/>
                <w:lang w:eastAsia="en-IN"/>
                <w14:ligatures w14:val="none"/>
              </w:rPr>
            </w:pPr>
            <w:r w:rsidRPr="00925095">
              <w:rPr>
                <w:rFonts w:ascii="Times New Roman" w:eastAsia="Times New Roman" w:hAnsi="Times New Roman" w:cs="Times New Roman"/>
                <w:b/>
                <w:bCs/>
                <w:color w:val="000000"/>
                <w:kern w:val="0"/>
                <w:sz w:val="20"/>
                <w:szCs w:val="20"/>
                <w:lang w:eastAsia="en-IN"/>
                <w14:ligatures w14:val="none"/>
              </w:rPr>
              <w:t>Score</w:t>
            </w:r>
          </w:p>
        </w:tc>
      </w:tr>
      <w:tr w:rsidR="00925095" w:rsidRPr="00925095" w14:paraId="65EA39EB" w14:textId="77777777" w:rsidTr="00925095">
        <w:trPr>
          <w:trHeight w:val="300"/>
        </w:trPr>
        <w:tc>
          <w:tcPr>
            <w:tcW w:w="960" w:type="dxa"/>
            <w:noWrap/>
            <w:vAlign w:val="center"/>
            <w:hideMark/>
          </w:tcPr>
          <w:p w14:paraId="6CF2F00D"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1</w:t>
            </w:r>
          </w:p>
        </w:tc>
        <w:tc>
          <w:tcPr>
            <w:tcW w:w="1310" w:type="dxa"/>
            <w:noWrap/>
            <w:vAlign w:val="center"/>
            <w:hideMark/>
          </w:tcPr>
          <w:p w14:paraId="3EF00B79"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SERPINE1</w:t>
            </w:r>
          </w:p>
        </w:tc>
        <w:tc>
          <w:tcPr>
            <w:tcW w:w="960" w:type="dxa"/>
            <w:noWrap/>
            <w:vAlign w:val="center"/>
            <w:hideMark/>
          </w:tcPr>
          <w:p w14:paraId="19F4F867"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10</w:t>
            </w:r>
          </w:p>
        </w:tc>
      </w:tr>
      <w:tr w:rsidR="00925095" w:rsidRPr="00925095" w14:paraId="033596DD" w14:textId="77777777" w:rsidTr="00925095">
        <w:trPr>
          <w:trHeight w:val="300"/>
        </w:trPr>
        <w:tc>
          <w:tcPr>
            <w:tcW w:w="960" w:type="dxa"/>
            <w:noWrap/>
            <w:vAlign w:val="center"/>
            <w:hideMark/>
          </w:tcPr>
          <w:p w14:paraId="65BCD68B"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1</w:t>
            </w:r>
          </w:p>
        </w:tc>
        <w:tc>
          <w:tcPr>
            <w:tcW w:w="1310" w:type="dxa"/>
            <w:noWrap/>
            <w:vAlign w:val="center"/>
            <w:hideMark/>
          </w:tcPr>
          <w:p w14:paraId="187F7B19"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STAT1</w:t>
            </w:r>
          </w:p>
        </w:tc>
        <w:tc>
          <w:tcPr>
            <w:tcW w:w="960" w:type="dxa"/>
            <w:noWrap/>
            <w:vAlign w:val="center"/>
            <w:hideMark/>
          </w:tcPr>
          <w:p w14:paraId="6DA2376F"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10</w:t>
            </w:r>
          </w:p>
        </w:tc>
      </w:tr>
      <w:tr w:rsidR="00925095" w:rsidRPr="00925095" w14:paraId="29FB73C7" w14:textId="77777777" w:rsidTr="00925095">
        <w:trPr>
          <w:trHeight w:val="300"/>
        </w:trPr>
        <w:tc>
          <w:tcPr>
            <w:tcW w:w="960" w:type="dxa"/>
            <w:noWrap/>
            <w:vAlign w:val="center"/>
            <w:hideMark/>
          </w:tcPr>
          <w:p w14:paraId="39E94160"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3</w:t>
            </w:r>
          </w:p>
        </w:tc>
        <w:tc>
          <w:tcPr>
            <w:tcW w:w="1310" w:type="dxa"/>
            <w:noWrap/>
            <w:vAlign w:val="center"/>
            <w:hideMark/>
          </w:tcPr>
          <w:p w14:paraId="447DD658"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TBK1</w:t>
            </w:r>
          </w:p>
        </w:tc>
        <w:tc>
          <w:tcPr>
            <w:tcW w:w="960" w:type="dxa"/>
            <w:noWrap/>
            <w:vAlign w:val="center"/>
            <w:hideMark/>
          </w:tcPr>
          <w:p w14:paraId="2A94CFFA"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8</w:t>
            </w:r>
          </w:p>
        </w:tc>
      </w:tr>
      <w:tr w:rsidR="00925095" w:rsidRPr="00925095" w14:paraId="3D117072" w14:textId="77777777" w:rsidTr="00925095">
        <w:trPr>
          <w:trHeight w:val="300"/>
        </w:trPr>
        <w:tc>
          <w:tcPr>
            <w:tcW w:w="960" w:type="dxa"/>
            <w:noWrap/>
            <w:vAlign w:val="center"/>
            <w:hideMark/>
          </w:tcPr>
          <w:p w14:paraId="2E95577C"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3</w:t>
            </w:r>
          </w:p>
        </w:tc>
        <w:tc>
          <w:tcPr>
            <w:tcW w:w="1310" w:type="dxa"/>
            <w:noWrap/>
            <w:vAlign w:val="center"/>
            <w:hideMark/>
          </w:tcPr>
          <w:p w14:paraId="324A00BF"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GSK3B</w:t>
            </w:r>
          </w:p>
        </w:tc>
        <w:tc>
          <w:tcPr>
            <w:tcW w:w="960" w:type="dxa"/>
            <w:noWrap/>
            <w:vAlign w:val="center"/>
            <w:hideMark/>
          </w:tcPr>
          <w:p w14:paraId="5C0B6AEA"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8</w:t>
            </w:r>
          </w:p>
        </w:tc>
      </w:tr>
      <w:tr w:rsidR="00925095" w:rsidRPr="00925095" w14:paraId="1C21DC93" w14:textId="77777777" w:rsidTr="00925095">
        <w:trPr>
          <w:trHeight w:val="300"/>
        </w:trPr>
        <w:tc>
          <w:tcPr>
            <w:tcW w:w="960" w:type="dxa"/>
            <w:noWrap/>
            <w:vAlign w:val="center"/>
            <w:hideMark/>
          </w:tcPr>
          <w:p w14:paraId="61138C4B"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3</w:t>
            </w:r>
          </w:p>
        </w:tc>
        <w:tc>
          <w:tcPr>
            <w:tcW w:w="1310" w:type="dxa"/>
            <w:noWrap/>
            <w:vAlign w:val="center"/>
            <w:hideMark/>
          </w:tcPr>
          <w:p w14:paraId="45FA1301"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SLC2A1</w:t>
            </w:r>
          </w:p>
        </w:tc>
        <w:tc>
          <w:tcPr>
            <w:tcW w:w="960" w:type="dxa"/>
            <w:noWrap/>
            <w:vAlign w:val="center"/>
            <w:hideMark/>
          </w:tcPr>
          <w:p w14:paraId="25B7ED93"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8</w:t>
            </w:r>
          </w:p>
        </w:tc>
      </w:tr>
      <w:tr w:rsidR="00925095" w:rsidRPr="00925095" w14:paraId="39B36732" w14:textId="77777777" w:rsidTr="00925095">
        <w:trPr>
          <w:trHeight w:val="300"/>
        </w:trPr>
        <w:tc>
          <w:tcPr>
            <w:tcW w:w="960" w:type="dxa"/>
            <w:noWrap/>
            <w:vAlign w:val="center"/>
            <w:hideMark/>
          </w:tcPr>
          <w:p w14:paraId="5A17A168"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6</w:t>
            </w:r>
          </w:p>
        </w:tc>
        <w:tc>
          <w:tcPr>
            <w:tcW w:w="1310" w:type="dxa"/>
            <w:noWrap/>
            <w:vAlign w:val="center"/>
            <w:hideMark/>
          </w:tcPr>
          <w:p w14:paraId="579800DA"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CTSD</w:t>
            </w:r>
          </w:p>
        </w:tc>
        <w:tc>
          <w:tcPr>
            <w:tcW w:w="960" w:type="dxa"/>
            <w:noWrap/>
            <w:vAlign w:val="center"/>
            <w:hideMark/>
          </w:tcPr>
          <w:p w14:paraId="7D657E83"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7</w:t>
            </w:r>
          </w:p>
        </w:tc>
      </w:tr>
      <w:tr w:rsidR="00925095" w:rsidRPr="00925095" w14:paraId="1FB44DAE" w14:textId="77777777" w:rsidTr="00925095">
        <w:trPr>
          <w:trHeight w:val="300"/>
        </w:trPr>
        <w:tc>
          <w:tcPr>
            <w:tcW w:w="960" w:type="dxa"/>
            <w:noWrap/>
            <w:vAlign w:val="center"/>
            <w:hideMark/>
          </w:tcPr>
          <w:p w14:paraId="328AA987"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7</w:t>
            </w:r>
          </w:p>
        </w:tc>
        <w:tc>
          <w:tcPr>
            <w:tcW w:w="1310" w:type="dxa"/>
            <w:noWrap/>
            <w:vAlign w:val="center"/>
            <w:hideMark/>
          </w:tcPr>
          <w:p w14:paraId="0C967B02"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CA12</w:t>
            </w:r>
          </w:p>
        </w:tc>
        <w:tc>
          <w:tcPr>
            <w:tcW w:w="960" w:type="dxa"/>
            <w:noWrap/>
            <w:vAlign w:val="center"/>
            <w:hideMark/>
          </w:tcPr>
          <w:p w14:paraId="03F9C2D6"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6</w:t>
            </w:r>
          </w:p>
        </w:tc>
      </w:tr>
      <w:tr w:rsidR="00925095" w:rsidRPr="00925095" w14:paraId="4A2DD1A2" w14:textId="77777777" w:rsidTr="00925095">
        <w:trPr>
          <w:trHeight w:val="300"/>
        </w:trPr>
        <w:tc>
          <w:tcPr>
            <w:tcW w:w="960" w:type="dxa"/>
            <w:noWrap/>
            <w:vAlign w:val="center"/>
            <w:hideMark/>
          </w:tcPr>
          <w:p w14:paraId="6314E00E"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7</w:t>
            </w:r>
          </w:p>
        </w:tc>
        <w:tc>
          <w:tcPr>
            <w:tcW w:w="1310" w:type="dxa"/>
            <w:noWrap/>
            <w:vAlign w:val="center"/>
            <w:hideMark/>
          </w:tcPr>
          <w:p w14:paraId="32E45CBE"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CA9</w:t>
            </w:r>
          </w:p>
        </w:tc>
        <w:tc>
          <w:tcPr>
            <w:tcW w:w="960" w:type="dxa"/>
            <w:noWrap/>
            <w:vAlign w:val="center"/>
            <w:hideMark/>
          </w:tcPr>
          <w:p w14:paraId="7DC6AED3"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6</w:t>
            </w:r>
          </w:p>
        </w:tc>
      </w:tr>
      <w:tr w:rsidR="00925095" w:rsidRPr="00925095" w14:paraId="143F05B4" w14:textId="77777777" w:rsidTr="00925095">
        <w:trPr>
          <w:trHeight w:val="300"/>
        </w:trPr>
        <w:tc>
          <w:tcPr>
            <w:tcW w:w="960" w:type="dxa"/>
            <w:noWrap/>
            <w:vAlign w:val="center"/>
            <w:hideMark/>
          </w:tcPr>
          <w:p w14:paraId="5AD00CCA"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7</w:t>
            </w:r>
          </w:p>
        </w:tc>
        <w:tc>
          <w:tcPr>
            <w:tcW w:w="1310" w:type="dxa"/>
            <w:noWrap/>
            <w:vAlign w:val="center"/>
            <w:hideMark/>
          </w:tcPr>
          <w:p w14:paraId="7A879285"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CHUK</w:t>
            </w:r>
          </w:p>
        </w:tc>
        <w:tc>
          <w:tcPr>
            <w:tcW w:w="960" w:type="dxa"/>
            <w:noWrap/>
            <w:vAlign w:val="center"/>
            <w:hideMark/>
          </w:tcPr>
          <w:p w14:paraId="3E0D0329"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6</w:t>
            </w:r>
          </w:p>
        </w:tc>
      </w:tr>
      <w:tr w:rsidR="00925095" w:rsidRPr="00925095" w14:paraId="349FA838" w14:textId="77777777" w:rsidTr="00925095">
        <w:trPr>
          <w:trHeight w:val="300"/>
        </w:trPr>
        <w:tc>
          <w:tcPr>
            <w:tcW w:w="960" w:type="dxa"/>
            <w:noWrap/>
            <w:vAlign w:val="center"/>
            <w:hideMark/>
          </w:tcPr>
          <w:p w14:paraId="50CA7AA5"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7</w:t>
            </w:r>
          </w:p>
        </w:tc>
        <w:tc>
          <w:tcPr>
            <w:tcW w:w="1310" w:type="dxa"/>
            <w:noWrap/>
            <w:vAlign w:val="center"/>
            <w:hideMark/>
          </w:tcPr>
          <w:p w14:paraId="02CFE4E3"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IRAK1</w:t>
            </w:r>
          </w:p>
        </w:tc>
        <w:tc>
          <w:tcPr>
            <w:tcW w:w="960" w:type="dxa"/>
            <w:noWrap/>
            <w:vAlign w:val="center"/>
            <w:hideMark/>
          </w:tcPr>
          <w:p w14:paraId="7C8C7CE0" w14:textId="77777777" w:rsidR="00925095" w:rsidRPr="00925095" w:rsidRDefault="00925095" w:rsidP="00925095">
            <w:pPr>
              <w:jc w:val="center"/>
              <w:rPr>
                <w:rFonts w:ascii="Times New Roman" w:eastAsia="Times New Roman" w:hAnsi="Times New Roman" w:cs="Times New Roman"/>
                <w:color w:val="000000"/>
                <w:kern w:val="0"/>
                <w:sz w:val="20"/>
                <w:szCs w:val="20"/>
                <w:lang w:eastAsia="en-IN"/>
                <w14:ligatures w14:val="none"/>
              </w:rPr>
            </w:pPr>
            <w:r w:rsidRPr="00925095">
              <w:rPr>
                <w:rFonts w:ascii="Times New Roman" w:eastAsia="Times New Roman" w:hAnsi="Times New Roman" w:cs="Times New Roman"/>
                <w:color w:val="000000"/>
                <w:kern w:val="0"/>
                <w:sz w:val="20"/>
                <w:szCs w:val="20"/>
                <w:lang w:eastAsia="en-IN"/>
                <w14:ligatures w14:val="none"/>
              </w:rPr>
              <w:t>6</w:t>
            </w:r>
          </w:p>
        </w:tc>
      </w:tr>
    </w:tbl>
    <w:p w14:paraId="37021BB2" w14:textId="77777777" w:rsidR="00213578" w:rsidRPr="00925095" w:rsidRDefault="00213578" w:rsidP="00213578">
      <w:pPr>
        <w:tabs>
          <w:tab w:val="left" w:pos="3750"/>
        </w:tabs>
        <w:spacing w:line="360" w:lineRule="auto"/>
        <w:jc w:val="center"/>
        <w:rPr>
          <w:rFonts w:ascii="Times New Roman" w:hAnsi="Times New Roman" w:cs="Times New Roman"/>
          <w:sz w:val="20"/>
          <w:szCs w:val="20"/>
        </w:rPr>
      </w:pPr>
    </w:p>
    <w:p w14:paraId="3AFB9BC4" w14:textId="77777777" w:rsidR="00213578" w:rsidRPr="00925095" w:rsidRDefault="00213578" w:rsidP="00213578">
      <w:pPr>
        <w:tabs>
          <w:tab w:val="left" w:pos="3750"/>
        </w:tabs>
        <w:spacing w:line="360" w:lineRule="auto"/>
        <w:jc w:val="center"/>
        <w:rPr>
          <w:rFonts w:ascii="Times New Roman" w:hAnsi="Times New Roman" w:cs="Times New Roman"/>
          <w:sz w:val="20"/>
          <w:szCs w:val="20"/>
        </w:rPr>
      </w:pPr>
    </w:p>
    <w:p w14:paraId="75103192" w14:textId="77777777" w:rsidR="00213578" w:rsidRPr="00925095" w:rsidRDefault="00213578" w:rsidP="00213578">
      <w:pPr>
        <w:tabs>
          <w:tab w:val="left" w:pos="3750"/>
        </w:tabs>
        <w:spacing w:line="360" w:lineRule="auto"/>
        <w:jc w:val="center"/>
        <w:rPr>
          <w:rFonts w:ascii="Times New Roman" w:hAnsi="Times New Roman" w:cs="Times New Roman"/>
          <w:sz w:val="20"/>
          <w:szCs w:val="20"/>
        </w:rPr>
      </w:pPr>
    </w:p>
    <w:p w14:paraId="6B8C3CD3" w14:textId="52606A7A" w:rsidR="006B4087" w:rsidRPr="00925095" w:rsidRDefault="006B4087" w:rsidP="000C3EC6">
      <w:pPr>
        <w:tabs>
          <w:tab w:val="left" w:pos="3750"/>
        </w:tabs>
        <w:spacing w:line="360" w:lineRule="auto"/>
        <w:jc w:val="both"/>
        <w:rPr>
          <w:rFonts w:ascii="Times New Roman" w:hAnsi="Times New Roman" w:cs="Times New Roman"/>
          <w:b/>
          <w:bCs/>
          <w:sz w:val="20"/>
          <w:szCs w:val="20"/>
        </w:rPr>
      </w:pPr>
    </w:p>
    <w:p w14:paraId="37A9EBC6" w14:textId="77777777" w:rsidR="000C3EC6" w:rsidRPr="00925095" w:rsidRDefault="000C3EC6" w:rsidP="000C3EC6">
      <w:pPr>
        <w:tabs>
          <w:tab w:val="left" w:pos="3750"/>
        </w:tabs>
        <w:spacing w:line="360" w:lineRule="auto"/>
        <w:jc w:val="both"/>
        <w:rPr>
          <w:rFonts w:ascii="Times New Roman" w:hAnsi="Times New Roman" w:cs="Times New Roman"/>
          <w:b/>
          <w:bCs/>
          <w:sz w:val="20"/>
          <w:szCs w:val="20"/>
        </w:rPr>
      </w:pPr>
    </w:p>
    <w:p w14:paraId="591907C9" w14:textId="77777777" w:rsidR="002E7452" w:rsidRPr="00925095" w:rsidRDefault="002E7452" w:rsidP="002E7452">
      <w:pPr>
        <w:spacing w:line="360" w:lineRule="auto"/>
        <w:jc w:val="both"/>
        <w:rPr>
          <w:rFonts w:ascii="Times New Roman" w:hAnsi="Times New Roman" w:cs="Times New Roman"/>
          <w:sz w:val="20"/>
          <w:szCs w:val="20"/>
        </w:rPr>
      </w:pPr>
    </w:p>
    <w:p w14:paraId="246FCB6A" w14:textId="77777777" w:rsidR="00213578" w:rsidRPr="00925095" w:rsidRDefault="00213578" w:rsidP="002A210A">
      <w:pPr>
        <w:rPr>
          <w:rFonts w:ascii="Times New Roman" w:hAnsi="Times New Roman" w:cs="Times New Roman"/>
          <w:sz w:val="20"/>
          <w:szCs w:val="20"/>
        </w:rPr>
      </w:pPr>
    </w:p>
    <w:p w14:paraId="6668323E" w14:textId="77777777" w:rsidR="002A210A" w:rsidRPr="00925095" w:rsidRDefault="002A210A" w:rsidP="002A210A">
      <w:pPr>
        <w:rPr>
          <w:rFonts w:ascii="Times New Roman" w:hAnsi="Times New Roman" w:cs="Times New Roman"/>
          <w:sz w:val="20"/>
          <w:szCs w:val="20"/>
        </w:rPr>
      </w:pPr>
    </w:p>
    <w:p w14:paraId="56340DDC" w14:textId="0F289A75" w:rsidR="002A210A" w:rsidRPr="00925095" w:rsidRDefault="002A210A" w:rsidP="002A210A">
      <w:pPr>
        <w:spacing w:line="360" w:lineRule="auto"/>
        <w:jc w:val="both"/>
        <w:rPr>
          <w:rFonts w:ascii="Times New Roman" w:hAnsi="Times New Roman" w:cs="Times New Roman"/>
          <w:b/>
          <w:bCs/>
        </w:rPr>
      </w:pPr>
      <w:r w:rsidRPr="00925095">
        <w:rPr>
          <w:rFonts w:ascii="Times New Roman" w:hAnsi="Times New Roman" w:cs="Times New Roman"/>
          <w:b/>
          <w:bCs/>
        </w:rPr>
        <w:t>3.</w:t>
      </w:r>
      <w:r w:rsidR="00334A85" w:rsidRPr="00925095">
        <w:rPr>
          <w:rFonts w:ascii="Times New Roman" w:hAnsi="Times New Roman" w:cs="Times New Roman"/>
          <w:b/>
          <w:bCs/>
        </w:rPr>
        <w:t>1.</w:t>
      </w:r>
      <w:r w:rsidRPr="00925095">
        <w:rPr>
          <w:rFonts w:ascii="Times New Roman" w:hAnsi="Times New Roman" w:cs="Times New Roman"/>
          <w:b/>
          <w:bCs/>
        </w:rPr>
        <w:t>5. Involvement of Hub Genes in IL-17 and Toll-like Receptor Signaling Pathways</w:t>
      </w:r>
    </w:p>
    <w:p w14:paraId="1A95BEFA" w14:textId="69367322" w:rsidR="002A210A" w:rsidRDefault="002A210A" w:rsidP="002A210A">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KEGG pathway mapping revealed that several hub genes, including TBK1 and GSK3B, are key regulators within immune-inflammatory signaling cascades. In the IL-17 signaling pathway </w:t>
      </w:r>
      <w:r w:rsidRPr="00925095">
        <w:rPr>
          <w:rFonts w:ascii="Times New Roman" w:hAnsi="Times New Roman" w:cs="Times New Roman"/>
          <w:b/>
          <w:bCs/>
          <w:sz w:val="20"/>
          <w:szCs w:val="20"/>
        </w:rPr>
        <w:t>(Fig.5)</w:t>
      </w:r>
      <w:r w:rsidRPr="00925095">
        <w:rPr>
          <w:rFonts w:ascii="Times New Roman" w:hAnsi="Times New Roman" w:cs="Times New Roman"/>
          <w:sz w:val="20"/>
          <w:szCs w:val="20"/>
        </w:rPr>
        <w:t>, TBK1 is positioned downstream of TRAF6, linking receptor activation to NF-κB and MAPK signaling, ultimately promoting the transcription of inflammatory cytokines (IL-6, TNF-α), chemokines (CXCL1, CCL2), and tissue remodeling enzymes (MMP family). Additionally, GSK3B participates in modulating AP-1 and NF-κB transcriptional responses, influencing both pro-inflammatory and tissue repair processes. Parallel mapping to the Toll-like receptor signaling pathway indicated that GSK3B acts downstream of the PI3K/Akt and MAPK branches, functioning as a convergence point for TLR-mediated innate immune activation. TLR engagement leads to MyD88-dependent activation of TRAF6, which in turn triggers NF-κB and MAPK cascades</w:t>
      </w:r>
      <w:r w:rsidR="00D07694" w:rsidRPr="00925095">
        <w:rPr>
          <w:rFonts w:ascii="Times New Roman" w:hAnsi="Times New Roman" w:cs="Times New Roman"/>
          <w:sz w:val="20"/>
          <w:szCs w:val="20"/>
        </w:rPr>
        <w:t>-</w:t>
      </w:r>
      <w:r w:rsidRPr="00925095">
        <w:rPr>
          <w:rFonts w:ascii="Times New Roman" w:hAnsi="Times New Roman" w:cs="Times New Roman"/>
          <w:sz w:val="20"/>
          <w:szCs w:val="20"/>
        </w:rPr>
        <w:t>pathways also engaged by IL-17 signaling. This overlap suggests potential cross-talk between IL-17 and TLR pathways through shared intermediates such as TRAF6, TBK1, and GSK3B, amplifying inflammatory outputs. The integration of these findings implies that targeting GSK3B could modulate both IL-17 and TLR-driven immune responses, thereby exerting a broader anti-inflammatory effect relevant to migraine pathology.</w:t>
      </w:r>
    </w:p>
    <w:p w14:paraId="226ABEDA" w14:textId="77777777" w:rsidR="00925095" w:rsidRDefault="00925095" w:rsidP="002A210A">
      <w:pPr>
        <w:spacing w:line="360" w:lineRule="auto"/>
        <w:jc w:val="both"/>
        <w:rPr>
          <w:rFonts w:ascii="Times New Roman" w:hAnsi="Times New Roman" w:cs="Times New Roman"/>
          <w:sz w:val="20"/>
          <w:szCs w:val="20"/>
        </w:rPr>
      </w:pPr>
    </w:p>
    <w:p w14:paraId="4D4BE4EA" w14:textId="77777777" w:rsidR="00925095" w:rsidRDefault="00925095" w:rsidP="002A210A">
      <w:pPr>
        <w:spacing w:line="360" w:lineRule="auto"/>
        <w:jc w:val="both"/>
        <w:rPr>
          <w:rFonts w:ascii="Times New Roman" w:hAnsi="Times New Roman" w:cs="Times New Roman"/>
          <w:sz w:val="20"/>
          <w:szCs w:val="20"/>
        </w:rPr>
      </w:pPr>
    </w:p>
    <w:p w14:paraId="6C18DE0E" w14:textId="77777777" w:rsidR="00925095" w:rsidRDefault="00925095" w:rsidP="002A210A">
      <w:pPr>
        <w:spacing w:line="360" w:lineRule="auto"/>
        <w:jc w:val="both"/>
        <w:rPr>
          <w:rFonts w:ascii="Times New Roman" w:hAnsi="Times New Roman" w:cs="Times New Roman"/>
          <w:sz w:val="20"/>
          <w:szCs w:val="20"/>
        </w:rPr>
      </w:pPr>
    </w:p>
    <w:p w14:paraId="06947B3A" w14:textId="77777777" w:rsidR="00925095" w:rsidRDefault="00925095" w:rsidP="002A210A">
      <w:pPr>
        <w:spacing w:line="360" w:lineRule="auto"/>
        <w:jc w:val="both"/>
        <w:rPr>
          <w:rFonts w:ascii="Times New Roman" w:hAnsi="Times New Roman" w:cs="Times New Roman"/>
          <w:sz w:val="20"/>
          <w:szCs w:val="20"/>
        </w:rPr>
      </w:pPr>
    </w:p>
    <w:p w14:paraId="2B6AE752" w14:textId="77777777" w:rsidR="00925095" w:rsidRDefault="00925095" w:rsidP="002A210A">
      <w:pPr>
        <w:spacing w:line="360" w:lineRule="auto"/>
        <w:jc w:val="both"/>
        <w:rPr>
          <w:rFonts w:ascii="Times New Roman" w:hAnsi="Times New Roman" w:cs="Times New Roman"/>
          <w:sz w:val="20"/>
          <w:szCs w:val="20"/>
        </w:rPr>
      </w:pPr>
    </w:p>
    <w:p w14:paraId="07A30E51" w14:textId="77777777" w:rsidR="00925095" w:rsidRDefault="00925095" w:rsidP="002A210A">
      <w:pPr>
        <w:spacing w:line="360" w:lineRule="auto"/>
        <w:jc w:val="both"/>
        <w:rPr>
          <w:rFonts w:ascii="Times New Roman" w:hAnsi="Times New Roman" w:cs="Times New Roman"/>
          <w:sz w:val="20"/>
          <w:szCs w:val="20"/>
        </w:rPr>
      </w:pPr>
    </w:p>
    <w:p w14:paraId="737AE0ED" w14:textId="77777777" w:rsidR="00925095" w:rsidRDefault="00925095" w:rsidP="002A210A">
      <w:pPr>
        <w:spacing w:line="360" w:lineRule="auto"/>
        <w:jc w:val="both"/>
        <w:rPr>
          <w:rFonts w:ascii="Times New Roman" w:hAnsi="Times New Roman" w:cs="Times New Roman"/>
          <w:sz w:val="20"/>
          <w:szCs w:val="20"/>
        </w:rPr>
      </w:pPr>
    </w:p>
    <w:p w14:paraId="3F91CB4C" w14:textId="77777777" w:rsidR="00925095" w:rsidRPr="00925095" w:rsidRDefault="00925095" w:rsidP="002A210A">
      <w:pPr>
        <w:spacing w:line="360" w:lineRule="auto"/>
        <w:jc w:val="both"/>
        <w:rPr>
          <w:rFonts w:ascii="Times New Roman" w:hAnsi="Times New Roman" w:cs="Times New Roman"/>
          <w:sz w:val="20"/>
          <w:szCs w:val="20"/>
        </w:rPr>
      </w:pPr>
    </w:p>
    <w:p w14:paraId="1F8AAC95" w14:textId="3C3192FB" w:rsidR="002A210A" w:rsidRPr="00925095" w:rsidRDefault="002A210A" w:rsidP="002A210A">
      <w:pPr>
        <w:tabs>
          <w:tab w:val="left" w:pos="3090"/>
        </w:tabs>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61312" behindDoc="1" locked="0" layoutInCell="1" allowOverlap="1" wp14:anchorId="2353DC42" wp14:editId="7B0F313A">
            <wp:simplePos x="0" y="0"/>
            <wp:positionH relativeFrom="column">
              <wp:posOffset>-240030</wp:posOffset>
            </wp:positionH>
            <wp:positionV relativeFrom="paragraph">
              <wp:posOffset>190576</wp:posOffset>
            </wp:positionV>
            <wp:extent cx="5936154" cy="2597150"/>
            <wp:effectExtent l="0" t="0" r="7620" b="0"/>
            <wp:wrapNone/>
            <wp:docPr id="1804716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154"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C43AF" w14:textId="2E9F9C07" w:rsidR="002A210A" w:rsidRPr="00925095" w:rsidRDefault="002A210A" w:rsidP="002A210A">
      <w:pPr>
        <w:tabs>
          <w:tab w:val="left" w:pos="3090"/>
        </w:tabs>
        <w:rPr>
          <w:rFonts w:ascii="Times New Roman" w:hAnsi="Times New Roman" w:cs="Times New Roman"/>
          <w:sz w:val="20"/>
          <w:szCs w:val="20"/>
        </w:rPr>
      </w:pPr>
    </w:p>
    <w:p w14:paraId="57000889" w14:textId="77777777" w:rsidR="002A210A" w:rsidRPr="00925095" w:rsidRDefault="002A210A" w:rsidP="002A210A">
      <w:pPr>
        <w:rPr>
          <w:rFonts w:ascii="Times New Roman" w:hAnsi="Times New Roman" w:cs="Times New Roman"/>
          <w:sz w:val="20"/>
          <w:szCs w:val="20"/>
        </w:rPr>
      </w:pPr>
    </w:p>
    <w:p w14:paraId="5028EB47" w14:textId="77777777" w:rsidR="002A210A" w:rsidRPr="00925095" w:rsidRDefault="002A210A" w:rsidP="002A210A">
      <w:pPr>
        <w:rPr>
          <w:rFonts w:ascii="Times New Roman" w:hAnsi="Times New Roman" w:cs="Times New Roman"/>
          <w:sz w:val="20"/>
          <w:szCs w:val="20"/>
        </w:rPr>
      </w:pPr>
    </w:p>
    <w:p w14:paraId="6B481419" w14:textId="77777777" w:rsidR="002A210A" w:rsidRPr="00925095" w:rsidRDefault="002A210A" w:rsidP="002A210A">
      <w:pPr>
        <w:rPr>
          <w:rFonts w:ascii="Times New Roman" w:hAnsi="Times New Roman" w:cs="Times New Roman"/>
          <w:sz w:val="20"/>
          <w:szCs w:val="20"/>
        </w:rPr>
      </w:pPr>
    </w:p>
    <w:p w14:paraId="471FE484" w14:textId="77777777" w:rsidR="002A210A" w:rsidRPr="00925095" w:rsidRDefault="002A210A" w:rsidP="002A210A">
      <w:pPr>
        <w:rPr>
          <w:rFonts w:ascii="Times New Roman" w:hAnsi="Times New Roman" w:cs="Times New Roman"/>
          <w:sz w:val="20"/>
          <w:szCs w:val="20"/>
        </w:rPr>
      </w:pPr>
    </w:p>
    <w:p w14:paraId="4D246019" w14:textId="77777777" w:rsidR="002A210A" w:rsidRPr="00925095" w:rsidRDefault="002A210A" w:rsidP="002A210A">
      <w:pPr>
        <w:rPr>
          <w:rFonts w:ascii="Times New Roman" w:hAnsi="Times New Roman" w:cs="Times New Roman"/>
          <w:sz w:val="20"/>
          <w:szCs w:val="20"/>
        </w:rPr>
      </w:pPr>
    </w:p>
    <w:p w14:paraId="756D0DED" w14:textId="77777777" w:rsidR="002A210A" w:rsidRPr="00925095" w:rsidRDefault="002A210A" w:rsidP="002A210A">
      <w:pPr>
        <w:rPr>
          <w:rFonts w:ascii="Times New Roman" w:hAnsi="Times New Roman" w:cs="Times New Roman"/>
          <w:sz w:val="20"/>
          <w:szCs w:val="20"/>
        </w:rPr>
      </w:pPr>
    </w:p>
    <w:p w14:paraId="1688B04F" w14:textId="77777777" w:rsidR="002A210A" w:rsidRPr="00925095" w:rsidRDefault="002A210A" w:rsidP="002A210A">
      <w:pPr>
        <w:rPr>
          <w:rFonts w:ascii="Times New Roman" w:hAnsi="Times New Roman" w:cs="Times New Roman"/>
          <w:sz w:val="20"/>
          <w:szCs w:val="20"/>
        </w:rPr>
      </w:pPr>
    </w:p>
    <w:p w14:paraId="023D67B7" w14:textId="77777777" w:rsidR="002A210A" w:rsidRPr="00925095" w:rsidRDefault="002A210A" w:rsidP="002A210A">
      <w:pPr>
        <w:rPr>
          <w:rFonts w:ascii="Times New Roman" w:hAnsi="Times New Roman" w:cs="Times New Roman"/>
          <w:sz w:val="20"/>
          <w:szCs w:val="20"/>
        </w:rPr>
      </w:pPr>
    </w:p>
    <w:p w14:paraId="5BFBFD8F" w14:textId="77777777" w:rsidR="002A210A" w:rsidRPr="00925095" w:rsidRDefault="002A210A" w:rsidP="002A210A">
      <w:pPr>
        <w:rPr>
          <w:rFonts w:ascii="Times New Roman" w:hAnsi="Times New Roman" w:cs="Times New Roman"/>
          <w:sz w:val="20"/>
          <w:szCs w:val="20"/>
        </w:rPr>
      </w:pPr>
    </w:p>
    <w:p w14:paraId="145AB912" w14:textId="54D0AB6A" w:rsidR="002A210A" w:rsidRPr="00925095" w:rsidRDefault="002A210A" w:rsidP="002A210A">
      <w:pPr>
        <w:tabs>
          <w:tab w:val="left" w:pos="1300"/>
        </w:tabs>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4.</w:t>
      </w:r>
      <w:r w:rsidRPr="00925095">
        <w:rPr>
          <w:rFonts w:ascii="Times New Roman" w:hAnsi="Times New Roman" w:cs="Times New Roman"/>
          <w:sz w:val="20"/>
          <w:szCs w:val="20"/>
        </w:rPr>
        <w:t xml:space="preserve"> KEGG pathway enrichment analysis of the 50 common targets between esculetin and migraine. The x-axis represents fold enrichment, bubble size corresponds to the number of enriched genes, and bubble color reflects −log10(FDR), with deeper colors indicating higher significance.</w:t>
      </w:r>
    </w:p>
    <w:p w14:paraId="6AFA04FD" w14:textId="38210C41" w:rsidR="0038771A" w:rsidRPr="00925095" w:rsidRDefault="0038771A" w:rsidP="0038771A">
      <w:pPr>
        <w:tabs>
          <w:tab w:val="left" w:pos="1300"/>
        </w:tabs>
        <w:spacing w:line="360" w:lineRule="auto"/>
        <w:jc w:val="both"/>
        <w:rPr>
          <w:rFonts w:ascii="Times New Roman" w:hAnsi="Times New Roman" w:cs="Times New Roman"/>
          <w:b/>
          <w:bCs/>
        </w:rPr>
      </w:pPr>
      <w:r w:rsidRPr="00925095">
        <w:rPr>
          <w:rFonts w:ascii="Times New Roman" w:hAnsi="Times New Roman" w:cs="Times New Roman"/>
          <w:b/>
          <w:bCs/>
        </w:rPr>
        <w:t>3.</w:t>
      </w:r>
      <w:r w:rsidR="00334A85" w:rsidRPr="00925095">
        <w:rPr>
          <w:rFonts w:ascii="Times New Roman" w:hAnsi="Times New Roman" w:cs="Times New Roman"/>
          <w:b/>
          <w:bCs/>
        </w:rPr>
        <w:t>1.</w:t>
      </w:r>
      <w:r w:rsidRPr="00925095">
        <w:rPr>
          <w:rFonts w:ascii="Times New Roman" w:hAnsi="Times New Roman" w:cs="Times New Roman"/>
          <w:b/>
          <w:bCs/>
        </w:rPr>
        <w:t>6. Pathway Interconnections Highlighting Toll-like Receptor Signaling</w:t>
      </w:r>
    </w:p>
    <w:p w14:paraId="2B6CEC09" w14:textId="77286043" w:rsidR="002A210A" w:rsidRDefault="00925095" w:rsidP="002A210A">
      <w:pPr>
        <w:tabs>
          <w:tab w:val="left" w:pos="1300"/>
        </w:tabs>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62336" behindDoc="1" locked="0" layoutInCell="1" allowOverlap="1" wp14:anchorId="6ADB1D2E" wp14:editId="34D3EF5F">
            <wp:simplePos x="0" y="0"/>
            <wp:positionH relativeFrom="column">
              <wp:posOffset>789940</wp:posOffset>
            </wp:positionH>
            <wp:positionV relativeFrom="paragraph">
              <wp:posOffset>2245995</wp:posOffset>
            </wp:positionV>
            <wp:extent cx="4591050" cy="3140075"/>
            <wp:effectExtent l="0" t="0" r="0" b="3175"/>
            <wp:wrapNone/>
            <wp:docPr id="2031186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1050" cy="314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1A" w:rsidRPr="00925095">
        <w:rPr>
          <w:rFonts w:ascii="Times New Roman" w:hAnsi="Times New Roman" w:cs="Times New Roman"/>
          <w:sz w:val="20"/>
          <w:szCs w:val="20"/>
        </w:rPr>
        <w:t xml:space="preserve">Pathway enrichment network analysis revealed a central positioning of the Toll-like receptor (TLR) signaling pathway within the interconnected biological processes </w:t>
      </w:r>
      <w:r w:rsidR="0038771A" w:rsidRPr="00925095">
        <w:rPr>
          <w:rFonts w:ascii="Times New Roman" w:hAnsi="Times New Roman" w:cs="Times New Roman"/>
          <w:b/>
          <w:bCs/>
          <w:sz w:val="20"/>
          <w:szCs w:val="20"/>
        </w:rPr>
        <w:t>(Fig.6)</w:t>
      </w:r>
      <w:r w:rsidR="0038771A" w:rsidRPr="00925095">
        <w:rPr>
          <w:rFonts w:ascii="Times New Roman" w:hAnsi="Times New Roman" w:cs="Times New Roman"/>
          <w:sz w:val="20"/>
          <w:szCs w:val="20"/>
        </w:rPr>
        <w:t>. The TLR pathway demonstrated strong connectivity (yellow edges) with multiple immune-related and infectious disease pathways, including the IL-17 signaling pathway, measles, hepatitis B and C, COVID-19, Epstein–Barr virus infection, and Yersinia infection. The observed clustering underscores the pivotal role of TLR signaling as an upstream modulator of host defense responses, bridging innate immune activation with adaptive inflammatory cascades. Its direct linkage with the IL-17 pathway further supports mechanistic cross-talk between pattern recognition receptor signaling and cytokine-mediated inflammation. Given that GSK3B occupies a key regulatory position downstream of TLR activation—mediating NF-κB, MAPK, and AP-1 transcriptional outputs—its inhibition offers a strategic point of intervention capable of modulating multiple interconnected pathways simultaneously.</w:t>
      </w:r>
    </w:p>
    <w:p w14:paraId="69C3B46F" w14:textId="763BD5D8" w:rsidR="00925095" w:rsidRDefault="00925095" w:rsidP="002A210A">
      <w:pPr>
        <w:tabs>
          <w:tab w:val="left" w:pos="1300"/>
        </w:tabs>
        <w:spacing w:line="360" w:lineRule="auto"/>
        <w:jc w:val="both"/>
        <w:rPr>
          <w:rFonts w:ascii="Times New Roman" w:hAnsi="Times New Roman" w:cs="Times New Roman"/>
          <w:sz w:val="20"/>
          <w:szCs w:val="20"/>
        </w:rPr>
      </w:pPr>
    </w:p>
    <w:p w14:paraId="29B7662C" w14:textId="70CDE0A1" w:rsidR="00925095" w:rsidRDefault="00925095" w:rsidP="002A210A">
      <w:pPr>
        <w:tabs>
          <w:tab w:val="left" w:pos="1300"/>
        </w:tabs>
        <w:spacing w:line="360" w:lineRule="auto"/>
        <w:jc w:val="both"/>
        <w:rPr>
          <w:rFonts w:ascii="Times New Roman" w:hAnsi="Times New Roman" w:cs="Times New Roman"/>
          <w:sz w:val="20"/>
          <w:szCs w:val="20"/>
        </w:rPr>
      </w:pPr>
    </w:p>
    <w:p w14:paraId="1008901C" w14:textId="4165BD9F" w:rsidR="00925095" w:rsidRDefault="00925095" w:rsidP="002A210A">
      <w:pPr>
        <w:tabs>
          <w:tab w:val="left" w:pos="1300"/>
        </w:tabs>
        <w:spacing w:line="360" w:lineRule="auto"/>
        <w:jc w:val="both"/>
        <w:rPr>
          <w:rFonts w:ascii="Times New Roman" w:hAnsi="Times New Roman" w:cs="Times New Roman"/>
          <w:sz w:val="20"/>
          <w:szCs w:val="20"/>
        </w:rPr>
      </w:pPr>
    </w:p>
    <w:p w14:paraId="4E0D536C" w14:textId="1A6820ED" w:rsidR="00925095" w:rsidRDefault="00925095" w:rsidP="002A210A">
      <w:pPr>
        <w:tabs>
          <w:tab w:val="left" w:pos="1300"/>
        </w:tabs>
        <w:spacing w:line="360" w:lineRule="auto"/>
        <w:jc w:val="both"/>
        <w:rPr>
          <w:rFonts w:ascii="Times New Roman" w:hAnsi="Times New Roman" w:cs="Times New Roman"/>
          <w:sz w:val="20"/>
          <w:szCs w:val="20"/>
        </w:rPr>
      </w:pPr>
    </w:p>
    <w:p w14:paraId="4E676951" w14:textId="3C451457" w:rsidR="00925095" w:rsidRDefault="00925095" w:rsidP="002A210A">
      <w:pPr>
        <w:tabs>
          <w:tab w:val="left" w:pos="1300"/>
        </w:tabs>
        <w:spacing w:line="360" w:lineRule="auto"/>
        <w:jc w:val="both"/>
        <w:rPr>
          <w:rFonts w:ascii="Times New Roman" w:hAnsi="Times New Roman" w:cs="Times New Roman"/>
          <w:sz w:val="20"/>
          <w:szCs w:val="20"/>
        </w:rPr>
      </w:pPr>
    </w:p>
    <w:p w14:paraId="5A859096" w14:textId="77777777" w:rsidR="002A210A" w:rsidRPr="00925095" w:rsidRDefault="002A210A" w:rsidP="002A210A">
      <w:pPr>
        <w:rPr>
          <w:rFonts w:ascii="Times New Roman" w:hAnsi="Times New Roman" w:cs="Times New Roman"/>
          <w:sz w:val="20"/>
          <w:szCs w:val="20"/>
        </w:rPr>
      </w:pPr>
    </w:p>
    <w:p w14:paraId="33CDF726" w14:textId="77777777" w:rsidR="00925095" w:rsidRDefault="00925095" w:rsidP="00213578">
      <w:pPr>
        <w:tabs>
          <w:tab w:val="left" w:pos="1640"/>
        </w:tabs>
        <w:jc w:val="center"/>
        <w:rPr>
          <w:rFonts w:ascii="Times New Roman" w:hAnsi="Times New Roman" w:cs="Times New Roman"/>
          <w:b/>
          <w:bCs/>
          <w:sz w:val="20"/>
          <w:szCs w:val="20"/>
        </w:rPr>
      </w:pPr>
    </w:p>
    <w:p w14:paraId="34C16EB2" w14:textId="77777777" w:rsidR="00925095" w:rsidRDefault="00925095" w:rsidP="00213578">
      <w:pPr>
        <w:tabs>
          <w:tab w:val="left" w:pos="1640"/>
        </w:tabs>
        <w:jc w:val="center"/>
        <w:rPr>
          <w:rFonts w:ascii="Times New Roman" w:hAnsi="Times New Roman" w:cs="Times New Roman"/>
          <w:b/>
          <w:bCs/>
          <w:sz w:val="20"/>
          <w:szCs w:val="20"/>
        </w:rPr>
      </w:pPr>
    </w:p>
    <w:p w14:paraId="1F9553A5" w14:textId="77777777" w:rsidR="00925095" w:rsidRDefault="00925095" w:rsidP="00213578">
      <w:pPr>
        <w:tabs>
          <w:tab w:val="left" w:pos="1640"/>
        </w:tabs>
        <w:jc w:val="center"/>
        <w:rPr>
          <w:rFonts w:ascii="Times New Roman" w:hAnsi="Times New Roman" w:cs="Times New Roman"/>
          <w:b/>
          <w:bCs/>
          <w:sz w:val="20"/>
          <w:szCs w:val="20"/>
        </w:rPr>
      </w:pPr>
    </w:p>
    <w:p w14:paraId="1FEB8D92" w14:textId="3EB6A74D" w:rsidR="00925095" w:rsidRPr="00925095" w:rsidRDefault="002A210A" w:rsidP="00925095">
      <w:pPr>
        <w:tabs>
          <w:tab w:val="left" w:pos="1640"/>
        </w:tabs>
        <w:jc w:val="center"/>
        <w:rPr>
          <w:rFonts w:ascii="Times New Roman" w:hAnsi="Times New Roman" w:cs="Times New Roman"/>
          <w:sz w:val="20"/>
          <w:szCs w:val="20"/>
        </w:rPr>
      </w:pPr>
      <w:r w:rsidRPr="00925095">
        <w:rPr>
          <w:rFonts w:ascii="Times New Roman" w:hAnsi="Times New Roman" w:cs="Times New Roman"/>
          <w:b/>
          <w:bCs/>
          <w:sz w:val="20"/>
          <w:szCs w:val="20"/>
        </w:rPr>
        <w:lastRenderedPageBreak/>
        <w:t>Figure 5.</w:t>
      </w:r>
      <w:r w:rsidRPr="00925095">
        <w:rPr>
          <w:rFonts w:ascii="Times New Roman" w:hAnsi="Times New Roman" w:cs="Times New Roman"/>
          <w:sz w:val="20"/>
          <w:szCs w:val="20"/>
        </w:rPr>
        <w:t xml:space="preserve"> KEGG IL-17 signaling pathway highlighting the positions of TBK1 and GSK3B. Red boxes indicate targets identified in the present study.</w:t>
      </w:r>
    </w:p>
    <w:p w14:paraId="254E994D" w14:textId="0008D8BB" w:rsidR="0038771A" w:rsidRDefault="00334A85" w:rsidP="00D07694">
      <w:pPr>
        <w:tabs>
          <w:tab w:val="left" w:pos="281"/>
          <w:tab w:val="left" w:pos="1640"/>
        </w:tabs>
        <w:spacing w:line="360" w:lineRule="auto"/>
        <w:jc w:val="both"/>
        <w:rPr>
          <w:rFonts w:ascii="Times New Roman" w:hAnsi="Times New Roman" w:cs="Times New Roman"/>
          <w:sz w:val="20"/>
          <w:szCs w:val="20"/>
        </w:rPr>
      </w:pPr>
      <w:r w:rsidRPr="00925095">
        <w:rPr>
          <w:rFonts w:ascii="Times New Roman" w:hAnsi="Times New Roman" w:cs="Times New Roman"/>
          <w:b/>
          <w:bCs/>
        </w:rPr>
        <w:t xml:space="preserve">3.2 </w:t>
      </w:r>
      <w:r w:rsidR="00D07694" w:rsidRPr="00925095">
        <w:rPr>
          <w:rFonts w:ascii="Times New Roman" w:hAnsi="Times New Roman" w:cs="Times New Roman"/>
          <w:b/>
          <w:bCs/>
        </w:rPr>
        <w:t>Molecular Docking Analysis</w:t>
      </w:r>
      <w:r w:rsidR="00D07694" w:rsidRPr="00925095">
        <w:rPr>
          <w:rFonts w:ascii="Times New Roman" w:hAnsi="Times New Roman" w:cs="Times New Roman"/>
          <w:sz w:val="20"/>
          <w:szCs w:val="20"/>
        </w:rPr>
        <w:br/>
        <w:t xml:space="preserve">Molecular docking of esculetin with the top hub gene–associated targets identified from the network pharmacology analysis </w:t>
      </w:r>
      <w:r w:rsidR="00D07694" w:rsidRPr="00925095">
        <w:rPr>
          <w:rFonts w:ascii="Times New Roman" w:hAnsi="Times New Roman" w:cs="Times New Roman"/>
          <w:b/>
          <w:bCs/>
          <w:sz w:val="20"/>
          <w:szCs w:val="20"/>
        </w:rPr>
        <w:t>(Table 2)</w:t>
      </w:r>
      <w:r w:rsidR="00D07694" w:rsidRPr="00925095">
        <w:rPr>
          <w:rFonts w:ascii="Times New Roman" w:hAnsi="Times New Roman" w:cs="Times New Roman"/>
          <w:sz w:val="20"/>
          <w:szCs w:val="20"/>
        </w:rPr>
        <w:t xml:space="preserve"> revealed distinct interaction patterns, as illustrated in the 2D </w:t>
      </w:r>
      <w:r w:rsidR="00D07694" w:rsidRPr="00925095">
        <w:rPr>
          <w:rFonts w:ascii="Times New Roman" w:hAnsi="Times New Roman" w:cs="Times New Roman"/>
          <w:b/>
          <w:bCs/>
          <w:sz w:val="20"/>
          <w:szCs w:val="20"/>
        </w:rPr>
        <w:t>(Fig.7)</w:t>
      </w:r>
      <w:r w:rsidR="00D07694" w:rsidRPr="00925095">
        <w:rPr>
          <w:rFonts w:ascii="Times New Roman" w:hAnsi="Times New Roman" w:cs="Times New Roman"/>
          <w:sz w:val="20"/>
          <w:szCs w:val="20"/>
        </w:rPr>
        <w:t xml:space="preserve"> and 3D </w:t>
      </w:r>
      <w:r w:rsidR="00D07694" w:rsidRPr="00925095">
        <w:rPr>
          <w:rFonts w:ascii="Times New Roman" w:hAnsi="Times New Roman" w:cs="Times New Roman"/>
          <w:b/>
          <w:bCs/>
          <w:sz w:val="20"/>
          <w:szCs w:val="20"/>
        </w:rPr>
        <w:t>(Fig.8)</w:t>
      </w:r>
      <w:r w:rsidR="00D07694" w:rsidRPr="00925095">
        <w:rPr>
          <w:rFonts w:ascii="Times New Roman" w:hAnsi="Times New Roman" w:cs="Times New Roman"/>
          <w:sz w:val="20"/>
          <w:szCs w:val="20"/>
        </w:rPr>
        <w:t xml:space="preserve"> interaction diagrams. Among all evaluated proteins, SERPINE1 (PAI-1, PDB: 4AQH) exhibited the highest binding affinity (−7.50 kcal/mol). In the SERPINE1 complex, </w:t>
      </w:r>
      <w:proofErr w:type="spellStart"/>
      <w:r w:rsidR="00D07694" w:rsidRPr="00925095">
        <w:rPr>
          <w:rFonts w:ascii="Times New Roman" w:hAnsi="Times New Roman" w:cs="Times New Roman"/>
          <w:sz w:val="20"/>
          <w:szCs w:val="20"/>
        </w:rPr>
        <w:t>esculetin’s</w:t>
      </w:r>
      <w:proofErr w:type="spellEnd"/>
      <w:r w:rsidR="00D07694" w:rsidRPr="00925095">
        <w:rPr>
          <w:rFonts w:ascii="Times New Roman" w:hAnsi="Times New Roman" w:cs="Times New Roman"/>
          <w:sz w:val="20"/>
          <w:szCs w:val="20"/>
        </w:rPr>
        <w:t xml:space="preserve"> catechol moiety formed dual hydrogen bonds within the reactive center cleft, while the coumarin ring engaged in π–π stacking and hydrophobic interactions, stabilizing the ligand in a pose similar to known PAI-1 inhibitors. GSK3B (PDB: 1Q5K) demonstrated favorable hinge-region binding via hydrogen bonding and hydrophobic pocket occupancy, followed by STAT1 (PDB: 1YVL), which formed moderate polar and electrostatic contacts in a shallow groove. IRAK1-axis kinase (PDB: 4IM2) interactions were predominantly polar with limited hydrophobic stabilization, while CA12 (PDB: 6THA) binding involved rim hydrogen bonds without direct Zn²⁺ coordination, resulting in the lowest docking score. Overall, the affinity ranking was SERPINE1 &gt; GSK3B ≈ STAT1 &gt; IRAK1-axis &gt; CA12, reinforcing SERPINE1 as the primary and structurally validated binding partner of esculetin, consistent with its hub role in the protein–protein interaction network.</w:t>
      </w:r>
      <w:r w:rsidR="00D07694" w:rsidRPr="00925095">
        <w:rPr>
          <w:rFonts w:ascii="Times New Roman" w:hAnsi="Times New Roman" w:cs="Times New Roman"/>
          <w:sz w:val="20"/>
          <w:szCs w:val="20"/>
        </w:rPr>
        <w:tab/>
      </w:r>
    </w:p>
    <w:p w14:paraId="0F7E0CA2" w14:textId="77777777" w:rsidR="00925095" w:rsidRDefault="00925095" w:rsidP="00D07694">
      <w:pPr>
        <w:tabs>
          <w:tab w:val="left" w:pos="281"/>
          <w:tab w:val="left" w:pos="1640"/>
        </w:tabs>
        <w:spacing w:line="360" w:lineRule="auto"/>
        <w:jc w:val="both"/>
        <w:rPr>
          <w:rFonts w:ascii="Times New Roman" w:hAnsi="Times New Roman" w:cs="Times New Roman"/>
          <w:sz w:val="20"/>
          <w:szCs w:val="20"/>
        </w:rPr>
      </w:pPr>
    </w:p>
    <w:p w14:paraId="20B42EFC" w14:textId="4DAC7618" w:rsidR="00925095" w:rsidRDefault="00925095" w:rsidP="00D07694">
      <w:pPr>
        <w:tabs>
          <w:tab w:val="left" w:pos="281"/>
          <w:tab w:val="left" w:pos="1640"/>
        </w:tabs>
        <w:spacing w:line="360" w:lineRule="auto"/>
        <w:jc w:val="both"/>
        <w:rPr>
          <w:rFonts w:ascii="Times New Roman" w:hAnsi="Times New Roman" w:cs="Times New Roman"/>
          <w:sz w:val="20"/>
          <w:szCs w:val="20"/>
        </w:rPr>
      </w:pPr>
    </w:p>
    <w:p w14:paraId="012FFD33" w14:textId="6E6F35D4" w:rsidR="00925095" w:rsidRDefault="00925095" w:rsidP="00D07694">
      <w:pPr>
        <w:tabs>
          <w:tab w:val="left" w:pos="281"/>
          <w:tab w:val="left" w:pos="1640"/>
        </w:tabs>
        <w:spacing w:line="360" w:lineRule="auto"/>
        <w:jc w:val="both"/>
        <w:rPr>
          <w:rFonts w:ascii="Times New Roman" w:hAnsi="Times New Roman" w:cs="Times New Roman"/>
          <w:sz w:val="20"/>
          <w:szCs w:val="20"/>
        </w:rPr>
      </w:pPr>
      <w:r w:rsidRPr="00925095">
        <w:rPr>
          <w:rFonts w:ascii="Times New Roman" w:hAnsi="Times New Roman" w:cs="Times New Roman"/>
          <w:noProof/>
        </w:rPr>
        <w:drawing>
          <wp:anchor distT="0" distB="0" distL="114300" distR="114300" simplePos="0" relativeHeight="251663360" behindDoc="1" locked="0" layoutInCell="1" allowOverlap="1" wp14:anchorId="62DFBE43" wp14:editId="5C4D1C85">
            <wp:simplePos x="0" y="0"/>
            <wp:positionH relativeFrom="column">
              <wp:posOffset>139439</wp:posOffset>
            </wp:positionH>
            <wp:positionV relativeFrom="paragraph">
              <wp:posOffset>-614521</wp:posOffset>
            </wp:positionV>
            <wp:extent cx="4492400" cy="3957851"/>
            <wp:effectExtent l="0" t="0" r="3810" b="5080"/>
            <wp:wrapNone/>
            <wp:docPr id="947222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2400" cy="39578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36B8B" w14:textId="77777777" w:rsidR="00925095" w:rsidRPr="00925095" w:rsidRDefault="00925095" w:rsidP="00D07694">
      <w:pPr>
        <w:tabs>
          <w:tab w:val="left" w:pos="281"/>
          <w:tab w:val="left" w:pos="1640"/>
        </w:tabs>
        <w:spacing w:line="360" w:lineRule="auto"/>
        <w:jc w:val="both"/>
        <w:rPr>
          <w:rFonts w:ascii="Times New Roman" w:hAnsi="Times New Roman" w:cs="Times New Roman"/>
          <w:sz w:val="20"/>
          <w:szCs w:val="20"/>
        </w:rPr>
      </w:pPr>
    </w:p>
    <w:p w14:paraId="061DE683" w14:textId="3BCA443C" w:rsidR="0038771A" w:rsidRPr="00925095" w:rsidRDefault="0038771A" w:rsidP="002A210A">
      <w:pPr>
        <w:tabs>
          <w:tab w:val="left" w:pos="1640"/>
        </w:tabs>
        <w:jc w:val="center"/>
        <w:rPr>
          <w:rFonts w:ascii="Times New Roman" w:hAnsi="Times New Roman" w:cs="Times New Roman"/>
          <w:sz w:val="20"/>
          <w:szCs w:val="20"/>
        </w:rPr>
      </w:pPr>
    </w:p>
    <w:p w14:paraId="2084C698" w14:textId="77777777" w:rsidR="0038771A" w:rsidRPr="00925095" w:rsidRDefault="0038771A" w:rsidP="0038771A">
      <w:pPr>
        <w:rPr>
          <w:rFonts w:ascii="Times New Roman" w:hAnsi="Times New Roman" w:cs="Times New Roman"/>
          <w:sz w:val="20"/>
          <w:szCs w:val="20"/>
        </w:rPr>
      </w:pPr>
    </w:p>
    <w:p w14:paraId="052C73FA" w14:textId="77777777" w:rsidR="0038771A" w:rsidRPr="00925095" w:rsidRDefault="0038771A" w:rsidP="0038771A">
      <w:pPr>
        <w:rPr>
          <w:rFonts w:ascii="Times New Roman" w:hAnsi="Times New Roman" w:cs="Times New Roman"/>
          <w:sz w:val="20"/>
          <w:szCs w:val="20"/>
        </w:rPr>
      </w:pPr>
    </w:p>
    <w:p w14:paraId="1AD3D3DF" w14:textId="77777777" w:rsidR="0038771A" w:rsidRPr="00925095" w:rsidRDefault="0038771A" w:rsidP="0038771A">
      <w:pPr>
        <w:rPr>
          <w:rFonts w:ascii="Times New Roman" w:hAnsi="Times New Roman" w:cs="Times New Roman"/>
          <w:sz w:val="20"/>
          <w:szCs w:val="20"/>
        </w:rPr>
      </w:pPr>
    </w:p>
    <w:p w14:paraId="36DBB682" w14:textId="77777777" w:rsidR="0038771A" w:rsidRPr="00925095" w:rsidRDefault="0038771A" w:rsidP="0038771A">
      <w:pPr>
        <w:rPr>
          <w:rFonts w:ascii="Times New Roman" w:hAnsi="Times New Roman" w:cs="Times New Roman"/>
          <w:sz w:val="20"/>
          <w:szCs w:val="20"/>
        </w:rPr>
      </w:pPr>
    </w:p>
    <w:p w14:paraId="54F89D16" w14:textId="77777777" w:rsidR="0038771A" w:rsidRPr="00925095" w:rsidRDefault="0038771A" w:rsidP="0038771A">
      <w:pPr>
        <w:rPr>
          <w:rFonts w:ascii="Times New Roman" w:hAnsi="Times New Roman" w:cs="Times New Roman"/>
          <w:sz w:val="20"/>
          <w:szCs w:val="20"/>
        </w:rPr>
      </w:pPr>
    </w:p>
    <w:p w14:paraId="3EC38F19" w14:textId="77777777" w:rsidR="0038771A" w:rsidRPr="00925095" w:rsidRDefault="0038771A" w:rsidP="0038771A">
      <w:pPr>
        <w:rPr>
          <w:rFonts w:ascii="Times New Roman" w:hAnsi="Times New Roman" w:cs="Times New Roman"/>
          <w:sz w:val="20"/>
          <w:szCs w:val="20"/>
        </w:rPr>
      </w:pPr>
    </w:p>
    <w:p w14:paraId="409DA621" w14:textId="77777777" w:rsidR="0038771A" w:rsidRPr="00925095" w:rsidRDefault="0038771A" w:rsidP="0038771A">
      <w:pPr>
        <w:rPr>
          <w:rFonts w:ascii="Times New Roman" w:hAnsi="Times New Roman" w:cs="Times New Roman"/>
          <w:sz w:val="20"/>
          <w:szCs w:val="20"/>
        </w:rPr>
      </w:pPr>
    </w:p>
    <w:p w14:paraId="0EC723EE" w14:textId="77777777" w:rsidR="0038771A" w:rsidRPr="00925095" w:rsidRDefault="0038771A" w:rsidP="0038771A">
      <w:pPr>
        <w:rPr>
          <w:rFonts w:ascii="Times New Roman" w:hAnsi="Times New Roman" w:cs="Times New Roman"/>
          <w:sz w:val="20"/>
          <w:szCs w:val="20"/>
        </w:rPr>
      </w:pPr>
    </w:p>
    <w:p w14:paraId="68E6E8A5" w14:textId="77777777" w:rsidR="0038771A" w:rsidRPr="00925095" w:rsidRDefault="0038771A" w:rsidP="0038771A">
      <w:pPr>
        <w:rPr>
          <w:rFonts w:ascii="Times New Roman" w:hAnsi="Times New Roman" w:cs="Times New Roman"/>
          <w:sz w:val="20"/>
          <w:szCs w:val="20"/>
        </w:rPr>
      </w:pPr>
    </w:p>
    <w:p w14:paraId="772E5293" w14:textId="77777777" w:rsidR="00925095" w:rsidRPr="00925095" w:rsidRDefault="00925095" w:rsidP="0038771A">
      <w:pPr>
        <w:tabs>
          <w:tab w:val="left" w:pos="1956"/>
        </w:tabs>
        <w:spacing w:line="360" w:lineRule="auto"/>
        <w:rPr>
          <w:rFonts w:ascii="Times New Roman" w:hAnsi="Times New Roman" w:cs="Times New Roman"/>
          <w:sz w:val="20"/>
          <w:szCs w:val="20"/>
        </w:rPr>
      </w:pPr>
    </w:p>
    <w:p w14:paraId="658A0398" w14:textId="77777777" w:rsidR="00213578" w:rsidRDefault="0038771A" w:rsidP="00213578">
      <w:pPr>
        <w:tabs>
          <w:tab w:val="left" w:pos="1956"/>
        </w:tabs>
        <w:spacing w:line="360" w:lineRule="auto"/>
        <w:rPr>
          <w:rFonts w:ascii="Times New Roman" w:hAnsi="Times New Roman" w:cs="Times New Roman"/>
          <w:sz w:val="20"/>
          <w:szCs w:val="20"/>
        </w:rPr>
      </w:pPr>
      <w:r w:rsidRPr="00925095">
        <w:rPr>
          <w:rFonts w:ascii="Times New Roman" w:hAnsi="Times New Roman" w:cs="Times New Roman"/>
          <w:b/>
          <w:bCs/>
          <w:sz w:val="20"/>
          <w:szCs w:val="20"/>
        </w:rPr>
        <w:t>Figure 6.</w:t>
      </w:r>
      <w:r w:rsidRPr="00925095">
        <w:rPr>
          <w:rFonts w:ascii="Times New Roman" w:hAnsi="Times New Roman" w:cs="Times New Roman"/>
          <w:sz w:val="20"/>
          <w:szCs w:val="20"/>
        </w:rPr>
        <w:t xml:space="preserve"> Pathway interconnection network showing the central role of Toll-like receptor signaling and its associations with immune, infectious, and inflammatory pathways. Yellow edges indicate strong functional connectivity.</w:t>
      </w:r>
    </w:p>
    <w:p w14:paraId="4ADB5764" w14:textId="77777777" w:rsidR="00925095" w:rsidRPr="00925095" w:rsidRDefault="00925095" w:rsidP="00213578">
      <w:pPr>
        <w:tabs>
          <w:tab w:val="left" w:pos="1956"/>
        </w:tabs>
        <w:spacing w:line="360" w:lineRule="auto"/>
        <w:rPr>
          <w:rFonts w:ascii="Times New Roman" w:hAnsi="Times New Roman" w:cs="Times New Roman"/>
          <w:sz w:val="20"/>
          <w:szCs w:val="20"/>
        </w:rPr>
      </w:pPr>
    </w:p>
    <w:p w14:paraId="67D8DC69" w14:textId="00129FD3" w:rsidR="0038771A" w:rsidRPr="00925095" w:rsidRDefault="00D07694" w:rsidP="00213578">
      <w:pPr>
        <w:tabs>
          <w:tab w:val="left" w:pos="1956"/>
        </w:tabs>
        <w:spacing w:line="360" w:lineRule="auto"/>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65408" behindDoc="1" locked="0" layoutInCell="1" allowOverlap="1" wp14:anchorId="522B1229" wp14:editId="460AF2BE">
            <wp:simplePos x="0" y="0"/>
            <wp:positionH relativeFrom="column">
              <wp:posOffset>3439160</wp:posOffset>
            </wp:positionH>
            <wp:positionV relativeFrom="paragraph">
              <wp:posOffset>166741</wp:posOffset>
            </wp:positionV>
            <wp:extent cx="2367887" cy="2050192"/>
            <wp:effectExtent l="0" t="0" r="0" b="7620"/>
            <wp:wrapNone/>
            <wp:docPr id="20515261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7887" cy="2050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1A" w:rsidRPr="00925095">
        <w:rPr>
          <w:rFonts w:ascii="Times New Roman" w:hAnsi="Times New Roman" w:cs="Times New Roman"/>
          <w:noProof/>
          <w:sz w:val="20"/>
          <w:szCs w:val="20"/>
        </w:rPr>
        <w:drawing>
          <wp:anchor distT="0" distB="0" distL="114300" distR="114300" simplePos="0" relativeHeight="251664384" behindDoc="1" locked="0" layoutInCell="1" allowOverlap="1" wp14:anchorId="71A1C935" wp14:editId="0FFFC2BF">
            <wp:simplePos x="0" y="0"/>
            <wp:positionH relativeFrom="column">
              <wp:posOffset>-204716</wp:posOffset>
            </wp:positionH>
            <wp:positionV relativeFrom="paragraph">
              <wp:posOffset>61415</wp:posOffset>
            </wp:positionV>
            <wp:extent cx="3179928" cy="2377019"/>
            <wp:effectExtent l="0" t="0" r="1905" b="4445"/>
            <wp:wrapNone/>
            <wp:docPr id="1756703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928" cy="2377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36543" w14:textId="2AF59DB4" w:rsidR="0038771A" w:rsidRPr="00925095" w:rsidRDefault="0038771A" w:rsidP="0038771A">
      <w:pPr>
        <w:tabs>
          <w:tab w:val="left" w:pos="527"/>
        </w:tabs>
        <w:rPr>
          <w:rFonts w:ascii="Times New Roman" w:hAnsi="Times New Roman" w:cs="Times New Roman"/>
          <w:sz w:val="20"/>
          <w:szCs w:val="20"/>
        </w:rPr>
      </w:pPr>
    </w:p>
    <w:p w14:paraId="0664F713" w14:textId="1D0C6D16" w:rsidR="0038771A" w:rsidRPr="00925095" w:rsidRDefault="0038771A" w:rsidP="0038771A">
      <w:pPr>
        <w:tabs>
          <w:tab w:val="left" w:pos="527"/>
        </w:tabs>
        <w:rPr>
          <w:rFonts w:ascii="Times New Roman" w:hAnsi="Times New Roman" w:cs="Times New Roman"/>
          <w:sz w:val="20"/>
          <w:szCs w:val="20"/>
        </w:rPr>
      </w:pPr>
    </w:p>
    <w:p w14:paraId="144CB285" w14:textId="77777777" w:rsidR="0038771A" w:rsidRPr="00925095" w:rsidRDefault="0038771A" w:rsidP="0038771A">
      <w:pPr>
        <w:rPr>
          <w:rFonts w:ascii="Times New Roman" w:hAnsi="Times New Roman" w:cs="Times New Roman"/>
          <w:sz w:val="20"/>
          <w:szCs w:val="20"/>
        </w:rPr>
      </w:pPr>
    </w:p>
    <w:p w14:paraId="17BC2488" w14:textId="77777777" w:rsidR="0038771A" w:rsidRPr="00925095" w:rsidRDefault="0038771A" w:rsidP="0038771A">
      <w:pPr>
        <w:rPr>
          <w:rFonts w:ascii="Times New Roman" w:hAnsi="Times New Roman" w:cs="Times New Roman"/>
          <w:sz w:val="20"/>
          <w:szCs w:val="20"/>
        </w:rPr>
      </w:pPr>
    </w:p>
    <w:p w14:paraId="44B0B530" w14:textId="35FDFEB8" w:rsidR="0038771A" w:rsidRPr="00925095" w:rsidRDefault="0038771A" w:rsidP="0038771A">
      <w:pPr>
        <w:rPr>
          <w:rFonts w:ascii="Times New Roman" w:hAnsi="Times New Roman" w:cs="Times New Roman"/>
          <w:sz w:val="20"/>
          <w:szCs w:val="20"/>
        </w:rPr>
      </w:pPr>
    </w:p>
    <w:p w14:paraId="5974DC11" w14:textId="6ECCB298" w:rsidR="0038771A" w:rsidRPr="00925095" w:rsidRDefault="0038771A" w:rsidP="0038771A">
      <w:pPr>
        <w:rPr>
          <w:rFonts w:ascii="Times New Roman" w:hAnsi="Times New Roman" w:cs="Times New Roman"/>
          <w:sz w:val="20"/>
          <w:szCs w:val="20"/>
        </w:rPr>
      </w:pPr>
    </w:p>
    <w:p w14:paraId="648B005C" w14:textId="5DA97B5F" w:rsidR="0038771A" w:rsidRPr="00925095" w:rsidRDefault="0038771A" w:rsidP="0038771A">
      <w:pPr>
        <w:rPr>
          <w:rFonts w:ascii="Times New Roman" w:hAnsi="Times New Roman" w:cs="Times New Roman"/>
          <w:sz w:val="20"/>
          <w:szCs w:val="20"/>
        </w:rPr>
      </w:pPr>
    </w:p>
    <w:p w14:paraId="78FD1503" w14:textId="77777777" w:rsidR="0038771A" w:rsidRPr="00925095" w:rsidRDefault="0038771A" w:rsidP="0038771A">
      <w:pPr>
        <w:rPr>
          <w:rFonts w:ascii="Times New Roman" w:hAnsi="Times New Roman" w:cs="Times New Roman"/>
          <w:sz w:val="20"/>
          <w:szCs w:val="20"/>
        </w:rPr>
      </w:pPr>
    </w:p>
    <w:p w14:paraId="2E422EF3" w14:textId="7A31B893" w:rsidR="00D07694" w:rsidRPr="00925095" w:rsidRDefault="0038771A" w:rsidP="0038771A">
      <w:pPr>
        <w:rPr>
          <w:rFonts w:ascii="Times New Roman" w:hAnsi="Times New Roman" w:cs="Times New Roman"/>
          <w:b/>
          <w:bCs/>
          <w:sz w:val="20"/>
          <w:szCs w:val="20"/>
        </w:rPr>
      </w:pPr>
      <w:r w:rsidRPr="00925095">
        <w:rPr>
          <w:rFonts w:ascii="Times New Roman" w:hAnsi="Times New Roman" w:cs="Times New Roman"/>
          <w:sz w:val="20"/>
          <w:szCs w:val="20"/>
        </w:rPr>
        <w:t xml:space="preserve">                 </w:t>
      </w:r>
      <w:r w:rsidR="00D07694"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A</w:t>
      </w:r>
      <w:r w:rsidRPr="00925095">
        <w:rPr>
          <w:rFonts w:ascii="Times New Roman" w:hAnsi="Times New Roman" w:cs="Times New Roman"/>
          <w:sz w:val="20"/>
          <w:szCs w:val="20"/>
        </w:rPr>
        <w:t xml:space="preserve">                                                                    </w:t>
      </w:r>
      <w:r w:rsidR="00D07694"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B</w:t>
      </w:r>
    </w:p>
    <w:p w14:paraId="5331D3F6" w14:textId="1FEDA1EF" w:rsidR="0038771A" w:rsidRPr="00925095" w:rsidRDefault="00D07694" w:rsidP="0038771A">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66432" behindDoc="1" locked="0" layoutInCell="1" allowOverlap="1" wp14:anchorId="7AF9FFA8" wp14:editId="13476A1B">
            <wp:simplePos x="0" y="0"/>
            <wp:positionH relativeFrom="column">
              <wp:posOffset>-204470</wp:posOffset>
            </wp:positionH>
            <wp:positionV relativeFrom="paragraph">
              <wp:posOffset>82550</wp:posOffset>
            </wp:positionV>
            <wp:extent cx="2981325" cy="1874520"/>
            <wp:effectExtent l="0" t="0" r="9525" b="0"/>
            <wp:wrapNone/>
            <wp:docPr id="1948682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325"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1A" w:rsidRPr="00925095">
        <w:rPr>
          <w:rFonts w:ascii="Times New Roman" w:hAnsi="Times New Roman" w:cs="Times New Roman"/>
          <w:noProof/>
          <w:sz w:val="20"/>
          <w:szCs w:val="20"/>
        </w:rPr>
        <w:drawing>
          <wp:anchor distT="0" distB="0" distL="114300" distR="114300" simplePos="0" relativeHeight="251667456" behindDoc="1" locked="0" layoutInCell="1" allowOverlap="1" wp14:anchorId="00DD22AA" wp14:editId="77067E02">
            <wp:simplePos x="0" y="0"/>
            <wp:positionH relativeFrom="column">
              <wp:posOffset>3070225</wp:posOffset>
            </wp:positionH>
            <wp:positionV relativeFrom="paragraph">
              <wp:posOffset>21590</wp:posOffset>
            </wp:positionV>
            <wp:extent cx="2830830" cy="2273300"/>
            <wp:effectExtent l="0" t="0" r="7620" b="0"/>
            <wp:wrapNone/>
            <wp:docPr id="72493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830"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48042" w14:textId="47FBBF7B" w:rsidR="0038771A" w:rsidRPr="00925095" w:rsidRDefault="0038771A" w:rsidP="0038771A">
      <w:pPr>
        <w:tabs>
          <w:tab w:val="left" w:pos="1053"/>
        </w:tabs>
        <w:rPr>
          <w:rFonts w:ascii="Times New Roman" w:hAnsi="Times New Roman" w:cs="Times New Roman"/>
          <w:sz w:val="20"/>
          <w:szCs w:val="20"/>
        </w:rPr>
      </w:pPr>
      <w:r w:rsidRPr="00925095">
        <w:rPr>
          <w:rFonts w:ascii="Times New Roman" w:hAnsi="Times New Roman" w:cs="Times New Roman"/>
          <w:sz w:val="20"/>
          <w:szCs w:val="20"/>
        </w:rPr>
        <w:tab/>
      </w:r>
    </w:p>
    <w:p w14:paraId="7A25D194" w14:textId="77777777" w:rsidR="0038771A" w:rsidRPr="00925095" w:rsidRDefault="0038771A" w:rsidP="0038771A">
      <w:pPr>
        <w:rPr>
          <w:rFonts w:ascii="Times New Roman" w:hAnsi="Times New Roman" w:cs="Times New Roman"/>
          <w:sz w:val="20"/>
          <w:szCs w:val="20"/>
        </w:rPr>
      </w:pPr>
    </w:p>
    <w:p w14:paraId="6EE80D65" w14:textId="2556A14F" w:rsidR="0038771A" w:rsidRPr="00925095" w:rsidRDefault="0038771A" w:rsidP="0038771A">
      <w:pPr>
        <w:rPr>
          <w:rFonts w:ascii="Times New Roman" w:hAnsi="Times New Roman" w:cs="Times New Roman"/>
          <w:sz w:val="20"/>
          <w:szCs w:val="20"/>
        </w:rPr>
      </w:pPr>
    </w:p>
    <w:p w14:paraId="36AF7B03" w14:textId="77777777" w:rsidR="0038771A" w:rsidRPr="00925095" w:rsidRDefault="0038771A" w:rsidP="0038771A">
      <w:pPr>
        <w:rPr>
          <w:rFonts w:ascii="Times New Roman" w:hAnsi="Times New Roman" w:cs="Times New Roman"/>
          <w:sz w:val="20"/>
          <w:szCs w:val="20"/>
        </w:rPr>
      </w:pPr>
    </w:p>
    <w:p w14:paraId="2776F294" w14:textId="77777777" w:rsidR="0038771A" w:rsidRPr="00925095" w:rsidRDefault="0038771A" w:rsidP="0038771A">
      <w:pPr>
        <w:rPr>
          <w:rFonts w:ascii="Times New Roman" w:hAnsi="Times New Roman" w:cs="Times New Roman"/>
          <w:sz w:val="20"/>
          <w:szCs w:val="20"/>
        </w:rPr>
      </w:pPr>
    </w:p>
    <w:p w14:paraId="03888969" w14:textId="77777777" w:rsidR="0038771A" w:rsidRPr="00925095" w:rsidRDefault="0038771A" w:rsidP="0038771A">
      <w:pPr>
        <w:rPr>
          <w:rFonts w:ascii="Times New Roman" w:hAnsi="Times New Roman" w:cs="Times New Roman"/>
          <w:sz w:val="20"/>
          <w:szCs w:val="20"/>
        </w:rPr>
      </w:pPr>
    </w:p>
    <w:p w14:paraId="752C41E0" w14:textId="022BD256" w:rsidR="0038771A" w:rsidRPr="00925095" w:rsidRDefault="0038771A" w:rsidP="0038771A">
      <w:pPr>
        <w:rPr>
          <w:rFonts w:ascii="Times New Roman" w:hAnsi="Times New Roman" w:cs="Times New Roman"/>
          <w:sz w:val="20"/>
          <w:szCs w:val="20"/>
        </w:rPr>
      </w:pPr>
    </w:p>
    <w:p w14:paraId="0C0BBAC9" w14:textId="2C2ED42A" w:rsidR="00D07694" w:rsidRPr="00925095" w:rsidRDefault="00213578" w:rsidP="0038771A">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68480" behindDoc="1" locked="0" layoutInCell="1" allowOverlap="1" wp14:anchorId="74B4899F" wp14:editId="328C051D">
            <wp:simplePos x="0" y="0"/>
            <wp:positionH relativeFrom="column">
              <wp:posOffset>1226185</wp:posOffset>
            </wp:positionH>
            <wp:positionV relativeFrom="paragraph">
              <wp:posOffset>131199</wp:posOffset>
            </wp:positionV>
            <wp:extent cx="3261919" cy="2208811"/>
            <wp:effectExtent l="0" t="0" r="0" b="1270"/>
            <wp:wrapNone/>
            <wp:docPr id="2025615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1919" cy="2208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1A" w:rsidRPr="00925095">
        <w:rPr>
          <w:rFonts w:ascii="Times New Roman" w:hAnsi="Times New Roman" w:cs="Times New Roman"/>
          <w:sz w:val="20"/>
          <w:szCs w:val="20"/>
        </w:rPr>
        <w:t xml:space="preserve">         </w:t>
      </w:r>
      <w:r w:rsidR="00D07694"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C</w:t>
      </w:r>
      <w:r w:rsidR="0038771A" w:rsidRPr="00925095">
        <w:rPr>
          <w:rFonts w:ascii="Times New Roman" w:hAnsi="Times New Roman" w:cs="Times New Roman"/>
          <w:sz w:val="20"/>
          <w:szCs w:val="20"/>
        </w:rPr>
        <w:t xml:space="preserve">                                                                         </w:t>
      </w:r>
      <w:r w:rsidR="00D07694"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D</w:t>
      </w:r>
      <w:r w:rsidR="0038771A" w:rsidRPr="00925095">
        <w:rPr>
          <w:rFonts w:ascii="Times New Roman" w:hAnsi="Times New Roman" w:cs="Times New Roman"/>
          <w:sz w:val="20"/>
          <w:szCs w:val="20"/>
        </w:rPr>
        <w:t xml:space="preserve">    </w:t>
      </w:r>
    </w:p>
    <w:p w14:paraId="1007BA19" w14:textId="37BEC240" w:rsidR="00D07694" w:rsidRPr="00925095" w:rsidRDefault="00D07694" w:rsidP="0038771A">
      <w:pPr>
        <w:rPr>
          <w:rFonts w:ascii="Times New Roman" w:hAnsi="Times New Roman" w:cs="Times New Roman"/>
          <w:sz w:val="20"/>
          <w:szCs w:val="20"/>
        </w:rPr>
      </w:pPr>
    </w:p>
    <w:p w14:paraId="431AE4FB" w14:textId="752156F2" w:rsidR="0038771A" w:rsidRPr="00925095" w:rsidRDefault="0038771A" w:rsidP="0038771A">
      <w:pPr>
        <w:rPr>
          <w:rFonts w:ascii="Times New Roman" w:hAnsi="Times New Roman" w:cs="Times New Roman"/>
          <w:sz w:val="20"/>
          <w:szCs w:val="20"/>
        </w:rPr>
      </w:pPr>
    </w:p>
    <w:p w14:paraId="23217876" w14:textId="77777777" w:rsidR="0038771A" w:rsidRPr="00925095" w:rsidRDefault="0038771A" w:rsidP="0038771A">
      <w:pPr>
        <w:rPr>
          <w:rFonts w:ascii="Times New Roman" w:hAnsi="Times New Roman" w:cs="Times New Roman"/>
          <w:sz w:val="20"/>
          <w:szCs w:val="20"/>
        </w:rPr>
      </w:pPr>
    </w:p>
    <w:p w14:paraId="4ED8E23D" w14:textId="5DCE8706" w:rsidR="0038771A" w:rsidRPr="00925095" w:rsidRDefault="0038771A" w:rsidP="0038771A">
      <w:pPr>
        <w:tabs>
          <w:tab w:val="left" w:pos="1333"/>
        </w:tabs>
        <w:rPr>
          <w:rFonts w:ascii="Times New Roman" w:hAnsi="Times New Roman" w:cs="Times New Roman"/>
          <w:sz w:val="20"/>
          <w:szCs w:val="20"/>
        </w:rPr>
      </w:pPr>
      <w:r w:rsidRPr="00925095">
        <w:rPr>
          <w:rFonts w:ascii="Times New Roman" w:hAnsi="Times New Roman" w:cs="Times New Roman"/>
          <w:sz w:val="20"/>
          <w:szCs w:val="20"/>
        </w:rPr>
        <w:tab/>
      </w:r>
    </w:p>
    <w:p w14:paraId="67FD8ECB" w14:textId="77777777" w:rsidR="0038771A" w:rsidRPr="00925095" w:rsidRDefault="0038771A" w:rsidP="0038771A">
      <w:pPr>
        <w:rPr>
          <w:rFonts w:ascii="Times New Roman" w:hAnsi="Times New Roman" w:cs="Times New Roman"/>
          <w:sz w:val="20"/>
          <w:szCs w:val="20"/>
        </w:rPr>
      </w:pPr>
    </w:p>
    <w:p w14:paraId="22CEF2B7" w14:textId="77777777" w:rsidR="0038771A" w:rsidRPr="00925095" w:rsidRDefault="0038771A" w:rsidP="0038771A">
      <w:pPr>
        <w:rPr>
          <w:rFonts w:ascii="Times New Roman" w:hAnsi="Times New Roman" w:cs="Times New Roman"/>
          <w:sz w:val="20"/>
          <w:szCs w:val="20"/>
        </w:rPr>
      </w:pPr>
    </w:p>
    <w:p w14:paraId="1B6D4C2F" w14:textId="77777777" w:rsidR="0038771A" w:rsidRPr="00925095" w:rsidRDefault="0038771A" w:rsidP="0038771A">
      <w:pPr>
        <w:rPr>
          <w:rFonts w:ascii="Times New Roman" w:hAnsi="Times New Roman" w:cs="Times New Roman"/>
          <w:sz w:val="20"/>
          <w:szCs w:val="20"/>
        </w:rPr>
      </w:pPr>
    </w:p>
    <w:p w14:paraId="26DE4656" w14:textId="77777777" w:rsidR="00213578" w:rsidRPr="00925095" w:rsidRDefault="00D07694" w:rsidP="00213578">
      <w:pPr>
        <w:rPr>
          <w:rFonts w:ascii="Times New Roman" w:hAnsi="Times New Roman" w:cs="Times New Roman"/>
          <w:b/>
          <w:bCs/>
          <w:sz w:val="20"/>
          <w:szCs w:val="20"/>
        </w:rPr>
      </w:pPr>
      <w:r w:rsidRPr="00925095">
        <w:rPr>
          <w:rFonts w:ascii="Times New Roman" w:hAnsi="Times New Roman" w:cs="Times New Roman"/>
          <w:b/>
          <w:bCs/>
          <w:sz w:val="20"/>
          <w:szCs w:val="20"/>
        </w:rPr>
        <w:t xml:space="preserve">                                                                           E</w:t>
      </w:r>
    </w:p>
    <w:p w14:paraId="6E1719CA" w14:textId="1D1AC402" w:rsidR="0038771A" w:rsidRDefault="00D07694" w:rsidP="00213578">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7.</w:t>
      </w:r>
      <w:r w:rsidRPr="00925095">
        <w:rPr>
          <w:rFonts w:ascii="Times New Roman" w:hAnsi="Times New Roman" w:cs="Times New Roman"/>
          <w:sz w:val="20"/>
          <w:szCs w:val="20"/>
        </w:rPr>
        <w:t xml:space="preserve"> 2D interaction diagrams of esculetin with top hub gene–associated targets: (A) 1Q5K (GSK3B), (B) 1YVL (STAT1), (C) 4AQH (SERPINE1), (D) 4IM2 (IRAK1), and (E) 6THA (CA12).</w:t>
      </w:r>
    </w:p>
    <w:p w14:paraId="3EE75055" w14:textId="77777777" w:rsidR="00925095" w:rsidRDefault="00925095" w:rsidP="00213578">
      <w:pPr>
        <w:spacing w:line="360" w:lineRule="auto"/>
        <w:jc w:val="both"/>
        <w:rPr>
          <w:rFonts w:ascii="Times New Roman" w:hAnsi="Times New Roman" w:cs="Times New Roman"/>
          <w:sz w:val="20"/>
          <w:szCs w:val="20"/>
        </w:rPr>
      </w:pPr>
    </w:p>
    <w:p w14:paraId="1A4E966E" w14:textId="77777777" w:rsidR="00925095" w:rsidRDefault="00925095" w:rsidP="00213578">
      <w:pPr>
        <w:spacing w:line="360" w:lineRule="auto"/>
        <w:jc w:val="both"/>
        <w:rPr>
          <w:rFonts w:ascii="Times New Roman" w:hAnsi="Times New Roman" w:cs="Times New Roman"/>
          <w:sz w:val="20"/>
          <w:szCs w:val="20"/>
        </w:rPr>
      </w:pPr>
    </w:p>
    <w:p w14:paraId="611208A0" w14:textId="77777777" w:rsidR="00925095" w:rsidRDefault="00925095" w:rsidP="00213578">
      <w:pPr>
        <w:spacing w:line="360" w:lineRule="auto"/>
        <w:jc w:val="both"/>
        <w:rPr>
          <w:rFonts w:ascii="Times New Roman" w:hAnsi="Times New Roman" w:cs="Times New Roman"/>
          <w:sz w:val="20"/>
          <w:szCs w:val="20"/>
        </w:rPr>
      </w:pPr>
    </w:p>
    <w:p w14:paraId="670B7713" w14:textId="77777777" w:rsidR="00925095" w:rsidRPr="00925095" w:rsidRDefault="00925095" w:rsidP="00213578">
      <w:pPr>
        <w:spacing w:line="360" w:lineRule="auto"/>
        <w:jc w:val="both"/>
        <w:rPr>
          <w:rFonts w:ascii="Times New Roman" w:hAnsi="Times New Roman" w:cs="Times New Roman"/>
          <w:b/>
          <w:bCs/>
          <w:sz w:val="20"/>
          <w:szCs w:val="20"/>
        </w:rPr>
      </w:pPr>
    </w:p>
    <w:p w14:paraId="278C6237" w14:textId="77B8A8AA" w:rsidR="007B3081" w:rsidRPr="00925095" w:rsidRDefault="00D07694" w:rsidP="0038771A">
      <w:pPr>
        <w:tabs>
          <w:tab w:val="left" w:pos="3621"/>
        </w:tabs>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70528" behindDoc="1" locked="0" layoutInCell="1" allowOverlap="1" wp14:anchorId="19170EDD" wp14:editId="3207BBC1">
            <wp:simplePos x="0" y="0"/>
            <wp:positionH relativeFrom="column">
              <wp:posOffset>3348585</wp:posOffset>
            </wp:positionH>
            <wp:positionV relativeFrom="paragraph">
              <wp:posOffset>-361381</wp:posOffset>
            </wp:positionV>
            <wp:extent cx="2847464" cy="2327564"/>
            <wp:effectExtent l="0" t="0" r="0" b="0"/>
            <wp:wrapNone/>
            <wp:docPr id="17401317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464" cy="2327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noProof/>
          <w:sz w:val="20"/>
          <w:szCs w:val="20"/>
        </w:rPr>
        <w:drawing>
          <wp:anchor distT="0" distB="0" distL="114300" distR="114300" simplePos="0" relativeHeight="251669504" behindDoc="1" locked="0" layoutInCell="1" allowOverlap="1" wp14:anchorId="7B9A36EE" wp14:editId="7B637EC1">
            <wp:simplePos x="0" y="0"/>
            <wp:positionH relativeFrom="column">
              <wp:posOffset>-107874</wp:posOffset>
            </wp:positionH>
            <wp:positionV relativeFrom="paragraph">
              <wp:posOffset>-200490</wp:posOffset>
            </wp:positionV>
            <wp:extent cx="3170712" cy="2219780"/>
            <wp:effectExtent l="0" t="0" r="0" b="9525"/>
            <wp:wrapNone/>
            <wp:docPr id="3608539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0712" cy="221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1A" w:rsidRPr="00925095">
        <w:rPr>
          <w:rFonts w:ascii="Times New Roman" w:hAnsi="Times New Roman" w:cs="Times New Roman"/>
          <w:sz w:val="20"/>
          <w:szCs w:val="20"/>
        </w:rPr>
        <w:tab/>
      </w:r>
    </w:p>
    <w:p w14:paraId="6DB77E03" w14:textId="6A2FB33B" w:rsidR="007B3081" w:rsidRPr="00925095" w:rsidRDefault="007B3081" w:rsidP="007B3081">
      <w:pPr>
        <w:rPr>
          <w:rFonts w:ascii="Times New Roman" w:hAnsi="Times New Roman" w:cs="Times New Roman"/>
          <w:sz w:val="20"/>
          <w:szCs w:val="20"/>
        </w:rPr>
      </w:pPr>
    </w:p>
    <w:p w14:paraId="0DB75D7A" w14:textId="77777777" w:rsidR="007B3081" w:rsidRPr="00925095" w:rsidRDefault="007B3081" w:rsidP="007B3081">
      <w:pPr>
        <w:rPr>
          <w:rFonts w:ascii="Times New Roman" w:hAnsi="Times New Roman" w:cs="Times New Roman"/>
          <w:sz w:val="20"/>
          <w:szCs w:val="20"/>
        </w:rPr>
      </w:pPr>
    </w:p>
    <w:p w14:paraId="1594C031" w14:textId="77777777" w:rsidR="007B3081" w:rsidRPr="00925095" w:rsidRDefault="007B3081" w:rsidP="007B3081">
      <w:pPr>
        <w:rPr>
          <w:rFonts w:ascii="Times New Roman" w:hAnsi="Times New Roman" w:cs="Times New Roman"/>
          <w:sz w:val="20"/>
          <w:szCs w:val="20"/>
        </w:rPr>
      </w:pPr>
    </w:p>
    <w:p w14:paraId="6E611667" w14:textId="77777777" w:rsidR="007B3081" w:rsidRPr="00925095" w:rsidRDefault="007B3081" w:rsidP="007B3081">
      <w:pPr>
        <w:rPr>
          <w:rFonts w:ascii="Times New Roman" w:hAnsi="Times New Roman" w:cs="Times New Roman"/>
          <w:sz w:val="20"/>
          <w:szCs w:val="20"/>
        </w:rPr>
      </w:pPr>
    </w:p>
    <w:p w14:paraId="6C1DF918" w14:textId="77777777" w:rsidR="007B3081" w:rsidRPr="00925095" w:rsidRDefault="007B3081" w:rsidP="007B3081">
      <w:pPr>
        <w:rPr>
          <w:rFonts w:ascii="Times New Roman" w:hAnsi="Times New Roman" w:cs="Times New Roman"/>
          <w:sz w:val="20"/>
          <w:szCs w:val="20"/>
        </w:rPr>
      </w:pPr>
    </w:p>
    <w:p w14:paraId="2E8A3212" w14:textId="6880D633" w:rsidR="007B3081" w:rsidRPr="00925095" w:rsidRDefault="007B3081" w:rsidP="007B3081">
      <w:pPr>
        <w:rPr>
          <w:rFonts w:ascii="Times New Roman" w:hAnsi="Times New Roman" w:cs="Times New Roman"/>
          <w:sz w:val="20"/>
          <w:szCs w:val="20"/>
        </w:rPr>
      </w:pPr>
    </w:p>
    <w:p w14:paraId="6CEDA7E6" w14:textId="0A7CF014" w:rsidR="007B3081" w:rsidRPr="00925095" w:rsidRDefault="007B3081" w:rsidP="007B3081">
      <w:pPr>
        <w:rPr>
          <w:rFonts w:ascii="Times New Roman" w:hAnsi="Times New Roman" w:cs="Times New Roman"/>
          <w:sz w:val="20"/>
          <w:szCs w:val="20"/>
        </w:rPr>
      </w:pPr>
    </w:p>
    <w:p w14:paraId="162415C8" w14:textId="58C4B844" w:rsidR="007B3081" w:rsidRPr="00925095" w:rsidRDefault="00D07694" w:rsidP="007B3081">
      <w:pPr>
        <w:rPr>
          <w:rFonts w:ascii="Times New Roman" w:hAnsi="Times New Roman" w:cs="Times New Roman"/>
          <w:sz w:val="20"/>
          <w:szCs w:val="20"/>
        </w:rPr>
      </w:pPr>
      <w:r w:rsidRPr="00925095">
        <w:rPr>
          <w:rFonts w:ascii="Times New Roman" w:hAnsi="Times New Roman" w:cs="Times New Roman"/>
          <w:b/>
          <w:bCs/>
          <w:sz w:val="20"/>
          <w:szCs w:val="20"/>
        </w:rPr>
        <w:t xml:space="preserve">                    A</w:t>
      </w:r>
      <w:r w:rsidR="007B3081" w:rsidRPr="00925095">
        <w:rPr>
          <w:rFonts w:ascii="Times New Roman" w:hAnsi="Times New Roman" w:cs="Times New Roman"/>
          <w:sz w:val="20"/>
          <w:szCs w:val="20"/>
        </w:rPr>
        <w:t xml:space="preserve">                                                                              </w:t>
      </w:r>
      <w:r w:rsidRPr="00925095">
        <w:rPr>
          <w:rFonts w:ascii="Times New Roman" w:hAnsi="Times New Roman" w:cs="Times New Roman"/>
          <w:sz w:val="20"/>
          <w:szCs w:val="20"/>
        </w:rPr>
        <w:t xml:space="preserve">            </w:t>
      </w:r>
      <w:r w:rsidRPr="00925095">
        <w:rPr>
          <w:rFonts w:ascii="Times New Roman" w:hAnsi="Times New Roman" w:cs="Times New Roman"/>
          <w:b/>
          <w:bCs/>
          <w:sz w:val="20"/>
          <w:szCs w:val="20"/>
        </w:rPr>
        <w:t>B</w:t>
      </w:r>
    </w:p>
    <w:p w14:paraId="3BDE43BC" w14:textId="0B6201C6" w:rsidR="007B3081" w:rsidRPr="00925095" w:rsidRDefault="00D07694" w:rsidP="007B3081">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71552" behindDoc="1" locked="0" layoutInCell="1" allowOverlap="1" wp14:anchorId="4731862F" wp14:editId="15FFE1CC">
            <wp:simplePos x="0" y="0"/>
            <wp:positionH relativeFrom="column">
              <wp:posOffset>-234315</wp:posOffset>
            </wp:positionH>
            <wp:positionV relativeFrom="paragraph">
              <wp:posOffset>213995</wp:posOffset>
            </wp:positionV>
            <wp:extent cx="3191099" cy="1995055"/>
            <wp:effectExtent l="0" t="0" r="0" b="5715"/>
            <wp:wrapNone/>
            <wp:docPr id="15572109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1099" cy="199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081" w:rsidRPr="00925095">
        <w:rPr>
          <w:rFonts w:ascii="Times New Roman" w:hAnsi="Times New Roman" w:cs="Times New Roman"/>
          <w:noProof/>
          <w:sz w:val="20"/>
          <w:szCs w:val="20"/>
        </w:rPr>
        <w:drawing>
          <wp:anchor distT="0" distB="0" distL="114300" distR="114300" simplePos="0" relativeHeight="251672576" behindDoc="1" locked="0" layoutInCell="1" allowOverlap="1" wp14:anchorId="795E3DFD" wp14:editId="56E7AD0C">
            <wp:simplePos x="0" y="0"/>
            <wp:positionH relativeFrom="column">
              <wp:posOffset>3348174</wp:posOffset>
            </wp:positionH>
            <wp:positionV relativeFrom="paragraph">
              <wp:posOffset>210053</wp:posOffset>
            </wp:positionV>
            <wp:extent cx="2548412" cy="2199720"/>
            <wp:effectExtent l="0" t="0" r="4445" b="0"/>
            <wp:wrapNone/>
            <wp:docPr id="14623156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8412" cy="219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7E2B3" w14:textId="34FA0AFF" w:rsidR="007B3081" w:rsidRPr="00925095" w:rsidRDefault="007B3081" w:rsidP="007B3081">
      <w:pPr>
        <w:rPr>
          <w:rFonts w:ascii="Times New Roman" w:hAnsi="Times New Roman" w:cs="Times New Roman"/>
          <w:sz w:val="20"/>
          <w:szCs w:val="20"/>
        </w:rPr>
      </w:pPr>
    </w:p>
    <w:p w14:paraId="5D91D6AF" w14:textId="18719E76" w:rsidR="007B3081" w:rsidRPr="00925095" w:rsidRDefault="007B3081" w:rsidP="007B3081">
      <w:pPr>
        <w:tabs>
          <w:tab w:val="left" w:pos="5367"/>
        </w:tabs>
        <w:rPr>
          <w:rFonts w:ascii="Times New Roman" w:hAnsi="Times New Roman" w:cs="Times New Roman"/>
          <w:sz w:val="20"/>
          <w:szCs w:val="20"/>
        </w:rPr>
      </w:pPr>
      <w:r w:rsidRPr="00925095">
        <w:rPr>
          <w:rFonts w:ascii="Times New Roman" w:hAnsi="Times New Roman" w:cs="Times New Roman"/>
          <w:sz w:val="20"/>
          <w:szCs w:val="20"/>
        </w:rPr>
        <w:tab/>
      </w:r>
    </w:p>
    <w:p w14:paraId="43661DAA" w14:textId="77777777" w:rsidR="007B3081" w:rsidRPr="00925095" w:rsidRDefault="007B3081" w:rsidP="007B3081">
      <w:pPr>
        <w:rPr>
          <w:rFonts w:ascii="Times New Roman" w:hAnsi="Times New Roman" w:cs="Times New Roman"/>
          <w:sz w:val="20"/>
          <w:szCs w:val="20"/>
        </w:rPr>
      </w:pPr>
    </w:p>
    <w:p w14:paraId="1BB81715" w14:textId="330EF321" w:rsidR="007B3081" w:rsidRPr="00925095" w:rsidRDefault="007B3081" w:rsidP="007B3081">
      <w:pPr>
        <w:rPr>
          <w:rFonts w:ascii="Times New Roman" w:hAnsi="Times New Roman" w:cs="Times New Roman"/>
          <w:sz w:val="20"/>
          <w:szCs w:val="20"/>
        </w:rPr>
      </w:pPr>
    </w:p>
    <w:p w14:paraId="20E0F239" w14:textId="77777777" w:rsidR="007B3081" w:rsidRPr="00925095" w:rsidRDefault="007B3081" w:rsidP="007B3081">
      <w:pPr>
        <w:rPr>
          <w:rFonts w:ascii="Times New Roman" w:hAnsi="Times New Roman" w:cs="Times New Roman"/>
          <w:sz w:val="20"/>
          <w:szCs w:val="20"/>
        </w:rPr>
      </w:pPr>
    </w:p>
    <w:p w14:paraId="0C135E72" w14:textId="6C0783B0" w:rsidR="007B3081" w:rsidRPr="00925095" w:rsidRDefault="007B3081" w:rsidP="007B3081">
      <w:pPr>
        <w:tabs>
          <w:tab w:val="left" w:pos="6583"/>
        </w:tabs>
        <w:rPr>
          <w:rFonts w:ascii="Times New Roman" w:hAnsi="Times New Roman" w:cs="Times New Roman"/>
          <w:sz w:val="20"/>
          <w:szCs w:val="20"/>
        </w:rPr>
      </w:pPr>
      <w:r w:rsidRPr="00925095">
        <w:rPr>
          <w:rFonts w:ascii="Times New Roman" w:hAnsi="Times New Roman" w:cs="Times New Roman"/>
          <w:sz w:val="20"/>
          <w:szCs w:val="20"/>
        </w:rPr>
        <w:tab/>
      </w:r>
    </w:p>
    <w:p w14:paraId="487407B6" w14:textId="23ED897D" w:rsidR="007B3081" w:rsidRPr="00925095" w:rsidRDefault="007B3081" w:rsidP="007B3081">
      <w:pPr>
        <w:rPr>
          <w:rFonts w:ascii="Times New Roman" w:hAnsi="Times New Roman" w:cs="Times New Roman"/>
          <w:sz w:val="20"/>
          <w:szCs w:val="20"/>
        </w:rPr>
      </w:pPr>
    </w:p>
    <w:p w14:paraId="305EA4CD" w14:textId="5C8D574C" w:rsidR="007B3081" w:rsidRPr="00925095" w:rsidRDefault="007B3081" w:rsidP="007B3081">
      <w:pPr>
        <w:rPr>
          <w:rFonts w:ascii="Times New Roman" w:hAnsi="Times New Roman" w:cs="Times New Roman"/>
          <w:sz w:val="20"/>
          <w:szCs w:val="20"/>
        </w:rPr>
      </w:pPr>
    </w:p>
    <w:p w14:paraId="041C9F6E" w14:textId="7C983489" w:rsidR="007B3081" w:rsidRPr="00925095" w:rsidRDefault="007B3081" w:rsidP="007B3081">
      <w:pPr>
        <w:rPr>
          <w:rFonts w:ascii="Times New Roman" w:hAnsi="Times New Roman" w:cs="Times New Roman"/>
          <w:sz w:val="20"/>
          <w:szCs w:val="20"/>
        </w:rPr>
      </w:pPr>
      <w:r w:rsidRPr="00925095">
        <w:rPr>
          <w:rFonts w:ascii="Times New Roman" w:hAnsi="Times New Roman" w:cs="Times New Roman"/>
          <w:sz w:val="20"/>
          <w:szCs w:val="20"/>
        </w:rPr>
        <w:t xml:space="preserve">         </w:t>
      </w:r>
      <w:r w:rsidR="00D07694"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C</w:t>
      </w:r>
      <w:r w:rsidRPr="00925095">
        <w:rPr>
          <w:rFonts w:ascii="Times New Roman" w:hAnsi="Times New Roman" w:cs="Times New Roman"/>
          <w:sz w:val="20"/>
          <w:szCs w:val="20"/>
        </w:rPr>
        <w:t xml:space="preserve">                                                                                     </w:t>
      </w:r>
      <w:r w:rsidR="00D07694" w:rsidRPr="00925095">
        <w:rPr>
          <w:rFonts w:ascii="Times New Roman" w:hAnsi="Times New Roman" w:cs="Times New Roman"/>
          <w:b/>
          <w:bCs/>
          <w:sz w:val="20"/>
          <w:szCs w:val="20"/>
        </w:rPr>
        <w:t>D</w:t>
      </w:r>
      <w:r w:rsidRPr="00925095">
        <w:rPr>
          <w:rFonts w:ascii="Times New Roman" w:hAnsi="Times New Roman" w:cs="Times New Roman"/>
          <w:sz w:val="20"/>
          <w:szCs w:val="20"/>
        </w:rPr>
        <w:t xml:space="preserve">     </w:t>
      </w:r>
    </w:p>
    <w:p w14:paraId="252FB16E" w14:textId="66DDE51C" w:rsidR="007B3081" w:rsidRPr="00925095" w:rsidRDefault="007B3081" w:rsidP="007B3081">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73600" behindDoc="1" locked="0" layoutInCell="1" allowOverlap="1" wp14:anchorId="3C0AB15C" wp14:editId="49609074">
            <wp:simplePos x="0" y="0"/>
            <wp:positionH relativeFrom="column">
              <wp:posOffset>938002</wp:posOffset>
            </wp:positionH>
            <wp:positionV relativeFrom="paragraph">
              <wp:posOffset>87473</wp:posOffset>
            </wp:positionV>
            <wp:extent cx="3724580" cy="2062425"/>
            <wp:effectExtent l="0" t="0" r="0" b="0"/>
            <wp:wrapNone/>
            <wp:docPr id="2612927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4580" cy="20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35AB8" w14:textId="6C9D3A99" w:rsidR="007B3081" w:rsidRPr="00925095" w:rsidRDefault="007B3081" w:rsidP="007B3081">
      <w:pPr>
        <w:rPr>
          <w:rFonts w:ascii="Times New Roman" w:hAnsi="Times New Roman" w:cs="Times New Roman"/>
          <w:sz w:val="20"/>
          <w:szCs w:val="20"/>
        </w:rPr>
      </w:pPr>
    </w:p>
    <w:p w14:paraId="59195C09" w14:textId="24ECDC0A" w:rsidR="007B3081" w:rsidRPr="00925095" w:rsidRDefault="007B3081" w:rsidP="007B3081">
      <w:pPr>
        <w:tabs>
          <w:tab w:val="left" w:pos="2543"/>
        </w:tabs>
        <w:rPr>
          <w:rFonts w:ascii="Times New Roman" w:hAnsi="Times New Roman" w:cs="Times New Roman"/>
          <w:sz w:val="20"/>
          <w:szCs w:val="20"/>
        </w:rPr>
      </w:pPr>
      <w:r w:rsidRPr="00925095">
        <w:rPr>
          <w:rFonts w:ascii="Times New Roman" w:hAnsi="Times New Roman" w:cs="Times New Roman"/>
          <w:sz w:val="20"/>
          <w:szCs w:val="20"/>
        </w:rPr>
        <w:tab/>
      </w:r>
    </w:p>
    <w:p w14:paraId="0A7EF6D0" w14:textId="77777777" w:rsidR="007B3081" w:rsidRPr="00925095" w:rsidRDefault="007B3081" w:rsidP="007B3081">
      <w:pPr>
        <w:rPr>
          <w:rFonts w:ascii="Times New Roman" w:hAnsi="Times New Roman" w:cs="Times New Roman"/>
          <w:sz w:val="20"/>
          <w:szCs w:val="20"/>
        </w:rPr>
      </w:pPr>
    </w:p>
    <w:p w14:paraId="7EB92D92" w14:textId="77777777" w:rsidR="007B3081" w:rsidRPr="00925095" w:rsidRDefault="007B3081" w:rsidP="007B3081">
      <w:pPr>
        <w:rPr>
          <w:rFonts w:ascii="Times New Roman" w:hAnsi="Times New Roman" w:cs="Times New Roman"/>
          <w:sz w:val="20"/>
          <w:szCs w:val="20"/>
        </w:rPr>
      </w:pPr>
    </w:p>
    <w:p w14:paraId="6CBC8E95" w14:textId="77777777" w:rsidR="007B3081" w:rsidRPr="00925095" w:rsidRDefault="007B3081" w:rsidP="007B3081">
      <w:pPr>
        <w:rPr>
          <w:rFonts w:ascii="Times New Roman" w:hAnsi="Times New Roman" w:cs="Times New Roman"/>
          <w:sz w:val="20"/>
          <w:szCs w:val="20"/>
        </w:rPr>
      </w:pPr>
    </w:p>
    <w:p w14:paraId="3851DE5A" w14:textId="77777777" w:rsidR="007B3081" w:rsidRPr="00925095" w:rsidRDefault="007B3081" w:rsidP="007B3081">
      <w:pPr>
        <w:rPr>
          <w:rFonts w:ascii="Times New Roman" w:hAnsi="Times New Roman" w:cs="Times New Roman"/>
          <w:sz w:val="20"/>
          <w:szCs w:val="20"/>
        </w:rPr>
      </w:pPr>
    </w:p>
    <w:p w14:paraId="29337377" w14:textId="77777777" w:rsidR="007B3081" w:rsidRPr="00925095" w:rsidRDefault="007B3081" w:rsidP="007B3081">
      <w:pPr>
        <w:rPr>
          <w:rFonts w:ascii="Times New Roman" w:hAnsi="Times New Roman" w:cs="Times New Roman"/>
          <w:sz w:val="20"/>
          <w:szCs w:val="20"/>
        </w:rPr>
      </w:pPr>
    </w:p>
    <w:p w14:paraId="25CEBE76" w14:textId="4C69FEA2" w:rsidR="007B3081" w:rsidRPr="00925095" w:rsidRDefault="007B3081" w:rsidP="00D07694">
      <w:pPr>
        <w:tabs>
          <w:tab w:val="left" w:pos="3621"/>
        </w:tabs>
        <w:rPr>
          <w:rFonts w:ascii="Times New Roman" w:hAnsi="Times New Roman" w:cs="Times New Roman"/>
          <w:b/>
          <w:bCs/>
          <w:sz w:val="20"/>
          <w:szCs w:val="20"/>
        </w:rPr>
      </w:pPr>
      <w:r w:rsidRPr="00925095">
        <w:rPr>
          <w:rFonts w:ascii="Times New Roman" w:hAnsi="Times New Roman" w:cs="Times New Roman"/>
          <w:sz w:val="20"/>
          <w:szCs w:val="20"/>
        </w:rPr>
        <w:tab/>
      </w:r>
      <w:r w:rsidR="00D07694" w:rsidRPr="00925095">
        <w:rPr>
          <w:rFonts w:ascii="Times New Roman" w:hAnsi="Times New Roman" w:cs="Times New Roman"/>
          <w:b/>
          <w:bCs/>
          <w:sz w:val="20"/>
          <w:szCs w:val="20"/>
        </w:rPr>
        <w:t>E</w:t>
      </w:r>
    </w:p>
    <w:p w14:paraId="3F79F47C" w14:textId="425ACF18" w:rsidR="007B3081" w:rsidRDefault="00D07694" w:rsidP="00D07694">
      <w:pPr>
        <w:tabs>
          <w:tab w:val="left" w:pos="3310"/>
        </w:tabs>
        <w:spacing w:line="360" w:lineRule="auto"/>
        <w:rPr>
          <w:rFonts w:ascii="Times New Roman" w:hAnsi="Times New Roman" w:cs="Times New Roman"/>
          <w:sz w:val="20"/>
          <w:szCs w:val="20"/>
        </w:rPr>
      </w:pPr>
      <w:r w:rsidRPr="00925095">
        <w:rPr>
          <w:rFonts w:ascii="Times New Roman" w:hAnsi="Times New Roman" w:cs="Times New Roman"/>
          <w:b/>
          <w:bCs/>
          <w:sz w:val="20"/>
          <w:szCs w:val="20"/>
        </w:rPr>
        <w:t>Figure 8.</w:t>
      </w:r>
      <w:r w:rsidRPr="00925095">
        <w:rPr>
          <w:rFonts w:ascii="Times New Roman" w:hAnsi="Times New Roman" w:cs="Times New Roman"/>
          <w:sz w:val="20"/>
          <w:szCs w:val="20"/>
        </w:rPr>
        <w:t xml:space="preserve"> 3D binding poses of esculetin with target proteins, showing key interaction sites: (A) 1Q5K, (B) 1YVL, (C) 4AQH, (D) 4IM2, and (E) 6THA.</w:t>
      </w:r>
    </w:p>
    <w:p w14:paraId="6F96DBFD" w14:textId="77777777" w:rsidR="00925095" w:rsidRDefault="00925095" w:rsidP="00D07694">
      <w:pPr>
        <w:tabs>
          <w:tab w:val="left" w:pos="3310"/>
        </w:tabs>
        <w:spacing w:line="360" w:lineRule="auto"/>
        <w:rPr>
          <w:rFonts w:ascii="Times New Roman" w:hAnsi="Times New Roman" w:cs="Times New Roman"/>
          <w:sz w:val="20"/>
          <w:szCs w:val="20"/>
        </w:rPr>
      </w:pPr>
    </w:p>
    <w:p w14:paraId="6D7B7E8F" w14:textId="77777777" w:rsidR="00925095" w:rsidRDefault="00925095" w:rsidP="00D07694">
      <w:pPr>
        <w:tabs>
          <w:tab w:val="left" w:pos="3310"/>
        </w:tabs>
        <w:spacing w:line="360" w:lineRule="auto"/>
        <w:rPr>
          <w:rFonts w:ascii="Times New Roman" w:hAnsi="Times New Roman" w:cs="Times New Roman"/>
          <w:sz w:val="20"/>
          <w:szCs w:val="20"/>
        </w:rPr>
      </w:pPr>
    </w:p>
    <w:p w14:paraId="33BCD255" w14:textId="77777777" w:rsidR="00925095" w:rsidRPr="00925095" w:rsidRDefault="00925095" w:rsidP="00D07694">
      <w:pPr>
        <w:tabs>
          <w:tab w:val="left" w:pos="3310"/>
        </w:tabs>
        <w:spacing w:line="360" w:lineRule="auto"/>
        <w:rPr>
          <w:rFonts w:ascii="Times New Roman" w:hAnsi="Times New Roman" w:cs="Times New Roman"/>
          <w:sz w:val="20"/>
          <w:szCs w:val="20"/>
        </w:rPr>
      </w:pPr>
    </w:p>
    <w:p w14:paraId="093D3DE3" w14:textId="4A2AD582" w:rsidR="007B3081" w:rsidRPr="00925095" w:rsidRDefault="007B3081" w:rsidP="007B3081">
      <w:pPr>
        <w:tabs>
          <w:tab w:val="left" w:pos="3310"/>
        </w:tabs>
        <w:jc w:val="center"/>
        <w:rPr>
          <w:rFonts w:ascii="Times New Roman" w:hAnsi="Times New Roman" w:cs="Times New Roman"/>
          <w:sz w:val="20"/>
          <w:szCs w:val="20"/>
        </w:rPr>
      </w:pPr>
      <w:r w:rsidRPr="00925095">
        <w:rPr>
          <w:rFonts w:ascii="Times New Roman" w:hAnsi="Times New Roman" w:cs="Times New Roman"/>
          <w:b/>
          <w:bCs/>
          <w:sz w:val="20"/>
          <w:szCs w:val="20"/>
        </w:rPr>
        <w:lastRenderedPageBreak/>
        <w:t>Table 2</w:t>
      </w:r>
      <w:r w:rsidRPr="00925095">
        <w:rPr>
          <w:rFonts w:ascii="Times New Roman" w:hAnsi="Times New Roman" w:cs="Times New Roman"/>
          <w:sz w:val="20"/>
          <w:szCs w:val="20"/>
        </w:rPr>
        <w:t>: Binding Affinities of Ligands with Target Proteins</w:t>
      </w:r>
    </w:p>
    <w:tbl>
      <w:tblPr>
        <w:tblStyle w:val="TableGrid"/>
        <w:tblW w:w="0" w:type="auto"/>
        <w:tblLook w:val="04A0" w:firstRow="1" w:lastRow="0" w:firstColumn="1" w:lastColumn="0" w:noHBand="0" w:noVBand="1"/>
      </w:tblPr>
      <w:tblGrid>
        <w:gridCol w:w="1128"/>
        <w:gridCol w:w="889"/>
        <w:gridCol w:w="4340"/>
        <w:gridCol w:w="2358"/>
      </w:tblGrid>
      <w:tr w:rsidR="007B3081" w:rsidRPr="00925095" w14:paraId="087DD8B6" w14:textId="77777777" w:rsidTr="007B3081">
        <w:tc>
          <w:tcPr>
            <w:tcW w:w="0" w:type="auto"/>
            <w:vAlign w:val="center"/>
            <w:hideMark/>
          </w:tcPr>
          <w:p w14:paraId="7BA64478"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r w:rsidRPr="00925095">
              <w:rPr>
                <w:rFonts w:ascii="Times New Roman" w:hAnsi="Times New Roman" w:cs="Times New Roman"/>
                <w:b/>
                <w:bCs/>
                <w:sz w:val="20"/>
                <w:szCs w:val="20"/>
              </w:rPr>
              <w:t>Gene</w:t>
            </w:r>
          </w:p>
        </w:tc>
        <w:tc>
          <w:tcPr>
            <w:tcW w:w="0" w:type="auto"/>
            <w:vAlign w:val="center"/>
            <w:hideMark/>
          </w:tcPr>
          <w:p w14:paraId="349DB39E"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r w:rsidRPr="00925095">
              <w:rPr>
                <w:rFonts w:ascii="Times New Roman" w:hAnsi="Times New Roman" w:cs="Times New Roman"/>
                <w:b/>
                <w:bCs/>
                <w:sz w:val="20"/>
                <w:szCs w:val="20"/>
              </w:rPr>
              <w:t>PDB ID</w:t>
            </w:r>
          </w:p>
        </w:tc>
        <w:tc>
          <w:tcPr>
            <w:tcW w:w="4340" w:type="dxa"/>
            <w:vAlign w:val="center"/>
            <w:hideMark/>
          </w:tcPr>
          <w:p w14:paraId="21009056"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r w:rsidRPr="00925095">
              <w:rPr>
                <w:rFonts w:ascii="Times New Roman" w:hAnsi="Times New Roman" w:cs="Times New Roman"/>
                <w:b/>
                <w:bCs/>
                <w:sz w:val="20"/>
                <w:szCs w:val="20"/>
              </w:rPr>
              <w:t>Key Interacting Amino Acids</w:t>
            </w:r>
          </w:p>
        </w:tc>
        <w:tc>
          <w:tcPr>
            <w:tcW w:w="2358" w:type="dxa"/>
            <w:vAlign w:val="center"/>
            <w:hideMark/>
          </w:tcPr>
          <w:p w14:paraId="4C252DF3"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r w:rsidRPr="00925095">
              <w:rPr>
                <w:rFonts w:ascii="Times New Roman" w:hAnsi="Times New Roman" w:cs="Times New Roman"/>
                <w:b/>
                <w:bCs/>
                <w:sz w:val="20"/>
                <w:szCs w:val="20"/>
              </w:rPr>
              <w:t>Binding Affinity (kcal/mol)</w:t>
            </w:r>
          </w:p>
          <w:p w14:paraId="2DAE0836"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p>
        </w:tc>
      </w:tr>
      <w:tr w:rsidR="007B3081" w:rsidRPr="00925095" w14:paraId="54179541" w14:textId="77777777" w:rsidTr="007B3081">
        <w:tc>
          <w:tcPr>
            <w:tcW w:w="0" w:type="auto"/>
            <w:vAlign w:val="center"/>
            <w:hideMark/>
          </w:tcPr>
          <w:p w14:paraId="5EEF7078"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SERPINE1</w:t>
            </w:r>
          </w:p>
        </w:tc>
        <w:tc>
          <w:tcPr>
            <w:tcW w:w="0" w:type="auto"/>
            <w:vAlign w:val="center"/>
            <w:hideMark/>
          </w:tcPr>
          <w:p w14:paraId="22BA87D5"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4AQH</w:t>
            </w:r>
          </w:p>
        </w:tc>
        <w:tc>
          <w:tcPr>
            <w:tcW w:w="4340" w:type="dxa"/>
            <w:vAlign w:val="center"/>
            <w:hideMark/>
          </w:tcPr>
          <w:p w14:paraId="68F9C0DB"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Tyr79, Glu84, His185, Arg118, Lys122</w:t>
            </w:r>
          </w:p>
        </w:tc>
        <w:tc>
          <w:tcPr>
            <w:tcW w:w="2358" w:type="dxa"/>
            <w:vAlign w:val="center"/>
            <w:hideMark/>
          </w:tcPr>
          <w:p w14:paraId="7CDE777E" w14:textId="77777777" w:rsidR="007B3081" w:rsidRPr="00925095" w:rsidRDefault="007B3081" w:rsidP="007B3081">
            <w:pPr>
              <w:tabs>
                <w:tab w:val="left" w:pos="3310"/>
              </w:tabs>
              <w:spacing w:after="160" w:line="259" w:lineRule="auto"/>
              <w:jc w:val="center"/>
              <w:rPr>
                <w:rFonts w:ascii="Times New Roman" w:hAnsi="Times New Roman" w:cs="Times New Roman"/>
                <w:b/>
                <w:bCs/>
                <w:sz w:val="20"/>
                <w:szCs w:val="20"/>
              </w:rPr>
            </w:pPr>
            <w:r w:rsidRPr="00925095">
              <w:rPr>
                <w:rFonts w:ascii="Times New Roman" w:hAnsi="Times New Roman" w:cs="Times New Roman"/>
                <w:b/>
                <w:bCs/>
                <w:sz w:val="20"/>
                <w:szCs w:val="20"/>
              </w:rPr>
              <w:t>-7.50</w:t>
            </w:r>
          </w:p>
          <w:p w14:paraId="50688087"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p>
        </w:tc>
      </w:tr>
      <w:tr w:rsidR="007B3081" w:rsidRPr="00925095" w14:paraId="0624F0A3" w14:textId="77777777" w:rsidTr="007B3081">
        <w:tc>
          <w:tcPr>
            <w:tcW w:w="0" w:type="auto"/>
            <w:vAlign w:val="center"/>
            <w:hideMark/>
          </w:tcPr>
          <w:p w14:paraId="27C5D321"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GSK3B</w:t>
            </w:r>
          </w:p>
        </w:tc>
        <w:tc>
          <w:tcPr>
            <w:tcW w:w="0" w:type="auto"/>
            <w:vAlign w:val="center"/>
            <w:hideMark/>
          </w:tcPr>
          <w:p w14:paraId="6B415DC5"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1Q5K</w:t>
            </w:r>
          </w:p>
        </w:tc>
        <w:tc>
          <w:tcPr>
            <w:tcW w:w="4340" w:type="dxa"/>
            <w:vAlign w:val="center"/>
            <w:hideMark/>
          </w:tcPr>
          <w:p w14:paraId="45B74507"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Val135, Asp200, Lys85, Tyr134, Asp133</w:t>
            </w:r>
          </w:p>
        </w:tc>
        <w:tc>
          <w:tcPr>
            <w:tcW w:w="2358" w:type="dxa"/>
            <w:vAlign w:val="center"/>
            <w:hideMark/>
          </w:tcPr>
          <w:p w14:paraId="43CD27E5"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-5.00</w:t>
            </w:r>
          </w:p>
          <w:p w14:paraId="22DFFE21"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p>
        </w:tc>
      </w:tr>
      <w:tr w:rsidR="007B3081" w:rsidRPr="00925095" w14:paraId="6FE75EB7" w14:textId="77777777" w:rsidTr="007B3081">
        <w:tc>
          <w:tcPr>
            <w:tcW w:w="0" w:type="auto"/>
            <w:vAlign w:val="center"/>
            <w:hideMark/>
          </w:tcPr>
          <w:p w14:paraId="52305CFA"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STAT1</w:t>
            </w:r>
          </w:p>
        </w:tc>
        <w:tc>
          <w:tcPr>
            <w:tcW w:w="0" w:type="auto"/>
            <w:vAlign w:val="center"/>
            <w:hideMark/>
          </w:tcPr>
          <w:p w14:paraId="246BD2C4"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1YVL</w:t>
            </w:r>
          </w:p>
        </w:tc>
        <w:tc>
          <w:tcPr>
            <w:tcW w:w="4340" w:type="dxa"/>
            <w:vAlign w:val="center"/>
            <w:hideMark/>
          </w:tcPr>
          <w:p w14:paraId="57816AEA"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Lys567, Glu559, Arg602, Ser603</w:t>
            </w:r>
          </w:p>
        </w:tc>
        <w:tc>
          <w:tcPr>
            <w:tcW w:w="2358" w:type="dxa"/>
            <w:vAlign w:val="center"/>
            <w:hideMark/>
          </w:tcPr>
          <w:p w14:paraId="44661A1E"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&lt; -3.00</w:t>
            </w:r>
          </w:p>
          <w:p w14:paraId="1AEF7850"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p>
        </w:tc>
      </w:tr>
      <w:tr w:rsidR="007B3081" w:rsidRPr="00925095" w14:paraId="64617179" w14:textId="77777777" w:rsidTr="007B3081">
        <w:tc>
          <w:tcPr>
            <w:tcW w:w="0" w:type="auto"/>
            <w:vAlign w:val="center"/>
            <w:hideMark/>
          </w:tcPr>
          <w:p w14:paraId="1A298187"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IRAK1</w:t>
            </w:r>
          </w:p>
        </w:tc>
        <w:tc>
          <w:tcPr>
            <w:tcW w:w="0" w:type="auto"/>
            <w:vAlign w:val="center"/>
            <w:hideMark/>
          </w:tcPr>
          <w:p w14:paraId="455AD303"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4IM2</w:t>
            </w:r>
          </w:p>
        </w:tc>
        <w:tc>
          <w:tcPr>
            <w:tcW w:w="4340" w:type="dxa"/>
            <w:vAlign w:val="center"/>
            <w:hideMark/>
          </w:tcPr>
          <w:p w14:paraId="485DF20E"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Lys239, Asp340, Glu341, Arg342</w:t>
            </w:r>
          </w:p>
        </w:tc>
        <w:tc>
          <w:tcPr>
            <w:tcW w:w="2358" w:type="dxa"/>
            <w:vAlign w:val="center"/>
            <w:hideMark/>
          </w:tcPr>
          <w:p w14:paraId="7C3C24D9"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&lt; -3.00</w:t>
            </w:r>
          </w:p>
          <w:p w14:paraId="571BE65D"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p>
        </w:tc>
      </w:tr>
      <w:tr w:rsidR="007B3081" w:rsidRPr="00925095" w14:paraId="0863BEDC" w14:textId="77777777" w:rsidTr="007B3081">
        <w:tc>
          <w:tcPr>
            <w:tcW w:w="0" w:type="auto"/>
            <w:vAlign w:val="center"/>
            <w:hideMark/>
          </w:tcPr>
          <w:p w14:paraId="094B1A2F"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CA12</w:t>
            </w:r>
          </w:p>
        </w:tc>
        <w:tc>
          <w:tcPr>
            <w:tcW w:w="0" w:type="auto"/>
            <w:vAlign w:val="center"/>
            <w:hideMark/>
          </w:tcPr>
          <w:p w14:paraId="21382DC8"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6THA</w:t>
            </w:r>
          </w:p>
        </w:tc>
        <w:tc>
          <w:tcPr>
            <w:tcW w:w="4340" w:type="dxa"/>
            <w:vAlign w:val="center"/>
            <w:hideMark/>
          </w:tcPr>
          <w:p w14:paraId="034107AF"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His64, Glu106, Thr199, His200</w:t>
            </w:r>
          </w:p>
        </w:tc>
        <w:tc>
          <w:tcPr>
            <w:tcW w:w="2358" w:type="dxa"/>
            <w:vAlign w:val="center"/>
            <w:hideMark/>
          </w:tcPr>
          <w:p w14:paraId="0C15E984"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r w:rsidRPr="00925095">
              <w:rPr>
                <w:rFonts w:ascii="Times New Roman" w:hAnsi="Times New Roman" w:cs="Times New Roman"/>
                <w:sz w:val="20"/>
                <w:szCs w:val="20"/>
              </w:rPr>
              <w:t>&lt; -3.00</w:t>
            </w:r>
          </w:p>
          <w:p w14:paraId="70D076A0" w14:textId="77777777" w:rsidR="007B3081" w:rsidRPr="00925095" w:rsidRDefault="007B3081" w:rsidP="007B3081">
            <w:pPr>
              <w:tabs>
                <w:tab w:val="left" w:pos="3310"/>
              </w:tabs>
              <w:spacing w:after="160" w:line="259" w:lineRule="auto"/>
              <w:jc w:val="center"/>
              <w:rPr>
                <w:rFonts w:ascii="Times New Roman" w:hAnsi="Times New Roman" w:cs="Times New Roman"/>
                <w:sz w:val="20"/>
                <w:szCs w:val="20"/>
              </w:rPr>
            </w:pPr>
          </w:p>
        </w:tc>
      </w:tr>
    </w:tbl>
    <w:p w14:paraId="1458B1ED" w14:textId="77777777" w:rsidR="00334A85" w:rsidRPr="00925095" w:rsidRDefault="00334A85" w:rsidP="00334A85">
      <w:pPr>
        <w:rPr>
          <w:rFonts w:ascii="Times New Roman" w:hAnsi="Times New Roman" w:cs="Times New Roman"/>
          <w:sz w:val="20"/>
          <w:szCs w:val="20"/>
        </w:rPr>
      </w:pPr>
    </w:p>
    <w:p w14:paraId="17E77461" w14:textId="77777777"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 xml:space="preserve"> 3.3 Molecular Dynamic </w:t>
      </w:r>
    </w:p>
    <w:p w14:paraId="6FB2F601" w14:textId="6141D618"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 xml:space="preserve">3.3.1 Protein and ligand RMSD </w:t>
      </w:r>
    </w:p>
    <w:p w14:paraId="1D62412D" w14:textId="0B9DCE70" w:rsidR="00334A85" w:rsidRPr="0092509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RMSD analysis over the 100 ns trajectory revealed that the protein backbone stabilized after approximately 20 ns, with fluctuations confined within ~2.0 Å for the remainder of the simulation. This plateau in RMSD is a hallmark of structural convergence, suggesting that the protein maintained its global fold without significant conformational drift. The ligand RMSD (</w:t>
      </w:r>
      <w:proofErr w:type="spellStart"/>
      <w:r w:rsidRPr="00925095">
        <w:rPr>
          <w:rFonts w:ascii="Times New Roman" w:hAnsi="Times New Roman" w:cs="Times New Roman"/>
          <w:sz w:val="20"/>
          <w:szCs w:val="20"/>
        </w:rPr>
        <w:t>Lig</w:t>
      </w:r>
      <w:proofErr w:type="spellEnd"/>
      <w:r w:rsidRPr="00925095">
        <w:rPr>
          <w:rFonts w:ascii="Times New Roman" w:hAnsi="Times New Roman" w:cs="Times New Roman"/>
          <w:sz w:val="20"/>
          <w:szCs w:val="20"/>
        </w:rPr>
        <w:t xml:space="preserve"> fit Prot), calculated after superimposing the complex on the protein backbone, also exhibited remarkable stability, remaining below ~2.5 Å for the majority of the simulation. Such low RMSD values for the ligand indicate that esculetin retained its binding orientation and did not undergo significant translational or rotational displacement from the initial docked pose as shown in </w:t>
      </w:r>
      <w:r w:rsidRPr="00925095">
        <w:rPr>
          <w:rFonts w:ascii="Times New Roman" w:hAnsi="Times New Roman" w:cs="Times New Roman"/>
          <w:b/>
          <w:bCs/>
          <w:sz w:val="20"/>
          <w:szCs w:val="20"/>
        </w:rPr>
        <w:t>(Fig.9)</w:t>
      </w:r>
      <w:r w:rsidRPr="00925095">
        <w:rPr>
          <w:rFonts w:ascii="Times New Roman" w:hAnsi="Times New Roman" w:cs="Times New Roman"/>
          <w:sz w:val="20"/>
          <w:szCs w:val="20"/>
        </w:rPr>
        <w:t>. These findings align with the high docking affinity observed for SERPINE1, reinforcing the notion that esculetin forms a robust and persistent complex under physiological conditions. Stable RMSD values for both protein and ligand suggest that the system was well-equilibrated, thereby validating subsequent dynamic interaction analyses.</w:t>
      </w:r>
    </w:p>
    <w:p w14:paraId="7229C388" w14:textId="2BC50F1B"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3.3.2 Protein RMSF</w:t>
      </w:r>
    </w:p>
    <w:p w14:paraId="5FF2A46A" w14:textId="2DD140B9" w:rsidR="00334A8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The per-residue RMSF profile highlighted localized flexibility within the protein, with the highest fluctuations (&gt;2 Å) observed at the N-terminal and C-terminal regions, consistent with their inherent structural disorder and solvent exposure. Conversely, residues forming the core β-sheet scaffold and α-helices exhibited minimal fluctuation (&lt;1.5 Å), indicative of a rigid, well-packed tertiary structure. Notably, residues constituting the esculetin-binding site displayed low mobility throughout the trajectory, confirming a stable microenvironment around the ligand as shown in </w:t>
      </w:r>
      <w:r w:rsidRPr="00925095">
        <w:rPr>
          <w:rFonts w:ascii="Times New Roman" w:hAnsi="Times New Roman" w:cs="Times New Roman"/>
          <w:b/>
          <w:bCs/>
          <w:sz w:val="20"/>
          <w:szCs w:val="20"/>
        </w:rPr>
        <w:t>(Fig.10)</w:t>
      </w:r>
      <w:r w:rsidRPr="00925095">
        <w:rPr>
          <w:rFonts w:ascii="Times New Roman" w:hAnsi="Times New Roman" w:cs="Times New Roman"/>
          <w:sz w:val="20"/>
          <w:szCs w:val="20"/>
        </w:rPr>
        <w:t>. This rigidity is essential for preserving key intermolecular contacts over time, minimizing the entropic penalty for binding. The RMSF pattern also mirrors the conserved secondary structure arrangement, suggesting that ligand binding did not induce destabilizing local flexibility, which is often observed in weaker or transient complexes.</w:t>
      </w:r>
    </w:p>
    <w:p w14:paraId="0DBD35F2" w14:textId="77777777" w:rsidR="00925095" w:rsidRDefault="00925095" w:rsidP="00334A85">
      <w:pPr>
        <w:spacing w:line="360" w:lineRule="auto"/>
        <w:jc w:val="both"/>
        <w:rPr>
          <w:rFonts w:ascii="Times New Roman" w:hAnsi="Times New Roman" w:cs="Times New Roman"/>
          <w:sz w:val="20"/>
          <w:szCs w:val="20"/>
        </w:rPr>
      </w:pPr>
    </w:p>
    <w:p w14:paraId="45DD3EE3" w14:textId="77777777" w:rsidR="00925095" w:rsidRDefault="00925095" w:rsidP="00334A85">
      <w:pPr>
        <w:spacing w:line="360" w:lineRule="auto"/>
        <w:jc w:val="both"/>
        <w:rPr>
          <w:rFonts w:ascii="Times New Roman" w:hAnsi="Times New Roman" w:cs="Times New Roman"/>
          <w:sz w:val="20"/>
          <w:szCs w:val="20"/>
        </w:rPr>
      </w:pPr>
    </w:p>
    <w:p w14:paraId="6404B0B4" w14:textId="77777777" w:rsidR="00925095" w:rsidRDefault="00925095" w:rsidP="00334A85">
      <w:pPr>
        <w:spacing w:line="360" w:lineRule="auto"/>
        <w:jc w:val="both"/>
        <w:rPr>
          <w:rFonts w:ascii="Times New Roman" w:hAnsi="Times New Roman" w:cs="Times New Roman"/>
          <w:sz w:val="20"/>
          <w:szCs w:val="20"/>
        </w:rPr>
      </w:pPr>
    </w:p>
    <w:p w14:paraId="32D8F970" w14:textId="77777777" w:rsidR="00925095" w:rsidRPr="00925095" w:rsidRDefault="00925095" w:rsidP="00334A85">
      <w:pPr>
        <w:spacing w:line="360" w:lineRule="auto"/>
        <w:jc w:val="both"/>
        <w:rPr>
          <w:rFonts w:ascii="Times New Roman" w:hAnsi="Times New Roman" w:cs="Times New Roman"/>
          <w:sz w:val="20"/>
          <w:szCs w:val="20"/>
        </w:rPr>
      </w:pPr>
    </w:p>
    <w:p w14:paraId="752AFC74" w14:textId="5AEE83B2" w:rsidR="00334A85" w:rsidRPr="00925095" w:rsidRDefault="001B7D85" w:rsidP="00334A8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74624" behindDoc="1" locked="0" layoutInCell="1" allowOverlap="1" wp14:anchorId="0B3F394E" wp14:editId="38E7C7F8">
            <wp:simplePos x="0" y="0"/>
            <wp:positionH relativeFrom="column">
              <wp:posOffset>0</wp:posOffset>
            </wp:positionH>
            <wp:positionV relativeFrom="paragraph">
              <wp:posOffset>-635</wp:posOffset>
            </wp:positionV>
            <wp:extent cx="5731510" cy="3388995"/>
            <wp:effectExtent l="0" t="0" r="2540" b="1905"/>
            <wp:wrapNone/>
            <wp:docPr id="445675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75115"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3388995"/>
                    </a:xfrm>
                    <a:prstGeom prst="rect">
                      <a:avLst/>
                    </a:prstGeom>
                  </pic:spPr>
                </pic:pic>
              </a:graphicData>
            </a:graphic>
          </wp:anchor>
        </w:drawing>
      </w:r>
    </w:p>
    <w:p w14:paraId="37D46832" w14:textId="77777777" w:rsidR="00334A85" w:rsidRPr="00925095" w:rsidRDefault="00334A85" w:rsidP="00334A85">
      <w:pPr>
        <w:spacing w:line="360" w:lineRule="auto"/>
        <w:jc w:val="both"/>
        <w:rPr>
          <w:rFonts w:ascii="Times New Roman" w:hAnsi="Times New Roman" w:cs="Times New Roman"/>
          <w:sz w:val="20"/>
          <w:szCs w:val="20"/>
        </w:rPr>
      </w:pPr>
    </w:p>
    <w:p w14:paraId="36A9A58B" w14:textId="77777777" w:rsidR="00334A85" w:rsidRPr="00925095" w:rsidRDefault="00334A85" w:rsidP="00334A85">
      <w:pPr>
        <w:spacing w:line="360" w:lineRule="auto"/>
        <w:jc w:val="both"/>
        <w:rPr>
          <w:rFonts w:ascii="Times New Roman" w:hAnsi="Times New Roman" w:cs="Times New Roman"/>
          <w:sz w:val="20"/>
          <w:szCs w:val="20"/>
        </w:rPr>
      </w:pPr>
    </w:p>
    <w:p w14:paraId="3908709E" w14:textId="77777777" w:rsidR="00334A85" w:rsidRPr="00925095" w:rsidRDefault="00334A85" w:rsidP="00334A85">
      <w:pPr>
        <w:spacing w:line="360" w:lineRule="auto"/>
        <w:jc w:val="both"/>
        <w:rPr>
          <w:rFonts w:ascii="Times New Roman" w:hAnsi="Times New Roman" w:cs="Times New Roman"/>
          <w:sz w:val="20"/>
          <w:szCs w:val="20"/>
        </w:rPr>
      </w:pPr>
    </w:p>
    <w:p w14:paraId="72DDB18C" w14:textId="77777777" w:rsidR="00334A85" w:rsidRPr="00925095" w:rsidRDefault="00334A85" w:rsidP="00334A85">
      <w:pPr>
        <w:spacing w:line="360" w:lineRule="auto"/>
        <w:jc w:val="both"/>
        <w:rPr>
          <w:rFonts w:ascii="Times New Roman" w:hAnsi="Times New Roman" w:cs="Times New Roman"/>
          <w:sz w:val="20"/>
          <w:szCs w:val="20"/>
        </w:rPr>
      </w:pPr>
    </w:p>
    <w:p w14:paraId="6D5AB47D" w14:textId="77777777" w:rsidR="00334A85" w:rsidRPr="00925095" w:rsidRDefault="00334A85" w:rsidP="00334A85">
      <w:pPr>
        <w:spacing w:line="360" w:lineRule="auto"/>
        <w:jc w:val="both"/>
        <w:rPr>
          <w:rFonts w:ascii="Times New Roman" w:hAnsi="Times New Roman" w:cs="Times New Roman"/>
          <w:sz w:val="20"/>
          <w:szCs w:val="20"/>
        </w:rPr>
      </w:pPr>
    </w:p>
    <w:p w14:paraId="49B6C54C" w14:textId="77777777" w:rsidR="00334A85" w:rsidRPr="00925095" w:rsidRDefault="00334A85" w:rsidP="00334A85">
      <w:pPr>
        <w:spacing w:line="360" w:lineRule="auto"/>
        <w:jc w:val="both"/>
        <w:rPr>
          <w:rFonts w:ascii="Times New Roman" w:hAnsi="Times New Roman" w:cs="Times New Roman"/>
          <w:sz w:val="20"/>
          <w:szCs w:val="20"/>
        </w:rPr>
      </w:pPr>
    </w:p>
    <w:p w14:paraId="23F39AFA" w14:textId="77777777" w:rsidR="001B7D85" w:rsidRPr="00925095" w:rsidRDefault="001B7D85" w:rsidP="00334A85">
      <w:pPr>
        <w:spacing w:line="360" w:lineRule="auto"/>
        <w:jc w:val="both"/>
        <w:rPr>
          <w:rFonts w:ascii="Times New Roman" w:hAnsi="Times New Roman" w:cs="Times New Roman"/>
          <w:b/>
          <w:bCs/>
          <w:sz w:val="20"/>
          <w:szCs w:val="20"/>
        </w:rPr>
      </w:pPr>
    </w:p>
    <w:p w14:paraId="68B133B3" w14:textId="77777777" w:rsidR="001B7D85" w:rsidRPr="00925095" w:rsidRDefault="001B7D85" w:rsidP="00334A85">
      <w:pPr>
        <w:spacing w:line="360" w:lineRule="auto"/>
        <w:jc w:val="both"/>
        <w:rPr>
          <w:rFonts w:ascii="Times New Roman" w:hAnsi="Times New Roman" w:cs="Times New Roman"/>
          <w:b/>
          <w:bCs/>
          <w:sz w:val="20"/>
          <w:szCs w:val="20"/>
        </w:rPr>
      </w:pPr>
    </w:p>
    <w:p w14:paraId="7618DCD2" w14:textId="77777777" w:rsidR="00213578" w:rsidRPr="00925095" w:rsidRDefault="00213578" w:rsidP="00334A85">
      <w:pPr>
        <w:spacing w:line="360" w:lineRule="auto"/>
        <w:jc w:val="both"/>
        <w:rPr>
          <w:rFonts w:ascii="Times New Roman" w:hAnsi="Times New Roman" w:cs="Times New Roman"/>
          <w:b/>
          <w:bCs/>
          <w:sz w:val="20"/>
          <w:szCs w:val="20"/>
        </w:rPr>
      </w:pPr>
    </w:p>
    <w:p w14:paraId="1163487D" w14:textId="738FFE3A" w:rsidR="001B7D85" w:rsidRPr="00925095" w:rsidRDefault="001B7D85" w:rsidP="00334A85">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9</w:t>
      </w:r>
      <w:r w:rsidRPr="00925095">
        <w:rPr>
          <w:rFonts w:ascii="Times New Roman" w:hAnsi="Times New Roman" w:cs="Times New Roman"/>
          <w:sz w:val="20"/>
          <w:szCs w:val="20"/>
        </w:rPr>
        <w:t>: Time evolution of root mean square deviation (RMSD) for the protein backbone (left Y-axis, blue) and esculetin ligand (right Y-axis, red) over the 100 ns NPT simulation at 310 K. Protein RMSD stabilized after ~20 ns with fluctuations within 2 Å, indicating conformational stability. Ligand RMSD (</w:t>
      </w:r>
      <w:proofErr w:type="spellStart"/>
      <w:r w:rsidRPr="00925095">
        <w:rPr>
          <w:rFonts w:ascii="Times New Roman" w:hAnsi="Times New Roman" w:cs="Times New Roman"/>
          <w:sz w:val="20"/>
          <w:szCs w:val="20"/>
        </w:rPr>
        <w:t>Lig</w:t>
      </w:r>
      <w:proofErr w:type="spellEnd"/>
      <w:r w:rsidRPr="00925095">
        <w:rPr>
          <w:rFonts w:ascii="Times New Roman" w:hAnsi="Times New Roman" w:cs="Times New Roman"/>
          <w:sz w:val="20"/>
          <w:szCs w:val="20"/>
        </w:rPr>
        <w:t xml:space="preserve"> fit Prot) remained below 2.5 Å, confirming retention of the ligand within the binding pocket throughout the simulation.</w:t>
      </w:r>
    </w:p>
    <w:p w14:paraId="7A9A5BF5" w14:textId="24635291"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3.3.3 Secondary structure element (SSE) analysis</w:t>
      </w:r>
    </w:p>
    <w:p w14:paraId="37FF5A10" w14:textId="5A2EE5BD" w:rsidR="00925095" w:rsidRPr="0092509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The SSE profile remained highly conserved over the course of the 100 ns simulation, with α-helices and β-strands comprising approximately 20.38% and 31.34% of the protein structure, respectively. The preservation of SSE content indicates that esculetin binding does not perturb the global fold of the protein. This is particularly important for targets like SERPINE1, where structural integrity of β-strand-rich domains is critical for function and inhibitor binding. The time-resolved SSE map confirmed that the core structural elements adjacent to the ligand-binding cleft remained stable, further supporting the RMSD and RMSF observations. This stability suggests that esculetin binding reinforces rather than destabilizes the native protein architecture, a desirable trait for selective inhibition as shown in </w:t>
      </w:r>
      <w:r w:rsidRPr="00925095">
        <w:rPr>
          <w:rFonts w:ascii="Times New Roman" w:hAnsi="Times New Roman" w:cs="Times New Roman"/>
          <w:b/>
          <w:bCs/>
          <w:sz w:val="20"/>
          <w:szCs w:val="20"/>
        </w:rPr>
        <w:t>(Fig.11)</w:t>
      </w:r>
      <w:r w:rsidRPr="00925095">
        <w:rPr>
          <w:rFonts w:ascii="Times New Roman" w:hAnsi="Times New Roman" w:cs="Times New Roman"/>
          <w:sz w:val="20"/>
          <w:szCs w:val="20"/>
        </w:rPr>
        <w:t>.</w:t>
      </w:r>
    </w:p>
    <w:p w14:paraId="2E88C4A4" w14:textId="7640A3F1"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3.3.4 Ligand RMSF</w:t>
      </w:r>
    </w:p>
    <w:p w14:paraId="4FEC8671" w14:textId="0A12D543" w:rsidR="00334A8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Atom-wise RMSF analysis of esculetin revealed that the catechol moiety exhibited the lowest atomic fluctuations (&lt;1.2 Å), reflecting its deep insertion and strong anchoring within the protein’s hydrogen bonding network. The coumarin ring also maintained low mobility, consistent with persistent π–π stacking interactions observed in docking. In contrast, peripheral atoms exposed to solvent displayed slightly higher RMSF values (~1.5–2 Å), likely due to increased rotational freedom and interaction with surrounding water molecules. The asymmetry in flexibility across the ligand indicates a stable pharmacophoric core, with mobility restricted to non-critical solvent-facing substituents as shown in </w:t>
      </w:r>
      <w:r w:rsidRPr="00925095">
        <w:rPr>
          <w:rFonts w:ascii="Times New Roman" w:hAnsi="Times New Roman" w:cs="Times New Roman"/>
          <w:b/>
          <w:bCs/>
          <w:sz w:val="20"/>
          <w:szCs w:val="20"/>
        </w:rPr>
        <w:t>(Fig.12)</w:t>
      </w:r>
      <w:r w:rsidRPr="00925095">
        <w:rPr>
          <w:rFonts w:ascii="Times New Roman" w:hAnsi="Times New Roman" w:cs="Times New Roman"/>
          <w:sz w:val="20"/>
          <w:szCs w:val="20"/>
        </w:rPr>
        <w:t>. This dynamic profile complements the torsional stability analysis, supporting the idea that esculetin adopts a low-strain bound conformation.</w:t>
      </w:r>
    </w:p>
    <w:p w14:paraId="5BD20399" w14:textId="34AA6C12" w:rsidR="00925095" w:rsidRDefault="00925095" w:rsidP="00334A85">
      <w:pPr>
        <w:spacing w:line="360" w:lineRule="auto"/>
        <w:jc w:val="both"/>
        <w:rPr>
          <w:rFonts w:ascii="Times New Roman" w:hAnsi="Times New Roman" w:cs="Times New Roman"/>
          <w:sz w:val="20"/>
          <w:szCs w:val="20"/>
        </w:rPr>
      </w:pPr>
    </w:p>
    <w:p w14:paraId="2AFAA1CB" w14:textId="0F8C1C59" w:rsidR="00925095" w:rsidRDefault="00925095" w:rsidP="00334A8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75648" behindDoc="1" locked="0" layoutInCell="1" allowOverlap="1" wp14:anchorId="70D6518E" wp14:editId="0517C008">
            <wp:simplePos x="0" y="0"/>
            <wp:positionH relativeFrom="column">
              <wp:posOffset>-164789</wp:posOffset>
            </wp:positionH>
            <wp:positionV relativeFrom="paragraph">
              <wp:posOffset>-477988</wp:posOffset>
            </wp:positionV>
            <wp:extent cx="5731510" cy="3305175"/>
            <wp:effectExtent l="0" t="0" r="2540" b="9525"/>
            <wp:wrapNone/>
            <wp:docPr id="22515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52630"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3305175"/>
                    </a:xfrm>
                    <a:prstGeom prst="rect">
                      <a:avLst/>
                    </a:prstGeom>
                  </pic:spPr>
                </pic:pic>
              </a:graphicData>
            </a:graphic>
          </wp:anchor>
        </w:drawing>
      </w:r>
    </w:p>
    <w:p w14:paraId="47E7DDE7" w14:textId="77777777" w:rsidR="00925095" w:rsidRPr="00925095" w:rsidRDefault="00925095" w:rsidP="00334A85">
      <w:pPr>
        <w:spacing w:line="360" w:lineRule="auto"/>
        <w:jc w:val="both"/>
        <w:rPr>
          <w:rFonts w:ascii="Times New Roman" w:hAnsi="Times New Roman" w:cs="Times New Roman"/>
          <w:sz w:val="20"/>
          <w:szCs w:val="20"/>
        </w:rPr>
      </w:pPr>
    </w:p>
    <w:p w14:paraId="56462527" w14:textId="6388B9FA" w:rsidR="001B7D85" w:rsidRPr="00925095" w:rsidRDefault="001B7D85" w:rsidP="00334A85">
      <w:pPr>
        <w:spacing w:line="360" w:lineRule="auto"/>
        <w:jc w:val="both"/>
        <w:rPr>
          <w:rFonts w:ascii="Times New Roman" w:hAnsi="Times New Roman" w:cs="Times New Roman"/>
          <w:sz w:val="20"/>
          <w:szCs w:val="20"/>
        </w:rPr>
      </w:pPr>
    </w:p>
    <w:p w14:paraId="58011CE6" w14:textId="628858B1" w:rsidR="001B7D85" w:rsidRPr="00925095" w:rsidRDefault="001B7D85" w:rsidP="001B7D85">
      <w:pPr>
        <w:tabs>
          <w:tab w:val="left" w:pos="5430"/>
        </w:tabs>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ab/>
      </w:r>
    </w:p>
    <w:p w14:paraId="1EC9A511" w14:textId="77777777" w:rsidR="001B7D85" w:rsidRPr="00925095" w:rsidRDefault="001B7D85" w:rsidP="00334A85">
      <w:pPr>
        <w:spacing w:line="360" w:lineRule="auto"/>
        <w:jc w:val="both"/>
        <w:rPr>
          <w:rFonts w:ascii="Times New Roman" w:hAnsi="Times New Roman" w:cs="Times New Roman"/>
          <w:b/>
          <w:bCs/>
          <w:sz w:val="20"/>
          <w:szCs w:val="20"/>
        </w:rPr>
      </w:pPr>
    </w:p>
    <w:p w14:paraId="5E436DC1" w14:textId="77777777" w:rsidR="001B7D85" w:rsidRPr="00925095" w:rsidRDefault="001B7D85" w:rsidP="00334A85">
      <w:pPr>
        <w:spacing w:line="360" w:lineRule="auto"/>
        <w:jc w:val="both"/>
        <w:rPr>
          <w:rFonts w:ascii="Times New Roman" w:hAnsi="Times New Roman" w:cs="Times New Roman"/>
          <w:b/>
          <w:bCs/>
          <w:sz w:val="20"/>
          <w:szCs w:val="20"/>
        </w:rPr>
      </w:pPr>
    </w:p>
    <w:p w14:paraId="4BE592B7" w14:textId="77777777" w:rsidR="001B7D85" w:rsidRPr="00925095" w:rsidRDefault="001B7D85" w:rsidP="00334A85">
      <w:pPr>
        <w:spacing w:line="360" w:lineRule="auto"/>
        <w:jc w:val="both"/>
        <w:rPr>
          <w:rFonts w:ascii="Times New Roman" w:hAnsi="Times New Roman" w:cs="Times New Roman"/>
          <w:b/>
          <w:bCs/>
          <w:sz w:val="20"/>
          <w:szCs w:val="20"/>
        </w:rPr>
      </w:pPr>
    </w:p>
    <w:p w14:paraId="7570083A" w14:textId="77777777" w:rsidR="001B7D85" w:rsidRPr="00925095" w:rsidRDefault="001B7D85" w:rsidP="00334A85">
      <w:pPr>
        <w:spacing w:line="360" w:lineRule="auto"/>
        <w:jc w:val="both"/>
        <w:rPr>
          <w:rFonts w:ascii="Times New Roman" w:hAnsi="Times New Roman" w:cs="Times New Roman"/>
          <w:b/>
          <w:bCs/>
          <w:sz w:val="20"/>
          <w:szCs w:val="20"/>
        </w:rPr>
      </w:pPr>
    </w:p>
    <w:p w14:paraId="091AB26D" w14:textId="77777777" w:rsidR="001B7D85" w:rsidRPr="00925095" w:rsidRDefault="001B7D85" w:rsidP="00334A85">
      <w:pPr>
        <w:spacing w:line="360" w:lineRule="auto"/>
        <w:jc w:val="both"/>
        <w:rPr>
          <w:rFonts w:ascii="Times New Roman" w:hAnsi="Times New Roman" w:cs="Times New Roman"/>
          <w:b/>
          <w:bCs/>
          <w:sz w:val="20"/>
          <w:szCs w:val="20"/>
        </w:rPr>
      </w:pPr>
    </w:p>
    <w:p w14:paraId="6B99E55C" w14:textId="77777777" w:rsidR="001B7D85" w:rsidRPr="00925095" w:rsidRDefault="001B7D85" w:rsidP="00334A85">
      <w:pPr>
        <w:spacing w:line="360" w:lineRule="auto"/>
        <w:jc w:val="both"/>
        <w:rPr>
          <w:rFonts w:ascii="Times New Roman" w:hAnsi="Times New Roman" w:cs="Times New Roman"/>
          <w:b/>
          <w:bCs/>
          <w:sz w:val="20"/>
          <w:szCs w:val="20"/>
        </w:rPr>
      </w:pPr>
    </w:p>
    <w:p w14:paraId="071386A7" w14:textId="497AF7F2" w:rsidR="001B7D85" w:rsidRPr="00925095" w:rsidRDefault="00E81797" w:rsidP="00334A85">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10:</w:t>
      </w:r>
      <w:r w:rsidRPr="00925095">
        <w:rPr>
          <w:rFonts w:ascii="Times New Roman" w:hAnsi="Times New Roman" w:cs="Times New Roman"/>
          <w:sz w:val="20"/>
          <w:szCs w:val="20"/>
        </w:rPr>
        <w:t xml:space="preserve"> RMSF values plotted against residue index reveal local flexibility of the protein over the 100 ns trajectory. Terminal regions exhibited the highest fluctuations (&gt;2 Å), whereas residues in secondary structure elements, particularly the binding site region, remained relatively stable (&lt;1.5 Å), suggesting a rigid binding environment for esculetin.</w:t>
      </w:r>
    </w:p>
    <w:p w14:paraId="3C9B603F" w14:textId="4775F7CA"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3.3.5 Protein–ligand contact fractions</w:t>
      </w:r>
    </w:p>
    <w:p w14:paraId="2FC831B2" w14:textId="6D91C544" w:rsidR="00334A85" w:rsidRPr="00925095" w:rsidRDefault="00925095" w:rsidP="00334A8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76672" behindDoc="1" locked="0" layoutInCell="1" allowOverlap="1" wp14:anchorId="7C23104F" wp14:editId="4CD52368">
            <wp:simplePos x="0" y="0"/>
            <wp:positionH relativeFrom="column">
              <wp:posOffset>970381</wp:posOffset>
            </wp:positionH>
            <wp:positionV relativeFrom="paragraph">
              <wp:posOffset>2030083</wp:posOffset>
            </wp:positionV>
            <wp:extent cx="3806669" cy="2841295"/>
            <wp:effectExtent l="0" t="0" r="3810" b="0"/>
            <wp:wrapNone/>
            <wp:docPr id="50218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89198" name=""/>
                    <pic:cNvPicPr/>
                  </pic:nvPicPr>
                  <pic:blipFill>
                    <a:blip r:embed="rId28">
                      <a:extLst>
                        <a:ext uri="{28A0092B-C50C-407E-A947-70E740481C1C}">
                          <a14:useLocalDpi xmlns:a14="http://schemas.microsoft.com/office/drawing/2010/main" val="0"/>
                        </a:ext>
                      </a:extLst>
                    </a:blip>
                    <a:stretch>
                      <a:fillRect/>
                    </a:stretch>
                  </pic:blipFill>
                  <pic:spPr>
                    <a:xfrm>
                      <a:off x="0" y="0"/>
                      <a:ext cx="3806669" cy="2841295"/>
                    </a:xfrm>
                    <a:prstGeom prst="rect">
                      <a:avLst/>
                    </a:prstGeom>
                  </pic:spPr>
                </pic:pic>
              </a:graphicData>
            </a:graphic>
            <wp14:sizeRelH relativeFrom="margin">
              <wp14:pctWidth>0</wp14:pctWidth>
            </wp14:sizeRelH>
            <wp14:sizeRelV relativeFrom="margin">
              <wp14:pctHeight>0</wp14:pctHeight>
            </wp14:sizeRelV>
          </wp:anchor>
        </w:drawing>
      </w:r>
      <w:r w:rsidR="00334A85" w:rsidRPr="00925095">
        <w:rPr>
          <w:rFonts w:ascii="Times New Roman" w:hAnsi="Times New Roman" w:cs="Times New Roman"/>
          <w:sz w:val="20"/>
          <w:szCs w:val="20"/>
        </w:rPr>
        <w:t xml:space="preserve">Interaction fraction analysis over the 100 ns trajectory demonstrated that hydrogen bonds and hydrophobic contacts were the predominant stabilizing forces in the esculetin–protein complex. Hydrogen bonds persisted for &gt;70% of the simulation time, primarily involving residues lining the binding cleft, ensuring directional specificity in binding. Hydrophobic contacts provided complementary stabilization, particularly around the coumarin ring system, which engaged with non-polar side chains. Ionic interactions were transient, suggesting a supportive rather than primary role in complex stability as shown in </w:t>
      </w:r>
      <w:r w:rsidR="00334A85" w:rsidRPr="00925095">
        <w:rPr>
          <w:rFonts w:ascii="Times New Roman" w:hAnsi="Times New Roman" w:cs="Times New Roman"/>
          <w:b/>
          <w:bCs/>
          <w:sz w:val="20"/>
          <w:szCs w:val="20"/>
        </w:rPr>
        <w:t>(Fig.13)</w:t>
      </w:r>
      <w:r w:rsidR="00334A85" w:rsidRPr="00925095">
        <w:rPr>
          <w:rFonts w:ascii="Times New Roman" w:hAnsi="Times New Roman" w:cs="Times New Roman"/>
          <w:sz w:val="20"/>
          <w:szCs w:val="20"/>
        </w:rPr>
        <w:t>. Water bridges, though less frequent, contributed to the adaptability of the hydrogen-bonding network, compensating for occasional direct hydrogen bond disruption. The predominance of hydrogen bonding aligns with the initial docking pose, where multiple polar interactions anchored esculetin in an energetically favorable orientation.</w:t>
      </w:r>
    </w:p>
    <w:p w14:paraId="0D226E8E" w14:textId="6309C8B1" w:rsidR="001B7D85" w:rsidRPr="00925095" w:rsidRDefault="001B7D85" w:rsidP="00334A85">
      <w:pPr>
        <w:spacing w:line="360" w:lineRule="auto"/>
        <w:jc w:val="both"/>
        <w:rPr>
          <w:rFonts w:ascii="Times New Roman" w:hAnsi="Times New Roman" w:cs="Times New Roman"/>
          <w:sz w:val="20"/>
          <w:szCs w:val="20"/>
        </w:rPr>
      </w:pPr>
    </w:p>
    <w:p w14:paraId="20704E1C" w14:textId="44E24A11" w:rsidR="001B7D85" w:rsidRPr="00925095" w:rsidRDefault="001B7D85" w:rsidP="00334A85">
      <w:pPr>
        <w:spacing w:line="360" w:lineRule="auto"/>
        <w:jc w:val="both"/>
        <w:rPr>
          <w:rFonts w:ascii="Times New Roman" w:hAnsi="Times New Roman" w:cs="Times New Roman"/>
          <w:b/>
          <w:bCs/>
          <w:sz w:val="20"/>
          <w:szCs w:val="20"/>
        </w:rPr>
      </w:pPr>
    </w:p>
    <w:p w14:paraId="0AFAE814" w14:textId="7093B1AD" w:rsidR="001B7D85" w:rsidRPr="00925095" w:rsidRDefault="001B7D85" w:rsidP="00334A85">
      <w:pPr>
        <w:spacing w:line="360" w:lineRule="auto"/>
        <w:jc w:val="both"/>
        <w:rPr>
          <w:rFonts w:ascii="Times New Roman" w:hAnsi="Times New Roman" w:cs="Times New Roman"/>
          <w:b/>
          <w:bCs/>
          <w:sz w:val="20"/>
          <w:szCs w:val="20"/>
        </w:rPr>
      </w:pPr>
    </w:p>
    <w:p w14:paraId="36F8EF0F" w14:textId="23D2EB18" w:rsidR="001B7D85" w:rsidRPr="00925095" w:rsidRDefault="001B7D85" w:rsidP="00334A85">
      <w:pPr>
        <w:spacing w:line="360" w:lineRule="auto"/>
        <w:jc w:val="both"/>
        <w:rPr>
          <w:rFonts w:ascii="Times New Roman" w:hAnsi="Times New Roman" w:cs="Times New Roman"/>
          <w:b/>
          <w:bCs/>
          <w:sz w:val="20"/>
          <w:szCs w:val="20"/>
        </w:rPr>
      </w:pPr>
    </w:p>
    <w:p w14:paraId="71951484" w14:textId="77777777" w:rsidR="001B7D85" w:rsidRPr="00925095" w:rsidRDefault="001B7D85" w:rsidP="00334A85">
      <w:pPr>
        <w:spacing w:line="360" w:lineRule="auto"/>
        <w:jc w:val="both"/>
        <w:rPr>
          <w:rFonts w:ascii="Times New Roman" w:hAnsi="Times New Roman" w:cs="Times New Roman"/>
          <w:b/>
          <w:bCs/>
          <w:sz w:val="20"/>
          <w:szCs w:val="20"/>
        </w:rPr>
      </w:pPr>
    </w:p>
    <w:p w14:paraId="7B938243" w14:textId="77777777" w:rsidR="001B7D85" w:rsidRPr="00925095" w:rsidRDefault="001B7D85" w:rsidP="00334A85">
      <w:pPr>
        <w:spacing w:line="360" w:lineRule="auto"/>
        <w:jc w:val="both"/>
        <w:rPr>
          <w:rFonts w:ascii="Times New Roman" w:hAnsi="Times New Roman" w:cs="Times New Roman"/>
          <w:b/>
          <w:bCs/>
          <w:sz w:val="20"/>
          <w:szCs w:val="20"/>
        </w:rPr>
      </w:pPr>
    </w:p>
    <w:p w14:paraId="263AF305" w14:textId="3D187537" w:rsidR="001B7D85" w:rsidRPr="00925095" w:rsidRDefault="00E81797" w:rsidP="00334A85">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lastRenderedPageBreak/>
        <w:t>Figure 11:</w:t>
      </w:r>
      <w:r w:rsidRPr="00925095">
        <w:rPr>
          <w:rFonts w:ascii="Times New Roman" w:hAnsi="Times New Roman" w:cs="Times New Roman"/>
          <w:sz w:val="20"/>
          <w:szCs w:val="20"/>
        </w:rPr>
        <w:t xml:space="preserve"> Distribution and temporal evolution of α-helices (red) and β-strands (yellow) across the protein structure over 100 ns. The overall SSE composition remained consistent (~20.38% helices, ~31.34% strands), indicating no major unfolding events and preservation of the global fold during ligand binding.</w:t>
      </w:r>
    </w:p>
    <w:p w14:paraId="33E3E2BF" w14:textId="2ABCC0BE"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3.3.6 Interaction timeline</w:t>
      </w:r>
    </w:p>
    <w:p w14:paraId="5F3DEC54" w14:textId="02A706AB" w:rsidR="00334A85" w:rsidRPr="0092509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The interaction timeline clearly identified a cluster of residues maintaining persistent contacts with esculetin throughout the simulation as shown in </w:t>
      </w:r>
      <w:r w:rsidRPr="00925095">
        <w:rPr>
          <w:rFonts w:ascii="Times New Roman" w:hAnsi="Times New Roman" w:cs="Times New Roman"/>
          <w:b/>
          <w:bCs/>
          <w:sz w:val="20"/>
          <w:szCs w:val="20"/>
        </w:rPr>
        <w:t>(Fig.14)</w:t>
      </w:r>
      <w:r w:rsidRPr="00925095">
        <w:rPr>
          <w:rFonts w:ascii="Times New Roman" w:hAnsi="Times New Roman" w:cs="Times New Roman"/>
          <w:sz w:val="20"/>
          <w:szCs w:val="20"/>
        </w:rPr>
        <w:t>. Several residues exhibited interaction multiplicity, forming more than one contact type (e.g., simultaneous hydrogen bonding and hydrophobic packing) within a single trajectory frame. This redundancy in interaction types is a hallmark of strong and resilient protein–ligand complexes, as it reduces the likelihood of complete contact loss during thermal fluctuations. The stability of these interactions across the entire simulation suggests that esculetin binding is not dependent on a single dominant contact but rather on a cooperative network of interactions, increasing binding robustness.</w:t>
      </w:r>
    </w:p>
    <w:p w14:paraId="2A9E6980" w14:textId="153AE9AC"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t>3.3.7 Frequent ligand–protein interactions</w:t>
      </w:r>
    </w:p>
    <w:p w14:paraId="763CE682" w14:textId="1FE5AFC6" w:rsidR="00334A85" w:rsidRPr="0092509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The 2D interaction schematic highlighted residues that interacted with esculetin for over 30% of the simulation, underscoring their importance in ligand stabilization. Persistent hydrogen bonds were observed with residues near the catechol hydroxyl groups, while hydrophobic interactions stabilized the coumarin core as shown in </w:t>
      </w:r>
      <w:r w:rsidRPr="00925095">
        <w:rPr>
          <w:rFonts w:ascii="Times New Roman" w:hAnsi="Times New Roman" w:cs="Times New Roman"/>
          <w:b/>
          <w:bCs/>
          <w:sz w:val="20"/>
          <w:szCs w:val="20"/>
        </w:rPr>
        <w:t>(Fig.15)</w:t>
      </w:r>
      <w:r w:rsidRPr="00925095">
        <w:rPr>
          <w:rFonts w:ascii="Times New Roman" w:hAnsi="Times New Roman" w:cs="Times New Roman"/>
          <w:sz w:val="20"/>
          <w:szCs w:val="20"/>
        </w:rPr>
        <w:t>. Several water-mediated contacts bridged esculetin to residues at the pocket periphery, expanding the interaction network beyond direct contacts. Such water bridges often enhance ligand retention by providing flexible but persistent links between the ligand and protein surface. This pattern of multiple contact modes supports both the high docking affinity and the RMSD stability observed earlier.</w:t>
      </w:r>
    </w:p>
    <w:p w14:paraId="4820B9DD" w14:textId="48F040BC" w:rsidR="001B7D85" w:rsidRPr="00925095" w:rsidRDefault="001B7D85" w:rsidP="00334A8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77696" behindDoc="1" locked="0" layoutInCell="1" allowOverlap="1" wp14:anchorId="43F0551F" wp14:editId="2FA86CB7">
            <wp:simplePos x="0" y="0"/>
            <wp:positionH relativeFrom="column">
              <wp:posOffset>0</wp:posOffset>
            </wp:positionH>
            <wp:positionV relativeFrom="paragraph">
              <wp:posOffset>3175</wp:posOffset>
            </wp:positionV>
            <wp:extent cx="5731510" cy="3281680"/>
            <wp:effectExtent l="0" t="0" r="2540" b="0"/>
            <wp:wrapNone/>
            <wp:docPr id="119951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11970"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3281680"/>
                    </a:xfrm>
                    <a:prstGeom prst="rect">
                      <a:avLst/>
                    </a:prstGeom>
                  </pic:spPr>
                </pic:pic>
              </a:graphicData>
            </a:graphic>
          </wp:anchor>
        </w:drawing>
      </w:r>
    </w:p>
    <w:p w14:paraId="1C40144E" w14:textId="77777777" w:rsidR="001B7D85" w:rsidRPr="00925095" w:rsidRDefault="001B7D85" w:rsidP="00334A85">
      <w:pPr>
        <w:spacing w:line="360" w:lineRule="auto"/>
        <w:jc w:val="both"/>
        <w:rPr>
          <w:rFonts w:ascii="Times New Roman" w:hAnsi="Times New Roman" w:cs="Times New Roman"/>
          <w:sz w:val="20"/>
          <w:szCs w:val="20"/>
        </w:rPr>
      </w:pPr>
    </w:p>
    <w:p w14:paraId="76B2F708" w14:textId="77777777" w:rsidR="001B7D85" w:rsidRPr="00925095" w:rsidRDefault="001B7D85" w:rsidP="00334A85">
      <w:pPr>
        <w:spacing w:line="360" w:lineRule="auto"/>
        <w:jc w:val="both"/>
        <w:rPr>
          <w:rFonts w:ascii="Times New Roman" w:hAnsi="Times New Roman" w:cs="Times New Roman"/>
          <w:b/>
          <w:bCs/>
          <w:sz w:val="20"/>
          <w:szCs w:val="20"/>
        </w:rPr>
      </w:pPr>
    </w:p>
    <w:p w14:paraId="23745EE8" w14:textId="77777777" w:rsidR="001B7D85" w:rsidRPr="00925095" w:rsidRDefault="001B7D85" w:rsidP="00334A85">
      <w:pPr>
        <w:spacing w:line="360" w:lineRule="auto"/>
        <w:jc w:val="both"/>
        <w:rPr>
          <w:rFonts w:ascii="Times New Roman" w:hAnsi="Times New Roman" w:cs="Times New Roman"/>
          <w:b/>
          <w:bCs/>
          <w:sz w:val="20"/>
          <w:szCs w:val="20"/>
        </w:rPr>
      </w:pPr>
    </w:p>
    <w:p w14:paraId="6DF7920B" w14:textId="77777777" w:rsidR="001B7D85" w:rsidRPr="00925095" w:rsidRDefault="001B7D85" w:rsidP="00334A85">
      <w:pPr>
        <w:spacing w:line="360" w:lineRule="auto"/>
        <w:jc w:val="both"/>
        <w:rPr>
          <w:rFonts w:ascii="Times New Roman" w:hAnsi="Times New Roman" w:cs="Times New Roman"/>
          <w:b/>
          <w:bCs/>
          <w:sz w:val="20"/>
          <w:szCs w:val="20"/>
        </w:rPr>
      </w:pPr>
    </w:p>
    <w:p w14:paraId="279E0D35" w14:textId="77777777" w:rsidR="001B7D85" w:rsidRPr="00925095" w:rsidRDefault="001B7D85" w:rsidP="00334A85">
      <w:pPr>
        <w:spacing w:line="360" w:lineRule="auto"/>
        <w:jc w:val="both"/>
        <w:rPr>
          <w:rFonts w:ascii="Times New Roman" w:hAnsi="Times New Roman" w:cs="Times New Roman"/>
          <w:b/>
          <w:bCs/>
          <w:sz w:val="20"/>
          <w:szCs w:val="20"/>
        </w:rPr>
      </w:pPr>
    </w:p>
    <w:p w14:paraId="7FF3BDA1" w14:textId="77777777" w:rsidR="001B7D85" w:rsidRPr="00925095" w:rsidRDefault="001B7D85" w:rsidP="00334A85">
      <w:pPr>
        <w:spacing w:line="360" w:lineRule="auto"/>
        <w:jc w:val="both"/>
        <w:rPr>
          <w:rFonts w:ascii="Times New Roman" w:hAnsi="Times New Roman" w:cs="Times New Roman"/>
          <w:b/>
          <w:bCs/>
          <w:sz w:val="20"/>
          <w:szCs w:val="20"/>
        </w:rPr>
      </w:pPr>
    </w:p>
    <w:p w14:paraId="63893CDC" w14:textId="77777777" w:rsidR="001B7D85" w:rsidRPr="00925095" w:rsidRDefault="001B7D85" w:rsidP="00334A85">
      <w:pPr>
        <w:spacing w:line="360" w:lineRule="auto"/>
        <w:jc w:val="both"/>
        <w:rPr>
          <w:rFonts w:ascii="Times New Roman" w:hAnsi="Times New Roman" w:cs="Times New Roman"/>
          <w:b/>
          <w:bCs/>
          <w:sz w:val="20"/>
          <w:szCs w:val="20"/>
        </w:rPr>
      </w:pPr>
    </w:p>
    <w:p w14:paraId="074DCC12" w14:textId="77777777" w:rsidR="001B7D85" w:rsidRPr="00925095" w:rsidRDefault="001B7D85" w:rsidP="00334A85">
      <w:pPr>
        <w:spacing w:line="360" w:lineRule="auto"/>
        <w:jc w:val="both"/>
        <w:rPr>
          <w:rFonts w:ascii="Times New Roman" w:hAnsi="Times New Roman" w:cs="Times New Roman"/>
          <w:b/>
          <w:bCs/>
          <w:sz w:val="20"/>
          <w:szCs w:val="20"/>
        </w:rPr>
      </w:pPr>
    </w:p>
    <w:p w14:paraId="19C53641" w14:textId="77777777" w:rsidR="001B7D85" w:rsidRPr="00925095" w:rsidRDefault="001B7D85" w:rsidP="00334A85">
      <w:pPr>
        <w:spacing w:line="360" w:lineRule="auto"/>
        <w:jc w:val="both"/>
        <w:rPr>
          <w:rFonts w:ascii="Times New Roman" w:hAnsi="Times New Roman" w:cs="Times New Roman"/>
          <w:b/>
          <w:bCs/>
          <w:sz w:val="20"/>
          <w:szCs w:val="20"/>
        </w:rPr>
      </w:pPr>
    </w:p>
    <w:p w14:paraId="48DE88D9" w14:textId="3CBAF617" w:rsidR="00E81797" w:rsidRPr="00925095" w:rsidRDefault="00E81797" w:rsidP="00E81797">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12:</w:t>
      </w:r>
      <w:r w:rsidRPr="00925095">
        <w:rPr>
          <w:rFonts w:ascii="Times New Roman" w:hAnsi="Times New Roman" w:cs="Times New Roman"/>
          <w:sz w:val="20"/>
          <w:szCs w:val="20"/>
        </w:rPr>
        <w:t xml:space="preserve"> Atom-wise RMSF values for esculetin, mapped to the corresponding 2D structure. The catechol moiety atoms showed lower fluctuation (&lt;1.2 Å), consistent with stable hydrogen bonding, while terminal hydrogens exhibited higher mobility due to solvent exposure.</w:t>
      </w:r>
    </w:p>
    <w:p w14:paraId="087C3B1C" w14:textId="77777777" w:rsidR="00E81797" w:rsidRPr="00925095" w:rsidRDefault="00E81797" w:rsidP="00334A85">
      <w:pPr>
        <w:spacing w:line="360" w:lineRule="auto"/>
        <w:jc w:val="both"/>
        <w:rPr>
          <w:rFonts w:ascii="Times New Roman" w:hAnsi="Times New Roman" w:cs="Times New Roman"/>
          <w:b/>
          <w:bCs/>
          <w:sz w:val="20"/>
          <w:szCs w:val="20"/>
        </w:rPr>
      </w:pPr>
    </w:p>
    <w:p w14:paraId="19640E9A" w14:textId="74E82264" w:rsidR="00334A85" w:rsidRPr="00925095" w:rsidRDefault="00334A85" w:rsidP="00334A85">
      <w:pPr>
        <w:spacing w:line="360" w:lineRule="auto"/>
        <w:jc w:val="both"/>
        <w:rPr>
          <w:rFonts w:ascii="Times New Roman" w:hAnsi="Times New Roman" w:cs="Times New Roman"/>
          <w:b/>
          <w:bCs/>
        </w:rPr>
      </w:pPr>
      <w:r w:rsidRPr="00925095">
        <w:rPr>
          <w:rFonts w:ascii="Times New Roman" w:hAnsi="Times New Roman" w:cs="Times New Roman"/>
          <w:b/>
          <w:bCs/>
        </w:rPr>
        <w:lastRenderedPageBreak/>
        <w:t>3.3.8 Ligand torsional dynamics</w:t>
      </w:r>
    </w:p>
    <w:p w14:paraId="032EB525" w14:textId="6B7FB1FC" w:rsidR="001B7D85" w:rsidRPr="00925095" w:rsidRDefault="00334A85" w:rsidP="00334A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Torsional angle analysis revealed that </w:t>
      </w:r>
      <w:proofErr w:type="spellStart"/>
      <w:r w:rsidRPr="00925095">
        <w:rPr>
          <w:rFonts w:ascii="Times New Roman" w:hAnsi="Times New Roman" w:cs="Times New Roman"/>
          <w:sz w:val="20"/>
          <w:szCs w:val="20"/>
        </w:rPr>
        <w:t>esculetin’s</w:t>
      </w:r>
      <w:proofErr w:type="spellEnd"/>
      <w:r w:rsidRPr="00925095">
        <w:rPr>
          <w:rFonts w:ascii="Times New Roman" w:hAnsi="Times New Roman" w:cs="Times New Roman"/>
          <w:sz w:val="20"/>
          <w:szCs w:val="20"/>
        </w:rPr>
        <w:t xml:space="preserve"> three rotatable bonds remained predominantly within low-energy conformations throughout the simulation. The absence of frequent high-energy torsional states indicates that the ligand experiences minimal conformational strain in the bound form, which can enhance both binding affinity and residence time. The catechol and coumarin moieties, connected via rigid linkages, contributed to the low torsional variability, while the limited flexibility of side groups allowed fine adjustment without compromising core stability. This torsional rigidity aligns with the low ligand RMSF values observed, indicating a consistent bound geometry over the 100 ns trajectory as shown in </w:t>
      </w:r>
      <w:r w:rsidRPr="00925095">
        <w:rPr>
          <w:rFonts w:ascii="Times New Roman" w:hAnsi="Times New Roman" w:cs="Times New Roman"/>
          <w:b/>
          <w:bCs/>
          <w:sz w:val="20"/>
          <w:szCs w:val="20"/>
        </w:rPr>
        <w:t>(Fig.16)</w:t>
      </w:r>
      <w:r w:rsidRPr="00925095">
        <w:rPr>
          <w:rFonts w:ascii="Times New Roman" w:hAnsi="Times New Roman" w:cs="Times New Roman"/>
          <w:sz w:val="20"/>
          <w:szCs w:val="20"/>
        </w:rPr>
        <w:t>.</w:t>
      </w:r>
    </w:p>
    <w:p w14:paraId="25ED3AEA" w14:textId="31E81114" w:rsidR="00334A85" w:rsidRPr="00925095" w:rsidRDefault="001B7D85" w:rsidP="00334A8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78720" behindDoc="1" locked="0" layoutInCell="1" allowOverlap="1" wp14:anchorId="62460C8A" wp14:editId="2C62E8EE">
            <wp:simplePos x="0" y="0"/>
            <wp:positionH relativeFrom="column">
              <wp:posOffset>0</wp:posOffset>
            </wp:positionH>
            <wp:positionV relativeFrom="paragraph">
              <wp:posOffset>3175</wp:posOffset>
            </wp:positionV>
            <wp:extent cx="5731510" cy="3371850"/>
            <wp:effectExtent l="0" t="0" r="2540" b="0"/>
            <wp:wrapNone/>
            <wp:docPr id="1904239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39447"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3371850"/>
                    </a:xfrm>
                    <a:prstGeom prst="rect">
                      <a:avLst/>
                    </a:prstGeom>
                  </pic:spPr>
                </pic:pic>
              </a:graphicData>
            </a:graphic>
          </wp:anchor>
        </w:drawing>
      </w:r>
    </w:p>
    <w:p w14:paraId="48988E66" w14:textId="15072C40" w:rsidR="001B7D85" w:rsidRPr="00925095" w:rsidRDefault="001B7D85" w:rsidP="001B7D85">
      <w:pPr>
        <w:rPr>
          <w:rFonts w:ascii="Times New Roman" w:hAnsi="Times New Roman" w:cs="Times New Roman"/>
          <w:sz w:val="20"/>
          <w:szCs w:val="20"/>
        </w:rPr>
      </w:pPr>
    </w:p>
    <w:p w14:paraId="33E5DCCE" w14:textId="38472D36" w:rsidR="001B7D85" w:rsidRPr="00925095" w:rsidRDefault="001B7D85" w:rsidP="001B7D85">
      <w:pPr>
        <w:rPr>
          <w:rFonts w:ascii="Times New Roman" w:hAnsi="Times New Roman" w:cs="Times New Roman"/>
          <w:sz w:val="20"/>
          <w:szCs w:val="20"/>
        </w:rPr>
      </w:pPr>
    </w:p>
    <w:p w14:paraId="0BF10D09" w14:textId="6FE8DB4E" w:rsidR="001B7D85" w:rsidRPr="00925095" w:rsidRDefault="001B7D85" w:rsidP="001B7D85">
      <w:pPr>
        <w:rPr>
          <w:rFonts w:ascii="Times New Roman" w:hAnsi="Times New Roman" w:cs="Times New Roman"/>
          <w:sz w:val="20"/>
          <w:szCs w:val="20"/>
        </w:rPr>
      </w:pPr>
    </w:p>
    <w:p w14:paraId="0EF6616A" w14:textId="6D7F9773" w:rsidR="001B7D85" w:rsidRPr="00925095" w:rsidRDefault="001B7D85" w:rsidP="001B7D85">
      <w:pPr>
        <w:rPr>
          <w:rFonts w:ascii="Times New Roman" w:hAnsi="Times New Roman" w:cs="Times New Roman"/>
          <w:sz w:val="20"/>
          <w:szCs w:val="20"/>
        </w:rPr>
      </w:pPr>
    </w:p>
    <w:p w14:paraId="3959E158" w14:textId="77777777" w:rsidR="001B7D85" w:rsidRPr="00925095" w:rsidRDefault="001B7D85" w:rsidP="001B7D85">
      <w:pPr>
        <w:rPr>
          <w:rFonts w:ascii="Times New Roman" w:hAnsi="Times New Roman" w:cs="Times New Roman"/>
          <w:sz w:val="20"/>
          <w:szCs w:val="20"/>
        </w:rPr>
      </w:pPr>
    </w:p>
    <w:p w14:paraId="13A5995D" w14:textId="320369E2" w:rsidR="001B7D85" w:rsidRPr="00925095" w:rsidRDefault="001B7D85" w:rsidP="001B7D85">
      <w:pPr>
        <w:rPr>
          <w:rFonts w:ascii="Times New Roman" w:hAnsi="Times New Roman" w:cs="Times New Roman"/>
          <w:sz w:val="20"/>
          <w:szCs w:val="20"/>
        </w:rPr>
      </w:pPr>
    </w:p>
    <w:p w14:paraId="4065B7B1" w14:textId="46E48783" w:rsidR="001B7D85" w:rsidRPr="00925095" w:rsidRDefault="001B7D85" w:rsidP="001B7D85">
      <w:pPr>
        <w:rPr>
          <w:rFonts w:ascii="Times New Roman" w:hAnsi="Times New Roman" w:cs="Times New Roman"/>
          <w:sz w:val="20"/>
          <w:szCs w:val="20"/>
        </w:rPr>
      </w:pPr>
    </w:p>
    <w:p w14:paraId="7E814950" w14:textId="7288CE5E" w:rsidR="001B7D85" w:rsidRPr="00925095" w:rsidRDefault="001B7D85" w:rsidP="001B7D85">
      <w:pPr>
        <w:rPr>
          <w:rFonts w:ascii="Times New Roman" w:hAnsi="Times New Roman" w:cs="Times New Roman"/>
          <w:sz w:val="20"/>
          <w:szCs w:val="20"/>
        </w:rPr>
      </w:pPr>
    </w:p>
    <w:p w14:paraId="636B7BB1" w14:textId="1AE9EDDD" w:rsidR="001B7D85" w:rsidRPr="00925095" w:rsidRDefault="001B7D85" w:rsidP="001B7D85">
      <w:pPr>
        <w:rPr>
          <w:rFonts w:ascii="Times New Roman" w:hAnsi="Times New Roman" w:cs="Times New Roman"/>
          <w:sz w:val="20"/>
          <w:szCs w:val="20"/>
        </w:rPr>
      </w:pPr>
    </w:p>
    <w:p w14:paraId="003439D9" w14:textId="5A29C411" w:rsidR="001B7D85" w:rsidRPr="00925095" w:rsidRDefault="001B7D85" w:rsidP="001B7D85">
      <w:pPr>
        <w:rPr>
          <w:rFonts w:ascii="Times New Roman" w:hAnsi="Times New Roman" w:cs="Times New Roman"/>
          <w:sz w:val="20"/>
          <w:szCs w:val="20"/>
        </w:rPr>
      </w:pPr>
    </w:p>
    <w:p w14:paraId="6DA1303E" w14:textId="0F3939D1" w:rsidR="001B7D85" w:rsidRPr="00925095" w:rsidRDefault="001B7D85" w:rsidP="001B7D85">
      <w:pPr>
        <w:rPr>
          <w:rFonts w:ascii="Times New Roman" w:hAnsi="Times New Roman" w:cs="Times New Roman"/>
          <w:sz w:val="20"/>
          <w:szCs w:val="20"/>
        </w:rPr>
      </w:pPr>
    </w:p>
    <w:p w14:paraId="4C883F7F" w14:textId="77777777" w:rsidR="00925095" w:rsidRDefault="00925095" w:rsidP="001B7D85">
      <w:pPr>
        <w:spacing w:line="360" w:lineRule="auto"/>
        <w:jc w:val="both"/>
        <w:rPr>
          <w:rFonts w:ascii="Times New Roman" w:hAnsi="Times New Roman" w:cs="Times New Roman"/>
          <w:b/>
          <w:bCs/>
          <w:sz w:val="20"/>
          <w:szCs w:val="20"/>
        </w:rPr>
      </w:pPr>
    </w:p>
    <w:p w14:paraId="3E0E0827" w14:textId="1BA2B862" w:rsidR="001B7D85" w:rsidRPr="00925095" w:rsidRDefault="00E81797" w:rsidP="001B7D85">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13:</w:t>
      </w:r>
      <w:r w:rsidRPr="00925095">
        <w:rPr>
          <w:rFonts w:ascii="Times New Roman" w:hAnsi="Times New Roman" w:cs="Times New Roman"/>
          <w:sz w:val="20"/>
          <w:szCs w:val="20"/>
        </w:rPr>
        <w:t xml:space="preserve"> Normalized interaction fractions for hydrogen bonds, hydrophobic contacts, ionic interactions, and water bridges between esculetin and the protein. Hydrogen bonds and hydrophobic contacts were the predominant interaction types, with hydrogen bonding persisting for &gt;70% of the trajectory, reinforcing stable binding.</w:t>
      </w:r>
    </w:p>
    <w:p w14:paraId="793ECB59" w14:textId="53E3BC68" w:rsidR="001B7D85" w:rsidRPr="00925095" w:rsidRDefault="001B7D85" w:rsidP="001B7D85">
      <w:pPr>
        <w:spacing w:line="360" w:lineRule="auto"/>
        <w:jc w:val="both"/>
        <w:rPr>
          <w:rFonts w:ascii="Times New Roman" w:hAnsi="Times New Roman" w:cs="Times New Roman"/>
          <w:b/>
          <w:bCs/>
        </w:rPr>
      </w:pPr>
      <w:r w:rsidRPr="00925095">
        <w:rPr>
          <w:rFonts w:ascii="Times New Roman" w:hAnsi="Times New Roman" w:cs="Times New Roman"/>
          <w:b/>
          <w:bCs/>
        </w:rPr>
        <w:t>3.3.9 Ligand physicochemical stability</w:t>
      </w:r>
    </w:p>
    <w:p w14:paraId="790C09EB" w14:textId="77777777" w:rsidR="001B7D85" w:rsidRDefault="001B7D85" w:rsidP="001B7D8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Monitoring </w:t>
      </w:r>
      <w:proofErr w:type="spellStart"/>
      <w:r w:rsidRPr="00925095">
        <w:rPr>
          <w:rFonts w:ascii="Times New Roman" w:hAnsi="Times New Roman" w:cs="Times New Roman"/>
          <w:sz w:val="20"/>
          <w:szCs w:val="20"/>
        </w:rPr>
        <w:t>esculetin’s</w:t>
      </w:r>
      <w:proofErr w:type="spellEnd"/>
      <w:r w:rsidRPr="00925095">
        <w:rPr>
          <w:rFonts w:ascii="Times New Roman" w:hAnsi="Times New Roman" w:cs="Times New Roman"/>
          <w:sz w:val="20"/>
          <w:szCs w:val="20"/>
        </w:rPr>
        <w:t xml:space="preserve"> physicochemical properties over the 100 ns simulation revealed a stable RMSD trajectory, a consistent radius of gyration (~2.5 Å), and the maintenance of approximately one intramolecular hydrogen bond, suggesting minimal intramolecular rearrangement. </w:t>
      </w:r>
      <w:proofErr w:type="spellStart"/>
      <w:r w:rsidRPr="00925095">
        <w:rPr>
          <w:rFonts w:ascii="Times New Roman" w:hAnsi="Times New Roman" w:cs="Times New Roman"/>
          <w:sz w:val="20"/>
          <w:szCs w:val="20"/>
        </w:rPr>
        <w:t>MolSA</w:t>
      </w:r>
      <w:proofErr w:type="spellEnd"/>
      <w:r w:rsidRPr="00925095">
        <w:rPr>
          <w:rFonts w:ascii="Times New Roman" w:hAnsi="Times New Roman" w:cs="Times New Roman"/>
          <w:sz w:val="20"/>
          <w:szCs w:val="20"/>
        </w:rPr>
        <w:t xml:space="preserve"> and SASA values showed only minor fluctuations, indicating a stable solvent exposure profile, while the polar surface area (PSA) remained constant, consistent with persistent polar interactions with the protein and water molecules as shown in </w:t>
      </w:r>
      <w:r w:rsidRPr="00925095">
        <w:rPr>
          <w:rFonts w:ascii="Times New Roman" w:hAnsi="Times New Roman" w:cs="Times New Roman"/>
          <w:b/>
          <w:bCs/>
          <w:sz w:val="20"/>
          <w:szCs w:val="20"/>
        </w:rPr>
        <w:t>(Fig.17)</w:t>
      </w:r>
      <w:r w:rsidRPr="00925095">
        <w:rPr>
          <w:rFonts w:ascii="Times New Roman" w:hAnsi="Times New Roman" w:cs="Times New Roman"/>
          <w:sz w:val="20"/>
          <w:szCs w:val="20"/>
        </w:rPr>
        <w:t>. Such stability in key descriptors implies that esculetin retains its bioactive conformation in the bound state, with no significant unfolding or collapse of its molecular surface.</w:t>
      </w:r>
    </w:p>
    <w:p w14:paraId="7E84F16C" w14:textId="77777777" w:rsidR="00925095" w:rsidRDefault="00925095" w:rsidP="001B7D85">
      <w:pPr>
        <w:spacing w:line="360" w:lineRule="auto"/>
        <w:jc w:val="both"/>
        <w:rPr>
          <w:rFonts w:ascii="Times New Roman" w:hAnsi="Times New Roman" w:cs="Times New Roman"/>
          <w:sz w:val="20"/>
          <w:szCs w:val="20"/>
        </w:rPr>
      </w:pPr>
    </w:p>
    <w:p w14:paraId="47B63E53" w14:textId="77777777" w:rsidR="00925095" w:rsidRPr="00925095" w:rsidRDefault="00925095" w:rsidP="001B7D85">
      <w:pPr>
        <w:spacing w:line="360" w:lineRule="auto"/>
        <w:jc w:val="both"/>
        <w:rPr>
          <w:rFonts w:ascii="Times New Roman" w:hAnsi="Times New Roman" w:cs="Times New Roman"/>
          <w:sz w:val="20"/>
          <w:szCs w:val="20"/>
        </w:rPr>
      </w:pPr>
    </w:p>
    <w:p w14:paraId="60290B86" w14:textId="06009ABA" w:rsidR="001B7D85" w:rsidRPr="00925095" w:rsidRDefault="001B7D85" w:rsidP="001B7D85">
      <w:pPr>
        <w:tabs>
          <w:tab w:val="left" w:pos="3195"/>
        </w:tabs>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79744" behindDoc="1" locked="0" layoutInCell="1" allowOverlap="1" wp14:anchorId="448D16A9" wp14:editId="0BB4FB73">
            <wp:simplePos x="0" y="0"/>
            <wp:positionH relativeFrom="column">
              <wp:posOffset>990600</wp:posOffset>
            </wp:positionH>
            <wp:positionV relativeFrom="paragraph">
              <wp:posOffset>189230</wp:posOffset>
            </wp:positionV>
            <wp:extent cx="3502660" cy="3966899"/>
            <wp:effectExtent l="0" t="0" r="2540" b="0"/>
            <wp:wrapNone/>
            <wp:docPr id="140117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79509" name=""/>
                    <pic:cNvPicPr/>
                  </pic:nvPicPr>
                  <pic:blipFill>
                    <a:blip r:embed="rId31">
                      <a:extLst>
                        <a:ext uri="{28A0092B-C50C-407E-A947-70E740481C1C}">
                          <a14:useLocalDpi xmlns:a14="http://schemas.microsoft.com/office/drawing/2010/main" val="0"/>
                        </a:ext>
                      </a:extLst>
                    </a:blip>
                    <a:stretch>
                      <a:fillRect/>
                    </a:stretch>
                  </pic:blipFill>
                  <pic:spPr>
                    <a:xfrm>
                      <a:off x="0" y="0"/>
                      <a:ext cx="3502660" cy="3966899"/>
                    </a:xfrm>
                    <a:prstGeom prst="rect">
                      <a:avLst/>
                    </a:prstGeom>
                  </pic:spPr>
                </pic:pic>
              </a:graphicData>
            </a:graphic>
            <wp14:sizeRelH relativeFrom="margin">
              <wp14:pctWidth>0</wp14:pctWidth>
            </wp14:sizeRelH>
            <wp14:sizeRelV relativeFrom="margin">
              <wp14:pctHeight>0</wp14:pctHeight>
            </wp14:sizeRelV>
          </wp:anchor>
        </w:drawing>
      </w:r>
    </w:p>
    <w:p w14:paraId="5F393128" w14:textId="5B629543" w:rsidR="001B7D85" w:rsidRPr="00925095" w:rsidRDefault="001B7D85" w:rsidP="001B7D85">
      <w:pPr>
        <w:rPr>
          <w:rFonts w:ascii="Times New Roman" w:hAnsi="Times New Roman" w:cs="Times New Roman"/>
          <w:sz w:val="20"/>
          <w:szCs w:val="20"/>
        </w:rPr>
      </w:pPr>
    </w:p>
    <w:p w14:paraId="1C630452" w14:textId="4FC22077" w:rsidR="001B7D85" w:rsidRPr="00925095" w:rsidRDefault="001B7D85" w:rsidP="001B7D85">
      <w:pPr>
        <w:rPr>
          <w:rFonts w:ascii="Times New Roman" w:hAnsi="Times New Roman" w:cs="Times New Roman"/>
          <w:sz w:val="20"/>
          <w:szCs w:val="20"/>
        </w:rPr>
      </w:pPr>
    </w:p>
    <w:p w14:paraId="3D24A00B" w14:textId="6113A357" w:rsidR="001B7D85" w:rsidRPr="00925095" w:rsidRDefault="001B7D85" w:rsidP="001B7D85">
      <w:pPr>
        <w:rPr>
          <w:rFonts w:ascii="Times New Roman" w:hAnsi="Times New Roman" w:cs="Times New Roman"/>
          <w:sz w:val="20"/>
          <w:szCs w:val="20"/>
        </w:rPr>
      </w:pPr>
    </w:p>
    <w:p w14:paraId="4CBF876B" w14:textId="4375DC23" w:rsidR="001B7D85" w:rsidRPr="00925095" w:rsidRDefault="001B7D85" w:rsidP="001B7D85">
      <w:pPr>
        <w:rPr>
          <w:rFonts w:ascii="Times New Roman" w:hAnsi="Times New Roman" w:cs="Times New Roman"/>
          <w:sz w:val="20"/>
          <w:szCs w:val="20"/>
        </w:rPr>
      </w:pPr>
    </w:p>
    <w:p w14:paraId="1E07EA45" w14:textId="0BEC2F4C" w:rsidR="001B7D85" w:rsidRPr="00925095" w:rsidRDefault="001B7D85" w:rsidP="001B7D85">
      <w:pPr>
        <w:rPr>
          <w:rFonts w:ascii="Times New Roman" w:hAnsi="Times New Roman" w:cs="Times New Roman"/>
          <w:sz w:val="20"/>
          <w:szCs w:val="20"/>
        </w:rPr>
      </w:pPr>
    </w:p>
    <w:p w14:paraId="60D25835" w14:textId="4AA93DE2" w:rsidR="001B7D85" w:rsidRPr="00925095" w:rsidRDefault="001B7D85" w:rsidP="001B7D85">
      <w:pPr>
        <w:tabs>
          <w:tab w:val="left" w:pos="5550"/>
        </w:tabs>
        <w:rPr>
          <w:rFonts w:ascii="Times New Roman" w:hAnsi="Times New Roman" w:cs="Times New Roman"/>
          <w:sz w:val="20"/>
          <w:szCs w:val="20"/>
        </w:rPr>
      </w:pPr>
      <w:r w:rsidRPr="00925095">
        <w:rPr>
          <w:rFonts w:ascii="Times New Roman" w:hAnsi="Times New Roman" w:cs="Times New Roman"/>
          <w:sz w:val="20"/>
          <w:szCs w:val="20"/>
        </w:rPr>
        <w:tab/>
      </w:r>
    </w:p>
    <w:p w14:paraId="03FE31EF" w14:textId="14EB0C8D" w:rsidR="001B7D85" w:rsidRPr="00925095" w:rsidRDefault="001B7D85" w:rsidP="001B7D85">
      <w:pPr>
        <w:rPr>
          <w:rFonts w:ascii="Times New Roman" w:hAnsi="Times New Roman" w:cs="Times New Roman"/>
          <w:sz w:val="20"/>
          <w:szCs w:val="20"/>
        </w:rPr>
      </w:pPr>
    </w:p>
    <w:p w14:paraId="0890D0FC" w14:textId="7697ED0E" w:rsidR="001B7D85" w:rsidRPr="00925095" w:rsidRDefault="001B7D85" w:rsidP="001B7D85">
      <w:pPr>
        <w:rPr>
          <w:rFonts w:ascii="Times New Roman" w:hAnsi="Times New Roman" w:cs="Times New Roman"/>
          <w:sz w:val="20"/>
          <w:szCs w:val="20"/>
        </w:rPr>
      </w:pPr>
    </w:p>
    <w:p w14:paraId="4E0B1A72" w14:textId="35EC506A" w:rsidR="001B7D85" w:rsidRPr="00925095" w:rsidRDefault="001B7D85" w:rsidP="001B7D85">
      <w:pPr>
        <w:rPr>
          <w:rFonts w:ascii="Times New Roman" w:hAnsi="Times New Roman" w:cs="Times New Roman"/>
          <w:sz w:val="20"/>
          <w:szCs w:val="20"/>
        </w:rPr>
      </w:pPr>
    </w:p>
    <w:p w14:paraId="45626BE6" w14:textId="77777777" w:rsidR="001B7D85" w:rsidRPr="00925095" w:rsidRDefault="001B7D85" w:rsidP="001B7D85">
      <w:pPr>
        <w:rPr>
          <w:rFonts w:ascii="Times New Roman" w:hAnsi="Times New Roman" w:cs="Times New Roman"/>
          <w:sz w:val="20"/>
          <w:szCs w:val="20"/>
        </w:rPr>
      </w:pPr>
    </w:p>
    <w:p w14:paraId="77ABDA7A" w14:textId="39364547" w:rsidR="001B7D85" w:rsidRPr="00925095" w:rsidRDefault="001B7D85" w:rsidP="001B7D85">
      <w:pPr>
        <w:rPr>
          <w:rFonts w:ascii="Times New Roman" w:hAnsi="Times New Roman" w:cs="Times New Roman"/>
          <w:sz w:val="20"/>
          <w:szCs w:val="20"/>
        </w:rPr>
      </w:pPr>
    </w:p>
    <w:p w14:paraId="125F62D9" w14:textId="0ED1D251" w:rsidR="001B7D85" w:rsidRPr="00925095" w:rsidRDefault="001B7D85" w:rsidP="001B7D85">
      <w:pPr>
        <w:tabs>
          <w:tab w:val="left" w:pos="7965"/>
        </w:tabs>
        <w:rPr>
          <w:rFonts w:ascii="Times New Roman" w:hAnsi="Times New Roman" w:cs="Times New Roman"/>
          <w:sz w:val="20"/>
          <w:szCs w:val="20"/>
        </w:rPr>
      </w:pPr>
      <w:r w:rsidRPr="00925095">
        <w:rPr>
          <w:rFonts w:ascii="Times New Roman" w:hAnsi="Times New Roman" w:cs="Times New Roman"/>
          <w:sz w:val="20"/>
          <w:szCs w:val="20"/>
        </w:rPr>
        <w:tab/>
      </w:r>
    </w:p>
    <w:p w14:paraId="4381F94D" w14:textId="36C66C55" w:rsidR="001B7D85" w:rsidRPr="00925095" w:rsidRDefault="001B7D85" w:rsidP="001B7D85">
      <w:pPr>
        <w:tabs>
          <w:tab w:val="left" w:pos="7965"/>
        </w:tabs>
        <w:rPr>
          <w:rFonts w:ascii="Times New Roman" w:hAnsi="Times New Roman" w:cs="Times New Roman"/>
          <w:sz w:val="20"/>
          <w:szCs w:val="20"/>
        </w:rPr>
      </w:pPr>
    </w:p>
    <w:p w14:paraId="506A406A" w14:textId="24148C0E" w:rsidR="001B7D85" w:rsidRPr="00925095" w:rsidRDefault="001B7D85" w:rsidP="001B7D85">
      <w:pPr>
        <w:tabs>
          <w:tab w:val="left" w:pos="7965"/>
        </w:tabs>
        <w:rPr>
          <w:rFonts w:ascii="Times New Roman" w:hAnsi="Times New Roman" w:cs="Times New Roman"/>
          <w:sz w:val="20"/>
          <w:szCs w:val="20"/>
        </w:rPr>
      </w:pPr>
    </w:p>
    <w:p w14:paraId="5051723B" w14:textId="77777777" w:rsidR="00925095" w:rsidRDefault="00925095" w:rsidP="00E81797">
      <w:pPr>
        <w:tabs>
          <w:tab w:val="left" w:pos="7965"/>
        </w:tabs>
        <w:spacing w:line="360" w:lineRule="auto"/>
        <w:jc w:val="both"/>
        <w:rPr>
          <w:rFonts w:ascii="Times New Roman" w:hAnsi="Times New Roman" w:cs="Times New Roman"/>
          <w:b/>
          <w:bCs/>
          <w:sz w:val="20"/>
          <w:szCs w:val="20"/>
        </w:rPr>
      </w:pPr>
    </w:p>
    <w:p w14:paraId="0B5E482F" w14:textId="3581D191" w:rsidR="001B7D85" w:rsidRPr="00925095" w:rsidRDefault="00E81797" w:rsidP="00E81797">
      <w:pPr>
        <w:tabs>
          <w:tab w:val="left" w:pos="7965"/>
        </w:tabs>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0768" behindDoc="1" locked="0" layoutInCell="1" allowOverlap="1" wp14:anchorId="34342329" wp14:editId="0BE0F007">
            <wp:simplePos x="0" y="0"/>
            <wp:positionH relativeFrom="column">
              <wp:posOffset>990600</wp:posOffset>
            </wp:positionH>
            <wp:positionV relativeFrom="paragraph">
              <wp:posOffset>734695</wp:posOffset>
            </wp:positionV>
            <wp:extent cx="3635940" cy="2706612"/>
            <wp:effectExtent l="0" t="0" r="3175" b="0"/>
            <wp:wrapNone/>
            <wp:docPr id="242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47" name=""/>
                    <pic:cNvPicPr/>
                  </pic:nvPicPr>
                  <pic:blipFill>
                    <a:blip r:embed="rId32">
                      <a:extLst>
                        <a:ext uri="{28A0092B-C50C-407E-A947-70E740481C1C}">
                          <a14:useLocalDpi xmlns:a14="http://schemas.microsoft.com/office/drawing/2010/main" val="0"/>
                        </a:ext>
                      </a:extLst>
                    </a:blip>
                    <a:stretch>
                      <a:fillRect/>
                    </a:stretch>
                  </pic:blipFill>
                  <pic:spPr>
                    <a:xfrm>
                      <a:off x="0" y="0"/>
                      <a:ext cx="3635940" cy="2706612"/>
                    </a:xfrm>
                    <a:prstGeom prst="rect">
                      <a:avLst/>
                    </a:prstGeom>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b/>
          <w:bCs/>
          <w:sz w:val="20"/>
          <w:szCs w:val="20"/>
        </w:rPr>
        <w:t>Figure 14:</w:t>
      </w:r>
      <w:r w:rsidRPr="00925095">
        <w:rPr>
          <w:rFonts w:ascii="Times New Roman" w:hAnsi="Times New Roman" w:cs="Times New Roman"/>
          <w:sz w:val="20"/>
          <w:szCs w:val="20"/>
        </w:rPr>
        <w:t xml:space="preserve"> Temporal map showing the persistence and multiplicity of contacts between specific protein residues and esculetin over 100 ns. Darker shades represent higher contact frequency, highlighting key residues that maintain interactions throughout the simulation.</w:t>
      </w:r>
    </w:p>
    <w:p w14:paraId="12C2DAB2" w14:textId="270619D2" w:rsidR="00E81797" w:rsidRPr="00925095" w:rsidRDefault="00E81797" w:rsidP="00E81797">
      <w:pPr>
        <w:tabs>
          <w:tab w:val="left" w:pos="7965"/>
        </w:tabs>
        <w:spacing w:line="360" w:lineRule="auto"/>
        <w:jc w:val="both"/>
        <w:rPr>
          <w:rFonts w:ascii="Times New Roman" w:hAnsi="Times New Roman" w:cs="Times New Roman"/>
          <w:sz w:val="20"/>
          <w:szCs w:val="20"/>
        </w:rPr>
      </w:pPr>
    </w:p>
    <w:p w14:paraId="0F4B3143" w14:textId="5C43362C" w:rsidR="00E81797" w:rsidRPr="00925095" w:rsidRDefault="00E81797" w:rsidP="001B7D85">
      <w:pPr>
        <w:tabs>
          <w:tab w:val="left" w:pos="7965"/>
        </w:tabs>
        <w:rPr>
          <w:rFonts w:ascii="Times New Roman" w:hAnsi="Times New Roman" w:cs="Times New Roman"/>
          <w:sz w:val="20"/>
          <w:szCs w:val="20"/>
        </w:rPr>
      </w:pPr>
    </w:p>
    <w:p w14:paraId="68990FBD" w14:textId="3C4AE057" w:rsidR="00E81797" w:rsidRPr="00925095" w:rsidRDefault="00E81797" w:rsidP="001B7D85">
      <w:pPr>
        <w:tabs>
          <w:tab w:val="left" w:pos="7965"/>
        </w:tabs>
        <w:rPr>
          <w:rFonts w:ascii="Times New Roman" w:hAnsi="Times New Roman" w:cs="Times New Roman"/>
          <w:sz w:val="20"/>
          <w:szCs w:val="20"/>
        </w:rPr>
      </w:pPr>
    </w:p>
    <w:p w14:paraId="6BA82BF3" w14:textId="5ABB1DF1" w:rsidR="00E81797" w:rsidRPr="00925095" w:rsidRDefault="00E81797" w:rsidP="001B7D85">
      <w:pPr>
        <w:tabs>
          <w:tab w:val="left" w:pos="7965"/>
        </w:tabs>
        <w:rPr>
          <w:rFonts w:ascii="Times New Roman" w:hAnsi="Times New Roman" w:cs="Times New Roman"/>
          <w:sz w:val="20"/>
          <w:szCs w:val="20"/>
        </w:rPr>
      </w:pPr>
    </w:p>
    <w:p w14:paraId="10871FAF" w14:textId="3B0D52CA" w:rsidR="00E81797" w:rsidRPr="00925095" w:rsidRDefault="00E81797" w:rsidP="001B7D85">
      <w:pPr>
        <w:tabs>
          <w:tab w:val="left" w:pos="7965"/>
        </w:tabs>
        <w:rPr>
          <w:rFonts w:ascii="Times New Roman" w:hAnsi="Times New Roman" w:cs="Times New Roman"/>
          <w:sz w:val="20"/>
          <w:szCs w:val="20"/>
        </w:rPr>
      </w:pPr>
    </w:p>
    <w:p w14:paraId="1EDC378F" w14:textId="77777777" w:rsidR="00E81797" w:rsidRPr="00925095" w:rsidRDefault="00E81797" w:rsidP="001B7D85">
      <w:pPr>
        <w:tabs>
          <w:tab w:val="left" w:pos="7965"/>
        </w:tabs>
        <w:rPr>
          <w:rFonts w:ascii="Times New Roman" w:hAnsi="Times New Roman" w:cs="Times New Roman"/>
          <w:sz w:val="20"/>
          <w:szCs w:val="20"/>
        </w:rPr>
      </w:pPr>
    </w:p>
    <w:p w14:paraId="601C3112" w14:textId="77777777" w:rsidR="00E81797" w:rsidRPr="00925095" w:rsidRDefault="00E81797" w:rsidP="001B7D85">
      <w:pPr>
        <w:tabs>
          <w:tab w:val="left" w:pos="7965"/>
        </w:tabs>
        <w:rPr>
          <w:rFonts w:ascii="Times New Roman" w:hAnsi="Times New Roman" w:cs="Times New Roman"/>
          <w:sz w:val="20"/>
          <w:szCs w:val="20"/>
        </w:rPr>
      </w:pPr>
    </w:p>
    <w:p w14:paraId="14C750A5" w14:textId="77777777" w:rsidR="00E81797" w:rsidRPr="00925095" w:rsidRDefault="00E81797" w:rsidP="001B7D85">
      <w:pPr>
        <w:tabs>
          <w:tab w:val="left" w:pos="7965"/>
        </w:tabs>
        <w:rPr>
          <w:rFonts w:ascii="Times New Roman" w:hAnsi="Times New Roman" w:cs="Times New Roman"/>
          <w:sz w:val="20"/>
          <w:szCs w:val="20"/>
        </w:rPr>
      </w:pPr>
    </w:p>
    <w:p w14:paraId="4F74598E" w14:textId="77777777" w:rsidR="00925095" w:rsidRDefault="00925095" w:rsidP="00E81797">
      <w:pPr>
        <w:tabs>
          <w:tab w:val="left" w:pos="7965"/>
        </w:tabs>
        <w:spacing w:line="360" w:lineRule="auto"/>
        <w:jc w:val="both"/>
        <w:rPr>
          <w:rFonts w:ascii="Times New Roman" w:hAnsi="Times New Roman" w:cs="Times New Roman"/>
          <w:b/>
          <w:bCs/>
          <w:sz w:val="20"/>
          <w:szCs w:val="20"/>
        </w:rPr>
      </w:pPr>
    </w:p>
    <w:p w14:paraId="34C318EE" w14:textId="77777777" w:rsidR="00925095" w:rsidRDefault="00925095" w:rsidP="00E81797">
      <w:pPr>
        <w:tabs>
          <w:tab w:val="left" w:pos="7965"/>
        </w:tabs>
        <w:spacing w:line="360" w:lineRule="auto"/>
        <w:jc w:val="both"/>
        <w:rPr>
          <w:rFonts w:ascii="Times New Roman" w:hAnsi="Times New Roman" w:cs="Times New Roman"/>
          <w:b/>
          <w:bCs/>
          <w:sz w:val="20"/>
          <w:szCs w:val="20"/>
        </w:rPr>
      </w:pPr>
    </w:p>
    <w:p w14:paraId="094814EA" w14:textId="77777777" w:rsidR="00925095" w:rsidRDefault="00925095" w:rsidP="00E81797">
      <w:pPr>
        <w:tabs>
          <w:tab w:val="left" w:pos="7965"/>
        </w:tabs>
        <w:spacing w:line="360" w:lineRule="auto"/>
        <w:jc w:val="both"/>
        <w:rPr>
          <w:rFonts w:ascii="Times New Roman" w:hAnsi="Times New Roman" w:cs="Times New Roman"/>
          <w:b/>
          <w:bCs/>
          <w:sz w:val="20"/>
          <w:szCs w:val="20"/>
        </w:rPr>
      </w:pPr>
    </w:p>
    <w:p w14:paraId="2BA80C99" w14:textId="3BA02213" w:rsidR="00E81797" w:rsidRPr="00925095" w:rsidRDefault="00E81797" w:rsidP="00E81797">
      <w:pPr>
        <w:tabs>
          <w:tab w:val="left" w:pos="7965"/>
        </w:tabs>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15:</w:t>
      </w:r>
      <w:r w:rsidRPr="00925095">
        <w:rPr>
          <w:rFonts w:ascii="Times New Roman" w:hAnsi="Times New Roman" w:cs="Times New Roman"/>
          <w:sz w:val="20"/>
          <w:szCs w:val="20"/>
        </w:rPr>
        <w:t xml:space="preserve"> Two-dimensional interaction diagram depicting esculetin–protein contacts persisting for more than 30% of the simulation time. Hydrogen bonds (green dashed lines), hydrophobic interactions (orange), and water-mediated contacts (blue) are annotated with interacting residues.</w:t>
      </w:r>
    </w:p>
    <w:p w14:paraId="4197599D" w14:textId="62777DF6" w:rsidR="00E81797" w:rsidRPr="00925095" w:rsidRDefault="00E81797" w:rsidP="001B7D85">
      <w:pPr>
        <w:tabs>
          <w:tab w:val="left" w:pos="7965"/>
        </w:tabs>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81792" behindDoc="1" locked="0" layoutInCell="1" allowOverlap="1" wp14:anchorId="395452C5" wp14:editId="48D1680D">
            <wp:simplePos x="0" y="0"/>
            <wp:positionH relativeFrom="column">
              <wp:posOffset>561975</wp:posOffset>
            </wp:positionH>
            <wp:positionV relativeFrom="paragraph">
              <wp:posOffset>85090</wp:posOffset>
            </wp:positionV>
            <wp:extent cx="4609218" cy="5314950"/>
            <wp:effectExtent l="0" t="0" r="1270" b="0"/>
            <wp:wrapNone/>
            <wp:docPr id="30030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05706" name=""/>
                    <pic:cNvPicPr/>
                  </pic:nvPicPr>
                  <pic:blipFill>
                    <a:blip r:embed="rId33">
                      <a:extLst>
                        <a:ext uri="{28A0092B-C50C-407E-A947-70E740481C1C}">
                          <a14:useLocalDpi xmlns:a14="http://schemas.microsoft.com/office/drawing/2010/main" val="0"/>
                        </a:ext>
                      </a:extLst>
                    </a:blip>
                    <a:stretch>
                      <a:fillRect/>
                    </a:stretch>
                  </pic:blipFill>
                  <pic:spPr>
                    <a:xfrm>
                      <a:off x="0" y="0"/>
                      <a:ext cx="4609218" cy="5314950"/>
                    </a:xfrm>
                    <a:prstGeom prst="rect">
                      <a:avLst/>
                    </a:prstGeom>
                  </pic:spPr>
                </pic:pic>
              </a:graphicData>
            </a:graphic>
            <wp14:sizeRelH relativeFrom="margin">
              <wp14:pctWidth>0</wp14:pctWidth>
            </wp14:sizeRelH>
            <wp14:sizeRelV relativeFrom="margin">
              <wp14:pctHeight>0</wp14:pctHeight>
            </wp14:sizeRelV>
          </wp:anchor>
        </w:drawing>
      </w:r>
    </w:p>
    <w:p w14:paraId="1E3AD1B6" w14:textId="73E63B22" w:rsidR="001B7D85" w:rsidRPr="00925095" w:rsidRDefault="001B7D85" w:rsidP="001B7D85">
      <w:pPr>
        <w:tabs>
          <w:tab w:val="left" w:pos="7965"/>
        </w:tabs>
        <w:rPr>
          <w:rFonts w:ascii="Times New Roman" w:hAnsi="Times New Roman" w:cs="Times New Roman"/>
          <w:sz w:val="20"/>
          <w:szCs w:val="20"/>
        </w:rPr>
      </w:pPr>
    </w:p>
    <w:p w14:paraId="7ED529FE" w14:textId="77777777" w:rsidR="001B7D85" w:rsidRPr="00925095" w:rsidRDefault="001B7D85" w:rsidP="001B7D85">
      <w:pPr>
        <w:tabs>
          <w:tab w:val="left" w:pos="7965"/>
        </w:tabs>
        <w:rPr>
          <w:rFonts w:ascii="Times New Roman" w:hAnsi="Times New Roman" w:cs="Times New Roman"/>
          <w:sz w:val="20"/>
          <w:szCs w:val="20"/>
        </w:rPr>
      </w:pPr>
    </w:p>
    <w:p w14:paraId="1A2FF7C8" w14:textId="77777777" w:rsidR="001B7D85" w:rsidRPr="00925095" w:rsidRDefault="001B7D85" w:rsidP="001B7D85">
      <w:pPr>
        <w:tabs>
          <w:tab w:val="left" w:pos="7965"/>
        </w:tabs>
        <w:rPr>
          <w:rFonts w:ascii="Times New Roman" w:hAnsi="Times New Roman" w:cs="Times New Roman"/>
          <w:sz w:val="20"/>
          <w:szCs w:val="20"/>
        </w:rPr>
      </w:pPr>
    </w:p>
    <w:p w14:paraId="113833DD" w14:textId="13E32BF3" w:rsidR="001B7D85" w:rsidRPr="00925095" w:rsidRDefault="001B7D85" w:rsidP="001B7D85">
      <w:pPr>
        <w:tabs>
          <w:tab w:val="left" w:pos="7965"/>
        </w:tabs>
        <w:rPr>
          <w:rFonts w:ascii="Times New Roman" w:hAnsi="Times New Roman" w:cs="Times New Roman"/>
          <w:sz w:val="20"/>
          <w:szCs w:val="20"/>
        </w:rPr>
      </w:pPr>
    </w:p>
    <w:p w14:paraId="57BBA117" w14:textId="77777777" w:rsidR="001B7D85" w:rsidRPr="00925095" w:rsidRDefault="001B7D85" w:rsidP="001B7D85">
      <w:pPr>
        <w:tabs>
          <w:tab w:val="left" w:pos="7965"/>
        </w:tabs>
        <w:rPr>
          <w:rFonts w:ascii="Times New Roman" w:hAnsi="Times New Roman" w:cs="Times New Roman"/>
          <w:sz w:val="20"/>
          <w:szCs w:val="20"/>
        </w:rPr>
      </w:pPr>
    </w:p>
    <w:p w14:paraId="6159C1A3" w14:textId="446F0132" w:rsidR="001B7D85" w:rsidRPr="00925095" w:rsidRDefault="001B7D85" w:rsidP="001B7D85">
      <w:pPr>
        <w:tabs>
          <w:tab w:val="left" w:pos="7965"/>
        </w:tabs>
        <w:rPr>
          <w:rFonts w:ascii="Times New Roman" w:hAnsi="Times New Roman" w:cs="Times New Roman"/>
          <w:sz w:val="20"/>
          <w:szCs w:val="20"/>
        </w:rPr>
      </w:pPr>
    </w:p>
    <w:p w14:paraId="7C60D8F9" w14:textId="77777777" w:rsidR="001B7D85" w:rsidRPr="00925095" w:rsidRDefault="001B7D85" w:rsidP="001B7D85">
      <w:pPr>
        <w:tabs>
          <w:tab w:val="left" w:pos="7965"/>
        </w:tabs>
        <w:rPr>
          <w:rFonts w:ascii="Times New Roman" w:hAnsi="Times New Roman" w:cs="Times New Roman"/>
          <w:sz w:val="20"/>
          <w:szCs w:val="20"/>
        </w:rPr>
      </w:pPr>
    </w:p>
    <w:p w14:paraId="446A0628" w14:textId="77777777" w:rsidR="001B7D85" w:rsidRPr="00925095" w:rsidRDefault="001B7D85" w:rsidP="001B7D85">
      <w:pPr>
        <w:tabs>
          <w:tab w:val="left" w:pos="7965"/>
        </w:tabs>
        <w:rPr>
          <w:rFonts w:ascii="Times New Roman" w:hAnsi="Times New Roman" w:cs="Times New Roman"/>
          <w:sz w:val="20"/>
          <w:szCs w:val="20"/>
        </w:rPr>
      </w:pPr>
    </w:p>
    <w:p w14:paraId="36CF83BE" w14:textId="7E8B1CC0" w:rsidR="001B7D85" w:rsidRPr="00925095" w:rsidRDefault="001B7D85" w:rsidP="001B7D85">
      <w:pPr>
        <w:tabs>
          <w:tab w:val="left" w:pos="7965"/>
        </w:tabs>
        <w:rPr>
          <w:rFonts w:ascii="Times New Roman" w:hAnsi="Times New Roman" w:cs="Times New Roman"/>
          <w:sz w:val="20"/>
          <w:szCs w:val="20"/>
        </w:rPr>
      </w:pPr>
    </w:p>
    <w:p w14:paraId="1332C9C8" w14:textId="77777777" w:rsidR="001B7D85" w:rsidRPr="00925095" w:rsidRDefault="001B7D85" w:rsidP="001B7D85">
      <w:pPr>
        <w:tabs>
          <w:tab w:val="left" w:pos="7965"/>
        </w:tabs>
        <w:rPr>
          <w:rFonts w:ascii="Times New Roman" w:hAnsi="Times New Roman" w:cs="Times New Roman"/>
          <w:sz w:val="20"/>
          <w:szCs w:val="20"/>
        </w:rPr>
      </w:pPr>
    </w:p>
    <w:p w14:paraId="59000445" w14:textId="77777777" w:rsidR="001B7D85" w:rsidRPr="00925095" w:rsidRDefault="001B7D85" w:rsidP="001B7D85">
      <w:pPr>
        <w:tabs>
          <w:tab w:val="left" w:pos="7965"/>
        </w:tabs>
        <w:rPr>
          <w:rFonts w:ascii="Times New Roman" w:hAnsi="Times New Roman" w:cs="Times New Roman"/>
          <w:sz w:val="20"/>
          <w:szCs w:val="20"/>
        </w:rPr>
      </w:pPr>
    </w:p>
    <w:p w14:paraId="4611AEAA" w14:textId="5AA08F71" w:rsidR="001B7D85" w:rsidRPr="00925095" w:rsidRDefault="001B7D85" w:rsidP="001B7D85">
      <w:pPr>
        <w:tabs>
          <w:tab w:val="left" w:pos="7965"/>
        </w:tabs>
        <w:rPr>
          <w:rFonts w:ascii="Times New Roman" w:hAnsi="Times New Roman" w:cs="Times New Roman"/>
          <w:sz w:val="20"/>
          <w:szCs w:val="20"/>
        </w:rPr>
      </w:pPr>
    </w:p>
    <w:p w14:paraId="0D96AECA" w14:textId="77777777" w:rsidR="001B7D85" w:rsidRPr="00925095" w:rsidRDefault="001B7D85" w:rsidP="001B7D85">
      <w:pPr>
        <w:tabs>
          <w:tab w:val="left" w:pos="7965"/>
        </w:tabs>
        <w:rPr>
          <w:rFonts w:ascii="Times New Roman" w:hAnsi="Times New Roman" w:cs="Times New Roman"/>
          <w:sz w:val="20"/>
          <w:szCs w:val="20"/>
        </w:rPr>
      </w:pPr>
    </w:p>
    <w:p w14:paraId="17447540" w14:textId="57694767" w:rsidR="001B7D85" w:rsidRPr="00925095" w:rsidRDefault="001B7D85" w:rsidP="001B7D85">
      <w:pPr>
        <w:tabs>
          <w:tab w:val="left" w:pos="7965"/>
        </w:tabs>
        <w:rPr>
          <w:rFonts w:ascii="Times New Roman" w:hAnsi="Times New Roman" w:cs="Times New Roman"/>
          <w:sz w:val="20"/>
          <w:szCs w:val="20"/>
        </w:rPr>
      </w:pPr>
    </w:p>
    <w:p w14:paraId="66F7BC21" w14:textId="6082B1C5" w:rsidR="001B7D85" w:rsidRPr="00925095" w:rsidRDefault="001B7D85" w:rsidP="001B7D85">
      <w:pPr>
        <w:tabs>
          <w:tab w:val="left" w:pos="7965"/>
        </w:tabs>
        <w:rPr>
          <w:rFonts w:ascii="Times New Roman" w:hAnsi="Times New Roman" w:cs="Times New Roman"/>
          <w:sz w:val="20"/>
          <w:szCs w:val="20"/>
        </w:rPr>
      </w:pPr>
    </w:p>
    <w:p w14:paraId="694B4510" w14:textId="2C6F4D1C" w:rsidR="001B7D85" w:rsidRPr="00925095" w:rsidRDefault="001B7D85" w:rsidP="001B7D85">
      <w:pPr>
        <w:rPr>
          <w:rFonts w:ascii="Times New Roman" w:hAnsi="Times New Roman" w:cs="Times New Roman"/>
          <w:sz w:val="20"/>
          <w:szCs w:val="20"/>
        </w:rPr>
      </w:pPr>
    </w:p>
    <w:p w14:paraId="32B15967" w14:textId="1658B2A1" w:rsidR="001B7D85" w:rsidRPr="00925095" w:rsidRDefault="001B7D85" w:rsidP="001B7D85">
      <w:pPr>
        <w:rPr>
          <w:rFonts w:ascii="Times New Roman" w:hAnsi="Times New Roman" w:cs="Times New Roman"/>
          <w:sz w:val="20"/>
          <w:szCs w:val="20"/>
        </w:rPr>
      </w:pPr>
    </w:p>
    <w:p w14:paraId="499A41FC" w14:textId="304D6C1C" w:rsidR="001B7D85" w:rsidRPr="00925095" w:rsidRDefault="001B7D85" w:rsidP="001B7D85">
      <w:pPr>
        <w:rPr>
          <w:rFonts w:ascii="Times New Roman" w:hAnsi="Times New Roman" w:cs="Times New Roman"/>
          <w:sz w:val="20"/>
          <w:szCs w:val="20"/>
        </w:rPr>
      </w:pPr>
    </w:p>
    <w:p w14:paraId="2C5988F5" w14:textId="5221D384" w:rsidR="001B7D85" w:rsidRPr="00925095" w:rsidRDefault="001B7D85" w:rsidP="001B7D85">
      <w:pPr>
        <w:rPr>
          <w:rFonts w:ascii="Times New Roman" w:hAnsi="Times New Roman" w:cs="Times New Roman"/>
          <w:sz w:val="20"/>
          <w:szCs w:val="20"/>
        </w:rPr>
      </w:pPr>
    </w:p>
    <w:p w14:paraId="6557C766" w14:textId="77777777" w:rsidR="00925095" w:rsidRDefault="00925095" w:rsidP="00E81797">
      <w:pPr>
        <w:spacing w:line="360" w:lineRule="auto"/>
        <w:jc w:val="both"/>
        <w:rPr>
          <w:rFonts w:ascii="Times New Roman" w:hAnsi="Times New Roman" w:cs="Times New Roman"/>
          <w:b/>
          <w:bCs/>
          <w:sz w:val="20"/>
          <w:szCs w:val="20"/>
        </w:rPr>
      </w:pPr>
    </w:p>
    <w:p w14:paraId="1E859E7F" w14:textId="4A91CF20" w:rsidR="00925095" w:rsidRDefault="00E81797" w:rsidP="00925095">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16:</w:t>
      </w:r>
      <w:r w:rsidRPr="00925095">
        <w:rPr>
          <w:rFonts w:ascii="Times New Roman" w:hAnsi="Times New Roman" w:cs="Times New Roman"/>
          <w:sz w:val="20"/>
          <w:szCs w:val="20"/>
        </w:rPr>
        <w:t xml:space="preserve"> Radial and histogram plots for each rotatable bond (RB) in esculetin, color-coded according to the 2D structure. The torsional angles remained largely confined to low-energy conformations, indicating minimal strain in the bound state.</w:t>
      </w:r>
    </w:p>
    <w:p w14:paraId="5E5E4C51" w14:textId="56C3DE88" w:rsidR="001B7D85" w:rsidRPr="00925095" w:rsidRDefault="00925095" w:rsidP="00925095">
      <w:pPr>
        <w:spacing w:line="360" w:lineRule="auto"/>
        <w:jc w:val="both"/>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2816" behindDoc="1" locked="0" layoutInCell="1" allowOverlap="1" wp14:anchorId="1B090BCD" wp14:editId="620AC706">
            <wp:simplePos x="0" y="0"/>
            <wp:positionH relativeFrom="column">
              <wp:posOffset>1351650</wp:posOffset>
            </wp:positionH>
            <wp:positionV relativeFrom="paragraph">
              <wp:posOffset>7636</wp:posOffset>
            </wp:positionV>
            <wp:extent cx="3470189" cy="2824671"/>
            <wp:effectExtent l="0" t="0" r="0" b="0"/>
            <wp:wrapNone/>
            <wp:docPr id="1456616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16051" name=""/>
                    <pic:cNvPicPr/>
                  </pic:nvPicPr>
                  <pic:blipFill>
                    <a:blip r:embed="rId34">
                      <a:extLst>
                        <a:ext uri="{28A0092B-C50C-407E-A947-70E740481C1C}">
                          <a14:useLocalDpi xmlns:a14="http://schemas.microsoft.com/office/drawing/2010/main" val="0"/>
                        </a:ext>
                      </a:extLst>
                    </a:blip>
                    <a:stretch>
                      <a:fillRect/>
                    </a:stretch>
                  </pic:blipFill>
                  <pic:spPr>
                    <a:xfrm>
                      <a:off x="0" y="0"/>
                      <a:ext cx="3470189" cy="2824671"/>
                    </a:xfrm>
                    <a:prstGeom prst="rect">
                      <a:avLst/>
                    </a:prstGeom>
                  </pic:spPr>
                </pic:pic>
              </a:graphicData>
            </a:graphic>
            <wp14:sizeRelH relativeFrom="margin">
              <wp14:pctWidth>0</wp14:pctWidth>
            </wp14:sizeRelH>
            <wp14:sizeRelV relativeFrom="margin">
              <wp14:pctHeight>0</wp14:pctHeight>
            </wp14:sizeRelV>
          </wp:anchor>
        </w:drawing>
      </w:r>
    </w:p>
    <w:p w14:paraId="15CFB57F" w14:textId="10DCB7B0" w:rsidR="001B7D85" w:rsidRPr="00925095" w:rsidRDefault="001B7D85" w:rsidP="001B7D85">
      <w:pPr>
        <w:rPr>
          <w:rFonts w:ascii="Times New Roman" w:hAnsi="Times New Roman" w:cs="Times New Roman"/>
          <w:sz w:val="20"/>
          <w:szCs w:val="20"/>
        </w:rPr>
      </w:pPr>
    </w:p>
    <w:p w14:paraId="2E3D6F0E" w14:textId="7AE8C968" w:rsidR="001B7D85" w:rsidRPr="00925095" w:rsidRDefault="001B7D85" w:rsidP="001B7D85">
      <w:pPr>
        <w:rPr>
          <w:rFonts w:ascii="Times New Roman" w:hAnsi="Times New Roman" w:cs="Times New Roman"/>
          <w:sz w:val="20"/>
          <w:szCs w:val="20"/>
        </w:rPr>
      </w:pPr>
    </w:p>
    <w:p w14:paraId="1F524273" w14:textId="331CE7B1" w:rsidR="001B7D85" w:rsidRPr="00925095" w:rsidRDefault="001B7D85" w:rsidP="001B7D85">
      <w:pPr>
        <w:rPr>
          <w:rFonts w:ascii="Times New Roman" w:hAnsi="Times New Roman" w:cs="Times New Roman"/>
          <w:sz w:val="20"/>
          <w:szCs w:val="20"/>
        </w:rPr>
      </w:pPr>
    </w:p>
    <w:p w14:paraId="769DB5D6" w14:textId="4DCD8296" w:rsidR="001B7D85" w:rsidRPr="00925095" w:rsidRDefault="001B7D85" w:rsidP="001B7D85">
      <w:pPr>
        <w:rPr>
          <w:rFonts w:ascii="Times New Roman" w:hAnsi="Times New Roman" w:cs="Times New Roman"/>
          <w:sz w:val="20"/>
          <w:szCs w:val="20"/>
        </w:rPr>
      </w:pPr>
    </w:p>
    <w:p w14:paraId="4262CF83" w14:textId="5447F28A" w:rsidR="001B7D85" w:rsidRPr="00925095" w:rsidRDefault="001B7D85" w:rsidP="001B7D85">
      <w:pPr>
        <w:rPr>
          <w:rFonts w:ascii="Times New Roman" w:hAnsi="Times New Roman" w:cs="Times New Roman"/>
          <w:sz w:val="20"/>
          <w:szCs w:val="20"/>
        </w:rPr>
      </w:pPr>
    </w:p>
    <w:p w14:paraId="4B17E932" w14:textId="586FF776" w:rsidR="001B7D85" w:rsidRPr="00925095" w:rsidRDefault="001B7D85" w:rsidP="001B7D85">
      <w:pPr>
        <w:rPr>
          <w:rFonts w:ascii="Times New Roman" w:hAnsi="Times New Roman" w:cs="Times New Roman"/>
          <w:sz w:val="20"/>
          <w:szCs w:val="20"/>
        </w:rPr>
      </w:pPr>
    </w:p>
    <w:p w14:paraId="539DC5AE" w14:textId="77777777" w:rsidR="00E81797" w:rsidRPr="00925095" w:rsidRDefault="00E81797" w:rsidP="00E81797">
      <w:pPr>
        <w:rPr>
          <w:rFonts w:ascii="Times New Roman" w:hAnsi="Times New Roman" w:cs="Times New Roman"/>
          <w:sz w:val="20"/>
          <w:szCs w:val="20"/>
        </w:rPr>
      </w:pPr>
    </w:p>
    <w:p w14:paraId="78B021C4" w14:textId="77777777" w:rsidR="00E81797" w:rsidRPr="00925095" w:rsidRDefault="00E81797" w:rsidP="00E81797">
      <w:pPr>
        <w:rPr>
          <w:rFonts w:ascii="Times New Roman" w:hAnsi="Times New Roman" w:cs="Times New Roman"/>
          <w:sz w:val="20"/>
          <w:szCs w:val="20"/>
        </w:rPr>
      </w:pPr>
    </w:p>
    <w:p w14:paraId="0C533ED6" w14:textId="116B383E" w:rsidR="00E81797" w:rsidRPr="00925095" w:rsidRDefault="00E81797" w:rsidP="00E81797">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lastRenderedPageBreak/>
        <w:t>Figure 17:</w:t>
      </w:r>
      <w:r w:rsidRPr="00925095">
        <w:rPr>
          <w:rFonts w:ascii="Times New Roman" w:hAnsi="Times New Roman" w:cs="Times New Roman"/>
          <w:sz w:val="20"/>
          <w:szCs w:val="20"/>
        </w:rPr>
        <w:t xml:space="preserve"> Plots showing RMSD, radius of gyration (</w:t>
      </w:r>
      <w:proofErr w:type="spellStart"/>
      <w:r w:rsidRPr="00925095">
        <w:rPr>
          <w:rFonts w:ascii="Times New Roman" w:hAnsi="Times New Roman" w:cs="Times New Roman"/>
          <w:sz w:val="20"/>
          <w:szCs w:val="20"/>
        </w:rPr>
        <w:t>rGyr</w:t>
      </w:r>
      <w:proofErr w:type="spellEnd"/>
      <w:r w:rsidRPr="00925095">
        <w:rPr>
          <w:rFonts w:ascii="Times New Roman" w:hAnsi="Times New Roman" w:cs="Times New Roman"/>
          <w:sz w:val="20"/>
          <w:szCs w:val="20"/>
        </w:rPr>
        <w:t>), intramolecular hydrogen bonds (</w:t>
      </w:r>
      <w:proofErr w:type="spellStart"/>
      <w:r w:rsidRPr="00925095">
        <w:rPr>
          <w:rFonts w:ascii="Times New Roman" w:hAnsi="Times New Roman" w:cs="Times New Roman"/>
          <w:sz w:val="20"/>
          <w:szCs w:val="20"/>
        </w:rPr>
        <w:t>intraHB</w:t>
      </w:r>
      <w:proofErr w:type="spellEnd"/>
      <w:r w:rsidRPr="00925095">
        <w:rPr>
          <w:rFonts w:ascii="Times New Roman" w:hAnsi="Times New Roman" w:cs="Times New Roman"/>
          <w:sz w:val="20"/>
          <w:szCs w:val="20"/>
        </w:rPr>
        <w:t>), molecular surface area (</w:t>
      </w:r>
      <w:proofErr w:type="spellStart"/>
      <w:r w:rsidRPr="00925095">
        <w:rPr>
          <w:rFonts w:ascii="Times New Roman" w:hAnsi="Times New Roman" w:cs="Times New Roman"/>
          <w:sz w:val="20"/>
          <w:szCs w:val="20"/>
        </w:rPr>
        <w:t>MolSA</w:t>
      </w:r>
      <w:proofErr w:type="spellEnd"/>
      <w:r w:rsidRPr="00925095">
        <w:rPr>
          <w:rFonts w:ascii="Times New Roman" w:hAnsi="Times New Roman" w:cs="Times New Roman"/>
          <w:sz w:val="20"/>
          <w:szCs w:val="20"/>
        </w:rPr>
        <w:t>), solvent accessible surface area (SASA), and polar surface area (PSA) for esculetin over 100 ns. The stable trends across all parameters indicate conformational and solvation stability of the ligand in complex.</w:t>
      </w:r>
    </w:p>
    <w:p w14:paraId="10DFF2FD" w14:textId="70A7D059" w:rsidR="00AE53D4" w:rsidRPr="00925095" w:rsidRDefault="00AE53D4" w:rsidP="00E81797">
      <w:pPr>
        <w:spacing w:line="360" w:lineRule="auto"/>
        <w:jc w:val="both"/>
        <w:rPr>
          <w:rFonts w:ascii="Times New Roman" w:hAnsi="Times New Roman" w:cs="Times New Roman"/>
          <w:b/>
          <w:bCs/>
        </w:rPr>
      </w:pPr>
      <w:r w:rsidRPr="00925095">
        <w:rPr>
          <w:rFonts w:ascii="Times New Roman" w:hAnsi="Times New Roman" w:cs="Times New Roman"/>
          <w:b/>
          <w:bCs/>
        </w:rPr>
        <w:t>3.4 Neuroprotective Cell Viability Assay</w:t>
      </w:r>
    </w:p>
    <w:p w14:paraId="11B5B779" w14:textId="14F52436" w:rsidR="00E81797" w:rsidRPr="00925095" w:rsidRDefault="00F110BC" w:rsidP="00F96C0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The neuroprotective potential of esculetin was evaluated in U-87 glioblastoma cells using the MTT assay after 24 h exposure to varying concentrations (0–600 μM). As shown in Figure 18, lower concentrations (6.25–50 μM) maintained high cell viability (&gt;85%), indicating minimal cytotoxicity and potential neuroprotective action. However, a gradual decline in viability was observed at higher concentrations, with a significant reduction beyond 100 μM, suggesting that excessive dosing may compromise cell survival. Nonlinear regression analysis determined an IC₅₀ value of approximately 220 μM. Morphological examination under phase-contrast microscopy revealed that control and low-dose treated cells retained normal spindle-like morphology and confluency, whereas cells exposed to higher concentrations exhibited rounding, shrinkage, and detachment, consistent with reduced viability. These results suggest that esculetin supports U-87 cell survival at low concentrations, but high doses may diminish its neuroprotective effect</w:t>
      </w:r>
      <w:r w:rsidR="00AE53D4" w:rsidRPr="00925095">
        <w:rPr>
          <w:rFonts w:ascii="Times New Roman" w:hAnsi="Times New Roman" w:cs="Times New Roman"/>
          <w:sz w:val="20"/>
          <w:szCs w:val="20"/>
        </w:rPr>
        <w:t xml:space="preserve"> as shown in (</w:t>
      </w:r>
      <w:r w:rsidR="00AE53D4" w:rsidRPr="00925095">
        <w:rPr>
          <w:rFonts w:ascii="Times New Roman" w:hAnsi="Times New Roman" w:cs="Times New Roman"/>
          <w:b/>
          <w:bCs/>
          <w:sz w:val="20"/>
          <w:szCs w:val="20"/>
        </w:rPr>
        <w:t>Fig.18)</w:t>
      </w:r>
      <w:r w:rsidRPr="00925095">
        <w:rPr>
          <w:rFonts w:ascii="Times New Roman" w:hAnsi="Times New Roman" w:cs="Times New Roman"/>
          <w:sz w:val="20"/>
          <w:szCs w:val="20"/>
        </w:rPr>
        <w:t>.</w:t>
      </w:r>
    </w:p>
    <w:p w14:paraId="6559954E" w14:textId="10E87EAB" w:rsidR="00AE53D4" w:rsidRPr="00925095" w:rsidRDefault="00F96C0E" w:rsidP="00E81797">
      <w:pPr>
        <w:rPr>
          <w:rFonts w:ascii="Times New Roman" w:hAnsi="Times New Roman" w:cs="Times New Roman"/>
          <w:b/>
          <w:bCs/>
        </w:rPr>
      </w:pPr>
      <w:r w:rsidRPr="00925095">
        <w:rPr>
          <w:rFonts w:ascii="Times New Roman" w:hAnsi="Times New Roman" w:cs="Times New Roman"/>
          <w:b/>
          <w:bCs/>
        </w:rPr>
        <w:t>3.5 Reactive Oxygen Species (ROS) Assay</w:t>
      </w:r>
    </w:p>
    <w:p w14:paraId="794F2953" w14:textId="029E7B84" w:rsidR="00AE53D4" w:rsidRPr="00925095" w:rsidRDefault="00F96C0E" w:rsidP="00F96C0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Intracellular ROS levels in U-87 glioblastoma cells were assessed using the DCFH-DA fluorescent probe in the absence of any external apoptotic inducer to evaluate the baseline oxidative stress status following esculetin treatment. As shown in </w:t>
      </w:r>
      <w:r w:rsidRPr="00925095">
        <w:rPr>
          <w:rFonts w:ascii="Times New Roman" w:hAnsi="Times New Roman" w:cs="Times New Roman"/>
          <w:b/>
          <w:bCs/>
          <w:sz w:val="20"/>
          <w:szCs w:val="20"/>
        </w:rPr>
        <w:t>(Fig.19)</w:t>
      </w:r>
      <w:r w:rsidRPr="00925095">
        <w:rPr>
          <w:rFonts w:ascii="Times New Roman" w:hAnsi="Times New Roman" w:cs="Times New Roman"/>
          <w:sz w:val="20"/>
          <w:szCs w:val="20"/>
        </w:rPr>
        <w:t>, untreated control cells exhibited uniform, moderate green fluorescence, indicating basal ROS production typical of healthy proliferating cells. In contrast, cells treated with esculetin at its IC₅₀ concentration (220 μM) displayed a noticeably higher fluorescence intensity, suggesting an elevation in ROS generation. This observation implies that esculetin induces oxidative stress in U-87 cells even without additional oxidative or apoptotic stimuli. The increased ROS may contribute to the observed reduction in cell viability at higher esculetin concentrations, supporting the hypothesis that oxidative stress is a potential mechanism underlying its neuroprotective/cytotoxic dual behavior depending on dose.</w:t>
      </w:r>
    </w:p>
    <w:p w14:paraId="7F9FAA1F" w14:textId="09DA7D5F" w:rsidR="00837075" w:rsidRPr="00925095" w:rsidRDefault="004D386E" w:rsidP="00E81797">
      <w:pPr>
        <w:rPr>
          <w:rFonts w:ascii="Times New Roman" w:hAnsi="Times New Roman" w:cs="Times New Roman"/>
          <w:b/>
          <w:bCs/>
        </w:rPr>
      </w:pPr>
      <w:r w:rsidRPr="00925095">
        <w:rPr>
          <w:rFonts w:ascii="Times New Roman" w:hAnsi="Times New Roman" w:cs="Times New Roman"/>
          <w:b/>
          <w:bCs/>
        </w:rPr>
        <w:t>3.6 Discussion</w:t>
      </w:r>
      <w:r w:rsidR="0084148E" w:rsidRPr="00925095">
        <w:rPr>
          <w:rFonts w:ascii="Times New Roman" w:hAnsi="Times New Roman" w:cs="Times New Roman"/>
          <w:b/>
          <w:bCs/>
        </w:rPr>
        <w:t xml:space="preserve"> and Conclusion</w:t>
      </w:r>
    </w:p>
    <w:p w14:paraId="445B5CA4" w14:textId="4312BE3A" w:rsidR="004D386E" w:rsidRPr="00925095" w:rsidRDefault="004D386E" w:rsidP="004D386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Migraine is a complex neurovascular disorder characterized by recurrent headaches and neurological disturbances, often linked to abnormal neuronal excitability, vascular dysfunction, and neuroinflammation. Current therapies are limited by incomplete efficacy and side effects, highlighting the need for novel, multi-target agents capable of modulating key pathogenic pathways</w:t>
      </w:r>
      <w:r w:rsidR="00ED5347">
        <w:rPr>
          <w:rFonts w:ascii="Times New Roman" w:hAnsi="Times New Roman" w:cs="Times New Roman"/>
          <w:sz w:val="20"/>
          <w:szCs w:val="20"/>
        </w:rPr>
        <w:t xml:space="preserve"> (16)</w:t>
      </w:r>
      <w:r w:rsidRPr="00925095">
        <w:rPr>
          <w:rFonts w:ascii="Times New Roman" w:hAnsi="Times New Roman" w:cs="Times New Roman"/>
          <w:sz w:val="20"/>
          <w:szCs w:val="20"/>
        </w:rPr>
        <w:t xml:space="preserve">. Esculetin, a naturally occurring coumarin derivative, has shown antioxidant, anti-inflammatory, and </w:t>
      </w:r>
      <w:proofErr w:type="spellStart"/>
      <w:r w:rsidRPr="00925095">
        <w:rPr>
          <w:rFonts w:ascii="Times New Roman" w:hAnsi="Times New Roman" w:cs="Times New Roman"/>
          <w:sz w:val="20"/>
          <w:szCs w:val="20"/>
        </w:rPr>
        <w:t>vasomodulatory</w:t>
      </w:r>
      <w:proofErr w:type="spellEnd"/>
      <w:r w:rsidRPr="00925095">
        <w:rPr>
          <w:rFonts w:ascii="Times New Roman" w:hAnsi="Times New Roman" w:cs="Times New Roman"/>
          <w:sz w:val="20"/>
          <w:szCs w:val="20"/>
        </w:rPr>
        <w:t xml:space="preserve"> effects, making it a promising candidate for further exploration in migraine-related mechanisms</w:t>
      </w:r>
      <w:r w:rsidR="00ED5347">
        <w:rPr>
          <w:rFonts w:ascii="Times New Roman" w:hAnsi="Times New Roman" w:cs="Times New Roman"/>
          <w:sz w:val="20"/>
          <w:szCs w:val="20"/>
        </w:rPr>
        <w:t xml:space="preserve"> (17)</w:t>
      </w:r>
      <w:r w:rsidRPr="00925095">
        <w:rPr>
          <w:rFonts w:ascii="Times New Roman" w:hAnsi="Times New Roman" w:cs="Times New Roman"/>
          <w:sz w:val="20"/>
          <w:szCs w:val="20"/>
        </w:rPr>
        <w:t>.</w:t>
      </w:r>
    </w:p>
    <w:p w14:paraId="78F09BB6" w14:textId="790CE981" w:rsidR="004D386E" w:rsidRPr="00925095" w:rsidRDefault="004D386E" w:rsidP="00925095">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Network pharmacology analysis identified several hub genes closely associated with migraine pathogenesis, including SERPINE1, GSK3B, STAT1, IRAK1, and CA12. Pathway enrichment revealed strong associations with Toll-like receptor signaling, neuroinflammatory regulation, and vascular remodeling processes, suggesting that esculetin may exert therapeutic effects through simultaneous modulation of multiple molecular targets within these interconnected pathways.</w:t>
      </w:r>
    </w:p>
    <w:p w14:paraId="6DDE2B17" w14:textId="1B7AFA5F" w:rsidR="00837075" w:rsidRPr="00925095" w:rsidRDefault="00016BDF" w:rsidP="00E81797">
      <w:pPr>
        <w:rPr>
          <w:rFonts w:ascii="Times New Roman" w:hAnsi="Times New Roman" w:cs="Times New Roman"/>
          <w:sz w:val="20"/>
          <w:szCs w:val="20"/>
        </w:rPr>
      </w:pPr>
      <w:r w:rsidRPr="00925095">
        <w:rPr>
          <w:rFonts w:ascii="Times New Roman" w:hAnsi="Times New Roman" w:cs="Times New Roman"/>
          <w:noProof/>
          <w:sz w:val="20"/>
          <w:szCs w:val="20"/>
        </w:rPr>
        <w:lastRenderedPageBreak/>
        <w:drawing>
          <wp:anchor distT="0" distB="0" distL="114300" distR="114300" simplePos="0" relativeHeight="251684864" behindDoc="1" locked="0" layoutInCell="1" allowOverlap="1" wp14:anchorId="2DC8995F" wp14:editId="4A31ABC5">
            <wp:simplePos x="0" y="0"/>
            <wp:positionH relativeFrom="column">
              <wp:posOffset>-250658</wp:posOffset>
            </wp:positionH>
            <wp:positionV relativeFrom="paragraph">
              <wp:posOffset>291797</wp:posOffset>
            </wp:positionV>
            <wp:extent cx="2938735" cy="2483892"/>
            <wp:effectExtent l="0" t="0" r="0" b="0"/>
            <wp:wrapNone/>
            <wp:docPr id="87737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71583" name=""/>
                    <pic:cNvPicPr/>
                  </pic:nvPicPr>
                  <pic:blipFill>
                    <a:blip r:embed="rId35">
                      <a:extLst>
                        <a:ext uri="{28A0092B-C50C-407E-A947-70E740481C1C}">
                          <a14:useLocalDpi xmlns:a14="http://schemas.microsoft.com/office/drawing/2010/main" val="0"/>
                        </a:ext>
                      </a:extLst>
                    </a:blip>
                    <a:stretch>
                      <a:fillRect/>
                    </a:stretch>
                  </pic:blipFill>
                  <pic:spPr>
                    <a:xfrm>
                      <a:off x="0" y="0"/>
                      <a:ext cx="2947108" cy="2490969"/>
                    </a:xfrm>
                    <a:prstGeom prst="rect">
                      <a:avLst/>
                    </a:prstGeom>
                  </pic:spPr>
                </pic:pic>
              </a:graphicData>
            </a:graphic>
            <wp14:sizeRelH relativeFrom="margin">
              <wp14:pctWidth>0</wp14:pctWidth>
            </wp14:sizeRelH>
            <wp14:sizeRelV relativeFrom="margin">
              <wp14:pctHeight>0</wp14:pctHeight>
            </wp14:sizeRelV>
          </wp:anchor>
        </w:drawing>
      </w:r>
    </w:p>
    <w:p w14:paraId="3C5C4D8C" w14:textId="4F3807AB" w:rsidR="00837075" w:rsidRPr="00925095" w:rsidRDefault="00016BDF" w:rsidP="00E81797">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3840" behindDoc="1" locked="0" layoutInCell="1" allowOverlap="1" wp14:anchorId="3843A516" wp14:editId="7A04A39C">
            <wp:simplePos x="0" y="0"/>
            <wp:positionH relativeFrom="column">
              <wp:posOffset>2770572</wp:posOffset>
            </wp:positionH>
            <wp:positionV relativeFrom="paragraph">
              <wp:posOffset>62600</wp:posOffset>
            </wp:positionV>
            <wp:extent cx="3433951" cy="2463420"/>
            <wp:effectExtent l="0" t="0" r="0" b="0"/>
            <wp:wrapNone/>
            <wp:docPr id="243558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58058" name=""/>
                    <pic:cNvPicPr/>
                  </pic:nvPicPr>
                  <pic:blipFill>
                    <a:blip r:embed="rId36">
                      <a:extLst>
                        <a:ext uri="{28A0092B-C50C-407E-A947-70E740481C1C}">
                          <a14:useLocalDpi xmlns:a14="http://schemas.microsoft.com/office/drawing/2010/main" val="0"/>
                        </a:ext>
                      </a:extLst>
                    </a:blip>
                    <a:stretch>
                      <a:fillRect/>
                    </a:stretch>
                  </pic:blipFill>
                  <pic:spPr>
                    <a:xfrm>
                      <a:off x="0" y="0"/>
                      <a:ext cx="3433951" cy="2463420"/>
                    </a:xfrm>
                    <a:prstGeom prst="rect">
                      <a:avLst/>
                    </a:prstGeom>
                  </pic:spPr>
                </pic:pic>
              </a:graphicData>
            </a:graphic>
            <wp14:sizeRelH relativeFrom="margin">
              <wp14:pctWidth>0</wp14:pctWidth>
            </wp14:sizeRelH>
            <wp14:sizeRelV relativeFrom="margin">
              <wp14:pctHeight>0</wp14:pctHeight>
            </wp14:sizeRelV>
          </wp:anchor>
        </w:drawing>
      </w:r>
    </w:p>
    <w:p w14:paraId="751C01A6" w14:textId="1973A37A" w:rsidR="00837075" w:rsidRPr="00925095" w:rsidRDefault="00837075" w:rsidP="00E81797">
      <w:pPr>
        <w:rPr>
          <w:rFonts w:ascii="Times New Roman" w:hAnsi="Times New Roman" w:cs="Times New Roman"/>
          <w:sz w:val="20"/>
          <w:szCs w:val="20"/>
        </w:rPr>
      </w:pPr>
    </w:p>
    <w:p w14:paraId="7501FFCD" w14:textId="18EEC9CE" w:rsidR="00837075" w:rsidRPr="00925095" w:rsidRDefault="00837075" w:rsidP="00E81797">
      <w:pPr>
        <w:rPr>
          <w:rFonts w:ascii="Times New Roman" w:hAnsi="Times New Roman" w:cs="Times New Roman"/>
          <w:sz w:val="20"/>
          <w:szCs w:val="20"/>
        </w:rPr>
      </w:pPr>
    </w:p>
    <w:p w14:paraId="304DF1D9" w14:textId="7F265639" w:rsidR="00016BDF" w:rsidRPr="00925095" w:rsidRDefault="00016BDF" w:rsidP="00016BDF">
      <w:pPr>
        <w:rPr>
          <w:rFonts w:ascii="Times New Roman" w:hAnsi="Times New Roman" w:cs="Times New Roman"/>
          <w:sz w:val="20"/>
          <w:szCs w:val="20"/>
        </w:rPr>
      </w:pPr>
    </w:p>
    <w:p w14:paraId="7A849BE2" w14:textId="77777777" w:rsidR="00016BDF" w:rsidRPr="00925095" w:rsidRDefault="00016BDF" w:rsidP="00016BDF">
      <w:pPr>
        <w:rPr>
          <w:rFonts w:ascii="Times New Roman" w:hAnsi="Times New Roman" w:cs="Times New Roman"/>
          <w:sz w:val="20"/>
          <w:szCs w:val="20"/>
        </w:rPr>
      </w:pPr>
    </w:p>
    <w:p w14:paraId="2ABA3C73" w14:textId="4D60214E" w:rsidR="00016BDF" w:rsidRPr="00925095" w:rsidRDefault="00016BDF" w:rsidP="00016BDF">
      <w:pPr>
        <w:rPr>
          <w:rFonts w:ascii="Times New Roman" w:hAnsi="Times New Roman" w:cs="Times New Roman"/>
          <w:sz w:val="20"/>
          <w:szCs w:val="20"/>
        </w:rPr>
      </w:pPr>
    </w:p>
    <w:p w14:paraId="3A0BA3B4" w14:textId="51A73BF8" w:rsidR="00016BDF" w:rsidRPr="00925095" w:rsidRDefault="00016BDF" w:rsidP="00016BDF">
      <w:pPr>
        <w:rPr>
          <w:rFonts w:ascii="Times New Roman" w:hAnsi="Times New Roman" w:cs="Times New Roman"/>
          <w:sz w:val="20"/>
          <w:szCs w:val="20"/>
        </w:rPr>
      </w:pPr>
    </w:p>
    <w:p w14:paraId="257997BA" w14:textId="1C805AE1" w:rsidR="00016BDF" w:rsidRPr="00925095" w:rsidRDefault="00016BDF" w:rsidP="00016BDF">
      <w:pPr>
        <w:rPr>
          <w:rFonts w:ascii="Times New Roman" w:hAnsi="Times New Roman" w:cs="Times New Roman"/>
          <w:sz w:val="20"/>
          <w:szCs w:val="20"/>
        </w:rPr>
      </w:pPr>
    </w:p>
    <w:p w14:paraId="58DB50AB" w14:textId="2A1F6F90" w:rsidR="00016BDF" w:rsidRPr="00925095" w:rsidRDefault="00016BDF" w:rsidP="00016BDF">
      <w:pPr>
        <w:rPr>
          <w:rFonts w:ascii="Times New Roman" w:hAnsi="Times New Roman" w:cs="Times New Roman"/>
          <w:sz w:val="20"/>
          <w:szCs w:val="20"/>
        </w:rPr>
      </w:pPr>
    </w:p>
    <w:p w14:paraId="0D82E71C" w14:textId="2E8CDF83" w:rsidR="00016BDF" w:rsidRPr="00925095" w:rsidRDefault="00AE53D4" w:rsidP="00016BDF">
      <w:pPr>
        <w:rPr>
          <w:rFonts w:ascii="Times New Roman" w:hAnsi="Times New Roman" w:cs="Times New Roman"/>
          <w:b/>
          <w:bCs/>
          <w:sz w:val="20"/>
          <w:szCs w:val="20"/>
        </w:rPr>
      </w:pPr>
      <w:r w:rsidRPr="00925095">
        <w:rPr>
          <w:rFonts w:ascii="Times New Roman" w:hAnsi="Times New Roman" w:cs="Times New Roman"/>
          <w:b/>
          <w:bCs/>
          <w:sz w:val="20"/>
          <w:szCs w:val="20"/>
        </w:rPr>
        <w:t xml:space="preserve">                             (A)                                                                          </w:t>
      </w:r>
      <w:proofErr w:type="gramStart"/>
      <w:r w:rsidRPr="00925095">
        <w:rPr>
          <w:rFonts w:ascii="Times New Roman" w:hAnsi="Times New Roman" w:cs="Times New Roman"/>
          <w:b/>
          <w:bCs/>
          <w:sz w:val="20"/>
          <w:szCs w:val="20"/>
        </w:rPr>
        <w:t xml:space="preserve">   (</w:t>
      </w:r>
      <w:proofErr w:type="gramEnd"/>
      <w:r w:rsidRPr="00925095">
        <w:rPr>
          <w:rFonts w:ascii="Times New Roman" w:hAnsi="Times New Roman" w:cs="Times New Roman"/>
          <w:b/>
          <w:bCs/>
          <w:sz w:val="20"/>
          <w:szCs w:val="20"/>
        </w:rPr>
        <w:t>B)</w:t>
      </w:r>
    </w:p>
    <w:p w14:paraId="0D09316D" w14:textId="1BE1D9D1" w:rsidR="00016BDF" w:rsidRPr="00925095" w:rsidRDefault="00016BDF" w:rsidP="00016BDF">
      <w:pPr>
        <w:rPr>
          <w:rFonts w:ascii="Times New Roman" w:hAnsi="Times New Roman" w:cs="Times New Roman"/>
          <w:sz w:val="20"/>
          <w:szCs w:val="20"/>
        </w:rPr>
      </w:pPr>
    </w:p>
    <w:p w14:paraId="2CFE4EBF" w14:textId="0DBBAFA9" w:rsidR="00016BDF" w:rsidRPr="00925095" w:rsidRDefault="00F110BC" w:rsidP="00F110BC">
      <w:pPr>
        <w:tabs>
          <w:tab w:val="left" w:pos="4032"/>
        </w:tabs>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8960" behindDoc="1" locked="0" layoutInCell="1" allowOverlap="1" wp14:anchorId="32D17C5B" wp14:editId="21305D2C">
            <wp:simplePos x="0" y="0"/>
            <wp:positionH relativeFrom="column">
              <wp:posOffset>4301338</wp:posOffset>
            </wp:positionH>
            <wp:positionV relativeFrom="paragraph">
              <wp:posOffset>187096</wp:posOffset>
            </wp:positionV>
            <wp:extent cx="1595466" cy="1199693"/>
            <wp:effectExtent l="0" t="0" r="5080" b="635"/>
            <wp:wrapNone/>
            <wp:docPr id="247405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0558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98531" cy="1201997"/>
                    </a:xfrm>
                    <a:prstGeom prst="rect">
                      <a:avLst/>
                    </a:prstGeom>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noProof/>
          <w:sz w:val="20"/>
          <w:szCs w:val="20"/>
        </w:rPr>
        <w:drawing>
          <wp:anchor distT="0" distB="0" distL="114300" distR="114300" simplePos="0" relativeHeight="251691008" behindDoc="1" locked="0" layoutInCell="1" allowOverlap="1" wp14:anchorId="4DFB3F36" wp14:editId="21464E23">
            <wp:simplePos x="0" y="0"/>
            <wp:positionH relativeFrom="column">
              <wp:posOffset>2</wp:posOffset>
            </wp:positionH>
            <wp:positionV relativeFrom="paragraph">
              <wp:posOffset>186563</wp:posOffset>
            </wp:positionV>
            <wp:extent cx="1553346" cy="1155802"/>
            <wp:effectExtent l="0" t="0" r="8890" b="6350"/>
            <wp:wrapNone/>
            <wp:docPr id="139780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05339"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3346" cy="1155802"/>
                    </a:xfrm>
                    <a:prstGeom prst="rect">
                      <a:avLst/>
                    </a:prstGeom>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noProof/>
          <w:sz w:val="20"/>
          <w:szCs w:val="20"/>
        </w:rPr>
        <w:drawing>
          <wp:anchor distT="0" distB="0" distL="114300" distR="114300" simplePos="0" relativeHeight="251687936" behindDoc="1" locked="0" layoutInCell="1" allowOverlap="1" wp14:anchorId="7C1E6109" wp14:editId="040725EB">
            <wp:simplePos x="0" y="0"/>
            <wp:positionH relativeFrom="column">
              <wp:posOffset>2229019</wp:posOffset>
            </wp:positionH>
            <wp:positionV relativeFrom="paragraph">
              <wp:posOffset>179780</wp:posOffset>
            </wp:positionV>
            <wp:extent cx="1631865" cy="1221639"/>
            <wp:effectExtent l="0" t="0" r="6985" b="0"/>
            <wp:wrapNone/>
            <wp:docPr id="95209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9297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4873" cy="1223891"/>
                    </a:xfrm>
                    <a:prstGeom prst="rect">
                      <a:avLst/>
                    </a:prstGeom>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sz w:val="20"/>
          <w:szCs w:val="20"/>
        </w:rPr>
        <w:tab/>
      </w:r>
    </w:p>
    <w:p w14:paraId="65861F71" w14:textId="03F922E4" w:rsidR="00016BDF" w:rsidRPr="00925095" w:rsidRDefault="00016BDF" w:rsidP="00F110BC">
      <w:pPr>
        <w:jc w:val="center"/>
        <w:rPr>
          <w:rFonts w:ascii="Times New Roman" w:hAnsi="Times New Roman" w:cs="Times New Roman"/>
          <w:sz w:val="20"/>
          <w:szCs w:val="20"/>
        </w:rPr>
      </w:pPr>
    </w:p>
    <w:p w14:paraId="3D241887" w14:textId="65784C71" w:rsidR="00016BDF" w:rsidRPr="00925095" w:rsidRDefault="00016BDF" w:rsidP="00016BDF">
      <w:pPr>
        <w:rPr>
          <w:rFonts w:ascii="Times New Roman" w:hAnsi="Times New Roman" w:cs="Times New Roman"/>
          <w:sz w:val="20"/>
          <w:szCs w:val="20"/>
        </w:rPr>
      </w:pPr>
    </w:p>
    <w:p w14:paraId="6B73CBB7" w14:textId="61B7BC28" w:rsidR="00016BDF" w:rsidRPr="00925095" w:rsidRDefault="00F110BC" w:rsidP="00016BDF">
      <w:pPr>
        <w:tabs>
          <w:tab w:val="left" w:pos="5781"/>
        </w:tabs>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9984" behindDoc="1" locked="0" layoutInCell="1" allowOverlap="1" wp14:anchorId="54C189CF" wp14:editId="4611FC01">
            <wp:simplePos x="0" y="0"/>
            <wp:positionH relativeFrom="column">
              <wp:posOffset>-30055</wp:posOffset>
            </wp:positionH>
            <wp:positionV relativeFrom="paragraph">
              <wp:posOffset>1428979</wp:posOffset>
            </wp:positionV>
            <wp:extent cx="1522208" cy="1148486"/>
            <wp:effectExtent l="0" t="0" r="1905" b="0"/>
            <wp:wrapNone/>
            <wp:docPr id="390624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2479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2208" cy="1148486"/>
                    </a:xfrm>
                    <a:prstGeom prst="rect">
                      <a:avLst/>
                    </a:prstGeom>
                  </pic:spPr>
                </pic:pic>
              </a:graphicData>
            </a:graphic>
            <wp14:sizeRelH relativeFrom="margin">
              <wp14:pctWidth>0</wp14:pctWidth>
            </wp14:sizeRelH>
            <wp14:sizeRelV relativeFrom="margin">
              <wp14:pctHeight>0</wp14:pctHeight>
            </wp14:sizeRelV>
          </wp:anchor>
        </w:drawing>
      </w:r>
      <w:r w:rsidRPr="00925095">
        <w:rPr>
          <w:rFonts w:ascii="Times New Roman" w:hAnsi="Times New Roman" w:cs="Times New Roman"/>
          <w:noProof/>
          <w:sz w:val="20"/>
          <w:szCs w:val="20"/>
        </w:rPr>
        <w:drawing>
          <wp:anchor distT="0" distB="0" distL="114300" distR="114300" simplePos="0" relativeHeight="251686912" behindDoc="1" locked="0" layoutInCell="1" allowOverlap="1" wp14:anchorId="11136CF9" wp14:editId="7DF623DB">
            <wp:simplePos x="0" y="0"/>
            <wp:positionH relativeFrom="column">
              <wp:posOffset>4249293</wp:posOffset>
            </wp:positionH>
            <wp:positionV relativeFrom="paragraph">
              <wp:posOffset>1480108</wp:posOffset>
            </wp:positionV>
            <wp:extent cx="1481977" cy="1097280"/>
            <wp:effectExtent l="0" t="0" r="4445" b="7620"/>
            <wp:wrapNone/>
            <wp:docPr id="498989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8922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1977" cy="1097280"/>
                    </a:xfrm>
                    <a:prstGeom prst="rect">
                      <a:avLst/>
                    </a:prstGeom>
                  </pic:spPr>
                </pic:pic>
              </a:graphicData>
            </a:graphic>
            <wp14:sizeRelH relativeFrom="margin">
              <wp14:pctWidth>0</wp14:pctWidth>
            </wp14:sizeRelH>
            <wp14:sizeRelV relativeFrom="margin">
              <wp14:pctHeight>0</wp14:pctHeight>
            </wp14:sizeRelV>
          </wp:anchor>
        </w:drawing>
      </w:r>
      <w:r w:rsidR="00016BDF" w:rsidRPr="00925095">
        <w:rPr>
          <w:rFonts w:ascii="Times New Roman" w:hAnsi="Times New Roman" w:cs="Times New Roman"/>
          <w:sz w:val="20"/>
          <w:szCs w:val="20"/>
        </w:rPr>
        <w:tab/>
      </w:r>
    </w:p>
    <w:p w14:paraId="7E0C7D4A" w14:textId="77777777" w:rsidR="00F110BC" w:rsidRPr="00925095" w:rsidRDefault="00F110BC" w:rsidP="00F110BC">
      <w:pPr>
        <w:rPr>
          <w:rFonts w:ascii="Times New Roman" w:hAnsi="Times New Roman" w:cs="Times New Roman"/>
          <w:sz w:val="20"/>
          <w:szCs w:val="20"/>
        </w:rPr>
      </w:pPr>
    </w:p>
    <w:p w14:paraId="7735360D" w14:textId="774C9128" w:rsidR="00F110BC" w:rsidRPr="00925095" w:rsidRDefault="00F110BC" w:rsidP="00F110BC">
      <w:pPr>
        <w:tabs>
          <w:tab w:val="left" w:pos="1244"/>
        </w:tabs>
        <w:rPr>
          <w:rFonts w:ascii="Times New Roman" w:hAnsi="Times New Roman" w:cs="Times New Roman"/>
          <w:sz w:val="20"/>
          <w:szCs w:val="20"/>
        </w:rPr>
      </w:pPr>
      <w:r w:rsidRPr="00925095">
        <w:rPr>
          <w:rFonts w:ascii="Times New Roman" w:hAnsi="Times New Roman" w:cs="Times New Roman"/>
          <w:sz w:val="20"/>
          <w:szCs w:val="20"/>
        </w:rPr>
        <w:t xml:space="preserve">           Control                                               6.25 µM/ml                                 12.5 µM/ml</w:t>
      </w:r>
    </w:p>
    <w:p w14:paraId="58F8708C" w14:textId="77777777" w:rsidR="00F110BC" w:rsidRPr="00925095" w:rsidRDefault="00F110BC" w:rsidP="00F110BC">
      <w:pPr>
        <w:rPr>
          <w:rFonts w:ascii="Times New Roman" w:hAnsi="Times New Roman" w:cs="Times New Roman"/>
          <w:sz w:val="20"/>
          <w:szCs w:val="20"/>
        </w:rPr>
      </w:pPr>
    </w:p>
    <w:p w14:paraId="4D24019C" w14:textId="60BA2305" w:rsidR="00F110BC" w:rsidRPr="00925095" w:rsidRDefault="00F110BC" w:rsidP="00F110BC">
      <w:pPr>
        <w:rPr>
          <w:rFonts w:ascii="Times New Roman" w:hAnsi="Times New Roman" w:cs="Times New Roman"/>
          <w:sz w:val="20"/>
          <w:szCs w:val="20"/>
        </w:rPr>
      </w:pPr>
      <w:r w:rsidRPr="00925095">
        <w:rPr>
          <w:rFonts w:ascii="Times New Roman" w:hAnsi="Times New Roman" w:cs="Times New Roman"/>
          <w:noProof/>
          <w:sz w:val="20"/>
          <w:szCs w:val="20"/>
        </w:rPr>
        <w:drawing>
          <wp:anchor distT="0" distB="0" distL="114300" distR="114300" simplePos="0" relativeHeight="251685888" behindDoc="1" locked="0" layoutInCell="1" allowOverlap="1" wp14:anchorId="25200646" wp14:editId="2A78F906">
            <wp:simplePos x="0" y="0"/>
            <wp:positionH relativeFrom="column">
              <wp:posOffset>2266950</wp:posOffset>
            </wp:positionH>
            <wp:positionV relativeFrom="paragraph">
              <wp:posOffset>256834</wp:posOffset>
            </wp:positionV>
            <wp:extent cx="1550822" cy="1157017"/>
            <wp:effectExtent l="0" t="0" r="0" b="5080"/>
            <wp:wrapNone/>
            <wp:docPr id="129607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77105"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0822" cy="1157017"/>
                    </a:xfrm>
                    <a:prstGeom prst="rect">
                      <a:avLst/>
                    </a:prstGeom>
                  </pic:spPr>
                </pic:pic>
              </a:graphicData>
            </a:graphic>
            <wp14:sizeRelH relativeFrom="margin">
              <wp14:pctWidth>0</wp14:pctWidth>
            </wp14:sizeRelH>
            <wp14:sizeRelV relativeFrom="margin">
              <wp14:pctHeight>0</wp14:pctHeight>
            </wp14:sizeRelV>
          </wp:anchor>
        </w:drawing>
      </w:r>
    </w:p>
    <w:p w14:paraId="3C68D3F4" w14:textId="77777777" w:rsidR="00F110BC" w:rsidRPr="00925095" w:rsidRDefault="00F110BC" w:rsidP="00F110BC">
      <w:pPr>
        <w:rPr>
          <w:rFonts w:ascii="Times New Roman" w:hAnsi="Times New Roman" w:cs="Times New Roman"/>
          <w:sz w:val="20"/>
          <w:szCs w:val="20"/>
        </w:rPr>
      </w:pPr>
    </w:p>
    <w:p w14:paraId="0F457FFB" w14:textId="77777777" w:rsidR="00F110BC" w:rsidRPr="00925095" w:rsidRDefault="00F110BC" w:rsidP="00F110BC">
      <w:pPr>
        <w:rPr>
          <w:rFonts w:ascii="Times New Roman" w:hAnsi="Times New Roman" w:cs="Times New Roman"/>
          <w:sz w:val="20"/>
          <w:szCs w:val="20"/>
        </w:rPr>
      </w:pPr>
    </w:p>
    <w:p w14:paraId="04418DCF" w14:textId="77777777" w:rsidR="00F110BC" w:rsidRPr="00925095" w:rsidRDefault="00F110BC" w:rsidP="00F110BC">
      <w:pPr>
        <w:rPr>
          <w:rFonts w:ascii="Times New Roman" w:hAnsi="Times New Roman" w:cs="Times New Roman"/>
          <w:sz w:val="20"/>
          <w:szCs w:val="20"/>
        </w:rPr>
      </w:pPr>
    </w:p>
    <w:p w14:paraId="577D4C91" w14:textId="77777777" w:rsidR="00F110BC" w:rsidRPr="00925095" w:rsidRDefault="00F110BC" w:rsidP="00F110BC">
      <w:pPr>
        <w:rPr>
          <w:rFonts w:ascii="Times New Roman" w:hAnsi="Times New Roman" w:cs="Times New Roman"/>
          <w:sz w:val="20"/>
          <w:szCs w:val="20"/>
        </w:rPr>
      </w:pPr>
    </w:p>
    <w:p w14:paraId="02A5E148" w14:textId="05330F50" w:rsidR="00F110BC" w:rsidRPr="00925095" w:rsidRDefault="00F110BC" w:rsidP="00F110BC">
      <w:pPr>
        <w:ind w:firstLine="720"/>
        <w:rPr>
          <w:rFonts w:ascii="Times New Roman" w:hAnsi="Times New Roman" w:cs="Times New Roman"/>
          <w:sz w:val="20"/>
          <w:szCs w:val="20"/>
        </w:rPr>
      </w:pPr>
      <w:r w:rsidRPr="00925095">
        <w:rPr>
          <w:rFonts w:ascii="Times New Roman" w:hAnsi="Times New Roman" w:cs="Times New Roman"/>
          <w:sz w:val="20"/>
          <w:szCs w:val="20"/>
        </w:rPr>
        <w:t>25 µM/ml                                            50 µM/ml                                 100 µM/ml</w:t>
      </w:r>
    </w:p>
    <w:p w14:paraId="70DE03EF" w14:textId="3295DFBC" w:rsidR="00AE53D4" w:rsidRPr="00925095" w:rsidRDefault="00AE53D4" w:rsidP="00F110BC">
      <w:pPr>
        <w:ind w:firstLine="720"/>
        <w:rPr>
          <w:rFonts w:ascii="Times New Roman" w:hAnsi="Times New Roman" w:cs="Times New Roman"/>
          <w:b/>
          <w:bCs/>
          <w:sz w:val="20"/>
          <w:szCs w:val="20"/>
        </w:rPr>
      </w:pPr>
      <w:r w:rsidRPr="00925095">
        <w:rPr>
          <w:rFonts w:ascii="Times New Roman" w:hAnsi="Times New Roman" w:cs="Times New Roman"/>
          <w:b/>
          <w:bCs/>
          <w:sz w:val="20"/>
          <w:szCs w:val="20"/>
        </w:rPr>
        <w:t xml:space="preserve">                                                               (C)</w:t>
      </w:r>
    </w:p>
    <w:p w14:paraId="2159E862" w14:textId="6075724D" w:rsidR="00F96C0E" w:rsidRDefault="00AE53D4" w:rsidP="00F96C0E">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18.</w:t>
      </w:r>
      <w:r w:rsidRPr="00925095">
        <w:rPr>
          <w:rFonts w:ascii="Times New Roman" w:hAnsi="Times New Roman" w:cs="Times New Roman"/>
          <w:sz w:val="20"/>
          <w:szCs w:val="20"/>
        </w:rPr>
        <w:t xml:space="preserve"> </w:t>
      </w:r>
      <w:r w:rsidRPr="00925095">
        <w:rPr>
          <w:rFonts w:ascii="Times New Roman" w:hAnsi="Times New Roman" w:cs="Times New Roman"/>
          <w:i/>
          <w:iCs/>
          <w:sz w:val="20"/>
          <w:szCs w:val="20"/>
        </w:rPr>
        <w:t>Dose-dependent effect of esculetin on viability of U-87 glioblastoma cells.</w:t>
      </w:r>
      <w:r w:rsidRPr="00925095">
        <w:rPr>
          <w:rFonts w:ascii="Times New Roman" w:hAnsi="Times New Roman" w:cs="Times New Roman"/>
          <w:sz w:val="20"/>
          <w:szCs w:val="20"/>
        </w:rPr>
        <w:t xml:space="preserve"> </w:t>
      </w:r>
      <w:r w:rsidRPr="00925095">
        <w:rPr>
          <w:rFonts w:ascii="Times New Roman" w:hAnsi="Times New Roman" w:cs="Times New Roman"/>
          <w:b/>
          <w:bCs/>
          <w:sz w:val="20"/>
          <w:szCs w:val="20"/>
        </w:rPr>
        <w:t>(A)</w:t>
      </w:r>
      <w:r w:rsidRPr="00925095">
        <w:rPr>
          <w:rFonts w:ascii="Times New Roman" w:hAnsi="Times New Roman" w:cs="Times New Roman"/>
          <w:sz w:val="20"/>
          <w:szCs w:val="20"/>
        </w:rPr>
        <w:t xml:space="preserve"> MTT assay showing percentage cell viability after 24 h treatment with indicated concentrations of esculetin. Data represent mean ± SD (n=3). </w:t>
      </w:r>
      <w:r w:rsidRPr="00925095">
        <w:rPr>
          <w:rFonts w:ascii="Times New Roman" w:hAnsi="Times New Roman" w:cs="Times New Roman"/>
          <w:b/>
          <w:bCs/>
          <w:sz w:val="20"/>
          <w:szCs w:val="20"/>
        </w:rPr>
        <w:t>(B)</w:t>
      </w:r>
      <w:r w:rsidRPr="00925095">
        <w:rPr>
          <w:rFonts w:ascii="Times New Roman" w:hAnsi="Times New Roman" w:cs="Times New Roman"/>
          <w:sz w:val="20"/>
          <w:szCs w:val="20"/>
        </w:rPr>
        <w:t xml:space="preserve"> Dose–response curve for esculetin indicating an IC₅₀ of ~220 μM. </w:t>
      </w:r>
      <w:r w:rsidRPr="00925095">
        <w:rPr>
          <w:rFonts w:ascii="Times New Roman" w:hAnsi="Times New Roman" w:cs="Times New Roman"/>
          <w:b/>
          <w:bCs/>
          <w:sz w:val="20"/>
          <w:szCs w:val="20"/>
        </w:rPr>
        <w:t>(C)</w:t>
      </w:r>
      <w:r w:rsidRPr="00925095">
        <w:rPr>
          <w:rFonts w:ascii="Times New Roman" w:hAnsi="Times New Roman" w:cs="Times New Roman"/>
          <w:sz w:val="20"/>
          <w:szCs w:val="20"/>
        </w:rPr>
        <w:t xml:space="preserve"> Representative phase-contrast images of U-87 cells following treatment for 24 h, illustrating preserved cell morphology at low concentrations and dose-dependent morphological deterioration at higher concentrations. Scale bar: 400 </w:t>
      </w:r>
      <w:proofErr w:type="spellStart"/>
      <w:r w:rsidRPr="00925095">
        <w:rPr>
          <w:rFonts w:ascii="Times New Roman" w:hAnsi="Times New Roman" w:cs="Times New Roman"/>
          <w:sz w:val="20"/>
          <w:szCs w:val="20"/>
        </w:rPr>
        <w:t>μm</w:t>
      </w:r>
      <w:proofErr w:type="spellEnd"/>
      <w:r w:rsidRPr="00925095">
        <w:rPr>
          <w:rFonts w:ascii="Times New Roman" w:hAnsi="Times New Roman" w:cs="Times New Roman"/>
          <w:sz w:val="20"/>
          <w:szCs w:val="20"/>
        </w:rPr>
        <w:t>.</w:t>
      </w:r>
    </w:p>
    <w:p w14:paraId="2B60AC13" w14:textId="77777777" w:rsidR="00925095" w:rsidRDefault="00925095" w:rsidP="00F96C0E">
      <w:pPr>
        <w:spacing w:line="360" w:lineRule="auto"/>
        <w:jc w:val="both"/>
        <w:rPr>
          <w:rFonts w:ascii="Times New Roman" w:hAnsi="Times New Roman" w:cs="Times New Roman"/>
          <w:sz w:val="20"/>
          <w:szCs w:val="20"/>
        </w:rPr>
      </w:pPr>
    </w:p>
    <w:p w14:paraId="027D2B1E" w14:textId="77777777" w:rsidR="00925095" w:rsidRDefault="00925095" w:rsidP="00F96C0E">
      <w:pPr>
        <w:spacing w:line="360" w:lineRule="auto"/>
        <w:jc w:val="both"/>
        <w:rPr>
          <w:rFonts w:ascii="Times New Roman" w:hAnsi="Times New Roman" w:cs="Times New Roman"/>
          <w:sz w:val="20"/>
          <w:szCs w:val="20"/>
        </w:rPr>
      </w:pPr>
    </w:p>
    <w:p w14:paraId="4BBA2C4C" w14:textId="77777777" w:rsidR="004B7CF7" w:rsidRDefault="004B7CF7" w:rsidP="004B7CF7">
      <w:pPr>
        <w:jc w:val="both"/>
        <w:rPr>
          <w:rFonts w:ascii="Times New Roman" w:hAnsi="Times New Roman" w:cs="Times New Roman"/>
          <w:sz w:val="20"/>
          <w:szCs w:val="20"/>
        </w:rPr>
      </w:pPr>
    </w:p>
    <w:p w14:paraId="1CFBF069" w14:textId="6437CCD6" w:rsidR="00F96C0E" w:rsidRPr="00925095" w:rsidRDefault="00F96C0E" w:rsidP="004B7CF7">
      <w:pPr>
        <w:jc w:val="both"/>
        <w:rPr>
          <w:rFonts w:ascii="Times New Roman" w:hAnsi="Times New Roman" w:cs="Times New Roman"/>
          <w:b/>
          <w:bCs/>
          <w:sz w:val="20"/>
          <w:szCs w:val="20"/>
        </w:rPr>
      </w:pPr>
      <w:r w:rsidRPr="00925095">
        <w:rPr>
          <w:rFonts w:ascii="Times New Roman" w:hAnsi="Times New Roman" w:cs="Times New Roman"/>
          <w:noProof/>
          <w:sz w:val="20"/>
          <w:szCs w:val="20"/>
        </w:rPr>
        <w:lastRenderedPageBreak/>
        <w:drawing>
          <wp:anchor distT="0" distB="0" distL="114300" distR="114300" simplePos="0" relativeHeight="251697152" behindDoc="1" locked="0" layoutInCell="1" allowOverlap="1" wp14:anchorId="2B5B5F9D" wp14:editId="1C626816">
            <wp:simplePos x="0" y="0"/>
            <wp:positionH relativeFrom="column">
              <wp:posOffset>3158836</wp:posOffset>
            </wp:positionH>
            <wp:positionV relativeFrom="paragraph">
              <wp:posOffset>284142</wp:posOffset>
            </wp:positionV>
            <wp:extent cx="2304924" cy="1829435"/>
            <wp:effectExtent l="0" t="0" r="635" b="0"/>
            <wp:wrapNone/>
            <wp:docPr id="1520308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8316"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04924" cy="1829435"/>
                    </a:xfrm>
                    <a:prstGeom prst="rect">
                      <a:avLst/>
                    </a:prstGeom>
                  </pic:spPr>
                </pic:pic>
              </a:graphicData>
            </a:graphic>
            <wp14:sizeRelH relativeFrom="margin">
              <wp14:pctWidth>0</wp14:pctWidth>
            </wp14:sizeRelH>
            <wp14:sizeRelV relativeFrom="margin">
              <wp14:pctHeight>0</wp14:pctHeight>
            </wp14:sizeRelV>
          </wp:anchor>
        </w:drawing>
      </w:r>
    </w:p>
    <w:p w14:paraId="7FBB9F61" w14:textId="45D87CB9" w:rsidR="00F96C0E" w:rsidRPr="00925095" w:rsidRDefault="00F96C0E" w:rsidP="00AE53D4">
      <w:pPr>
        <w:ind w:firstLine="720"/>
        <w:jc w:val="both"/>
        <w:rPr>
          <w:rFonts w:ascii="Times New Roman" w:hAnsi="Times New Roman" w:cs="Times New Roman"/>
          <w:b/>
          <w:bCs/>
          <w:sz w:val="20"/>
          <w:szCs w:val="20"/>
        </w:rPr>
      </w:pPr>
      <w:r w:rsidRPr="00925095">
        <w:rPr>
          <w:rFonts w:ascii="Times New Roman" w:hAnsi="Times New Roman" w:cs="Times New Roman"/>
          <w:noProof/>
          <w:sz w:val="20"/>
          <w:szCs w:val="20"/>
        </w:rPr>
        <w:drawing>
          <wp:anchor distT="0" distB="0" distL="114300" distR="114300" simplePos="0" relativeHeight="251695104" behindDoc="1" locked="0" layoutInCell="1" allowOverlap="1" wp14:anchorId="77197FF9" wp14:editId="284F5C35">
            <wp:simplePos x="0" y="0"/>
            <wp:positionH relativeFrom="column">
              <wp:posOffset>0</wp:posOffset>
            </wp:positionH>
            <wp:positionV relativeFrom="paragraph">
              <wp:posOffset>0</wp:posOffset>
            </wp:positionV>
            <wp:extent cx="2458192" cy="1829891"/>
            <wp:effectExtent l="0" t="0" r="0" b="0"/>
            <wp:wrapNone/>
            <wp:docPr id="884500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0014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61851" cy="1832615"/>
                    </a:xfrm>
                    <a:prstGeom prst="rect">
                      <a:avLst/>
                    </a:prstGeom>
                  </pic:spPr>
                </pic:pic>
              </a:graphicData>
            </a:graphic>
            <wp14:sizeRelH relativeFrom="margin">
              <wp14:pctWidth>0</wp14:pctWidth>
            </wp14:sizeRelH>
            <wp14:sizeRelV relativeFrom="margin">
              <wp14:pctHeight>0</wp14:pctHeight>
            </wp14:sizeRelV>
          </wp:anchor>
        </w:drawing>
      </w:r>
    </w:p>
    <w:p w14:paraId="75C7D86C" w14:textId="115C5572" w:rsidR="00F96C0E" w:rsidRPr="00925095" w:rsidRDefault="00F96C0E" w:rsidP="00F96C0E">
      <w:pPr>
        <w:tabs>
          <w:tab w:val="left" w:pos="5349"/>
        </w:tabs>
        <w:rPr>
          <w:rFonts w:ascii="Times New Roman" w:hAnsi="Times New Roman" w:cs="Times New Roman"/>
          <w:sz w:val="20"/>
          <w:szCs w:val="20"/>
        </w:rPr>
      </w:pPr>
      <w:r w:rsidRPr="00925095">
        <w:rPr>
          <w:rFonts w:ascii="Times New Roman" w:hAnsi="Times New Roman" w:cs="Times New Roman"/>
          <w:sz w:val="20"/>
          <w:szCs w:val="20"/>
        </w:rPr>
        <w:tab/>
      </w:r>
    </w:p>
    <w:p w14:paraId="3E0931CE" w14:textId="77777777" w:rsidR="00F96C0E" w:rsidRPr="00925095" w:rsidRDefault="00F96C0E" w:rsidP="00F96C0E">
      <w:pPr>
        <w:rPr>
          <w:rFonts w:ascii="Times New Roman" w:hAnsi="Times New Roman" w:cs="Times New Roman"/>
          <w:sz w:val="20"/>
          <w:szCs w:val="20"/>
        </w:rPr>
      </w:pPr>
    </w:p>
    <w:p w14:paraId="0189D462" w14:textId="77777777" w:rsidR="00F96C0E" w:rsidRPr="00925095" w:rsidRDefault="00F96C0E" w:rsidP="00F96C0E">
      <w:pPr>
        <w:rPr>
          <w:rFonts w:ascii="Times New Roman" w:hAnsi="Times New Roman" w:cs="Times New Roman"/>
          <w:sz w:val="20"/>
          <w:szCs w:val="20"/>
        </w:rPr>
      </w:pPr>
    </w:p>
    <w:p w14:paraId="2528CD31" w14:textId="77777777" w:rsidR="00F96C0E" w:rsidRPr="00925095" w:rsidRDefault="00F96C0E" w:rsidP="00F96C0E">
      <w:pPr>
        <w:rPr>
          <w:rFonts w:ascii="Times New Roman" w:hAnsi="Times New Roman" w:cs="Times New Roman"/>
          <w:sz w:val="20"/>
          <w:szCs w:val="20"/>
        </w:rPr>
      </w:pPr>
    </w:p>
    <w:p w14:paraId="2ABB1586" w14:textId="77777777" w:rsidR="00F96C0E" w:rsidRPr="00925095" w:rsidRDefault="00F96C0E" w:rsidP="00F96C0E">
      <w:pPr>
        <w:rPr>
          <w:rFonts w:ascii="Times New Roman" w:hAnsi="Times New Roman" w:cs="Times New Roman"/>
          <w:sz w:val="20"/>
          <w:szCs w:val="20"/>
        </w:rPr>
      </w:pPr>
    </w:p>
    <w:p w14:paraId="2B47D72C" w14:textId="77777777" w:rsidR="00F96C0E" w:rsidRPr="00925095" w:rsidRDefault="00F96C0E" w:rsidP="00F96C0E">
      <w:pPr>
        <w:rPr>
          <w:rFonts w:ascii="Times New Roman" w:hAnsi="Times New Roman" w:cs="Times New Roman"/>
          <w:sz w:val="20"/>
          <w:szCs w:val="20"/>
        </w:rPr>
      </w:pPr>
    </w:p>
    <w:p w14:paraId="24CD5DBC" w14:textId="38210926" w:rsidR="00F96C0E" w:rsidRPr="00925095" w:rsidRDefault="00F96C0E" w:rsidP="00F96C0E">
      <w:pPr>
        <w:pStyle w:val="ListParagraph"/>
        <w:numPr>
          <w:ilvl w:val="0"/>
          <w:numId w:val="1"/>
        </w:numPr>
        <w:rPr>
          <w:rFonts w:ascii="Times New Roman" w:hAnsi="Times New Roman" w:cs="Times New Roman"/>
          <w:b/>
          <w:bCs/>
          <w:sz w:val="20"/>
          <w:szCs w:val="20"/>
        </w:rPr>
      </w:pPr>
      <w:r w:rsidRPr="00925095">
        <w:rPr>
          <w:rFonts w:ascii="Times New Roman" w:hAnsi="Times New Roman" w:cs="Times New Roman"/>
          <w:b/>
          <w:bCs/>
          <w:sz w:val="20"/>
          <w:szCs w:val="20"/>
        </w:rPr>
        <w:t xml:space="preserve">                                                                              (B)</w:t>
      </w:r>
    </w:p>
    <w:p w14:paraId="4838125B" w14:textId="42717DF1" w:rsidR="00F96C0E" w:rsidRPr="00925095" w:rsidRDefault="00F96C0E" w:rsidP="00F96C0E">
      <w:pPr>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t>Figure 19.</w:t>
      </w:r>
      <w:r w:rsidRPr="00925095">
        <w:rPr>
          <w:rFonts w:ascii="Times New Roman" w:hAnsi="Times New Roman" w:cs="Times New Roman"/>
          <w:sz w:val="20"/>
          <w:szCs w:val="20"/>
        </w:rPr>
        <w:t xml:space="preserve"> Detection of intracellular ROS in U-87 cells using DCFH-DA assay without external apoptotic induction. Representative fluorescence microscopy images of (A) untreated control cells and (B) cells treated with esculetin at IC₅₀ concentration (220 μM) for 24 h. Green fluorescence corresponds to oxidized DCF, indicating intracellular ROS levels. Enhanced fluorescence in treated cells compared to control suggests esculetin-induced oxidative stress under basal conditions. Scale bar: 100 </w:t>
      </w:r>
      <w:proofErr w:type="spellStart"/>
      <w:r w:rsidRPr="00925095">
        <w:rPr>
          <w:rFonts w:ascii="Times New Roman" w:hAnsi="Times New Roman" w:cs="Times New Roman"/>
          <w:sz w:val="20"/>
          <w:szCs w:val="20"/>
        </w:rPr>
        <w:t>μm</w:t>
      </w:r>
      <w:proofErr w:type="spellEnd"/>
      <w:r w:rsidRPr="00925095">
        <w:rPr>
          <w:rFonts w:ascii="Times New Roman" w:hAnsi="Times New Roman" w:cs="Times New Roman"/>
          <w:sz w:val="20"/>
          <w:szCs w:val="20"/>
        </w:rPr>
        <w:t>.</w:t>
      </w:r>
    </w:p>
    <w:p w14:paraId="55A3E50E" w14:textId="77777777" w:rsidR="004D386E" w:rsidRPr="00925095" w:rsidRDefault="004D386E" w:rsidP="004D386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Molecular docking studies ranked SERPINE1 (PAI-1, PDB: 4AQH) as the top predicted binding partner of esculetin, with the highest affinity score, followed by GSK3B (PDB: 1Q5K) and STAT1. </w:t>
      </w:r>
      <w:proofErr w:type="spellStart"/>
      <w:r w:rsidRPr="00925095">
        <w:rPr>
          <w:rFonts w:ascii="Times New Roman" w:hAnsi="Times New Roman" w:cs="Times New Roman"/>
          <w:sz w:val="20"/>
          <w:szCs w:val="20"/>
        </w:rPr>
        <w:t>Esculetin’s</w:t>
      </w:r>
      <w:proofErr w:type="spellEnd"/>
      <w:r w:rsidRPr="00925095">
        <w:rPr>
          <w:rFonts w:ascii="Times New Roman" w:hAnsi="Times New Roman" w:cs="Times New Roman"/>
          <w:sz w:val="20"/>
          <w:szCs w:val="20"/>
        </w:rPr>
        <w:t xml:space="preserve"> catechol moiety formed stable hydrogen bonds within the SERPINE1 reactive center cleft, while the coumarin ring engaged in π–π stacking and hydrophobic interactions, closely mimicking known inhibitors. GSK3B interactions involved hinge-region hydrogen bonding and hydrophobic pocket occupation, consistent with kinase modulation. These computational findings positioned SERPINE1 as the primary therapeutic target.</w:t>
      </w:r>
    </w:p>
    <w:p w14:paraId="36AFF175" w14:textId="08B15895" w:rsidR="004D386E" w:rsidRPr="00925095" w:rsidRDefault="004D386E" w:rsidP="004D386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Molecular dynamics simulations further validated the docking results by demonstrating stable root mean square deviation (RMSD) profiles and consistent hydrogen bond occupancy for the esculetin–SERPINE1 complex throughout the simulation period. This indicated a strong and persistent interaction, supporting the hypothesis that SERPINE1 inhibition by esculetin could be maintained under physiological conditions, potentially translating into functional modulation of fibrinolytic and vascular processes relevant to migraine</w:t>
      </w:r>
      <w:r w:rsidR="007701E3">
        <w:rPr>
          <w:rFonts w:ascii="Times New Roman" w:hAnsi="Times New Roman" w:cs="Times New Roman"/>
          <w:sz w:val="20"/>
          <w:szCs w:val="20"/>
        </w:rPr>
        <w:t xml:space="preserve"> (19)</w:t>
      </w:r>
      <w:r w:rsidRPr="00925095">
        <w:rPr>
          <w:rFonts w:ascii="Times New Roman" w:hAnsi="Times New Roman" w:cs="Times New Roman"/>
          <w:sz w:val="20"/>
          <w:szCs w:val="20"/>
        </w:rPr>
        <w:t>.</w:t>
      </w:r>
    </w:p>
    <w:p w14:paraId="19DDEA5F" w14:textId="77777777" w:rsidR="004D386E" w:rsidRPr="00925095" w:rsidRDefault="004D386E" w:rsidP="004D386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In vitro assays using U-87 glioblastoma cells revealed that low esculetin concentrations (6.25–50 μM) preserved cell viability above 85%, whereas higher doses induced a dose-dependent decline, with an IC₅₀ of ~220 μM. Morphological changes at higher doses, including cell rounding and detachment, corresponded with reduced viability. ROS assays using the DCFH-DA probe showed that treatment at IC₅₀ significantly increased intracellular ROS levels compared to controls, suggesting that at elevated concentrations, esculetin shifts from a protective to a pro-oxidative state, potentially contributing to its cytotoxic effects.</w:t>
      </w:r>
    </w:p>
    <w:p w14:paraId="0A95473A" w14:textId="77777777" w:rsidR="009D1AA2" w:rsidRDefault="0084148E" w:rsidP="0084148E">
      <w:pPr>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 xml:space="preserve">While these findings indicate a promising multi-target mechanism of esculetin in migraine involving vascular, inflammatory, and oxidative stress pathways, several limitations remain. The in vitro model does not replicate the full neurovascular complexity of migraine, and pharmacokinetic factors such as blood–brain barrier penetration remain untested. Future studies should employ primary neuronal and trigeminovascular models, investigate target-specific knockdowns to confirm causality, and assess in vivo efficacy and safety to better define </w:t>
      </w:r>
      <w:proofErr w:type="spellStart"/>
      <w:r w:rsidRPr="00925095">
        <w:rPr>
          <w:rFonts w:ascii="Times New Roman" w:hAnsi="Times New Roman" w:cs="Times New Roman"/>
          <w:sz w:val="20"/>
          <w:szCs w:val="20"/>
        </w:rPr>
        <w:t>esculetin’s</w:t>
      </w:r>
      <w:proofErr w:type="spellEnd"/>
      <w:r w:rsidRPr="00925095">
        <w:rPr>
          <w:rFonts w:ascii="Times New Roman" w:hAnsi="Times New Roman" w:cs="Times New Roman"/>
          <w:sz w:val="20"/>
          <w:szCs w:val="20"/>
        </w:rPr>
        <w:t xml:space="preserve"> therapeutic potential in migraine management. Taken together, our findings highlight SERPINE1 as the primary </w:t>
      </w:r>
      <w:r w:rsidRPr="00925095">
        <w:rPr>
          <w:rFonts w:ascii="Times New Roman" w:hAnsi="Times New Roman" w:cs="Times New Roman"/>
          <w:sz w:val="20"/>
          <w:szCs w:val="20"/>
        </w:rPr>
        <w:lastRenderedPageBreak/>
        <w:t>molecular target and the Toll-like receptor signaling pathway as the key mechanistic axis through which esculetin may exert its anti-migraine effects.</w:t>
      </w:r>
    </w:p>
    <w:p w14:paraId="517E630B" w14:textId="77777777" w:rsidR="009D1AA2" w:rsidRPr="008B0237" w:rsidRDefault="009D1AA2" w:rsidP="009D1AA2">
      <w:pPr>
        <w:spacing w:line="360" w:lineRule="auto"/>
        <w:jc w:val="both"/>
        <w:rPr>
          <w:rFonts w:ascii="Times New Roman" w:hAnsi="Times New Roman" w:cs="Times New Roman"/>
          <w:b/>
          <w:bCs/>
          <w:sz w:val="24"/>
          <w:szCs w:val="24"/>
        </w:rPr>
      </w:pPr>
      <w:r w:rsidRPr="008B0237">
        <w:rPr>
          <w:rFonts w:ascii="Times New Roman" w:hAnsi="Times New Roman" w:cs="Times New Roman"/>
          <w:b/>
          <w:bCs/>
          <w:sz w:val="24"/>
          <w:szCs w:val="24"/>
        </w:rPr>
        <w:t>Ethical Approval</w:t>
      </w:r>
    </w:p>
    <w:p w14:paraId="78AA7F99" w14:textId="77777777" w:rsidR="009D1AA2" w:rsidRPr="008B0237" w:rsidRDefault="009D1AA2" w:rsidP="009D1AA2">
      <w:pPr>
        <w:spacing w:line="360" w:lineRule="auto"/>
        <w:jc w:val="both"/>
        <w:rPr>
          <w:rFonts w:ascii="Times New Roman" w:hAnsi="Times New Roman" w:cs="Times New Roman"/>
          <w:sz w:val="24"/>
          <w:szCs w:val="24"/>
        </w:rPr>
      </w:pPr>
      <w:r w:rsidRPr="008B0237">
        <w:rPr>
          <w:rFonts w:ascii="Times New Roman" w:hAnsi="Times New Roman" w:cs="Times New Roman"/>
          <w:sz w:val="24"/>
          <w:szCs w:val="24"/>
        </w:rPr>
        <w:t>Not applicable.</w:t>
      </w:r>
    </w:p>
    <w:p w14:paraId="3FEE1249" w14:textId="77777777" w:rsidR="009D1AA2" w:rsidRPr="008B0237" w:rsidRDefault="009D1AA2" w:rsidP="009D1AA2">
      <w:pPr>
        <w:spacing w:line="360" w:lineRule="auto"/>
        <w:jc w:val="both"/>
        <w:rPr>
          <w:rFonts w:ascii="Times New Roman" w:hAnsi="Times New Roman" w:cs="Times New Roman"/>
          <w:b/>
          <w:bCs/>
          <w:sz w:val="24"/>
          <w:szCs w:val="24"/>
        </w:rPr>
      </w:pPr>
      <w:r w:rsidRPr="008B0237">
        <w:rPr>
          <w:rFonts w:ascii="Times New Roman" w:hAnsi="Times New Roman" w:cs="Times New Roman"/>
          <w:b/>
          <w:bCs/>
          <w:sz w:val="24"/>
          <w:szCs w:val="24"/>
        </w:rPr>
        <w:t>Consent for Publication</w:t>
      </w:r>
    </w:p>
    <w:p w14:paraId="2B403E2E" w14:textId="77777777" w:rsidR="009D1AA2" w:rsidRDefault="009D1AA2" w:rsidP="009D1AA2">
      <w:pPr>
        <w:spacing w:line="360" w:lineRule="auto"/>
        <w:jc w:val="both"/>
        <w:rPr>
          <w:rFonts w:ascii="Times New Roman" w:hAnsi="Times New Roman" w:cs="Times New Roman"/>
          <w:sz w:val="24"/>
          <w:szCs w:val="24"/>
        </w:rPr>
      </w:pPr>
      <w:r w:rsidRPr="008B0237">
        <w:rPr>
          <w:rFonts w:ascii="Times New Roman" w:hAnsi="Times New Roman" w:cs="Times New Roman"/>
          <w:sz w:val="24"/>
          <w:szCs w:val="24"/>
        </w:rPr>
        <w:t>Not applicable.</w:t>
      </w:r>
    </w:p>
    <w:p w14:paraId="0B54F155" w14:textId="77777777" w:rsidR="009D1AA2" w:rsidRDefault="009D1AA2" w:rsidP="009D1AA2">
      <w:pPr>
        <w:spacing w:line="360" w:lineRule="auto"/>
        <w:rPr>
          <w:rFonts w:ascii="Times New Roman" w:hAnsi="Times New Roman" w:cs="Times New Roman"/>
          <w:b/>
          <w:bCs/>
          <w:sz w:val="24"/>
          <w:szCs w:val="24"/>
        </w:rPr>
      </w:pPr>
      <w:r w:rsidRPr="00E5735F">
        <w:rPr>
          <w:rFonts w:ascii="Times New Roman" w:hAnsi="Times New Roman" w:cs="Times New Roman"/>
          <w:b/>
          <w:bCs/>
          <w:sz w:val="24"/>
          <w:szCs w:val="24"/>
        </w:rPr>
        <w:t>Data Availability</w:t>
      </w:r>
    </w:p>
    <w:p w14:paraId="54BB1089" w14:textId="77777777" w:rsidR="009D1AA2" w:rsidRPr="00E5735F" w:rsidRDefault="009D1AA2" w:rsidP="009D1AA2">
      <w:pPr>
        <w:spacing w:line="360" w:lineRule="auto"/>
        <w:rPr>
          <w:rFonts w:ascii="Times New Roman" w:hAnsi="Times New Roman" w:cs="Times New Roman"/>
          <w:sz w:val="24"/>
          <w:szCs w:val="24"/>
        </w:rPr>
      </w:pPr>
      <w:r w:rsidRPr="00E5735F">
        <w:rPr>
          <w:rFonts w:ascii="Times New Roman" w:hAnsi="Times New Roman" w:cs="Times New Roman"/>
          <w:sz w:val="24"/>
          <w:szCs w:val="24"/>
        </w:rPr>
        <w:t>This article contains no datasets generated or analyzed during the current study</w:t>
      </w:r>
      <w:r>
        <w:rPr>
          <w:rFonts w:ascii="Times New Roman" w:hAnsi="Times New Roman" w:cs="Times New Roman"/>
          <w:sz w:val="24"/>
          <w:szCs w:val="24"/>
        </w:rPr>
        <w:t>.</w:t>
      </w:r>
    </w:p>
    <w:p w14:paraId="27763CA0" w14:textId="77777777" w:rsidR="009D1AA2" w:rsidRPr="008B0237" w:rsidRDefault="009D1AA2" w:rsidP="009D1AA2">
      <w:pPr>
        <w:spacing w:line="360" w:lineRule="auto"/>
        <w:rPr>
          <w:rFonts w:ascii="Times New Roman" w:hAnsi="Times New Roman" w:cs="Times New Roman"/>
          <w:b/>
          <w:bCs/>
          <w:sz w:val="24"/>
          <w:szCs w:val="24"/>
        </w:rPr>
      </w:pPr>
      <w:r w:rsidRPr="008B0237">
        <w:rPr>
          <w:rFonts w:ascii="Times New Roman" w:hAnsi="Times New Roman" w:cs="Times New Roman"/>
          <w:b/>
          <w:bCs/>
          <w:sz w:val="24"/>
          <w:szCs w:val="24"/>
        </w:rPr>
        <w:t xml:space="preserve">Declaration of Interest </w:t>
      </w:r>
    </w:p>
    <w:p w14:paraId="7FEEE85B" w14:textId="6C1653EC" w:rsidR="009D1AA2" w:rsidRDefault="009D1AA2" w:rsidP="009D1AA2">
      <w:pPr>
        <w:spacing w:line="360" w:lineRule="auto"/>
        <w:rPr>
          <w:rFonts w:ascii="Times New Roman" w:hAnsi="Times New Roman" w:cs="Times New Roman"/>
          <w:sz w:val="24"/>
          <w:szCs w:val="24"/>
        </w:rPr>
      </w:pPr>
      <w:r w:rsidRPr="008B0237">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4E9A43C7" w14:textId="77777777" w:rsidR="00E16DB0" w:rsidRDefault="00E16DB0" w:rsidP="009D1AA2">
      <w:pPr>
        <w:spacing w:line="360" w:lineRule="auto"/>
        <w:rPr>
          <w:rFonts w:ascii="Times New Roman" w:hAnsi="Times New Roman" w:cs="Times New Roman"/>
          <w:sz w:val="24"/>
          <w:szCs w:val="24"/>
        </w:rPr>
      </w:pPr>
    </w:p>
    <w:p w14:paraId="2445156B" w14:textId="77777777" w:rsidR="00E16DB0" w:rsidRPr="00E16DB0" w:rsidRDefault="00E16DB0" w:rsidP="00E16DB0">
      <w:pPr>
        <w:spacing w:after="200" w:line="276" w:lineRule="auto"/>
        <w:jc w:val="both"/>
        <w:outlineLvl w:val="0"/>
        <w:rPr>
          <w:rFonts w:ascii="Arial" w:eastAsia="Times New Roman" w:hAnsi="Arial" w:cs="Arial"/>
          <w:kern w:val="0"/>
          <w:lang w:val="en-GB" w:eastAsia="en-GB"/>
          <w14:ligatures w14:val="none"/>
        </w:rPr>
      </w:pPr>
      <w:r w:rsidRPr="00E16DB0">
        <w:rPr>
          <w:rFonts w:ascii="Arial" w:eastAsia="Times New Roman" w:hAnsi="Arial" w:cs="Arial"/>
          <w:b/>
          <w:bCs/>
          <w:kern w:val="0"/>
          <w:lang w:val="en-GB" w:eastAsia="en-GB"/>
          <w14:ligatures w14:val="none"/>
        </w:rPr>
        <w:t>COMPETING INTERESTS DISCLAIMER:</w:t>
      </w:r>
    </w:p>
    <w:p w14:paraId="09538177" w14:textId="77740193" w:rsidR="00E16DB0" w:rsidRDefault="00E16DB0" w:rsidP="00E16DB0">
      <w:pPr>
        <w:spacing w:after="200" w:line="276" w:lineRule="auto"/>
        <w:rPr>
          <w:rFonts w:ascii="Calibri" w:eastAsia="Times New Roman" w:hAnsi="Calibri" w:cs="Times New Roman"/>
          <w:kern w:val="0"/>
          <w:lang w:val="en-GB" w:eastAsia="en-GB"/>
          <w14:ligatures w14:val="none"/>
        </w:rPr>
      </w:pPr>
      <w:r w:rsidRPr="00E16DB0">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386D4B34" w14:textId="53EAEBD2" w:rsidR="00E35C34" w:rsidRPr="000864FF" w:rsidRDefault="00E35C34" w:rsidP="00E16DB0">
      <w:pPr>
        <w:spacing w:after="200" w:line="276" w:lineRule="auto"/>
        <w:rPr>
          <w:rFonts w:ascii="Times New Roman" w:eastAsia="Times New Roman" w:hAnsi="Times New Roman" w:cs="Times New Roman"/>
          <w:b/>
          <w:bCs/>
          <w:kern w:val="0"/>
          <w:sz w:val="24"/>
          <w:szCs w:val="24"/>
          <w:lang w:val="en-GB" w:eastAsia="en-GB"/>
          <w14:ligatures w14:val="none"/>
        </w:rPr>
      </w:pPr>
    </w:p>
    <w:p w14:paraId="389C15E4" w14:textId="77777777" w:rsidR="00E35C34" w:rsidRPr="00ED5347" w:rsidRDefault="00E35C34" w:rsidP="00ED5347">
      <w:pPr>
        <w:jc w:val="both"/>
        <w:rPr>
          <w:rFonts w:ascii="Times New Roman" w:eastAsia="Calibri" w:hAnsi="Times New Roman" w:cs="Times New Roman"/>
          <w:b/>
          <w:bCs/>
          <w:sz w:val="20"/>
          <w:szCs w:val="20"/>
          <w:lang w:val="en-US"/>
        </w:rPr>
      </w:pPr>
      <w:bookmarkStart w:id="0" w:name="_Hlk197682619"/>
      <w:bookmarkStart w:id="1" w:name="_Hlk180402183"/>
      <w:bookmarkStart w:id="2" w:name="_Hlk183680988"/>
      <w:r w:rsidRPr="00ED5347">
        <w:rPr>
          <w:rFonts w:ascii="Times New Roman" w:eastAsia="Calibri" w:hAnsi="Times New Roman" w:cs="Times New Roman"/>
          <w:b/>
          <w:bCs/>
          <w:sz w:val="20"/>
          <w:szCs w:val="20"/>
          <w:lang w:val="en-US"/>
        </w:rPr>
        <w:t>Disclaimer (Artificial intelligence)</w:t>
      </w:r>
    </w:p>
    <w:p w14:paraId="4D763316" w14:textId="77777777" w:rsidR="00E35C34" w:rsidRPr="00ED5347" w:rsidRDefault="00E35C34" w:rsidP="00ED5347">
      <w:pPr>
        <w:spacing w:line="360" w:lineRule="auto"/>
        <w:jc w:val="both"/>
        <w:rPr>
          <w:rFonts w:ascii="Times New Roman" w:eastAsia="Calibri" w:hAnsi="Times New Roman" w:cs="Times New Roman"/>
          <w:sz w:val="20"/>
          <w:szCs w:val="20"/>
          <w:lang w:val="en-US"/>
        </w:rPr>
      </w:pPr>
      <w:r w:rsidRPr="00ED5347">
        <w:rPr>
          <w:rFonts w:ascii="Times New Roman" w:eastAsia="Calibri" w:hAnsi="Times New Roman" w:cs="Times New Roman"/>
          <w:sz w:val="20"/>
          <w:szCs w:val="20"/>
          <w:lang w:val="en-US"/>
        </w:rPr>
        <w:t xml:space="preserve">Author(s) hereby </w:t>
      </w:r>
      <w:proofErr w:type="gramStart"/>
      <w:r w:rsidRPr="00ED5347">
        <w:rPr>
          <w:rFonts w:ascii="Times New Roman" w:eastAsia="Calibri" w:hAnsi="Times New Roman" w:cs="Times New Roman"/>
          <w:sz w:val="20"/>
          <w:szCs w:val="20"/>
          <w:lang w:val="en-US"/>
        </w:rPr>
        <w:t>declare</w:t>
      </w:r>
      <w:proofErr w:type="gramEnd"/>
      <w:r w:rsidRPr="00ED5347">
        <w:rPr>
          <w:rFonts w:ascii="Times New Roman" w:eastAsia="Calibri" w:hAnsi="Times New Roman" w:cs="Times New Roman"/>
          <w:sz w:val="20"/>
          <w:szCs w:val="20"/>
          <w:lang w:val="en-US"/>
        </w:rPr>
        <w:t xml:space="preserve"> that NO generative AI technologies such as Large Language Models (ChatGPT, COPILOT, etc.) and text-to-image generators have been used during the writing or editing of this manuscript. </w:t>
      </w:r>
    </w:p>
    <w:bookmarkEnd w:id="0"/>
    <w:bookmarkEnd w:id="1"/>
    <w:bookmarkEnd w:id="2"/>
    <w:p w14:paraId="7665C0A3" w14:textId="77777777" w:rsidR="00E35C34" w:rsidRDefault="00E35C34" w:rsidP="00E16DB0">
      <w:pPr>
        <w:spacing w:after="200" w:line="276" w:lineRule="auto"/>
        <w:rPr>
          <w:rFonts w:ascii="Calibri" w:eastAsia="Calibri" w:hAnsi="Calibri" w:cs="Times New Roman"/>
          <w:lang w:val="en-US"/>
        </w:rPr>
      </w:pPr>
    </w:p>
    <w:p w14:paraId="443AC7AB" w14:textId="77777777" w:rsidR="000864FF" w:rsidRDefault="000864FF" w:rsidP="00E16DB0">
      <w:pPr>
        <w:spacing w:after="200" w:line="276" w:lineRule="auto"/>
        <w:rPr>
          <w:rFonts w:ascii="Calibri" w:eastAsia="Calibri" w:hAnsi="Calibri" w:cs="Times New Roman"/>
          <w:lang w:val="en-US"/>
        </w:rPr>
      </w:pPr>
    </w:p>
    <w:p w14:paraId="31B41C82" w14:textId="77777777" w:rsidR="000864FF" w:rsidRDefault="000864FF" w:rsidP="00E16DB0">
      <w:pPr>
        <w:spacing w:after="200" w:line="276" w:lineRule="auto"/>
        <w:rPr>
          <w:rFonts w:ascii="Calibri" w:eastAsia="Calibri" w:hAnsi="Calibri" w:cs="Times New Roman"/>
          <w:lang w:val="en-US"/>
        </w:rPr>
      </w:pPr>
    </w:p>
    <w:p w14:paraId="21A28778" w14:textId="77777777" w:rsidR="000864FF" w:rsidRDefault="000864FF" w:rsidP="00E16DB0">
      <w:pPr>
        <w:spacing w:after="200" w:line="276" w:lineRule="auto"/>
        <w:rPr>
          <w:rFonts w:ascii="Calibri" w:eastAsia="Calibri" w:hAnsi="Calibri" w:cs="Times New Roman"/>
          <w:lang w:val="en-US"/>
        </w:rPr>
      </w:pPr>
    </w:p>
    <w:p w14:paraId="22BDF2FB" w14:textId="3C048102" w:rsidR="000864FF" w:rsidRDefault="007701E3" w:rsidP="007701E3">
      <w:pPr>
        <w:tabs>
          <w:tab w:val="left" w:pos="3740"/>
        </w:tabs>
        <w:spacing w:after="200" w:line="276" w:lineRule="auto"/>
        <w:rPr>
          <w:rFonts w:ascii="Calibri" w:eastAsia="Calibri" w:hAnsi="Calibri" w:cs="Times New Roman"/>
          <w:lang w:val="en-US"/>
        </w:rPr>
      </w:pPr>
      <w:r>
        <w:rPr>
          <w:rFonts w:ascii="Calibri" w:eastAsia="Calibri" w:hAnsi="Calibri" w:cs="Times New Roman"/>
          <w:lang w:val="en-US"/>
        </w:rPr>
        <w:tab/>
      </w:r>
    </w:p>
    <w:p w14:paraId="127398F3" w14:textId="77777777" w:rsidR="007701E3" w:rsidRDefault="007701E3" w:rsidP="007701E3">
      <w:pPr>
        <w:tabs>
          <w:tab w:val="left" w:pos="3740"/>
        </w:tabs>
        <w:spacing w:after="200" w:line="276" w:lineRule="auto"/>
        <w:rPr>
          <w:rFonts w:ascii="Calibri" w:eastAsia="Calibri" w:hAnsi="Calibri" w:cs="Times New Roman"/>
          <w:lang w:val="en-US"/>
        </w:rPr>
      </w:pPr>
    </w:p>
    <w:p w14:paraId="06DAA2E5" w14:textId="77777777" w:rsidR="000864FF" w:rsidRPr="00E16DB0" w:rsidRDefault="000864FF" w:rsidP="00E16DB0">
      <w:pPr>
        <w:spacing w:after="200" w:line="276" w:lineRule="auto"/>
        <w:rPr>
          <w:rFonts w:ascii="Calibri" w:eastAsia="Times New Roman" w:hAnsi="Calibri" w:cs="Times New Roman"/>
          <w:kern w:val="0"/>
          <w:lang w:val="en-GB" w:eastAsia="en-GB"/>
          <w14:ligatures w14:val="none"/>
        </w:rPr>
      </w:pPr>
    </w:p>
    <w:p w14:paraId="6503B44B" w14:textId="77777777" w:rsidR="00E16DB0" w:rsidRPr="008B0237" w:rsidRDefault="00E16DB0" w:rsidP="009D1AA2">
      <w:pPr>
        <w:spacing w:line="360" w:lineRule="auto"/>
        <w:rPr>
          <w:rFonts w:ascii="Times New Roman" w:hAnsi="Times New Roman" w:cs="Times New Roman"/>
          <w:sz w:val="24"/>
          <w:szCs w:val="24"/>
        </w:rPr>
      </w:pPr>
    </w:p>
    <w:p w14:paraId="11E9820A" w14:textId="4E1EB1BC" w:rsidR="00925095" w:rsidRDefault="00925095" w:rsidP="0084148E">
      <w:pPr>
        <w:spacing w:line="360" w:lineRule="auto"/>
        <w:jc w:val="both"/>
        <w:rPr>
          <w:rFonts w:ascii="Times New Roman" w:hAnsi="Times New Roman" w:cs="Times New Roman"/>
          <w:b/>
          <w:bCs/>
        </w:rPr>
      </w:pPr>
      <w:r w:rsidRPr="00925095">
        <w:rPr>
          <w:rFonts w:ascii="Times New Roman" w:hAnsi="Times New Roman" w:cs="Times New Roman"/>
          <w:b/>
          <w:bCs/>
        </w:rPr>
        <w:lastRenderedPageBreak/>
        <w:t xml:space="preserve">4. Reference </w:t>
      </w:r>
    </w:p>
    <w:p w14:paraId="447438B9"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b/>
          <w:bCs/>
          <w:sz w:val="20"/>
          <w:szCs w:val="20"/>
        </w:rPr>
        <w:fldChar w:fldCharType="begin"/>
      </w:r>
      <w:r w:rsidRPr="00925095">
        <w:rPr>
          <w:rFonts w:ascii="Times New Roman" w:hAnsi="Times New Roman" w:cs="Times New Roman"/>
          <w:b/>
          <w:bCs/>
          <w:sz w:val="20"/>
          <w:szCs w:val="20"/>
        </w:rPr>
        <w:instrText xml:space="preserve"> ADDIN ZOTERO_BIBL {"uncited":[],"omitted":[],"custom":[]} CSL_BIBLIOGRAPHY </w:instrText>
      </w:r>
      <w:r w:rsidRPr="00925095">
        <w:rPr>
          <w:rFonts w:ascii="Times New Roman" w:hAnsi="Times New Roman" w:cs="Times New Roman"/>
          <w:b/>
          <w:bCs/>
          <w:sz w:val="20"/>
          <w:szCs w:val="20"/>
        </w:rPr>
        <w:fldChar w:fldCharType="separate"/>
      </w:r>
      <w:r w:rsidRPr="00925095">
        <w:rPr>
          <w:rFonts w:ascii="Times New Roman" w:hAnsi="Times New Roman" w:cs="Times New Roman"/>
          <w:sz w:val="20"/>
          <w:szCs w:val="20"/>
        </w:rPr>
        <w:t>1.</w:t>
      </w:r>
      <w:r w:rsidRPr="00925095">
        <w:rPr>
          <w:rFonts w:ascii="Times New Roman" w:hAnsi="Times New Roman" w:cs="Times New Roman"/>
          <w:sz w:val="20"/>
          <w:szCs w:val="20"/>
        </w:rPr>
        <w:tab/>
        <w:t>Pescador Ruschel MA, De Jesus O. Migraine Headache. In: StatPearls [Internet]. Treasure Island (FL): StatPearls Publishing; 2025 [cited 2025 Aug 19]. Available from: http://www.ncbi.nlm.nih.gov/books/NBK560787/</w:t>
      </w:r>
    </w:p>
    <w:p w14:paraId="39B0DACA"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2.</w:t>
      </w:r>
      <w:r w:rsidRPr="00925095">
        <w:rPr>
          <w:rFonts w:ascii="Times New Roman" w:hAnsi="Times New Roman" w:cs="Times New Roman"/>
          <w:sz w:val="20"/>
          <w:szCs w:val="20"/>
        </w:rPr>
        <w:tab/>
        <w:t xml:space="preserve">Eigenbrodt AK, Ashina H, Khan S, Diener HC, Mitsikostas DD, Sinclair AJ, et al. Diagnosis and management of migraine in ten steps. Nat Rev Neurol. 2021 Aug;17(8):501–14. </w:t>
      </w:r>
    </w:p>
    <w:p w14:paraId="50C63918"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3.</w:t>
      </w:r>
      <w:r w:rsidRPr="00925095">
        <w:rPr>
          <w:rFonts w:ascii="Times New Roman" w:hAnsi="Times New Roman" w:cs="Times New Roman"/>
          <w:sz w:val="20"/>
          <w:szCs w:val="20"/>
        </w:rPr>
        <w:tab/>
        <w:t xml:space="preserve">Steiner TJ, Stovner LJ, Jensen R, Uluduz D, Katsarava Z, on behalf of Lifting The Burden: the Global Campaign against Headache. Migraine remains second among the world’s causes of disability, and first among young women: findings from GBD2019. The Journal of Headache and Pain. 2020 Dec 2;21(1):137. </w:t>
      </w:r>
    </w:p>
    <w:p w14:paraId="5F893305"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4.</w:t>
      </w:r>
      <w:r w:rsidRPr="00925095">
        <w:rPr>
          <w:rFonts w:ascii="Times New Roman" w:hAnsi="Times New Roman" w:cs="Times New Roman"/>
          <w:sz w:val="20"/>
          <w:szCs w:val="20"/>
        </w:rPr>
        <w:tab/>
        <w:t xml:space="preserve">Goadsby PJ, Holland PR, Martins-Oliveira M, Hoffmann J, Schankin C, Akerman S. Pathophysiology of Migraine: A Disorder of Sensory Processing. Physiological Reviews. 2017 Apr;97(2):553–622. </w:t>
      </w:r>
    </w:p>
    <w:p w14:paraId="2D7736D6"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5.</w:t>
      </w:r>
      <w:r w:rsidRPr="00925095">
        <w:rPr>
          <w:rFonts w:ascii="Times New Roman" w:hAnsi="Times New Roman" w:cs="Times New Roman"/>
          <w:sz w:val="20"/>
          <w:szCs w:val="20"/>
        </w:rPr>
        <w:tab/>
        <w:t xml:space="preserve">Kursun O, Yemisci M, van den Maagdenberg AMJM, Karatas H. Migraine and neuroinflammation: the inflammasome perspective. The Journal of Headache and Pain. 2021 Jun 10;22(1):55. </w:t>
      </w:r>
    </w:p>
    <w:p w14:paraId="517F786C"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6.</w:t>
      </w:r>
      <w:r w:rsidRPr="00925095">
        <w:rPr>
          <w:rFonts w:ascii="Times New Roman" w:hAnsi="Times New Roman" w:cs="Times New Roman"/>
          <w:sz w:val="20"/>
          <w:szCs w:val="20"/>
        </w:rPr>
        <w:tab/>
        <w:t xml:space="preserve">Russo AF. Calcitonin Gene-Related Peptide (CGRP). Annu Rev Pharmacol Toxicol. 2015;55:533–52. </w:t>
      </w:r>
    </w:p>
    <w:p w14:paraId="223BA86B"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7.</w:t>
      </w:r>
      <w:r w:rsidRPr="00925095">
        <w:rPr>
          <w:rFonts w:ascii="Times New Roman" w:hAnsi="Times New Roman" w:cs="Times New Roman"/>
          <w:sz w:val="20"/>
          <w:szCs w:val="20"/>
        </w:rPr>
        <w:tab/>
        <w:t xml:space="preserve">Pleș H, Florian IA, Timis TL, Covache-Busuioc RA, Glavan LA, Dumitrascu DI, et al. Migraine: Advances in the Pathogenesis and Treatment. Neurol Int. 2023 Aug 31;15(3):1052–105. </w:t>
      </w:r>
    </w:p>
    <w:p w14:paraId="65B8DAE6"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8.</w:t>
      </w:r>
      <w:r w:rsidRPr="00925095">
        <w:rPr>
          <w:rFonts w:ascii="Times New Roman" w:hAnsi="Times New Roman" w:cs="Times New Roman"/>
          <w:sz w:val="20"/>
          <w:szCs w:val="20"/>
        </w:rPr>
        <w:tab/>
        <w:t>Nicolas S, Nicolas D. Triptans. In: StatPearls [Internet]. Treasure Island (FL): StatPearls Publishing; 2025 [cited 2025 Aug 19]. Available from: http://www.ncbi.nlm.nih.gov/books/NBK554507/</w:t>
      </w:r>
    </w:p>
    <w:p w14:paraId="7FB29513"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9.</w:t>
      </w:r>
      <w:r w:rsidRPr="00925095">
        <w:rPr>
          <w:rFonts w:ascii="Times New Roman" w:hAnsi="Times New Roman" w:cs="Times New Roman"/>
          <w:sz w:val="20"/>
          <w:szCs w:val="20"/>
        </w:rPr>
        <w:tab/>
        <w:t xml:space="preserve">Alsaadi T, Kayed DM, Al-Madani A, Hassan AM, Terruzzi A, Krieger D, et al. Consensus-Based Recommendations on the Use of CGRP-Based Therapies for Migraine Prevention in the UAE. Neurol Ther. 2023 Oct 4;12(6):1845–65. </w:t>
      </w:r>
    </w:p>
    <w:p w14:paraId="010DECD9"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10.</w:t>
      </w:r>
      <w:r w:rsidRPr="00925095">
        <w:rPr>
          <w:rFonts w:ascii="Times New Roman" w:hAnsi="Times New Roman" w:cs="Times New Roman"/>
          <w:sz w:val="20"/>
          <w:szCs w:val="20"/>
        </w:rPr>
        <w:tab/>
        <w:t xml:space="preserve">Di Stasi LC. Natural Coumarin Derivatives Activating Nrf2 Signaling Pathway as Lead Compounds for the Design and Synthesis of Intestinal Anti-Inflammatory Drugs. Pharmaceuticals (Basel). 2023 Mar 30;16(4):511. </w:t>
      </w:r>
    </w:p>
    <w:p w14:paraId="0E43E686"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11.</w:t>
      </w:r>
      <w:r w:rsidRPr="00925095">
        <w:rPr>
          <w:rFonts w:ascii="Times New Roman" w:hAnsi="Times New Roman" w:cs="Times New Roman"/>
          <w:sz w:val="20"/>
          <w:szCs w:val="20"/>
        </w:rPr>
        <w:tab/>
        <w:t xml:space="preserve">Chehelgerdi M, Chehelgerdi M, Allela OQB, Pecho RDC, Jayasankar N, Rao DP, et al. Progressing nanotechnology to improve targeted cancer treatment: overcoming hurdles in its clinical implementation. Mol Cancer. 2023 Oct 9;22:169. </w:t>
      </w:r>
    </w:p>
    <w:p w14:paraId="5DEF642B"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12.</w:t>
      </w:r>
      <w:r w:rsidRPr="00925095">
        <w:rPr>
          <w:rFonts w:ascii="Times New Roman" w:hAnsi="Times New Roman" w:cs="Times New Roman"/>
          <w:sz w:val="20"/>
          <w:szCs w:val="20"/>
        </w:rPr>
        <w:tab/>
        <w:t xml:space="preserve">Hu S, Dan W, Liu J, Ha P, Zhou T, Guo X, et al. The Use of Traditional Chinese Medicine in Relieving EGFR-TKI-Associated Diarrhea Based on Network Pharmacology and Data Mining. Evid Based Complement Alternat Med. 2021 Apr 1;2021:5530898. </w:t>
      </w:r>
    </w:p>
    <w:p w14:paraId="43E2A185"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lastRenderedPageBreak/>
        <w:t>13.</w:t>
      </w:r>
      <w:r w:rsidRPr="00925095">
        <w:rPr>
          <w:rFonts w:ascii="Times New Roman" w:hAnsi="Times New Roman" w:cs="Times New Roman"/>
          <w:sz w:val="20"/>
          <w:szCs w:val="20"/>
        </w:rPr>
        <w:tab/>
        <w:t xml:space="preserve">Shi S, Zhao S, Tian X, Liu F, Lu X, Zang H, et al. Molecular and metabolic mechanisms of bufalin against lung adenocarcinoma: New and comprehensive evidences from network pharmacology, metabolomics and molecular biology experiment. Computers in Biology and Medicine. 2023 May 1;157:106777. </w:t>
      </w:r>
    </w:p>
    <w:p w14:paraId="685B5005" w14:textId="77777777" w:rsidR="00925095" w:rsidRP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14.</w:t>
      </w:r>
      <w:r w:rsidRPr="00925095">
        <w:rPr>
          <w:rFonts w:ascii="Times New Roman" w:hAnsi="Times New Roman" w:cs="Times New Roman"/>
          <w:sz w:val="20"/>
          <w:szCs w:val="20"/>
        </w:rPr>
        <w:tab/>
        <w:t xml:space="preserve">Pandi S, Kulanthaivel L, Subbaraj GK, Rajaram S, Subramanian S. Screening of Potential Breast Cancer Inhibitors through Molecular Docking and Molecular Dynamics Simulation. Biomed Res Int. 2022 Jun 28;2022:3338549. </w:t>
      </w:r>
    </w:p>
    <w:p w14:paraId="1219AE74" w14:textId="77777777" w:rsidR="00925095" w:rsidRDefault="00925095" w:rsidP="00925095">
      <w:pPr>
        <w:pStyle w:val="Bibliography"/>
        <w:spacing w:line="360" w:lineRule="auto"/>
        <w:jc w:val="both"/>
        <w:rPr>
          <w:rFonts w:ascii="Times New Roman" w:hAnsi="Times New Roman" w:cs="Times New Roman"/>
          <w:sz w:val="20"/>
          <w:szCs w:val="20"/>
        </w:rPr>
      </w:pPr>
      <w:r w:rsidRPr="00925095">
        <w:rPr>
          <w:rFonts w:ascii="Times New Roman" w:hAnsi="Times New Roman" w:cs="Times New Roman"/>
          <w:sz w:val="20"/>
          <w:szCs w:val="20"/>
        </w:rPr>
        <w:t>15.</w:t>
      </w:r>
      <w:r w:rsidRPr="00925095">
        <w:rPr>
          <w:rFonts w:ascii="Times New Roman" w:hAnsi="Times New Roman" w:cs="Times New Roman"/>
          <w:sz w:val="20"/>
          <w:szCs w:val="20"/>
        </w:rPr>
        <w:tab/>
        <w:t xml:space="preserve">Halder SK, Sultana I, Shuvo MN, Shil A, Himel MK, Hasan MdA, et al. In Silico Identification and Analysis of Potentially Bioactive Antiviral Phytochemicals against SARS-CoV-2: A Molecular Docking and Dynamics Simulation Approach. Biomed Res Int. 2023 May </w:t>
      </w:r>
      <w:proofErr w:type="gramStart"/>
      <w:r w:rsidRPr="00925095">
        <w:rPr>
          <w:rFonts w:ascii="Times New Roman" w:hAnsi="Times New Roman" w:cs="Times New Roman"/>
          <w:sz w:val="20"/>
          <w:szCs w:val="20"/>
        </w:rPr>
        <w:t>11;2023:5469258</w:t>
      </w:r>
      <w:proofErr w:type="gramEnd"/>
      <w:r w:rsidRPr="00925095">
        <w:rPr>
          <w:rFonts w:ascii="Times New Roman" w:hAnsi="Times New Roman" w:cs="Times New Roman"/>
          <w:sz w:val="20"/>
          <w:szCs w:val="20"/>
        </w:rPr>
        <w:t xml:space="preserve">. </w:t>
      </w:r>
    </w:p>
    <w:p w14:paraId="4074B6AD" w14:textId="41187D81" w:rsidR="00ED5347" w:rsidRPr="00ED5347" w:rsidRDefault="00ED5347" w:rsidP="00ED5347">
      <w:pPr>
        <w:spacing w:line="360" w:lineRule="auto"/>
        <w:ind w:left="426" w:hanging="426"/>
        <w:jc w:val="both"/>
        <w:rPr>
          <w:rFonts w:ascii="Times New Roman" w:hAnsi="Times New Roman" w:cs="Times New Roman"/>
          <w:sz w:val="20"/>
          <w:szCs w:val="20"/>
        </w:rPr>
      </w:pPr>
      <w:r>
        <w:t xml:space="preserve">16. </w:t>
      </w:r>
      <w:r w:rsidRPr="00ED5347">
        <w:rPr>
          <w:rFonts w:ascii="Times New Roman" w:hAnsi="Times New Roman" w:cs="Times New Roman"/>
          <w:sz w:val="20"/>
          <w:szCs w:val="20"/>
        </w:rPr>
        <w:t xml:space="preserve">Bentivegna, E., </w:t>
      </w:r>
      <w:proofErr w:type="spellStart"/>
      <w:r w:rsidRPr="00ED5347">
        <w:rPr>
          <w:rFonts w:ascii="Times New Roman" w:hAnsi="Times New Roman" w:cs="Times New Roman"/>
          <w:sz w:val="20"/>
          <w:szCs w:val="20"/>
        </w:rPr>
        <w:t>Galastri</w:t>
      </w:r>
      <w:proofErr w:type="spellEnd"/>
      <w:r w:rsidRPr="00ED5347">
        <w:rPr>
          <w:rFonts w:ascii="Times New Roman" w:hAnsi="Times New Roman" w:cs="Times New Roman"/>
          <w:sz w:val="20"/>
          <w:szCs w:val="20"/>
        </w:rPr>
        <w:t>, S., Onan, D. et al. Unmet Needs in the Acute Treatment of Migraine. Adv Ther 41, 1–13 (2024). https://doi.org/10.1007/s12325-023-02650-7</w:t>
      </w:r>
      <w:r w:rsidRPr="00ED5347">
        <w:rPr>
          <w:rFonts w:ascii="Times New Roman" w:hAnsi="Times New Roman" w:cs="Times New Roman"/>
          <w:sz w:val="20"/>
          <w:szCs w:val="20"/>
        </w:rPr>
        <w:t>.</w:t>
      </w:r>
    </w:p>
    <w:p w14:paraId="2EB43723" w14:textId="10968981" w:rsidR="00ED5347" w:rsidRPr="00ED5347" w:rsidRDefault="00ED5347" w:rsidP="00ED5347">
      <w:pPr>
        <w:spacing w:line="360" w:lineRule="auto"/>
        <w:ind w:left="426" w:hanging="426"/>
        <w:jc w:val="both"/>
        <w:rPr>
          <w:rFonts w:ascii="Times New Roman" w:hAnsi="Times New Roman" w:cs="Times New Roman"/>
          <w:sz w:val="20"/>
          <w:szCs w:val="20"/>
        </w:rPr>
      </w:pPr>
      <w:r w:rsidRPr="00ED5347">
        <w:rPr>
          <w:rFonts w:ascii="Times New Roman" w:hAnsi="Times New Roman" w:cs="Times New Roman"/>
          <w:sz w:val="20"/>
          <w:szCs w:val="20"/>
        </w:rPr>
        <w:t xml:space="preserve">17. </w:t>
      </w:r>
      <w:r w:rsidRPr="00ED5347">
        <w:rPr>
          <w:rFonts w:ascii="Times New Roman" w:hAnsi="Times New Roman" w:cs="Times New Roman"/>
          <w:sz w:val="20"/>
          <w:szCs w:val="20"/>
        </w:rPr>
        <w:t>Leal, L.E., Moreira, E.S., Correia, B.L. </w:t>
      </w:r>
      <w:r w:rsidRPr="00ED5347">
        <w:rPr>
          <w:rFonts w:ascii="Times New Roman" w:hAnsi="Times New Roman" w:cs="Times New Roman"/>
          <w:i/>
          <w:iCs/>
          <w:sz w:val="20"/>
          <w:szCs w:val="20"/>
        </w:rPr>
        <w:t>et al.</w:t>
      </w:r>
      <w:r w:rsidRPr="00ED5347">
        <w:rPr>
          <w:rFonts w:ascii="Times New Roman" w:hAnsi="Times New Roman" w:cs="Times New Roman"/>
          <w:sz w:val="20"/>
          <w:szCs w:val="20"/>
        </w:rPr>
        <w:t> Comparative study of the antioxidant and anti-inflammatory effects of the natural coumarins 1,2-benzopyrone, umbelliferone and esculetin: in silico, in vitro and in vivo analyses. </w:t>
      </w:r>
      <w:r w:rsidRPr="00ED5347">
        <w:rPr>
          <w:rFonts w:ascii="Times New Roman" w:hAnsi="Times New Roman" w:cs="Times New Roman"/>
          <w:i/>
          <w:iCs/>
          <w:sz w:val="20"/>
          <w:szCs w:val="20"/>
        </w:rPr>
        <w:t xml:space="preserve">Naunyn-Schmiedeberg's Arch </w:t>
      </w:r>
      <w:proofErr w:type="spellStart"/>
      <w:r w:rsidRPr="00ED5347">
        <w:rPr>
          <w:rFonts w:ascii="Times New Roman" w:hAnsi="Times New Roman" w:cs="Times New Roman"/>
          <w:i/>
          <w:iCs/>
          <w:sz w:val="20"/>
          <w:szCs w:val="20"/>
        </w:rPr>
        <w:t>Pharmacol</w:t>
      </w:r>
      <w:proofErr w:type="spellEnd"/>
      <w:r w:rsidRPr="00ED5347">
        <w:rPr>
          <w:rFonts w:ascii="Times New Roman" w:hAnsi="Times New Roman" w:cs="Times New Roman"/>
          <w:sz w:val="20"/>
          <w:szCs w:val="20"/>
        </w:rPr>
        <w:t> </w:t>
      </w:r>
      <w:r w:rsidRPr="00ED5347">
        <w:rPr>
          <w:rFonts w:ascii="Times New Roman" w:hAnsi="Times New Roman" w:cs="Times New Roman"/>
          <w:b/>
          <w:bCs/>
          <w:sz w:val="20"/>
          <w:szCs w:val="20"/>
        </w:rPr>
        <w:t>397</w:t>
      </w:r>
      <w:r w:rsidRPr="00ED5347">
        <w:rPr>
          <w:rFonts w:ascii="Times New Roman" w:hAnsi="Times New Roman" w:cs="Times New Roman"/>
          <w:sz w:val="20"/>
          <w:szCs w:val="20"/>
        </w:rPr>
        <w:t>, 173–187 (2024). https://doi.org/10.1007/s00210-023-02606-2</w:t>
      </w:r>
      <w:r w:rsidRPr="00ED5347">
        <w:rPr>
          <w:rFonts w:ascii="Times New Roman" w:hAnsi="Times New Roman" w:cs="Times New Roman"/>
          <w:sz w:val="20"/>
          <w:szCs w:val="20"/>
        </w:rPr>
        <w:t>.</w:t>
      </w:r>
    </w:p>
    <w:p w14:paraId="698ECA08" w14:textId="20F17D0B" w:rsidR="00ED5347" w:rsidRPr="00ED5347" w:rsidRDefault="00ED5347" w:rsidP="00ED5347">
      <w:pPr>
        <w:spacing w:line="360" w:lineRule="auto"/>
        <w:ind w:left="426" w:hanging="426"/>
        <w:jc w:val="both"/>
        <w:rPr>
          <w:rFonts w:ascii="Times New Roman" w:hAnsi="Times New Roman" w:cs="Times New Roman"/>
          <w:sz w:val="20"/>
          <w:szCs w:val="20"/>
        </w:rPr>
      </w:pPr>
      <w:r w:rsidRPr="00ED5347">
        <w:rPr>
          <w:rFonts w:ascii="Times New Roman" w:hAnsi="Times New Roman" w:cs="Times New Roman"/>
          <w:sz w:val="20"/>
          <w:szCs w:val="20"/>
        </w:rPr>
        <w:t xml:space="preserve">18. </w:t>
      </w:r>
      <w:r w:rsidRPr="00ED5347">
        <w:rPr>
          <w:rFonts w:ascii="Times New Roman" w:hAnsi="Times New Roman" w:cs="Times New Roman"/>
          <w:sz w:val="20"/>
          <w:szCs w:val="20"/>
        </w:rPr>
        <w:t>Ju S, Tan Y, Wang Q, Zhou L, Wang K, Wen C, Wang M. Antioxidant and anti</w:t>
      </w:r>
      <w:r w:rsidRPr="00ED5347">
        <w:rPr>
          <w:rFonts w:ascii="Times New Roman" w:hAnsi="Times New Roman" w:cs="Times New Roman"/>
          <w:sz w:val="20"/>
          <w:szCs w:val="20"/>
        </w:rPr>
        <w:noBreakHyphen/>
        <w:t>inflammatory effects of esculin and esculetin. Experimental and Therapeutic Medicine. 2024 Jun 1;27(6):1-4.</w:t>
      </w:r>
    </w:p>
    <w:p w14:paraId="688B8870" w14:textId="2CAEA666" w:rsidR="007701E3" w:rsidRDefault="007701E3" w:rsidP="007701E3">
      <w:pPr>
        <w:spacing w:line="360" w:lineRule="auto"/>
        <w:ind w:left="426" w:hanging="426"/>
        <w:jc w:val="both"/>
        <w:rPr>
          <w:sz w:val="20"/>
          <w:szCs w:val="20"/>
          <w:lang w:val="en-GB"/>
        </w:rPr>
      </w:pPr>
      <w:r>
        <w:rPr>
          <w:sz w:val="20"/>
          <w:szCs w:val="20"/>
        </w:rPr>
        <w:t xml:space="preserve">19. </w:t>
      </w:r>
      <w:r>
        <w:rPr>
          <w:sz w:val="20"/>
          <w:szCs w:val="20"/>
          <w:lang w:val="en-GB"/>
        </w:rPr>
        <w:t xml:space="preserve">Osman Suliman, </w:t>
      </w:r>
      <w:proofErr w:type="spellStart"/>
      <w:r>
        <w:rPr>
          <w:sz w:val="20"/>
          <w:szCs w:val="20"/>
          <w:lang w:val="en-GB"/>
        </w:rPr>
        <w:t>Jwaan</w:t>
      </w:r>
      <w:proofErr w:type="spellEnd"/>
      <w:r>
        <w:rPr>
          <w:sz w:val="20"/>
          <w:szCs w:val="20"/>
          <w:lang w:val="en-GB"/>
        </w:rPr>
        <w:t xml:space="preserve"> Abutwaimah, Ahmed Abutwaimah, Mona Alhusayni, Dania </w:t>
      </w:r>
      <w:proofErr w:type="spellStart"/>
      <w:r>
        <w:rPr>
          <w:sz w:val="20"/>
          <w:szCs w:val="20"/>
          <w:lang w:val="en-GB"/>
        </w:rPr>
        <w:t>Albader</w:t>
      </w:r>
      <w:proofErr w:type="spellEnd"/>
      <w:r>
        <w:rPr>
          <w:sz w:val="20"/>
          <w:szCs w:val="20"/>
          <w:lang w:val="en-GB"/>
        </w:rPr>
        <w:t>, Ahmed Abd Elmagid, Riham Abd Elmagid &amp; Rana Abd Elmagid. (2025). Recommendations for the Management of Migraine in Paediatric Patients: A Systemic Review. Journal of Advances in Medicine and Medical Research, 37(5), 275–288. https://doi.org/10.9734/jammr/2025/v37i55837</w:t>
      </w:r>
    </w:p>
    <w:p w14:paraId="15CCB013" w14:textId="77777777" w:rsidR="007701E3" w:rsidRPr="00ED5347" w:rsidRDefault="007701E3" w:rsidP="00ED5347">
      <w:pPr>
        <w:ind w:left="426" w:hanging="426"/>
      </w:pPr>
    </w:p>
    <w:p w14:paraId="75BF777E" w14:textId="77777777" w:rsidR="00ED5347" w:rsidRPr="00ED5347" w:rsidRDefault="00ED5347" w:rsidP="00ED5347"/>
    <w:p w14:paraId="7B8749C0" w14:textId="45C4D8EF" w:rsidR="00925095" w:rsidRPr="00925095" w:rsidRDefault="00925095" w:rsidP="00925095">
      <w:pPr>
        <w:spacing w:line="360" w:lineRule="auto"/>
        <w:jc w:val="both"/>
        <w:rPr>
          <w:rFonts w:ascii="Times New Roman" w:hAnsi="Times New Roman" w:cs="Times New Roman"/>
          <w:b/>
          <w:bCs/>
          <w:sz w:val="20"/>
          <w:szCs w:val="20"/>
        </w:rPr>
      </w:pPr>
      <w:r w:rsidRPr="00925095">
        <w:rPr>
          <w:rFonts w:ascii="Times New Roman" w:hAnsi="Times New Roman" w:cs="Times New Roman"/>
          <w:b/>
          <w:bCs/>
          <w:sz w:val="20"/>
          <w:szCs w:val="20"/>
        </w:rPr>
        <w:fldChar w:fldCharType="end"/>
      </w:r>
    </w:p>
    <w:p w14:paraId="15DA0718" w14:textId="77777777" w:rsidR="00925095" w:rsidRPr="00925095" w:rsidRDefault="00925095" w:rsidP="00925095">
      <w:pPr>
        <w:spacing w:line="360" w:lineRule="auto"/>
        <w:jc w:val="both"/>
        <w:rPr>
          <w:rFonts w:ascii="Times New Roman" w:hAnsi="Times New Roman" w:cs="Times New Roman"/>
          <w:sz w:val="20"/>
          <w:szCs w:val="20"/>
        </w:rPr>
      </w:pPr>
    </w:p>
    <w:p w14:paraId="1A351282" w14:textId="77777777" w:rsidR="00925095" w:rsidRPr="00925095" w:rsidRDefault="00925095" w:rsidP="00925095">
      <w:pPr>
        <w:spacing w:line="360" w:lineRule="auto"/>
        <w:jc w:val="both"/>
        <w:rPr>
          <w:rFonts w:ascii="Times New Roman" w:hAnsi="Times New Roman" w:cs="Times New Roman"/>
          <w:sz w:val="20"/>
          <w:szCs w:val="20"/>
        </w:rPr>
      </w:pPr>
    </w:p>
    <w:sectPr w:rsidR="00925095" w:rsidRPr="00925095">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C29EA" w14:textId="77777777" w:rsidR="00467623" w:rsidRDefault="00467623" w:rsidP="007B3081">
      <w:pPr>
        <w:spacing w:after="0" w:line="240" w:lineRule="auto"/>
      </w:pPr>
      <w:r>
        <w:separator/>
      </w:r>
    </w:p>
  </w:endnote>
  <w:endnote w:type="continuationSeparator" w:id="0">
    <w:p w14:paraId="354C5DF0" w14:textId="77777777" w:rsidR="00467623" w:rsidRDefault="00467623" w:rsidP="007B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FA65" w14:textId="77777777" w:rsidR="002C0909" w:rsidRDefault="002C0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4CAC6" w14:textId="77777777" w:rsidR="002C0909" w:rsidRDefault="002C09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9AE54" w14:textId="77777777" w:rsidR="002C0909" w:rsidRDefault="002C0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8EE62" w14:textId="77777777" w:rsidR="00467623" w:rsidRDefault="00467623" w:rsidP="007B3081">
      <w:pPr>
        <w:spacing w:after="0" w:line="240" w:lineRule="auto"/>
      </w:pPr>
      <w:r>
        <w:separator/>
      </w:r>
    </w:p>
  </w:footnote>
  <w:footnote w:type="continuationSeparator" w:id="0">
    <w:p w14:paraId="59D7C957" w14:textId="77777777" w:rsidR="00467623" w:rsidRDefault="00467623" w:rsidP="007B3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F7EAD" w14:textId="66C3F5D9" w:rsidR="002C0909" w:rsidRDefault="00000000">
    <w:pPr>
      <w:pStyle w:val="Header"/>
    </w:pPr>
    <w:r>
      <w:rPr>
        <w:noProof/>
      </w:rPr>
      <w:pict w14:anchorId="0AEAA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690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14FD3" w14:textId="6C677948" w:rsidR="002C0909" w:rsidRDefault="00000000">
    <w:pPr>
      <w:pStyle w:val="Header"/>
    </w:pPr>
    <w:r>
      <w:rPr>
        <w:noProof/>
      </w:rPr>
      <w:pict w14:anchorId="079EA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690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55D53" w14:textId="48FDC03C" w:rsidR="002C0909" w:rsidRDefault="00000000">
    <w:pPr>
      <w:pStyle w:val="Header"/>
    </w:pPr>
    <w:r>
      <w:rPr>
        <w:noProof/>
      </w:rPr>
      <w:pict w14:anchorId="26B35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690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EC717C"/>
    <w:multiLevelType w:val="hybridMultilevel"/>
    <w:tmpl w:val="72301DF6"/>
    <w:lvl w:ilvl="0" w:tplc="A97EBF7C">
      <w:start w:val="1"/>
      <w:numFmt w:val="upp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num w:numId="1" w16cid:durableId="1464351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452"/>
    <w:rsid w:val="00006468"/>
    <w:rsid w:val="00016BDF"/>
    <w:rsid w:val="000864FF"/>
    <w:rsid w:val="000C3EC6"/>
    <w:rsid w:val="00116818"/>
    <w:rsid w:val="001B7D85"/>
    <w:rsid w:val="001C0FA4"/>
    <w:rsid w:val="00213578"/>
    <w:rsid w:val="00263E9E"/>
    <w:rsid w:val="002A210A"/>
    <w:rsid w:val="002C0909"/>
    <w:rsid w:val="002E7452"/>
    <w:rsid w:val="00334A85"/>
    <w:rsid w:val="0038771A"/>
    <w:rsid w:val="004515DF"/>
    <w:rsid w:val="00467623"/>
    <w:rsid w:val="004A4641"/>
    <w:rsid w:val="004B7CF7"/>
    <w:rsid w:val="004D386E"/>
    <w:rsid w:val="004E0769"/>
    <w:rsid w:val="004F358B"/>
    <w:rsid w:val="005B6D39"/>
    <w:rsid w:val="005D0351"/>
    <w:rsid w:val="006B4087"/>
    <w:rsid w:val="006D7739"/>
    <w:rsid w:val="007042B3"/>
    <w:rsid w:val="00715663"/>
    <w:rsid w:val="0076545E"/>
    <w:rsid w:val="007701E3"/>
    <w:rsid w:val="007B3081"/>
    <w:rsid w:val="00837075"/>
    <w:rsid w:val="0084148E"/>
    <w:rsid w:val="0086590D"/>
    <w:rsid w:val="00875B8D"/>
    <w:rsid w:val="00897F5B"/>
    <w:rsid w:val="00925095"/>
    <w:rsid w:val="00946233"/>
    <w:rsid w:val="009C2849"/>
    <w:rsid w:val="009D1AA2"/>
    <w:rsid w:val="009F31A1"/>
    <w:rsid w:val="00A037AB"/>
    <w:rsid w:val="00A13334"/>
    <w:rsid w:val="00A304A5"/>
    <w:rsid w:val="00A7210E"/>
    <w:rsid w:val="00AC29C8"/>
    <w:rsid w:val="00AD5686"/>
    <w:rsid w:val="00AE53D4"/>
    <w:rsid w:val="00C32185"/>
    <w:rsid w:val="00CC4494"/>
    <w:rsid w:val="00D07694"/>
    <w:rsid w:val="00D84FBF"/>
    <w:rsid w:val="00E1507B"/>
    <w:rsid w:val="00E16DB0"/>
    <w:rsid w:val="00E35C34"/>
    <w:rsid w:val="00E81797"/>
    <w:rsid w:val="00EA5980"/>
    <w:rsid w:val="00ED5347"/>
    <w:rsid w:val="00ED6700"/>
    <w:rsid w:val="00F110BC"/>
    <w:rsid w:val="00F84EA5"/>
    <w:rsid w:val="00F96C0E"/>
    <w:rsid w:val="00FF1F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C1EBB2"/>
  <w15:chartTrackingRefBased/>
  <w15:docId w15:val="{3F443381-BBA2-484E-AF2E-55CE6F789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74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74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74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74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74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74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74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74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74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4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74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74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74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74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74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74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74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7452"/>
    <w:rPr>
      <w:rFonts w:eastAsiaTheme="majorEastAsia" w:cstheme="majorBidi"/>
      <w:color w:val="272727" w:themeColor="text1" w:themeTint="D8"/>
    </w:rPr>
  </w:style>
  <w:style w:type="paragraph" w:styleId="Title">
    <w:name w:val="Title"/>
    <w:basedOn w:val="Normal"/>
    <w:next w:val="Normal"/>
    <w:link w:val="TitleChar"/>
    <w:uiPriority w:val="10"/>
    <w:qFormat/>
    <w:rsid w:val="002E74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74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74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74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7452"/>
    <w:pPr>
      <w:spacing w:before="160"/>
      <w:jc w:val="center"/>
    </w:pPr>
    <w:rPr>
      <w:i/>
      <w:iCs/>
      <w:color w:val="404040" w:themeColor="text1" w:themeTint="BF"/>
    </w:rPr>
  </w:style>
  <w:style w:type="character" w:customStyle="1" w:styleId="QuoteChar">
    <w:name w:val="Quote Char"/>
    <w:basedOn w:val="DefaultParagraphFont"/>
    <w:link w:val="Quote"/>
    <w:uiPriority w:val="29"/>
    <w:rsid w:val="002E7452"/>
    <w:rPr>
      <w:i/>
      <w:iCs/>
      <w:color w:val="404040" w:themeColor="text1" w:themeTint="BF"/>
    </w:rPr>
  </w:style>
  <w:style w:type="paragraph" w:styleId="ListParagraph">
    <w:name w:val="List Paragraph"/>
    <w:basedOn w:val="Normal"/>
    <w:uiPriority w:val="34"/>
    <w:qFormat/>
    <w:rsid w:val="002E7452"/>
    <w:pPr>
      <w:ind w:left="720"/>
      <w:contextualSpacing/>
    </w:pPr>
  </w:style>
  <w:style w:type="character" w:styleId="IntenseEmphasis">
    <w:name w:val="Intense Emphasis"/>
    <w:basedOn w:val="DefaultParagraphFont"/>
    <w:uiPriority w:val="21"/>
    <w:qFormat/>
    <w:rsid w:val="002E7452"/>
    <w:rPr>
      <w:i/>
      <w:iCs/>
      <w:color w:val="2F5496" w:themeColor="accent1" w:themeShade="BF"/>
    </w:rPr>
  </w:style>
  <w:style w:type="paragraph" w:styleId="IntenseQuote">
    <w:name w:val="Intense Quote"/>
    <w:basedOn w:val="Normal"/>
    <w:next w:val="Normal"/>
    <w:link w:val="IntenseQuoteChar"/>
    <w:uiPriority w:val="30"/>
    <w:qFormat/>
    <w:rsid w:val="002E74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7452"/>
    <w:rPr>
      <w:i/>
      <w:iCs/>
      <w:color w:val="2F5496" w:themeColor="accent1" w:themeShade="BF"/>
    </w:rPr>
  </w:style>
  <w:style w:type="character" w:styleId="IntenseReference">
    <w:name w:val="Intense Reference"/>
    <w:basedOn w:val="DefaultParagraphFont"/>
    <w:uiPriority w:val="32"/>
    <w:qFormat/>
    <w:rsid w:val="002E7452"/>
    <w:rPr>
      <w:b/>
      <w:bCs/>
      <w:smallCaps/>
      <w:color w:val="2F5496" w:themeColor="accent1" w:themeShade="BF"/>
      <w:spacing w:val="5"/>
    </w:rPr>
  </w:style>
  <w:style w:type="character" w:styleId="Hyperlink">
    <w:name w:val="Hyperlink"/>
    <w:basedOn w:val="DefaultParagraphFont"/>
    <w:uiPriority w:val="99"/>
    <w:unhideWhenUsed/>
    <w:rsid w:val="000C3EC6"/>
    <w:rPr>
      <w:color w:val="0563C1" w:themeColor="hyperlink"/>
      <w:u w:val="single"/>
    </w:rPr>
  </w:style>
  <w:style w:type="character" w:styleId="UnresolvedMention">
    <w:name w:val="Unresolved Mention"/>
    <w:basedOn w:val="DefaultParagraphFont"/>
    <w:uiPriority w:val="99"/>
    <w:semiHidden/>
    <w:unhideWhenUsed/>
    <w:rsid w:val="000C3EC6"/>
    <w:rPr>
      <w:color w:val="605E5C"/>
      <w:shd w:val="clear" w:color="auto" w:fill="E1DFDD"/>
    </w:rPr>
  </w:style>
  <w:style w:type="table" w:styleId="PlainTable3">
    <w:name w:val="Plain Table 3"/>
    <w:basedOn w:val="TableNormal"/>
    <w:uiPriority w:val="43"/>
    <w:rsid w:val="006B40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6B4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3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081"/>
  </w:style>
  <w:style w:type="paragraph" w:styleId="Footer">
    <w:name w:val="footer"/>
    <w:basedOn w:val="Normal"/>
    <w:link w:val="FooterChar"/>
    <w:uiPriority w:val="99"/>
    <w:unhideWhenUsed/>
    <w:rsid w:val="007B3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081"/>
  </w:style>
  <w:style w:type="paragraph" w:styleId="NormalWeb">
    <w:name w:val="Normal (Web)"/>
    <w:basedOn w:val="Normal"/>
    <w:uiPriority w:val="99"/>
    <w:semiHidden/>
    <w:unhideWhenUsed/>
    <w:rsid w:val="001B7D85"/>
    <w:rPr>
      <w:rFonts w:ascii="Times New Roman" w:hAnsi="Times New Roman" w:cs="Times New Roman"/>
      <w:sz w:val="24"/>
      <w:szCs w:val="24"/>
    </w:rPr>
  </w:style>
  <w:style w:type="paragraph" w:styleId="Bibliography">
    <w:name w:val="Bibliography"/>
    <w:basedOn w:val="Normal"/>
    <w:next w:val="Normal"/>
    <w:uiPriority w:val="37"/>
    <w:unhideWhenUsed/>
    <w:rsid w:val="00925095"/>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s://www.uniprot.org/"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tring-db.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hyperlink" Target="http://jvenn.toulouse.inra.fr/"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25</Pages>
  <Words>11861</Words>
  <Characters>74965</Characters>
  <Application>Microsoft Office Word</Application>
  <DocSecurity>0</DocSecurity>
  <Lines>4409</Lines>
  <Paragraphs>1356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koteeswaran kannan</dc:creator>
  <cp:keywords/>
  <dc:description/>
  <cp:lastModifiedBy>koteeswaran kannan</cp:lastModifiedBy>
  <cp:revision>11</cp:revision>
  <dcterms:created xsi:type="dcterms:W3CDTF">2025-08-13T07:27:00Z</dcterms:created>
  <dcterms:modified xsi:type="dcterms:W3CDTF">2025-09-19T08:27:00Z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2e79c821-8e65-4a59-acec-1ef40956d15b</vt:lpwstr>
  </property>
  <property fmtid="{D5CDD505-2E9C-101B-9397-08002B2CF9AE}" pid="3" name="ZOTERO_PREF_1">
    <vt:lpwstr>&lt;data data-version="3" zotero-version="7.0.16"&gt;&lt;session id="wHLPB6jf"/&gt;&lt;style id="http://www.zotero.org/styles/vancouver" locale="en-US" hasBibliography="1" bibliographyStyleHasBeenSet="1"/&gt;&lt;prefs&gt;&lt;pref name="fieldType" value="Field"/&gt;&lt;/prefs&gt;&lt;/data&gt;</vt:lpwstr>
  </property>
</Properties>
</file>