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FC2C" w14:textId="77777777" w:rsidR="00A172B2" w:rsidRPr="003A4A4F" w:rsidRDefault="00A172B2" w:rsidP="00A100C3">
      <w:pPr>
        <w:rPr>
          <w:rFonts w:ascii="Times New Roman" w:hAnsi="Times New Roman" w:cs="Times New Roman"/>
          <w:b/>
          <w:bCs/>
          <w:sz w:val="28"/>
          <w:szCs w:val="28"/>
          <w:u w:val="single"/>
        </w:rPr>
      </w:pPr>
      <w:r w:rsidRPr="003A4A4F">
        <w:rPr>
          <w:rFonts w:ascii="Times New Roman" w:hAnsi="Times New Roman" w:cs="Times New Roman"/>
          <w:b/>
          <w:bCs/>
          <w:sz w:val="28"/>
          <w:szCs w:val="28"/>
          <w:u w:val="single"/>
        </w:rPr>
        <w:t xml:space="preserve">Original Research Article </w:t>
      </w:r>
    </w:p>
    <w:p w14:paraId="686CEA86" w14:textId="60C6B8B4" w:rsidR="008735B8" w:rsidRDefault="00D83189" w:rsidP="00AB6ABE">
      <w:pPr>
        <w:spacing w:line="360" w:lineRule="auto"/>
        <w:jc w:val="both"/>
        <w:rPr>
          <w:rFonts w:ascii="Times New Roman" w:hAnsi="Times New Roman" w:cs="Times New Roman"/>
          <w:b/>
          <w:bCs/>
          <w:sz w:val="24"/>
          <w:szCs w:val="24"/>
          <w:lang w:val="en-US"/>
        </w:rPr>
      </w:pPr>
      <w:r w:rsidRPr="00A86088">
        <w:rPr>
          <w:rFonts w:ascii="Times New Roman" w:hAnsi="Times New Roman" w:cs="Times New Roman"/>
          <w:b/>
          <w:bCs/>
          <w:sz w:val="28"/>
          <w:szCs w:val="28"/>
          <w:highlight w:val="yellow"/>
        </w:rPr>
        <w:t>Soluplus®-Based pH-Modulated Solid Dispersions of Lornoxicam for Enhanced Oral Bioavailability</w:t>
      </w:r>
    </w:p>
    <w:p w14:paraId="04B5FC4B" w14:textId="27EDCA0C" w:rsidR="00AB6ABE" w:rsidRPr="00F90A3D" w:rsidRDefault="00536737" w:rsidP="00AB6ABE">
      <w:pPr>
        <w:spacing w:line="360" w:lineRule="auto"/>
        <w:jc w:val="both"/>
        <w:rPr>
          <w:rFonts w:ascii="Times New Roman" w:hAnsi="Times New Roman" w:cs="Times New Roman"/>
          <w:b/>
          <w:bCs/>
          <w:sz w:val="24"/>
          <w:szCs w:val="24"/>
          <w:lang w:val="en-US"/>
        </w:rPr>
      </w:pPr>
      <w:r w:rsidRPr="00F90A3D">
        <w:rPr>
          <w:rFonts w:ascii="Times New Roman" w:hAnsi="Times New Roman" w:cs="Times New Roman"/>
          <w:b/>
          <w:bCs/>
          <w:sz w:val="24"/>
          <w:szCs w:val="24"/>
          <w:lang w:val="en-US"/>
        </w:rPr>
        <w:t>ABSTRACT</w:t>
      </w:r>
      <w:r w:rsidR="00AB6ABE" w:rsidRPr="00F90A3D">
        <w:rPr>
          <w:rFonts w:ascii="Times New Roman" w:hAnsi="Times New Roman" w:cs="Times New Roman"/>
          <w:b/>
          <w:bCs/>
          <w:sz w:val="24"/>
          <w:szCs w:val="24"/>
          <w:lang w:val="en-US"/>
        </w:rPr>
        <w:t xml:space="preserve"> </w:t>
      </w:r>
    </w:p>
    <w:p w14:paraId="116AD89F" w14:textId="62C7CD3F" w:rsidR="00EC63D0" w:rsidRDefault="00197147" w:rsidP="005D5B4A">
      <w:pPr>
        <w:spacing w:line="360" w:lineRule="auto"/>
        <w:jc w:val="both"/>
        <w:rPr>
          <w:rFonts w:ascii="Times New Roman" w:hAnsi="Times New Roman" w:cs="Times New Roman"/>
          <w:sz w:val="24"/>
          <w:szCs w:val="24"/>
          <w:lang w:val="en-US"/>
        </w:rPr>
      </w:pPr>
      <w:r w:rsidRPr="00197147">
        <w:rPr>
          <w:rFonts w:ascii="Times New Roman" w:hAnsi="Times New Roman" w:cs="Times New Roman"/>
          <w:sz w:val="24"/>
          <w:szCs w:val="24"/>
          <w:lang w:val="en-US"/>
        </w:rPr>
        <w:t xml:space="preserve">Lornoxicam, a potent nonsteroidal anti-inflammatory drug (NSAID), suffers from poor aqueous solubility, leading to limited dissolution and variable bioavailability. </w:t>
      </w:r>
      <w:r w:rsidR="00C05F42" w:rsidRPr="00D83189">
        <w:rPr>
          <w:rFonts w:ascii="Times New Roman" w:hAnsi="Times New Roman" w:cs="Times New Roman"/>
          <w:sz w:val="24"/>
          <w:szCs w:val="24"/>
          <w:highlight w:val="yellow"/>
          <w:lang w:val="en-US"/>
        </w:rPr>
        <w:t>It is a nonsteroidal anti-inflammatory medication (NSAID)</w:t>
      </w:r>
      <w:r w:rsidR="00C05F42" w:rsidRPr="00D83189">
        <w:rPr>
          <w:rFonts w:ascii="Times New Roman" w:hAnsi="Times New Roman" w:cs="Times New Roman"/>
          <w:sz w:val="24"/>
          <w:szCs w:val="24"/>
          <w:highlight w:val="yellow"/>
          <w:lang w:val="en-US"/>
        </w:rPr>
        <w:t xml:space="preserve"> that</w:t>
      </w:r>
      <w:r w:rsidR="00C05F42" w:rsidRPr="00D83189">
        <w:rPr>
          <w:rFonts w:ascii="Times New Roman" w:hAnsi="Times New Roman" w:cs="Times New Roman"/>
          <w:sz w:val="24"/>
          <w:szCs w:val="24"/>
          <w:highlight w:val="yellow"/>
          <w:lang w:val="en-US"/>
        </w:rPr>
        <w:t xml:space="preserve"> is commonly recommended to treat rheumatoid arthritis, osteoarthritis, and postoperative pain</w:t>
      </w:r>
      <w:r w:rsidR="00C05F42" w:rsidRPr="00D83189">
        <w:rPr>
          <w:rFonts w:ascii="Times New Roman" w:hAnsi="Times New Roman" w:cs="Times New Roman"/>
          <w:sz w:val="24"/>
          <w:szCs w:val="24"/>
          <w:highlight w:val="yellow"/>
          <w:lang w:val="en-US"/>
        </w:rPr>
        <w:t>.</w:t>
      </w:r>
      <w:r w:rsidR="00C05F42">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This study aimed to enhance its solubility and oral performance by developing pH-modulated solid dispersions with Soluplus® as a carrier and sodium bicarbonate as a pH modifier.</w:t>
      </w:r>
      <w:r w:rsidR="003D5837">
        <w:rPr>
          <w:rFonts w:ascii="Times New Roman" w:hAnsi="Times New Roman" w:cs="Times New Roman"/>
          <w:sz w:val="24"/>
          <w:szCs w:val="24"/>
          <w:lang w:val="en-US"/>
        </w:rPr>
        <w:t xml:space="preserve"> </w:t>
      </w:r>
      <w:r w:rsidR="005D5B4A" w:rsidRPr="00D83189">
        <w:rPr>
          <w:rFonts w:ascii="Times New Roman" w:hAnsi="Times New Roman" w:cs="Times New Roman"/>
          <w:sz w:val="24"/>
          <w:szCs w:val="24"/>
          <w:highlight w:val="yellow"/>
          <w:lang w:val="en-US"/>
        </w:rPr>
        <w:t>A Central Composite Design (CCD) was employed with Design-Expert® software (version 13.0) to optimise the solid dispersion formulation. DSC thermograms were recorded on a Mettler Toledo instrument. Morphology was analysed using a CamScan Maxim-2000 SEM operated at 20 kV. Adult Wistar rats (220–250 g, 10–15 weeks old) were maintained under controlled environmental conditions (25 ± 2 °C, 12-h light/dark cycle, 55 ± 5% RH) with free access to food and water.</w:t>
      </w:r>
      <w:r w:rsidR="005D5B4A" w:rsidRPr="005D5B4A">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 xml:space="preserve">Solid dispersions were prepared via solvent evaporation and </w:t>
      </w:r>
      <w:r w:rsidR="00C05F42" w:rsidRPr="00D83189">
        <w:rPr>
          <w:rFonts w:ascii="Times New Roman" w:hAnsi="Times New Roman" w:cs="Times New Roman"/>
          <w:sz w:val="24"/>
          <w:szCs w:val="24"/>
          <w:highlight w:val="yellow"/>
          <w:lang w:val="en-US"/>
        </w:rPr>
        <w:t>optimised</w:t>
      </w:r>
      <w:r w:rsidR="00C05F42" w:rsidRPr="00D83189">
        <w:rPr>
          <w:rFonts w:ascii="Times New Roman" w:hAnsi="Times New Roman" w:cs="Times New Roman"/>
          <w:sz w:val="24"/>
          <w:szCs w:val="24"/>
          <w:highlight w:val="yellow"/>
          <w:lang w:val="en-US"/>
        </w:rPr>
        <w:t xml:space="preserve"> </w:t>
      </w:r>
      <w:r w:rsidRPr="00197147">
        <w:rPr>
          <w:rFonts w:ascii="Times New Roman" w:hAnsi="Times New Roman" w:cs="Times New Roman"/>
          <w:sz w:val="24"/>
          <w:szCs w:val="24"/>
          <w:lang w:val="en-US"/>
        </w:rPr>
        <w:t xml:space="preserve">using a Central Composite Design approach. The </w:t>
      </w:r>
      <w:r w:rsidR="00C05F42" w:rsidRPr="00D83189">
        <w:rPr>
          <w:rFonts w:ascii="Times New Roman" w:hAnsi="Times New Roman" w:cs="Times New Roman"/>
          <w:sz w:val="24"/>
          <w:szCs w:val="24"/>
          <w:highlight w:val="yellow"/>
          <w:lang w:val="en-US"/>
        </w:rPr>
        <w:t>optimised</w:t>
      </w:r>
      <w:r w:rsidR="00C05F42" w:rsidRPr="00D83189">
        <w:rPr>
          <w:rFonts w:ascii="Times New Roman" w:hAnsi="Times New Roman" w:cs="Times New Roman"/>
          <w:sz w:val="24"/>
          <w:szCs w:val="24"/>
          <w:highlight w:val="yellow"/>
          <w:lang w:val="en-US"/>
        </w:rPr>
        <w:t xml:space="preserve"> </w:t>
      </w:r>
      <w:r w:rsidRPr="00197147">
        <w:rPr>
          <w:rFonts w:ascii="Times New Roman" w:hAnsi="Times New Roman" w:cs="Times New Roman"/>
          <w:sz w:val="24"/>
          <w:szCs w:val="24"/>
          <w:lang w:val="en-US"/>
        </w:rPr>
        <w:t xml:space="preserve">batch (F7) was </w:t>
      </w:r>
      <w:r w:rsidR="00C05F42" w:rsidRPr="00D83189">
        <w:rPr>
          <w:rFonts w:ascii="Times New Roman" w:hAnsi="Times New Roman" w:cs="Times New Roman"/>
          <w:sz w:val="24"/>
          <w:szCs w:val="24"/>
          <w:highlight w:val="yellow"/>
          <w:lang w:val="en-US"/>
        </w:rPr>
        <w:t>characterised</w:t>
      </w:r>
      <w:r w:rsidR="00C05F42" w:rsidRPr="00D83189">
        <w:rPr>
          <w:rFonts w:ascii="Times New Roman" w:hAnsi="Times New Roman" w:cs="Times New Roman"/>
          <w:sz w:val="24"/>
          <w:szCs w:val="24"/>
          <w:highlight w:val="yellow"/>
          <w:lang w:val="en-US"/>
        </w:rPr>
        <w:t xml:space="preserve"> </w:t>
      </w:r>
      <w:r w:rsidRPr="00197147">
        <w:rPr>
          <w:rFonts w:ascii="Times New Roman" w:hAnsi="Times New Roman" w:cs="Times New Roman"/>
          <w:sz w:val="24"/>
          <w:szCs w:val="24"/>
          <w:lang w:val="en-US"/>
        </w:rPr>
        <w:t xml:space="preserve">through FTIR, DSC, PXRD, and SEM to confirm drug–excipient compatibility, </w:t>
      </w:r>
      <w:r w:rsidR="00C05F42" w:rsidRPr="00D83189">
        <w:rPr>
          <w:rFonts w:ascii="Times New Roman" w:hAnsi="Times New Roman" w:cs="Times New Roman"/>
          <w:sz w:val="24"/>
          <w:szCs w:val="24"/>
          <w:highlight w:val="yellow"/>
          <w:lang w:val="en-US"/>
        </w:rPr>
        <w:t>amorphisation</w:t>
      </w:r>
      <w:r w:rsidRPr="00197147">
        <w:rPr>
          <w:rFonts w:ascii="Times New Roman" w:hAnsi="Times New Roman" w:cs="Times New Roman"/>
          <w:sz w:val="24"/>
          <w:szCs w:val="24"/>
          <w:lang w:val="en-US"/>
        </w:rPr>
        <w:t>, and morphological changes. Three immediate-release tablet formulations (F1–F3) were then developed using PROSOLV® EASYtab SP.</w:t>
      </w:r>
      <w:r w:rsidR="003D5837">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 xml:space="preserve">The </w:t>
      </w:r>
      <w:r w:rsidR="0055681C" w:rsidRPr="00D83189">
        <w:rPr>
          <w:rFonts w:ascii="Times New Roman" w:hAnsi="Times New Roman" w:cs="Times New Roman"/>
          <w:sz w:val="24"/>
          <w:szCs w:val="24"/>
          <w:highlight w:val="yellow"/>
          <w:lang w:val="en-US"/>
        </w:rPr>
        <w:t>optimised</w:t>
      </w:r>
      <w:r w:rsidR="0055681C" w:rsidRPr="00D83189">
        <w:rPr>
          <w:rFonts w:ascii="Times New Roman" w:hAnsi="Times New Roman" w:cs="Times New Roman"/>
          <w:sz w:val="24"/>
          <w:szCs w:val="24"/>
          <w:highlight w:val="yellow"/>
          <w:lang w:val="en-US"/>
        </w:rPr>
        <w:t xml:space="preserve"> </w:t>
      </w:r>
      <w:r w:rsidRPr="00197147">
        <w:rPr>
          <w:rFonts w:ascii="Times New Roman" w:hAnsi="Times New Roman" w:cs="Times New Roman"/>
          <w:sz w:val="24"/>
          <w:szCs w:val="24"/>
          <w:lang w:val="en-US"/>
        </w:rPr>
        <w:t>solid dispersion (F7) exhibited significantly improved solubility (1.73 mg/mL). Among the prepared tablets, F1 demonstrated superior properties, including 97.45% drug content, 40-second disintegration time, and 98.54% drug release. Pharmacokinetic evaluation in Wistar rats revealed enhanced bioavailability for F1 (AUC₀–∞ = 18,270 ng·h/mL; Cmax = 3,446 ng/mL) compared to the marketed formulation, Lorsaid SP® (AUC₀–∞ = 17,814.5 ng·h/mL; Cmax = 3,198 ng/mL). Accelerated stability studies (40 °C/75% RH, 30 days) further confirmed the formulation’s stability.</w:t>
      </w:r>
      <w:r w:rsidR="003D5837">
        <w:rPr>
          <w:rFonts w:ascii="Times New Roman" w:hAnsi="Times New Roman" w:cs="Times New Roman"/>
          <w:sz w:val="24"/>
          <w:szCs w:val="24"/>
          <w:lang w:val="en-US"/>
        </w:rPr>
        <w:t xml:space="preserve"> </w:t>
      </w:r>
      <w:r w:rsidR="005D5B4A" w:rsidRPr="00D83189">
        <w:rPr>
          <w:rFonts w:ascii="Times New Roman" w:hAnsi="Times New Roman" w:cs="Times New Roman"/>
          <w:sz w:val="24"/>
          <w:szCs w:val="24"/>
          <w:highlight w:val="yellow"/>
          <w:lang w:val="en-US"/>
        </w:rPr>
        <w:t>ANOVA results (F-values of 9.51 for Y1 and 18.10 for Y2) validated the contribution of both independent variables to the responses. Precision indicators such as standard deviation (0.0321 for Y1 and 1.96 for Y2) and coefficient of variance (0.66% for Y1 and 0.58% for Y2) confirmed experimental reproducibility.</w:t>
      </w:r>
      <w:r w:rsidR="005D5B4A">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 xml:space="preserve">The Soluplus®-based pH-modulated solid dispersion strategy effectively improved the solubility, dissolution, and pharmacokinetic performance of Lornoxicam. The </w:t>
      </w:r>
      <w:r w:rsidR="0055681C" w:rsidRPr="00D83189">
        <w:rPr>
          <w:rFonts w:ascii="Times New Roman" w:hAnsi="Times New Roman" w:cs="Times New Roman"/>
          <w:sz w:val="24"/>
          <w:szCs w:val="24"/>
          <w:highlight w:val="yellow"/>
          <w:lang w:val="en-US"/>
        </w:rPr>
        <w:t>optimised</w:t>
      </w:r>
      <w:r w:rsidR="0055681C" w:rsidRPr="00D83189">
        <w:rPr>
          <w:rFonts w:ascii="Times New Roman" w:hAnsi="Times New Roman" w:cs="Times New Roman"/>
          <w:sz w:val="24"/>
          <w:szCs w:val="24"/>
          <w:highlight w:val="yellow"/>
          <w:lang w:val="en-US"/>
        </w:rPr>
        <w:t xml:space="preserve"> </w:t>
      </w:r>
      <w:r w:rsidRPr="00197147">
        <w:rPr>
          <w:rFonts w:ascii="Times New Roman" w:hAnsi="Times New Roman" w:cs="Times New Roman"/>
          <w:sz w:val="24"/>
          <w:szCs w:val="24"/>
          <w:lang w:val="en-US"/>
        </w:rPr>
        <w:t xml:space="preserve">F1 tablets demonstrated promising potential for clinical application by offering rapid </w:t>
      </w:r>
      <w:r w:rsidRPr="00197147">
        <w:rPr>
          <w:rFonts w:ascii="Times New Roman" w:hAnsi="Times New Roman" w:cs="Times New Roman"/>
          <w:sz w:val="24"/>
          <w:szCs w:val="24"/>
          <w:lang w:val="en-US"/>
        </w:rPr>
        <w:lastRenderedPageBreak/>
        <w:t>disintegration, enhanced bioavailability, and good stability.</w:t>
      </w:r>
      <w:r w:rsidR="0055681C">
        <w:rPr>
          <w:rFonts w:ascii="Times New Roman" w:hAnsi="Times New Roman" w:cs="Times New Roman"/>
          <w:sz w:val="24"/>
          <w:szCs w:val="24"/>
          <w:lang w:val="en-US"/>
        </w:rPr>
        <w:t xml:space="preserve"> </w:t>
      </w:r>
      <w:r w:rsidR="0055681C" w:rsidRPr="00D83189">
        <w:rPr>
          <w:rFonts w:ascii="Times New Roman" w:hAnsi="Times New Roman" w:cs="Times New Roman"/>
          <w:sz w:val="24"/>
          <w:szCs w:val="24"/>
          <w:highlight w:val="yellow"/>
          <w:lang w:val="en-US"/>
        </w:rPr>
        <w:t xml:space="preserve">These findings create a strong formulation strategy for medications with low water solubility, such as Lornoxicam, ensuring enhanced oral delivery by logical excipient selection and formulation </w:t>
      </w:r>
      <w:r w:rsidR="0055681C">
        <w:rPr>
          <w:rFonts w:ascii="Times New Roman" w:hAnsi="Times New Roman" w:cs="Times New Roman"/>
          <w:sz w:val="24"/>
          <w:szCs w:val="24"/>
          <w:highlight w:val="yellow"/>
          <w:lang w:val="en-US"/>
        </w:rPr>
        <w:t>optimisation</w:t>
      </w:r>
      <w:r w:rsidR="0055681C" w:rsidRPr="0055681C">
        <w:rPr>
          <w:rFonts w:ascii="Times New Roman" w:hAnsi="Times New Roman" w:cs="Times New Roman"/>
          <w:sz w:val="24"/>
          <w:szCs w:val="24"/>
          <w:lang w:val="en-US"/>
        </w:rPr>
        <w:t>.</w:t>
      </w:r>
    </w:p>
    <w:p w14:paraId="5ECE428C" w14:textId="77777777" w:rsidR="00197147" w:rsidRDefault="00197147" w:rsidP="00AF1640">
      <w:pPr>
        <w:spacing w:line="360" w:lineRule="auto"/>
        <w:jc w:val="both"/>
        <w:rPr>
          <w:rFonts w:ascii="Times New Roman" w:hAnsi="Times New Roman" w:cs="Times New Roman"/>
          <w:b/>
          <w:bCs/>
          <w:sz w:val="24"/>
          <w:szCs w:val="24"/>
          <w:lang w:val="en-US"/>
        </w:rPr>
      </w:pPr>
    </w:p>
    <w:p w14:paraId="0480AA9E" w14:textId="356E116A" w:rsidR="00A172B2" w:rsidRDefault="00A172B2" w:rsidP="00A172B2"/>
    <w:p w14:paraId="5A9ED737" w14:textId="1AB32C4E" w:rsidR="008735B8" w:rsidRDefault="008735B8" w:rsidP="00A172B2"/>
    <w:p w14:paraId="66B75F36" w14:textId="23CC8145" w:rsidR="008735B8" w:rsidRDefault="008735B8" w:rsidP="00A172B2"/>
    <w:p w14:paraId="7788080F" w14:textId="38AA190B" w:rsidR="008735B8" w:rsidRDefault="008735B8" w:rsidP="00A172B2"/>
    <w:p w14:paraId="708F7C8E" w14:textId="4BAA5151" w:rsidR="008735B8" w:rsidRDefault="008735B8" w:rsidP="00A172B2"/>
    <w:p w14:paraId="5FFE6278" w14:textId="3D1491D3" w:rsidR="008735B8" w:rsidRDefault="008735B8" w:rsidP="00A172B2"/>
    <w:p w14:paraId="592B2BA2" w14:textId="6835D9D7" w:rsidR="008735B8" w:rsidRDefault="008735B8" w:rsidP="00A172B2"/>
    <w:p w14:paraId="74F2EDD6" w14:textId="77777777" w:rsidR="008735B8" w:rsidRDefault="008735B8" w:rsidP="00A172B2"/>
    <w:p w14:paraId="571E11B7" w14:textId="108FF7C6" w:rsidR="00A172B2" w:rsidRPr="00025233" w:rsidRDefault="00A172B2" w:rsidP="00A172B2">
      <w:pPr>
        <w:pStyle w:val="NormalWeb"/>
        <w:spacing w:line="360" w:lineRule="auto"/>
        <w:jc w:val="both"/>
        <w:rPr>
          <w:rStyle w:val="Strong"/>
          <w:rFonts w:eastAsiaTheme="majorEastAsia"/>
          <w:b w:val="0"/>
          <w:bCs w:val="0"/>
        </w:rPr>
      </w:pPr>
      <w:r>
        <w:rPr>
          <w:rFonts w:eastAsiaTheme="minorEastAsia"/>
          <w:b/>
          <w:bCs/>
        </w:rPr>
        <w:t xml:space="preserve">PIC 1. </w:t>
      </w:r>
      <w:r w:rsidRPr="00025233">
        <w:rPr>
          <w:rFonts w:eastAsiaTheme="minorEastAsia"/>
          <w:b/>
          <w:bCs/>
        </w:rPr>
        <w:t xml:space="preserve">Graphical abstract </w:t>
      </w:r>
    </w:p>
    <w:p w14:paraId="379A7AAA" w14:textId="77777777" w:rsidR="00A172B2" w:rsidRDefault="00A172B2" w:rsidP="00A172B2">
      <w:r w:rsidRPr="00025233">
        <w:rPr>
          <w:b/>
          <w:bCs/>
          <w:noProof/>
        </w:rPr>
        <w:drawing>
          <wp:inline distT="0" distB="0" distL="0" distR="0" wp14:anchorId="3C6095CA" wp14:editId="605F2B8A">
            <wp:extent cx="5731510" cy="2924175"/>
            <wp:effectExtent l="0" t="0" r="2540" b="9525"/>
            <wp:docPr id="5" name="Picture 4" descr="A close-up of a white powder&#10;&#10;Description automatically generated">
              <a:extLst xmlns:a="http://schemas.openxmlformats.org/drawingml/2006/main">
                <a:ext uri="{FF2B5EF4-FFF2-40B4-BE49-F238E27FC236}">
                  <a16:creationId xmlns:a16="http://schemas.microsoft.com/office/drawing/2014/main" id="{607FD3B9-B9F7-FD19-10F6-6601DA9272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white powder&#10;&#10;Description automatically generated">
                      <a:extLst>
                        <a:ext uri="{FF2B5EF4-FFF2-40B4-BE49-F238E27FC236}">
                          <a16:creationId xmlns:a16="http://schemas.microsoft.com/office/drawing/2014/main" id="{607FD3B9-B9F7-FD19-10F6-6601DA9272C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2924175"/>
                    </a:xfrm>
                    <a:prstGeom prst="rect">
                      <a:avLst/>
                    </a:prstGeom>
                  </pic:spPr>
                </pic:pic>
              </a:graphicData>
            </a:graphic>
          </wp:inline>
        </w:drawing>
      </w:r>
    </w:p>
    <w:p w14:paraId="71C06D3F" w14:textId="77777777" w:rsidR="00197147" w:rsidRDefault="00197147" w:rsidP="00AF1640">
      <w:pPr>
        <w:spacing w:line="360" w:lineRule="auto"/>
        <w:jc w:val="both"/>
        <w:rPr>
          <w:rFonts w:ascii="Times New Roman" w:hAnsi="Times New Roman" w:cs="Times New Roman"/>
          <w:b/>
          <w:bCs/>
          <w:sz w:val="24"/>
          <w:szCs w:val="24"/>
          <w:lang w:val="en-US"/>
        </w:rPr>
      </w:pPr>
    </w:p>
    <w:p w14:paraId="797DB241" w14:textId="77777777" w:rsidR="00197147" w:rsidRDefault="00197147" w:rsidP="00AF1640">
      <w:pPr>
        <w:spacing w:line="360" w:lineRule="auto"/>
        <w:jc w:val="both"/>
        <w:rPr>
          <w:rFonts w:ascii="Times New Roman" w:hAnsi="Times New Roman" w:cs="Times New Roman"/>
          <w:b/>
          <w:bCs/>
          <w:sz w:val="24"/>
          <w:szCs w:val="24"/>
          <w:lang w:val="en-US"/>
        </w:rPr>
      </w:pPr>
    </w:p>
    <w:p w14:paraId="52243CD3" w14:textId="2619C23B" w:rsidR="00197147" w:rsidRDefault="00A07A48" w:rsidP="00AF1640">
      <w:pPr>
        <w:spacing w:line="360" w:lineRule="auto"/>
        <w:jc w:val="both"/>
        <w:rPr>
          <w:rFonts w:ascii="Times New Roman" w:hAnsi="Times New Roman" w:cs="Times New Roman"/>
          <w:b/>
          <w:bCs/>
          <w:sz w:val="24"/>
          <w:szCs w:val="24"/>
          <w:lang w:val="en-US"/>
        </w:rPr>
      </w:pPr>
      <w:r w:rsidRPr="00A07A48">
        <w:rPr>
          <w:rFonts w:ascii="Times New Roman" w:hAnsi="Times New Roman" w:cs="Times New Roman"/>
          <w:b/>
          <w:bCs/>
          <w:sz w:val="24"/>
          <w:szCs w:val="24"/>
          <w:lang w:val="en-US"/>
        </w:rPr>
        <w:t>Keywords: Lornoxicam, Soluplus, solid dispersion, immediate release, bioavailability.</w:t>
      </w:r>
    </w:p>
    <w:p w14:paraId="18D3308F" w14:textId="77777777" w:rsidR="00197147" w:rsidRDefault="00197147" w:rsidP="00AF1640">
      <w:pPr>
        <w:spacing w:line="360" w:lineRule="auto"/>
        <w:jc w:val="both"/>
        <w:rPr>
          <w:rFonts w:ascii="Times New Roman" w:hAnsi="Times New Roman" w:cs="Times New Roman"/>
          <w:b/>
          <w:bCs/>
          <w:sz w:val="24"/>
          <w:szCs w:val="24"/>
          <w:lang w:val="en-US"/>
        </w:rPr>
      </w:pPr>
    </w:p>
    <w:p w14:paraId="3F8475F3" w14:textId="77777777" w:rsidR="00197147" w:rsidRDefault="00197147" w:rsidP="00AF1640">
      <w:pPr>
        <w:spacing w:line="360" w:lineRule="auto"/>
        <w:jc w:val="both"/>
        <w:rPr>
          <w:rFonts w:ascii="Times New Roman" w:hAnsi="Times New Roman" w:cs="Times New Roman"/>
          <w:b/>
          <w:bCs/>
          <w:sz w:val="24"/>
          <w:szCs w:val="24"/>
          <w:lang w:val="en-US"/>
        </w:rPr>
      </w:pPr>
    </w:p>
    <w:p w14:paraId="2CF7F3B3" w14:textId="1C7BA062" w:rsidR="00AF1640" w:rsidRPr="00536737" w:rsidRDefault="00536737" w:rsidP="00AF164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w:t>
      </w:r>
      <w:r w:rsidR="0086179C">
        <w:rPr>
          <w:rFonts w:ascii="Times New Roman" w:hAnsi="Times New Roman" w:cs="Times New Roman"/>
          <w:b/>
          <w:bCs/>
          <w:sz w:val="24"/>
          <w:szCs w:val="24"/>
          <w:lang w:val="en-US"/>
        </w:rPr>
        <w:t xml:space="preserve"> </w:t>
      </w:r>
      <w:r w:rsidRPr="00536737">
        <w:rPr>
          <w:rFonts w:ascii="Times New Roman" w:hAnsi="Times New Roman" w:cs="Times New Roman"/>
          <w:b/>
          <w:bCs/>
          <w:sz w:val="24"/>
          <w:szCs w:val="24"/>
          <w:lang w:val="en-US"/>
        </w:rPr>
        <w:t xml:space="preserve">INTRODUCTION </w:t>
      </w:r>
    </w:p>
    <w:p w14:paraId="03E9F7B5" w14:textId="453D0AD4" w:rsidR="00AF1640" w:rsidRPr="00AF1640" w:rsidRDefault="00275C6C" w:rsidP="00AF1640">
      <w:pPr>
        <w:spacing w:line="360" w:lineRule="auto"/>
        <w:jc w:val="both"/>
        <w:rPr>
          <w:rFonts w:ascii="Times New Roman" w:hAnsi="Times New Roman" w:cs="Times New Roman"/>
          <w:sz w:val="24"/>
          <w:szCs w:val="24"/>
          <w:lang w:val="en-US"/>
        </w:rPr>
      </w:pPr>
      <w:r w:rsidRPr="00275C6C">
        <w:rPr>
          <w:rFonts w:ascii="Times New Roman" w:hAnsi="Times New Roman" w:cs="Times New Roman"/>
          <w:sz w:val="24"/>
          <w:szCs w:val="24"/>
          <w:lang w:val="en-US"/>
        </w:rPr>
        <w:t xml:space="preserve">The design of safe, effective, and patient-friendly oral drug delivery methods remains a significant problem in pharmaceutical research. The low water solubility of many active pharmaceutical ingredients (APIs) is a significant constraint, resulting in sluggish dissolution, inconsistent absorption, and limited bioavailability. </w:t>
      </w:r>
      <w:r w:rsidR="00A05F32" w:rsidRPr="00D83189">
        <w:rPr>
          <w:rFonts w:ascii="Times New Roman" w:hAnsi="Times New Roman" w:cs="Times New Roman"/>
          <w:sz w:val="24"/>
          <w:szCs w:val="24"/>
          <w:highlight w:val="yellow"/>
          <w:lang w:val="en-US"/>
        </w:rPr>
        <w:t xml:space="preserve">Active pharmaceutical ingredients (APIs) are the chemical-based compounds that </w:t>
      </w:r>
      <w:r w:rsidR="00A05F32" w:rsidRPr="00D83189">
        <w:rPr>
          <w:rFonts w:ascii="Times New Roman" w:hAnsi="Times New Roman" w:cs="Times New Roman"/>
          <w:sz w:val="24"/>
          <w:szCs w:val="24"/>
          <w:highlight w:val="yellow"/>
          <w:lang w:val="en-US"/>
        </w:rPr>
        <w:t>are</w:t>
      </w:r>
      <w:r w:rsidR="00A05F32" w:rsidRPr="00D83189">
        <w:rPr>
          <w:rFonts w:ascii="Times New Roman" w:hAnsi="Times New Roman" w:cs="Times New Roman"/>
          <w:sz w:val="24"/>
          <w:szCs w:val="24"/>
          <w:highlight w:val="yellow"/>
          <w:lang w:val="en-US"/>
        </w:rPr>
        <w:t xml:space="preserve"> produced mainly in the USA, Europe, China, and India. APIs have pharmacological activity</w:t>
      </w:r>
      <w:r w:rsidR="00A05F32" w:rsidRPr="00D83189">
        <w:rPr>
          <w:rFonts w:ascii="Times New Roman" w:hAnsi="Times New Roman" w:cs="Times New Roman"/>
          <w:sz w:val="24"/>
          <w:szCs w:val="24"/>
          <w:highlight w:val="yellow"/>
          <w:lang w:val="en-US"/>
        </w:rPr>
        <w:t>,</w:t>
      </w:r>
      <w:r w:rsidR="00A05F32" w:rsidRPr="00D83189">
        <w:rPr>
          <w:rFonts w:ascii="Times New Roman" w:hAnsi="Times New Roman" w:cs="Times New Roman"/>
          <w:sz w:val="24"/>
          <w:szCs w:val="24"/>
          <w:highlight w:val="yellow"/>
          <w:lang w:val="en-US"/>
        </w:rPr>
        <w:t xml:space="preserve"> mainly used </w:t>
      </w:r>
      <w:r w:rsidR="00A05F32" w:rsidRPr="00D83189">
        <w:rPr>
          <w:rFonts w:ascii="Times New Roman" w:hAnsi="Times New Roman" w:cs="Times New Roman"/>
          <w:sz w:val="24"/>
          <w:szCs w:val="24"/>
          <w:highlight w:val="yellow"/>
          <w:lang w:val="en-US"/>
        </w:rPr>
        <w:t>in</w:t>
      </w:r>
      <w:r w:rsidR="00A05F32" w:rsidRPr="00D83189">
        <w:rPr>
          <w:rFonts w:ascii="Times New Roman" w:hAnsi="Times New Roman" w:cs="Times New Roman"/>
          <w:sz w:val="24"/>
          <w:szCs w:val="24"/>
          <w:highlight w:val="yellow"/>
          <w:lang w:val="en-US"/>
        </w:rPr>
        <w:t xml:space="preserve"> combination </w:t>
      </w:r>
      <w:r w:rsidR="00A05F32" w:rsidRPr="00D83189">
        <w:rPr>
          <w:rFonts w:ascii="Times New Roman" w:hAnsi="Times New Roman" w:cs="Times New Roman"/>
          <w:sz w:val="24"/>
          <w:szCs w:val="24"/>
          <w:highlight w:val="yellow"/>
          <w:lang w:val="en-US"/>
        </w:rPr>
        <w:t>with</w:t>
      </w:r>
      <w:r w:rsidR="00A05F32" w:rsidRPr="00D83189">
        <w:rPr>
          <w:rFonts w:ascii="Times New Roman" w:hAnsi="Times New Roman" w:cs="Times New Roman"/>
          <w:sz w:val="24"/>
          <w:szCs w:val="24"/>
          <w:highlight w:val="yellow"/>
          <w:lang w:val="en-US"/>
        </w:rPr>
        <w:t xml:space="preserve"> other ingredients to diagnose, cure, mitigate, and treat the disease</w:t>
      </w:r>
      <w:r w:rsidR="00A05F32" w:rsidRPr="00D83189">
        <w:rPr>
          <w:rFonts w:ascii="Times New Roman" w:hAnsi="Times New Roman" w:cs="Times New Roman"/>
          <w:sz w:val="24"/>
          <w:szCs w:val="24"/>
          <w:highlight w:val="yellow"/>
          <w:lang w:val="en-US"/>
        </w:rPr>
        <w:t xml:space="preserve"> </w:t>
      </w:r>
      <w:r w:rsidR="00A05F32" w:rsidRPr="00D83189">
        <w:rPr>
          <w:rFonts w:ascii="Times New Roman" w:hAnsi="Times New Roman" w:cs="Times New Roman"/>
          <w:sz w:val="24"/>
          <w:szCs w:val="24"/>
          <w:highlight w:val="yellow"/>
          <w:lang w:val="en-US"/>
        </w:rPr>
        <w:t xml:space="preserve">(Kumar </w:t>
      </w:r>
      <w:r w:rsidR="00A05F32" w:rsidRPr="00D83189">
        <w:rPr>
          <w:rFonts w:ascii="Times New Roman" w:hAnsi="Times New Roman" w:cs="Times New Roman"/>
          <w:i/>
          <w:iCs/>
          <w:sz w:val="24"/>
          <w:szCs w:val="24"/>
          <w:highlight w:val="yellow"/>
          <w:lang w:val="en-US"/>
        </w:rPr>
        <w:t>et al</w:t>
      </w:r>
      <w:r w:rsidR="00A05F32" w:rsidRPr="00D83189">
        <w:rPr>
          <w:rFonts w:ascii="Times New Roman" w:hAnsi="Times New Roman" w:cs="Times New Roman"/>
          <w:sz w:val="24"/>
          <w:szCs w:val="24"/>
          <w:highlight w:val="yellow"/>
          <w:lang w:val="en-US"/>
        </w:rPr>
        <w:t>., 2022).</w:t>
      </w:r>
      <w:r w:rsidR="00A05F32">
        <w:rPr>
          <w:rFonts w:ascii="Times New Roman" w:hAnsi="Times New Roman" w:cs="Times New Roman"/>
          <w:sz w:val="24"/>
          <w:szCs w:val="24"/>
          <w:lang w:val="en-US"/>
        </w:rPr>
        <w:t xml:space="preserve"> </w:t>
      </w:r>
      <w:r w:rsidRPr="00275C6C">
        <w:rPr>
          <w:rFonts w:ascii="Times New Roman" w:hAnsi="Times New Roman" w:cs="Times New Roman"/>
          <w:sz w:val="24"/>
          <w:szCs w:val="24"/>
          <w:lang w:val="en-US"/>
        </w:rPr>
        <w:t xml:space="preserve">It is estimated that approximately 40% of </w:t>
      </w:r>
      <w:r w:rsidR="0086179C" w:rsidRPr="00D83189">
        <w:rPr>
          <w:rFonts w:ascii="Times New Roman" w:hAnsi="Times New Roman" w:cs="Times New Roman"/>
          <w:sz w:val="24"/>
          <w:szCs w:val="24"/>
          <w:highlight w:val="yellow"/>
          <w:lang w:val="en-US"/>
        </w:rPr>
        <w:t>commercialised</w:t>
      </w:r>
      <w:r w:rsidR="0086179C" w:rsidRPr="00275C6C">
        <w:rPr>
          <w:rFonts w:ascii="Times New Roman" w:hAnsi="Times New Roman" w:cs="Times New Roman"/>
          <w:sz w:val="24"/>
          <w:szCs w:val="24"/>
          <w:lang w:val="en-US"/>
        </w:rPr>
        <w:t xml:space="preserve"> </w:t>
      </w:r>
      <w:r w:rsidRPr="00275C6C">
        <w:rPr>
          <w:rFonts w:ascii="Times New Roman" w:hAnsi="Times New Roman" w:cs="Times New Roman"/>
          <w:sz w:val="24"/>
          <w:szCs w:val="24"/>
          <w:lang w:val="en-US"/>
        </w:rPr>
        <w:t>drugs and over 70% of novel chemical entities suffer from solubility problems</w:t>
      </w:r>
      <w:r w:rsidR="00AF1640" w:rsidRPr="00AF1640">
        <w:rPr>
          <w:rFonts w:ascii="Times New Roman" w:hAnsi="Times New Roman" w:cs="Times New Roman"/>
          <w:sz w:val="24"/>
          <w:szCs w:val="24"/>
          <w:lang w:val="en-US"/>
        </w:rPr>
        <w:t xml:space="preserve"> </w:t>
      </w:r>
      <w:r w:rsidR="0043354D" w:rsidRPr="0043354D">
        <w:rPr>
          <w:rFonts w:ascii="Times New Roman" w:hAnsi="Times New Roman" w:cs="Times New Roman"/>
          <w:sz w:val="24"/>
          <w:szCs w:val="24"/>
          <w:vertAlign w:val="superscript"/>
          <w:lang w:val="en-US"/>
        </w:rPr>
        <w:t>1,2</w:t>
      </w:r>
      <w:r w:rsidR="00AF1640" w:rsidRPr="00AF1640">
        <w:rPr>
          <w:rFonts w:ascii="Times New Roman" w:hAnsi="Times New Roman" w:cs="Times New Roman"/>
          <w:sz w:val="24"/>
          <w:szCs w:val="24"/>
          <w:lang w:val="en-US"/>
        </w:rPr>
        <w:t>. Therefore, advanced formulation strategies are essential to improve their therapeutic performance.</w:t>
      </w:r>
    </w:p>
    <w:p w14:paraId="72DE4EC2" w14:textId="51D54619" w:rsidR="001502A9" w:rsidRDefault="001502A9" w:rsidP="00AF1640">
      <w:pPr>
        <w:spacing w:line="360" w:lineRule="auto"/>
        <w:jc w:val="both"/>
        <w:rPr>
          <w:rFonts w:ascii="Times New Roman" w:hAnsi="Times New Roman" w:cs="Times New Roman"/>
          <w:sz w:val="24"/>
          <w:szCs w:val="24"/>
          <w:lang w:val="en-US"/>
        </w:rPr>
      </w:pPr>
      <w:r w:rsidRPr="001502A9">
        <w:rPr>
          <w:rFonts w:ascii="Times New Roman" w:hAnsi="Times New Roman" w:cs="Times New Roman"/>
          <w:sz w:val="24"/>
          <w:szCs w:val="24"/>
          <w:lang w:val="en-US"/>
        </w:rPr>
        <w:t>Several ways to improve drug solubility have been studied, including physicochemical alterations such as particle size reduction3, salt formation, and co-crystallization</w:t>
      </w:r>
      <w:r w:rsidRPr="001502A9">
        <w:rPr>
          <w:rFonts w:ascii="Times New Roman" w:hAnsi="Times New Roman" w:cs="Times New Roman"/>
          <w:sz w:val="24"/>
          <w:szCs w:val="24"/>
          <w:vertAlign w:val="superscript"/>
          <w:lang w:val="en-US"/>
        </w:rPr>
        <w:t>4,5</w:t>
      </w:r>
      <w:r w:rsidRPr="001502A9">
        <w:rPr>
          <w:rFonts w:ascii="Times New Roman" w:hAnsi="Times New Roman" w:cs="Times New Roman"/>
          <w:sz w:val="24"/>
          <w:szCs w:val="24"/>
          <w:lang w:val="en-US"/>
        </w:rPr>
        <w:t>, as well as formulation-based tactics such as cyclodextrin complexation</w:t>
      </w:r>
      <w:r w:rsidRPr="001502A9">
        <w:rPr>
          <w:rFonts w:ascii="Times New Roman" w:hAnsi="Times New Roman" w:cs="Times New Roman"/>
          <w:sz w:val="24"/>
          <w:szCs w:val="24"/>
          <w:vertAlign w:val="superscript"/>
          <w:lang w:val="en-US"/>
        </w:rPr>
        <w:t>6</w:t>
      </w:r>
      <w:r w:rsidRPr="001502A9">
        <w:rPr>
          <w:rFonts w:ascii="Times New Roman" w:hAnsi="Times New Roman" w:cs="Times New Roman"/>
          <w:sz w:val="24"/>
          <w:szCs w:val="24"/>
          <w:lang w:val="en-US"/>
        </w:rPr>
        <w:t xml:space="preserve"> and lipid-based delivery systems. Solid dispersion technique </w:t>
      </w:r>
      <w:r w:rsidR="00705A3D">
        <w:rPr>
          <w:rFonts w:ascii="Times New Roman" w:hAnsi="Times New Roman" w:cs="Times New Roman"/>
          <w:sz w:val="24"/>
          <w:szCs w:val="24"/>
          <w:lang w:val="en-US"/>
        </w:rPr>
        <w:t xml:space="preserve">which </w:t>
      </w:r>
      <w:r w:rsidRPr="001502A9">
        <w:rPr>
          <w:rFonts w:ascii="Times New Roman" w:hAnsi="Times New Roman" w:cs="Times New Roman"/>
          <w:sz w:val="24"/>
          <w:szCs w:val="24"/>
          <w:lang w:val="en-US"/>
        </w:rPr>
        <w:t xml:space="preserve">allows pharmaceuticals to be molecularly dispersed inside a polymeric matrix, enhancing wettability, dissolution rate, and bioavailability </w:t>
      </w:r>
      <w:r w:rsidRPr="001502A9">
        <w:rPr>
          <w:rFonts w:ascii="Times New Roman" w:hAnsi="Times New Roman" w:cs="Times New Roman"/>
          <w:sz w:val="24"/>
          <w:szCs w:val="24"/>
          <w:vertAlign w:val="superscript"/>
          <w:lang w:val="en-US"/>
        </w:rPr>
        <w:t>7</w:t>
      </w:r>
      <w:r w:rsidRPr="001502A9">
        <w:rPr>
          <w:rFonts w:ascii="Times New Roman" w:hAnsi="Times New Roman" w:cs="Times New Roman"/>
          <w:sz w:val="24"/>
          <w:szCs w:val="24"/>
          <w:lang w:val="en-US"/>
        </w:rPr>
        <w:t>.</w:t>
      </w:r>
    </w:p>
    <w:p w14:paraId="681770B0" w14:textId="7DEF1A2D" w:rsidR="00AF1640" w:rsidRPr="00AF1640" w:rsidRDefault="00AF1640" w:rsidP="00AF1640">
      <w:pPr>
        <w:spacing w:line="360" w:lineRule="auto"/>
        <w:jc w:val="both"/>
        <w:rPr>
          <w:rFonts w:ascii="Times New Roman" w:hAnsi="Times New Roman" w:cs="Times New Roman"/>
          <w:sz w:val="24"/>
          <w:szCs w:val="24"/>
          <w:lang w:val="en-US"/>
        </w:rPr>
      </w:pPr>
      <w:r w:rsidRPr="00AF1640">
        <w:rPr>
          <w:rFonts w:ascii="Times New Roman" w:hAnsi="Times New Roman" w:cs="Times New Roman"/>
          <w:sz w:val="24"/>
          <w:szCs w:val="24"/>
          <w:lang w:val="en-US"/>
        </w:rPr>
        <w:t>Soluplus®, a polyvinyl caprolactam–polyvinyl acetate–</w:t>
      </w:r>
      <w:r w:rsidR="00A05F32" w:rsidRPr="00D83189">
        <w:rPr>
          <w:rFonts w:ascii="Times New Roman" w:hAnsi="Times New Roman" w:cs="Times New Roman"/>
          <w:sz w:val="24"/>
          <w:szCs w:val="24"/>
          <w:highlight w:val="yellow"/>
          <w:lang w:val="en-US"/>
        </w:rPr>
        <w:t>polyethene</w:t>
      </w:r>
      <w:r w:rsidR="00A05F32" w:rsidRPr="00AF1640">
        <w:rPr>
          <w:rFonts w:ascii="Times New Roman" w:hAnsi="Times New Roman" w:cs="Times New Roman"/>
          <w:sz w:val="24"/>
          <w:szCs w:val="24"/>
          <w:lang w:val="en-US"/>
        </w:rPr>
        <w:t xml:space="preserve"> </w:t>
      </w:r>
      <w:r w:rsidRPr="00AF1640">
        <w:rPr>
          <w:rFonts w:ascii="Times New Roman" w:hAnsi="Times New Roman" w:cs="Times New Roman"/>
          <w:sz w:val="24"/>
          <w:szCs w:val="24"/>
          <w:lang w:val="en-US"/>
        </w:rPr>
        <w:t xml:space="preserve">glycol (PVCL-PVA-PEG) graft copolymer, has </w:t>
      </w:r>
      <w:r w:rsidR="00A63376" w:rsidRPr="00A63376">
        <w:rPr>
          <w:rFonts w:ascii="Times New Roman" w:hAnsi="Times New Roman" w:cs="Times New Roman"/>
          <w:sz w:val="24"/>
          <w:szCs w:val="24"/>
          <w:lang w:val="en-US"/>
        </w:rPr>
        <w:t xml:space="preserve">sparked widespread </w:t>
      </w:r>
      <w:r w:rsidRPr="00AF1640">
        <w:rPr>
          <w:rFonts w:ascii="Times New Roman" w:hAnsi="Times New Roman" w:cs="Times New Roman"/>
          <w:sz w:val="24"/>
          <w:szCs w:val="24"/>
          <w:lang w:val="en-US"/>
        </w:rPr>
        <w:t xml:space="preserve">interest as a carrier for solid dispersions. </w:t>
      </w:r>
      <w:r w:rsidR="00A63376" w:rsidRPr="00A63376">
        <w:rPr>
          <w:rFonts w:ascii="Times New Roman" w:hAnsi="Times New Roman" w:cs="Times New Roman"/>
          <w:sz w:val="24"/>
          <w:szCs w:val="24"/>
          <w:lang w:val="en-US"/>
        </w:rPr>
        <w:t>It not only improves solubility by keeping medicines amorphous, but it also produces self-assembling micelles in aqueous settings, which increases wettability and dissolution</w:t>
      </w:r>
      <w:r w:rsidRPr="00AF1640">
        <w:rPr>
          <w:rFonts w:ascii="Times New Roman" w:hAnsi="Times New Roman" w:cs="Times New Roman"/>
          <w:sz w:val="24"/>
          <w:szCs w:val="24"/>
          <w:lang w:val="en-US"/>
        </w:rPr>
        <w:t xml:space="preserve">. These properties make Soluplus® an excellent choice for poorly soluble drugs </w:t>
      </w:r>
      <w:r w:rsidR="00CE7FE9" w:rsidRPr="00A31398">
        <w:rPr>
          <w:rFonts w:ascii="Times New Roman" w:hAnsi="Times New Roman" w:cs="Times New Roman"/>
          <w:sz w:val="24"/>
          <w:szCs w:val="24"/>
          <w:vertAlign w:val="superscript"/>
          <w:lang w:val="en-US"/>
        </w:rPr>
        <w:t>8,9</w:t>
      </w:r>
      <w:r w:rsidRPr="00AF1640">
        <w:rPr>
          <w:rFonts w:ascii="Times New Roman" w:hAnsi="Times New Roman" w:cs="Times New Roman"/>
          <w:sz w:val="24"/>
          <w:szCs w:val="24"/>
          <w:lang w:val="en-US"/>
        </w:rPr>
        <w:t>.</w:t>
      </w:r>
    </w:p>
    <w:p w14:paraId="654A4E31" w14:textId="4F1828A5" w:rsidR="00AF1640" w:rsidRPr="00AF1640" w:rsidRDefault="00A05F32" w:rsidP="00AF1640">
      <w:pPr>
        <w:spacing w:line="360" w:lineRule="auto"/>
        <w:jc w:val="both"/>
        <w:rPr>
          <w:rFonts w:ascii="Times New Roman" w:hAnsi="Times New Roman" w:cs="Times New Roman"/>
          <w:sz w:val="24"/>
          <w:szCs w:val="24"/>
          <w:lang w:val="en-US"/>
        </w:rPr>
      </w:pPr>
      <w:r w:rsidRPr="00D83189">
        <w:rPr>
          <w:rFonts w:ascii="Times New Roman" w:hAnsi="Times New Roman" w:cs="Times New Roman"/>
          <w:sz w:val="24"/>
          <w:szCs w:val="24"/>
          <w:highlight w:val="yellow"/>
        </w:rPr>
        <w:t>Lornoxicam (</w:t>
      </w:r>
      <w:r w:rsidRPr="00D83189">
        <w:rPr>
          <w:rFonts w:ascii="Times New Roman" w:hAnsi="Times New Roman" w:cs="Times New Roman"/>
          <w:i/>
          <w:iCs/>
          <w:sz w:val="24"/>
          <w:szCs w:val="24"/>
          <w:highlight w:val="yellow"/>
        </w:rPr>
        <w:t>chlortenoxicam</w:t>
      </w:r>
      <w:r w:rsidRPr="00D83189">
        <w:rPr>
          <w:rFonts w:ascii="Times New Roman" w:hAnsi="Times New Roman" w:cs="Times New Roman"/>
          <w:sz w:val="24"/>
          <w:szCs w:val="24"/>
          <w:highlight w:val="yellow"/>
        </w:rPr>
        <w:t>), a new nonsteroidal anti-inflammatory drug (NSAID) of the oxicam class with analgesic, anti-inflammatory and antipyretic properties, is available in oral and parenteral formulations. It differs from other oxicam compounds in its potent inhibition of prostaglandin biosynthesis, a property that explains the particularly pronounced efficacy of the drug. It is a strong analgesic and anti-inflammatory NSAID compared to other NSAIDs</w:t>
      </w:r>
      <w:r w:rsidR="00C05F42" w:rsidRPr="00D83189">
        <w:rPr>
          <w:rFonts w:ascii="Times New Roman" w:hAnsi="Times New Roman" w:cs="Times New Roman"/>
          <w:sz w:val="24"/>
          <w:szCs w:val="24"/>
          <w:highlight w:val="yellow"/>
        </w:rPr>
        <w:t xml:space="preserve"> </w:t>
      </w:r>
      <w:r w:rsidR="00C05F42" w:rsidRPr="00D83189">
        <w:rPr>
          <w:rFonts w:ascii="Times New Roman" w:hAnsi="Times New Roman" w:cs="Times New Roman"/>
          <w:sz w:val="24"/>
          <w:szCs w:val="24"/>
          <w:highlight w:val="yellow"/>
        </w:rPr>
        <w:t xml:space="preserve">(Alburyhi </w:t>
      </w:r>
      <w:r w:rsidR="00C05F42" w:rsidRPr="00D83189">
        <w:rPr>
          <w:rFonts w:ascii="Times New Roman" w:hAnsi="Times New Roman" w:cs="Times New Roman"/>
          <w:i/>
          <w:iCs/>
          <w:sz w:val="24"/>
          <w:szCs w:val="24"/>
          <w:highlight w:val="yellow"/>
        </w:rPr>
        <w:t>et al</w:t>
      </w:r>
      <w:r w:rsidR="00C05F42" w:rsidRPr="00D83189">
        <w:rPr>
          <w:rFonts w:ascii="Times New Roman" w:hAnsi="Times New Roman" w:cs="Times New Roman"/>
          <w:sz w:val="24"/>
          <w:szCs w:val="24"/>
          <w:highlight w:val="yellow"/>
        </w:rPr>
        <w:t>., 2025</w:t>
      </w:r>
      <w:r w:rsidR="00C05F42">
        <w:rPr>
          <w:rFonts w:ascii="Times New Roman" w:hAnsi="Times New Roman" w:cs="Times New Roman"/>
          <w:sz w:val="24"/>
          <w:szCs w:val="24"/>
          <w:highlight w:val="yellow"/>
        </w:rPr>
        <w:t xml:space="preserve">; </w:t>
      </w:r>
      <w:r w:rsidR="00C05F42" w:rsidRPr="00D83189">
        <w:rPr>
          <w:rFonts w:ascii="Times New Roman" w:hAnsi="Times New Roman" w:cs="Times New Roman"/>
          <w:sz w:val="24"/>
          <w:szCs w:val="24"/>
          <w:highlight w:val="yellow"/>
        </w:rPr>
        <w:t xml:space="preserve">Alburyhi </w:t>
      </w:r>
      <w:r w:rsidR="00C05F42" w:rsidRPr="00D83189">
        <w:rPr>
          <w:rFonts w:ascii="Times New Roman" w:hAnsi="Times New Roman" w:cs="Times New Roman"/>
          <w:i/>
          <w:iCs/>
          <w:sz w:val="24"/>
          <w:szCs w:val="24"/>
          <w:highlight w:val="yellow"/>
        </w:rPr>
        <w:t>et al</w:t>
      </w:r>
      <w:r w:rsidR="00C05F42" w:rsidRPr="00D83189">
        <w:rPr>
          <w:rFonts w:ascii="Times New Roman" w:hAnsi="Times New Roman" w:cs="Times New Roman"/>
          <w:sz w:val="24"/>
          <w:szCs w:val="24"/>
          <w:highlight w:val="yellow"/>
        </w:rPr>
        <w:t>., 2025)</w:t>
      </w:r>
      <w:r w:rsidRPr="00D83189">
        <w:rPr>
          <w:rFonts w:ascii="Times New Roman" w:hAnsi="Times New Roman" w:cs="Times New Roman"/>
          <w:sz w:val="24"/>
          <w:szCs w:val="24"/>
          <w:highlight w:val="yellow"/>
        </w:rPr>
        <w:t>.</w:t>
      </w:r>
      <w:r>
        <w:t xml:space="preserve"> </w:t>
      </w:r>
      <w:r w:rsidR="00C05F42" w:rsidRPr="00D83189">
        <w:rPr>
          <w:rFonts w:ascii="Times New Roman" w:hAnsi="Times New Roman" w:cs="Times New Roman"/>
          <w:sz w:val="24"/>
          <w:szCs w:val="24"/>
          <w:highlight w:val="yellow"/>
          <w:lang w:val="en-US"/>
        </w:rPr>
        <w:t xml:space="preserve"> It is</w:t>
      </w:r>
      <w:r w:rsidR="00BE727E" w:rsidRPr="00BE727E">
        <w:rPr>
          <w:rFonts w:ascii="Times New Roman" w:hAnsi="Times New Roman" w:cs="Times New Roman"/>
          <w:sz w:val="24"/>
          <w:szCs w:val="24"/>
          <w:lang w:val="en-US"/>
        </w:rPr>
        <w:t>a nonsteroidal anti-inflammatory medication (NSAID), is commonly recommended to treat rheumatoid arthritis, osteoarthritis, and postoperative pain</w:t>
      </w:r>
      <w:r w:rsidR="00063CF3" w:rsidRPr="00063CF3">
        <w:rPr>
          <w:rFonts w:ascii="Times New Roman" w:hAnsi="Times New Roman" w:cs="Times New Roman"/>
          <w:sz w:val="24"/>
          <w:szCs w:val="24"/>
          <w:vertAlign w:val="superscript"/>
          <w:lang w:val="en-US"/>
        </w:rPr>
        <w:t>10</w:t>
      </w:r>
      <w:r w:rsidR="00AF1640" w:rsidRPr="00AF1640">
        <w:rPr>
          <w:rFonts w:ascii="Times New Roman" w:hAnsi="Times New Roman" w:cs="Times New Roman"/>
          <w:sz w:val="24"/>
          <w:szCs w:val="24"/>
          <w:lang w:val="en-US"/>
        </w:rPr>
        <w:t>.</w:t>
      </w:r>
      <w:r w:rsidR="00264B0F">
        <w:rPr>
          <w:rFonts w:ascii="Times New Roman" w:hAnsi="Times New Roman" w:cs="Times New Roman"/>
          <w:sz w:val="24"/>
          <w:szCs w:val="24"/>
          <w:lang w:val="en-US"/>
        </w:rPr>
        <w:t xml:space="preserve"> </w:t>
      </w:r>
      <w:r w:rsidR="00C05F42" w:rsidRPr="00D83189">
        <w:rPr>
          <w:rFonts w:ascii="Times New Roman" w:hAnsi="Times New Roman" w:cs="Times New Roman"/>
          <w:sz w:val="24"/>
          <w:szCs w:val="24"/>
          <w:highlight w:val="yellow"/>
          <w:lang w:val="en-US"/>
        </w:rPr>
        <w:t>The nonsteroidal anti-inflammatory drugs (NSAIDs) are among the most widely used medications in the world because of their demonstrated efficacy in reducing pain and inflammation</w:t>
      </w:r>
      <w:r w:rsidR="00C05F42" w:rsidRPr="00D83189">
        <w:rPr>
          <w:rFonts w:ascii="Times New Roman" w:hAnsi="Times New Roman" w:cs="Times New Roman"/>
          <w:sz w:val="24"/>
          <w:szCs w:val="24"/>
          <w:highlight w:val="yellow"/>
          <w:lang w:val="en-US"/>
        </w:rPr>
        <w:t xml:space="preserve"> </w:t>
      </w:r>
      <w:r w:rsidR="00C05F42" w:rsidRPr="00D83189">
        <w:rPr>
          <w:rFonts w:ascii="Times New Roman" w:hAnsi="Times New Roman" w:cs="Times New Roman"/>
          <w:sz w:val="24"/>
          <w:szCs w:val="24"/>
          <w:highlight w:val="yellow"/>
          <w:lang w:val="en-US"/>
        </w:rPr>
        <w:t>(Saxena &amp; Verma, 2021).</w:t>
      </w:r>
      <w:r w:rsidR="00C05F42" w:rsidRPr="00C05F42">
        <w:rPr>
          <w:rFonts w:ascii="Times New Roman" w:hAnsi="Times New Roman" w:cs="Times New Roman"/>
          <w:sz w:val="24"/>
          <w:szCs w:val="24"/>
          <w:lang w:val="en-US"/>
        </w:rPr>
        <w:t xml:space="preserve"> </w:t>
      </w:r>
      <w:r w:rsidR="00264B0F" w:rsidRPr="00264B0F">
        <w:rPr>
          <w:rFonts w:ascii="Times New Roman" w:hAnsi="Times New Roman" w:cs="Times New Roman"/>
          <w:sz w:val="24"/>
          <w:szCs w:val="24"/>
          <w:lang w:val="en-US"/>
        </w:rPr>
        <w:t xml:space="preserve">Despite its effectiveness, its solubility is highly pH-dependent: it is more soluble in acidic conditions but poorly soluble at neutral to basic pH, </w:t>
      </w:r>
      <w:r w:rsidR="005D5B4A" w:rsidRPr="00D83189">
        <w:rPr>
          <w:rFonts w:ascii="Times New Roman" w:hAnsi="Times New Roman" w:cs="Times New Roman"/>
          <w:sz w:val="24"/>
          <w:szCs w:val="24"/>
          <w:highlight w:val="yellow"/>
          <w:lang w:val="en-US"/>
        </w:rPr>
        <w:lastRenderedPageBreak/>
        <w:t>leading to</w:t>
      </w:r>
      <w:r w:rsidR="00264B0F" w:rsidRPr="00264B0F">
        <w:rPr>
          <w:rFonts w:ascii="Times New Roman" w:hAnsi="Times New Roman" w:cs="Times New Roman"/>
          <w:sz w:val="24"/>
          <w:szCs w:val="24"/>
          <w:lang w:val="en-US"/>
        </w:rPr>
        <w:t xml:space="preserve"> inconsistent dissolution and bioavailability</w:t>
      </w:r>
      <w:r w:rsidR="00264B0F" w:rsidRPr="007F0F64">
        <w:rPr>
          <w:rFonts w:ascii="Times New Roman" w:hAnsi="Times New Roman" w:cs="Times New Roman"/>
          <w:sz w:val="24"/>
          <w:szCs w:val="24"/>
          <w:vertAlign w:val="superscript"/>
          <w:lang w:val="en-US"/>
        </w:rPr>
        <w:t>11</w:t>
      </w:r>
      <w:r w:rsidR="00264B0F" w:rsidRPr="00264B0F">
        <w:rPr>
          <w:rFonts w:ascii="Times New Roman" w:hAnsi="Times New Roman" w:cs="Times New Roman"/>
          <w:sz w:val="24"/>
          <w:szCs w:val="24"/>
          <w:lang w:val="en-US"/>
        </w:rPr>
        <w:t>. Addressing this restriction demands solutions that not only improve solubility but also provide consistent performance across physiological pH ranges.</w:t>
      </w:r>
      <w:r w:rsidR="00C05F42">
        <w:rPr>
          <w:rFonts w:ascii="Times New Roman" w:hAnsi="Times New Roman" w:cs="Times New Roman"/>
          <w:sz w:val="24"/>
          <w:szCs w:val="24"/>
          <w:lang w:val="en-US"/>
        </w:rPr>
        <w:t xml:space="preserve"> </w:t>
      </w:r>
    </w:p>
    <w:p w14:paraId="7045B921" w14:textId="3B98B131" w:rsidR="007F0F64" w:rsidRDefault="007F0F64" w:rsidP="004968CC">
      <w:pPr>
        <w:spacing w:line="360" w:lineRule="auto"/>
        <w:jc w:val="both"/>
        <w:rPr>
          <w:rFonts w:ascii="Times New Roman" w:hAnsi="Times New Roman" w:cs="Times New Roman"/>
          <w:sz w:val="24"/>
          <w:szCs w:val="24"/>
          <w:lang w:val="en-US"/>
        </w:rPr>
      </w:pPr>
      <w:r w:rsidRPr="007F0F64">
        <w:rPr>
          <w:rFonts w:ascii="Times New Roman" w:hAnsi="Times New Roman" w:cs="Times New Roman"/>
          <w:sz w:val="24"/>
          <w:szCs w:val="24"/>
          <w:lang w:val="en-US"/>
        </w:rPr>
        <w:t xml:space="preserve">In this regard, the current study looks at Soluplus®-based pH-modulated Lornoxicam solid dispersions. The use of pH modifiers like sodium bicarbonate generates a </w:t>
      </w:r>
      <w:r w:rsidR="005D5B4A" w:rsidRPr="00D83189">
        <w:rPr>
          <w:rFonts w:ascii="Times New Roman" w:hAnsi="Times New Roman" w:cs="Times New Roman"/>
          <w:sz w:val="24"/>
          <w:szCs w:val="24"/>
          <w:highlight w:val="yellow"/>
          <w:lang w:val="en-US"/>
        </w:rPr>
        <w:t>favourable</w:t>
      </w:r>
      <w:r w:rsidR="005D5B4A" w:rsidRPr="00D83189">
        <w:rPr>
          <w:rFonts w:ascii="Times New Roman" w:hAnsi="Times New Roman" w:cs="Times New Roman"/>
          <w:sz w:val="24"/>
          <w:szCs w:val="24"/>
          <w:highlight w:val="yellow"/>
          <w:lang w:val="en-US"/>
        </w:rPr>
        <w:t xml:space="preserve"> </w:t>
      </w:r>
      <w:r w:rsidRPr="007F0F64">
        <w:rPr>
          <w:rFonts w:ascii="Times New Roman" w:hAnsi="Times New Roman" w:cs="Times New Roman"/>
          <w:sz w:val="24"/>
          <w:szCs w:val="24"/>
          <w:lang w:val="en-US"/>
        </w:rPr>
        <w:t xml:space="preserve">milieu for drug breakdown over a wide pH range </w:t>
      </w:r>
      <w:r w:rsidRPr="007F0F64">
        <w:rPr>
          <w:rFonts w:ascii="Times New Roman" w:hAnsi="Times New Roman" w:cs="Times New Roman"/>
          <w:sz w:val="24"/>
          <w:szCs w:val="24"/>
          <w:vertAlign w:val="superscript"/>
          <w:lang w:val="en-US"/>
        </w:rPr>
        <w:t>12</w:t>
      </w:r>
      <w:r w:rsidRPr="007F0F64">
        <w:rPr>
          <w:rFonts w:ascii="Times New Roman" w:hAnsi="Times New Roman" w:cs="Times New Roman"/>
          <w:sz w:val="24"/>
          <w:szCs w:val="24"/>
          <w:lang w:val="en-US"/>
        </w:rPr>
        <w:t xml:space="preserve">. The solvent evaporation approach was used to create the solid dispersions, which </w:t>
      </w:r>
      <w:r w:rsidR="005D5B4A" w:rsidRPr="00D83189">
        <w:rPr>
          <w:rFonts w:ascii="Times New Roman" w:hAnsi="Times New Roman" w:cs="Times New Roman"/>
          <w:sz w:val="24"/>
          <w:szCs w:val="24"/>
          <w:highlight w:val="yellow"/>
          <w:lang w:val="en-US"/>
        </w:rPr>
        <w:t>improve</w:t>
      </w:r>
      <w:r w:rsidR="005D5B4A" w:rsidRPr="00D83189">
        <w:rPr>
          <w:rFonts w:ascii="Times New Roman" w:hAnsi="Times New Roman" w:cs="Times New Roman"/>
          <w:sz w:val="24"/>
          <w:szCs w:val="24"/>
          <w:highlight w:val="yellow"/>
          <w:lang w:val="en-US"/>
        </w:rPr>
        <w:t xml:space="preserve"> </w:t>
      </w:r>
      <w:r w:rsidRPr="007F0F64">
        <w:rPr>
          <w:rFonts w:ascii="Times New Roman" w:hAnsi="Times New Roman" w:cs="Times New Roman"/>
          <w:sz w:val="24"/>
          <w:szCs w:val="24"/>
          <w:lang w:val="en-US"/>
        </w:rPr>
        <w:t xml:space="preserve">the wettability and </w:t>
      </w:r>
      <w:r w:rsidR="005D5B4A" w:rsidRPr="00D83189">
        <w:rPr>
          <w:rFonts w:ascii="Times New Roman" w:hAnsi="Times New Roman" w:cs="Times New Roman"/>
          <w:sz w:val="24"/>
          <w:szCs w:val="24"/>
          <w:highlight w:val="yellow"/>
          <w:lang w:val="en-US"/>
        </w:rPr>
        <w:t>amorphisation</w:t>
      </w:r>
      <w:r w:rsidR="005D5B4A" w:rsidRPr="007F0F64">
        <w:rPr>
          <w:rFonts w:ascii="Times New Roman" w:hAnsi="Times New Roman" w:cs="Times New Roman"/>
          <w:sz w:val="24"/>
          <w:szCs w:val="24"/>
          <w:lang w:val="en-US"/>
        </w:rPr>
        <w:t xml:space="preserve"> </w:t>
      </w:r>
      <w:r w:rsidRPr="007F0F64">
        <w:rPr>
          <w:rFonts w:ascii="Times New Roman" w:hAnsi="Times New Roman" w:cs="Times New Roman"/>
          <w:sz w:val="24"/>
          <w:szCs w:val="24"/>
          <w:lang w:val="en-US"/>
        </w:rPr>
        <w:t xml:space="preserve">of poorly soluble medicines </w:t>
      </w:r>
      <w:r w:rsidRPr="007F0F64">
        <w:rPr>
          <w:rFonts w:ascii="Times New Roman" w:hAnsi="Times New Roman" w:cs="Times New Roman"/>
          <w:sz w:val="24"/>
          <w:szCs w:val="24"/>
          <w:vertAlign w:val="superscript"/>
          <w:lang w:val="en-US"/>
        </w:rPr>
        <w:t>13</w:t>
      </w:r>
      <w:r w:rsidRPr="007F0F64">
        <w:rPr>
          <w:rFonts w:ascii="Times New Roman" w:hAnsi="Times New Roman" w:cs="Times New Roman"/>
          <w:sz w:val="24"/>
          <w:szCs w:val="24"/>
          <w:lang w:val="en-US"/>
        </w:rPr>
        <w:t xml:space="preserve">. The improved dispersion was then manufactured into immediate-release (IR) tablets to provide a </w:t>
      </w:r>
      <w:r>
        <w:rPr>
          <w:rFonts w:ascii="Times New Roman" w:hAnsi="Times New Roman" w:cs="Times New Roman"/>
          <w:sz w:val="24"/>
          <w:szCs w:val="24"/>
          <w:lang w:val="en-US"/>
        </w:rPr>
        <w:t>rapid</w:t>
      </w:r>
      <w:r w:rsidRPr="007F0F64">
        <w:rPr>
          <w:rFonts w:ascii="Times New Roman" w:hAnsi="Times New Roman" w:cs="Times New Roman"/>
          <w:sz w:val="24"/>
          <w:szCs w:val="24"/>
          <w:lang w:val="en-US"/>
        </w:rPr>
        <w:t xml:space="preserve"> action, which is crucial for pain treatment.</w:t>
      </w:r>
    </w:p>
    <w:p w14:paraId="7FCDB245" w14:textId="6BD288C1" w:rsidR="0080437F" w:rsidRDefault="0080437F" w:rsidP="004968CC">
      <w:pPr>
        <w:spacing w:line="360" w:lineRule="auto"/>
        <w:jc w:val="both"/>
        <w:rPr>
          <w:rFonts w:ascii="Times New Roman" w:hAnsi="Times New Roman" w:cs="Times New Roman"/>
          <w:sz w:val="24"/>
          <w:szCs w:val="24"/>
          <w:lang w:val="en-US"/>
        </w:rPr>
      </w:pPr>
      <w:r w:rsidRPr="0080437F">
        <w:rPr>
          <w:rFonts w:ascii="Times New Roman" w:hAnsi="Times New Roman" w:cs="Times New Roman"/>
          <w:sz w:val="24"/>
          <w:szCs w:val="24"/>
          <w:lang w:val="en-US"/>
        </w:rPr>
        <w:t>Immediate-release tablets were created through direct compression with PROSOLV® EASYtab SP, a multi</w:t>
      </w:r>
      <w:r w:rsidR="00F678A3">
        <w:rPr>
          <w:rFonts w:ascii="Times New Roman" w:hAnsi="Times New Roman" w:cs="Times New Roman"/>
          <w:sz w:val="24"/>
          <w:szCs w:val="24"/>
          <w:lang w:val="en-US"/>
        </w:rPr>
        <w:t>function</w:t>
      </w:r>
      <w:r w:rsidRPr="0080437F">
        <w:rPr>
          <w:rFonts w:ascii="Times New Roman" w:hAnsi="Times New Roman" w:cs="Times New Roman"/>
          <w:sz w:val="24"/>
          <w:szCs w:val="24"/>
          <w:lang w:val="en-US"/>
        </w:rPr>
        <w:t xml:space="preserve"> excipient technology. The formulations were tested for </w:t>
      </w:r>
      <w:r w:rsidR="00F678A3" w:rsidRPr="00F678A3">
        <w:rPr>
          <w:rFonts w:ascii="Times New Roman" w:hAnsi="Times New Roman" w:cs="Times New Roman"/>
          <w:i/>
          <w:iCs/>
          <w:sz w:val="24"/>
          <w:szCs w:val="24"/>
          <w:lang w:val="en-US"/>
        </w:rPr>
        <w:t xml:space="preserve">in vitro </w:t>
      </w:r>
      <w:r w:rsidR="00F678A3">
        <w:rPr>
          <w:rFonts w:ascii="Times New Roman" w:hAnsi="Times New Roman" w:cs="Times New Roman"/>
          <w:sz w:val="24"/>
          <w:szCs w:val="24"/>
          <w:lang w:val="en-US"/>
        </w:rPr>
        <w:t xml:space="preserve">and </w:t>
      </w:r>
      <w:r w:rsidR="00F678A3" w:rsidRPr="00F678A3">
        <w:rPr>
          <w:rFonts w:ascii="Times New Roman" w:hAnsi="Times New Roman" w:cs="Times New Roman"/>
          <w:i/>
          <w:iCs/>
          <w:sz w:val="24"/>
          <w:szCs w:val="24"/>
          <w:lang w:val="en-US"/>
        </w:rPr>
        <w:t>in vivo</w:t>
      </w:r>
      <w:r w:rsidR="00F678A3">
        <w:rPr>
          <w:rFonts w:ascii="Times New Roman" w:hAnsi="Times New Roman" w:cs="Times New Roman"/>
          <w:sz w:val="24"/>
          <w:szCs w:val="24"/>
          <w:lang w:val="en-US"/>
        </w:rPr>
        <w:t xml:space="preserve"> </w:t>
      </w:r>
      <w:r w:rsidRPr="0080437F">
        <w:rPr>
          <w:rFonts w:ascii="Times New Roman" w:hAnsi="Times New Roman" w:cs="Times New Roman"/>
          <w:sz w:val="24"/>
          <w:szCs w:val="24"/>
          <w:lang w:val="en-US"/>
        </w:rPr>
        <w:t xml:space="preserve">pharmacokinetics in Wistar rats. This work not only solves Lornoxicam's solubility issues, but also demonstrates a scalable, patient-friendly way to </w:t>
      </w:r>
      <w:r w:rsidR="005D5B4A" w:rsidRPr="00D83189">
        <w:rPr>
          <w:rFonts w:ascii="Times New Roman" w:hAnsi="Times New Roman" w:cs="Times New Roman"/>
          <w:sz w:val="24"/>
          <w:szCs w:val="24"/>
          <w:highlight w:val="yellow"/>
          <w:lang w:val="en-US"/>
        </w:rPr>
        <w:t>improve</w:t>
      </w:r>
      <w:r w:rsidR="005D5B4A" w:rsidRPr="0080437F">
        <w:rPr>
          <w:rFonts w:ascii="Times New Roman" w:hAnsi="Times New Roman" w:cs="Times New Roman"/>
          <w:sz w:val="24"/>
          <w:szCs w:val="24"/>
          <w:lang w:val="en-US"/>
        </w:rPr>
        <w:t xml:space="preserve"> </w:t>
      </w:r>
      <w:r w:rsidRPr="0080437F">
        <w:rPr>
          <w:rFonts w:ascii="Times New Roman" w:hAnsi="Times New Roman" w:cs="Times New Roman"/>
          <w:sz w:val="24"/>
          <w:szCs w:val="24"/>
          <w:lang w:val="en-US"/>
        </w:rPr>
        <w:t>the clinical performance of poorly soluble drugs.</w:t>
      </w:r>
    </w:p>
    <w:p w14:paraId="5ED60640" w14:textId="0E697C2E" w:rsidR="004968CC" w:rsidRPr="004968CC" w:rsidRDefault="00536737"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 MATERIALS AND METHODS</w:t>
      </w:r>
    </w:p>
    <w:p w14:paraId="3942495B" w14:textId="67017BF8"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2.1 Materials</w:t>
      </w:r>
    </w:p>
    <w:p w14:paraId="3DB3AB66" w14:textId="29F39C63" w:rsidR="004968CC" w:rsidRPr="004968CC" w:rsidRDefault="004968CC" w:rsidP="004968CC">
      <w:pPr>
        <w:spacing w:line="360" w:lineRule="auto"/>
        <w:jc w:val="both"/>
        <w:rPr>
          <w:rFonts w:ascii="Times New Roman" w:hAnsi="Times New Roman" w:cs="Times New Roman"/>
          <w:sz w:val="24"/>
          <w:szCs w:val="24"/>
          <w:lang w:val="en-US"/>
        </w:rPr>
      </w:pPr>
      <w:r w:rsidRPr="004968CC">
        <w:rPr>
          <w:rFonts w:ascii="Times New Roman" w:hAnsi="Times New Roman" w:cs="Times New Roman"/>
          <w:sz w:val="24"/>
          <w:szCs w:val="24"/>
          <w:lang w:val="en-US"/>
        </w:rPr>
        <w:t>Lornoxicam was obtained as a gift sample from Microlabs Pvt. Ltd. (Mumbai, India). Soluplus® was kindly provided by BASF Pharma Solutions (Mumbai, India). Analytical grade methanol, acetonitrile, disodium hydrogen phosphate, PEG 4000, and PVP K-90 were procured from Merck Pvt. Ltd. (Mumbai, India). Sodium bicarbonate, potassium carbonate, and calcium carbonate were purchased from Sigma-Aldrich (St. Louis, USA). PROSOLV® EASYtab SP, a multifunctional excipient system for direct compression, was sourced from JRS Pharma (Rosenberg, Germany). All excipients were of analytical or pharmaceutical grade and used without further purification.</w:t>
      </w:r>
    </w:p>
    <w:p w14:paraId="4F676CFB" w14:textId="06D539CB" w:rsidR="004968CC" w:rsidRPr="00897FAC" w:rsidRDefault="004968CC" w:rsidP="004968CC">
      <w:pPr>
        <w:spacing w:line="360" w:lineRule="auto"/>
        <w:jc w:val="both"/>
        <w:rPr>
          <w:rFonts w:ascii="Times New Roman" w:hAnsi="Times New Roman" w:cs="Times New Roman"/>
          <w:sz w:val="24"/>
          <w:szCs w:val="24"/>
          <w:lang w:val="en-US"/>
        </w:rPr>
      </w:pPr>
      <w:r w:rsidRPr="004968CC">
        <w:rPr>
          <w:rFonts w:ascii="Times New Roman" w:hAnsi="Times New Roman" w:cs="Times New Roman"/>
          <w:sz w:val="24"/>
          <w:szCs w:val="24"/>
          <w:lang w:val="en-US"/>
        </w:rPr>
        <w:t xml:space="preserve">Excipient selection was guided by their functional performance: Soluplus® as a </w:t>
      </w:r>
      <w:r w:rsidR="00E01CE5" w:rsidRPr="00D83189">
        <w:rPr>
          <w:rFonts w:ascii="Times New Roman" w:hAnsi="Times New Roman" w:cs="Times New Roman"/>
          <w:sz w:val="24"/>
          <w:szCs w:val="24"/>
          <w:highlight w:val="yellow"/>
          <w:lang w:val="en-US"/>
        </w:rPr>
        <w:t>solubilising</w:t>
      </w:r>
      <w:r w:rsidR="00E01CE5" w:rsidRPr="004968CC">
        <w:rPr>
          <w:rFonts w:ascii="Times New Roman" w:hAnsi="Times New Roman" w:cs="Times New Roman"/>
          <w:sz w:val="24"/>
          <w:szCs w:val="24"/>
          <w:lang w:val="en-US"/>
        </w:rPr>
        <w:t xml:space="preserve"> </w:t>
      </w:r>
      <w:r w:rsidRPr="004968CC">
        <w:rPr>
          <w:rFonts w:ascii="Times New Roman" w:hAnsi="Times New Roman" w:cs="Times New Roman"/>
          <w:sz w:val="24"/>
          <w:szCs w:val="24"/>
          <w:lang w:val="en-US"/>
        </w:rPr>
        <w:t>polymer, sodium bicarbonate as a pH-modifying alkalizer, and PROSOLV® EASYtab SP to ensure flowability, compressibility, and rapid disintegration in direct compression formulations.</w:t>
      </w:r>
    </w:p>
    <w:p w14:paraId="4DCCBEB6" w14:textId="77777777"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2.2 Formulation of Lornoxicam pH-Modulated Solid Dispersions</w:t>
      </w:r>
    </w:p>
    <w:p w14:paraId="6E1B1187" w14:textId="5EB2BFC9"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2.2.1 Selection of Alkalizers</w:t>
      </w:r>
    </w:p>
    <w:p w14:paraId="61087C13" w14:textId="3D16E6F4" w:rsidR="004968CC" w:rsidRPr="00536737"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lastRenderedPageBreak/>
        <w:t xml:space="preserve">To determine the most suitable alkalizer for enhancing solubility, equilibrium solubility studies were performed. Excess Lornoxicam was added to 1% w/v aqueous solutions of sodium bicarbonate, disodium hydrogen phosphate, calcium carbonate, and potassium carbonate. Mixtures were shaken at 37 ± 0.5 °C for 24 h to reach equilibrium, centrifuged at 5,000 rpm for 15 min, filtered (0.45 µm), and </w:t>
      </w:r>
      <w:r w:rsidR="00E01CE5" w:rsidRPr="00D83189">
        <w:rPr>
          <w:rFonts w:ascii="Times New Roman" w:hAnsi="Times New Roman" w:cs="Times New Roman"/>
          <w:sz w:val="24"/>
          <w:szCs w:val="24"/>
          <w:highlight w:val="yellow"/>
          <w:lang w:val="en-US"/>
        </w:rPr>
        <w:t>analysed</w:t>
      </w:r>
      <w:r w:rsidR="00E01CE5" w:rsidRPr="00897FAC">
        <w:rPr>
          <w:rFonts w:ascii="Times New Roman" w:hAnsi="Times New Roman" w:cs="Times New Roman"/>
          <w:sz w:val="24"/>
          <w:szCs w:val="24"/>
          <w:lang w:val="en-US"/>
        </w:rPr>
        <w:t xml:space="preserve"> </w:t>
      </w:r>
      <w:r w:rsidRPr="00897FAC">
        <w:rPr>
          <w:rFonts w:ascii="Times New Roman" w:hAnsi="Times New Roman" w:cs="Times New Roman"/>
          <w:sz w:val="24"/>
          <w:szCs w:val="24"/>
          <w:lang w:val="en-US"/>
        </w:rPr>
        <w:t>spectrophotometrically at 382 nm.</w:t>
      </w:r>
      <w:r w:rsidR="00897FAC">
        <w:rPr>
          <w:rFonts w:ascii="Times New Roman" w:hAnsi="Times New Roman" w:cs="Times New Roman"/>
          <w:sz w:val="24"/>
          <w:szCs w:val="24"/>
          <w:lang w:val="en-US"/>
        </w:rPr>
        <w:t xml:space="preserve"> </w:t>
      </w:r>
      <w:r w:rsidRPr="00897FAC">
        <w:rPr>
          <w:rFonts w:ascii="Times New Roman" w:hAnsi="Times New Roman" w:cs="Times New Roman"/>
          <w:sz w:val="24"/>
          <w:szCs w:val="24"/>
          <w:lang w:val="en-US"/>
        </w:rPr>
        <w:t>This screening step ensured rational selection of the alkalizer based on its ability to modify the microenvironmental pH and promote dissolution of the weakly acidic drug.</w:t>
      </w:r>
    </w:p>
    <w:p w14:paraId="3F134771" w14:textId="32A7000C"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 xml:space="preserve">2.2.2 </w:t>
      </w:r>
      <w:r w:rsidR="00C05F42" w:rsidRPr="00D83189">
        <w:rPr>
          <w:rFonts w:ascii="Times New Roman" w:hAnsi="Times New Roman" w:cs="Times New Roman"/>
          <w:sz w:val="24"/>
          <w:szCs w:val="24"/>
          <w:highlight w:val="yellow"/>
          <w:lang w:val="en-US"/>
        </w:rPr>
        <w:t>Optimisation</w:t>
      </w:r>
      <w:r w:rsidR="00C05F42" w:rsidRPr="00D83189">
        <w:rPr>
          <w:rFonts w:ascii="Times New Roman" w:hAnsi="Times New Roman" w:cs="Times New Roman"/>
          <w:sz w:val="24"/>
          <w:szCs w:val="24"/>
          <w:highlight w:val="yellow"/>
          <w:lang w:val="en-US"/>
        </w:rPr>
        <w:t xml:space="preserve"> </w:t>
      </w:r>
      <w:r w:rsidRPr="00536737">
        <w:rPr>
          <w:rFonts w:ascii="Times New Roman" w:hAnsi="Times New Roman" w:cs="Times New Roman"/>
          <w:sz w:val="24"/>
          <w:szCs w:val="24"/>
          <w:lang w:val="en-US"/>
        </w:rPr>
        <w:t>Using Experimental Design</w:t>
      </w:r>
    </w:p>
    <w:p w14:paraId="19A355FF" w14:textId="4BB9AB4B"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A Central Composite Design (CCD) was employed with Design-Expert® software (version 13.0) to </w:t>
      </w:r>
      <w:r w:rsidR="00C05F42" w:rsidRPr="00D83189">
        <w:rPr>
          <w:rFonts w:ascii="Times New Roman" w:hAnsi="Times New Roman" w:cs="Times New Roman"/>
          <w:sz w:val="24"/>
          <w:szCs w:val="24"/>
          <w:highlight w:val="yellow"/>
          <w:lang w:val="en-US"/>
        </w:rPr>
        <w:t>optimise</w:t>
      </w:r>
      <w:r w:rsidR="00C05F42"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the solid dispersion formulation. Two formulation variables were studied: Soluplus® concentration (X1: 40–200 mg) and sodium bicarbonate concentration (X2: 15–30 mg). Responses evaluated included saturation solubility (Y1, mg/mL) and drug content (Y2, %). Thirteen experimental runs were generated as per the CCD matrix.</w:t>
      </w:r>
    </w:p>
    <w:p w14:paraId="2F4D720F" w14:textId="2CED3B68" w:rsidR="004968CC" w:rsidRPr="004968CC" w:rsidRDefault="004968CC" w:rsidP="004968CC">
      <w:pPr>
        <w:spacing w:line="360" w:lineRule="auto"/>
        <w:jc w:val="both"/>
        <w:rPr>
          <w:rFonts w:ascii="Times New Roman" w:hAnsi="Times New Roman" w:cs="Times New Roman"/>
          <w:b/>
          <w:bCs/>
          <w:sz w:val="24"/>
          <w:szCs w:val="24"/>
          <w:lang w:val="en-US"/>
        </w:rPr>
      </w:pPr>
      <w:r w:rsidRPr="00897FAC">
        <w:rPr>
          <w:rFonts w:ascii="Times New Roman" w:hAnsi="Times New Roman" w:cs="Times New Roman"/>
          <w:sz w:val="24"/>
          <w:szCs w:val="24"/>
          <w:lang w:val="en-US"/>
        </w:rPr>
        <w:t xml:space="preserve">CCD was chosen because it systematically evaluates both linear and interactive effects of formulation variables, offering statistical models that facilitate prediction and </w:t>
      </w:r>
      <w:r w:rsidR="00C05F42" w:rsidRPr="00D83189">
        <w:rPr>
          <w:rFonts w:ascii="Times New Roman" w:hAnsi="Times New Roman" w:cs="Times New Roman"/>
          <w:sz w:val="24"/>
          <w:szCs w:val="24"/>
          <w:highlight w:val="yellow"/>
          <w:lang w:val="en-US"/>
        </w:rPr>
        <w:t>optimisation</w:t>
      </w:r>
      <w:r w:rsidR="00C05F42"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with fewer experimental trials compared to traditional one-variable-at-a-time approaches.</w:t>
      </w:r>
    </w:p>
    <w:p w14:paraId="0AE0EF77" w14:textId="4BE1E5D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2.2.3 Preparation of Solid Dispersions</w:t>
      </w:r>
    </w:p>
    <w:p w14:paraId="6AA6131A" w14:textId="1AF3A063"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Solid dispersions were prepared by solvent evaporation. Accurately weighed Lornoxicam and Soluplus® were dissolved separately in methanol (5 mL each), then combined and stirred until </w:t>
      </w:r>
      <w:r w:rsidR="0055681C" w:rsidRPr="00D83189">
        <w:rPr>
          <w:rFonts w:ascii="Times New Roman" w:hAnsi="Times New Roman" w:cs="Times New Roman"/>
          <w:sz w:val="24"/>
          <w:szCs w:val="24"/>
          <w:highlight w:val="yellow"/>
          <w:lang w:val="en-US"/>
        </w:rPr>
        <w:t>homogeneous</w:t>
      </w:r>
      <w:r w:rsidRPr="00897FAC">
        <w:rPr>
          <w:rFonts w:ascii="Times New Roman" w:hAnsi="Times New Roman" w:cs="Times New Roman"/>
          <w:sz w:val="24"/>
          <w:szCs w:val="24"/>
          <w:lang w:val="en-US"/>
        </w:rPr>
        <w:t xml:space="preserve">. Sodium bicarbonate was incorporated as per the design matrix. Solvent was removed on a water bath at 50 °C, leaving behind a solid mass, which was dried, </w:t>
      </w:r>
      <w:r w:rsidR="0055681C" w:rsidRPr="00D83189">
        <w:rPr>
          <w:rFonts w:ascii="Times New Roman" w:hAnsi="Times New Roman" w:cs="Times New Roman"/>
          <w:sz w:val="24"/>
          <w:szCs w:val="24"/>
          <w:highlight w:val="yellow"/>
          <w:lang w:val="en-US"/>
        </w:rPr>
        <w:t>pulverised</w:t>
      </w:r>
      <w:r w:rsidRPr="00897FAC">
        <w:rPr>
          <w:rFonts w:ascii="Times New Roman" w:hAnsi="Times New Roman" w:cs="Times New Roman"/>
          <w:sz w:val="24"/>
          <w:szCs w:val="24"/>
          <w:lang w:val="en-US"/>
        </w:rPr>
        <w:t>, sieved (#40 mesh), and stored in a desiccator until use.</w:t>
      </w:r>
    </w:p>
    <w:p w14:paraId="774592E3" w14:textId="1F5BBB30"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The solvent evaporation method was selected because it enables molecular-level dispersion of </w:t>
      </w:r>
      <w:r w:rsidR="0055681C" w:rsidRPr="00D83189">
        <w:rPr>
          <w:rFonts w:ascii="Times New Roman" w:hAnsi="Times New Roman" w:cs="Times New Roman"/>
          <w:sz w:val="24"/>
          <w:szCs w:val="24"/>
          <w:highlight w:val="yellow"/>
          <w:lang w:val="en-US"/>
        </w:rPr>
        <w:t xml:space="preserve">the </w:t>
      </w:r>
      <w:r w:rsidRPr="00897FAC">
        <w:rPr>
          <w:rFonts w:ascii="Times New Roman" w:hAnsi="Times New Roman" w:cs="Times New Roman"/>
          <w:sz w:val="24"/>
          <w:szCs w:val="24"/>
          <w:lang w:val="en-US"/>
        </w:rPr>
        <w:t>drug in the polymer matrix, reduces crystallinity, and enhances wettability without subjecting the drug to high thermal stress, as occurs in melt-based techniques.</w:t>
      </w:r>
    </w:p>
    <w:p w14:paraId="4321115E" w14:textId="0F5CB86E"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 xml:space="preserve">2.3 </w:t>
      </w:r>
      <w:r w:rsidR="0055681C" w:rsidRPr="00D83189">
        <w:rPr>
          <w:rFonts w:ascii="Times New Roman" w:hAnsi="Times New Roman" w:cs="Times New Roman"/>
          <w:b/>
          <w:bCs/>
          <w:sz w:val="24"/>
          <w:szCs w:val="24"/>
          <w:highlight w:val="yellow"/>
          <w:lang w:val="en-US"/>
        </w:rPr>
        <w:t>Characterisation</w:t>
      </w:r>
      <w:r w:rsidR="0055681C" w:rsidRPr="00D83189">
        <w:rPr>
          <w:rFonts w:ascii="Times New Roman" w:hAnsi="Times New Roman" w:cs="Times New Roman"/>
          <w:b/>
          <w:bCs/>
          <w:sz w:val="24"/>
          <w:szCs w:val="24"/>
          <w:highlight w:val="yellow"/>
          <w:lang w:val="en-US"/>
        </w:rPr>
        <w:t xml:space="preserve"> </w:t>
      </w:r>
      <w:r w:rsidRPr="004968CC">
        <w:rPr>
          <w:rFonts w:ascii="Times New Roman" w:hAnsi="Times New Roman" w:cs="Times New Roman"/>
          <w:b/>
          <w:bCs/>
          <w:sz w:val="24"/>
          <w:szCs w:val="24"/>
          <w:lang w:val="en-US"/>
        </w:rPr>
        <w:t>of Solid Dispersions</w:t>
      </w:r>
    </w:p>
    <w:p w14:paraId="3F43FB3D" w14:textId="23B64F4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2.3.1 Fourier Transform Infrared Spectroscopy (FTIR)</w:t>
      </w:r>
    </w:p>
    <w:p w14:paraId="593ED5B8" w14:textId="08694A63"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FTIR spectra of pure Lornoxicam, Soluplus®, sodium bicarbonate, and solid dispersions were obtained using an FTIR-8400S spectrometer (Shimadzu, Japan) in the range 4000–400 cm⁻¹. </w:t>
      </w:r>
      <w:r w:rsidRPr="00897FAC">
        <w:rPr>
          <w:rFonts w:ascii="Times New Roman" w:hAnsi="Times New Roman" w:cs="Times New Roman"/>
          <w:sz w:val="24"/>
          <w:szCs w:val="24"/>
          <w:lang w:val="en-US"/>
        </w:rPr>
        <w:lastRenderedPageBreak/>
        <w:t>This was used to assess compatibility and identify potential interactions</w:t>
      </w:r>
      <w:r w:rsidR="0055681C">
        <w:rPr>
          <w:rFonts w:ascii="Times New Roman" w:hAnsi="Times New Roman" w:cs="Times New Roman"/>
          <w:sz w:val="24"/>
          <w:szCs w:val="24"/>
          <w:lang w:val="en-US"/>
        </w:rPr>
        <w:t>,</w:t>
      </w:r>
      <w:r w:rsidRPr="00897FAC">
        <w:rPr>
          <w:rFonts w:ascii="Times New Roman" w:hAnsi="Times New Roman" w:cs="Times New Roman"/>
          <w:sz w:val="24"/>
          <w:szCs w:val="24"/>
          <w:lang w:val="en-US"/>
        </w:rPr>
        <w:t xml:space="preserve"> such as hydrogen bonding between </w:t>
      </w:r>
      <w:r w:rsidR="0055681C" w:rsidRPr="00D83189">
        <w:rPr>
          <w:rFonts w:ascii="Times New Roman" w:hAnsi="Times New Roman" w:cs="Times New Roman"/>
          <w:sz w:val="24"/>
          <w:szCs w:val="24"/>
          <w:highlight w:val="yellow"/>
          <w:lang w:val="en-US"/>
        </w:rPr>
        <w:t xml:space="preserve">the </w:t>
      </w:r>
      <w:r w:rsidRPr="00897FAC">
        <w:rPr>
          <w:rFonts w:ascii="Times New Roman" w:hAnsi="Times New Roman" w:cs="Times New Roman"/>
          <w:sz w:val="24"/>
          <w:szCs w:val="24"/>
          <w:lang w:val="en-US"/>
        </w:rPr>
        <w:t>drug, polymer, and alkalizer.</w:t>
      </w:r>
    </w:p>
    <w:p w14:paraId="5CD2DD72" w14:textId="7292C23C"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2.3.2 Differential Scanning Calorimetry (DSC)</w:t>
      </w:r>
    </w:p>
    <w:p w14:paraId="5C89F4D9" w14:textId="15FFBDBB"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DSC thermograms were recorded on a Mettler Toledo instrument. Samples (2–5 mg) were sealed in </w:t>
      </w:r>
      <w:r w:rsidR="0055681C" w:rsidRPr="00D83189">
        <w:rPr>
          <w:rFonts w:ascii="Times New Roman" w:hAnsi="Times New Roman" w:cs="Times New Roman"/>
          <w:sz w:val="24"/>
          <w:szCs w:val="24"/>
          <w:highlight w:val="yellow"/>
          <w:lang w:val="en-US"/>
        </w:rPr>
        <w:t>aluminium</w:t>
      </w:r>
      <w:r w:rsidR="0055681C"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 xml:space="preserve">pans and heated at 10 °C/min to 300 °C under nitrogen (25 mL/min). DSC was used to study thermal transitions and crystallinity. The disappearance or broadening of Lornoxicam’s endothermic peak would indicate </w:t>
      </w:r>
      <w:r w:rsidR="0055681C" w:rsidRPr="00D83189">
        <w:rPr>
          <w:rFonts w:ascii="Times New Roman" w:hAnsi="Times New Roman" w:cs="Times New Roman"/>
          <w:sz w:val="24"/>
          <w:szCs w:val="24"/>
          <w:highlight w:val="yellow"/>
          <w:lang w:val="en-US"/>
        </w:rPr>
        <w:t>amorphisation</w:t>
      </w:r>
      <w:r w:rsidRPr="00897FAC">
        <w:rPr>
          <w:rFonts w:ascii="Times New Roman" w:hAnsi="Times New Roman" w:cs="Times New Roman"/>
          <w:sz w:val="24"/>
          <w:szCs w:val="24"/>
          <w:lang w:val="en-US"/>
        </w:rPr>
        <w:t>.</w:t>
      </w:r>
    </w:p>
    <w:p w14:paraId="44944BF3" w14:textId="3DDCDBAB"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2.3.3 Powder X-ray Diffraction (PXRD)</w:t>
      </w:r>
    </w:p>
    <w:p w14:paraId="13E5B2B2" w14:textId="774440AA" w:rsidR="004968CC" w:rsidRPr="00536737"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PXRD patterns were obtained on a Bruker D2 Phaser diffractometer (40 kV, 40 mA, Cu-Kα radiation). Samples were scanned between 5° and 50° 2θ at 2°/min. PXRD provided crystallinity profiles, allowing assessment of amorphous transformation induced by Soluplus®.</w:t>
      </w:r>
    </w:p>
    <w:p w14:paraId="53B049BF" w14:textId="4A93064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2.3.4 Scanning Electron Microscopy (SEM)</w:t>
      </w:r>
    </w:p>
    <w:p w14:paraId="7678A590" w14:textId="7C8C7DCB"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Morphology was </w:t>
      </w:r>
      <w:r w:rsidR="0055681C" w:rsidRPr="00D83189">
        <w:rPr>
          <w:rFonts w:ascii="Times New Roman" w:hAnsi="Times New Roman" w:cs="Times New Roman"/>
          <w:sz w:val="24"/>
          <w:szCs w:val="24"/>
          <w:highlight w:val="yellow"/>
          <w:lang w:val="en-US"/>
        </w:rPr>
        <w:t>analysed</w:t>
      </w:r>
      <w:r w:rsidR="0055681C"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 xml:space="preserve">using a CamScan Maxim-2000 SEM operated at 20 kV. Samples were mounted on </w:t>
      </w:r>
      <w:r w:rsidR="0055681C" w:rsidRPr="00D83189">
        <w:rPr>
          <w:rFonts w:ascii="Times New Roman" w:hAnsi="Times New Roman" w:cs="Times New Roman"/>
          <w:sz w:val="24"/>
          <w:szCs w:val="24"/>
          <w:highlight w:val="yellow"/>
          <w:lang w:val="en-US"/>
        </w:rPr>
        <w:t>aluminium</w:t>
      </w:r>
      <w:r w:rsidR="0055681C"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 xml:space="preserve">stubs, coated with gold under vacuum, and imaged. SEM allowed </w:t>
      </w:r>
      <w:r w:rsidR="0055681C" w:rsidRPr="00D83189">
        <w:rPr>
          <w:rFonts w:ascii="Times New Roman" w:hAnsi="Times New Roman" w:cs="Times New Roman"/>
          <w:sz w:val="24"/>
          <w:szCs w:val="24"/>
          <w:highlight w:val="yellow"/>
          <w:lang w:val="en-US"/>
        </w:rPr>
        <w:t>visualisation</w:t>
      </w:r>
      <w:r w:rsidR="0055681C"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of surface morphology and qualitative changes in particle shape and structure following solid dispersion formation.</w:t>
      </w:r>
    </w:p>
    <w:p w14:paraId="0D747CAD" w14:textId="77777777"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2.4 Tablet Formulation and Evaluation</w:t>
      </w:r>
    </w:p>
    <w:p w14:paraId="49EDE649" w14:textId="311F263A"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2.4.1 Pre-compression Studies</w:t>
      </w:r>
    </w:p>
    <w:p w14:paraId="45D67620" w14:textId="34C2D360"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Powder blends of solid dispersions with PROSOLV® EASYtab SP were evaluated for flowability and compressibility. Parameters measured included bulk and tapped density, Carr’s index, Hausner’s ratio, and angle of repose, in line with USP guidelines (2014). These parameters predict flow and packing </w:t>
      </w:r>
      <w:r w:rsidR="00E01CE5" w:rsidRPr="00D83189">
        <w:rPr>
          <w:rFonts w:ascii="Times New Roman" w:hAnsi="Times New Roman" w:cs="Times New Roman"/>
          <w:sz w:val="24"/>
          <w:szCs w:val="24"/>
          <w:highlight w:val="yellow"/>
          <w:lang w:val="en-US"/>
        </w:rPr>
        <w:t>behaviour</w:t>
      </w:r>
      <w:r w:rsidRPr="00897FAC">
        <w:rPr>
          <w:rFonts w:ascii="Times New Roman" w:hAnsi="Times New Roman" w:cs="Times New Roman"/>
          <w:sz w:val="24"/>
          <w:szCs w:val="24"/>
          <w:lang w:val="en-US"/>
        </w:rPr>
        <w:t>, critical for uniform die filling and weight consistency in direct compression.</w:t>
      </w:r>
    </w:p>
    <w:p w14:paraId="431902D1" w14:textId="0E15FEED"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2.4.2 Tablet Compression</w:t>
      </w:r>
    </w:p>
    <w:p w14:paraId="2C1BDD39" w14:textId="7CE175C7"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Immediate-release tablets were prepared by direct compression. Each tablet contained an amount of solid dispersion equivalent to 8 mg of Lornoxicam, blended with PROSOLV® EASYtab SP at different levels (F1: 140 mg, F2: 100 mg, F3: 180 mg). The final tablet weights were 200, 160, and 240 mg, respectively. Compression was performed on a rotary press using 8-mm concave punches at a hardness of 3 ± 0.5 kg/cm².</w:t>
      </w:r>
    </w:p>
    <w:p w14:paraId="30BB1FBB" w14:textId="2E9136B5"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lastRenderedPageBreak/>
        <w:t xml:space="preserve">Direct compression was chosen because it is a simple, scalable, and cost-effective method suitable for large-scale production. The multifunctional excipient blend PROSOLV® EASYtab SP </w:t>
      </w:r>
      <w:r w:rsidR="00E01CE5" w:rsidRPr="00D83189">
        <w:rPr>
          <w:rFonts w:ascii="Times New Roman" w:hAnsi="Times New Roman" w:cs="Times New Roman"/>
          <w:sz w:val="24"/>
          <w:szCs w:val="24"/>
          <w:highlight w:val="yellow"/>
          <w:lang w:val="en-US"/>
        </w:rPr>
        <w:t>minimises</w:t>
      </w:r>
      <w:r w:rsidR="00E01CE5"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 xml:space="preserve">formulation variability by combining filler, binder, disintegrant, and lubricant in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897FAC">
        <w:rPr>
          <w:rFonts w:ascii="Times New Roman" w:hAnsi="Times New Roman" w:cs="Times New Roman"/>
          <w:sz w:val="24"/>
          <w:szCs w:val="24"/>
          <w:lang w:val="en-US"/>
        </w:rPr>
        <w:t>proportions.</w:t>
      </w:r>
    </w:p>
    <w:p w14:paraId="7A102DF5" w14:textId="056E7752" w:rsidR="003879A0" w:rsidRPr="00536737" w:rsidRDefault="003879A0" w:rsidP="003879A0">
      <w:pPr>
        <w:spacing w:line="360" w:lineRule="auto"/>
        <w:jc w:val="both"/>
        <w:rPr>
          <w:rFonts w:ascii="Times New Roman" w:hAnsi="Times New Roman" w:cs="Times New Roman"/>
          <w:b/>
          <w:bCs/>
          <w:sz w:val="24"/>
          <w:szCs w:val="24"/>
          <w:lang w:val="en-US"/>
        </w:rPr>
      </w:pPr>
      <w:r w:rsidRPr="00536737">
        <w:rPr>
          <w:rFonts w:ascii="Times New Roman" w:hAnsi="Times New Roman" w:cs="Times New Roman"/>
          <w:b/>
          <w:bCs/>
          <w:sz w:val="24"/>
          <w:szCs w:val="24"/>
          <w:lang w:val="en-US"/>
        </w:rPr>
        <w:t>2.</w:t>
      </w:r>
      <w:r w:rsidR="00536737" w:rsidRPr="00536737">
        <w:rPr>
          <w:rFonts w:ascii="Times New Roman" w:hAnsi="Times New Roman" w:cs="Times New Roman"/>
          <w:b/>
          <w:bCs/>
          <w:sz w:val="24"/>
          <w:szCs w:val="24"/>
          <w:lang w:val="en-US"/>
        </w:rPr>
        <w:t>5</w:t>
      </w:r>
      <w:r w:rsidRPr="00536737">
        <w:rPr>
          <w:rFonts w:ascii="Times New Roman" w:hAnsi="Times New Roman" w:cs="Times New Roman"/>
          <w:b/>
          <w:bCs/>
          <w:sz w:val="24"/>
          <w:szCs w:val="24"/>
          <w:lang w:val="en-US"/>
        </w:rPr>
        <w:t xml:space="preserve"> Evaluation of Compressed Tablets</w:t>
      </w:r>
    </w:p>
    <w:p w14:paraId="59C00471"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Tablet Thickness</w:t>
      </w:r>
    </w:p>
    <w:p w14:paraId="18FA3666" w14:textId="13EC7BDF"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The thickness of three randomly selected tablets from each formulation was measured using a calibrated Vernier </w:t>
      </w:r>
      <w:r w:rsidR="00E01CE5" w:rsidRPr="00D83189">
        <w:rPr>
          <w:rFonts w:ascii="Times New Roman" w:hAnsi="Times New Roman" w:cs="Times New Roman"/>
          <w:sz w:val="24"/>
          <w:szCs w:val="24"/>
          <w:highlight w:val="yellow"/>
          <w:lang w:val="en-US"/>
        </w:rPr>
        <w:t>calliper</w:t>
      </w:r>
      <w:r w:rsidR="00E01CE5" w:rsidRPr="003879A0">
        <w:rPr>
          <w:rFonts w:ascii="Times New Roman" w:hAnsi="Times New Roman" w:cs="Times New Roman"/>
          <w:sz w:val="24"/>
          <w:szCs w:val="24"/>
          <w:lang w:val="en-US"/>
        </w:rPr>
        <w:t xml:space="preserve"> </w:t>
      </w:r>
      <w:r w:rsidRPr="003879A0">
        <w:rPr>
          <w:rFonts w:ascii="Times New Roman" w:hAnsi="Times New Roman" w:cs="Times New Roman"/>
          <w:sz w:val="24"/>
          <w:szCs w:val="24"/>
          <w:lang w:val="en-US"/>
        </w:rPr>
        <w:t>(Mitutoyo, Tokyo, Japan). Consistent thickness is essential to ensure uniform die filling and tablet weight, which in turn influences dose accuracy and mechanical strength.</w:t>
      </w:r>
    </w:p>
    <w:p w14:paraId="52059895"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Drug Content / Content Uniformity</w:t>
      </w:r>
    </w:p>
    <w:p w14:paraId="1FA28880" w14:textId="7258E3BD"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To assess uniformity, one tablet from each batch was dissolved in methanol in a 50 mL volumetric flask, sonicated for 30 min, filtered through a 0.45 µm membrane filter, and </w:t>
      </w:r>
      <w:r w:rsidR="00E01CE5" w:rsidRPr="00D83189">
        <w:rPr>
          <w:rFonts w:ascii="Times New Roman" w:hAnsi="Times New Roman" w:cs="Times New Roman"/>
          <w:sz w:val="24"/>
          <w:szCs w:val="24"/>
          <w:highlight w:val="yellow"/>
          <w:lang w:val="en-US"/>
        </w:rPr>
        <w:t>analysed</w:t>
      </w:r>
      <w:r w:rsidR="00E01CE5" w:rsidRPr="003879A0">
        <w:rPr>
          <w:rFonts w:ascii="Times New Roman" w:hAnsi="Times New Roman" w:cs="Times New Roman"/>
          <w:sz w:val="24"/>
          <w:szCs w:val="24"/>
          <w:lang w:val="en-US"/>
        </w:rPr>
        <w:t xml:space="preserve"> </w:t>
      </w:r>
      <w:r w:rsidRPr="003879A0">
        <w:rPr>
          <w:rFonts w:ascii="Times New Roman" w:hAnsi="Times New Roman" w:cs="Times New Roman"/>
          <w:sz w:val="24"/>
          <w:szCs w:val="24"/>
          <w:lang w:val="en-US"/>
        </w:rPr>
        <w:t>spectrophotometrically at 382 nm using a Shimadzu UV-1900I spectrophotometer. Uniformity of content guarantees accurate dosing and reflects the homogeneity of powder blends prior to compression.</w:t>
      </w:r>
    </w:p>
    <w:p w14:paraId="395B5AFC"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Friability Test</w:t>
      </w:r>
    </w:p>
    <w:p w14:paraId="20151958" w14:textId="1B2944B5"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Mechanical strength was assessed using a Roche friabilator, in which twenty pre-weighed tablets were rotated at 25 rpm for 4 min. Tablets were reweighed and friability calculated as </w:t>
      </w:r>
      <w:r w:rsidR="00E01CE5" w:rsidRPr="00D83189">
        <w:rPr>
          <w:rFonts w:ascii="Times New Roman" w:hAnsi="Times New Roman" w:cs="Times New Roman"/>
          <w:sz w:val="24"/>
          <w:szCs w:val="24"/>
          <w:highlight w:val="yellow"/>
          <w:lang w:val="en-US"/>
        </w:rPr>
        <w:t>the</w:t>
      </w:r>
      <w:r w:rsidR="00E01CE5">
        <w:rPr>
          <w:rFonts w:ascii="Times New Roman" w:hAnsi="Times New Roman" w:cs="Times New Roman"/>
          <w:sz w:val="24"/>
          <w:szCs w:val="24"/>
          <w:lang w:val="en-US"/>
        </w:rPr>
        <w:t xml:space="preserve"> </w:t>
      </w:r>
      <w:r w:rsidRPr="003879A0">
        <w:rPr>
          <w:rFonts w:ascii="Times New Roman" w:hAnsi="Times New Roman" w:cs="Times New Roman"/>
          <w:sz w:val="24"/>
          <w:szCs w:val="24"/>
          <w:lang w:val="en-US"/>
        </w:rPr>
        <w:t>percentage weight loss. A friability value below 1% is typically considered acceptable for uncoated tablets, as it indicates sufficient resistance to abrasion during handling, transport, and packaging.</w:t>
      </w:r>
    </w:p>
    <w:p w14:paraId="647A1B83"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Weight Variation</w:t>
      </w:r>
    </w:p>
    <w:p w14:paraId="77859952" w14:textId="1C2756BC"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Ten tablets were weighed individually, and the mean weight was calculated. Individual deviations from the mean were compared against pharmacopeial limits. Weight uniformity is a critical indicator of blend flowability and die filling consistency, ensuring dose reproducibility.</w:t>
      </w:r>
    </w:p>
    <w:p w14:paraId="5B57D300"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In Vitro Disintegration Time</w:t>
      </w:r>
    </w:p>
    <w:p w14:paraId="56F6D9AB" w14:textId="5725BFAC"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lastRenderedPageBreak/>
        <w:t xml:space="preserve">Disintegration time was measured in distilled water at 37 ± 0.5 °C using a USP disintegration tester (TDT-08L, Electrolab). Rapid disintegration is essential for immediate-release tablets, as it directly influences dissolution rate and subsequent drug absorption. </w:t>
      </w:r>
      <w:r w:rsidR="00E01CE5" w:rsidRPr="00D83189">
        <w:rPr>
          <w:rFonts w:ascii="Times New Roman" w:hAnsi="Times New Roman" w:cs="Times New Roman"/>
          <w:sz w:val="24"/>
          <w:szCs w:val="24"/>
          <w:highlight w:val="yellow"/>
          <w:lang w:val="en-US"/>
        </w:rPr>
        <w:t>Optimising</w:t>
      </w:r>
      <w:r w:rsidR="00E01CE5" w:rsidRPr="003879A0">
        <w:rPr>
          <w:rFonts w:ascii="Times New Roman" w:hAnsi="Times New Roman" w:cs="Times New Roman"/>
          <w:sz w:val="24"/>
          <w:szCs w:val="24"/>
          <w:lang w:val="en-US"/>
        </w:rPr>
        <w:t xml:space="preserve"> </w:t>
      </w:r>
      <w:r w:rsidRPr="003879A0">
        <w:rPr>
          <w:rFonts w:ascii="Times New Roman" w:hAnsi="Times New Roman" w:cs="Times New Roman"/>
          <w:sz w:val="24"/>
          <w:szCs w:val="24"/>
          <w:lang w:val="en-US"/>
        </w:rPr>
        <w:t>disintegration is especially important for poorly soluble drugs like Lornoxicam, where faster breakup into fine particles enhances surface area for dissolution.</w:t>
      </w:r>
    </w:p>
    <w:p w14:paraId="57095002" w14:textId="27407DF0"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In Vitro Dissolution Studies</w:t>
      </w:r>
    </w:p>
    <w:p w14:paraId="665FCDE7" w14:textId="5E37069E" w:rsidR="00536737" w:rsidRDefault="003879A0" w:rsidP="003879A0">
      <w:pPr>
        <w:spacing w:line="360" w:lineRule="auto"/>
        <w:jc w:val="both"/>
      </w:pPr>
      <w:r w:rsidRPr="003879A0">
        <w:rPr>
          <w:rFonts w:ascii="Times New Roman" w:hAnsi="Times New Roman" w:cs="Times New Roman"/>
          <w:sz w:val="24"/>
          <w:szCs w:val="24"/>
          <w:lang w:val="en-US"/>
        </w:rPr>
        <w:t xml:space="preserve">Dissolution testing was performed in 900 mL of phosphate buffer (pH 6.8) at 37 ± 0.5 °C, using a USP type-II (paddle) apparatus at 75 rpm. Aliquots were withdrawn at predetermined intervals (0–60 min), filtered, and </w:t>
      </w:r>
      <w:r w:rsidR="00E01CE5" w:rsidRPr="00D83189">
        <w:rPr>
          <w:rFonts w:ascii="Times New Roman" w:hAnsi="Times New Roman" w:cs="Times New Roman"/>
          <w:sz w:val="24"/>
          <w:szCs w:val="24"/>
          <w:highlight w:val="yellow"/>
          <w:lang w:val="en-US"/>
        </w:rPr>
        <w:t>analysed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 xml:space="preserve">at 382 nm, with </w:t>
      </w:r>
      <w:r w:rsidR="00E01CE5" w:rsidRPr="00D83189">
        <w:rPr>
          <w:rFonts w:ascii="Times New Roman" w:hAnsi="Times New Roman" w:cs="Times New Roman"/>
          <w:sz w:val="24"/>
          <w:szCs w:val="24"/>
          <w:highlight w:val="yellow"/>
          <w:lang w:val="en-US"/>
        </w:rPr>
        <w:t xml:space="preserve">an </w:t>
      </w:r>
      <w:r w:rsidRPr="003879A0">
        <w:rPr>
          <w:rFonts w:ascii="Times New Roman" w:hAnsi="Times New Roman" w:cs="Times New Roman"/>
          <w:sz w:val="24"/>
          <w:szCs w:val="24"/>
          <w:lang w:val="en-US"/>
        </w:rPr>
        <w:t>equal volume of fresh medium replaced each time. Dissolution serves as the most critical predictor of in vivo performance for Biopharmaceutics Classification System (BCS) Class II drugs, where solubility is the rate-limiting step. For solid dispersion-based formulations, dissolution studies not only confirm enhanced solubility but also validate the stability of the amorphous drug form in physiological conditions.</w:t>
      </w:r>
      <w:r w:rsidRPr="003879A0">
        <w:t xml:space="preserve"> </w:t>
      </w:r>
    </w:p>
    <w:p w14:paraId="75ADA0D6" w14:textId="5B907DCE"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In Vivo Pharmacokinetic Study</w:t>
      </w:r>
    </w:p>
    <w:p w14:paraId="2029DB6C" w14:textId="7A81A33A"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A pharmacokinetic comparison of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 xml:space="preserve">Lornoxicam immediate-release formulation (F1) with a marketed tablet (Lorsaid SP®, 8 mg) was performed in compliance with CPCSEA guidelines and approved by the Institutional Animal Ethics Committee of R. C. Patel Institute of Pharmaceutical Education and Research, Shirpur, India (Reg. No. 651/PO/ReBi/S/02/CPCSEA; Protocol No. RCPIPER/IAEC/2020-21/18). Ethical measures were strictly followed to </w:t>
      </w:r>
      <w:r w:rsidR="00E01CE5" w:rsidRPr="00D83189">
        <w:rPr>
          <w:rFonts w:ascii="Times New Roman" w:hAnsi="Times New Roman" w:cs="Times New Roman"/>
          <w:sz w:val="24"/>
          <w:szCs w:val="24"/>
          <w:highlight w:val="yellow"/>
          <w:lang w:val="en-US"/>
        </w:rPr>
        <w:t>minimise</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animal suffering and use.</w:t>
      </w:r>
    </w:p>
    <w:p w14:paraId="00D377A2" w14:textId="77777777"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Animal Handling and Dosing</w:t>
      </w:r>
    </w:p>
    <w:p w14:paraId="0350E024" w14:textId="2D197CA2"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Adult Wistar rats (220–250 g, 10–15 weeks old) were maintained under controlled environmental conditions (25 ± 2 °C, 12-h light/dark cycle, 55 ± 5% RH) with free access to food and water. Animals were fasted overnight prior to dosing and </w:t>
      </w:r>
      <w:r w:rsidR="00E01CE5" w:rsidRPr="00D83189">
        <w:rPr>
          <w:rFonts w:ascii="Times New Roman" w:hAnsi="Times New Roman" w:cs="Times New Roman"/>
          <w:sz w:val="24"/>
          <w:szCs w:val="24"/>
          <w:highlight w:val="yellow"/>
          <w:lang w:val="en-US"/>
        </w:rPr>
        <w:t>randomised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 xml:space="preserve">into two groups (n = 3 each): Group I received the marketed formulation (8 mg/kg), while Group II received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F1 tablets (8 mg/kg).</w:t>
      </w:r>
    </w:p>
    <w:p w14:paraId="50B36FA3" w14:textId="77777777"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Sample Collection and Analysis</w:t>
      </w:r>
    </w:p>
    <w:p w14:paraId="27F5E862" w14:textId="4F20DD5C"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Blood samples (0.5 mL) were withdrawn via retro-orbital puncture at 0.5–24 h post-dose and collected in </w:t>
      </w:r>
      <w:r w:rsidR="00E01CE5" w:rsidRPr="00D83189">
        <w:rPr>
          <w:rFonts w:ascii="Times New Roman" w:hAnsi="Times New Roman" w:cs="Times New Roman"/>
          <w:sz w:val="24"/>
          <w:szCs w:val="24"/>
          <w:highlight w:val="yellow"/>
          <w:lang w:val="en-US"/>
        </w:rPr>
        <w:t>heparinised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 xml:space="preserve">tubes. Plasma was isolated by centrifugation (4000 rpm, 5 min), </w:t>
      </w:r>
      <w:r w:rsidRPr="003879A0">
        <w:rPr>
          <w:rFonts w:ascii="Times New Roman" w:hAnsi="Times New Roman" w:cs="Times New Roman"/>
          <w:sz w:val="24"/>
          <w:szCs w:val="24"/>
          <w:lang w:val="en-US"/>
        </w:rPr>
        <w:lastRenderedPageBreak/>
        <w:t xml:space="preserve">deproteinized with acetonitrile (1:3 v/v), and </w:t>
      </w:r>
      <w:r w:rsidR="00E01CE5" w:rsidRPr="00D83189">
        <w:rPr>
          <w:rFonts w:ascii="Times New Roman" w:hAnsi="Times New Roman" w:cs="Times New Roman"/>
          <w:sz w:val="24"/>
          <w:szCs w:val="24"/>
          <w:highlight w:val="yellow"/>
          <w:lang w:val="en-US"/>
        </w:rPr>
        <w:t>analysed</w:t>
      </w:r>
      <w:r w:rsidR="00E01CE5"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 xml:space="preserve">by a validated RP-HPLC method. Chromatographic separation was achieved on a C18 column (250 × 4.6 mm, 5 µm) using </w:t>
      </w:r>
      <w:r w:rsidR="009D609A" w:rsidRPr="003879A0">
        <w:rPr>
          <w:rFonts w:ascii="Times New Roman" w:hAnsi="Times New Roman" w:cs="Times New Roman"/>
          <w:sz w:val="24"/>
          <w:szCs w:val="24"/>
          <w:lang w:val="en-US"/>
        </w:rPr>
        <w:t>acetonitrile: water</w:t>
      </w:r>
      <w:r w:rsidRPr="003879A0">
        <w:rPr>
          <w:rFonts w:ascii="Times New Roman" w:hAnsi="Times New Roman" w:cs="Times New Roman"/>
          <w:sz w:val="24"/>
          <w:szCs w:val="24"/>
          <w:lang w:val="en-US"/>
        </w:rPr>
        <w:t xml:space="preserve"> (70:30 v/v, pH 2.5 with acetic acid) at 1 mL/min. Detection was performed at 382 nm with a </w:t>
      </w:r>
      <w:r w:rsidR="00E01CE5" w:rsidRPr="00D83189">
        <w:rPr>
          <w:rFonts w:ascii="Times New Roman" w:hAnsi="Times New Roman" w:cs="Times New Roman"/>
          <w:sz w:val="24"/>
          <w:szCs w:val="24"/>
          <w:highlight w:val="yellow"/>
          <w:lang w:val="en-US"/>
        </w:rPr>
        <w:t>10-minute</w:t>
      </w:r>
      <w:r w:rsidRPr="00D83189">
        <w:rPr>
          <w:rFonts w:ascii="Times New Roman" w:hAnsi="Times New Roman" w:cs="Times New Roman"/>
          <w:sz w:val="24"/>
          <w:szCs w:val="24"/>
          <w:highlight w:val="yellow"/>
          <w:lang w:val="en-US"/>
        </w:rPr>
        <w:t xml:space="preserve"> </w:t>
      </w:r>
      <w:r w:rsidRPr="003879A0">
        <w:rPr>
          <w:rFonts w:ascii="Times New Roman" w:hAnsi="Times New Roman" w:cs="Times New Roman"/>
          <w:sz w:val="24"/>
          <w:szCs w:val="24"/>
          <w:lang w:val="en-US"/>
        </w:rPr>
        <w:t>runtime. Pharmacokinetic parameters (Cmax, Tmax, AUC, t½) were calculated by non-compartmental analysis using PKSolver.</w:t>
      </w:r>
    </w:p>
    <w:p w14:paraId="0AC7BC27" w14:textId="46D00256" w:rsidR="003879A0" w:rsidRPr="003879A0" w:rsidRDefault="003879A0" w:rsidP="003879A0">
      <w:pPr>
        <w:spacing w:line="360" w:lineRule="auto"/>
        <w:jc w:val="both"/>
        <w:rPr>
          <w:rFonts w:ascii="Times New Roman" w:hAnsi="Times New Roman" w:cs="Times New Roman"/>
          <w:b/>
          <w:bCs/>
          <w:sz w:val="24"/>
          <w:szCs w:val="24"/>
          <w:lang w:val="en-US"/>
        </w:rPr>
      </w:pPr>
      <w:r w:rsidRPr="003879A0">
        <w:rPr>
          <w:rFonts w:ascii="Times New Roman" w:hAnsi="Times New Roman" w:cs="Times New Roman"/>
          <w:b/>
          <w:bCs/>
          <w:sz w:val="24"/>
          <w:szCs w:val="24"/>
          <w:lang w:val="en-US"/>
        </w:rPr>
        <w:t>2.6 Stability Study</w:t>
      </w:r>
    </w:p>
    <w:p w14:paraId="2B7009E2" w14:textId="23A6E502" w:rsid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The </w:t>
      </w:r>
      <w:r w:rsidR="00E01CE5" w:rsidRPr="00D83189">
        <w:rPr>
          <w:rFonts w:ascii="Times New Roman" w:hAnsi="Times New Roman" w:cs="Times New Roman"/>
          <w:sz w:val="24"/>
          <w:szCs w:val="24"/>
          <w:highlight w:val="yellow"/>
          <w:lang w:val="en-US"/>
        </w:rPr>
        <w:t>optimised</w:t>
      </w:r>
      <w:r w:rsidR="00E01CE5" w:rsidRPr="003879A0">
        <w:rPr>
          <w:rFonts w:ascii="Times New Roman" w:hAnsi="Times New Roman" w:cs="Times New Roman"/>
          <w:sz w:val="24"/>
          <w:szCs w:val="24"/>
          <w:lang w:val="en-US"/>
        </w:rPr>
        <w:t xml:space="preserve"> </w:t>
      </w:r>
      <w:r w:rsidRPr="003879A0">
        <w:rPr>
          <w:rFonts w:ascii="Times New Roman" w:hAnsi="Times New Roman" w:cs="Times New Roman"/>
          <w:sz w:val="24"/>
          <w:szCs w:val="24"/>
          <w:lang w:val="en-US"/>
        </w:rPr>
        <w:t>formulation (F1) was subjected to accelerated stability testing under ICH Q1A (R2) conditions (40 ± 2 °C, 75 ± 5% RH) for one month. Tablets stored in amber glass vials were evaluated at 30 days for assay, disintegration time, and dissolution performance. Such testing is essential to confirm that formulation stability and release characteristics are retained during storage.</w:t>
      </w:r>
    </w:p>
    <w:p w14:paraId="12E9CAB2" w14:textId="596BD922" w:rsidR="004F0212" w:rsidRDefault="004F0212" w:rsidP="003879A0">
      <w:pPr>
        <w:spacing w:line="360" w:lineRule="auto"/>
        <w:jc w:val="both"/>
        <w:rPr>
          <w:rFonts w:ascii="Times New Roman" w:hAnsi="Times New Roman" w:cs="Times New Roman"/>
          <w:sz w:val="24"/>
          <w:szCs w:val="24"/>
          <w:lang w:val="en-US"/>
        </w:rPr>
      </w:pPr>
    </w:p>
    <w:p w14:paraId="53A26F2B" w14:textId="7F9EFC61"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334B6A">
        <w:rPr>
          <w:rFonts w:ascii="Times New Roman" w:hAnsi="Times New Roman" w:cs="Times New Roman"/>
          <w:b/>
          <w:bCs/>
          <w:sz w:val="24"/>
          <w:szCs w:val="24"/>
          <w:lang w:val="en-US"/>
        </w:rPr>
        <w:t>. RESULTS AND DISCUSSION</w:t>
      </w:r>
    </w:p>
    <w:p w14:paraId="3787F1FA" w14:textId="43045193"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334B6A">
        <w:rPr>
          <w:rFonts w:ascii="Times New Roman" w:hAnsi="Times New Roman" w:cs="Times New Roman"/>
          <w:b/>
          <w:bCs/>
          <w:sz w:val="24"/>
          <w:szCs w:val="24"/>
          <w:lang w:val="en-US"/>
        </w:rPr>
        <w:t>.1 Selection of Carriers and Alkalizers</w:t>
      </w:r>
    </w:p>
    <w:p w14:paraId="396F5425" w14:textId="6CC02B5F"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solubility screening of Lornoxicam (LORX) with different alkalizers revealed substantial variations in its solubilization profile. Among the tested alkalizers, Sodium Bicarbonate demonstrated the highest solubility of 4.31 mg/ml, significantly outperforming Calcium Carbonate (1.6 mg/ml), Potassium Carbonate (1.56 mg/ml), and Disodium Hydrogen Phosphate (1.34 mg/ml). The superior performance of Sodium Bicarbonate may be attributed to its ability to strongly elevate the local microenvironmental pH, thereby reducing the weakly acidic drug’s </w:t>
      </w:r>
      <w:r w:rsidR="00E01CE5" w:rsidRPr="00D83189">
        <w:rPr>
          <w:rFonts w:ascii="Times New Roman" w:hAnsi="Times New Roman" w:cs="Times New Roman"/>
          <w:sz w:val="24"/>
          <w:szCs w:val="24"/>
          <w:highlight w:val="yellow"/>
          <w:lang w:val="en-US"/>
        </w:rPr>
        <w:t>ionisation</w:t>
      </w:r>
      <w:r w:rsidR="00E01CE5" w:rsidRPr="00334B6A">
        <w:rPr>
          <w:rFonts w:ascii="Times New Roman" w:hAnsi="Times New Roman" w:cs="Times New Roman"/>
          <w:sz w:val="24"/>
          <w:szCs w:val="24"/>
          <w:lang w:val="en-US"/>
        </w:rPr>
        <w:t xml:space="preserve"> </w:t>
      </w:r>
      <w:r w:rsidRPr="00334B6A">
        <w:rPr>
          <w:rFonts w:ascii="Times New Roman" w:hAnsi="Times New Roman" w:cs="Times New Roman"/>
          <w:sz w:val="24"/>
          <w:szCs w:val="24"/>
          <w:lang w:val="en-US"/>
        </w:rPr>
        <w:t xml:space="preserve">barrier and promoting dissolution. This is particularly important for LORX, a Biopharmaceutics Classification System (BCS) Class II drug </w:t>
      </w:r>
      <w:r w:rsidR="00E01CE5" w:rsidRPr="00D83189">
        <w:rPr>
          <w:rFonts w:ascii="Times New Roman" w:hAnsi="Times New Roman" w:cs="Times New Roman"/>
          <w:sz w:val="24"/>
          <w:szCs w:val="24"/>
          <w:highlight w:val="yellow"/>
          <w:lang w:val="en-US"/>
        </w:rPr>
        <w:t>characterised</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by poor aqueous solubility and dissolution-limited absorption.</w:t>
      </w:r>
    </w:p>
    <w:p w14:paraId="216ABE3E" w14:textId="53AA6EDA"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These findings are consistent with prior reports</w:t>
      </w:r>
      <w:r w:rsidR="00556019" w:rsidRPr="00556019">
        <w:rPr>
          <w:rFonts w:ascii="Times New Roman" w:hAnsi="Times New Roman" w:cs="Times New Roman"/>
          <w:sz w:val="24"/>
          <w:szCs w:val="24"/>
          <w:vertAlign w:val="superscript"/>
          <w:lang w:val="en-US"/>
        </w:rPr>
        <w:t>14</w:t>
      </w:r>
      <w:r w:rsidRPr="00334B6A">
        <w:rPr>
          <w:rFonts w:ascii="Times New Roman" w:hAnsi="Times New Roman" w:cs="Times New Roman"/>
          <w:sz w:val="24"/>
          <w:szCs w:val="24"/>
          <w:lang w:val="en-US"/>
        </w:rPr>
        <w:t xml:space="preserve">. demonstrated that bicarbonate salts create a dynamic pH-buffered microenvironment around poorly soluble drugs, enhancing their </w:t>
      </w:r>
      <w:r w:rsidR="00E01CE5" w:rsidRPr="00D83189">
        <w:rPr>
          <w:rFonts w:ascii="Times New Roman" w:hAnsi="Times New Roman" w:cs="Times New Roman"/>
          <w:sz w:val="24"/>
          <w:szCs w:val="24"/>
          <w:highlight w:val="yellow"/>
          <w:lang w:val="en-US"/>
        </w:rPr>
        <w:t>ionisation</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and solubility. Similarly,</w:t>
      </w:r>
      <w:r w:rsidR="00DF0034" w:rsidRPr="00DF0034">
        <w:rPr>
          <w:rFonts w:ascii="Times New Roman" w:hAnsi="Times New Roman" w:cs="Times New Roman"/>
          <w:sz w:val="24"/>
          <w:szCs w:val="24"/>
          <w:vertAlign w:val="superscript"/>
          <w:lang w:val="en-US"/>
        </w:rPr>
        <w:t>15</w:t>
      </w:r>
      <w:r w:rsidRPr="00334B6A">
        <w:rPr>
          <w:rFonts w:ascii="Times New Roman" w:hAnsi="Times New Roman" w:cs="Times New Roman"/>
          <w:sz w:val="24"/>
          <w:szCs w:val="24"/>
          <w:lang w:val="en-US"/>
        </w:rPr>
        <w:t xml:space="preserve"> reported that sodium bicarbonate improved dissolution of poorly soluble NSAIDs by mitigating pH-dependent solubility limitations. In contrast, phosphate salts have been more effective for basic compounds, highlighting the importance of drug–alkalizer specificity. Hence, Sodium Bicarbonate was selected as the preferred alkalizer in this study, offering a strong rationale for its use in pH-modulated amorphous solid dispersion (</w:t>
      </w:r>
      <w:r w:rsidR="0086179C">
        <w:rPr>
          <w:rFonts w:ascii="Times New Roman" w:hAnsi="Times New Roman" w:cs="Times New Roman"/>
          <w:sz w:val="24"/>
          <w:szCs w:val="24"/>
          <w:lang w:val="en-US"/>
        </w:rPr>
        <w:t>APi</w:t>
      </w:r>
      <w:r w:rsidRPr="00334B6A">
        <w:rPr>
          <w:rFonts w:ascii="Times New Roman" w:hAnsi="Times New Roman" w:cs="Times New Roman"/>
          <w:sz w:val="24"/>
          <w:szCs w:val="24"/>
          <w:lang w:val="en-US"/>
        </w:rPr>
        <w:t>) systems to improve LORX solubility and oral bioavailability.</w:t>
      </w:r>
    </w:p>
    <w:p w14:paraId="07AD0DCF" w14:textId="4C6B7EDB"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00334B6A" w:rsidRPr="00334B6A">
        <w:rPr>
          <w:rFonts w:ascii="Times New Roman" w:hAnsi="Times New Roman" w:cs="Times New Roman"/>
          <w:b/>
          <w:bCs/>
          <w:sz w:val="24"/>
          <w:szCs w:val="24"/>
          <w:lang w:val="en-US"/>
        </w:rPr>
        <w:t xml:space="preserve">.2 </w:t>
      </w:r>
      <w:r w:rsidR="00E01CE5" w:rsidRPr="00D83189">
        <w:rPr>
          <w:rFonts w:ascii="Times New Roman" w:hAnsi="Times New Roman" w:cs="Times New Roman"/>
          <w:b/>
          <w:bCs/>
          <w:sz w:val="24"/>
          <w:szCs w:val="24"/>
          <w:highlight w:val="yellow"/>
          <w:lang w:val="en-US"/>
        </w:rPr>
        <w:t>Optimisation</w:t>
      </w:r>
      <w:r w:rsidR="00E01CE5" w:rsidRPr="00D83189">
        <w:rPr>
          <w:rFonts w:ascii="Times New Roman" w:hAnsi="Times New Roman" w:cs="Times New Roman"/>
          <w:b/>
          <w:bCs/>
          <w:sz w:val="24"/>
          <w:szCs w:val="24"/>
          <w:highlight w:val="yellow"/>
          <w:lang w:val="en-US"/>
        </w:rPr>
        <w:t xml:space="preserve"> </w:t>
      </w:r>
      <w:r w:rsidR="00334B6A" w:rsidRPr="00334B6A">
        <w:rPr>
          <w:rFonts w:ascii="Times New Roman" w:hAnsi="Times New Roman" w:cs="Times New Roman"/>
          <w:b/>
          <w:bCs/>
          <w:sz w:val="24"/>
          <w:szCs w:val="24"/>
          <w:lang w:val="en-US"/>
        </w:rPr>
        <w:t>through Response Surface Methodology (RSM)</w:t>
      </w:r>
    </w:p>
    <w:p w14:paraId="7169A731" w14:textId="4904A51E"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development of LORX </w:t>
      </w:r>
      <w:r w:rsidR="00E01CE5" w:rsidRPr="00D83189">
        <w:rPr>
          <w:rFonts w:ascii="Times New Roman" w:hAnsi="Times New Roman" w:cs="Times New Roman"/>
          <w:sz w:val="24"/>
          <w:szCs w:val="24"/>
          <w:highlight w:val="yellow"/>
          <w:lang w:val="en-US"/>
        </w:rPr>
        <w:t>pH-modulated</w:t>
      </w:r>
      <w:r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 xml:space="preserve">ASDs was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using a Central Composite Design (CCD) under Response Surface Methodology (RSM). Experimental results demonstrated variations in saturation solubility (1.12–1.89 mg/ml) and drug content (81.43–93.89%) across the formulations. Among all the prepared batches, formulation F7 exhibited superior performance with the highest saturation solubility (1.73 mg/ml) and maximum drug content (93.89%). These outcomes indicate that the optimal combination of carrier (Soluplus) and alkalizer (Sodium Bicarbonate) concentrations significantly contributes to enhancing solubility and incorporation of LORX into the polymer matrix.</w:t>
      </w:r>
    </w:p>
    <w:p w14:paraId="1B9D90AA" w14:textId="60B4CC90"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These findings align with </w:t>
      </w:r>
      <w:r w:rsidR="004C211D" w:rsidRPr="004C211D">
        <w:rPr>
          <w:rFonts w:ascii="Times New Roman" w:hAnsi="Times New Roman" w:cs="Times New Roman"/>
          <w:sz w:val="24"/>
          <w:szCs w:val="24"/>
          <w:vertAlign w:val="superscript"/>
          <w:lang w:val="en-US"/>
        </w:rPr>
        <w:t>16</w:t>
      </w:r>
      <w:r w:rsidRPr="00334B6A">
        <w:rPr>
          <w:rFonts w:ascii="Times New Roman" w:hAnsi="Times New Roman" w:cs="Times New Roman"/>
          <w:sz w:val="24"/>
          <w:szCs w:val="24"/>
          <w:lang w:val="en-US"/>
        </w:rPr>
        <w:t xml:space="preserve">, who demonstrated that </w:t>
      </w:r>
      <w:r w:rsidR="00E01CE5" w:rsidRPr="00D83189">
        <w:rPr>
          <w:rFonts w:ascii="Times New Roman" w:hAnsi="Times New Roman" w:cs="Times New Roman"/>
          <w:sz w:val="24"/>
          <w:szCs w:val="24"/>
          <w:highlight w:val="yellow"/>
          <w:lang w:val="en-US"/>
        </w:rPr>
        <w:t>optimising</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 xml:space="preserve">polymer concentration and alkalizer levels via CCD improved solubility for poorly soluble drugs. The results also suggest that both components act synergistically: Soluplus disperses LORX in an amorphous form while Sodium Bicarbonate </w:t>
      </w:r>
      <w:r w:rsidR="00E01CE5" w:rsidRPr="00D83189">
        <w:rPr>
          <w:rFonts w:ascii="Times New Roman" w:hAnsi="Times New Roman" w:cs="Times New Roman"/>
          <w:sz w:val="24"/>
          <w:szCs w:val="24"/>
          <w:highlight w:val="yellow"/>
          <w:lang w:val="en-US"/>
        </w:rPr>
        <w:t>stabilises</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its dissolution environment. Thus, F7 was selected for further detailed evaluation.</w:t>
      </w:r>
    </w:p>
    <w:p w14:paraId="174E99F3" w14:textId="1318A401"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334B6A">
        <w:rPr>
          <w:rFonts w:ascii="Times New Roman" w:hAnsi="Times New Roman" w:cs="Times New Roman"/>
          <w:b/>
          <w:bCs/>
          <w:sz w:val="24"/>
          <w:szCs w:val="24"/>
          <w:lang w:val="en-US"/>
        </w:rPr>
        <w:t xml:space="preserve">.3 </w:t>
      </w:r>
      <w:r w:rsidR="00E01CE5" w:rsidRPr="00D83189">
        <w:rPr>
          <w:rFonts w:ascii="Times New Roman" w:hAnsi="Times New Roman" w:cs="Times New Roman"/>
          <w:b/>
          <w:bCs/>
          <w:sz w:val="24"/>
          <w:szCs w:val="24"/>
          <w:highlight w:val="yellow"/>
          <w:lang w:val="en-US"/>
        </w:rPr>
        <w:t>Optimisation</w:t>
      </w:r>
      <w:r w:rsidR="00334B6A" w:rsidRPr="00334B6A">
        <w:rPr>
          <w:rFonts w:ascii="Times New Roman" w:hAnsi="Times New Roman" w:cs="Times New Roman"/>
          <w:b/>
          <w:bCs/>
          <w:sz w:val="24"/>
          <w:szCs w:val="24"/>
          <w:lang w:val="en-US"/>
        </w:rPr>
        <w:t>, Data Analysis, and Model Validation</w:t>
      </w:r>
    </w:p>
    <w:p w14:paraId="44A37DA0" w14:textId="11A056DC" w:rsidR="00334B6A" w:rsidRPr="00334B6A" w:rsidRDefault="00DD28D0" w:rsidP="00334B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334B6A" w:rsidRPr="00334B6A">
        <w:rPr>
          <w:rFonts w:ascii="Times New Roman" w:hAnsi="Times New Roman" w:cs="Times New Roman"/>
          <w:sz w:val="24"/>
          <w:szCs w:val="24"/>
          <w:lang w:val="en-US"/>
        </w:rPr>
        <w:t>.3.1 Fitting of Data to the Model</w:t>
      </w:r>
    </w:p>
    <w:p w14:paraId="495CA379" w14:textId="33587F39"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experimental data for saturation solubility (Y1) and drug content (Y2) across 13 formulations were </w:t>
      </w:r>
      <w:r w:rsidR="00E01CE5" w:rsidRPr="00D83189">
        <w:rPr>
          <w:rFonts w:ascii="Times New Roman" w:hAnsi="Times New Roman" w:cs="Times New Roman"/>
          <w:sz w:val="24"/>
          <w:szCs w:val="24"/>
          <w:highlight w:val="yellow"/>
          <w:lang w:val="en-US"/>
        </w:rPr>
        <w:t>analysed</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using Design-Expert® 13.0. A linear model initially provided a good fit; however, the quadratic model was ultimately selected as it better explained the interactive effects of independent variables: Soluplus concentration (X1: 40–200 mg) and Sodium Bicarbonate concentration (X2: 15–30 mg).</w:t>
      </w:r>
    </w:p>
    <w:p w14:paraId="2812612F" w14:textId="662FB57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regression equations obtained were:</w:t>
      </w:r>
    </w:p>
    <w:p w14:paraId="6426FF72" w14:textId="78DE434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Saturation Solubility (Y1): Y1 = 1.38231 – 0.63500 × X1 – 8.80000 × X2</w:t>
      </w:r>
    </w:p>
    <w:p w14:paraId="191A2232" w14:textId="2EE4A864"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Drug Content (Y2): Y2 = 89.39692 – 3.70352 × X1 – 42.67789 × X2</w:t>
      </w:r>
    </w:p>
    <w:p w14:paraId="50AD553F" w14:textId="788D559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high coefficient of determination (R² = 0.9873 for Y1 and 0.8083 for Y2) and adjusted R² values (0.9783 for Y1, 0.7445 for Y2) confirmed the models’ predictive reliability. The models were statistically significant with P-values &lt;0.05 (0.0225 for Y1 and 0.0068 for Y2). Furthermore, ANOVA results (F-values of 9.51 for Y1 and 18.10 for Y2) validated the contribution of both independent variables to the responses. Precision indicators such as </w:t>
      </w:r>
      <w:r w:rsidRPr="00334B6A">
        <w:rPr>
          <w:rFonts w:ascii="Times New Roman" w:hAnsi="Times New Roman" w:cs="Times New Roman"/>
          <w:sz w:val="24"/>
          <w:szCs w:val="24"/>
          <w:lang w:val="en-US"/>
        </w:rPr>
        <w:lastRenderedPageBreak/>
        <w:t>standard deviation (0.0321 for Y1 and 1.96 for Y2) and coefficient of variance (0.66% for Y1 and 0.58% for Y2) confirmed experimental reproducibility.</w:t>
      </w:r>
    </w:p>
    <w:p w14:paraId="7F1E6D52" w14:textId="05937C52"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These outcomes are consistent with </w:t>
      </w:r>
      <w:r w:rsidR="004F7C31" w:rsidRPr="00C57B8B">
        <w:rPr>
          <w:rFonts w:ascii="Times New Roman" w:hAnsi="Times New Roman" w:cs="Times New Roman"/>
          <w:sz w:val="24"/>
          <w:szCs w:val="24"/>
          <w:vertAlign w:val="superscript"/>
          <w:lang w:val="en-US"/>
        </w:rPr>
        <w:t>1</w:t>
      </w:r>
      <w:r w:rsidR="00C57B8B" w:rsidRPr="00C57B8B">
        <w:rPr>
          <w:rFonts w:ascii="Times New Roman" w:hAnsi="Times New Roman" w:cs="Times New Roman"/>
          <w:sz w:val="24"/>
          <w:szCs w:val="24"/>
          <w:vertAlign w:val="superscript"/>
          <w:lang w:val="en-US"/>
        </w:rPr>
        <w:t>7</w:t>
      </w:r>
      <w:r w:rsidRPr="00334B6A">
        <w:rPr>
          <w:rFonts w:ascii="Times New Roman" w:hAnsi="Times New Roman" w:cs="Times New Roman"/>
          <w:sz w:val="24"/>
          <w:szCs w:val="24"/>
          <w:lang w:val="en-US"/>
        </w:rPr>
        <w:t xml:space="preserve">, who </w:t>
      </w:r>
      <w:r w:rsidR="00E01CE5" w:rsidRPr="00D83189">
        <w:rPr>
          <w:rFonts w:ascii="Times New Roman" w:hAnsi="Times New Roman" w:cs="Times New Roman"/>
          <w:sz w:val="24"/>
          <w:szCs w:val="24"/>
          <w:highlight w:val="yellow"/>
          <w:lang w:val="en-US"/>
        </w:rPr>
        <w:t>emphasised</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 xml:space="preserve">the relevance of quadratic models in predicting solubility </w:t>
      </w:r>
      <w:r w:rsidR="00E01CE5" w:rsidRPr="00D83189">
        <w:rPr>
          <w:rFonts w:ascii="Times New Roman" w:hAnsi="Times New Roman" w:cs="Times New Roman"/>
          <w:sz w:val="24"/>
          <w:szCs w:val="24"/>
          <w:highlight w:val="yellow"/>
          <w:lang w:val="en-US"/>
        </w:rPr>
        <w:t>optimisation</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for ASD systems. Collectively, the results support that both polymer and alkalizer concentrations significantly influence drug solubility and loading.</w:t>
      </w:r>
    </w:p>
    <w:p w14:paraId="4C7DFD0E" w14:textId="6DD9F6B6"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.4 Effect of Soluplus and Sodium Bicarbonate on Solubility and Drug Content</w:t>
      </w:r>
    </w:p>
    <w:p w14:paraId="7D6A02D4" w14:textId="231346AF" w:rsidR="00334B6A" w:rsidRPr="00334B6A" w:rsidRDefault="00DD28D0" w:rsidP="00334B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334B6A" w:rsidRPr="00334B6A">
        <w:rPr>
          <w:rFonts w:ascii="Times New Roman" w:hAnsi="Times New Roman" w:cs="Times New Roman"/>
          <w:sz w:val="24"/>
          <w:szCs w:val="24"/>
          <w:lang w:val="en-US"/>
        </w:rPr>
        <w:t>.4.1 Response Surface Plots Analysis</w:t>
      </w:r>
    </w:p>
    <w:p w14:paraId="55B76245" w14:textId="455E928D"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response surface plots (Figure 1) generated in Design Expert® illustrate the combined effects of Soluplus (X1) and Sodium Bicarbonate (X2) on saturation solubility (Y1) and drug content (Y2). The three-dimensional (3D) plots demonstrated a clear trend of increasing solubility and drug content with rising levels of both independent variables.</w:t>
      </w:r>
    </w:p>
    <w:p w14:paraId="338A8703" w14:textId="6FDAA9D4"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For solubility (Figure 1A, B), F7 containing 200 mg Soluplus and 30 mg Sodium Bicarbonate demonstrated maximum saturation solubility (1.73 mg/ml). This improvement is attributed to the amphiphilic property of Soluplus, which enhances drug wettability and dispersion, and Sodium Bicarbonate, which creates a </w:t>
      </w:r>
      <w:r w:rsidR="00E01CE5" w:rsidRPr="00D83189">
        <w:rPr>
          <w:rFonts w:ascii="Times New Roman" w:hAnsi="Times New Roman" w:cs="Times New Roman"/>
          <w:sz w:val="24"/>
          <w:szCs w:val="24"/>
          <w:highlight w:val="yellow"/>
          <w:lang w:val="en-US"/>
        </w:rPr>
        <w:t>favourable</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 xml:space="preserve">pH microenvironment. Similar effects were noted in the work of </w:t>
      </w:r>
      <w:r w:rsidR="006842E8" w:rsidRPr="006842E8">
        <w:rPr>
          <w:rFonts w:ascii="Times New Roman" w:hAnsi="Times New Roman" w:cs="Times New Roman"/>
          <w:sz w:val="24"/>
          <w:szCs w:val="24"/>
          <w:vertAlign w:val="superscript"/>
          <w:lang w:val="en-US"/>
        </w:rPr>
        <w:t>18</w:t>
      </w:r>
      <w:r w:rsidRPr="00334B6A">
        <w:rPr>
          <w:rFonts w:ascii="Times New Roman" w:hAnsi="Times New Roman" w:cs="Times New Roman"/>
          <w:sz w:val="24"/>
          <w:szCs w:val="24"/>
          <w:lang w:val="en-US"/>
        </w:rPr>
        <w:t xml:space="preserve">, where Soluplus improved drug </w:t>
      </w:r>
      <w:r w:rsidR="00E01CE5" w:rsidRPr="00D83189">
        <w:rPr>
          <w:rFonts w:ascii="Times New Roman" w:hAnsi="Times New Roman" w:cs="Times New Roman"/>
          <w:sz w:val="24"/>
          <w:szCs w:val="24"/>
          <w:highlight w:val="yellow"/>
          <w:lang w:val="en-US"/>
        </w:rPr>
        <w:t>amorphisation</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and dissolution.</w:t>
      </w:r>
    </w:p>
    <w:p w14:paraId="5E435C90" w14:textId="7FDBB582"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For % drug content (Figure 1C, D), F7 again showed the best performance with 93.89%. This suggests that higher polymer and alkalizer concentrations facilitate efficient entrapment of the drug in the ASD matrix</w:t>
      </w:r>
      <w:r w:rsidR="00424025" w:rsidRPr="004A6F3F">
        <w:rPr>
          <w:rFonts w:ascii="Times New Roman" w:hAnsi="Times New Roman" w:cs="Times New Roman"/>
          <w:sz w:val="24"/>
          <w:szCs w:val="24"/>
          <w:vertAlign w:val="superscript"/>
          <w:lang w:val="en-US"/>
        </w:rPr>
        <w:t>19</w:t>
      </w:r>
      <w:r w:rsidR="000F2004" w:rsidRPr="000F2004">
        <w:rPr>
          <w:rFonts w:ascii="Times New Roman" w:hAnsi="Times New Roman" w:cs="Times New Roman"/>
          <w:sz w:val="24"/>
          <w:szCs w:val="24"/>
          <w:vertAlign w:val="superscript"/>
          <w:lang w:val="en-US"/>
        </w:rPr>
        <w:t>,</w:t>
      </w:r>
      <w:r w:rsidRPr="000F2004">
        <w:rPr>
          <w:rFonts w:ascii="Times New Roman" w:hAnsi="Times New Roman" w:cs="Times New Roman"/>
          <w:sz w:val="24"/>
          <w:szCs w:val="24"/>
          <w:vertAlign w:val="superscript"/>
          <w:lang w:val="en-US"/>
        </w:rPr>
        <w:t xml:space="preserve"> </w:t>
      </w:r>
      <w:r w:rsidR="000F2004" w:rsidRPr="000F2004">
        <w:rPr>
          <w:rFonts w:ascii="Times New Roman" w:hAnsi="Times New Roman" w:cs="Times New Roman"/>
          <w:sz w:val="24"/>
          <w:szCs w:val="24"/>
          <w:vertAlign w:val="superscript"/>
          <w:lang w:val="en-US"/>
        </w:rPr>
        <w:t>20</w:t>
      </w:r>
      <w:r w:rsidR="00E01CE5">
        <w:rPr>
          <w:rFonts w:ascii="Times New Roman" w:hAnsi="Times New Roman" w:cs="Times New Roman"/>
          <w:sz w:val="24"/>
          <w:szCs w:val="24"/>
          <w:vertAlign w:val="superscript"/>
          <w:lang w:val="en-US"/>
        </w:rPr>
        <w:t>,</w:t>
      </w:r>
      <w:r w:rsidRPr="00334B6A">
        <w:rPr>
          <w:rFonts w:ascii="Times New Roman" w:hAnsi="Times New Roman" w:cs="Times New Roman"/>
          <w:sz w:val="24"/>
          <w:szCs w:val="24"/>
          <w:lang w:val="en-US"/>
        </w:rPr>
        <w:t xml:space="preserve"> also reported similar improvements in drug content in polymeric ASDs due to stronger drug–polymer interactions.</w:t>
      </w:r>
    </w:p>
    <w:p w14:paraId="5942ED55" w14:textId="32B22B58"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Together, the response surface analysis confirmed that increasing Soluplus and Sodium Bicarbonate concentrations significantly enhances solubility and drug incorporation, validating the </w:t>
      </w:r>
      <w:r w:rsidR="00E01CE5" w:rsidRPr="00D83189">
        <w:rPr>
          <w:rFonts w:ascii="Times New Roman" w:hAnsi="Times New Roman" w:cs="Times New Roman"/>
          <w:sz w:val="24"/>
          <w:szCs w:val="24"/>
          <w:highlight w:val="yellow"/>
          <w:lang w:val="en-US"/>
        </w:rPr>
        <w:t>optimisation</w:t>
      </w:r>
      <w:r w:rsidR="00E01CE5" w:rsidRPr="00334B6A">
        <w:rPr>
          <w:rFonts w:ascii="Times New Roman" w:hAnsi="Times New Roman" w:cs="Times New Roman"/>
          <w:sz w:val="24"/>
          <w:szCs w:val="24"/>
          <w:lang w:val="en-US"/>
        </w:rPr>
        <w:t xml:space="preserve"> </w:t>
      </w:r>
      <w:r w:rsidRPr="00334B6A">
        <w:rPr>
          <w:rFonts w:ascii="Times New Roman" w:hAnsi="Times New Roman" w:cs="Times New Roman"/>
          <w:sz w:val="24"/>
          <w:szCs w:val="24"/>
          <w:lang w:val="en-US"/>
        </w:rPr>
        <w:t>approach and supporting F7 as the most promising batch.</w:t>
      </w:r>
    </w:p>
    <w:p w14:paraId="3D5F2A58" w14:textId="0CEA3916"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.5 FTIR Analysis</w:t>
      </w:r>
    </w:p>
    <w:p w14:paraId="570D5B27" w14:textId="77777777" w:rsidR="004D6E19" w:rsidRDefault="004D6E19" w:rsidP="00334B6A">
      <w:pPr>
        <w:spacing w:line="360" w:lineRule="auto"/>
        <w:jc w:val="both"/>
        <w:rPr>
          <w:rFonts w:ascii="Times New Roman" w:hAnsi="Times New Roman" w:cs="Times New Roman"/>
          <w:sz w:val="24"/>
          <w:szCs w:val="24"/>
          <w:lang w:val="en-US"/>
        </w:rPr>
      </w:pPr>
      <w:r w:rsidRPr="004D6E19">
        <w:rPr>
          <w:rFonts w:ascii="Times New Roman" w:hAnsi="Times New Roman" w:cs="Times New Roman"/>
          <w:sz w:val="24"/>
          <w:szCs w:val="24"/>
          <w:lang w:val="en-US"/>
        </w:rPr>
        <w:t>FTIR analysis was used to identify potential drug-excipient interactions (Figure 2). LORX had prominent peaks at 717.54, 2918.40, 1375.29, 1458.23, 1195.91, and 1020.38 cm⁻¹. These peaks were mostly preserved in the improved ASD, showing that the drug had not been chemically degraded. Soluplus revealed peaks at 1734.06 cm⁻¹ (C=O stretching), 3446.91 cm⁻¹ (OH stretching), and 1327 cm⁻¹ (SO₂N stretch), whereas Sodium Bicarbonate showed peaks at 1458.23 cm⁻¹ (carbonate group) and 1020.38 cm⁻¹ (C-O stretching).</w:t>
      </w:r>
      <w:r>
        <w:rPr>
          <w:rFonts w:ascii="Times New Roman" w:hAnsi="Times New Roman" w:cs="Times New Roman"/>
          <w:sz w:val="24"/>
          <w:szCs w:val="24"/>
          <w:lang w:val="en-US"/>
        </w:rPr>
        <w:t xml:space="preserve"> </w:t>
      </w:r>
    </w:p>
    <w:p w14:paraId="0C610A05" w14:textId="78359639" w:rsidR="004D6E19" w:rsidRDefault="004D6E19" w:rsidP="00334B6A">
      <w:pPr>
        <w:spacing w:line="360" w:lineRule="auto"/>
        <w:jc w:val="both"/>
        <w:rPr>
          <w:rFonts w:ascii="Times New Roman" w:hAnsi="Times New Roman" w:cs="Times New Roman"/>
          <w:sz w:val="24"/>
          <w:szCs w:val="24"/>
          <w:lang w:val="en-US"/>
        </w:rPr>
      </w:pPr>
      <w:r w:rsidRPr="004D6E19">
        <w:rPr>
          <w:rFonts w:ascii="Times New Roman" w:hAnsi="Times New Roman" w:cs="Times New Roman"/>
          <w:sz w:val="24"/>
          <w:szCs w:val="24"/>
          <w:lang w:val="en-US"/>
        </w:rPr>
        <w:lastRenderedPageBreak/>
        <w:t xml:space="preserve">In the </w:t>
      </w:r>
      <w:r w:rsidR="00E01CE5" w:rsidRPr="00D83189">
        <w:rPr>
          <w:rFonts w:ascii="Times New Roman" w:hAnsi="Times New Roman" w:cs="Times New Roman"/>
          <w:sz w:val="24"/>
          <w:szCs w:val="24"/>
          <w:highlight w:val="yellow"/>
          <w:lang w:val="en-US"/>
        </w:rPr>
        <w:t>optimised</w:t>
      </w:r>
      <w:r w:rsidR="00E01CE5" w:rsidRPr="004D6E19">
        <w:rPr>
          <w:rFonts w:ascii="Times New Roman" w:hAnsi="Times New Roman" w:cs="Times New Roman"/>
          <w:sz w:val="24"/>
          <w:szCs w:val="24"/>
          <w:lang w:val="en-US"/>
        </w:rPr>
        <w:t xml:space="preserve"> </w:t>
      </w:r>
      <w:r w:rsidRPr="004D6E19">
        <w:rPr>
          <w:rFonts w:ascii="Times New Roman" w:hAnsi="Times New Roman" w:cs="Times New Roman"/>
          <w:sz w:val="24"/>
          <w:szCs w:val="24"/>
          <w:lang w:val="en-US"/>
        </w:rPr>
        <w:t>formulation, some peaks were slightly displaced and widened, indicating intermolecular hydrogen bonding. The C=O peak changed from 1734.06 to 1739.85 cm⁻¹, and OH stretching expanded, suggesting interactions between LORX and Soluplus. The SO₂N peak shifted, indicating polymer-drug compatibility. Such interactions are helpful because they diminish medication crystallinity and increase dispersion. Similar findings were reported by celecoxib ASDs and 21 slightly acidic NSAIDs</w:t>
      </w:r>
      <w:r w:rsidRPr="004D6E19">
        <w:rPr>
          <w:rFonts w:ascii="Times New Roman" w:hAnsi="Times New Roman" w:cs="Times New Roman"/>
          <w:sz w:val="24"/>
          <w:szCs w:val="24"/>
          <w:vertAlign w:val="superscript"/>
          <w:lang w:val="en-US"/>
        </w:rPr>
        <w:t>13</w:t>
      </w:r>
      <w:r w:rsidRPr="004D6E19">
        <w:rPr>
          <w:rFonts w:ascii="Times New Roman" w:hAnsi="Times New Roman" w:cs="Times New Roman"/>
          <w:sz w:val="24"/>
          <w:szCs w:val="24"/>
          <w:lang w:val="en-US"/>
        </w:rPr>
        <w:t>.</w:t>
      </w:r>
    </w:p>
    <w:p w14:paraId="78183B93" w14:textId="4B1C010C"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.6 Differential Scanning Calorimetry (DSC) Analysis</w:t>
      </w:r>
    </w:p>
    <w:p w14:paraId="215AB19A" w14:textId="77777777" w:rsidR="007C6C42" w:rsidRPr="007C6C42" w:rsidRDefault="007C6C42" w:rsidP="007C6C42">
      <w:pPr>
        <w:spacing w:line="360" w:lineRule="auto"/>
        <w:jc w:val="both"/>
        <w:rPr>
          <w:rFonts w:ascii="Times New Roman" w:hAnsi="Times New Roman" w:cs="Times New Roman"/>
          <w:sz w:val="24"/>
          <w:szCs w:val="24"/>
          <w:lang w:val="en-US"/>
        </w:rPr>
      </w:pPr>
      <w:r w:rsidRPr="007C6C42">
        <w:rPr>
          <w:rFonts w:ascii="Times New Roman" w:hAnsi="Times New Roman" w:cs="Times New Roman"/>
          <w:sz w:val="24"/>
          <w:szCs w:val="24"/>
          <w:lang w:val="en-US"/>
        </w:rPr>
        <w:t>The DSC thermograms (Figure 3A) shed light on the crystalline-amorphous transitions of LORX in the ASD. Pure LORX showed a pronounced endothermic peak at 223.18°C, confirming its crystalline structure. Soluplus exhibited a broad endotherm between 178.99°C and 228.16°C, which is consistent with its semi-amorphous nature.</w:t>
      </w:r>
    </w:p>
    <w:p w14:paraId="6FBA1F8B" w14:textId="3FD04D19" w:rsidR="007C6C42" w:rsidRDefault="007C6C42" w:rsidP="007C6C42">
      <w:pPr>
        <w:spacing w:line="360" w:lineRule="auto"/>
        <w:jc w:val="both"/>
        <w:rPr>
          <w:rFonts w:ascii="Times New Roman" w:hAnsi="Times New Roman" w:cs="Times New Roman"/>
          <w:sz w:val="24"/>
          <w:szCs w:val="24"/>
          <w:lang w:val="en-US"/>
        </w:rPr>
      </w:pPr>
      <w:r w:rsidRPr="007C6C42">
        <w:rPr>
          <w:rFonts w:ascii="Times New Roman" w:hAnsi="Times New Roman" w:cs="Times New Roman"/>
          <w:sz w:val="24"/>
          <w:szCs w:val="24"/>
          <w:lang w:val="en-US"/>
        </w:rPr>
        <w:t xml:space="preserve">In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7C6C42">
        <w:rPr>
          <w:rFonts w:ascii="Times New Roman" w:hAnsi="Times New Roman" w:cs="Times New Roman"/>
          <w:sz w:val="24"/>
          <w:szCs w:val="24"/>
          <w:lang w:val="en-US"/>
        </w:rPr>
        <w:t xml:space="preserve">ASD, the LORX melting peak disappeared and was replaced by a broad endotherm at 175.11°C, indicating partial </w:t>
      </w:r>
      <w:r w:rsidR="00E01CE5" w:rsidRPr="00D83189">
        <w:rPr>
          <w:rFonts w:ascii="Times New Roman" w:hAnsi="Times New Roman" w:cs="Times New Roman"/>
          <w:sz w:val="24"/>
          <w:szCs w:val="24"/>
          <w:highlight w:val="yellow"/>
          <w:lang w:val="en-US"/>
        </w:rPr>
        <w:t>amorphisation</w:t>
      </w:r>
      <w:r w:rsidRPr="007C6C42">
        <w:rPr>
          <w:rFonts w:ascii="Times New Roman" w:hAnsi="Times New Roman" w:cs="Times New Roman"/>
          <w:sz w:val="24"/>
          <w:szCs w:val="24"/>
          <w:lang w:val="en-US"/>
        </w:rPr>
        <w:t xml:space="preserve">. The significant decrease in crystallinity (from 100% in LORX to 682.32% relative crystallinity in ASD) promotes good molecular dispersion. </w:t>
      </w:r>
      <w:r w:rsidRPr="007C6C42">
        <w:rPr>
          <w:rFonts w:ascii="Times New Roman" w:hAnsi="Times New Roman" w:cs="Times New Roman"/>
          <w:sz w:val="24"/>
          <w:szCs w:val="24"/>
          <w:vertAlign w:val="superscript"/>
          <w:lang w:val="en-US"/>
        </w:rPr>
        <w:t>22,18</w:t>
      </w:r>
      <w:r w:rsidRPr="007C6C42">
        <w:rPr>
          <w:rFonts w:ascii="Times New Roman" w:hAnsi="Times New Roman" w:cs="Times New Roman"/>
          <w:sz w:val="24"/>
          <w:szCs w:val="24"/>
          <w:lang w:val="en-US"/>
        </w:rPr>
        <w:t xml:space="preserve">. found similar reductions in crystallinity in Soluplus-based dispersions. These findings indicate that </w:t>
      </w:r>
      <w:r w:rsidR="00E01CE5" w:rsidRPr="00D83189">
        <w:rPr>
          <w:rFonts w:ascii="Times New Roman" w:hAnsi="Times New Roman" w:cs="Times New Roman"/>
          <w:sz w:val="24"/>
          <w:szCs w:val="24"/>
          <w:highlight w:val="yellow"/>
          <w:lang w:val="en-US"/>
        </w:rPr>
        <w:t>amorphisation</w:t>
      </w:r>
      <w:r w:rsidR="00E01CE5" w:rsidRPr="00D83189">
        <w:rPr>
          <w:rFonts w:ascii="Times New Roman" w:hAnsi="Times New Roman" w:cs="Times New Roman"/>
          <w:sz w:val="24"/>
          <w:szCs w:val="24"/>
          <w:highlight w:val="yellow"/>
          <w:lang w:val="en-US"/>
        </w:rPr>
        <w:t xml:space="preserve"> </w:t>
      </w:r>
      <w:r w:rsidRPr="007C6C42">
        <w:rPr>
          <w:rFonts w:ascii="Times New Roman" w:hAnsi="Times New Roman" w:cs="Times New Roman"/>
          <w:sz w:val="24"/>
          <w:szCs w:val="24"/>
          <w:lang w:val="en-US"/>
        </w:rPr>
        <w:t>improves solubility and dissolution.</w:t>
      </w:r>
    </w:p>
    <w:p w14:paraId="5C794816" w14:textId="7EA73571" w:rsidR="00334B6A" w:rsidRPr="00565A89" w:rsidRDefault="00DD28D0" w:rsidP="007C6C4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.7 Powder X-ray Diffraction (PXRD) Analysis</w:t>
      </w:r>
    </w:p>
    <w:p w14:paraId="19BF04A8" w14:textId="3E40CFFE" w:rsidR="00E25757" w:rsidRDefault="00E25757" w:rsidP="00334B6A">
      <w:pPr>
        <w:spacing w:line="360" w:lineRule="auto"/>
        <w:jc w:val="both"/>
        <w:rPr>
          <w:rFonts w:ascii="Times New Roman" w:hAnsi="Times New Roman" w:cs="Times New Roman"/>
          <w:sz w:val="24"/>
          <w:szCs w:val="24"/>
          <w:lang w:val="en-US"/>
        </w:rPr>
      </w:pPr>
      <w:r w:rsidRPr="00E25757">
        <w:rPr>
          <w:rFonts w:ascii="Times New Roman" w:hAnsi="Times New Roman" w:cs="Times New Roman"/>
          <w:sz w:val="24"/>
          <w:szCs w:val="24"/>
          <w:lang w:val="en-US"/>
        </w:rPr>
        <w:t xml:space="preserve">PXRD diffractograms (Figure 3B) confirmed the crystallinity alterations. Pure LORX exhibited distinct peaks at 2θ values of 12.14°, 15.52°, and 24.88°, indicating its crystalline structure. In contrast,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E25757">
        <w:rPr>
          <w:rFonts w:ascii="Times New Roman" w:hAnsi="Times New Roman" w:cs="Times New Roman"/>
          <w:sz w:val="24"/>
          <w:szCs w:val="24"/>
          <w:lang w:val="en-US"/>
        </w:rPr>
        <w:t>ASD showed a broad halo with no sharp peaks, indicating that it had completely transitioned to the amorphous state. The decrease of crystallinity supports DSC findings and demonstrates the efficacy of the solid dispersion technique</w:t>
      </w:r>
      <w:r w:rsidRPr="00E25757">
        <w:rPr>
          <w:rFonts w:ascii="Times New Roman" w:hAnsi="Times New Roman" w:cs="Times New Roman"/>
          <w:sz w:val="24"/>
          <w:szCs w:val="24"/>
          <w:vertAlign w:val="superscript"/>
          <w:lang w:val="en-US"/>
        </w:rPr>
        <w:t>23</w:t>
      </w:r>
      <w:r w:rsidRPr="00E25757">
        <w:rPr>
          <w:rFonts w:ascii="Times New Roman" w:hAnsi="Times New Roman" w:cs="Times New Roman"/>
          <w:sz w:val="24"/>
          <w:szCs w:val="24"/>
          <w:lang w:val="en-US"/>
        </w:rPr>
        <w:t>.</w:t>
      </w:r>
      <w:r w:rsidR="00E01CE5" w:rsidRPr="00D83189">
        <w:rPr>
          <w:rFonts w:ascii="Times New Roman" w:hAnsi="Times New Roman" w:cs="Times New Roman"/>
          <w:sz w:val="24"/>
          <w:szCs w:val="24"/>
          <w:highlight w:val="yellow"/>
          <w:lang w:val="en-US"/>
        </w:rPr>
        <w:t>Amorphisation</w:t>
      </w:r>
      <w:r w:rsidR="00E01CE5" w:rsidRPr="00D83189">
        <w:rPr>
          <w:rFonts w:ascii="Times New Roman" w:hAnsi="Times New Roman" w:cs="Times New Roman"/>
          <w:sz w:val="24"/>
          <w:szCs w:val="24"/>
          <w:highlight w:val="yellow"/>
          <w:lang w:val="en-US"/>
        </w:rPr>
        <w:t xml:space="preserve"> </w:t>
      </w:r>
      <w:r w:rsidRPr="00E25757">
        <w:rPr>
          <w:rFonts w:ascii="Times New Roman" w:hAnsi="Times New Roman" w:cs="Times New Roman"/>
          <w:sz w:val="24"/>
          <w:szCs w:val="24"/>
          <w:lang w:val="en-US"/>
        </w:rPr>
        <w:t>resulted in better dissolving in LORX dispersions with hydrophilic carriers.</w:t>
      </w:r>
    </w:p>
    <w:p w14:paraId="791070E3" w14:textId="7A7FF3F5"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.8 SEM Analysis</w:t>
      </w:r>
    </w:p>
    <w:p w14:paraId="12152505" w14:textId="577810AC" w:rsidR="002E67D8" w:rsidRDefault="002E67D8" w:rsidP="00334B6A">
      <w:pPr>
        <w:spacing w:line="360" w:lineRule="auto"/>
        <w:jc w:val="both"/>
        <w:rPr>
          <w:rFonts w:ascii="Times New Roman" w:hAnsi="Times New Roman" w:cs="Times New Roman"/>
          <w:sz w:val="24"/>
          <w:szCs w:val="24"/>
          <w:lang w:val="en-US"/>
        </w:rPr>
      </w:pPr>
      <w:r w:rsidRPr="002E67D8">
        <w:rPr>
          <w:rFonts w:ascii="Times New Roman" w:hAnsi="Times New Roman" w:cs="Times New Roman"/>
          <w:sz w:val="24"/>
          <w:szCs w:val="24"/>
          <w:lang w:val="en-US"/>
        </w:rPr>
        <w:t xml:space="preserve">SEM scans (Figure 4) showed clear morphological changes between pure LORX and the </w:t>
      </w:r>
      <w:r w:rsidR="00E01CE5" w:rsidRPr="00D83189">
        <w:rPr>
          <w:rFonts w:ascii="Times New Roman" w:hAnsi="Times New Roman" w:cs="Times New Roman"/>
          <w:sz w:val="24"/>
          <w:szCs w:val="24"/>
          <w:highlight w:val="yellow"/>
          <w:lang w:val="en-US"/>
        </w:rPr>
        <w:t>optimised</w:t>
      </w:r>
      <w:r w:rsidR="00E01CE5" w:rsidRPr="002E67D8">
        <w:rPr>
          <w:rFonts w:ascii="Times New Roman" w:hAnsi="Times New Roman" w:cs="Times New Roman"/>
          <w:sz w:val="24"/>
          <w:szCs w:val="24"/>
          <w:lang w:val="en-US"/>
        </w:rPr>
        <w:t xml:space="preserve"> </w:t>
      </w:r>
      <w:r w:rsidRPr="002E67D8">
        <w:rPr>
          <w:rFonts w:ascii="Times New Roman" w:hAnsi="Times New Roman" w:cs="Times New Roman"/>
          <w:sz w:val="24"/>
          <w:szCs w:val="24"/>
          <w:lang w:val="en-US"/>
        </w:rPr>
        <w:t>ASD. Pure LORX showed angular crystalline particles, whereas ASD showed uneven, smooth, and amorphous structures with smaller particle sizes. These morphological changes indicate successful molecular dispersion, the elimination of crystalline domains, and increased wettability. Similar changes have been observed by</w:t>
      </w:r>
      <w:r w:rsidR="00487DD6">
        <w:rPr>
          <w:rFonts w:ascii="Times New Roman" w:hAnsi="Times New Roman" w:cs="Times New Roman"/>
          <w:sz w:val="24"/>
          <w:szCs w:val="24"/>
          <w:lang w:val="en-US"/>
        </w:rPr>
        <w:t xml:space="preserve"> refences</w:t>
      </w:r>
      <w:r w:rsidRPr="002E67D8">
        <w:rPr>
          <w:rFonts w:ascii="Times New Roman" w:hAnsi="Times New Roman" w:cs="Times New Roman"/>
          <w:sz w:val="24"/>
          <w:szCs w:val="24"/>
          <w:vertAlign w:val="superscript"/>
          <w:lang w:val="en-US"/>
        </w:rPr>
        <w:t>10</w:t>
      </w:r>
      <w:r w:rsidRPr="002E67D8">
        <w:rPr>
          <w:rFonts w:ascii="Times New Roman" w:hAnsi="Times New Roman" w:cs="Times New Roman"/>
          <w:sz w:val="24"/>
          <w:szCs w:val="24"/>
          <w:lang w:val="en-US"/>
        </w:rPr>
        <w:t>, demonstrating that amorphous shape contributes to increased solubility and dissolution.</w:t>
      </w:r>
    </w:p>
    <w:p w14:paraId="5B4C8082" w14:textId="09516179"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00334B6A" w:rsidRPr="00565A89">
        <w:rPr>
          <w:rFonts w:ascii="Times New Roman" w:hAnsi="Times New Roman" w:cs="Times New Roman"/>
          <w:b/>
          <w:bCs/>
          <w:sz w:val="24"/>
          <w:szCs w:val="24"/>
          <w:lang w:val="en-US"/>
        </w:rPr>
        <w:t>.9 Pre-compression Parameters of Lubricated Blend</w:t>
      </w:r>
    </w:p>
    <w:p w14:paraId="6DE288FD" w14:textId="342488AD"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pre-compression properties of blends (F1, F2, F3) were evaluated (Table 1). F1 demonstrated the most </w:t>
      </w:r>
      <w:r w:rsidR="00E01CE5" w:rsidRPr="00D83189">
        <w:rPr>
          <w:rFonts w:ascii="Times New Roman" w:hAnsi="Times New Roman" w:cs="Times New Roman"/>
          <w:sz w:val="24"/>
          <w:szCs w:val="24"/>
          <w:highlight w:val="yellow"/>
          <w:lang w:val="en-US"/>
        </w:rPr>
        <w:t>favourable</w:t>
      </w:r>
      <w:r w:rsidR="00E01CE5" w:rsidRPr="00334B6A">
        <w:rPr>
          <w:rFonts w:ascii="Times New Roman" w:hAnsi="Times New Roman" w:cs="Times New Roman"/>
          <w:sz w:val="24"/>
          <w:szCs w:val="24"/>
          <w:lang w:val="en-US"/>
        </w:rPr>
        <w:t xml:space="preserve"> </w:t>
      </w:r>
      <w:r w:rsidRPr="00334B6A">
        <w:rPr>
          <w:rFonts w:ascii="Times New Roman" w:hAnsi="Times New Roman" w:cs="Times New Roman"/>
          <w:sz w:val="24"/>
          <w:szCs w:val="24"/>
          <w:lang w:val="en-US"/>
        </w:rPr>
        <w:t>flow properties with a Carr’s Index of 14.15%, Hausner’s ratio of 1.15, and angle of repose of 23°, all indicative of excellent flow and compressibility. In contrast, F2 and F3 showed poorer flow with Carr’s Index values above 20% and higher angles of repose (&gt;26°), suggesting potential processing challenges.</w:t>
      </w:r>
    </w:p>
    <w:p w14:paraId="079C9F5A" w14:textId="33536F42"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These findings align with</w:t>
      </w:r>
      <w:r w:rsidR="00FF45F0" w:rsidRPr="00FF45F0">
        <w:rPr>
          <w:rFonts w:ascii="Times New Roman" w:hAnsi="Times New Roman" w:cs="Times New Roman"/>
          <w:sz w:val="24"/>
          <w:szCs w:val="24"/>
          <w:vertAlign w:val="superscript"/>
          <w:lang w:val="en-US"/>
        </w:rPr>
        <w:t>24</w:t>
      </w:r>
      <w:r w:rsidRPr="00334B6A">
        <w:rPr>
          <w:rFonts w:ascii="Times New Roman" w:hAnsi="Times New Roman" w:cs="Times New Roman"/>
          <w:sz w:val="24"/>
          <w:szCs w:val="24"/>
          <w:lang w:val="en-US"/>
        </w:rPr>
        <w:t>, who noted that flow indices within these ranges ensure consistent die filling and minimal compression defects. Thus, F1 was identified as the most suitable formulation for compression into tablets.</w:t>
      </w:r>
    </w:p>
    <w:p w14:paraId="15D8B0B7" w14:textId="21DC7002"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.10 Evaluation of Compressed Tablets</w:t>
      </w:r>
    </w:p>
    <w:p w14:paraId="610EBD8B" w14:textId="20C1C629"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Post-compression evaluation (Table 2) demonstrated significant differences between F1, F2, and F3. F1 exhibited optimal physicochemical properties, including average weight (200 mg), thickness (2.5 mm), and drug content (97.45±0.5%). The hardness (3.0 kg/cm²) ensured mechanical strength while maintaining friability below acceptable limits (0.61%).</w:t>
      </w:r>
    </w:p>
    <w:p w14:paraId="0F08F2A2" w14:textId="789C27CA"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Importantly, F1 had the fastest disintegration time (40 sec) and </w:t>
      </w:r>
      <w:r w:rsidR="00E01CE5" w:rsidRPr="00D83189">
        <w:rPr>
          <w:rFonts w:ascii="Times New Roman" w:hAnsi="Times New Roman" w:cs="Times New Roman"/>
          <w:sz w:val="24"/>
          <w:szCs w:val="24"/>
          <w:highlight w:val="yellow"/>
          <w:lang w:val="en-US"/>
        </w:rPr>
        <w:t xml:space="preserve">the </w:t>
      </w:r>
      <w:r w:rsidRPr="00334B6A">
        <w:rPr>
          <w:rFonts w:ascii="Times New Roman" w:hAnsi="Times New Roman" w:cs="Times New Roman"/>
          <w:sz w:val="24"/>
          <w:szCs w:val="24"/>
          <w:lang w:val="en-US"/>
        </w:rPr>
        <w:t xml:space="preserve">highest drug release (98.54% in 30 min) compared to F2 and F3. While F3 had higher hardness (3.7 kg/cm²), its disintegration time was prolonged (79 sec), reducing dissolution efficiency. F2 showed mechanical fragility with higher friability (0.86%). The superior performance of F1 is attributed to PROSOLV® EASYtab SP, a multifunctional excipient system designed to improve compressibility, wettability, and disintegration. Comparable excipient-based improvements were reported by </w:t>
      </w:r>
      <w:r w:rsidR="004150C7" w:rsidRPr="004150C7">
        <w:rPr>
          <w:rFonts w:ascii="Times New Roman" w:hAnsi="Times New Roman" w:cs="Times New Roman"/>
          <w:sz w:val="24"/>
          <w:szCs w:val="24"/>
          <w:vertAlign w:val="superscript"/>
          <w:lang w:val="en-US"/>
        </w:rPr>
        <w:t>25,26</w:t>
      </w:r>
      <w:r w:rsidRPr="00334B6A">
        <w:rPr>
          <w:rFonts w:ascii="Times New Roman" w:hAnsi="Times New Roman" w:cs="Times New Roman"/>
          <w:sz w:val="24"/>
          <w:szCs w:val="24"/>
          <w:lang w:val="en-US"/>
        </w:rPr>
        <w:t xml:space="preserve">. Collectively, these results validate F1 as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xml:space="preserve"> </w:t>
      </w:r>
      <w:r w:rsidRPr="00334B6A">
        <w:rPr>
          <w:rFonts w:ascii="Times New Roman" w:hAnsi="Times New Roman" w:cs="Times New Roman"/>
          <w:sz w:val="24"/>
          <w:szCs w:val="24"/>
          <w:lang w:val="en-US"/>
        </w:rPr>
        <w:t>tablet formulation.</w:t>
      </w:r>
    </w:p>
    <w:p w14:paraId="6CBB8C05" w14:textId="3E617BAB"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.11 Pharmacokinetic Study</w:t>
      </w:r>
    </w:p>
    <w:p w14:paraId="40A27ABD" w14:textId="19AF7383"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pharmacokinetic performance of F1 was compared with the marketed tablet (Lorsaid SP) (Table 3). F1 showed a higher Cmax and AUC, confirming enhanced systemic exposure. The reduced Tmax indicated faster absorption, while prolonged mean residence time (MRT) suggested extended systemic retention. These enhancements can be attributed to improved solubility, rapid disintegration, and efficient absorption due to PROSOLV® EASYtab SP. Similar pharmacokinetic advantages of ASD-based formulations have been reported by </w:t>
      </w:r>
      <w:r w:rsidR="00E01CE5" w:rsidRPr="00D83189">
        <w:rPr>
          <w:rFonts w:ascii="Times New Roman" w:hAnsi="Times New Roman" w:cs="Times New Roman"/>
          <w:sz w:val="24"/>
          <w:szCs w:val="24"/>
          <w:highlight w:val="yellow"/>
          <w:lang w:val="en-US"/>
        </w:rPr>
        <w:t>references</w:t>
      </w:r>
      <w:r w:rsidR="00E01CE5">
        <w:rPr>
          <w:rFonts w:ascii="Times New Roman" w:hAnsi="Times New Roman" w:cs="Times New Roman"/>
          <w:sz w:val="24"/>
          <w:szCs w:val="24"/>
          <w:lang w:val="en-US"/>
        </w:rPr>
        <w:t xml:space="preserve"> </w:t>
      </w:r>
      <w:r w:rsidR="00A73819" w:rsidRPr="000A5561">
        <w:rPr>
          <w:rFonts w:ascii="Times New Roman" w:hAnsi="Times New Roman" w:cs="Times New Roman"/>
          <w:sz w:val="24"/>
          <w:szCs w:val="24"/>
          <w:vertAlign w:val="superscript"/>
          <w:lang w:val="en-US"/>
        </w:rPr>
        <w:t>27,28</w:t>
      </w:r>
      <w:r w:rsidRPr="00334B6A">
        <w:rPr>
          <w:rFonts w:ascii="Times New Roman" w:hAnsi="Times New Roman" w:cs="Times New Roman"/>
          <w:sz w:val="24"/>
          <w:szCs w:val="24"/>
          <w:lang w:val="en-US"/>
        </w:rPr>
        <w:t>.</w:t>
      </w:r>
    </w:p>
    <w:p w14:paraId="4C8365BA" w14:textId="62F09444"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00334B6A" w:rsidRPr="00565A89">
        <w:rPr>
          <w:rFonts w:ascii="Times New Roman" w:hAnsi="Times New Roman" w:cs="Times New Roman"/>
          <w:b/>
          <w:bCs/>
          <w:sz w:val="24"/>
          <w:szCs w:val="24"/>
          <w:lang w:val="en-US"/>
        </w:rPr>
        <w:t>.12 Stability Study</w:t>
      </w:r>
    </w:p>
    <w:p w14:paraId="67E2720D" w14:textId="415C9220"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stability of F1 was assessed under accelerated conditions (40°C/75% RH) for 30 days (Table 4). No significant changes were observed in </w:t>
      </w:r>
      <w:r w:rsidR="00E01CE5" w:rsidRPr="00D83189">
        <w:rPr>
          <w:rFonts w:ascii="Times New Roman" w:hAnsi="Times New Roman" w:cs="Times New Roman"/>
          <w:sz w:val="24"/>
          <w:szCs w:val="24"/>
          <w:highlight w:val="yellow"/>
          <w:lang w:val="en-US"/>
        </w:rPr>
        <w:t>colour</w:t>
      </w:r>
      <w:r w:rsidRPr="00334B6A">
        <w:rPr>
          <w:rFonts w:ascii="Times New Roman" w:hAnsi="Times New Roman" w:cs="Times New Roman"/>
          <w:sz w:val="24"/>
          <w:szCs w:val="24"/>
          <w:lang w:val="en-US"/>
        </w:rPr>
        <w:t xml:space="preserve">, appearance, or mechanical properties. Disintegration time remained nearly unchanged (45 sec at day 0 vs. 42 sec at day 30). Drug release was consistent (96.62% to 97.52%), and assay values showed minimal degradation (97.42±0.5% to 96.25±0.3%). These results confirm both physical and chemical stability of the </w:t>
      </w:r>
      <w:r w:rsidR="00E01CE5" w:rsidRPr="00D83189">
        <w:rPr>
          <w:rFonts w:ascii="Times New Roman" w:hAnsi="Times New Roman" w:cs="Times New Roman"/>
          <w:sz w:val="24"/>
          <w:szCs w:val="24"/>
          <w:highlight w:val="yellow"/>
          <w:lang w:val="en-US"/>
        </w:rPr>
        <w:t>optimised</w:t>
      </w:r>
      <w:r w:rsidR="00E01CE5" w:rsidRPr="00334B6A">
        <w:rPr>
          <w:rFonts w:ascii="Times New Roman" w:hAnsi="Times New Roman" w:cs="Times New Roman"/>
          <w:sz w:val="24"/>
          <w:szCs w:val="24"/>
          <w:lang w:val="en-US"/>
        </w:rPr>
        <w:t xml:space="preserve"> </w:t>
      </w:r>
      <w:r w:rsidRPr="00334B6A">
        <w:rPr>
          <w:rFonts w:ascii="Times New Roman" w:hAnsi="Times New Roman" w:cs="Times New Roman"/>
          <w:sz w:val="24"/>
          <w:szCs w:val="24"/>
          <w:lang w:val="en-US"/>
        </w:rPr>
        <w:t>formulation. Comparable stability was reported by</w:t>
      </w:r>
      <w:r w:rsidR="00366FF2" w:rsidRPr="00366FF2">
        <w:rPr>
          <w:rFonts w:ascii="Times New Roman" w:hAnsi="Times New Roman" w:cs="Times New Roman"/>
          <w:sz w:val="24"/>
          <w:szCs w:val="24"/>
          <w:vertAlign w:val="superscript"/>
          <w:lang w:val="en-US"/>
        </w:rPr>
        <w:t>29</w:t>
      </w:r>
      <w:r w:rsidRPr="00334B6A">
        <w:rPr>
          <w:rFonts w:ascii="Times New Roman" w:hAnsi="Times New Roman" w:cs="Times New Roman"/>
          <w:sz w:val="24"/>
          <w:szCs w:val="24"/>
          <w:lang w:val="en-US"/>
        </w:rPr>
        <w:t>in short-term accelerated tests of NSAID formulations.</w:t>
      </w:r>
    </w:p>
    <w:p w14:paraId="75968CE0" w14:textId="51693BAF" w:rsidR="00565A89" w:rsidRPr="00565A89" w:rsidRDefault="00DD28D0" w:rsidP="00565A8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3.13 </w:t>
      </w:r>
      <w:r w:rsidRPr="00565A89">
        <w:rPr>
          <w:rFonts w:ascii="Times New Roman" w:hAnsi="Times New Roman" w:cs="Times New Roman"/>
          <w:b/>
          <w:bCs/>
          <w:sz w:val="24"/>
          <w:szCs w:val="24"/>
          <w:lang w:val="en-US"/>
        </w:rPr>
        <w:t>CONCLUSION</w:t>
      </w:r>
    </w:p>
    <w:p w14:paraId="227EC914" w14:textId="47980489" w:rsidR="0038009B" w:rsidRDefault="0038009B" w:rsidP="00536737">
      <w:pPr>
        <w:tabs>
          <w:tab w:val="left" w:pos="1095"/>
        </w:tabs>
        <w:spacing w:line="360" w:lineRule="auto"/>
        <w:jc w:val="both"/>
        <w:rPr>
          <w:rFonts w:ascii="Times New Roman" w:hAnsi="Times New Roman" w:cs="Times New Roman"/>
          <w:sz w:val="24"/>
          <w:szCs w:val="24"/>
          <w:lang w:val="en-US"/>
        </w:rPr>
      </w:pPr>
      <w:r w:rsidRPr="0038009B">
        <w:rPr>
          <w:rFonts w:ascii="Times New Roman" w:hAnsi="Times New Roman" w:cs="Times New Roman"/>
          <w:sz w:val="24"/>
          <w:szCs w:val="24"/>
          <w:lang w:val="en-US"/>
        </w:rPr>
        <w:t xml:space="preserve">The current work effectively designed and tested Lornoxicam immediate-release tablets by </w:t>
      </w:r>
      <w:r w:rsidR="00E01CE5" w:rsidRPr="00D83189">
        <w:rPr>
          <w:rFonts w:ascii="Times New Roman" w:hAnsi="Times New Roman" w:cs="Times New Roman"/>
          <w:sz w:val="24"/>
          <w:szCs w:val="24"/>
          <w:highlight w:val="yellow"/>
          <w:lang w:val="en-US"/>
        </w:rPr>
        <w:t>optimising</w:t>
      </w:r>
      <w:r w:rsidR="00E01CE5" w:rsidRPr="00D83189">
        <w:rPr>
          <w:rFonts w:ascii="Times New Roman" w:hAnsi="Times New Roman" w:cs="Times New Roman"/>
          <w:sz w:val="24"/>
          <w:szCs w:val="24"/>
          <w:highlight w:val="yellow"/>
          <w:lang w:val="en-US"/>
        </w:rPr>
        <w:t xml:space="preserve"> </w:t>
      </w:r>
      <w:r w:rsidRPr="0038009B">
        <w:rPr>
          <w:rFonts w:ascii="Times New Roman" w:hAnsi="Times New Roman" w:cs="Times New Roman"/>
          <w:sz w:val="24"/>
          <w:szCs w:val="24"/>
          <w:lang w:val="en-US"/>
        </w:rPr>
        <w:t xml:space="preserve">carrier-alkalizer combinations to improve solubility, </w:t>
      </w:r>
      <w:r w:rsidR="00E01CE5" w:rsidRPr="00D83189">
        <w:rPr>
          <w:rFonts w:ascii="Times New Roman" w:hAnsi="Times New Roman" w:cs="Times New Roman"/>
          <w:sz w:val="24"/>
          <w:szCs w:val="24"/>
          <w:highlight w:val="yellow"/>
          <w:lang w:val="en-US"/>
        </w:rPr>
        <w:t>dissolution</w:t>
      </w:r>
      <w:r w:rsidRPr="0038009B">
        <w:rPr>
          <w:rFonts w:ascii="Times New Roman" w:hAnsi="Times New Roman" w:cs="Times New Roman"/>
          <w:sz w:val="24"/>
          <w:szCs w:val="24"/>
          <w:lang w:val="en-US"/>
        </w:rPr>
        <w:t xml:space="preserve">, and bioavailability. Among the formulations studied, the sodium bicarbonate-based system showed superior solubility and dissolution augmentation, while solid-state </w:t>
      </w:r>
      <w:r w:rsidR="00E01CE5" w:rsidRPr="00D83189">
        <w:rPr>
          <w:rFonts w:ascii="Times New Roman" w:hAnsi="Times New Roman" w:cs="Times New Roman"/>
          <w:sz w:val="24"/>
          <w:szCs w:val="24"/>
          <w:highlight w:val="yellow"/>
          <w:lang w:val="en-US"/>
        </w:rPr>
        <w:t>characterisations</w:t>
      </w:r>
      <w:r w:rsidR="00E01CE5" w:rsidRPr="00D83189">
        <w:rPr>
          <w:rFonts w:ascii="Times New Roman" w:hAnsi="Times New Roman" w:cs="Times New Roman"/>
          <w:sz w:val="24"/>
          <w:szCs w:val="24"/>
          <w:highlight w:val="yellow"/>
          <w:lang w:val="en-US"/>
        </w:rPr>
        <w:t xml:space="preserve"> </w:t>
      </w:r>
      <w:r w:rsidRPr="0038009B">
        <w:rPr>
          <w:rFonts w:ascii="Times New Roman" w:hAnsi="Times New Roman" w:cs="Times New Roman"/>
          <w:sz w:val="24"/>
          <w:szCs w:val="24"/>
          <w:lang w:val="en-US"/>
        </w:rPr>
        <w:t xml:space="preserve">revealed effective drug-excipient interactions without </w:t>
      </w:r>
      <w:r w:rsidR="00E01CE5" w:rsidRPr="00D83189">
        <w:rPr>
          <w:rFonts w:ascii="Times New Roman" w:hAnsi="Times New Roman" w:cs="Times New Roman"/>
          <w:sz w:val="24"/>
          <w:szCs w:val="24"/>
          <w:highlight w:val="yellow"/>
          <w:lang w:val="en-US"/>
        </w:rPr>
        <w:t>jeopardising</w:t>
      </w:r>
      <w:r w:rsidR="00E01CE5" w:rsidRPr="00D83189">
        <w:rPr>
          <w:rFonts w:ascii="Times New Roman" w:hAnsi="Times New Roman" w:cs="Times New Roman"/>
          <w:sz w:val="24"/>
          <w:szCs w:val="24"/>
          <w:highlight w:val="yellow"/>
          <w:lang w:val="en-US"/>
        </w:rPr>
        <w:t xml:space="preserve"> </w:t>
      </w:r>
      <w:r w:rsidRPr="0038009B">
        <w:rPr>
          <w:rFonts w:ascii="Times New Roman" w:hAnsi="Times New Roman" w:cs="Times New Roman"/>
          <w:sz w:val="24"/>
          <w:szCs w:val="24"/>
          <w:lang w:val="en-US"/>
        </w:rPr>
        <w:t xml:space="preserve">drug stability. The </w:t>
      </w:r>
      <w:r w:rsidR="00E01CE5" w:rsidRPr="00D83189">
        <w:rPr>
          <w:rFonts w:ascii="Times New Roman" w:hAnsi="Times New Roman" w:cs="Times New Roman"/>
          <w:sz w:val="24"/>
          <w:szCs w:val="24"/>
          <w:highlight w:val="yellow"/>
          <w:lang w:val="en-US"/>
        </w:rPr>
        <w:t>optimised</w:t>
      </w:r>
      <w:r w:rsidR="00E01CE5" w:rsidRPr="00D83189">
        <w:rPr>
          <w:rFonts w:ascii="Times New Roman" w:hAnsi="Times New Roman" w:cs="Times New Roman"/>
          <w:sz w:val="24"/>
          <w:szCs w:val="24"/>
          <w:highlight w:val="yellow"/>
          <w:lang w:val="en-US"/>
        </w:rPr>
        <w:t> </w:t>
      </w:r>
      <w:r w:rsidRPr="0038009B">
        <w:rPr>
          <w:rFonts w:ascii="Times New Roman" w:hAnsi="Times New Roman" w:cs="Times New Roman"/>
          <w:sz w:val="24"/>
          <w:szCs w:val="24"/>
          <w:lang w:val="en-US"/>
        </w:rPr>
        <w:t xml:space="preserve">formulation demonstrated considerably improved in vivo pharmacokinetic performance as compared to the marketed reference product, indicating a possibility for faster onset of action and increased therapeutic efficacy. These findings create a strong formulation strategy for medications with low water solubility, such as Lornoxicam, ensuring enhanced oral delivery by logical excipient selection and formulation </w:t>
      </w:r>
      <w:r w:rsidR="00E01CE5" w:rsidRPr="00D83189">
        <w:rPr>
          <w:rFonts w:ascii="Times New Roman" w:hAnsi="Times New Roman" w:cs="Times New Roman"/>
          <w:sz w:val="24"/>
          <w:szCs w:val="24"/>
          <w:highlight w:val="yellow"/>
          <w:lang w:val="en-US"/>
        </w:rPr>
        <w:t>optimisation</w:t>
      </w:r>
      <w:r w:rsidRPr="0038009B">
        <w:rPr>
          <w:rFonts w:ascii="Times New Roman" w:hAnsi="Times New Roman" w:cs="Times New Roman"/>
          <w:sz w:val="24"/>
          <w:szCs w:val="24"/>
          <w:lang w:val="en-US"/>
        </w:rPr>
        <w:t>.</w:t>
      </w:r>
    </w:p>
    <w:p w14:paraId="0A0AF0B6" w14:textId="77777777" w:rsidR="008735B8" w:rsidRDefault="008735B8" w:rsidP="00BB4A8C">
      <w:pPr>
        <w:pStyle w:val="NormalWeb"/>
        <w:spacing w:line="360" w:lineRule="auto"/>
        <w:jc w:val="both"/>
        <w:rPr>
          <w:rStyle w:val="Strong"/>
        </w:rPr>
      </w:pPr>
    </w:p>
    <w:p w14:paraId="6ED56D56" w14:textId="77777777" w:rsidR="008735B8" w:rsidRDefault="008735B8" w:rsidP="00BB4A8C">
      <w:pPr>
        <w:pStyle w:val="NormalWeb"/>
        <w:spacing w:line="360" w:lineRule="auto"/>
        <w:jc w:val="both"/>
        <w:rPr>
          <w:rStyle w:val="Strong"/>
        </w:rPr>
      </w:pPr>
    </w:p>
    <w:p w14:paraId="3AC99786" w14:textId="60C1332F" w:rsidR="00BB4A8C" w:rsidRDefault="00DD28D0" w:rsidP="00BB4A8C">
      <w:pPr>
        <w:pStyle w:val="NormalWeb"/>
        <w:spacing w:line="360" w:lineRule="auto"/>
        <w:jc w:val="both"/>
        <w:rPr>
          <w:rStyle w:val="Strong"/>
        </w:rPr>
      </w:pPr>
      <w:r>
        <w:rPr>
          <w:rStyle w:val="Strong"/>
        </w:rPr>
        <w:t xml:space="preserve">ABBREVIATION </w:t>
      </w:r>
    </w:p>
    <w:p w14:paraId="62C6C492" w14:textId="77777777" w:rsidR="00BB4A8C" w:rsidRPr="008E18FB" w:rsidRDefault="00BB4A8C" w:rsidP="00BB4A8C">
      <w:pPr>
        <w:pStyle w:val="NormalWeb"/>
        <w:spacing w:before="0" w:beforeAutospacing="0" w:after="0" w:afterAutospacing="0" w:line="360" w:lineRule="auto"/>
        <w:jc w:val="both"/>
        <w:rPr>
          <w:rFonts w:eastAsiaTheme="minorHAnsi"/>
          <w:lang w:eastAsia="en-US"/>
        </w:rPr>
      </w:pPr>
      <w:r w:rsidRPr="008E18FB">
        <w:rPr>
          <w:rFonts w:eastAsiaTheme="minorHAnsi"/>
          <w:lang w:eastAsia="en-US"/>
        </w:rPr>
        <w:t>NSAID- Nonsteroidal</w:t>
      </w:r>
      <w:r w:rsidRPr="008E18FB">
        <w:rPr>
          <w:rStyle w:val="Strong"/>
          <w:b w:val="0"/>
          <w:bCs w:val="0"/>
        </w:rPr>
        <w:t xml:space="preserve"> anti-inflammatory drug</w:t>
      </w:r>
    </w:p>
    <w:p w14:paraId="7E700D85"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Fonts w:eastAsiaTheme="minorHAnsi"/>
          <w:lang w:eastAsia="en-US"/>
        </w:rPr>
        <w:t xml:space="preserve">CCD-Central Composite Design </w:t>
      </w:r>
    </w:p>
    <w:p w14:paraId="2BC3AA84"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FTIR - Fourier Transform Infrared Spectroscopy</w:t>
      </w:r>
    </w:p>
    <w:p w14:paraId="0C7165E5"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DSC - Differential Scanning Calorimetry</w:t>
      </w:r>
    </w:p>
    <w:p w14:paraId="755EB0CB"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PXRD - Powder X-ray Diffraction</w:t>
      </w:r>
    </w:p>
    <w:p w14:paraId="4CB15B33"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SEM - Scanning Electron Microscopy</w:t>
      </w:r>
    </w:p>
    <w:p w14:paraId="4B048C51" w14:textId="77777777" w:rsidR="00BB4A8C" w:rsidRPr="000C7F2E" w:rsidRDefault="00BB4A8C" w:rsidP="00BB4A8C">
      <w:pPr>
        <w:spacing w:after="0" w:line="360" w:lineRule="auto"/>
        <w:rPr>
          <w:rFonts w:ascii="Times New Roman" w:eastAsia="Times New Roman" w:hAnsi="Times New Roman" w:cs="Times New Roman"/>
          <w:sz w:val="24"/>
          <w:szCs w:val="24"/>
          <w:lang w:eastAsia="en-IN"/>
        </w:rPr>
      </w:pPr>
      <w:r w:rsidRPr="000C7F2E">
        <w:rPr>
          <w:rFonts w:ascii="Times New Roman" w:eastAsia="Times New Roman" w:hAnsi="Times New Roman" w:cs="Times New Roman"/>
          <w:sz w:val="24"/>
          <w:szCs w:val="24"/>
          <w:lang w:eastAsia="en-IN"/>
        </w:rPr>
        <w:t xml:space="preserve">DC - Drug Content </w:t>
      </w:r>
    </w:p>
    <w:p w14:paraId="0887E2A2" w14:textId="77777777" w:rsidR="00BB4A8C" w:rsidRPr="008E18FB" w:rsidRDefault="00BB4A8C" w:rsidP="00BB4A8C">
      <w:pPr>
        <w:spacing w:after="0" w:line="360" w:lineRule="auto"/>
        <w:rPr>
          <w:rFonts w:ascii="Times New Roman" w:eastAsia="Times New Roman" w:hAnsi="Times New Roman" w:cs="Times New Roman"/>
          <w:sz w:val="24"/>
          <w:szCs w:val="24"/>
          <w:lang w:eastAsia="en-IN"/>
        </w:rPr>
      </w:pPr>
      <w:r w:rsidRPr="000C7F2E">
        <w:rPr>
          <w:rFonts w:ascii="Times New Roman" w:eastAsia="Times New Roman" w:hAnsi="Times New Roman" w:cs="Times New Roman"/>
          <w:sz w:val="24"/>
          <w:szCs w:val="24"/>
          <w:lang w:eastAsia="en-IN"/>
        </w:rPr>
        <w:t>DT - Disintegration Time</w:t>
      </w:r>
    </w:p>
    <w:p w14:paraId="600E2735" w14:textId="77777777" w:rsidR="00BB4A8C" w:rsidRPr="008E18FB" w:rsidRDefault="00BB4A8C" w:rsidP="00BB4A8C">
      <w:pPr>
        <w:spacing w:after="0" w:line="360" w:lineRule="auto"/>
        <w:rPr>
          <w:sz w:val="24"/>
          <w:szCs w:val="24"/>
        </w:rPr>
      </w:pPr>
      <w:r w:rsidRPr="008E18FB">
        <w:rPr>
          <w:sz w:val="24"/>
          <w:szCs w:val="24"/>
        </w:rPr>
        <w:lastRenderedPageBreak/>
        <w:t xml:space="preserve">DR - Dissolution Rate </w:t>
      </w:r>
    </w:p>
    <w:p w14:paraId="1A030B9A" w14:textId="77777777" w:rsidR="00BB4A8C" w:rsidRPr="008E18FB" w:rsidRDefault="00BB4A8C" w:rsidP="00BB4A8C">
      <w:pPr>
        <w:spacing w:after="0" w:line="360" w:lineRule="auto"/>
        <w:rPr>
          <w:rFonts w:ascii="Times New Roman" w:hAnsi="Times New Roman" w:cs="Times New Roman"/>
          <w:sz w:val="24"/>
          <w:szCs w:val="24"/>
        </w:rPr>
      </w:pPr>
      <w:r w:rsidRPr="008E18FB">
        <w:rPr>
          <w:rFonts w:ascii="Times New Roman" w:eastAsia="Times New Roman" w:hAnsi="Times New Roman" w:cs="Times New Roman"/>
          <w:sz w:val="24"/>
          <w:szCs w:val="24"/>
          <w:lang w:eastAsia="en-IN"/>
        </w:rPr>
        <w:t xml:space="preserve">LORX- </w:t>
      </w:r>
      <w:r w:rsidRPr="008E18FB">
        <w:rPr>
          <w:rFonts w:ascii="Times New Roman" w:hAnsi="Times New Roman" w:cs="Times New Roman"/>
          <w:sz w:val="24"/>
          <w:szCs w:val="24"/>
        </w:rPr>
        <w:t>Lornoxicam</w:t>
      </w:r>
    </w:p>
    <w:p w14:paraId="01E0C347" w14:textId="77777777" w:rsidR="00BB4A8C" w:rsidRPr="008E18FB" w:rsidRDefault="00BB4A8C" w:rsidP="00BB4A8C">
      <w:pPr>
        <w:spacing w:after="0" w:line="360" w:lineRule="auto"/>
        <w:rPr>
          <w:rStyle w:val="Strong"/>
          <w:b w:val="0"/>
          <w:bCs w:val="0"/>
          <w:sz w:val="24"/>
          <w:szCs w:val="24"/>
        </w:rPr>
      </w:pPr>
      <w:r w:rsidRPr="008E18FB">
        <w:rPr>
          <w:rFonts w:ascii="Times New Roman" w:hAnsi="Times New Roman" w:cs="Times New Roman"/>
          <w:sz w:val="24"/>
          <w:szCs w:val="24"/>
        </w:rPr>
        <w:t xml:space="preserve">ASDs-amorphous solid dispersions </w:t>
      </w:r>
    </w:p>
    <w:p w14:paraId="26B03457" w14:textId="77777777" w:rsidR="00BB4A8C" w:rsidRPr="008E18FB" w:rsidRDefault="00BB4A8C" w:rsidP="00BB4A8C">
      <w:pPr>
        <w:pStyle w:val="NormalWeb"/>
        <w:spacing w:before="0" w:beforeAutospacing="0" w:after="0" w:afterAutospacing="0" w:line="360" w:lineRule="auto"/>
        <w:jc w:val="both"/>
      </w:pPr>
      <w:r w:rsidRPr="008E18FB">
        <w:t xml:space="preserve">APIs - active pharmaceutical ingredients </w:t>
      </w:r>
    </w:p>
    <w:p w14:paraId="50D4B444"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t xml:space="preserve">PVCL-PVA-PEG- polyvinyl caprolactam-polyvinyl acetate-polyethylene glycol </w:t>
      </w:r>
    </w:p>
    <w:p w14:paraId="0B146A33"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t xml:space="preserve">IR -immediate-release </w:t>
      </w:r>
    </w:p>
    <w:p w14:paraId="293AE3AC" w14:textId="77777777" w:rsidR="00BB4A8C" w:rsidRPr="008E18FB" w:rsidRDefault="00BB4A8C" w:rsidP="00BB4A8C">
      <w:pPr>
        <w:pStyle w:val="NormalWeb"/>
        <w:spacing w:before="0" w:beforeAutospacing="0" w:after="0" w:afterAutospacing="0" w:line="360" w:lineRule="auto"/>
        <w:jc w:val="both"/>
      </w:pPr>
      <w:r w:rsidRPr="008E18FB">
        <w:t xml:space="preserve">CPCSEA- Committee for the Purpose of Control and Supervision of Experiments on Animals </w:t>
      </w:r>
    </w:p>
    <w:p w14:paraId="533CF95A" w14:textId="77777777" w:rsidR="00BB4A8C" w:rsidRPr="008E18FB" w:rsidRDefault="00BB4A8C" w:rsidP="00BB4A8C">
      <w:pPr>
        <w:pStyle w:val="NormalWeb"/>
        <w:spacing w:before="0" w:beforeAutospacing="0" w:after="0" w:afterAutospacing="0" w:line="360" w:lineRule="auto"/>
        <w:jc w:val="both"/>
      </w:pPr>
      <w:r w:rsidRPr="008E18FB">
        <w:t xml:space="preserve">IAEC-Institutional Animal Ethics Committee </w:t>
      </w:r>
    </w:p>
    <w:p w14:paraId="6536D08D"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HPLC – High-Performance Liquid Chromatography</w:t>
      </w:r>
    </w:p>
    <w:p w14:paraId="02EBAFC8"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ICH – International Council for Harmonisation of Technical Requirements for Pharmaceuticals for Human Use</w:t>
      </w:r>
    </w:p>
    <w:p w14:paraId="26C3371E"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AUC – Area under the Curve</w:t>
      </w:r>
    </w:p>
    <w:p w14:paraId="2A263ADE"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C</w:t>
      </w:r>
      <w:r w:rsidRPr="000C6D2D">
        <w:rPr>
          <w:rStyle w:val="Strong"/>
          <w:b w:val="0"/>
          <w:bCs w:val="0"/>
          <w:vertAlign w:val="subscript"/>
        </w:rPr>
        <w:t>max</w:t>
      </w:r>
      <w:r w:rsidRPr="008E18FB">
        <w:rPr>
          <w:rStyle w:val="Strong"/>
          <w:b w:val="0"/>
          <w:bCs w:val="0"/>
        </w:rPr>
        <w:t xml:space="preserve"> – Maximum Plasma Concentration</w:t>
      </w:r>
    </w:p>
    <w:p w14:paraId="17AD0D46"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T</w:t>
      </w:r>
      <w:r w:rsidRPr="000C6D2D">
        <w:rPr>
          <w:rStyle w:val="Strong"/>
          <w:b w:val="0"/>
          <w:bCs w:val="0"/>
          <w:vertAlign w:val="subscript"/>
        </w:rPr>
        <w:t>max</w:t>
      </w:r>
      <w:r w:rsidRPr="008E18FB">
        <w:rPr>
          <w:rStyle w:val="Strong"/>
          <w:b w:val="0"/>
          <w:bCs w:val="0"/>
        </w:rPr>
        <w:t xml:space="preserve"> – Time to Reach Maximum Plasma Concentration</w:t>
      </w:r>
    </w:p>
    <w:p w14:paraId="3C9F4E6F"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6FC55D76" w14:textId="77777777" w:rsidR="00461D1F" w:rsidRPr="00461D1F" w:rsidRDefault="00461D1F" w:rsidP="00461D1F">
      <w:pPr>
        <w:spacing w:after="200" w:line="276" w:lineRule="auto"/>
        <w:jc w:val="both"/>
        <w:outlineLvl w:val="0"/>
        <w:rPr>
          <w:rFonts w:ascii="Arial" w:eastAsia="Times New Roman" w:hAnsi="Arial" w:cs="Arial"/>
          <w:lang w:val="en-GB" w:eastAsia="en-GB"/>
        </w:rPr>
      </w:pPr>
      <w:r w:rsidRPr="00461D1F">
        <w:rPr>
          <w:rFonts w:ascii="Arial" w:eastAsia="Times New Roman" w:hAnsi="Arial" w:cs="Arial"/>
          <w:b/>
          <w:bCs/>
          <w:lang w:val="en-GB" w:eastAsia="en-GB"/>
        </w:rPr>
        <w:t>COMPETING INTERESTS DISCLAIMER:</w:t>
      </w:r>
    </w:p>
    <w:p w14:paraId="019F741A" w14:textId="1D9692A4" w:rsidR="00461D1F" w:rsidRDefault="00461D1F" w:rsidP="00461D1F">
      <w:pPr>
        <w:spacing w:after="200" w:line="276" w:lineRule="auto"/>
        <w:rPr>
          <w:rFonts w:ascii="Calibri" w:eastAsia="Times New Roman" w:hAnsi="Calibri" w:cs="Times New Roman"/>
          <w:lang w:val="en-GB" w:eastAsia="en-GB"/>
        </w:rPr>
      </w:pPr>
      <w:r w:rsidRPr="00461D1F">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48461FD" w14:textId="55AFFA87" w:rsidR="0074198C" w:rsidRDefault="0074198C" w:rsidP="00461D1F">
      <w:pPr>
        <w:spacing w:after="200" w:line="276" w:lineRule="auto"/>
        <w:rPr>
          <w:rFonts w:ascii="Calibri" w:eastAsia="Times New Roman" w:hAnsi="Calibri" w:cs="Times New Roman"/>
          <w:lang w:val="en-GB" w:eastAsia="en-GB"/>
        </w:rPr>
      </w:pPr>
    </w:p>
    <w:p w14:paraId="5B2B0228" w14:textId="1BFE8EB4" w:rsidR="0074198C" w:rsidRDefault="0074198C" w:rsidP="00461D1F">
      <w:pPr>
        <w:spacing w:after="200" w:line="276" w:lineRule="auto"/>
        <w:rPr>
          <w:rFonts w:ascii="Calibri" w:eastAsia="Times New Roman" w:hAnsi="Calibri" w:cs="Times New Roman"/>
          <w:lang w:val="en-GB" w:eastAsia="en-GB"/>
        </w:rPr>
      </w:pPr>
    </w:p>
    <w:p w14:paraId="0FB53E86" w14:textId="372C57D2" w:rsidR="0074198C" w:rsidRDefault="0074198C" w:rsidP="00461D1F">
      <w:pPr>
        <w:spacing w:after="200" w:line="276" w:lineRule="auto"/>
        <w:rPr>
          <w:rFonts w:ascii="Calibri" w:eastAsia="Times New Roman" w:hAnsi="Calibri" w:cs="Times New Roman"/>
          <w:lang w:val="en-GB" w:eastAsia="en-GB"/>
        </w:rPr>
      </w:pPr>
    </w:p>
    <w:p w14:paraId="06A4CE2E" w14:textId="77777777" w:rsidR="0074198C" w:rsidRPr="009C5487" w:rsidRDefault="0074198C" w:rsidP="0074198C">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7B866C89"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EFEBBF4"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D7D66F8"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EE3FE28"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99F1A3"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BD7E164"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3EE97BC" w14:textId="77777777" w:rsidR="0074198C" w:rsidRPr="009C5487" w:rsidRDefault="0074198C" w:rsidP="007419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2.</w:t>
      </w:r>
    </w:p>
    <w:p w14:paraId="53400267" w14:textId="77777777" w:rsidR="0074198C" w:rsidRPr="009C5487" w:rsidRDefault="0074198C" w:rsidP="0074198C">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3B31F585" w14:textId="77777777" w:rsidR="0074198C" w:rsidRPr="00461D1F" w:rsidRDefault="0074198C" w:rsidP="00461D1F">
      <w:pPr>
        <w:spacing w:after="200" w:line="276" w:lineRule="auto"/>
        <w:rPr>
          <w:rFonts w:ascii="Calibri" w:eastAsia="Times New Roman" w:hAnsi="Calibri" w:cs="Times New Roman"/>
          <w:lang w:val="en-GB" w:eastAsia="en-GB"/>
        </w:rPr>
      </w:pPr>
    </w:p>
    <w:p w14:paraId="3E373748"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1AE20EF5"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46A6FD91"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0D43ABCF" w14:textId="6D6494A2" w:rsidR="00AE7939" w:rsidRPr="009329C5" w:rsidRDefault="00AE7939" w:rsidP="00AE7939">
      <w:pPr>
        <w:tabs>
          <w:tab w:val="left" w:pos="10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7822D26D" w14:textId="77777777" w:rsidR="00AE7939" w:rsidRPr="009329C5" w:rsidRDefault="00AE7939" w:rsidP="00AE7939">
      <w:pPr>
        <w:pStyle w:val="NormalWeb"/>
        <w:numPr>
          <w:ilvl w:val="0"/>
          <w:numId w:val="6"/>
        </w:numPr>
        <w:spacing w:line="360" w:lineRule="auto"/>
        <w:jc w:val="both"/>
      </w:pPr>
      <w:r w:rsidRPr="009329C5">
        <w:t xml:space="preserve">Salunke, S. et al. (2022) ‘Oral drug delivery strategies for development of poorly water soluble drugs in paediatric patient population’, </w:t>
      </w:r>
      <w:r w:rsidRPr="009329C5">
        <w:rPr>
          <w:rStyle w:val="Emphasis"/>
        </w:rPr>
        <w:t>Advanced Drug Delivery Reviews</w:t>
      </w:r>
      <w:r w:rsidRPr="009329C5">
        <w:t xml:space="preserve">, 190, p. 114507. </w:t>
      </w:r>
      <w:hyperlink r:id="rId9" w:tgtFrame="_new" w:history="1">
        <w:r w:rsidRPr="009329C5">
          <w:rPr>
            <w:rStyle w:val="Hyperlink"/>
          </w:rPr>
          <w:t>https://doi.org/10.1016/j.addr.2022.114507</w:t>
        </w:r>
      </w:hyperlink>
    </w:p>
    <w:p w14:paraId="6AEFA292" w14:textId="77777777" w:rsidR="00AE7939" w:rsidRPr="009329C5" w:rsidRDefault="00AE7939" w:rsidP="00AE7939">
      <w:pPr>
        <w:pStyle w:val="NormalWeb"/>
        <w:numPr>
          <w:ilvl w:val="0"/>
          <w:numId w:val="6"/>
        </w:numPr>
        <w:spacing w:line="360" w:lineRule="auto"/>
        <w:jc w:val="both"/>
      </w:pPr>
      <w:r w:rsidRPr="009329C5">
        <w:t xml:space="preserve">Alqahtani, M.S. et al. (2021) ‘Advances in Oral Drug Delivery’, </w:t>
      </w:r>
      <w:r w:rsidRPr="009329C5">
        <w:rPr>
          <w:rStyle w:val="Emphasis"/>
        </w:rPr>
        <w:t>Frontiers in Pharmacology</w:t>
      </w:r>
      <w:r w:rsidRPr="009329C5">
        <w:t xml:space="preserve">, 12, p. 618411. </w:t>
      </w:r>
      <w:hyperlink r:id="rId10" w:tgtFrame="_new" w:history="1">
        <w:r w:rsidRPr="009329C5">
          <w:rPr>
            <w:rStyle w:val="Hyperlink"/>
          </w:rPr>
          <w:t>https://doi.org/10.3389/fphar.2021.618411</w:t>
        </w:r>
      </w:hyperlink>
    </w:p>
    <w:p w14:paraId="063CA85D" w14:textId="77777777" w:rsidR="00AE7939" w:rsidRPr="009329C5" w:rsidRDefault="00AE7939" w:rsidP="00AE7939">
      <w:pPr>
        <w:pStyle w:val="NormalWeb"/>
        <w:numPr>
          <w:ilvl w:val="0"/>
          <w:numId w:val="6"/>
        </w:numPr>
        <w:spacing w:line="360" w:lineRule="auto"/>
        <w:jc w:val="both"/>
      </w:pPr>
      <w:r w:rsidRPr="009329C5">
        <w:t xml:space="preserve">O’Sullivan, A. et al. (2022) ‘Solid-state and particle size control of pharmaceutical cocrystals using atomization-based techniques’, </w:t>
      </w:r>
      <w:r w:rsidRPr="009329C5">
        <w:rPr>
          <w:rStyle w:val="Emphasis"/>
        </w:rPr>
        <w:t>International Journal of Pharmaceutics</w:t>
      </w:r>
      <w:r w:rsidRPr="009329C5">
        <w:t xml:space="preserve">, 621, p. 121798. </w:t>
      </w:r>
      <w:hyperlink r:id="rId11" w:tgtFrame="_new" w:history="1">
        <w:r w:rsidRPr="009329C5">
          <w:rPr>
            <w:rStyle w:val="Hyperlink"/>
          </w:rPr>
          <w:t>https://doi.org/10.1016/j.ijpharm.2022.121798</w:t>
        </w:r>
      </w:hyperlink>
    </w:p>
    <w:p w14:paraId="6013ABDC" w14:textId="77777777" w:rsidR="00AE7939" w:rsidRPr="009329C5" w:rsidRDefault="00AE7939" w:rsidP="00AE7939">
      <w:pPr>
        <w:pStyle w:val="NormalWeb"/>
        <w:numPr>
          <w:ilvl w:val="0"/>
          <w:numId w:val="6"/>
        </w:numPr>
        <w:spacing w:line="360" w:lineRule="auto"/>
        <w:jc w:val="both"/>
      </w:pPr>
      <w:r w:rsidRPr="009329C5">
        <w:t xml:space="preserve">Yadav, A.V. et al. (2009) ‘Co-crystals: a novel approach to modify physicochemical properties of active pharmaceutical ingredients’, </w:t>
      </w:r>
      <w:r w:rsidRPr="009329C5">
        <w:rPr>
          <w:rStyle w:val="Emphasis"/>
        </w:rPr>
        <w:t>Indian Journal of Pharmaceutical Sciences</w:t>
      </w:r>
      <w:r w:rsidRPr="009329C5">
        <w:t xml:space="preserve">, 71(4), pp. 359–370. </w:t>
      </w:r>
      <w:hyperlink r:id="rId12" w:tgtFrame="_new" w:history="1">
        <w:r w:rsidRPr="009329C5">
          <w:rPr>
            <w:rStyle w:val="Hyperlink"/>
          </w:rPr>
          <w:t>https://doi.org/10.4103/0250-474X.57283</w:t>
        </w:r>
      </w:hyperlink>
    </w:p>
    <w:p w14:paraId="6DB4F9FA" w14:textId="77777777" w:rsidR="00AE7939" w:rsidRPr="009329C5" w:rsidRDefault="00AE7939" w:rsidP="00AE7939">
      <w:pPr>
        <w:pStyle w:val="NormalWeb"/>
        <w:numPr>
          <w:ilvl w:val="0"/>
          <w:numId w:val="6"/>
        </w:numPr>
        <w:spacing w:line="360" w:lineRule="auto"/>
        <w:jc w:val="both"/>
      </w:pPr>
      <w:r w:rsidRPr="009329C5">
        <w:t xml:space="preserve">Serajuddin, A.T.M. (2007) ‘Salt formation to improve drug solubility’, </w:t>
      </w:r>
      <w:r w:rsidRPr="009329C5">
        <w:rPr>
          <w:rStyle w:val="Emphasis"/>
        </w:rPr>
        <w:t>Advanced Drug Delivery Reviews</w:t>
      </w:r>
      <w:r w:rsidRPr="009329C5">
        <w:t xml:space="preserve">, 59(7), pp. 603–616. </w:t>
      </w:r>
      <w:hyperlink r:id="rId13" w:tgtFrame="_new" w:history="1">
        <w:r w:rsidRPr="009329C5">
          <w:rPr>
            <w:rStyle w:val="Hyperlink"/>
          </w:rPr>
          <w:t>https://doi.org/10.1016/j.addr.2007.05.010</w:t>
        </w:r>
      </w:hyperlink>
    </w:p>
    <w:p w14:paraId="52E6CA9B" w14:textId="77777777" w:rsidR="00AE7939" w:rsidRPr="009329C5" w:rsidRDefault="00AE7939" w:rsidP="00AE7939">
      <w:pPr>
        <w:pStyle w:val="NormalWeb"/>
        <w:numPr>
          <w:ilvl w:val="0"/>
          <w:numId w:val="6"/>
        </w:numPr>
        <w:spacing w:line="360" w:lineRule="auto"/>
        <w:jc w:val="both"/>
      </w:pPr>
      <w:r w:rsidRPr="009329C5">
        <w:t xml:space="preserve">Fang, G. et al. (2022) ‘γ-Cyclodextrin-based polypseudorotaxane hydrogels for ophthalmic delivery of flurbiprofen to treat anterior uveitis’, </w:t>
      </w:r>
      <w:r w:rsidRPr="009329C5">
        <w:rPr>
          <w:rStyle w:val="Emphasis"/>
        </w:rPr>
        <w:t>Carbohydrate Polymers</w:t>
      </w:r>
      <w:r w:rsidRPr="009329C5">
        <w:t xml:space="preserve">, 277, p. 118889. </w:t>
      </w:r>
      <w:hyperlink r:id="rId14" w:tgtFrame="_new" w:history="1">
        <w:r w:rsidRPr="009329C5">
          <w:rPr>
            <w:rStyle w:val="Hyperlink"/>
          </w:rPr>
          <w:t>https://doi.org/10.1016/j.carbpol.2021.118889</w:t>
        </w:r>
      </w:hyperlink>
    </w:p>
    <w:p w14:paraId="7AF76D9A" w14:textId="77777777" w:rsidR="00AE7939" w:rsidRPr="009329C5" w:rsidRDefault="00AE7939" w:rsidP="00AE7939">
      <w:pPr>
        <w:pStyle w:val="NormalWeb"/>
        <w:numPr>
          <w:ilvl w:val="0"/>
          <w:numId w:val="6"/>
        </w:numPr>
        <w:spacing w:line="360" w:lineRule="auto"/>
        <w:jc w:val="both"/>
      </w:pPr>
      <w:r w:rsidRPr="009329C5">
        <w:t xml:space="preserve">Kumari, L. et al. (2023) ‘Advancement in Solubilization Approaches: A Step towards Bioavailability Enhancement of Poorly Soluble Drugs’, </w:t>
      </w:r>
      <w:r w:rsidRPr="009329C5">
        <w:rPr>
          <w:rStyle w:val="Emphasis"/>
        </w:rPr>
        <w:t>Life</w:t>
      </w:r>
      <w:r w:rsidRPr="009329C5">
        <w:t xml:space="preserve">, 13(5), p. 1099. </w:t>
      </w:r>
      <w:hyperlink r:id="rId15" w:tgtFrame="_new" w:history="1">
        <w:r w:rsidRPr="009329C5">
          <w:rPr>
            <w:rStyle w:val="Hyperlink"/>
          </w:rPr>
          <w:t>https://doi.org/10.3390/life13051099</w:t>
        </w:r>
      </w:hyperlink>
    </w:p>
    <w:p w14:paraId="0134B039" w14:textId="77777777" w:rsidR="00AE7939" w:rsidRPr="009329C5" w:rsidRDefault="00AE7939" w:rsidP="00AE7939">
      <w:pPr>
        <w:pStyle w:val="NormalWeb"/>
        <w:numPr>
          <w:ilvl w:val="0"/>
          <w:numId w:val="6"/>
        </w:numPr>
        <w:spacing w:line="360" w:lineRule="auto"/>
        <w:jc w:val="both"/>
      </w:pPr>
      <w:r w:rsidRPr="009329C5">
        <w:t xml:space="preserve">Guembe-Michel, N., Nguewa, P. and González-Gaitano, G. (2025) ‘Soluplus®-Based Pharmaceutical Formulations: Recent Advances in Drug Delivery and Biomedical Applications’, </w:t>
      </w:r>
      <w:r w:rsidRPr="009329C5">
        <w:rPr>
          <w:rStyle w:val="Emphasis"/>
        </w:rPr>
        <w:t>International Journal of Molecular Sciences</w:t>
      </w:r>
      <w:r w:rsidRPr="009329C5">
        <w:t xml:space="preserve">, 26(4), p. 1499. </w:t>
      </w:r>
      <w:hyperlink r:id="rId16" w:tgtFrame="_new" w:history="1">
        <w:r w:rsidRPr="009329C5">
          <w:rPr>
            <w:rStyle w:val="Hyperlink"/>
          </w:rPr>
          <w:t>https://doi.org/10.3390/ijms26041499</w:t>
        </w:r>
      </w:hyperlink>
    </w:p>
    <w:p w14:paraId="5D59372C" w14:textId="77777777" w:rsidR="00AE7939" w:rsidRPr="009329C5" w:rsidRDefault="00AE7939" w:rsidP="00AE7939">
      <w:pPr>
        <w:pStyle w:val="NormalWeb"/>
        <w:numPr>
          <w:ilvl w:val="0"/>
          <w:numId w:val="6"/>
        </w:numPr>
        <w:spacing w:line="360" w:lineRule="auto"/>
        <w:jc w:val="both"/>
      </w:pPr>
      <w:r w:rsidRPr="009329C5">
        <w:lastRenderedPageBreak/>
        <w:t xml:space="preserve">Mali, K.D., Shinde, D.T. and Patil, K.R. (2025) ‘Review on Soluplus®: Pharmaceuticals Revolutionizing Drug Delivery and Formulation Strategies’, </w:t>
      </w:r>
      <w:r w:rsidRPr="009329C5">
        <w:rPr>
          <w:rStyle w:val="Emphasis"/>
        </w:rPr>
        <w:t>International Journal of Pharmaceutical Investigation</w:t>
      </w:r>
      <w:r w:rsidRPr="009329C5">
        <w:t xml:space="preserve">, 15(2), pp. 344–360. </w:t>
      </w:r>
      <w:hyperlink r:id="rId17" w:tgtFrame="_new" w:history="1">
        <w:r w:rsidRPr="009329C5">
          <w:rPr>
            <w:rStyle w:val="Hyperlink"/>
          </w:rPr>
          <w:t>https://doi.org/10.5530/ijpi.20250146</w:t>
        </w:r>
      </w:hyperlink>
    </w:p>
    <w:p w14:paraId="42A6833A" w14:textId="77777777" w:rsidR="00AE7939" w:rsidRPr="009329C5" w:rsidRDefault="00AE7939" w:rsidP="00AE7939">
      <w:pPr>
        <w:pStyle w:val="NormalWeb"/>
        <w:numPr>
          <w:ilvl w:val="0"/>
          <w:numId w:val="6"/>
        </w:numPr>
        <w:spacing w:line="360" w:lineRule="auto"/>
        <w:jc w:val="both"/>
      </w:pPr>
      <w:r w:rsidRPr="009329C5">
        <w:t xml:space="preserve">Fule, R. et al. (2014) ‘Preparation and characterisation of lornoxicam solid dispersion systems using hot melt extrusion technique’, </w:t>
      </w:r>
      <w:r w:rsidRPr="009329C5">
        <w:rPr>
          <w:rStyle w:val="Emphasis"/>
        </w:rPr>
        <w:t>Journal of Pharmaceutical Investigation</w:t>
      </w:r>
      <w:r w:rsidRPr="009329C5">
        <w:t xml:space="preserve">, 44(1), pp. 41–50. </w:t>
      </w:r>
      <w:hyperlink r:id="rId18" w:tgtFrame="_new" w:history="1">
        <w:r w:rsidRPr="009329C5">
          <w:rPr>
            <w:rStyle w:val="Hyperlink"/>
          </w:rPr>
          <w:t>https://doi.org/10.1007/s40005-013-0099-7</w:t>
        </w:r>
      </w:hyperlink>
    </w:p>
    <w:p w14:paraId="09053120" w14:textId="77777777" w:rsidR="00AE7939" w:rsidRPr="009329C5" w:rsidRDefault="00AE7939" w:rsidP="00AE7939">
      <w:pPr>
        <w:pStyle w:val="NormalWeb"/>
        <w:numPr>
          <w:ilvl w:val="0"/>
          <w:numId w:val="6"/>
        </w:numPr>
        <w:spacing w:line="360" w:lineRule="auto"/>
        <w:jc w:val="both"/>
      </w:pPr>
      <w:r w:rsidRPr="009329C5">
        <w:t xml:space="preserve">Dadej, A. et al. (2022) ‘Improved solubility of lornoxicam by inclusion into SBA-15: Comparison of loading methods’, </w:t>
      </w:r>
      <w:r w:rsidRPr="009329C5">
        <w:rPr>
          <w:rStyle w:val="Emphasis"/>
        </w:rPr>
        <w:t>European Journal of Pharmaceutical Sciences</w:t>
      </w:r>
      <w:r w:rsidRPr="009329C5">
        <w:t xml:space="preserve">, 171, p. 106133. </w:t>
      </w:r>
      <w:hyperlink r:id="rId19" w:tgtFrame="_new" w:history="1">
        <w:r w:rsidRPr="009329C5">
          <w:rPr>
            <w:rStyle w:val="Hyperlink"/>
          </w:rPr>
          <w:t>https://doi.org/10.1016/j.ejps.2022.106133</w:t>
        </w:r>
      </w:hyperlink>
    </w:p>
    <w:p w14:paraId="273A3F11" w14:textId="77777777" w:rsidR="00AE7939" w:rsidRPr="009329C5" w:rsidRDefault="00AE7939" w:rsidP="00AE7939">
      <w:pPr>
        <w:pStyle w:val="NormalWeb"/>
        <w:numPr>
          <w:ilvl w:val="0"/>
          <w:numId w:val="6"/>
        </w:numPr>
        <w:spacing w:line="360" w:lineRule="auto"/>
        <w:jc w:val="both"/>
      </w:pPr>
      <w:r w:rsidRPr="009329C5">
        <w:t xml:space="preserve">Tran, P.H.-L. et al. (2010) ‘Dissolution-modulating mechanism of pH modifiers in solid dispersion containing weakly acidic or basic drugs with poor water solubility’, </w:t>
      </w:r>
      <w:r w:rsidRPr="009329C5">
        <w:rPr>
          <w:rStyle w:val="Emphasis"/>
        </w:rPr>
        <w:t>Expert Opinion on Drug Delivery</w:t>
      </w:r>
      <w:r w:rsidRPr="009329C5">
        <w:t xml:space="preserve">, 7(5), pp. 647–661. </w:t>
      </w:r>
      <w:hyperlink r:id="rId20" w:tgtFrame="_new" w:history="1">
        <w:r w:rsidRPr="009329C5">
          <w:rPr>
            <w:rStyle w:val="Hyperlink"/>
          </w:rPr>
          <w:t>https://doi.org/10.1517/17425241003645910</w:t>
        </w:r>
      </w:hyperlink>
    </w:p>
    <w:p w14:paraId="009229A0" w14:textId="77777777" w:rsidR="00AE7939" w:rsidRPr="009329C5" w:rsidRDefault="00AE7939" w:rsidP="00AE7939">
      <w:pPr>
        <w:pStyle w:val="NormalWeb"/>
        <w:numPr>
          <w:ilvl w:val="0"/>
          <w:numId w:val="6"/>
        </w:numPr>
        <w:spacing w:line="360" w:lineRule="auto"/>
        <w:jc w:val="both"/>
      </w:pPr>
      <w:r w:rsidRPr="009329C5">
        <w:t xml:space="preserve">Marasini, N. et al. (2013) ‘Fabrication and evaluation of pH-modulated solid dispersion for telmisartan by spray-drying technique’, </w:t>
      </w:r>
      <w:r w:rsidRPr="009329C5">
        <w:rPr>
          <w:rStyle w:val="Emphasis"/>
        </w:rPr>
        <w:t>International Journal of Pharmaceutics</w:t>
      </w:r>
      <w:r w:rsidRPr="009329C5">
        <w:t xml:space="preserve">, 441(1–2), pp. 424–432. </w:t>
      </w:r>
      <w:hyperlink r:id="rId21" w:tgtFrame="_new" w:history="1">
        <w:r w:rsidRPr="009329C5">
          <w:rPr>
            <w:rStyle w:val="Hyperlink"/>
          </w:rPr>
          <w:t>https://doi.org/10.1016/j.ijpharm.2012.11.012</w:t>
        </w:r>
      </w:hyperlink>
    </w:p>
    <w:p w14:paraId="02538651" w14:textId="77777777" w:rsidR="00AE7939" w:rsidRPr="009329C5" w:rsidRDefault="00AE7939" w:rsidP="00AE7939">
      <w:pPr>
        <w:pStyle w:val="NormalWeb"/>
        <w:numPr>
          <w:ilvl w:val="0"/>
          <w:numId w:val="6"/>
        </w:numPr>
        <w:spacing w:line="360" w:lineRule="auto"/>
        <w:jc w:val="both"/>
      </w:pPr>
      <w:r w:rsidRPr="009329C5">
        <w:t xml:space="preserve">McFall, H. et al. (2019) ‘Formulation of aripiprazole-loaded pH-modulated solid dispersions via hot-melt extrusion technology: In vitro and in vivo studies’, </w:t>
      </w:r>
      <w:r w:rsidRPr="009329C5">
        <w:rPr>
          <w:rStyle w:val="Emphasis"/>
        </w:rPr>
        <w:t>International Journal of Pharmaceutics</w:t>
      </w:r>
      <w:r w:rsidRPr="009329C5">
        <w:t xml:space="preserve">, 554, pp. 302–311. </w:t>
      </w:r>
      <w:hyperlink r:id="rId22" w:tgtFrame="_new" w:history="1">
        <w:r w:rsidRPr="009329C5">
          <w:rPr>
            <w:rStyle w:val="Hyperlink"/>
          </w:rPr>
          <w:t>https://doi.org/10.1016/j.ijpharm.2018.11.005</w:t>
        </w:r>
      </w:hyperlink>
    </w:p>
    <w:p w14:paraId="595484D4" w14:textId="77777777" w:rsidR="00AE7939" w:rsidRPr="009329C5" w:rsidRDefault="00AE7939" w:rsidP="00AE7939">
      <w:pPr>
        <w:pStyle w:val="NormalWeb"/>
        <w:numPr>
          <w:ilvl w:val="0"/>
          <w:numId w:val="6"/>
        </w:numPr>
        <w:spacing w:line="360" w:lineRule="auto"/>
        <w:jc w:val="both"/>
      </w:pPr>
      <w:r w:rsidRPr="009329C5">
        <w:t xml:space="preserve">Poudel, S. and Kim, D.W. (2021) ‘Developing pH-Modulated Spray Dried Amorphous Solid Dispersion of Candesartan Cilexetil with Enhanced In Vitro and In Vivo Performance’, </w:t>
      </w:r>
      <w:r w:rsidRPr="009329C5">
        <w:rPr>
          <w:rStyle w:val="Emphasis"/>
        </w:rPr>
        <w:t>Pharmaceutics</w:t>
      </w:r>
      <w:r w:rsidRPr="009329C5">
        <w:t xml:space="preserve">, 13(4), p. 497. </w:t>
      </w:r>
      <w:hyperlink r:id="rId23" w:tgtFrame="_new" w:history="1">
        <w:r w:rsidRPr="009329C5">
          <w:rPr>
            <w:rStyle w:val="Hyperlink"/>
          </w:rPr>
          <w:t>https://doi.org/10.3390/pharmaceutics13040497</w:t>
        </w:r>
      </w:hyperlink>
    </w:p>
    <w:p w14:paraId="1A788F39" w14:textId="77777777" w:rsidR="00AE7939" w:rsidRPr="009329C5" w:rsidRDefault="00AE7939" w:rsidP="00AE7939">
      <w:pPr>
        <w:pStyle w:val="NormalWeb"/>
        <w:numPr>
          <w:ilvl w:val="0"/>
          <w:numId w:val="6"/>
        </w:numPr>
        <w:spacing w:line="360" w:lineRule="auto"/>
        <w:jc w:val="both"/>
      </w:pPr>
      <w:r w:rsidRPr="009329C5">
        <w:t xml:space="preserve">Srivastava, A. et al. (2023) ‘Design, Optimization, and Characterization of a Novel Amorphous Solid Dispersion Formulation for Enhancement of Solubility and Dissolution of Ticagrelor’, </w:t>
      </w:r>
      <w:r w:rsidRPr="009329C5">
        <w:rPr>
          <w:rStyle w:val="Emphasis"/>
        </w:rPr>
        <w:t>International Journal of Applied Pharmaceutics</w:t>
      </w:r>
      <w:r w:rsidRPr="009329C5">
        <w:t xml:space="preserve">, 15(4), pp. 296–305. </w:t>
      </w:r>
      <w:hyperlink r:id="rId24" w:tgtFrame="_new" w:history="1">
        <w:r w:rsidRPr="009329C5">
          <w:rPr>
            <w:rStyle w:val="Hyperlink"/>
          </w:rPr>
          <w:t>https://doi.org/10.22159/ijap.2023v15i4.47618</w:t>
        </w:r>
      </w:hyperlink>
    </w:p>
    <w:p w14:paraId="1E1B2C8A" w14:textId="77777777" w:rsidR="00AE7939" w:rsidRPr="009329C5" w:rsidRDefault="00AE7939" w:rsidP="00AE7939">
      <w:pPr>
        <w:pStyle w:val="NormalWeb"/>
        <w:numPr>
          <w:ilvl w:val="0"/>
          <w:numId w:val="6"/>
        </w:numPr>
        <w:spacing w:line="360" w:lineRule="auto"/>
        <w:jc w:val="both"/>
      </w:pPr>
      <w:r w:rsidRPr="009329C5">
        <w:t xml:space="preserve">Chakraborty, P. et al. (2013) ‘Design Expert Supported Mathematical Optimization and Predictability Study of Buccoadhesive Pharmaceutical Wafers of Loratadine’, </w:t>
      </w:r>
      <w:r w:rsidRPr="009329C5">
        <w:rPr>
          <w:rStyle w:val="Emphasis"/>
        </w:rPr>
        <w:t>BioMed Research International</w:t>
      </w:r>
      <w:r w:rsidRPr="009329C5">
        <w:t xml:space="preserve">, 2013, p. 197398. </w:t>
      </w:r>
      <w:hyperlink r:id="rId25" w:tgtFrame="_new" w:history="1">
        <w:r w:rsidRPr="009329C5">
          <w:rPr>
            <w:rStyle w:val="Hyperlink"/>
          </w:rPr>
          <w:t>https://doi.org/10.1155/2013/197398</w:t>
        </w:r>
      </w:hyperlink>
    </w:p>
    <w:p w14:paraId="138871C4" w14:textId="77777777" w:rsidR="00AE7939" w:rsidRPr="009329C5" w:rsidRDefault="00AE7939" w:rsidP="00AE7939">
      <w:pPr>
        <w:pStyle w:val="NormalWeb"/>
        <w:numPr>
          <w:ilvl w:val="0"/>
          <w:numId w:val="6"/>
        </w:numPr>
        <w:spacing w:line="360" w:lineRule="auto"/>
        <w:jc w:val="both"/>
      </w:pPr>
      <w:r w:rsidRPr="009329C5">
        <w:lastRenderedPageBreak/>
        <w:t xml:space="preserve">Almotairi, N. et al. (2022) ‘Design and Optimization of Lornoxicam Dispersible Tablets Using Quality by Design (QbD) Approach’, </w:t>
      </w:r>
      <w:r w:rsidRPr="009329C5">
        <w:rPr>
          <w:rStyle w:val="Emphasis"/>
        </w:rPr>
        <w:t>Pharmaceuticals</w:t>
      </w:r>
      <w:r w:rsidRPr="009329C5">
        <w:t xml:space="preserve">, 15(12), p. 1743. </w:t>
      </w:r>
      <w:hyperlink r:id="rId26" w:tgtFrame="_new" w:history="1">
        <w:r w:rsidRPr="009329C5">
          <w:rPr>
            <w:rStyle w:val="Hyperlink"/>
          </w:rPr>
          <w:t>https://doi.org/10.3390/ph15121743</w:t>
        </w:r>
      </w:hyperlink>
    </w:p>
    <w:p w14:paraId="7481388D" w14:textId="77777777" w:rsidR="00AE7939" w:rsidRPr="009329C5" w:rsidRDefault="00AE7939" w:rsidP="00AE7939">
      <w:pPr>
        <w:pStyle w:val="NormalWeb"/>
        <w:numPr>
          <w:ilvl w:val="0"/>
          <w:numId w:val="6"/>
        </w:numPr>
        <w:spacing w:line="360" w:lineRule="auto"/>
        <w:jc w:val="both"/>
      </w:pPr>
      <w:r w:rsidRPr="009329C5">
        <w:t xml:space="preserve">Verma, S. et al. (2011) ‘Formulation, evaluation and optimization of solid dispersion of Glipizide using face centered central composite design’, </w:t>
      </w:r>
      <w:r w:rsidRPr="009329C5">
        <w:rPr>
          <w:rStyle w:val="Emphasis"/>
        </w:rPr>
        <w:t>International Journal of Pharmacy and Pharmaceutical Sciences</w:t>
      </w:r>
      <w:r w:rsidRPr="009329C5">
        <w:t>, 3(Suppl 5), pp. 475–482.</w:t>
      </w:r>
    </w:p>
    <w:p w14:paraId="1C637CF3" w14:textId="77777777" w:rsidR="00AE7939" w:rsidRPr="009329C5" w:rsidRDefault="00AE7939" w:rsidP="00AE7939">
      <w:pPr>
        <w:pStyle w:val="NormalWeb"/>
        <w:numPr>
          <w:ilvl w:val="0"/>
          <w:numId w:val="6"/>
        </w:numPr>
        <w:spacing w:line="360" w:lineRule="auto"/>
        <w:jc w:val="both"/>
      </w:pPr>
      <w:r w:rsidRPr="009329C5">
        <w:t xml:space="preserve">Emam, M.F. et al. (2022) ‘Optimization of Meloxicam Solid Dispersion Formulations for Dissolution Enhancement and Storage Stability Using 3³ Full Factorial Design Based on Response Surface Methodology’, </w:t>
      </w:r>
      <w:r w:rsidRPr="009329C5">
        <w:rPr>
          <w:rStyle w:val="Emphasis"/>
        </w:rPr>
        <w:t>AAPS PharmSciTech</w:t>
      </w:r>
      <w:r w:rsidRPr="009329C5">
        <w:t xml:space="preserve">, 23(7), p. 248. </w:t>
      </w:r>
      <w:hyperlink r:id="rId27" w:tgtFrame="_new" w:history="1">
        <w:r w:rsidRPr="009329C5">
          <w:rPr>
            <w:rStyle w:val="Hyperlink"/>
          </w:rPr>
          <w:t>https://doi.org/10.1208/s12249-022-02394-7</w:t>
        </w:r>
      </w:hyperlink>
    </w:p>
    <w:p w14:paraId="2FBD3658" w14:textId="77777777" w:rsidR="00AE7939" w:rsidRPr="009329C5" w:rsidRDefault="00AE7939" w:rsidP="00AE7939">
      <w:pPr>
        <w:pStyle w:val="NormalWeb"/>
        <w:numPr>
          <w:ilvl w:val="0"/>
          <w:numId w:val="6"/>
        </w:numPr>
        <w:spacing w:line="360" w:lineRule="auto"/>
        <w:jc w:val="both"/>
      </w:pPr>
      <w:r w:rsidRPr="009329C5">
        <w:t xml:space="preserve">Kesisoglou, F. et al. (2015) ‘Development of In Vitro–In Vivo Correlation for Amorphous Solid Dispersion Immediate-Release Suvorexant Tablets and Application to Clinically Relevant Dissolution Specifications and In-Process Controls’, </w:t>
      </w:r>
      <w:r w:rsidRPr="009329C5">
        <w:rPr>
          <w:rStyle w:val="Emphasis"/>
        </w:rPr>
        <w:t>Journal of Pharmaceutical Sciences</w:t>
      </w:r>
      <w:r w:rsidRPr="009329C5">
        <w:t xml:space="preserve">, 104(9), pp. 2913–2922. </w:t>
      </w:r>
      <w:hyperlink r:id="rId28" w:tgtFrame="_new" w:history="1">
        <w:r w:rsidRPr="009329C5">
          <w:rPr>
            <w:rStyle w:val="Hyperlink"/>
          </w:rPr>
          <w:t>https://doi.org/10.1002/jps.24362</w:t>
        </w:r>
      </w:hyperlink>
    </w:p>
    <w:p w14:paraId="08DA8D10" w14:textId="77777777" w:rsidR="00AE7939" w:rsidRPr="009329C5" w:rsidRDefault="00AE7939" w:rsidP="00AE7939">
      <w:pPr>
        <w:numPr>
          <w:ilvl w:val="0"/>
          <w:numId w:val="6"/>
        </w:numPr>
        <w:spacing w:before="100" w:beforeAutospacing="1" w:after="100" w:afterAutospacing="1" w:line="360" w:lineRule="auto"/>
        <w:jc w:val="both"/>
        <w:rPr>
          <w:rFonts w:ascii="Times New Roman" w:hAnsi="Times New Roman" w:cs="Times New Roman"/>
          <w:sz w:val="24"/>
          <w:szCs w:val="24"/>
        </w:rPr>
      </w:pPr>
      <w:r w:rsidRPr="009329C5">
        <w:rPr>
          <w:rFonts w:ascii="Times New Roman" w:hAnsi="Times New Roman" w:cs="Times New Roman"/>
          <w:sz w:val="24"/>
          <w:szCs w:val="24"/>
        </w:rPr>
        <w:t xml:space="preserve">Ankur, S., Vaishali, K. and Santosh, P. (2016) ‘Lornoxicam Based Solid Dispersion of Spray-Dried Cellulose Nanofibers as Novel Tablet Excipient’, </w:t>
      </w:r>
      <w:r w:rsidRPr="009329C5">
        <w:rPr>
          <w:rStyle w:val="Emphasis"/>
          <w:rFonts w:ascii="Times New Roman" w:hAnsi="Times New Roman" w:cs="Times New Roman"/>
          <w:sz w:val="24"/>
          <w:szCs w:val="24"/>
        </w:rPr>
        <w:t>Inventi Rapid: Novel Excipients</w:t>
      </w:r>
      <w:r w:rsidRPr="009329C5">
        <w:rPr>
          <w:rFonts w:ascii="Times New Roman" w:hAnsi="Times New Roman" w:cs="Times New Roman"/>
          <w:sz w:val="24"/>
          <w:szCs w:val="24"/>
        </w:rPr>
        <w:t>, 2016(4), pp. 1–11.</w:t>
      </w:r>
    </w:p>
    <w:p w14:paraId="4362500A" w14:textId="77777777" w:rsidR="00AE7939" w:rsidRPr="009329C5" w:rsidRDefault="00AE7939" w:rsidP="00AE7939">
      <w:pPr>
        <w:pStyle w:val="NormalWeb"/>
        <w:numPr>
          <w:ilvl w:val="0"/>
          <w:numId w:val="7"/>
        </w:numPr>
        <w:spacing w:line="360" w:lineRule="auto"/>
        <w:jc w:val="both"/>
      </w:pPr>
      <w:r w:rsidRPr="009329C5">
        <w:t xml:space="preserve">Panda, R. and Lankalapalli, S. (2023) ‘Design of Experiments and Optimization of Amorphous Solid Dispersion of a BCS Class IV Anti-Platelet Drug Through Factorial Design’, </w:t>
      </w:r>
      <w:r w:rsidRPr="009329C5">
        <w:rPr>
          <w:rStyle w:val="Emphasis"/>
        </w:rPr>
        <w:t>International Journal of Applied Pharmaceutics</w:t>
      </w:r>
      <w:r w:rsidRPr="009329C5">
        <w:t xml:space="preserve">, 15(6), pp. 353–364. </w:t>
      </w:r>
      <w:hyperlink r:id="rId29" w:tgtFrame="_new" w:history="1">
        <w:r w:rsidRPr="009329C5">
          <w:rPr>
            <w:rStyle w:val="Hyperlink"/>
          </w:rPr>
          <w:t>https://doi.org/10.22159/ijap.2023v15i6.48767</w:t>
        </w:r>
      </w:hyperlink>
    </w:p>
    <w:p w14:paraId="2DA57670" w14:textId="77777777" w:rsidR="00AE7939" w:rsidRPr="009329C5" w:rsidRDefault="00AE7939" w:rsidP="00AE7939">
      <w:pPr>
        <w:pStyle w:val="NormalWeb"/>
        <w:numPr>
          <w:ilvl w:val="0"/>
          <w:numId w:val="7"/>
        </w:numPr>
        <w:spacing w:line="360" w:lineRule="auto"/>
        <w:jc w:val="both"/>
      </w:pPr>
      <w:r w:rsidRPr="009329C5">
        <w:t xml:space="preserve">Sakure, K., Kumari, L. and Badwaik, H. (2020) ‘Development and evaluation of solid dispersion based rapid disintegrating tablets of poorly water-soluble anti-diabetic drug’, </w:t>
      </w:r>
      <w:r w:rsidRPr="009329C5">
        <w:rPr>
          <w:rStyle w:val="Emphasis"/>
        </w:rPr>
        <w:t>Journal of Drug Delivery Science and Technology</w:t>
      </w:r>
      <w:r w:rsidRPr="009329C5">
        <w:t xml:space="preserve">, 60, p. 101942. </w:t>
      </w:r>
      <w:hyperlink r:id="rId30" w:tgtFrame="_new" w:history="1">
        <w:r w:rsidRPr="009329C5">
          <w:rPr>
            <w:rStyle w:val="Hyperlink"/>
          </w:rPr>
          <w:t>https://doi.org/10.1016/j.jddst.2020.101942</w:t>
        </w:r>
      </w:hyperlink>
    </w:p>
    <w:p w14:paraId="3FBD6241" w14:textId="77777777" w:rsidR="00AE7939" w:rsidRPr="009329C5" w:rsidRDefault="00AE7939" w:rsidP="00AE7939">
      <w:pPr>
        <w:pStyle w:val="NormalWeb"/>
        <w:numPr>
          <w:ilvl w:val="0"/>
          <w:numId w:val="7"/>
        </w:numPr>
        <w:spacing w:line="360" w:lineRule="auto"/>
        <w:jc w:val="both"/>
      </w:pPr>
      <w:r w:rsidRPr="009329C5">
        <w:t xml:space="preserve">Eisa, A.M., El-Megrab, N.A. and El-Nahas, H.M. (2022) ‘Formulation and evaluation of fast dissolving tablets of haloperidol solid dispersion’, </w:t>
      </w:r>
      <w:r w:rsidRPr="009329C5">
        <w:rPr>
          <w:rStyle w:val="Emphasis"/>
        </w:rPr>
        <w:t>Saudi Pharmaceutical Journal</w:t>
      </w:r>
      <w:r w:rsidRPr="009329C5">
        <w:t xml:space="preserve">, 30(11), pp. 1589–1602. </w:t>
      </w:r>
      <w:hyperlink r:id="rId31" w:tgtFrame="_new" w:history="1">
        <w:r w:rsidRPr="009329C5">
          <w:rPr>
            <w:rStyle w:val="Hyperlink"/>
          </w:rPr>
          <w:t>https://doi.org/10.1016/j.jsps.2022.09.002</w:t>
        </w:r>
      </w:hyperlink>
    </w:p>
    <w:p w14:paraId="5F6F40F6" w14:textId="77777777" w:rsidR="00AE7939" w:rsidRPr="009329C5" w:rsidRDefault="00AE7939" w:rsidP="00AE7939">
      <w:pPr>
        <w:pStyle w:val="NormalWeb"/>
        <w:numPr>
          <w:ilvl w:val="0"/>
          <w:numId w:val="7"/>
        </w:numPr>
        <w:spacing w:line="360" w:lineRule="auto"/>
        <w:jc w:val="both"/>
      </w:pPr>
      <w:r w:rsidRPr="009329C5">
        <w:t xml:space="preserve">Juan, C. et al. (2023) ‘Development of ivermectin orally disintegrating tablets using factorial design: In-vitro evaluation and in vivo absorption pattern in rats’, </w:t>
      </w:r>
      <w:r w:rsidRPr="009329C5">
        <w:rPr>
          <w:rStyle w:val="Emphasis"/>
        </w:rPr>
        <w:t>Journal of Drug Delivery Science and Technology</w:t>
      </w:r>
      <w:r w:rsidRPr="009329C5">
        <w:t xml:space="preserve">, 87, p. 104757. </w:t>
      </w:r>
      <w:hyperlink r:id="rId32" w:tgtFrame="_new" w:history="1">
        <w:r w:rsidRPr="009329C5">
          <w:rPr>
            <w:rStyle w:val="Hyperlink"/>
          </w:rPr>
          <w:t>https://doi.org/10.1016/j.jddst.2023.104757</w:t>
        </w:r>
      </w:hyperlink>
    </w:p>
    <w:p w14:paraId="4A1C060B" w14:textId="77777777" w:rsidR="00AE7939" w:rsidRPr="009329C5" w:rsidRDefault="00AE7939" w:rsidP="00AE7939">
      <w:pPr>
        <w:pStyle w:val="NormalWeb"/>
        <w:numPr>
          <w:ilvl w:val="0"/>
          <w:numId w:val="7"/>
        </w:numPr>
        <w:spacing w:line="360" w:lineRule="auto"/>
        <w:jc w:val="both"/>
      </w:pPr>
      <w:r w:rsidRPr="009329C5">
        <w:lastRenderedPageBreak/>
        <w:t xml:space="preserve">Li, F. et al. (2015) ‘Preparation and pharmacokinetics evaluation of oral self-emulsifying system for poorly water-soluble drug Lornoxicam’, </w:t>
      </w:r>
      <w:r w:rsidRPr="009329C5">
        <w:rPr>
          <w:rStyle w:val="Emphasis"/>
        </w:rPr>
        <w:t>Drug Delivery</w:t>
      </w:r>
      <w:r w:rsidRPr="009329C5">
        <w:t xml:space="preserve">, 22(4), pp. 487–498. </w:t>
      </w:r>
      <w:hyperlink r:id="rId33" w:tgtFrame="_new" w:history="1">
        <w:r w:rsidRPr="009329C5">
          <w:rPr>
            <w:rStyle w:val="Hyperlink"/>
          </w:rPr>
          <w:t>https://doi.org/10.3109/10717544.2014.885615</w:t>
        </w:r>
      </w:hyperlink>
    </w:p>
    <w:p w14:paraId="3020A452" w14:textId="77777777" w:rsidR="00AE7939" w:rsidRPr="009329C5" w:rsidRDefault="00AE7939" w:rsidP="00AE7939">
      <w:pPr>
        <w:pStyle w:val="NormalWeb"/>
        <w:numPr>
          <w:ilvl w:val="0"/>
          <w:numId w:val="7"/>
        </w:numPr>
        <w:spacing w:line="360" w:lineRule="auto"/>
        <w:jc w:val="both"/>
      </w:pPr>
      <w:r w:rsidRPr="009329C5">
        <w:t xml:space="preserve">Salama, A., El-Hashemy, H.A. and Darwish, A.B. (2022) ‘Formulation and optimization of lornoxicam-loaded bilosomes using 2³ full factorial design for the management of osteoarthritis in rats: Modulation of MAPK/Erk1 signaling pathway’, </w:t>
      </w:r>
      <w:r w:rsidRPr="009329C5">
        <w:rPr>
          <w:rStyle w:val="Emphasis"/>
        </w:rPr>
        <w:t>Journal of Drug Delivery Science and Technology</w:t>
      </w:r>
      <w:r w:rsidRPr="009329C5">
        <w:t xml:space="preserve">, 69, p. 103175. </w:t>
      </w:r>
      <w:hyperlink r:id="rId34" w:tgtFrame="_new" w:history="1">
        <w:r w:rsidRPr="009329C5">
          <w:rPr>
            <w:rStyle w:val="Hyperlink"/>
          </w:rPr>
          <w:t>https://doi.org/10.1016/j.jddst.2022.103175</w:t>
        </w:r>
      </w:hyperlink>
    </w:p>
    <w:p w14:paraId="6F4CACD6" w14:textId="77777777" w:rsidR="00AE7939" w:rsidRPr="009329C5" w:rsidRDefault="00AE7939" w:rsidP="00AE7939">
      <w:pPr>
        <w:pStyle w:val="NormalWeb"/>
        <w:numPr>
          <w:ilvl w:val="0"/>
          <w:numId w:val="7"/>
        </w:numPr>
        <w:spacing w:line="360" w:lineRule="auto"/>
        <w:jc w:val="both"/>
      </w:pPr>
      <w:r w:rsidRPr="009329C5">
        <w:t xml:space="preserve">Furqan Ahsan, S. et al. (2019) ‘Formulation and stability studies of fast disintegrating tablets of amlodipine besylate’, </w:t>
      </w:r>
      <w:r w:rsidRPr="009329C5">
        <w:rPr>
          <w:rStyle w:val="Emphasis"/>
        </w:rPr>
        <w:t>Indian Journal of Pharmaceutical Education and Research</w:t>
      </w:r>
      <w:r w:rsidRPr="009329C5">
        <w:t xml:space="preserve">, 53(3), pp. 480–493. </w:t>
      </w:r>
      <w:hyperlink r:id="rId35" w:tgtFrame="_new" w:history="1">
        <w:r w:rsidRPr="009329C5">
          <w:rPr>
            <w:rStyle w:val="Hyperlink"/>
          </w:rPr>
          <w:t>https://doi.org/10.5530/ijper.53.3.80</w:t>
        </w:r>
      </w:hyperlink>
    </w:p>
    <w:p w14:paraId="6B8F7FC8" w14:textId="77777777" w:rsidR="00AE7939" w:rsidRPr="009329C5" w:rsidRDefault="00AE7939" w:rsidP="00AE7939">
      <w:pPr>
        <w:pStyle w:val="NormalWeb"/>
        <w:numPr>
          <w:ilvl w:val="0"/>
          <w:numId w:val="7"/>
        </w:numPr>
        <w:spacing w:line="360" w:lineRule="auto"/>
        <w:jc w:val="both"/>
      </w:pPr>
      <w:r w:rsidRPr="009329C5">
        <w:t xml:space="preserve">Tekade, A.R. and Yadav, J.N. (2020) ‘A Review on Solid Dispersion and Carriers Used Therein for Solubility Enhancement of Poorly Water-Soluble Drugs’, </w:t>
      </w:r>
      <w:r w:rsidRPr="009329C5">
        <w:rPr>
          <w:rStyle w:val="Emphasis"/>
        </w:rPr>
        <w:t>Advanced Pharmaceutical Bulletin</w:t>
      </w:r>
      <w:r w:rsidRPr="009329C5">
        <w:t xml:space="preserve">, 10(3), pp. 359–369. </w:t>
      </w:r>
      <w:hyperlink r:id="rId36" w:tgtFrame="_new" w:history="1">
        <w:r w:rsidRPr="009329C5">
          <w:rPr>
            <w:rStyle w:val="Hyperlink"/>
          </w:rPr>
          <w:t>https://doi.org/10.34172/apb.2020.044</w:t>
        </w:r>
      </w:hyperlink>
    </w:p>
    <w:p w14:paraId="7B3B2521" w14:textId="40AD8AC0" w:rsidR="00536737" w:rsidRDefault="00AE7939" w:rsidP="00AE7939">
      <w:pPr>
        <w:pStyle w:val="NormalWeb"/>
        <w:numPr>
          <w:ilvl w:val="0"/>
          <w:numId w:val="7"/>
        </w:numPr>
        <w:spacing w:line="360" w:lineRule="auto"/>
        <w:jc w:val="both"/>
      </w:pPr>
      <w:r w:rsidRPr="009329C5">
        <w:t xml:space="preserve">Xie, B. et al. (2024) ‘Solubilization techniques used for poorly water-soluble drugs’, </w:t>
      </w:r>
      <w:r w:rsidRPr="009329C5">
        <w:rPr>
          <w:rStyle w:val="Emphasis"/>
        </w:rPr>
        <w:t>Acta Pharmaceutica Sinica B</w:t>
      </w:r>
      <w:r w:rsidRPr="009329C5">
        <w:t xml:space="preserve">, 14(11), pp. 4683–4716. </w:t>
      </w:r>
      <w:hyperlink r:id="rId37" w:tgtFrame="_new" w:history="1">
        <w:r w:rsidRPr="009329C5">
          <w:rPr>
            <w:rStyle w:val="Hyperlink"/>
          </w:rPr>
          <w:t>https://doi.org/10.1016/j.apsb.2024.08.027</w:t>
        </w:r>
      </w:hyperlink>
    </w:p>
    <w:p w14:paraId="5CB0CFC0" w14:textId="2DF2D05D" w:rsidR="00DB44AF" w:rsidRDefault="00A05F32" w:rsidP="00C05F42">
      <w:pPr>
        <w:pStyle w:val="NormalWeb"/>
        <w:spacing w:line="360" w:lineRule="auto"/>
        <w:ind w:left="720"/>
        <w:jc w:val="both"/>
        <w:rPr>
          <w:rStyle w:val="Hyperlink"/>
          <w:color w:val="auto"/>
          <w:u w:val="none"/>
        </w:rPr>
      </w:pPr>
      <w:r>
        <w:rPr>
          <w:rStyle w:val="Hyperlink"/>
          <w:color w:val="auto"/>
          <w:highlight w:val="yellow"/>
          <w:u w:val="none"/>
        </w:rPr>
        <w:t xml:space="preserve">32. </w:t>
      </w:r>
      <w:r w:rsidRPr="00D83189">
        <w:rPr>
          <w:rStyle w:val="Hyperlink"/>
          <w:color w:val="auto"/>
          <w:highlight w:val="yellow"/>
          <w:u w:val="none"/>
        </w:rPr>
        <w:t>Kumar, V., Bansal, V., Madhavan, A., Kumar, M., Sindhu, R., Awasthi, M. K., ... &amp; Saran, S. (2022). Active pharmaceutical ingredient (API) chemicals: a critical review of current biotechnological approaches. Bioengineered, 13(2), 4309-4327.</w:t>
      </w:r>
      <w:r w:rsidRPr="00D83189">
        <w:rPr>
          <w:rStyle w:val="Hyperlink"/>
          <w:color w:val="auto"/>
          <w:highlight w:val="yellow"/>
          <w:u w:val="none"/>
        </w:rPr>
        <w:t xml:space="preserve">  </w:t>
      </w:r>
      <w:r>
        <w:rPr>
          <w:rStyle w:val="Hyperlink"/>
          <w:color w:val="auto"/>
          <w:highlight w:val="yellow"/>
          <w:u w:val="none"/>
        </w:rPr>
        <w:t xml:space="preserve">33. </w:t>
      </w:r>
      <w:r w:rsidRPr="00D83189">
        <w:rPr>
          <w:rStyle w:val="Hyperlink"/>
          <w:color w:val="auto"/>
          <w:highlight w:val="yellow"/>
          <w:u w:val="none"/>
        </w:rPr>
        <w:t>Alburyhi, M. M., Saif, A. A., &amp; Noman, M. A. (2025). Lornoxicam-Excipient Compatibility Studies for Microsponge-Based Drug Delivery Systems Development. System, 1, 120.</w:t>
      </w:r>
      <w:r>
        <w:rPr>
          <w:rStyle w:val="Hyperlink"/>
          <w:color w:val="auto"/>
          <w:u w:val="none"/>
        </w:rPr>
        <w:t xml:space="preserve">   </w:t>
      </w:r>
    </w:p>
    <w:p w14:paraId="71BE0667" w14:textId="73C96172" w:rsidR="00C05F42" w:rsidRDefault="00C05F42" w:rsidP="00C05F42">
      <w:pPr>
        <w:pStyle w:val="NormalWeb"/>
        <w:spacing w:line="360" w:lineRule="auto"/>
        <w:ind w:left="720"/>
        <w:jc w:val="both"/>
        <w:rPr>
          <w:rStyle w:val="Hyperlink"/>
          <w:color w:val="auto"/>
          <w:u w:val="none"/>
        </w:rPr>
      </w:pPr>
      <w:r>
        <w:rPr>
          <w:rStyle w:val="Hyperlink"/>
          <w:color w:val="auto"/>
          <w:u w:val="none"/>
        </w:rPr>
        <w:t xml:space="preserve">34. </w:t>
      </w:r>
      <w:r w:rsidRPr="00D83189">
        <w:rPr>
          <w:rStyle w:val="Hyperlink"/>
          <w:color w:val="auto"/>
          <w:highlight w:val="yellow"/>
          <w:u w:val="none"/>
        </w:rPr>
        <w:t>Alburyhi, M. M., Yahya, T. A., Saif, A. A., &amp; Noman, M. A. (2025). Formulation and Evaluation of Lornoxicam Microsponge-Based Gel as A Transdermal Drug Delivery Systems. World Journal of Pharmaceutical and Life Sciences, 11(5), 200-217.</w:t>
      </w:r>
      <w:r>
        <w:rPr>
          <w:rStyle w:val="Hyperlink"/>
          <w:color w:val="auto"/>
          <w:u w:val="none"/>
        </w:rPr>
        <w:t xml:space="preserve">  </w:t>
      </w:r>
    </w:p>
    <w:p w14:paraId="682E34C4" w14:textId="57305C65" w:rsidR="00DB44AF" w:rsidRDefault="00C05F42" w:rsidP="00DB44AF">
      <w:pPr>
        <w:pStyle w:val="NormalWeb"/>
        <w:spacing w:line="360" w:lineRule="auto"/>
        <w:jc w:val="both"/>
        <w:rPr>
          <w:rStyle w:val="Hyperlink"/>
        </w:rPr>
      </w:pPr>
      <w:r>
        <w:rPr>
          <w:rStyle w:val="Hyperlink"/>
          <w:color w:val="auto"/>
          <w:u w:val="none"/>
        </w:rPr>
        <w:t xml:space="preserve">35. </w:t>
      </w:r>
      <w:r w:rsidRPr="00D83189">
        <w:rPr>
          <w:rStyle w:val="Hyperlink"/>
          <w:color w:val="auto"/>
          <w:highlight w:val="yellow"/>
          <w:u w:val="none"/>
        </w:rPr>
        <w:t>Saxena, A. K., &amp; Verma, N. (2021). Formulation and characterization of modified release microspheres of lornoxicam using okra gum as natural polymer and ethyl cellulose as synthetic polymer. Journal of Pharmaceutical Research International, 33(47A), 299–326.</w:t>
      </w:r>
      <w:r>
        <w:rPr>
          <w:rStyle w:val="Hyperlink"/>
          <w:color w:val="auto"/>
          <w:u w:val="none"/>
        </w:rPr>
        <w:t xml:space="preserve">  </w:t>
      </w:r>
    </w:p>
    <w:p w14:paraId="75A51CB6" w14:textId="5A4B771D" w:rsidR="00DB44AF" w:rsidRDefault="00DB44AF" w:rsidP="00DB44AF">
      <w:pPr>
        <w:pStyle w:val="NormalWeb"/>
        <w:spacing w:line="360" w:lineRule="auto"/>
        <w:jc w:val="both"/>
        <w:rPr>
          <w:rStyle w:val="Hyperlink"/>
        </w:rPr>
      </w:pPr>
    </w:p>
    <w:p w14:paraId="1C257D43" w14:textId="65433221" w:rsidR="00DB44AF" w:rsidRDefault="00DB44AF" w:rsidP="00DB44AF">
      <w:pPr>
        <w:pStyle w:val="NormalWeb"/>
        <w:spacing w:line="360" w:lineRule="auto"/>
        <w:jc w:val="both"/>
        <w:rPr>
          <w:rStyle w:val="Hyperlink"/>
        </w:rPr>
      </w:pPr>
    </w:p>
    <w:p w14:paraId="5DE6FE11" w14:textId="01ADC977" w:rsidR="00DB44AF" w:rsidRDefault="00DB44AF" w:rsidP="00DB44AF">
      <w:pPr>
        <w:pStyle w:val="NormalWeb"/>
        <w:spacing w:line="360" w:lineRule="auto"/>
        <w:jc w:val="both"/>
        <w:rPr>
          <w:rStyle w:val="Hyperlink"/>
        </w:rPr>
      </w:pPr>
    </w:p>
    <w:p w14:paraId="0316944E" w14:textId="14441F0D" w:rsidR="00DB44AF" w:rsidRDefault="00DB44AF" w:rsidP="00DB44AF">
      <w:pPr>
        <w:pStyle w:val="NormalWeb"/>
        <w:spacing w:line="360" w:lineRule="auto"/>
        <w:jc w:val="both"/>
        <w:rPr>
          <w:rStyle w:val="Hyperlink"/>
        </w:rPr>
      </w:pPr>
    </w:p>
    <w:p w14:paraId="1467EE5E" w14:textId="72304449" w:rsidR="00DB44AF" w:rsidRDefault="00DB44AF" w:rsidP="00DB44AF">
      <w:pPr>
        <w:pStyle w:val="NormalWeb"/>
        <w:spacing w:line="360" w:lineRule="auto"/>
        <w:jc w:val="both"/>
        <w:rPr>
          <w:rStyle w:val="Hyperlink"/>
        </w:rPr>
      </w:pPr>
    </w:p>
    <w:p w14:paraId="40B89EBF" w14:textId="05AEE154" w:rsidR="00DB44AF" w:rsidRDefault="00DB44AF" w:rsidP="00DB44AF">
      <w:pPr>
        <w:pStyle w:val="NormalWeb"/>
        <w:spacing w:line="360" w:lineRule="auto"/>
        <w:jc w:val="both"/>
        <w:rPr>
          <w:rStyle w:val="Hyperlink"/>
        </w:rPr>
      </w:pPr>
    </w:p>
    <w:p w14:paraId="2223AD6A" w14:textId="269B17B1" w:rsidR="00DB44AF" w:rsidRDefault="00DB44AF" w:rsidP="00DB44AF">
      <w:pPr>
        <w:pStyle w:val="NormalWeb"/>
        <w:spacing w:line="360" w:lineRule="auto"/>
        <w:jc w:val="both"/>
        <w:rPr>
          <w:rStyle w:val="Hyperlink"/>
        </w:rPr>
      </w:pPr>
    </w:p>
    <w:p w14:paraId="26E898F9" w14:textId="444160B9" w:rsidR="008735B8" w:rsidRDefault="008735B8" w:rsidP="00DB44AF">
      <w:pPr>
        <w:pStyle w:val="NormalWeb"/>
        <w:spacing w:line="360" w:lineRule="auto"/>
        <w:jc w:val="both"/>
        <w:rPr>
          <w:rStyle w:val="Hyperlink"/>
        </w:rPr>
      </w:pPr>
    </w:p>
    <w:p w14:paraId="1B287200" w14:textId="79AA26D7" w:rsidR="008735B8" w:rsidRDefault="008735B8" w:rsidP="00DB44AF">
      <w:pPr>
        <w:pStyle w:val="NormalWeb"/>
        <w:spacing w:line="360" w:lineRule="auto"/>
        <w:jc w:val="both"/>
        <w:rPr>
          <w:rStyle w:val="Hyperlink"/>
        </w:rPr>
      </w:pPr>
    </w:p>
    <w:p w14:paraId="0FA0F2D4" w14:textId="2C907812" w:rsidR="008735B8" w:rsidRDefault="008735B8" w:rsidP="00DB44AF">
      <w:pPr>
        <w:pStyle w:val="NormalWeb"/>
        <w:spacing w:line="360" w:lineRule="auto"/>
        <w:jc w:val="both"/>
        <w:rPr>
          <w:rStyle w:val="Hyperlink"/>
        </w:rPr>
      </w:pPr>
    </w:p>
    <w:p w14:paraId="3D5B2833" w14:textId="6D220850" w:rsidR="008735B8" w:rsidRDefault="008735B8" w:rsidP="00DB44AF">
      <w:pPr>
        <w:pStyle w:val="NormalWeb"/>
        <w:spacing w:line="360" w:lineRule="auto"/>
        <w:jc w:val="both"/>
        <w:rPr>
          <w:rStyle w:val="Hyperlink"/>
        </w:rPr>
      </w:pPr>
    </w:p>
    <w:p w14:paraId="4DA5D275" w14:textId="77777777" w:rsidR="008735B8" w:rsidRDefault="008735B8" w:rsidP="00DB44AF">
      <w:pPr>
        <w:pStyle w:val="NormalWeb"/>
        <w:spacing w:line="360" w:lineRule="auto"/>
        <w:jc w:val="both"/>
        <w:rPr>
          <w:rStyle w:val="Hyperlink"/>
        </w:rPr>
      </w:pPr>
    </w:p>
    <w:p w14:paraId="6ACA8714" w14:textId="7E1A2142" w:rsidR="00DB44AF" w:rsidRDefault="00DB44AF" w:rsidP="00DB44AF">
      <w:pPr>
        <w:pStyle w:val="NormalWeb"/>
        <w:spacing w:line="360" w:lineRule="auto"/>
        <w:jc w:val="both"/>
        <w:rPr>
          <w:rStyle w:val="Hyperlink"/>
          <w:b/>
          <w:bCs/>
          <w:color w:val="auto"/>
        </w:rPr>
      </w:pPr>
      <w:r w:rsidRPr="00DB44AF">
        <w:rPr>
          <w:rStyle w:val="Hyperlink"/>
          <w:b/>
          <w:bCs/>
          <w:color w:val="auto"/>
        </w:rPr>
        <w:t xml:space="preserve">Figure </w:t>
      </w:r>
    </w:p>
    <w:p w14:paraId="000E6037" w14:textId="77777777" w:rsidR="00DB44AF" w:rsidRDefault="00DB44AF" w:rsidP="00DB44AF">
      <w:pPr>
        <w:spacing w:before="100" w:beforeAutospacing="1" w:after="100" w:afterAutospacing="1" w:line="360" w:lineRule="auto"/>
        <w:jc w:val="center"/>
        <w:outlineLvl w:val="2"/>
        <w:rPr>
          <w:rFonts w:ascii="Times New Roman" w:hAnsi="Times New Roman" w:cs="Times New Roman"/>
          <w:sz w:val="24"/>
          <w:szCs w:val="24"/>
        </w:rPr>
      </w:pPr>
      <w:r>
        <w:rPr>
          <w:noProof/>
        </w:rPr>
        <w:lastRenderedPageBreak/>
        <w:drawing>
          <wp:inline distT="0" distB="0" distL="0" distR="0" wp14:anchorId="6B7F40A7" wp14:editId="0BE04680">
            <wp:extent cx="5451894" cy="3584261"/>
            <wp:effectExtent l="0" t="0" r="0" b="0"/>
            <wp:docPr id="1" name="Picture 1" descr="A collage of graphs showing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graphs showing different colors&#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57434" cy="3587903"/>
                    </a:xfrm>
                    <a:prstGeom prst="rect">
                      <a:avLst/>
                    </a:prstGeom>
                    <a:noFill/>
                    <a:ln>
                      <a:noFill/>
                    </a:ln>
                  </pic:spPr>
                </pic:pic>
              </a:graphicData>
            </a:graphic>
          </wp:inline>
        </w:drawing>
      </w:r>
      <w:r w:rsidRPr="004E178D">
        <w:rPr>
          <w:rFonts w:ascii="Times New Roman" w:hAnsi="Times New Roman" w:cs="Times New Roman"/>
          <w:b/>
          <w:bCs/>
          <w:sz w:val="24"/>
          <w:szCs w:val="24"/>
        </w:rPr>
        <w:t xml:space="preserve"> </w:t>
      </w:r>
      <w:r w:rsidRPr="003579D5">
        <w:rPr>
          <w:rFonts w:ascii="Times New Roman" w:hAnsi="Times New Roman" w:cs="Times New Roman"/>
          <w:b/>
          <w:bCs/>
          <w:sz w:val="24"/>
          <w:szCs w:val="24"/>
        </w:rPr>
        <w:t xml:space="preserve">Figure 1 </w:t>
      </w:r>
      <w:r w:rsidRPr="003579D5">
        <w:rPr>
          <w:rFonts w:ascii="Times New Roman" w:hAnsi="Times New Roman" w:cs="Times New Roman"/>
          <w:sz w:val="24"/>
          <w:szCs w:val="24"/>
        </w:rPr>
        <w:t>Response Surface Plots Analysis</w:t>
      </w:r>
    </w:p>
    <w:p w14:paraId="428DCBFD" w14:textId="77777777" w:rsidR="00DB44AF" w:rsidRDefault="00DB44AF" w:rsidP="00DB44AF">
      <w:r>
        <w:rPr>
          <w:noProof/>
        </w:rPr>
        <w:drawing>
          <wp:inline distT="0" distB="0" distL="0" distR="0" wp14:anchorId="35FD4B7B" wp14:editId="51458340">
            <wp:extent cx="5391509" cy="3463325"/>
            <wp:effectExtent l="0" t="0" r="0" b="3810"/>
            <wp:docPr id="7" name="Picture 7" descr="A graph of a graph showing the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graph showing the number of objects&#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7067" cy="3466896"/>
                    </a:xfrm>
                    <a:prstGeom prst="rect">
                      <a:avLst/>
                    </a:prstGeom>
                    <a:noFill/>
                    <a:ln>
                      <a:noFill/>
                    </a:ln>
                  </pic:spPr>
                </pic:pic>
              </a:graphicData>
            </a:graphic>
          </wp:inline>
        </w:drawing>
      </w:r>
    </w:p>
    <w:p w14:paraId="54D7709E" w14:textId="77777777" w:rsidR="00DB44AF" w:rsidRPr="005B13C2" w:rsidRDefault="00DB44AF" w:rsidP="00DB44AF">
      <w:pPr>
        <w:spacing w:before="100" w:beforeAutospacing="1" w:after="100" w:afterAutospacing="1" w:line="360" w:lineRule="auto"/>
        <w:jc w:val="center"/>
        <w:outlineLvl w:val="2"/>
        <w:rPr>
          <w:rFonts w:ascii="Times New Roman" w:hAnsi="Times New Roman" w:cs="Times New Roman"/>
          <w:noProof/>
          <w:sz w:val="24"/>
          <w:szCs w:val="24"/>
        </w:rPr>
      </w:pPr>
      <w:r w:rsidRPr="005B13C2">
        <w:rPr>
          <w:rFonts w:ascii="Times New Roman" w:hAnsi="Times New Roman" w:cs="Times New Roman"/>
          <w:b/>
          <w:bCs/>
          <w:noProof/>
          <w:sz w:val="24"/>
          <w:szCs w:val="24"/>
        </w:rPr>
        <w:t>Figure 2</w:t>
      </w:r>
      <w:r w:rsidRPr="005B13C2">
        <w:rPr>
          <w:rFonts w:ascii="Times New Roman" w:hAnsi="Times New Roman" w:cs="Times New Roman"/>
          <w:sz w:val="24"/>
          <w:szCs w:val="24"/>
        </w:rPr>
        <w:t xml:space="preserve"> FTIR analysis</w:t>
      </w:r>
    </w:p>
    <w:p w14:paraId="68083E5B" w14:textId="77777777" w:rsidR="00DB44AF" w:rsidRDefault="00DB44AF" w:rsidP="00DB44AF">
      <w:r>
        <w:rPr>
          <w:noProof/>
        </w:rPr>
        <w:lastRenderedPageBreak/>
        <w:drawing>
          <wp:inline distT="0" distB="0" distL="0" distR="0" wp14:anchorId="72C918B8" wp14:editId="27C64F52">
            <wp:extent cx="5731510" cy="6486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486525"/>
                    </a:xfrm>
                    <a:prstGeom prst="rect">
                      <a:avLst/>
                    </a:prstGeom>
                    <a:noFill/>
                    <a:ln>
                      <a:noFill/>
                    </a:ln>
                  </pic:spPr>
                </pic:pic>
              </a:graphicData>
            </a:graphic>
          </wp:inline>
        </w:drawing>
      </w:r>
    </w:p>
    <w:p w14:paraId="1F4D048C" w14:textId="77777777" w:rsidR="00DB44AF" w:rsidRDefault="00DB44AF" w:rsidP="00DB44AF">
      <w:pPr>
        <w:tabs>
          <w:tab w:val="left" w:pos="1095"/>
        </w:tabs>
        <w:jc w:val="center"/>
        <w:rPr>
          <w:rFonts w:ascii="Times New Roman" w:hAnsi="Times New Roman" w:cs="Times New Roman"/>
          <w:sz w:val="24"/>
          <w:szCs w:val="24"/>
        </w:rPr>
      </w:pPr>
      <w:r w:rsidRPr="00BF3533">
        <w:rPr>
          <w:rFonts w:ascii="Times New Roman" w:hAnsi="Times New Roman" w:cs="Times New Roman"/>
          <w:b/>
          <w:bCs/>
          <w:sz w:val="24"/>
          <w:szCs w:val="24"/>
        </w:rPr>
        <w:t xml:space="preserve">Figure 3 </w:t>
      </w:r>
      <w:r w:rsidRPr="00B9781E">
        <w:rPr>
          <w:rFonts w:ascii="Times New Roman" w:hAnsi="Times New Roman" w:cs="Times New Roman"/>
          <w:sz w:val="24"/>
          <w:szCs w:val="24"/>
        </w:rPr>
        <w:t>DSC and PXRD Analysis</w:t>
      </w:r>
    </w:p>
    <w:p w14:paraId="68B44061" w14:textId="77777777" w:rsidR="00DB44AF" w:rsidRPr="00BF3533" w:rsidRDefault="00DB44AF" w:rsidP="00DB44AF">
      <w:pPr>
        <w:tabs>
          <w:tab w:val="left" w:pos="1095"/>
        </w:tabs>
        <w:jc w:val="center"/>
        <w:rPr>
          <w:rFonts w:ascii="Times New Roman" w:hAnsi="Times New Roman" w:cs="Times New Roman"/>
          <w:b/>
          <w:bCs/>
          <w:sz w:val="24"/>
          <w:szCs w:val="24"/>
        </w:rPr>
      </w:pPr>
    </w:p>
    <w:p w14:paraId="6616BB0D" w14:textId="77777777" w:rsidR="00DB44AF" w:rsidRDefault="00DB44AF" w:rsidP="00DB44AF">
      <w:r>
        <w:rPr>
          <w:noProof/>
        </w:rPr>
        <w:lastRenderedPageBreak/>
        <w:drawing>
          <wp:inline distT="0" distB="0" distL="0" distR="0" wp14:anchorId="7DDDB5A8" wp14:editId="3D8EE910">
            <wp:extent cx="5381625" cy="2390906"/>
            <wp:effectExtent l="0" t="0" r="0" b="9525"/>
            <wp:docPr id="9" name="Picture 9" descr="A close-up of several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several image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85404" cy="2392585"/>
                    </a:xfrm>
                    <a:prstGeom prst="rect">
                      <a:avLst/>
                    </a:prstGeom>
                    <a:noFill/>
                    <a:ln>
                      <a:noFill/>
                    </a:ln>
                  </pic:spPr>
                </pic:pic>
              </a:graphicData>
            </a:graphic>
          </wp:inline>
        </w:drawing>
      </w:r>
    </w:p>
    <w:p w14:paraId="1112DE8E" w14:textId="77777777" w:rsidR="00DB44AF" w:rsidRPr="00AF31CE" w:rsidRDefault="00DB44AF" w:rsidP="00DB44AF">
      <w:pPr>
        <w:tabs>
          <w:tab w:val="left" w:pos="1095"/>
        </w:tabs>
        <w:spacing w:line="360" w:lineRule="auto"/>
        <w:jc w:val="center"/>
        <w:rPr>
          <w:rFonts w:ascii="Times New Roman" w:hAnsi="Times New Roman" w:cs="Times New Roman"/>
          <w:sz w:val="24"/>
          <w:szCs w:val="24"/>
        </w:rPr>
      </w:pPr>
      <w:r w:rsidRPr="00A564DE">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A564DE">
        <w:t xml:space="preserve"> </w:t>
      </w:r>
      <w:r w:rsidRPr="00A564DE">
        <w:rPr>
          <w:rFonts w:ascii="Times New Roman" w:hAnsi="Times New Roman" w:cs="Times New Roman"/>
          <w:sz w:val="24"/>
          <w:szCs w:val="24"/>
        </w:rPr>
        <w:t>SEM analysis</w:t>
      </w:r>
    </w:p>
    <w:p w14:paraId="1BF0B897" w14:textId="77777777" w:rsidR="00DB44AF" w:rsidRDefault="00DB44AF" w:rsidP="00DB44AF">
      <w:pPr>
        <w:tabs>
          <w:tab w:val="left" w:pos="1095"/>
        </w:tabs>
        <w:spacing w:line="360" w:lineRule="auto"/>
        <w:jc w:val="center"/>
        <w:rPr>
          <w:rFonts w:ascii="Times New Roman" w:hAnsi="Times New Roman" w:cs="Times New Roman"/>
          <w:b/>
          <w:bCs/>
          <w:sz w:val="24"/>
          <w:szCs w:val="24"/>
        </w:rPr>
      </w:pPr>
      <w:r w:rsidRPr="00053EBF">
        <w:rPr>
          <w:rFonts w:ascii="Times New Roman" w:hAnsi="Times New Roman" w:cs="Times New Roman"/>
          <w:b/>
          <w:bCs/>
          <w:noProof/>
          <w:sz w:val="24"/>
          <w:szCs w:val="24"/>
        </w:rPr>
        <w:drawing>
          <wp:inline distT="0" distB="0" distL="0" distR="0" wp14:anchorId="2E8FEE8B" wp14:editId="62BF1B44">
            <wp:extent cx="4958366" cy="3048000"/>
            <wp:effectExtent l="0" t="0" r="0" b="0"/>
            <wp:docPr id="3" name="Picture 6" descr="A graph of different colored bars&#10;&#10;Description automatically generated">
              <a:extLst xmlns:a="http://schemas.openxmlformats.org/drawingml/2006/main">
                <a:ext uri="{FF2B5EF4-FFF2-40B4-BE49-F238E27FC236}">
                  <a16:creationId xmlns:a16="http://schemas.microsoft.com/office/drawing/2014/main" id="{90EA1C59-36BF-993B-76EB-46B871863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 graph of different colored bars&#10;&#10;Description automatically generated">
                      <a:extLst>
                        <a:ext uri="{FF2B5EF4-FFF2-40B4-BE49-F238E27FC236}">
                          <a16:creationId xmlns:a16="http://schemas.microsoft.com/office/drawing/2014/main" id="{90EA1C59-36BF-993B-76EB-46B8718630E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4977657" cy="3059859"/>
                    </a:xfrm>
                    <a:prstGeom prst="rect">
                      <a:avLst/>
                    </a:prstGeom>
                  </pic:spPr>
                </pic:pic>
              </a:graphicData>
            </a:graphic>
          </wp:inline>
        </w:drawing>
      </w:r>
      <w:r w:rsidRPr="00B9781E">
        <w:rPr>
          <w:rFonts w:ascii="Times New Roman" w:hAnsi="Times New Roman" w:cs="Times New Roman"/>
          <w:b/>
          <w:bCs/>
          <w:sz w:val="24"/>
          <w:szCs w:val="24"/>
        </w:rPr>
        <w:t xml:space="preserve"> </w:t>
      </w:r>
    </w:p>
    <w:p w14:paraId="7CE64BDF" w14:textId="77777777" w:rsidR="00DB44AF" w:rsidRDefault="00DB44AF" w:rsidP="00DB44AF">
      <w:pPr>
        <w:tabs>
          <w:tab w:val="left" w:pos="109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5 </w:t>
      </w:r>
      <w:r w:rsidRPr="00053EBF">
        <w:rPr>
          <w:rFonts w:ascii="Times New Roman" w:hAnsi="Times New Roman" w:cs="Times New Roman"/>
          <w:i/>
          <w:iCs/>
          <w:sz w:val="24"/>
          <w:szCs w:val="24"/>
        </w:rPr>
        <w:t>In vitro</w:t>
      </w:r>
      <w:r w:rsidRPr="00053EBF">
        <w:rPr>
          <w:rFonts w:ascii="Times New Roman" w:hAnsi="Times New Roman" w:cs="Times New Roman"/>
          <w:sz w:val="24"/>
          <w:szCs w:val="24"/>
        </w:rPr>
        <w:t xml:space="preserve"> dissolution study</w:t>
      </w:r>
    </w:p>
    <w:p w14:paraId="29F9B41B" w14:textId="77777777" w:rsidR="00DB44AF" w:rsidRDefault="00DB44AF" w:rsidP="00DB44AF"/>
    <w:p w14:paraId="4B7AE380" w14:textId="3BA88466" w:rsidR="00DB44AF" w:rsidRPr="00DB44AF" w:rsidRDefault="00DB44AF" w:rsidP="00DB44AF">
      <w:pPr>
        <w:pStyle w:val="NormalWeb"/>
        <w:spacing w:line="360" w:lineRule="auto"/>
        <w:jc w:val="both"/>
        <w:rPr>
          <w:b/>
          <w:bCs/>
          <w:sz w:val="28"/>
          <w:szCs w:val="28"/>
        </w:rPr>
      </w:pPr>
    </w:p>
    <w:p w14:paraId="4AEC0343" w14:textId="69420D4D" w:rsidR="00DB44AF" w:rsidRDefault="00DB44AF" w:rsidP="00DB44AF">
      <w:pPr>
        <w:pStyle w:val="NormalWeb"/>
        <w:spacing w:line="360" w:lineRule="auto"/>
        <w:jc w:val="both"/>
        <w:rPr>
          <w:b/>
          <w:bCs/>
          <w:sz w:val="28"/>
          <w:szCs w:val="28"/>
        </w:rPr>
      </w:pPr>
      <w:r w:rsidRPr="00DB44AF">
        <w:rPr>
          <w:b/>
          <w:bCs/>
          <w:sz w:val="28"/>
          <w:szCs w:val="28"/>
        </w:rPr>
        <w:t xml:space="preserve">Table </w:t>
      </w:r>
    </w:p>
    <w:p w14:paraId="4F2718E7" w14:textId="77777777" w:rsidR="00DB44AF" w:rsidRPr="00CD459B" w:rsidRDefault="00DB44AF" w:rsidP="00DB44AF">
      <w:pPr>
        <w:pStyle w:val="ListParagraph"/>
        <w:tabs>
          <w:tab w:val="left" w:pos="661"/>
        </w:tabs>
        <w:spacing w:line="580" w:lineRule="atLeast"/>
        <w:ind w:right="1275"/>
        <w:rPr>
          <w:sz w:val="24"/>
          <w:szCs w:val="24"/>
        </w:rPr>
      </w:pPr>
      <w:r w:rsidRPr="00CD459B">
        <w:rPr>
          <w:b/>
          <w:sz w:val="24"/>
          <w:szCs w:val="24"/>
        </w:rPr>
        <w:t>Table</w:t>
      </w:r>
      <w:r w:rsidRPr="00CD459B">
        <w:rPr>
          <w:b/>
          <w:spacing w:val="4"/>
          <w:sz w:val="24"/>
          <w:szCs w:val="24"/>
        </w:rPr>
        <w:t xml:space="preserve"> </w:t>
      </w:r>
      <w:r>
        <w:rPr>
          <w:b/>
          <w:sz w:val="24"/>
          <w:szCs w:val="24"/>
        </w:rPr>
        <w:t>1</w:t>
      </w:r>
      <w:r w:rsidRPr="00CD459B">
        <w:rPr>
          <w:b/>
          <w:sz w:val="24"/>
          <w:szCs w:val="24"/>
        </w:rPr>
        <w:t>:</w:t>
      </w:r>
      <w:r w:rsidRPr="00CD459B">
        <w:rPr>
          <w:b/>
          <w:spacing w:val="3"/>
          <w:sz w:val="24"/>
          <w:szCs w:val="24"/>
        </w:rPr>
        <w:t xml:space="preserve"> </w:t>
      </w:r>
      <w:r w:rsidRPr="00CD459B">
        <w:rPr>
          <w:sz w:val="24"/>
          <w:szCs w:val="24"/>
        </w:rPr>
        <w:t>Precompression</w:t>
      </w:r>
      <w:r w:rsidRPr="00CD459B">
        <w:rPr>
          <w:spacing w:val="3"/>
          <w:sz w:val="24"/>
          <w:szCs w:val="24"/>
        </w:rPr>
        <w:t xml:space="preserve"> </w:t>
      </w:r>
      <w:r w:rsidRPr="00CD459B">
        <w:rPr>
          <w:sz w:val="24"/>
          <w:szCs w:val="24"/>
        </w:rPr>
        <w:t>parameter</w:t>
      </w:r>
    </w:p>
    <w:p w14:paraId="29F34138" w14:textId="77777777" w:rsidR="00DB44AF" w:rsidRPr="00CD459B" w:rsidRDefault="00DB44AF" w:rsidP="00DB44AF">
      <w:pPr>
        <w:pStyle w:val="BodyText"/>
        <w:spacing w:before="6"/>
        <w:rPr>
          <w:sz w:val="24"/>
          <w:szCs w:val="24"/>
        </w:rPr>
      </w:pPr>
    </w:p>
    <w:tbl>
      <w:tblPr>
        <w:tblW w:w="8740" w:type="dxa"/>
        <w:tblInd w:w="7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5"/>
        <w:gridCol w:w="1525"/>
        <w:gridCol w:w="1712"/>
        <w:gridCol w:w="1592"/>
        <w:gridCol w:w="1515"/>
        <w:gridCol w:w="1551"/>
      </w:tblGrid>
      <w:tr w:rsidR="00DB44AF" w:rsidRPr="00CD459B" w14:paraId="28260825" w14:textId="77777777" w:rsidTr="00637EFD">
        <w:trPr>
          <w:trHeight w:val="252"/>
        </w:trPr>
        <w:tc>
          <w:tcPr>
            <w:tcW w:w="845" w:type="dxa"/>
          </w:tcPr>
          <w:p w14:paraId="7419B903" w14:textId="77777777" w:rsidR="00DB44AF" w:rsidRPr="00CD459B" w:rsidRDefault="00DB44AF" w:rsidP="00637EFD">
            <w:pPr>
              <w:pStyle w:val="TableParagraph"/>
              <w:rPr>
                <w:b/>
                <w:sz w:val="24"/>
                <w:szCs w:val="24"/>
              </w:rPr>
            </w:pPr>
            <w:bookmarkStart w:id="4" w:name="_Hlk203642064"/>
            <w:r w:rsidRPr="00CD459B">
              <w:rPr>
                <w:b/>
                <w:sz w:val="24"/>
                <w:szCs w:val="24"/>
              </w:rPr>
              <w:t>B.</w:t>
            </w:r>
            <w:r w:rsidRPr="00CD459B">
              <w:rPr>
                <w:b/>
                <w:spacing w:val="6"/>
                <w:sz w:val="24"/>
                <w:szCs w:val="24"/>
              </w:rPr>
              <w:t xml:space="preserve"> </w:t>
            </w:r>
            <w:r w:rsidRPr="00CD459B">
              <w:rPr>
                <w:b/>
                <w:sz w:val="24"/>
                <w:szCs w:val="24"/>
              </w:rPr>
              <w:t>No</w:t>
            </w:r>
          </w:p>
        </w:tc>
        <w:tc>
          <w:tcPr>
            <w:tcW w:w="1525" w:type="dxa"/>
          </w:tcPr>
          <w:p w14:paraId="19DBA6B9" w14:textId="77777777" w:rsidR="00DB44AF" w:rsidRPr="00CD459B" w:rsidRDefault="00DB44AF" w:rsidP="00637EFD">
            <w:pPr>
              <w:pStyle w:val="TableParagraph"/>
              <w:spacing w:line="369" w:lineRule="auto"/>
              <w:ind w:left="415" w:hanging="243"/>
              <w:rPr>
                <w:b/>
                <w:sz w:val="24"/>
                <w:szCs w:val="24"/>
              </w:rPr>
            </w:pPr>
            <w:r w:rsidRPr="00CD459B">
              <w:rPr>
                <w:b/>
                <w:sz w:val="24"/>
                <w:szCs w:val="24"/>
              </w:rPr>
              <w:t>BD</w:t>
            </w:r>
            <w:r w:rsidRPr="00CD459B">
              <w:rPr>
                <w:b/>
                <w:spacing w:val="-52"/>
                <w:sz w:val="24"/>
                <w:szCs w:val="24"/>
              </w:rPr>
              <w:t xml:space="preserve"> </w:t>
            </w:r>
            <w:r w:rsidRPr="00CD459B">
              <w:rPr>
                <w:b/>
                <w:sz w:val="24"/>
                <w:szCs w:val="24"/>
              </w:rPr>
              <w:t>(gm/ml)</w:t>
            </w:r>
          </w:p>
        </w:tc>
        <w:tc>
          <w:tcPr>
            <w:tcW w:w="1712" w:type="dxa"/>
          </w:tcPr>
          <w:p w14:paraId="1A97B9C9" w14:textId="77777777" w:rsidR="00DB44AF" w:rsidRPr="00CD459B" w:rsidRDefault="00DB44AF" w:rsidP="00637EFD">
            <w:pPr>
              <w:pStyle w:val="TableParagraph"/>
              <w:spacing w:line="369" w:lineRule="auto"/>
              <w:rPr>
                <w:b/>
                <w:sz w:val="24"/>
                <w:szCs w:val="24"/>
              </w:rPr>
            </w:pPr>
            <w:r w:rsidRPr="00CD459B">
              <w:rPr>
                <w:b/>
                <w:sz w:val="24"/>
                <w:szCs w:val="24"/>
              </w:rPr>
              <w:t>T</w:t>
            </w:r>
            <w:r w:rsidRPr="00CD459B">
              <w:rPr>
                <w:b/>
                <w:spacing w:val="-52"/>
                <w:sz w:val="24"/>
                <w:szCs w:val="24"/>
              </w:rPr>
              <w:t xml:space="preserve"> </w:t>
            </w:r>
            <w:r w:rsidRPr="00CD459B">
              <w:rPr>
                <w:b/>
                <w:sz w:val="24"/>
                <w:szCs w:val="24"/>
              </w:rPr>
              <w:t>D</w:t>
            </w:r>
            <w:r>
              <w:rPr>
                <w:b/>
                <w:sz w:val="24"/>
                <w:szCs w:val="24"/>
              </w:rPr>
              <w:t xml:space="preserve"> </w:t>
            </w:r>
            <w:r w:rsidRPr="00CD459B">
              <w:rPr>
                <w:b/>
                <w:sz w:val="24"/>
                <w:szCs w:val="24"/>
              </w:rPr>
              <w:t>(gm/ml)</w:t>
            </w:r>
          </w:p>
        </w:tc>
        <w:tc>
          <w:tcPr>
            <w:tcW w:w="1592" w:type="dxa"/>
          </w:tcPr>
          <w:p w14:paraId="49BF1ECC" w14:textId="77777777" w:rsidR="00DB44AF" w:rsidRPr="00CD459B" w:rsidRDefault="00DB44AF" w:rsidP="00637EFD">
            <w:pPr>
              <w:pStyle w:val="TableParagraph"/>
              <w:spacing w:line="369" w:lineRule="auto"/>
              <w:rPr>
                <w:b/>
                <w:sz w:val="24"/>
                <w:szCs w:val="24"/>
              </w:rPr>
            </w:pPr>
            <w:r w:rsidRPr="00CD459B">
              <w:rPr>
                <w:b/>
                <w:sz w:val="24"/>
                <w:szCs w:val="24"/>
              </w:rPr>
              <w:t>HR</w:t>
            </w:r>
          </w:p>
        </w:tc>
        <w:tc>
          <w:tcPr>
            <w:tcW w:w="1515" w:type="dxa"/>
          </w:tcPr>
          <w:p w14:paraId="440D5C97" w14:textId="77777777" w:rsidR="00DB44AF" w:rsidRPr="00CD459B" w:rsidRDefault="00DB44AF" w:rsidP="00637EFD">
            <w:pPr>
              <w:pStyle w:val="TableParagraph"/>
              <w:spacing w:line="369" w:lineRule="auto"/>
              <w:ind w:left="127" w:right="96"/>
              <w:rPr>
                <w:b/>
                <w:sz w:val="24"/>
                <w:szCs w:val="24"/>
              </w:rPr>
            </w:pPr>
            <w:r w:rsidRPr="00CD459B">
              <w:rPr>
                <w:b/>
                <w:sz w:val="24"/>
                <w:szCs w:val="24"/>
              </w:rPr>
              <w:t>CI</w:t>
            </w:r>
            <w:r w:rsidRPr="00CD459B">
              <w:rPr>
                <w:b/>
                <w:spacing w:val="10"/>
                <w:sz w:val="24"/>
                <w:szCs w:val="24"/>
              </w:rPr>
              <w:t xml:space="preserve"> </w:t>
            </w:r>
            <w:r w:rsidRPr="00CD459B">
              <w:rPr>
                <w:b/>
                <w:sz w:val="24"/>
                <w:szCs w:val="24"/>
              </w:rPr>
              <w:t>(%)</w:t>
            </w:r>
          </w:p>
        </w:tc>
        <w:tc>
          <w:tcPr>
            <w:tcW w:w="1551" w:type="dxa"/>
          </w:tcPr>
          <w:p w14:paraId="4FA5D696" w14:textId="77777777" w:rsidR="00DB44AF" w:rsidRPr="00CD459B" w:rsidRDefault="00DB44AF" w:rsidP="00637EFD">
            <w:pPr>
              <w:pStyle w:val="TableParagraph"/>
              <w:spacing w:line="369" w:lineRule="auto"/>
              <w:ind w:right="96"/>
              <w:rPr>
                <w:b/>
                <w:sz w:val="24"/>
                <w:szCs w:val="24"/>
              </w:rPr>
            </w:pPr>
            <w:r w:rsidRPr="00CD459B">
              <w:rPr>
                <w:b/>
                <w:sz w:val="24"/>
                <w:szCs w:val="24"/>
              </w:rPr>
              <w:t>A</w:t>
            </w:r>
            <w:r>
              <w:rPr>
                <w:b/>
                <w:sz w:val="24"/>
                <w:szCs w:val="24"/>
              </w:rPr>
              <w:t xml:space="preserve">R ( </w:t>
            </w:r>
            <w:r w:rsidRPr="00DB52A5">
              <w:rPr>
                <w:b/>
                <w:sz w:val="24"/>
                <w:szCs w:val="24"/>
                <w:vertAlign w:val="superscript"/>
              </w:rPr>
              <w:t>O</w:t>
            </w:r>
            <w:r>
              <w:rPr>
                <w:b/>
                <w:sz w:val="24"/>
                <w:szCs w:val="24"/>
              </w:rPr>
              <w:t>)</w:t>
            </w:r>
          </w:p>
        </w:tc>
      </w:tr>
      <w:tr w:rsidR="00DB44AF" w:rsidRPr="00CD459B" w14:paraId="4BE40BD6" w14:textId="77777777" w:rsidTr="00637EFD">
        <w:trPr>
          <w:trHeight w:val="193"/>
        </w:trPr>
        <w:tc>
          <w:tcPr>
            <w:tcW w:w="845" w:type="dxa"/>
            <w:tcBorders>
              <w:bottom w:val="single" w:sz="4" w:space="0" w:color="000000"/>
            </w:tcBorders>
          </w:tcPr>
          <w:p w14:paraId="56132A23" w14:textId="77777777" w:rsidR="00DB44AF" w:rsidRPr="002A4BC6" w:rsidRDefault="00DB44AF" w:rsidP="00637EFD">
            <w:pPr>
              <w:pStyle w:val="TableParagraph"/>
              <w:ind w:right="216"/>
              <w:rPr>
                <w:sz w:val="24"/>
                <w:szCs w:val="24"/>
              </w:rPr>
            </w:pPr>
            <w:r w:rsidRPr="002A4BC6">
              <w:rPr>
                <w:sz w:val="24"/>
                <w:szCs w:val="24"/>
              </w:rPr>
              <w:t>F1</w:t>
            </w:r>
          </w:p>
        </w:tc>
        <w:tc>
          <w:tcPr>
            <w:tcW w:w="1525" w:type="dxa"/>
            <w:tcBorders>
              <w:bottom w:val="single" w:sz="4" w:space="0" w:color="000000"/>
            </w:tcBorders>
          </w:tcPr>
          <w:p w14:paraId="3844717C" w14:textId="77777777" w:rsidR="00DB44AF" w:rsidRPr="002A4BC6" w:rsidRDefault="00DB44AF" w:rsidP="00637EFD">
            <w:pPr>
              <w:pStyle w:val="TableParagraph"/>
              <w:ind w:right="274"/>
              <w:rPr>
                <w:sz w:val="24"/>
                <w:szCs w:val="24"/>
              </w:rPr>
            </w:pPr>
            <w:r w:rsidRPr="002A4BC6">
              <w:rPr>
                <w:sz w:val="24"/>
                <w:szCs w:val="24"/>
              </w:rPr>
              <w:t>0.38</w:t>
            </w:r>
            <w:r w:rsidRPr="002A4BC6">
              <w:rPr>
                <w:spacing w:val="10"/>
                <w:sz w:val="24"/>
                <w:szCs w:val="24"/>
              </w:rPr>
              <w:t xml:space="preserve"> </w:t>
            </w:r>
            <w:r w:rsidRPr="002A4BC6">
              <w:rPr>
                <w:sz w:val="24"/>
                <w:szCs w:val="24"/>
              </w:rPr>
              <w:t>±0.</w:t>
            </w:r>
            <w:r>
              <w:rPr>
                <w:sz w:val="24"/>
                <w:szCs w:val="24"/>
              </w:rPr>
              <w:t>34</w:t>
            </w:r>
          </w:p>
        </w:tc>
        <w:tc>
          <w:tcPr>
            <w:tcW w:w="1712" w:type="dxa"/>
            <w:tcBorders>
              <w:bottom w:val="single" w:sz="4" w:space="0" w:color="000000"/>
            </w:tcBorders>
          </w:tcPr>
          <w:p w14:paraId="34C263AF" w14:textId="77777777" w:rsidR="00DB44AF" w:rsidRPr="002A4BC6" w:rsidRDefault="00DB44AF" w:rsidP="00637EFD">
            <w:pPr>
              <w:pStyle w:val="TableParagraph"/>
              <w:ind w:right="157"/>
              <w:rPr>
                <w:sz w:val="24"/>
                <w:szCs w:val="24"/>
              </w:rPr>
            </w:pPr>
            <w:r w:rsidRPr="002A4BC6">
              <w:rPr>
                <w:sz w:val="24"/>
                <w:szCs w:val="24"/>
              </w:rPr>
              <w:t>0.41±0.0</w:t>
            </w:r>
            <w:r>
              <w:rPr>
                <w:sz w:val="24"/>
                <w:szCs w:val="24"/>
              </w:rPr>
              <w:t>8</w:t>
            </w:r>
          </w:p>
        </w:tc>
        <w:tc>
          <w:tcPr>
            <w:tcW w:w="1592" w:type="dxa"/>
            <w:tcBorders>
              <w:bottom w:val="single" w:sz="4" w:space="0" w:color="000000"/>
            </w:tcBorders>
          </w:tcPr>
          <w:p w14:paraId="20770EE9" w14:textId="77777777" w:rsidR="00DB44AF" w:rsidRPr="002A4BC6" w:rsidRDefault="00DB44AF" w:rsidP="00637EFD">
            <w:pPr>
              <w:pStyle w:val="TableParagraph"/>
              <w:ind w:right="474"/>
              <w:rPr>
                <w:sz w:val="24"/>
                <w:szCs w:val="24"/>
              </w:rPr>
            </w:pPr>
            <w:r w:rsidRPr="002A4BC6">
              <w:rPr>
                <w:sz w:val="24"/>
                <w:szCs w:val="24"/>
              </w:rPr>
              <w:t>1.15</w:t>
            </w:r>
            <w:r w:rsidRPr="000F1BF7">
              <w:rPr>
                <w:sz w:val="24"/>
                <w:szCs w:val="24"/>
              </w:rPr>
              <w:t>±</w:t>
            </w:r>
            <w:r>
              <w:rPr>
                <w:sz w:val="24"/>
                <w:szCs w:val="24"/>
              </w:rPr>
              <w:t>0.2</w:t>
            </w:r>
            <w:r w:rsidRPr="000F1BF7">
              <w:rPr>
                <w:sz w:val="24"/>
                <w:szCs w:val="24"/>
              </w:rPr>
              <w:t>2</w:t>
            </w:r>
          </w:p>
        </w:tc>
        <w:tc>
          <w:tcPr>
            <w:tcW w:w="1515" w:type="dxa"/>
            <w:tcBorders>
              <w:bottom w:val="single" w:sz="4" w:space="0" w:color="000000"/>
            </w:tcBorders>
          </w:tcPr>
          <w:p w14:paraId="1283CE6C" w14:textId="77777777" w:rsidR="00DB44AF" w:rsidRPr="002A4BC6" w:rsidRDefault="00DB44AF" w:rsidP="00637EFD">
            <w:pPr>
              <w:pStyle w:val="TableParagraph"/>
              <w:rPr>
                <w:sz w:val="24"/>
                <w:szCs w:val="24"/>
              </w:rPr>
            </w:pPr>
            <w:r w:rsidRPr="002A4BC6">
              <w:rPr>
                <w:sz w:val="24"/>
                <w:szCs w:val="24"/>
              </w:rPr>
              <w:t>14.15</w:t>
            </w:r>
          </w:p>
        </w:tc>
        <w:tc>
          <w:tcPr>
            <w:tcW w:w="1551" w:type="dxa"/>
            <w:tcBorders>
              <w:bottom w:val="single" w:sz="4" w:space="0" w:color="000000"/>
            </w:tcBorders>
          </w:tcPr>
          <w:p w14:paraId="6592CD8A" w14:textId="77777777" w:rsidR="00DB44AF" w:rsidRPr="002A4BC6" w:rsidRDefault="00DB44AF" w:rsidP="00637EFD">
            <w:pPr>
              <w:pStyle w:val="TableParagraph"/>
              <w:rPr>
                <w:sz w:val="24"/>
                <w:szCs w:val="24"/>
              </w:rPr>
            </w:pPr>
            <w:r w:rsidRPr="002A4BC6">
              <w:rPr>
                <w:sz w:val="24"/>
                <w:szCs w:val="24"/>
              </w:rPr>
              <w:t>23</w:t>
            </w:r>
          </w:p>
        </w:tc>
      </w:tr>
      <w:tr w:rsidR="00DB44AF" w:rsidRPr="00CD459B" w14:paraId="51520AD5" w14:textId="77777777" w:rsidTr="00637EFD">
        <w:trPr>
          <w:trHeight w:val="229"/>
        </w:trPr>
        <w:tc>
          <w:tcPr>
            <w:tcW w:w="845" w:type="dxa"/>
            <w:tcBorders>
              <w:top w:val="single" w:sz="4" w:space="0" w:color="000000"/>
              <w:bottom w:val="single" w:sz="4" w:space="0" w:color="000000"/>
            </w:tcBorders>
          </w:tcPr>
          <w:p w14:paraId="06A6EF61" w14:textId="77777777" w:rsidR="00DB44AF" w:rsidRPr="00CD459B" w:rsidRDefault="00DB44AF" w:rsidP="00637EFD">
            <w:pPr>
              <w:pStyle w:val="TableParagraph"/>
              <w:ind w:right="216"/>
              <w:rPr>
                <w:sz w:val="24"/>
                <w:szCs w:val="24"/>
              </w:rPr>
            </w:pPr>
            <w:r w:rsidRPr="00CD459B">
              <w:rPr>
                <w:sz w:val="24"/>
                <w:szCs w:val="24"/>
              </w:rPr>
              <w:lastRenderedPageBreak/>
              <w:t>F2</w:t>
            </w:r>
          </w:p>
        </w:tc>
        <w:tc>
          <w:tcPr>
            <w:tcW w:w="1525" w:type="dxa"/>
            <w:tcBorders>
              <w:top w:val="single" w:sz="4" w:space="0" w:color="000000"/>
              <w:bottom w:val="single" w:sz="4" w:space="0" w:color="000000"/>
            </w:tcBorders>
          </w:tcPr>
          <w:p w14:paraId="4D3A1F86" w14:textId="77777777" w:rsidR="00DB44AF" w:rsidRPr="00CD459B" w:rsidRDefault="00DB44AF" w:rsidP="00637EFD">
            <w:pPr>
              <w:pStyle w:val="TableParagraph"/>
              <w:ind w:right="272"/>
              <w:rPr>
                <w:sz w:val="24"/>
                <w:szCs w:val="24"/>
              </w:rPr>
            </w:pPr>
            <w:r w:rsidRPr="00CD459B">
              <w:rPr>
                <w:sz w:val="24"/>
                <w:szCs w:val="24"/>
              </w:rPr>
              <w:t>0.45±0.</w:t>
            </w:r>
            <w:r>
              <w:rPr>
                <w:sz w:val="24"/>
                <w:szCs w:val="24"/>
              </w:rPr>
              <w:t>12</w:t>
            </w:r>
          </w:p>
        </w:tc>
        <w:tc>
          <w:tcPr>
            <w:tcW w:w="1712" w:type="dxa"/>
            <w:tcBorders>
              <w:top w:val="single" w:sz="4" w:space="0" w:color="000000"/>
              <w:bottom w:val="single" w:sz="4" w:space="0" w:color="000000"/>
            </w:tcBorders>
          </w:tcPr>
          <w:p w14:paraId="49D835DD" w14:textId="77777777" w:rsidR="00DB44AF" w:rsidRPr="00CD459B" w:rsidRDefault="00DB44AF" w:rsidP="00637EFD">
            <w:pPr>
              <w:pStyle w:val="TableParagraph"/>
              <w:ind w:right="157"/>
              <w:rPr>
                <w:sz w:val="24"/>
                <w:szCs w:val="24"/>
              </w:rPr>
            </w:pPr>
            <w:r w:rsidRPr="00CD459B">
              <w:rPr>
                <w:sz w:val="24"/>
                <w:szCs w:val="24"/>
              </w:rPr>
              <w:t>0.54±0.</w:t>
            </w:r>
            <w:r>
              <w:rPr>
                <w:sz w:val="24"/>
                <w:szCs w:val="24"/>
              </w:rPr>
              <w:t>16</w:t>
            </w:r>
          </w:p>
        </w:tc>
        <w:tc>
          <w:tcPr>
            <w:tcW w:w="1592" w:type="dxa"/>
            <w:tcBorders>
              <w:top w:val="single" w:sz="4" w:space="0" w:color="000000"/>
              <w:bottom w:val="single" w:sz="4" w:space="0" w:color="000000"/>
            </w:tcBorders>
          </w:tcPr>
          <w:p w14:paraId="0697457E" w14:textId="77777777" w:rsidR="00DB44AF" w:rsidRPr="00CD459B" w:rsidRDefault="00DB44AF" w:rsidP="00637EFD">
            <w:pPr>
              <w:pStyle w:val="TableParagraph"/>
              <w:ind w:right="474"/>
              <w:rPr>
                <w:sz w:val="24"/>
                <w:szCs w:val="24"/>
              </w:rPr>
            </w:pPr>
            <w:r w:rsidRPr="00CD459B">
              <w:rPr>
                <w:sz w:val="24"/>
                <w:szCs w:val="24"/>
              </w:rPr>
              <w:t>1.26</w:t>
            </w:r>
            <w:r w:rsidRPr="000F1BF7">
              <w:rPr>
                <w:sz w:val="24"/>
                <w:szCs w:val="24"/>
              </w:rPr>
              <w:t>±0.</w:t>
            </w:r>
            <w:r>
              <w:rPr>
                <w:sz w:val="24"/>
                <w:szCs w:val="24"/>
              </w:rPr>
              <w:t>14</w:t>
            </w:r>
          </w:p>
        </w:tc>
        <w:tc>
          <w:tcPr>
            <w:tcW w:w="1515" w:type="dxa"/>
            <w:tcBorders>
              <w:top w:val="single" w:sz="4" w:space="0" w:color="000000"/>
              <w:bottom w:val="single" w:sz="4" w:space="0" w:color="000000"/>
            </w:tcBorders>
          </w:tcPr>
          <w:p w14:paraId="74519CF5" w14:textId="77777777" w:rsidR="00DB44AF" w:rsidRPr="00CD459B" w:rsidRDefault="00DB44AF" w:rsidP="00637EFD">
            <w:pPr>
              <w:pStyle w:val="TableParagraph"/>
              <w:rPr>
                <w:sz w:val="24"/>
                <w:szCs w:val="24"/>
              </w:rPr>
            </w:pPr>
            <w:r w:rsidRPr="00CD459B">
              <w:rPr>
                <w:sz w:val="24"/>
                <w:szCs w:val="24"/>
              </w:rPr>
              <w:t>26.20</w:t>
            </w:r>
          </w:p>
        </w:tc>
        <w:tc>
          <w:tcPr>
            <w:tcW w:w="1551" w:type="dxa"/>
            <w:tcBorders>
              <w:top w:val="single" w:sz="4" w:space="0" w:color="000000"/>
              <w:bottom w:val="single" w:sz="4" w:space="0" w:color="000000"/>
            </w:tcBorders>
          </w:tcPr>
          <w:p w14:paraId="79FF46F4" w14:textId="77777777" w:rsidR="00DB44AF" w:rsidRPr="00CD459B" w:rsidRDefault="00DB44AF" w:rsidP="00637EFD">
            <w:pPr>
              <w:pStyle w:val="TableParagraph"/>
              <w:rPr>
                <w:sz w:val="24"/>
                <w:szCs w:val="24"/>
              </w:rPr>
            </w:pPr>
            <w:r w:rsidRPr="00CD459B">
              <w:rPr>
                <w:sz w:val="24"/>
                <w:szCs w:val="24"/>
              </w:rPr>
              <w:t>26</w:t>
            </w:r>
          </w:p>
        </w:tc>
      </w:tr>
      <w:tr w:rsidR="00DB44AF" w:rsidRPr="00CD459B" w14:paraId="3F7BE12E" w14:textId="77777777" w:rsidTr="00637EFD">
        <w:trPr>
          <w:trHeight w:val="166"/>
        </w:trPr>
        <w:tc>
          <w:tcPr>
            <w:tcW w:w="845" w:type="dxa"/>
            <w:tcBorders>
              <w:top w:val="single" w:sz="4" w:space="0" w:color="000000"/>
            </w:tcBorders>
          </w:tcPr>
          <w:p w14:paraId="53766186" w14:textId="77777777" w:rsidR="00DB44AF" w:rsidRPr="00CD459B" w:rsidRDefault="00DB44AF" w:rsidP="00637EFD">
            <w:pPr>
              <w:pStyle w:val="TableParagraph"/>
              <w:ind w:right="216"/>
              <w:rPr>
                <w:sz w:val="24"/>
                <w:szCs w:val="24"/>
              </w:rPr>
            </w:pPr>
            <w:r w:rsidRPr="00CD459B">
              <w:rPr>
                <w:sz w:val="24"/>
                <w:szCs w:val="24"/>
              </w:rPr>
              <w:t>F3</w:t>
            </w:r>
          </w:p>
        </w:tc>
        <w:tc>
          <w:tcPr>
            <w:tcW w:w="1525" w:type="dxa"/>
            <w:tcBorders>
              <w:top w:val="single" w:sz="4" w:space="0" w:color="000000"/>
            </w:tcBorders>
          </w:tcPr>
          <w:p w14:paraId="7F882AD7" w14:textId="77777777" w:rsidR="00DB44AF" w:rsidRPr="00CD459B" w:rsidRDefault="00DB44AF" w:rsidP="00637EFD">
            <w:pPr>
              <w:pStyle w:val="TableParagraph"/>
              <w:ind w:right="272"/>
              <w:rPr>
                <w:sz w:val="24"/>
                <w:szCs w:val="24"/>
              </w:rPr>
            </w:pPr>
            <w:r w:rsidRPr="00CD459B">
              <w:rPr>
                <w:sz w:val="24"/>
                <w:szCs w:val="24"/>
              </w:rPr>
              <w:t>0.55±0.</w:t>
            </w:r>
            <w:r>
              <w:rPr>
                <w:sz w:val="24"/>
                <w:szCs w:val="24"/>
              </w:rPr>
              <w:t>18</w:t>
            </w:r>
          </w:p>
        </w:tc>
        <w:tc>
          <w:tcPr>
            <w:tcW w:w="1712" w:type="dxa"/>
            <w:tcBorders>
              <w:top w:val="single" w:sz="4" w:space="0" w:color="000000"/>
            </w:tcBorders>
          </w:tcPr>
          <w:p w14:paraId="25E08027" w14:textId="77777777" w:rsidR="00DB44AF" w:rsidRPr="00CD459B" w:rsidRDefault="00DB44AF" w:rsidP="00637EFD">
            <w:pPr>
              <w:pStyle w:val="TableParagraph"/>
              <w:ind w:right="157"/>
              <w:rPr>
                <w:sz w:val="24"/>
                <w:szCs w:val="24"/>
              </w:rPr>
            </w:pPr>
            <w:r w:rsidRPr="00CD459B">
              <w:rPr>
                <w:sz w:val="24"/>
                <w:szCs w:val="24"/>
              </w:rPr>
              <w:t>0.61±0.</w:t>
            </w:r>
            <w:r>
              <w:rPr>
                <w:sz w:val="24"/>
                <w:szCs w:val="24"/>
              </w:rPr>
              <w:t>24</w:t>
            </w:r>
          </w:p>
        </w:tc>
        <w:tc>
          <w:tcPr>
            <w:tcW w:w="1592" w:type="dxa"/>
            <w:tcBorders>
              <w:top w:val="single" w:sz="4" w:space="0" w:color="000000"/>
            </w:tcBorders>
          </w:tcPr>
          <w:p w14:paraId="30A1305C" w14:textId="77777777" w:rsidR="00DB44AF" w:rsidRPr="00CD459B" w:rsidRDefault="00DB44AF" w:rsidP="00637EFD">
            <w:pPr>
              <w:pStyle w:val="TableParagraph"/>
              <w:ind w:right="474"/>
              <w:rPr>
                <w:sz w:val="24"/>
                <w:szCs w:val="24"/>
              </w:rPr>
            </w:pPr>
            <w:r w:rsidRPr="00CD459B">
              <w:rPr>
                <w:sz w:val="24"/>
                <w:szCs w:val="24"/>
              </w:rPr>
              <w:t>1.21</w:t>
            </w:r>
            <w:r w:rsidRPr="000F1BF7">
              <w:rPr>
                <w:sz w:val="24"/>
                <w:szCs w:val="24"/>
              </w:rPr>
              <w:t>±0.</w:t>
            </w:r>
            <w:r>
              <w:rPr>
                <w:sz w:val="24"/>
                <w:szCs w:val="24"/>
              </w:rPr>
              <w:t>4</w:t>
            </w:r>
            <w:r w:rsidRPr="000F1BF7">
              <w:rPr>
                <w:sz w:val="24"/>
                <w:szCs w:val="24"/>
              </w:rPr>
              <w:t>2</w:t>
            </w:r>
          </w:p>
        </w:tc>
        <w:tc>
          <w:tcPr>
            <w:tcW w:w="1515" w:type="dxa"/>
            <w:tcBorders>
              <w:top w:val="single" w:sz="4" w:space="0" w:color="000000"/>
            </w:tcBorders>
          </w:tcPr>
          <w:p w14:paraId="32C90B3F" w14:textId="77777777" w:rsidR="00DB44AF" w:rsidRPr="00CD459B" w:rsidRDefault="00DB44AF" w:rsidP="00637EFD">
            <w:pPr>
              <w:pStyle w:val="TableParagraph"/>
              <w:ind w:right="96"/>
              <w:rPr>
                <w:sz w:val="24"/>
                <w:szCs w:val="24"/>
              </w:rPr>
            </w:pPr>
            <w:r w:rsidRPr="00CD459B">
              <w:rPr>
                <w:sz w:val="24"/>
                <w:szCs w:val="24"/>
              </w:rPr>
              <w:t>21.32</w:t>
            </w:r>
          </w:p>
        </w:tc>
        <w:tc>
          <w:tcPr>
            <w:tcW w:w="1551" w:type="dxa"/>
            <w:tcBorders>
              <w:top w:val="single" w:sz="4" w:space="0" w:color="000000"/>
            </w:tcBorders>
          </w:tcPr>
          <w:p w14:paraId="65C130D9" w14:textId="77777777" w:rsidR="00DB44AF" w:rsidRPr="00CD459B" w:rsidRDefault="00DB44AF" w:rsidP="00637EFD">
            <w:pPr>
              <w:pStyle w:val="TableParagraph"/>
              <w:ind w:right="96"/>
              <w:rPr>
                <w:sz w:val="24"/>
                <w:szCs w:val="24"/>
              </w:rPr>
            </w:pPr>
            <w:r w:rsidRPr="00CD459B">
              <w:rPr>
                <w:sz w:val="24"/>
                <w:szCs w:val="24"/>
              </w:rPr>
              <w:t>28</w:t>
            </w:r>
          </w:p>
        </w:tc>
      </w:tr>
      <w:bookmarkEnd w:id="4"/>
    </w:tbl>
    <w:p w14:paraId="0E7A6E37" w14:textId="77777777" w:rsidR="00DB44AF" w:rsidRPr="00CD459B" w:rsidRDefault="00DB44AF" w:rsidP="00DB44AF">
      <w:pPr>
        <w:tabs>
          <w:tab w:val="left" w:pos="1095"/>
        </w:tabs>
        <w:rPr>
          <w:rFonts w:ascii="Times New Roman" w:hAnsi="Times New Roman" w:cs="Times New Roman"/>
          <w:sz w:val="24"/>
          <w:szCs w:val="24"/>
        </w:rPr>
      </w:pPr>
    </w:p>
    <w:p w14:paraId="09E2F8EB" w14:textId="77777777" w:rsidR="00DB44AF" w:rsidRPr="00FC5319" w:rsidRDefault="00DB44AF" w:rsidP="00DB44AF">
      <w:pPr>
        <w:spacing w:before="187"/>
        <w:ind w:left="2892"/>
        <w:jc w:val="both"/>
        <w:rPr>
          <w:rFonts w:ascii="Times New Roman" w:hAnsi="Times New Roman" w:cs="Times New Roman"/>
          <w:sz w:val="24"/>
          <w:szCs w:val="24"/>
        </w:rPr>
      </w:pPr>
      <w:r w:rsidRPr="00FC5319">
        <w:rPr>
          <w:rFonts w:ascii="Times New Roman" w:hAnsi="Times New Roman" w:cs="Times New Roman"/>
          <w:b/>
          <w:sz w:val="24"/>
          <w:szCs w:val="24"/>
        </w:rPr>
        <w:t>Table</w:t>
      </w:r>
      <w:r w:rsidRPr="00FC5319">
        <w:rPr>
          <w:rFonts w:ascii="Times New Roman" w:hAnsi="Times New Roman" w:cs="Times New Roman"/>
          <w:b/>
          <w:spacing w:val="12"/>
          <w:sz w:val="24"/>
          <w:szCs w:val="24"/>
        </w:rPr>
        <w:t xml:space="preserve"> </w:t>
      </w:r>
      <w:r>
        <w:rPr>
          <w:rFonts w:ascii="Times New Roman" w:hAnsi="Times New Roman" w:cs="Times New Roman"/>
          <w:b/>
          <w:sz w:val="24"/>
          <w:szCs w:val="24"/>
        </w:rPr>
        <w:t>2</w:t>
      </w:r>
      <w:r w:rsidRPr="00FC5319">
        <w:rPr>
          <w:rFonts w:ascii="Times New Roman" w:hAnsi="Times New Roman" w:cs="Times New Roman"/>
          <w:b/>
          <w:sz w:val="24"/>
          <w:szCs w:val="24"/>
        </w:rPr>
        <w:t>:</w:t>
      </w:r>
      <w:r w:rsidRPr="00FC5319">
        <w:rPr>
          <w:rFonts w:ascii="Times New Roman" w:hAnsi="Times New Roman" w:cs="Times New Roman"/>
          <w:b/>
          <w:spacing w:val="15"/>
          <w:sz w:val="24"/>
          <w:szCs w:val="24"/>
        </w:rPr>
        <w:t xml:space="preserve"> </w:t>
      </w:r>
      <w:r w:rsidRPr="00FC5319">
        <w:rPr>
          <w:rFonts w:ascii="Times New Roman" w:hAnsi="Times New Roman" w:cs="Times New Roman"/>
          <w:sz w:val="24"/>
          <w:szCs w:val="24"/>
        </w:rPr>
        <w:t>Post</w:t>
      </w:r>
      <w:r w:rsidRPr="00FC5319">
        <w:rPr>
          <w:rFonts w:ascii="Times New Roman" w:hAnsi="Times New Roman" w:cs="Times New Roman"/>
          <w:spacing w:val="17"/>
          <w:sz w:val="24"/>
          <w:szCs w:val="24"/>
        </w:rPr>
        <w:t xml:space="preserve"> </w:t>
      </w:r>
      <w:r w:rsidRPr="00FC5319">
        <w:rPr>
          <w:rFonts w:ascii="Times New Roman" w:hAnsi="Times New Roman" w:cs="Times New Roman"/>
          <w:sz w:val="24"/>
          <w:szCs w:val="24"/>
        </w:rPr>
        <w:t>compression</w:t>
      </w:r>
      <w:r w:rsidRPr="00FC5319">
        <w:rPr>
          <w:rFonts w:ascii="Times New Roman" w:hAnsi="Times New Roman" w:cs="Times New Roman"/>
          <w:spacing w:val="14"/>
          <w:sz w:val="24"/>
          <w:szCs w:val="24"/>
        </w:rPr>
        <w:t xml:space="preserve"> </w:t>
      </w:r>
      <w:r w:rsidRPr="00FC5319">
        <w:rPr>
          <w:rFonts w:ascii="Times New Roman" w:hAnsi="Times New Roman" w:cs="Times New Roman"/>
          <w:sz w:val="24"/>
          <w:szCs w:val="24"/>
        </w:rPr>
        <w:t>parameter</w:t>
      </w:r>
    </w:p>
    <w:p w14:paraId="6374070A" w14:textId="77777777" w:rsidR="00DB44AF" w:rsidRPr="00FC5319" w:rsidRDefault="00DB44AF" w:rsidP="00DB44AF">
      <w:pPr>
        <w:pStyle w:val="BodyText"/>
        <w:spacing w:before="9"/>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DB44AF" w14:paraId="7B0AF849" w14:textId="77777777" w:rsidTr="00637EFD">
        <w:tc>
          <w:tcPr>
            <w:tcW w:w="1803" w:type="dxa"/>
            <w:vAlign w:val="center"/>
          </w:tcPr>
          <w:p w14:paraId="753F0942" w14:textId="77777777" w:rsidR="00DB44AF" w:rsidRDefault="00DB44AF" w:rsidP="00637EFD">
            <w:pPr>
              <w:jc w:val="center"/>
            </w:pPr>
            <w:r w:rsidRPr="00005AAB">
              <w:rPr>
                <w:rFonts w:ascii="Times New Roman" w:eastAsia="Times New Roman" w:hAnsi="Times New Roman" w:cs="Times New Roman"/>
                <w:b/>
                <w:bCs/>
                <w:sz w:val="24"/>
                <w:szCs w:val="24"/>
                <w:lang w:eastAsia="en-IN"/>
              </w:rPr>
              <w:t>Parameter</w:t>
            </w:r>
          </w:p>
        </w:tc>
        <w:tc>
          <w:tcPr>
            <w:tcW w:w="1803" w:type="dxa"/>
            <w:vAlign w:val="center"/>
          </w:tcPr>
          <w:p w14:paraId="0E532822" w14:textId="77777777" w:rsidR="00DB44AF" w:rsidRDefault="00DB44AF" w:rsidP="00637EFD">
            <w:pPr>
              <w:jc w:val="center"/>
            </w:pPr>
            <w:r w:rsidRPr="00005AAB">
              <w:rPr>
                <w:rFonts w:ascii="Times New Roman" w:eastAsia="Times New Roman" w:hAnsi="Times New Roman" w:cs="Times New Roman"/>
                <w:b/>
                <w:bCs/>
                <w:sz w:val="24"/>
                <w:szCs w:val="24"/>
                <w:lang w:eastAsia="en-IN"/>
              </w:rPr>
              <w:t>F1</w:t>
            </w:r>
          </w:p>
        </w:tc>
        <w:tc>
          <w:tcPr>
            <w:tcW w:w="1803" w:type="dxa"/>
            <w:vAlign w:val="center"/>
          </w:tcPr>
          <w:p w14:paraId="27375D45" w14:textId="77777777" w:rsidR="00DB44AF" w:rsidRDefault="00DB44AF" w:rsidP="00637EFD">
            <w:pPr>
              <w:jc w:val="center"/>
            </w:pPr>
            <w:r w:rsidRPr="00005AAB">
              <w:rPr>
                <w:rFonts w:ascii="Times New Roman" w:eastAsia="Times New Roman" w:hAnsi="Times New Roman" w:cs="Times New Roman"/>
                <w:b/>
                <w:bCs/>
                <w:sz w:val="24"/>
                <w:szCs w:val="24"/>
                <w:lang w:eastAsia="en-IN"/>
              </w:rPr>
              <w:t>F2</w:t>
            </w:r>
          </w:p>
        </w:tc>
        <w:tc>
          <w:tcPr>
            <w:tcW w:w="1803" w:type="dxa"/>
            <w:vAlign w:val="center"/>
          </w:tcPr>
          <w:p w14:paraId="1201ED65" w14:textId="77777777" w:rsidR="00DB44AF" w:rsidRDefault="00DB44AF" w:rsidP="00637EFD">
            <w:pPr>
              <w:jc w:val="center"/>
            </w:pPr>
            <w:r w:rsidRPr="00005AAB">
              <w:rPr>
                <w:rFonts w:ascii="Times New Roman" w:eastAsia="Times New Roman" w:hAnsi="Times New Roman" w:cs="Times New Roman"/>
                <w:b/>
                <w:bCs/>
                <w:sz w:val="24"/>
                <w:szCs w:val="24"/>
                <w:lang w:eastAsia="en-IN"/>
              </w:rPr>
              <w:t>F3</w:t>
            </w:r>
          </w:p>
        </w:tc>
        <w:tc>
          <w:tcPr>
            <w:tcW w:w="1804" w:type="dxa"/>
            <w:vAlign w:val="center"/>
          </w:tcPr>
          <w:p w14:paraId="6EFD008C" w14:textId="77777777" w:rsidR="00DB44AF" w:rsidRDefault="00DB44AF" w:rsidP="00637EFD">
            <w:pPr>
              <w:jc w:val="center"/>
            </w:pPr>
            <w:r w:rsidRPr="00005AAB">
              <w:rPr>
                <w:rFonts w:ascii="Times New Roman" w:eastAsia="Times New Roman" w:hAnsi="Times New Roman" w:cs="Times New Roman"/>
                <w:b/>
                <w:bCs/>
                <w:sz w:val="24"/>
                <w:szCs w:val="24"/>
                <w:lang w:eastAsia="en-IN"/>
              </w:rPr>
              <w:t>Marketed Tablet</w:t>
            </w:r>
          </w:p>
        </w:tc>
      </w:tr>
      <w:tr w:rsidR="00DB44AF" w14:paraId="1BEC747B" w14:textId="77777777" w:rsidTr="00637EFD">
        <w:tc>
          <w:tcPr>
            <w:tcW w:w="1803" w:type="dxa"/>
            <w:vAlign w:val="center"/>
          </w:tcPr>
          <w:p w14:paraId="6EE40B6B" w14:textId="77777777" w:rsidR="00DB44AF" w:rsidRDefault="00DB44AF" w:rsidP="00637EFD">
            <w:pPr>
              <w:jc w:val="center"/>
            </w:pPr>
            <w:r w:rsidRPr="00005AAB">
              <w:rPr>
                <w:rFonts w:ascii="Times New Roman" w:eastAsia="Times New Roman" w:hAnsi="Times New Roman" w:cs="Times New Roman"/>
                <w:b/>
                <w:bCs/>
                <w:sz w:val="24"/>
                <w:szCs w:val="24"/>
                <w:lang w:eastAsia="en-IN"/>
              </w:rPr>
              <w:t>Weight (mg)</w:t>
            </w:r>
          </w:p>
        </w:tc>
        <w:tc>
          <w:tcPr>
            <w:tcW w:w="1803" w:type="dxa"/>
            <w:vAlign w:val="center"/>
          </w:tcPr>
          <w:p w14:paraId="3D96EE4C" w14:textId="77777777" w:rsidR="00DB44AF" w:rsidRDefault="00DB44AF" w:rsidP="00637EFD">
            <w:pPr>
              <w:jc w:val="center"/>
            </w:pPr>
            <w:r w:rsidRPr="00005AAB">
              <w:rPr>
                <w:rFonts w:ascii="Times New Roman" w:eastAsia="Times New Roman" w:hAnsi="Times New Roman" w:cs="Times New Roman"/>
                <w:sz w:val="24"/>
                <w:szCs w:val="24"/>
                <w:lang w:eastAsia="en-IN"/>
              </w:rPr>
              <w:t>200 ± 2</w:t>
            </w:r>
          </w:p>
        </w:tc>
        <w:tc>
          <w:tcPr>
            <w:tcW w:w="1803" w:type="dxa"/>
            <w:vAlign w:val="center"/>
          </w:tcPr>
          <w:p w14:paraId="6240BF23" w14:textId="77777777" w:rsidR="00DB44AF" w:rsidRDefault="00DB44AF" w:rsidP="00637EFD">
            <w:pPr>
              <w:jc w:val="center"/>
            </w:pPr>
            <w:r w:rsidRPr="00005AAB">
              <w:rPr>
                <w:rFonts w:ascii="Times New Roman" w:eastAsia="Times New Roman" w:hAnsi="Times New Roman" w:cs="Times New Roman"/>
                <w:sz w:val="24"/>
                <w:szCs w:val="24"/>
                <w:lang w:eastAsia="en-IN"/>
              </w:rPr>
              <w:t>160 ± 1.5</w:t>
            </w:r>
          </w:p>
        </w:tc>
        <w:tc>
          <w:tcPr>
            <w:tcW w:w="1803" w:type="dxa"/>
            <w:vAlign w:val="center"/>
          </w:tcPr>
          <w:p w14:paraId="68F18046" w14:textId="77777777" w:rsidR="00DB44AF" w:rsidRDefault="00DB44AF" w:rsidP="00637EFD">
            <w:pPr>
              <w:jc w:val="center"/>
            </w:pPr>
            <w:r w:rsidRPr="00005AAB">
              <w:rPr>
                <w:rFonts w:ascii="Times New Roman" w:eastAsia="Times New Roman" w:hAnsi="Times New Roman" w:cs="Times New Roman"/>
                <w:sz w:val="24"/>
                <w:szCs w:val="24"/>
                <w:lang w:eastAsia="en-IN"/>
              </w:rPr>
              <w:t>240 ± 2</w:t>
            </w:r>
          </w:p>
        </w:tc>
        <w:tc>
          <w:tcPr>
            <w:tcW w:w="1804" w:type="dxa"/>
            <w:vAlign w:val="center"/>
          </w:tcPr>
          <w:p w14:paraId="13D2E01D" w14:textId="77777777" w:rsidR="00DB44AF" w:rsidRDefault="00DB44AF" w:rsidP="00637EFD">
            <w:pPr>
              <w:jc w:val="center"/>
            </w:pPr>
            <w:r w:rsidRPr="00005AAB">
              <w:rPr>
                <w:rFonts w:ascii="Times New Roman" w:eastAsia="Times New Roman" w:hAnsi="Times New Roman" w:cs="Times New Roman"/>
                <w:sz w:val="24"/>
                <w:szCs w:val="24"/>
                <w:lang w:eastAsia="en-IN"/>
              </w:rPr>
              <w:t>200 ± 2.5</w:t>
            </w:r>
          </w:p>
        </w:tc>
      </w:tr>
      <w:tr w:rsidR="00DB44AF" w14:paraId="5363D5FE" w14:textId="77777777" w:rsidTr="00637EFD">
        <w:tc>
          <w:tcPr>
            <w:tcW w:w="1803" w:type="dxa"/>
            <w:vAlign w:val="center"/>
          </w:tcPr>
          <w:p w14:paraId="593D5226" w14:textId="77777777" w:rsidR="00DB44AF" w:rsidRDefault="00DB44AF" w:rsidP="00637EFD">
            <w:pPr>
              <w:jc w:val="center"/>
            </w:pPr>
            <w:r w:rsidRPr="00005AAB">
              <w:rPr>
                <w:rFonts w:ascii="Times New Roman" w:eastAsia="Times New Roman" w:hAnsi="Times New Roman" w:cs="Times New Roman"/>
                <w:b/>
                <w:bCs/>
                <w:sz w:val="24"/>
                <w:szCs w:val="24"/>
                <w:lang w:eastAsia="en-IN"/>
              </w:rPr>
              <w:t>Thickness (mm)</w:t>
            </w:r>
          </w:p>
        </w:tc>
        <w:tc>
          <w:tcPr>
            <w:tcW w:w="1803" w:type="dxa"/>
            <w:vAlign w:val="center"/>
          </w:tcPr>
          <w:p w14:paraId="20854FE0" w14:textId="77777777" w:rsidR="00DB44AF" w:rsidRDefault="00DB44AF" w:rsidP="00637EFD">
            <w:pPr>
              <w:jc w:val="center"/>
            </w:pPr>
            <w:r w:rsidRPr="00005AAB">
              <w:rPr>
                <w:rFonts w:ascii="Times New Roman" w:eastAsia="Times New Roman" w:hAnsi="Times New Roman" w:cs="Times New Roman"/>
                <w:sz w:val="24"/>
                <w:szCs w:val="24"/>
                <w:lang w:eastAsia="en-IN"/>
              </w:rPr>
              <w:t>2.5 ± 0.1</w:t>
            </w:r>
          </w:p>
        </w:tc>
        <w:tc>
          <w:tcPr>
            <w:tcW w:w="1803" w:type="dxa"/>
            <w:vAlign w:val="center"/>
          </w:tcPr>
          <w:p w14:paraId="35561693" w14:textId="77777777" w:rsidR="00DB44AF" w:rsidRDefault="00DB44AF" w:rsidP="00637EFD">
            <w:pPr>
              <w:jc w:val="center"/>
            </w:pPr>
            <w:r w:rsidRPr="00005AAB">
              <w:rPr>
                <w:rFonts w:ascii="Times New Roman" w:eastAsia="Times New Roman" w:hAnsi="Times New Roman" w:cs="Times New Roman"/>
                <w:sz w:val="24"/>
                <w:szCs w:val="24"/>
                <w:lang w:eastAsia="en-IN"/>
              </w:rPr>
              <w:t>2.0 ± 0.2</w:t>
            </w:r>
          </w:p>
        </w:tc>
        <w:tc>
          <w:tcPr>
            <w:tcW w:w="1803" w:type="dxa"/>
            <w:vAlign w:val="center"/>
          </w:tcPr>
          <w:p w14:paraId="42ACC2D8" w14:textId="77777777" w:rsidR="00DB44AF" w:rsidRDefault="00DB44AF" w:rsidP="00637EFD">
            <w:pPr>
              <w:jc w:val="center"/>
            </w:pPr>
            <w:r w:rsidRPr="00005AAB">
              <w:rPr>
                <w:rFonts w:ascii="Times New Roman" w:eastAsia="Times New Roman" w:hAnsi="Times New Roman" w:cs="Times New Roman"/>
                <w:sz w:val="24"/>
                <w:szCs w:val="24"/>
                <w:lang w:eastAsia="en-IN"/>
              </w:rPr>
              <w:t>2.7 ± 0.2</w:t>
            </w:r>
          </w:p>
        </w:tc>
        <w:tc>
          <w:tcPr>
            <w:tcW w:w="1804" w:type="dxa"/>
            <w:vAlign w:val="center"/>
          </w:tcPr>
          <w:p w14:paraId="78BBB035" w14:textId="77777777" w:rsidR="00DB44AF" w:rsidRDefault="00DB44AF" w:rsidP="00637EFD">
            <w:pPr>
              <w:jc w:val="center"/>
            </w:pPr>
            <w:r w:rsidRPr="00005AAB">
              <w:rPr>
                <w:rFonts w:ascii="Times New Roman" w:eastAsia="Times New Roman" w:hAnsi="Times New Roman" w:cs="Times New Roman"/>
                <w:sz w:val="24"/>
                <w:szCs w:val="24"/>
                <w:lang w:eastAsia="en-IN"/>
              </w:rPr>
              <w:t>2.2 ± 0.1</w:t>
            </w:r>
          </w:p>
        </w:tc>
      </w:tr>
      <w:tr w:rsidR="00DB44AF" w14:paraId="56F1CADA" w14:textId="77777777" w:rsidTr="00637EFD">
        <w:tc>
          <w:tcPr>
            <w:tcW w:w="1803" w:type="dxa"/>
            <w:vAlign w:val="center"/>
          </w:tcPr>
          <w:p w14:paraId="38154B1D" w14:textId="77777777" w:rsidR="00DB44AF" w:rsidRDefault="00DB44AF" w:rsidP="00637EFD">
            <w:pPr>
              <w:jc w:val="center"/>
            </w:pPr>
            <w:r w:rsidRPr="00005AAB">
              <w:rPr>
                <w:rFonts w:ascii="Times New Roman" w:eastAsia="Times New Roman" w:hAnsi="Times New Roman" w:cs="Times New Roman"/>
                <w:b/>
                <w:bCs/>
                <w:sz w:val="24"/>
                <w:szCs w:val="24"/>
                <w:lang w:eastAsia="en-IN"/>
              </w:rPr>
              <w:t>Drug Content (%)</w:t>
            </w:r>
          </w:p>
        </w:tc>
        <w:tc>
          <w:tcPr>
            <w:tcW w:w="1803" w:type="dxa"/>
            <w:vAlign w:val="center"/>
          </w:tcPr>
          <w:p w14:paraId="23EF6936" w14:textId="77777777" w:rsidR="00DB44AF" w:rsidRDefault="00DB44AF" w:rsidP="00637EFD">
            <w:pPr>
              <w:jc w:val="center"/>
            </w:pPr>
            <w:r w:rsidRPr="00005AAB">
              <w:rPr>
                <w:rFonts w:ascii="Times New Roman" w:eastAsia="Times New Roman" w:hAnsi="Times New Roman" w:cs="Times New Roman"/>
                <w:sz w:val="24"/>
                <w:szCs w:val="24"/>
                <w:lang w:eastAsia="en-IN"/>
              </w:rPr>
              <w:t>97.45 ± 0.5</w:t>
            </w:r>
          </w:p>
        </w:tc>
        <w:tc>
          <w:tcPr>
            <w:tcW w:w="1803" w:type="dxa"/>
            <w:vAlign w:val="center"/>
          </w:tcPr>
          <w:p w14:paraId="32A3EFA5" w14:textId="77777777" w:rsidR="00DB44AF" w:rsidRDefault="00DB44AF" w:rsidP="00637EFD">
            <w:pPr>
              <w:jc w:val="center"/>
            </w:pPr>
            <w:r w:rsidRPr="00005AAB">
              <w:rPr>
                <w:rFonts w:ascii="Times New Roman" w:eastAsia="Times New Roman" w:hAnsi="Times New Roman" w:cs="Times New Roman"/>
                <w:sz w:val="24"/>
                <w:szCs w:val="24"/>
                <w:lang w:eastAsia="en-IN"/>
              </w:rPr>
              <w:t>95.45 ± 0.5</w:t>
            </w:r>
          </w:p>
        </w:tc>
        <w:tc>
          <w:tcPr>
            <w:tcW w:w="1803" w:type="dxa"/>
            <w:vAlign w:val="center"/>
          </w:tcPr>
          <w:p w14:paraId="562D5B2A" w14:textId="77777777" w:rsidR="00DB44AF" w:rsidRDefault="00DB44AF" w:rsidP="00637EFD">
            <w:pPr>
              <w:jc w:val="center"/>
            </w:pPr>
            <w:r w:rsidRPr="00005AAB">
              <w:rPr>
                <w:rFonts w:ascii="Times New Roman" w:eastAsia="Times New Roman" w:hAnsi="Times New Roman" w:cs="Times New Roman"/>
                <w:sz w:val="24"/>
                <w:szCs w:val="24"/>
                <w:lang w:eastAsia="en-IN"/>
              </w:rPr>
              <w:t>96.45 ± 0.5</w:t>
            </w:r>
          </w:p>
        </w:tc>
        <w:tc>
          <w:tcPr>
            <w:tcW w:w="1804" w:type="dxa"/>
            <w:vAlign w:val="center"/>
          </w:tcPr>
          <w:p w14:paraId="250F4C60" w14:textId="77777777" w:rsidR="00DB44AF" w:rsidRDefault="00DB44AF" w:rsidP="00637EFD">
            <w:pPr>
              <w:jc w:val="center"/>
            </w:pPr>
            <w:r w:rsidRPr="00005AAB">
              <w:rPr>
                <w:rFonts w:ascii="Times New Roman" w:eastAsia="Times New Roman" w:hAnsi="Times New Roman" w:cs="Times New Roman"/>
                <w:sz w:val="24"/>
                <w:szCs w:val="24"/>
                <w:lang w:eastAsia="en-IN"/>
              </w:rPr>
              <w:t>97.45 ± 0.5</w:t>
            </w:r>
          </w:p>
        </w:tc>
      </w:tr>
      <w:tr w:rsidR="00DB44AF" w14:paraId="229A058B" w14:textId="77777777" w:rsidTr="00637EFD">
        <w:tc>
          <w:tcPr>
            <w:tcW w:w="1803" w:type="dxa"/>
            <w:vAlign w:val="center"/>
          </w:tcPr>
          <w:p w14:paraId="14FFEE15" w14:textId="77777777" w:rsidR="00DB44AF" w:rsidRDefault="00DB44AF" w:rsidP="00637EFD">
            <w:pPr>
              <w:jc w:val="center"/>
            </w:pPr>
            <w:r w:rsidRPr="00005AAB">
              <w:rPr>
                <w:rFonts w:ascii="Times New Roman" w:eastAsia="Times New Roman" w:hAnsi="Times New Roman" w:cs="Times New Roman"/>
                <w:b/>
                <w:bCs/>
                <w:sz w:val="24"/>
                <w:szCs w:val="24"/>
                <w:lang w:eastAsia="en-IN"/>
              </w:rPr>
              <w:t>Hardness (kg/cm²)</w:t>
            </w:r>
          </w:p>
        </w:tc>
        <w:tc>
          <w:tcPr>
            <w:tcW w:w="1803" w:type="dxa"/>
            <w:vAlign w:val="center"/>
          </w:tcPr>
          <w:p w14:paraId="395D49C9" w14:textId="77777777" w:rsidR="00DB44AF" w:rsidRDefault="00DB44AF" w:rsidP="00637EFD">
            <w:pPr>
              <w:jc w:val="center"/>
            </w:pPr>
            <w:r w:rsidRPr="00005AAB">
              <w:rPr>
                <w:rFonts w:ascii="Times New Roman" w:eastAsia="Times New Roman" w:hAnsi="Times New Roman" w:cs="Times New Roman"/>
                <w:sz w:val="24"/>
                <w:szCs w:val="24"/>
                <w:lang w:eastAsia="en-IN"/>
              </w:rPr>
              <w:t>3.0 ± 0.3</w:t>
            </w:r>
          </w:p>
        </w:tc>
        <w:tc>
          <w:tcPr>
            <w:tcW w:w="1803" w:type="dxa"/>
            <w:vAlign w:val="center"/>
          </w:tcPr>
          <w:p w14:paraId="4AE479AA" w14:textId="77777777" w:rsidR="00DB44AF" w:rsidRDefault="00DB44AF" w:rsidP="00637EFD">
            <w:pPr>
              <w:jc w:val="center"/>
            </w:pPr>
            <w:r w:rsidRPr="00005AAB">
              <w:rPr>
                <w:rFonts w:ascii="Times New Roman" w:eastAsia="Times New Roman" w:hAnsi="Times New Roman" w:cs="Times New Roman"/>
                <w:sz w:val="24"/>
                <w:szCs w:val="24"/>
                <w:lang w:eastAsia="en-IN"/>
              </w:rPr>
              <w:t>2.5 ± 0.4</w:t>
            </w:r>
          </w:p>
        </w:tc>
        <w:tc>
          <w:tcPr>
            <w:tcW w:w="1803" w:type="dxa"/>
            <w:vAlign w:val="center"/>
          </w:tcPr>
          <w:p w14:paraId="3A1C39D6" w14:textId="77777777" w:rsidR="00DB44AF" w:rsidRDefault="00DB44AF" w:rsidP="00637EFD">
            <w:pPr>
              <w:jc w:val="center"/>
            </w:pPr>
            <w:r w:rsidRPr="00005AAB">
              <w:rPr>
                <w:rFonts w:ascii="Times New Roman" w:eastAsia="Times New Roman" w:hAnsi="Times New Roman" w:cs="Times New Roman"/>
                <w:sz w:val="24"/>
                <w:szCs w:val="24"/>
                <w:lang w:eastAsia="en-IN"/>
              </w:rPr>
              <w:t>3.7 ± 0.5</w:t>
            </w:r>
          </w:p>
        </w:tc>
        <w:tc>
          <w:tcPr>
            <w:tcW w:w="1804" w:type="dxa"/>
            <w:vAlign w:val="center"/>
          </w:tcPr>
          <w:p w14:paraId="67E3A0BB" w14:textId="77777777" w:rsidR="00DB44AF" w:rsidRDefault="00DB44AF" w:rsidP="00637EFD">
            <w:pPr>
              <w:jc w:val="center"/>
            </w:pPr>
            <w:r w:rsidRPr="00005AAB">
              <w:rPr>
                <w:rFonts w:ascii="Times New Roman" w:eastAsia="Times New Roman" w:hAnsi="Times New Roman" w:cs="Times New Roman"/>
                <w:sz w:val="24"/>
                <w:szCs w:val="24"/>
                <w:lang w:eastAsia="en-IN"/>
              </w:rPr>
              <w:t>3.5 ± 0.5</w:t>
            </w:r>
          </w:p>
        </w:tc>
      </w:tr>
      <w:tr w:rsidR="00DB44AF" w14:paraId="5BC9AE79" w14:textId="77777777" w:rsidTr="00637EFD">
        <w:tc>
          <w:tcPr>
            <w:tcW w:w="1803" w:type="dxa"/>
            <w:vAlign w:val="center"/>
          </w:tcPr>
          <w:p w14:paraId="09D376A6" w14:textId="77777777" w:rsidR="00DB44AF" w:rsidRDefault="00DB44AF" w:rsidP="00637EFD">
            <w:pPr>
              <w:jc w:val="center"/>
            </w:pPr>
            <w:r w:rsidRPr="00005AAB">
              <w:rPr>
                <w:rFonts w:ascii="Times New Roman" w:eastAsia="Times New Roman" w:hAnsi="Times New Roman" w:cs="Times New Roman"/>
                <w:b/>
                <w:bCs/>
                <w:sz w:val="24"/>
                <w:szCs w:val="24"/>
                <w:lang w:eastAsia="en-IN"/>
              </w:rPr>
              <w:t>Friability (%)</w:t>
            </w:r>
          </w:p>
        </w:tc>
        <w:tc>
          <w:tcPr>
            <w:tcW w:w="1803" w:type="dxa"/>
            <w:vAlign w:val="center"/>
          </w:tcPr>
          <w:p w14:paraId="107B66EB" w14:textId="77777777" w:rsidR="00DB44AF" w:rsidRDefault="00DB44AF" w:rsidP="00637EFD">
            <w:pPr>
              <w:jc w:val="center"/>
            </w:pPr>
            <w:r w:rsidRPr="00005AAB">
              <w:rPr>
                <w:rFonts w:ascii="Times New Roman" w:eastAsia="Times New Roman" w:hAnsi="Times New Roman" w:cs="Times New Roman"/>
                <w:sz w:val="24"/>
                <w:szCs w:val="24"/>
                <w:lang w:eastAsia="en-IN"/>
              </w:rPr>
              <w:t>0.61</w:t>
            </w:r>
          </w:p>
        </w:tc>
        <w:tc>
          <w:tcPr>
            <w:tcW w:w="1803" w:type="dxa"/>
            <w:vAlign w:val="center"/>
          </w:tcPr>
          <w:p w14:paraId="69280A14" w14:textId="77777777" w:rsidR="00DB44AF" w:rsidRDefault="00DB44AF" w:rsidP="00637EFD">
            <w:pPr>
              <w:jc w:val="center"/>
            </w:pPr>
            <w:r w:rsidRPr="00005AAB">
              <w:rPr>
                <w:rFonts w:ascii="Times New Roman" w:eastAsia="Times New Roman" w:hAnsi="Times New Roman" w:cs="Times New Roman"/>
                <w:sz w:val="24"/>
                <w:szCs w:val="24"/>
                <w:lang w:eastAsia="en-IN"/>
              </w:rPr>
              <w:t>0.86</w:t>
            </w:r>
          </w:p>
        </w:tc>
        <w:tc>
          <w:tcPr>
            <w:tcW w:w="1803" w:type="dxa"/>
            <w:vAlign w:val="center"/>
          </w:tcPr>
          <w:p w14:paraId="401790C2" w14:textId="77777777" w:rsidR="00DB44AF" w:rsidRDefault="00DB44AF" w:rsidP="00637EFD">
            <w:pPr>
              <w:jc w:val="center"/>
            </w:pPr>
            <w:r w:rsidRPr="00005AAB">
              <w:rPr>
                <w:rFonts w:ascii="Times New Roman" w:eastAsia="Times New Roman" w:hAnsi="Times New Roman" w:cs="Times New Roman"/>
                <w:sz w:val="24"/>
                <w:szCs w:val="24"/>
                <w:lang w:eastAsia="en-IN"/>
              </w:rPr>
              <w:t>0.75</w:t>
            </w:r>
          </w:p>
        </w:tc>
        <w:tc>
          <w:tcPr>
            <w:tcW w:w="1804" w:type="dxa"/>
            <w:vAlign w:val="center"/>
          </w:tcPr>
          <w:p w14:paraId="6319471A" w14:textId="77777777" w:rsidR="00DB44AF" w:rsidRDefault="00DB44AF" w:rsidP="00637EFD">
            <w:pPr>
              <w:jc w:val="center"/>
            </w:pPr>
            <w:r w:rsidRPr="00005AAB">
              <w:rPr>
                <w:rFonts w:ascii="Times New Roman" w:eastAsia="Times New Roman" w:hAnsi="Times New Roman" w:cs="Times New Roman"/>
                <w:sz w:val="24"/>
                <w:szCs w:val="24"/>
                <w:lang w:eastAsia="en-IN"/>
              </w:rPr>
              <w:t>0.53</w:t>
            </w:r>
          </w:p>
        </w:tc>
      </w:tr>
      <w:tr w:rsidR="00DB44AF" w14:paraId="1EF0640E" w14:textId="77777777" w:rsidTr="00637EFD">
        <w:tc>
          <w:tcPr>
            <w:tcW w:w="1803" w:type="dxa"/>
            <w:vAlign w:val="center"/>
          </w:tcPr>
          <w:p w14:paraId="633745BA" w14:textId="77777777" w:rsidR="00DB44AF" w:rsidRDefault="00DB44AF" w:rsidP="00637EFD">
            <w:pPr>
              <w:jc w:val="center"/>
            </w:pPr>
            <w:r w:rsidRPr="00005AAB">
              <w:rPr>
                <w:rFonts w:ascii="Times New Roman" w:eastAsia="Times New Roman" w:hAnsi="Times New Roman" w:cs="Times New Roman"/>
                <w:b/>
                <w:bCs/>
                <w:sz w:val="24"/>
                <w:szCs w:val="24"/>
                <w:lang w:eastAsia="en-IN"/>
              </w:rPr>
              <w:t>Disintegration Time (sec)</w:t>
            </w:r>
          </w:p>
        </w:tc>
        <w:tc>
          <w:tcPr>
            <w:tcW w:w="1803" w:type="dxa"/>
            <w:vAlign w:val="center"/>
          </w:tcPr>
          <w:p w14:paraId="5A7ACE61" w14:textId="77777777" w:rsidR="00DB44AF" w:rsidRDefault="00DB44AF" w:rsidP="00637EFD">
            <w:pPr>
              <w:jc w:val="center"/>
            </w:pPr>
            <w:r w:rsidRPr="00005AAB">
              <w:rPr>
                <w:rFonts w:ascii="Times New Roman" w:eastAsia="Times New Roman" w:hAnsi="Times New Roman" w:cs="Times New Roman"/>
                <w:sz w:val="24"/>
                <w:szCs w:val="24"/>
                <w:lang w:eastAsia="en-IN"/>
              </w:rPr>
              <w:t>40 sec</w:t>
            </w:r>
          </w:p>
        </w:tc>
        <w:tc>
          <w:tcPr>
            <w:tcW w:w="1803" w:type="dxa"/>
            <w:vAlign w:val="center"/>
          </w:tcPr>
          <w:p w14:paraId="344C48F7" w14:textId="77777777" w:rsidR="00DB44AF" w:rsidRDefault="00DB44AF" w:rsidP="00637EFD">
            <w:pPr>
              <w:jc w:val="center"/>
            </w:pPr>
            <w:r w:rsidRPr="00005AAB">
              <w:rPr>
                <w:rFonts w:ascii="Times New Roman" w:eastAsia="Times New Roman" w:hAnsi="Times New Roman" w:cs="Times New Roman"/>
                <w:sz w:val="24"/>
                <w:szCs w:val="24"/>
                <w:lang w:eastAsia="en-IN"/>
              </w:rPr>
              <w:t>68 sec</w:t>
            </w:r>
          </w:p>
        </w:tc>
        <w:tc>
          <w:tcPr>
            <w:tcW w:w="1803" w:type="dxa"/>
            <w:vAlign w:val="center"/>
          </w:tcPr>
          <w:p w14:paraId="6D97EA85" w14:textId="77777777" w:rsidR="00DB44AF" w:rsidRDefault="00DB44AF" w:rsidP="00637EFD">
            <w:pPr>
              <w:jc w:val="center"/>
            </w:pPr>
            <w:r w:rsidRPr="00005AAB">
              <w:rPr>
                <w:rFonts w:ascii="Times New Roman" w:eastAsia="Times New Roman" w:hAnsi="Times New Roman" w:cs="Times New Roman"/>
                <w:sz w:val="24"/>
                <w:szCs w:val="24"/>
                <w:lang w:eastAsia="en-IN"/>
              </w:rPr>
              <w:t>79 sec</w:t>
            </w:r>
          </w:p>
        </w:tc>
        <w:tc>
          <w:tcPr>
            <w:tcW w:w="1804" w:type="dxa"/>
            <w:vAlign w:val="center"/>
          </w:tcPr>
          <w:p w14:paraId="780CD265" w14:textId="77777777" w:rsidR="00DB44AF" w:rsidRDefault="00DB44AF" w:rsidP="00637EFD">
            <w:pPr>
              <w:jc w:val="center"/>
            </w:pPr>
            <w:r w:rsidRPr="00005AAB">
              <w:rPr>
                <w:rFonts w:ascii="Times New Roman" w:eastAsia="Times New Roman" w:hAnsi="Times New Roman" w:cs="Times New Roman"/>
                <w:sz w:val="24"/>
                <w:szCs w:val="24"/>
                <w:lang w:eastAsia="en-IN"/>
              </w:rPr>
              <w:t>58 sec</w:t>
            </w:r>
          </w:p>
        </w:tc>
      </w:tr>
      <w:tr w:rsidR="00DB44AF" w14:paraId="25966B4B" w14:textId="77777777" w:rsidTr="00637EFD">
        <w:tc>
          <w:tcPr>
            <w:tcW w:w="1803" w:type="dxa"/>
            <w:vAlign w:val="center"/>
          </w:tcPr>
          <w:p w14:paraId="073B2E34" w14:textId="77777777" w:rsidR="00DB44AF" w:rsidRDefault="00DB44AF" w:rsidP="00637EFD">
            <w:pPr>
              <w:jc w:val="center"/>
            </w:pPr>
            <w:r w:rsidRPr="00005AAB">
              <w:rPr>
                <w:rFonts w:ascii="Times New Roman" w:eastAsia="Times New Roman" w:hAnsi="Times New Roman" w:cs="Times New Roman"/>
                <w:b/>
                <w:bCs/>
                <w:sz w:val="24"/>
                <w:szCs w:val="24"/>
                <w:lang w:eastAsia="en-IN"/>
              </w:rPr>
              <w:t>% Drug Release (%DR)</w:t>
            </w:r>
          </w:p>
        </w:tc>
        <w:tc>
          <w:tcPr>
            <w:tcW w:w="1803" w:type="dxa"/>
            <w:vAlign w:val="center"/>
          </w:tcPr>
          <w:p w14:paraId="04682E73" w14:textId="77777777" w:rsidR="00DB44AF" w:rsidRDefault="00DB44AF" w:rsidP="00637EFD">
            <w:pPr>
              <w:jc w:val="center"/>
            </w:pPr>
            <w:r w:rsidRPr="00005AAB">
              <w:rPr>
                <w:rFonts w:ascii="Times New Roman" w:eastAsia="Times New Roman" w:hAnsi="Times New Roman" w:cs="Times New Roman"/>
                <w:sz w:val="24"/>
                <w:szCs w:val="24"/>
                <w:lang w:eastAsia="en-IN"/>
              </w:rPr>
              <w:t>98.54 ± 4.0</w:t>
            </w:r>
          </w:p>
        </w:tc>
        <w:tc>
          <w:tcPr>
            <w:tcW w:w="1803" w:type="dxa"/>
            <w:vAlign w:val="center"/>
          </w:tcPr>
          <w:p w14:paraId="2BCAB60A" w14:textId="77777777" w:rsidR="00DB44AF" w:rsidRDefault="00DB44AF" w:rsidP="00637EFD">
            <w:pPr>
              <w:jc w:val="center"/>
            </w:pPr>
            <w:r w:rsidRPr="00005AAB">
              <w:rPr>
                <w:rFonts w:ascii="Times New Roman" w:eastAsia="Times New Roman" w:hAnsi="Times New Roman" w:cs="Times New Roman"/>
                <w:sz w:val="24"/>
                <w:szCs w:val="24"/>
                <w:lang w:eastAsia="en-IN"/>
              </w:rPr>
              <w:t>95.12 ± 4.5</w:t>
            </w:r>
          </w:p>
        </w:tc>
        <w:tc>
          <w:tcPr>
            <w:tcW w:w="1803" w:type="dxa"/>
            <w:vAlign w:val="center"/>
          </w:tcPr>
          <w:p w14:paraId="1AB66352" w14:textId="77777777" w:rsidR="00DB44AF" w:rsidRDefault="00DB44AF" w:rsidP="00637EFD">
            <w:pPr>
              <w:jc w:val="center"/>
            </w:pPr>
            <w:r w:rsidRPr="00005AAB">
              <w:rPr>
                <w:rFonts w:ascii="Times New Roman" w:eastAsia="Times New Roman" w:hAnsi="Times New Roman" w:cs="Times New Roman"/>
                <w:sz w:val="24"/>
                <w:szCs w:val="24"/>
                <w:lang w:eastAsia="en-IN"/>
              </w:rPr>
              <w:t>93.37 ± 3.5</w:t>
            </w:r>
          </w:p>
        </w:tc>
        <w:tc>
          <w:tcPr>
            <w:tcW w:w="1804" w:type="dxa"/>
            <w:vAlign w:val="center"/>
          </w:tcPr>
          <w:p w14:paraId="620CF16A" w14:textId="77777777" w:rsidR="00DB44AF" w:rsidRDefault="00DB44AF" w:rsidP="00637EFD">
            <w:pPr>
              <w:jc w:val="center"/>
            </w:pPr>
            <w:r w:rsidRPr="00005AAB">
              <w:rPr>
                <w:rFonts w:ascii="Times New Roman" w:eastAsia="Times New Roman" w:hAnsi="Times New Roman" w:cs="Times New Roman"/>
                <w:sz w:val="24"/>
                <w:szCs w:val="24"/>
                <w:lang w:eastAsia="en-IN"/>
              </w:rPr>
              <w:t>97.12 ± 5.5</w:t>
            </w:r>
          </w:p>
        </w:tc>
      </w:tr>
    </w:tbl>
    <w:p w14:paraId="169ED26C" w14:textId="77777777" w:rsidR="00DB44AF" w:rsidRDefault="00DB44AF" w:rsidP="00DB44AF">
      <w:pPr>
        <w:tabs>
          <w:tab w:val="left" w:pos="1095"/>
        </w:tabs>
        <w:spacing w:line="360" w:lineRule="auto"/>
        <w:jc w:val="both"/>
        <w:rPr>
          <w:rFonts w:ascii="Times New Roman" w:hAnsi="Times New Roman" w:cs="Times New Roman"/>
          <w:b/>
          <w:bCs/>
          <w:sz w:val="24"/>
          <w:szCs w:val="24"/>
        </w:rPr>
      </w:pPr>
    </w:p>
    <w:p w14:paraId="65FB3939" w14:textId="77777777" w:rsidR="00DB44AF" w:rsidRDefault="00DB44AF" w:rsidP="00DB44AF">
      <w:pPr>
        <w:spacing w:before="187"/>
        <w:ind w:left="2206"/>
        <w:jc w:val="both"/>
        <w:rPr>
          <w:rFonts w:ascii="Times New Roman" w:hAnsi="Times New Roman" w:cs="Times New Roman"/>
          <w:sz w:val="24"/>
          <w:szCs w:val="24"/>
        </w:rPr>
      </w:pPr>
      <w:r w:rsidRPr="00D95744">
        <w:rPr>
          <w:rFonts w:ascii="Times New Roman" w:hAnsi="Times New Roman" w:cs="Times New Roman"/>
          <w:b/>
          <w:sz w:val="24"/>
          <w:szCs w:val="24"/>
        </w:rPr>
        <w:t>Table</w:t>
      </w:r>
      <w:r w:rsidRPr="00D95744">
        <w:rPr>
          <w:rFonts w:ascii="Times New Roman" w:hAnsi="Times New Roman" w:cs="Times New Roman"/>
          <w:b/>
          <w:spacing w:val="17"/>
          <w:sz w:val="24"/>
          <w:szCs w:val="24"/>
        </w:rPr>
        <w:t xml:space="preserve"> </w:t>
      </w:r>
      <w:r>
        <w:rPr>
          <w:rFonts w:ascii="Times New Roman" w:hAnsi="Times New Roman" w:cs="Times New Roman"/>
          <w:b/>
          <w:sz w:val="24"/>
          <w:szCs w:val="24"/>
        </w:rPr>
        <w:t>3</w:t>
      </w:r>
      <w:r w:rsidRPr="00D95744">
        <w:rPr>
          <w:rFonts w:ascii="Times New Roman" w:hAnsi="Times New Roman" w:cs="Times New Roman"/>
          <w:b/>
          <w:sz w:val="24"/>
          <w:szCs w:val="24"/>
        </w:rPr>
        <w:t>:</w:t>
      </w:r>
      <w:r w:rsidRPr="00D95744">
        <w:rPr>
          <w:rFonts w:ascii="Times New Roman" w:hAnsi="Times New Roman" w:cs="Times New Roman"/>
          <w:b/>
          <w:spacing w:val="20"/>
          <w:sz w:val="24"/>
          <w:szCs w:val="24"/>
        </w:rPr>
        <w:t xml:space="preserve"> </w:t>
      </w:r>
      <w:r w:rsidRPr="00D95744">
        <w:rPr>
          <w:rFonts w:ascii="Times New Roman" w:hAnsi="Times New Roman" w:cs="Times New Roman"/>
          <w:sz w:val="24"/>
          <w:szCs w:val="24"/>
        </w:rPr>
        <w:t>Pharmacokinetic</w:t>
      </w:r>
      <w:r w:rsidRPr="00D95744">
        <w:rPr>
          <w:rFonts w:ascii="Times New Roman" w:hAnsi="Times New Roman" w:cs="Times New Roman"/>
          <w:spacing w:val="18"/>
          <w:sz w:val="24"/>
          <w:szCs w:val="24"/>
        </w:rPr>
        <w:t xml:space="preserve"> </w:t>
      </w:r>
      <w:r w:rsidRPr="00D95744">
        <w:rPr>
          <w:rFonts w:ascii="Times New Roman" w:hAnsi="Times New Roman" w:cs="Times New Roman"/>
          <w:sz w:val="24"/>
          <w:szCs w:val="24"/>
        </w:rPr>
        <w:t>parameters</w:t>
      </w:r>
    </w:p>
    <w:tbl>
      <w:tblPr>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9"/>
        <w:gridCol w:w="2259"/>
        <w:gridCol w:w="2117"/>
      </w:tblGrid>
      <w:tr w:rsidR="00DB44AF" w14:paraId="3290D07F" w14:textId="77777777" w:rsidTr="00637EFD">
        <w:trPr>
          <w:trHeight w:val="266"/>
        </w:trPr>
        <w:tc>
          <w:tcPr>
            <w:tcW w:w="3419" w:type="dxa"/>
            <w:tcBorders>
              <w:top w:val="single" w:sz="8" w:space="0" w:color="000000"/>
              <w:left w:val="single" w:sz="8" w:space="0" w:color="000000"/>
              <w:bottom w:val="single" w:sz="8" w:space="0" w:color="000000"/>
              <w:right w:val="single" w:sz="8" w:space="0" w:color="000000"/>
            </w:tcBorders>
          </w:tcPr>
          <w:p w14:paraId="71CF1E30" w14:textId="77777777" w:rsidR="00DB44AF" w:rsidRDefault="00DB44AF" w:rsidP="00637EFD">
            <w:pPr>
              <w:pStyle w:val="TableParagraph"/>
              <w:spacing w:line="360" w:lineRule="auto"/>
              <w:jc w:val="left"/>
              <w:rPr>
                <w:sz w:val="18"/>
              </w:rPr>
            </w:pPr>
            <w:bookmarkStart w:id="5" w:name="_Hlk203642554"/>
          </w:p>
          <w:p w14:paraId="31C61984" w14:textId="77777777" w:rsidR="00DB44AF" w:rsidRDefault="00DB44AF" w:rsidP="00637EFD">
            <w:pPr>
              <w:pStyle w:val="TableParagraph"/>
              <w:spacing w:line="360" w:lineRule="auto"/>
              <w:ind w:left="741" w:hanging="264"/>
              <w:jc w:val="left"/>
              <w:rPr>
                <w:b/>
              </w:rPr>
            </w:pPr>
            <w:r>
              <w:rPr>
                <w:b/>
              </w:rPr>
              <w:t>Pharmacokinetic</w:t>
            </w:r>
            <w:r>
              <w:rPr>
                <w:b/>
                <w:spacing w:val="-52"/>
              </w:rPr>
              <w:t xml:space="preserve">          </w:t>
            </w:r>
            <w:r>
              <w:rPr>
                <w:b/>
              </w:rPr>
              <w:t>Parameters</w:t>
            </w:r>
          </w:p>
        </w:tc>
        <w:tc>
          <w:tcPr>
            <w:tcW w:w="2259" w:type="dxa"/>
            <w:tcBorders>
              <w:top w:val="single" w:sz="8" w:space="0" w:color="000000"/>
              <w:left w:val="single" w:sz="8" w:space="0" w:color="000000"/>
              <w:bottom w:val="single" w:sz="8" w:space="0" w:color="000000"/>
              <w:right w:val="single" w:sz="8" w:space="0" w:color="000000"/>
            </w:tcBorders>
          </w:tcPr>
          <w:p w14:paraId="17CD9D05" w14:textId="77777777" w:rsidR="00DB44AF" w:rsidRDefault="00DB44AF" w:rsidP="00637EFD">
            <w:pPr>
              <w:pStyle w:val="TableParagraph"/>
              <w:spacing w:line="360" w:lineRule="auto"/>
              <w:jc w:val="left"/>
              <w:rPr>
                <w:sz w:val="18"/>
              </w:rPr>
            </w:pPr>
          </w:p>
          <w:p w14:paraId="460D87E8" w14:textId="77777777" w:rsidR="00DB44AF" w:rsidRDefault="00DB44AF" w:rsidP="00637EFD">
            <w:pPr>
              <w:pStyle w:val="TableParagraph"/>
              <w:spacing w:line="360" w:lineRule="auto"/>
              <w:ind w:left="298"/>
              <w:jc w:val="left"/>
              <w:rPr>
                <w:b/>
              </w:rPr>
            </w:pPr>
            <w:r>
              <w:rPr>
                <w:b/>
              </w:rPr>
              <w:t>Marketed tablet</w:t>
            </w:r>
            <w:r>
              <w:rPr>
                <w:b/>
                <w:spacing w:val="-52"/>
              </w:rPr>
              <w:t xml:space="preserve"> </w:t>
            </w:r>
            <w:r>
              <w:rPr>
                <w:b/>
              </w:rPr>
              <w:t>(Lorsaid</w:t>
            </w:r>
            <w:r>
              <w:rPr>
                <w:b/>
                <w:spacing w:val="8"/>
              </w:rPr>
              <w:t xml:space="preserve"> </w:t>
            </w:r>
            <w:r>
              <w:rPr>
                <w:b/>
              </w:rPr>
              <w:t>SP)</w:t>
            </w:r>
          </w:p>
        </w:tc>
        <w:tc>
          <w:tcPr>
            <w:tcW w:w="2117" w:type="dxa"/>
            <w:tcBorders>
              <w:top w:val="single" w:sz="8" w:space="0" w:color="000000"/>
              <w:left w:val="single" w:sz="8" w:space="0" w:color="000000"/>
              <w:bottom w:val="single" w:sz="8" w:space="0" w:color="000000"/>
              <w:right w:val="single" w:sz="8" w:space="0" w:color="000000"/>
            </w:tcBorders>
          </w:tcPr>
          <w:p w14:paraId="1023A6E0" w14:textId="77777777" w:rsidR="00DB44AF" w:rsidRDefault="00DB44AF" w:rsidP="00637EFD">
            <w:pPr>
              <w:pStyle w:val="TableParagraph"/>
              <w:spacing w:line="360" w:lineRule="auto"/>
              <w:jc w:val="left"/>
              <w:rPr>
                <w:sz w:val="24"/>
              </w:rPr>
            </w:pPr>
          </w:p>
          <w:p w14:paraId="42C59FD0" w14:textId="77777777" w:rsidR="00DB44AF" w:rsidRDefault="00DB44AF" w:rsidP="00637EFD">
            <w:pPr>
              <w:pStyle w:val="TableParagraph"/>
              <w:spacing w:line="360" w:lineRule="auto"/>
              <w:ind w:left="543" w:right="526"/>
              <w:rPr>
                <w:b/>
              </w:rPr>
            </w:pPr>
            <w:r>
              <w:rPr>
                <w:b/>
              </w:rPr>
              <w:t>F1</w:t>
            </w:r>
          </w:p>
        </w:tc>
      </w:tr>
      <w:tr w:rsidR="00DB44AF" w14:paraId="5D671795"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789B5B1F" w14:textId="77777777" w:rsidR="00DB44AF" w:rsidRDefault="00DB44AF" w:rsidP="00637EFD">
            <w:pPr>
              <w:pStyle w:val="TableParagraph"/>
              <w:spacing w:line="360" w:lineRule="auto"/>
              <w:ind w:left="389" w:right="370"/>
            </w:pPr>
            <w:r>
              <w:rPr>
                <w:position w:val="2"/>
              </w:rPr>
              <w:t>AUC</w:t>
            </w:r>
            <w:r>
              <w:rPr>
                <w:spacing w:val="10"/>
                <w:position w:val="2"/>
              </w:rPr>
              <w:t xml:space="preserve"> </w:t>
            </w:r>
            <w:r>
              <w:rPr>
                <w:sz w:val="15"/>
              </w:rPr>
              <w:t>0-t</w:t>
            </w:r>
            <w:r>
              <w:rPr>
                <w:spacing w:val="29"/>
                <w:sz w:val="15"/>
              </w:rPr>
              <w:t xml:space="preserve"> </w:t>
            </w:r>
            <w:r>
              <w:rPr>
                <w:position w:val="2"/>
              </w:rPr>
              <w:t>(ng/mL*</w:t>
            </w:r>
            <w:r>
              <w:rPr>
                <w:spacing w:val="7"/>
                <w:position w:val="2"/>
              </w:rPr>
              <w:t xml:space="preserve"> </w:t>
            </w:r>
            <w:r>
              <w:rPr>
                <w:position w:val="2"/>
              </w:rPr>
              <w:t>h)</w:t>
            </w:r>
          </w:p>
        </w:tc>
        <w:tc>
          <w:tcPr>
            <w:tcW w:w="2259" w:type="dxa"/>
            <w:tcBorders>
              <w:top w:val="single" w:sz="8" w:space="0" w:color="000000"/>
              <w:left w:val="single" w:sz="8" w:space="0" w:color="000000"/>
              <w:bottom w:val="single" w:sz="8" w:space="0" w:color="000000"/>
              <w:right w:val="single" w:sz="8" w:space="0" w:color="000000"/>
            </w:tcBorders>
            <w:hideMark/>
          </w:tcPr>
          <w:p w14:paraId="7B039CEF" w14:textId="77777777" w:rsidR="00DB44AF" w:rsidRDefault="00DB44AF" w:rsidP="00637EFD">
            <w:pPr>
              <w:pStyle w:val="TableParagraph"/>
              <w:spacing w:line="360" w:lineRule="auto"/>
              <w:ind w:left="674" w:right="661"/>
            </w:pPr>
            <w:r>
              <w:t>17314.5</w:t>
            </w:r>
          </w:p>
        </w:tc>
        <w:tc>
          <w:tcPr>
            <w:tcW w:w="2117" w:type="dxa"/>
            <w:tcBorders>
              <w:top w:val="single" w:sz="8" w:space="0" w:color="000000"/>
              <w:left w:val="single" w:sz="8" w:space="0" w:color="000000"/>
              <w:bottom w:val="single" w:sz="8" w:space="0" w:color="000000"/>
              <w:right w:val="single" w:sz="8" w:space="0" w:color="000000"/>
            </w:tcBorders>
            <w:hideMark/>
          </w:tcPr>
          <w:p w14:paraId="54A87396" w14:textId="77777777" w:rsidR="00DB44AF" w:rsidRDefault="00DB44AF" w:rsidP="00637EFD">
            <w:pPr>
              <w:pStyle w:val="TableParagraph"/>
              <w:spacing w:line="360" w:lineRule="auto"/>
              <w:ind w:left="543" w:right="525"/>
            </w:pPr>
            <w:r>
              <w:t>18270</w:t>
            </w:r>
          </w:p>
        </w:tc>
      </w:tr>
      <w:tr w:rsidR="00DB44AF" w14:paraId="1F36C1A5"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5700A404" w14:textId="77777777" w:rsidR="00DB44AF" w:rsidRDefault="00DB44AF" w:rsidP="00637EFD">
            <w:pPr>
              <w:pStyle w:val="TableParagraph"/>
              <w:spacing w:line="360" w:lineRule="auto"/>
              <w:ind w:left="388" w:right="370"/>
            </w:pPr>
            <w:r>
              <w:rPr>
                <w:position w:val="2"/>
              </w:rPr>
              <w:t>C</w:t>
            </w:r>
            <w:r>
              <w:rPr>
                <w:sz w:val="15"/>
              </w:rPr>
              <w:t>max</w:t>
            </w:r>
            <w:r>
              <w:rPr>
                <w:position w:val="2"/>
              </w:rPr>
              <w:t>(ng/mL)</w:t>
            </w:r>
          </w:p>
        </w:tc>
        <w:tc>
          <w:tcPr>
            <w:tcW w:w="2259" w:type="dxa"/>
            <w:tcBorders>
              <w:top w:val="single" w:sz="8" w:space="0" w:color="000000"/>
              <w:left w:val="single" w:sz="8" w:space="0" w:color="000000"/>
              <w:bottom w:val="single" w:sz="8" w:space="0" w:color="000000"/>
              <w:right w:val="single" w:sz="8" w:space="0" w:color="000000"/>
            </w:tcBorders>
            <w:hideMark/>
          </w:tcPr>
          <w:p w14:paraId="4EA11514" w14:textId="77777777" w:rsidR="00DB44AF" w:rsidRDefault="00DB44AF" w:rsidP="00637EFD">
            <w:pPr>
              <w:pStyle w:val="TableParagraph"/>
              <w:spacing w:line="360" w:lineRule="auto"/>
              <w:ind w:left="674" w:right="657"/>
            </w:pPr>
            <w:r>
              <w:t>3198</w:t>
            </w:r>
          </w:p>
        </w:tc>
        <w:tc>
          <w:tcPr>
            <w:tcW w:w="2117" w:type="dxa"/>
            <w:tcBorders>
              <w:top w:val="single" w:sz="8" w:space="0" w:color="000000"/>
              <w:left w:val="single" w:sz="8" w:space="0" w:color="000000"/>
              <w:bottom w:val="single" w:sz="8" w:space="0" w:color="000000"/>
              <w:right w:val="single" w:sz="8" w:space="0" w:color="000000"/>
            </w:tcBorders>
            <w:hideMark/>
          </w:tcPr>
          <w:p w14:paraId="14B28220" w14:textId="77777777" w:rsidR="00DB44AF" w:rsidRDefault="00DB44AF" w:rsidP="00637EFD">
            <w:pPr>
              <w:pStyle w:val="TableParagraph"/>
              <w:spacing w:line="360" w:lineRule="auto"/>
              <w:ind w:left="542" w:right="527"/>
            </w:pPr>
            <w:r>
              <w:t>3446</w:t>
            </w:r>
          </w:p>
        </w:tc>
      </w:tr>
      <w:tr w:rsidR="00DB44AF" w14:paraId="345ACB24" w14:textId="77777777" w:rsidTr="00637EFD">
        <w:trPr>
          <w:trHeight w:val="181"/>
        </w:trPr>
        <w:tc>
          <w:tcPr>
            <w:tcW w:w="3419" w:type="dxa"/>
            <w:tcBorders>
              <w:top w:val="single" w:sz="8" w:space="0" w:color="000000"/>
              <w:left w:val="single" w:sz="8" w:space="0" w:color="000000"/>
              <w:bottom w:val="single" w:sz="8" w:space="0" w:color="000000"/>
              <w:right w:val="single" w:sz="8" w:space="0" w:color="000000"/>
            </w:tcBorders>
          </w:tcPr>
          <w:p w14:paraId="12AF9D61" w14:textId="77777777" w:rsidR="00DB44AF" w:rsidRDefault="00DB44AF" w:rsidP="00637EFD">
            <w:pPr>
              <w:pStyle w:val="TableParagraph"/>
              <w:spacing w:line="360" w:lineRule="auto"/>
              <w:ind w:right="367"/>
            </w:pPr>
            <w:r>
              <w:rPr>
                <w:position w:val="2"/>
              </w:rPr>
              <w:t>t</w:t>
            </w:r>
            <w:r>
              <w:rPr>
                <w:sz w:val="15"/>
              </w:rPr>
              <w:t>1/2</w:t>
            </w:r>
            <w:r>
              <w:rPr>
                <w:spacing w:val="5"/>
                <w:sz w:val="15"/>
              </w:rPr>
              <w:t xml:space="preserve"> </w:t>
            </w:r>
            <w:r>
              <w:rPr>
                <w:position w:val="2"/>
              </w:rPr>
              <w:t>(h)</w:t>
            </w:r>
          </w:p>
        </w:tc>
        <w:tc>
          <w:tcPr>
            <w:tcW w:w="2259" w:type="dxa"/>
            <w:tcBorders>
              <w:top w:val="single" w:sz="8" w:space="0" w:color="000000"/>
              <w:left w:val="single" w:sz="8" w:space="0" w:color="000000"/>
              <w:bottom w:val="single" w:sz="8" w:space="0" w:color="000000"/>
              <w:right w:val="single" w:sz="8" w:space="0" w:color="000000"/>
            </w:tcBorders>
          </w:tcPr>
          <w:p w14:paraId="76353BD2" w14:textId="77777777" w:rsidR="00DB44AF" w:rsidRDefault="00DB44AF" w:rsidP="00637EFD">
            <w:pPr>
              <w:pStyle w:val="TableParagraph"/>
              <w:spacing w:line="360" w:lineRule="auto"/>
              <w:ind w:right="659"/>
            </w:pPr>
            <w:r>
              <w:t xml:space="preserve">           3.4</w:t>
            </w:r>
          </w:p>
        </w:tc>
        <w:tc>
          <w:tcPr>
            <w:tcW w:w="2117" w:type="dxa"/>
            <w:tcBorders>
              <w:top w:val="single" w:sz="8" w:space="0" w:color="000000"/>
              <w:left w:val="single" w:sz="8" w:space="0" w:color="000000"/>
              <w:bottom w:val="single" w:sz="8" w:space="0" w:color="000000"/>
              <w:right w:val="single" w:sz="8" w:space="0" w:color="000000"/>
            </w:tcBorders>
          </w:tcPr>
          <w:p w14:paraId="7344E038" w14:textId="77777777" w:rsidR="00DB44AF" w:rsidRDefault="00DB44AF" w:rsidP="00637EFD">
            <w:pPr>
              <w:pStyle w:val="TableParagraph"/>
              <w:spacing w:line="360" w:lineRule="auto"/>
              <w:ind w:right="527"/>
            </w:pPr>
            <w:r>
              <w:t xml:space="preserve">          3.1</w:t>
            </w:r>
          </w:p>
        </w:tc>
      </w:tr>
      <w:tr w:rsidR="00DB44AF" w14:paraId="259971AC"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1A2FF53A" w14:textId="77777777" w:rsidR="00DB44AF" w:rsidRDefault="00DB44AF" w:rsidP="00637EFD">
            <w:pPr>
              <w:pStyle w:val="TableParagraph"/>
              <w:spacing w:line="360" w:lineRule="auto"/>
              <w:ind w:left="389" w:right="367"/>
            </w:pPr>
            <w:r>
              <w:rPr>
                <w:position w:val="2"/>
              </w:rPr>
              <w:t>T</w:t>
            </w:r>
            <w:r>
              <w:rPr>
                <w:sz w:val="15"/>
              </w:rPr>
              <w:t>max</w:t>
            </w:r>
            <w:r>
              <w:rPr>
                <w:position w:val="2"/>
              </w:rPr>
              <w:t>(h)</w:t>
            </w:r>
          </w:p>
        </w:tc>
        <w:tc>
          <w:tcPr>
            <w:tcW w:w="2259" w:type="dxa"/>
            <w:tcBorders>
              <w:top w:val="single" w:sz="8" w:space="0" w:color="000000"/>
              <w:left w:val="single" w:sz="8" w:space="0" w:color="000000"/>
              <w:bottom w:val="single" w:sz="8" w:space="0" w:color="000000"/>
              <w:right w:val="single" w:sz="8" w:space="0" w:color="000000"/>
            </w:tcBorders>
            <w:hideMark/>
          </w:tcPr>
          <w:p w14:paraId="3CDF810C" w14:textId="77777777" w:rsidR="00DB44AF" w:rsidRDefault="00DB44AF" w:rsidP="00637EFD">
            <w:pPr>
              <w:pStyle w:val="TableParagraph"/>
              <w:spacing w:line="360" w:lineRule="auto"/>
              <w:ind w:left="19"/>
            </w:pPr>
            <w:r>
              <w:rPr>
                <w:w w:val="102"/>
              </w:rPr>
              <w:t>2.5</w:t>
            </w:r>
          </w:p>
        </w:tc>
        <w:tc>
          <w:tcPr>
            <w:tcW w:w="2117" w:type="dxa"/>
            <w:tcBorders>
              <w:top w:val="single" w:sz="8" w:space="0" w:color="000000"/>
              <w:left w:val="single" w:sz="8" w:space="0" w:color="000000"/>
              <w:bottom w:val="single" w:sz="8" w:space="0" w:color="000000"/>
              <w:right w:val="single" w:sz="8" w:space="0" w:color="000000"/>
            </w:tcBorders>
            <w:hideMark/>
          </w:tcPr>
          <w:p w14:paraId="65666E11" w14:textId="77777777" w:rsidR="00DB44AF" w:rsidRDefault="00DB44AF" w:rsidP="00637EFD">
            <w:pPr>
              <w:pStyle w:val="TableParagraph"/>
              <w:spacing w:line="360" w:lineRule="auto"/>
              <w:ind w:left="17"/>
            </w:pPr>
            <w:r>
              <w:rPr>
                <w:w w:val="102"/>
              </w:rPr>
              <w:t>2.2</w:t>
            </w:r>
          </w:p>
        </w:tc>
      </w:tr>
      <w:tr w:rsidR="00DB44AF" w14:paraId="64A12B9A"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0AAA91C1" w14:textId="77777777" w:rsidR="00DB44AF" w:rsidRDefault="00DB44AF" w:rsidP="00637EFD">
            <w:pPr>
              <w:pStyle w:val="TableParagraph"/>
              <w:spacing w:line="360" w:lineRule="auto"/>
              <w:ind w:left="388" w:right="370"/>
            </w:pPr>
            <w:r>
              <w:t>MRT</w:t>
            </w:r>
            <w:r>
              <w:rPr>
                <w:spacing w:val="6"/>
              </w:rPr>
              <w:t xml:space="preserve"> </w:t>
            </w:r>
            <w:r>
              <w:t>(h)</w:t>
            </w:r>
          </w:p>
        </w:tc>
        <w:tc>
          <w:tcPr>
            <w:tcW w:w="2259" w:type="dxa"/>
            <w:tcBorders>
              <w:top w:val="single" w:sz="8" w:space="0" w:color="000000"/>
              <w:left w:val="single" w:sz="8" w:space="0" w:color="000000"/>
              <w:bottom w:val="single" w:sz="8" w:space="0" w:color="000000"/>
              <w:right w:val="single" w:sz="8" w:space="0" w:color="000000"/>
            </w:tcBorders>
            <w:hideMark/>
          </w:tcPr>
          <w:p w14:paraId="4CA64A6A" w14:textId="77777777" w:rsidR="00DB44AF" w:rsidRDefault="00DB44AF" w:rsidP="00637EFD">
            <w:pPr>
              <w:pStyle w:val="TableParagraph"/>
              <w:spacing w:line="360" w:lineRule="auto"/>
              <w:ind w:left="674" w:right="661"/>
            </w:pPr>
            <w:r>
              <w:t>6.46±17</w:t>
            </w:r>
          </w:p>
        </w:tc>
        <w:tc>
          <w:tcPr>
            <w:tcW w:w="2117" w:type="dxa"/>
            <w:tcBorders>
              <w:top w:val="single" w:sz="8" w:space="0" w:color="000000"/>
              <w:left w:val="single" w:sz="8" w:space="0" w:color="000000"/>
              <w:bottom w:val="single" w:sz="8" w:space="0" w:color="000000"/>
              <w:right w:val="single" w:sz="8" w:space="0" w:color="000000"/>
            </w:tcBorders>
            <w:hideMark/>
          </w:tcPr>
          <w:p w14:paraId="2281B248" w14:textId="77777777" w:rsidR="00DB44AF" w:rsidRDefault="00DB44AF" w:rsidP="00637EFD">
            <w:pPr>
              <w:pStyle w:val="TableParagraph"/>
              <w:spacing w:line="360" w:lineRule="auto"/>
              <w:ind w:left="543" w:right="527"/>
            </w:pPr>
            <w:r>
              <w:t>13.28±2.2</w:t>
            </w:r>
          </w:p>
        </w:tc>
      </w:tr>
      <w:bookmarkEnd w:id="5"/>
    </w:tbl>
    <w:p w14:paraId="16129CAC" w14:textId="77777777" w:rsidR="00DB44AF" w:rsidRDefault="00DB44AF" w:rsidP="00DB44AF"/>
    <w:p w14:paraId="63113146" w14:textId="77777777" w:rsidR="00DB44AF" w:rsidRDefault="00DB44AF" w:rsidP="00DB44AF"/>
    <w:p w14:paraId="259C2C83" w14:textId="77777777" w:rsidR="00DB44AF" w:rsidRDefault="00DB44AF" w:rsidP="00DB44AF"/>
    <w:p w14:paraId="26053910" w14:textId="77777777" w:rsidR="00DB44AF" w:rsidRPr="00DB44AF" w:rsidRDefault="00DB44AF" w:rsidP="00DB44AF">
      <w:pPr>
        <w:pStyle w:val="NormalWeb"/>
        <w:spacing w:line="360" w:lineRule="auto"/>
        <w:jc w:val="both"/>
        <w:rPr>
          <w:b/>
          <w:bCs/>
          <w:sz w:val="28"/>
          <w:szCs w:val="28"/>
        </w:rPr>
      </w:pPr>
    </w:p>
    <w:sectPr w:rsidR="00DB44AF" w:rsidRPr="00DB44AF">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DB6D" w14:textId="77777777" w:rsidR="006D5127" w:rsidRDefault="006D5127" w:rsidP="008735B8">
      <w:pPr>
        <w:spacing w:after="0" w:line="240" w:lineRule="auto"/>
      </w:pPr>
      <w:r>
        <w:separator/>
      </w:r>
    </w:p>
  </w:endnote>
  <w:endnote w:type="continuationSeparator" w:id="0">
    <w:p w14:paraId="789EB0F7" w14:textId="77777777" w:rsidR="006D5127" w:rsidRDefault="006D5127" w:rsidP="0087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B9E9" w14:textId="77777777" w:rsidR="008735B8" w:rsidRDefault="0087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4FA7" w14:textId="77777777" w:rsidR="008735B8" w:rsidRDefault="00873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5EAD" w14:textId="77777777" w:rsidR="008735B8" w:rsidRDefault="008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C1D0" w14:textId="77777777" w:rsidR="006D5127" w:rsidRDefault="006D5127" w:rsidP="008735B8">
      <w:pPr>
        <w:spacing w:after="0" w:line="240" w:lineRule="auto"/>
      </w:pPr>
      <w:r>
        <w:separator/>
      </w:r>
    </w:p>
  </w:footnote>
  <w:footnote w:type="continuationSeparator" w:id="0">
    <w:p w14:paraId="44B68532" w14:textId="77777777" w:rsidR="006D5127" w:rsidRDefault="006D5127" w:rsidP="0087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A8D2" w14:textId="328DADFE" w:rsidR="008735B8" w:rsidRDefault="00000000">
    <w:pPr>
      <w:pStyle w:val="Header"/>
    </w:pPr>
    <w:r>
      <w:rPr>
        <w:noProof/>
      </w:rPr>
      <w:pict w14:anchorId="7257E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9B19" w14:textId="7B07DEC8" w:rsidR="008735B8" w:rsidRDefault="00000000">
    <w:pPr>
      <w:pStyle w:val="Header"/>
    </w:pPr>
    <w:r>
      <w:rPr>
        <w:noProof/>
      </w:rPr>
      <w:pict w14:anchorId="5044D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A76D" w14:textId="11DEF291" w:rsidR="008735B8" w:rsidRDefault="00000000">
    <w:pPr>
      <w:pStyle w:val="Header"/>
    </w:pPr>
    <w:r>
      <w:rPr>
        <w:noProof/>
      </w:rPr>
      <w:pict w14:anchorId="38077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484B"/>
    <w:multiLevelType w:val="multilevel"/>
    <w:tmpl w:val="726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2ED0"/>
    <w:multiLevelType w:val="multilevel"/>
    <w:tmpl w:val="2B40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5498"/>
    <w:multiLevelType w:val="multilevel"/>
    <w:tmpl w:val="3B521E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D73A8"/>
    <w:multiLevelType w:val="hybridMultilevel"/>
    <w:tmpl w:val="92B49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2F5965"/>
    <w:multiLevelType w:val="multilevel"/>
    <w:tmpl w:val="95FE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E4EC8"/>
    <w:multiLevelType w:val="multilevel"/>
    <w:tmpl w:val="0C68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C5CAB"/>
    <w:multiLevelType w:val="hybridMultilevel"/>
    <w:tmpl w:val="E3BE7CDC"/>
    <w:lvl w:ilvl="0" w:tplc="7442A8E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9757712">
    <w:abstractNumId w:val="0"/>
  </w:num>
  <w:num w:numId="2" w16cid:durableId="70547494">
    <w:abstractNumId w:val="3"/>
  </w:num>
  <w:num w:numId="3" w16cid:durableId="1661277149">
    <w:abstractNumId w:val="6"/>
  </w:num>
  <w:num w:numId="4" w16cid:durableId="906693974">
    <w:abstractNumId w:val="1"/>
  </w:num>
  <w:num w:numId="5" w16cid:durableId="719210453">
    <w:abstractNumId w:val="4"/>
  </w:num>
  <w:num w:numId="6" w16cid:durableId="1209341874">
    <w:abstractNumId w:val="5"/>
  </w:num>
  <w:num w:numId="7" w16cid:durableId="1242301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2MDExszA0NDcyMDRQ0lEKTi0uzszPAykwrAUAdw5JYCwAAAA="/>
  </w:docVars>
  <w:rsids>
    <w:rsidRoot w:val="002D5A5F"/>
    <w:rsid w:val="000356A6"/>
    <w:rsid w:val="00063CF3"/>
    <w:rsid w:val="00071DEC"/>
    <w:rsid w:val="0008615C"/>
    <w:rsid w:val="000A5561"/>
    <w:rsid w:val="000C6EF1"/>
    <w:rsid w:val="000C7E16"/>
    <w:rsid w:val="000F2004"/>
    <w:rsid w:val="00131F56"/>
    <w:rsid w:val="001502A9"/>
    <w:rsid w:val="00151C04"/>
    <w:rsid w:val="00155D7B"/>
    <w:rsid w:val="00180EDD"/>
    <w:rsid w:val="00195436"/>
    <w:rsid w:val="00197147"/>
    <w:rsid w:val="001D11E3"/>
    <w:rsid w:val="0020154F"/>
    <w:rsid w:val="00234D12"/>
    <w:rsid w:val="00243497"/>
    <w:rsid w:val="00264B0F"/>
    <w:rsid w:val="00275C6C"/>
    <w:rsid w:val="002B7E0C"/>
    <w:rsid w:val="002C5F63"/>
    <w:rsid w:val="002D18C6"/>
    <w:rsid w:val="002D5A5F"/>
    <w:rsid w:val="002E67D8"/>
    <w:rsid w:val="00303ADC"/>
    <w:rsid w:val="00334B6A"/>
    <w:rsid w:val="00366FF2"/>
    <w:rsid w:val="0038009B"/>
    <w:rsid w:val="00385984"/>
    <w:rsid w:val="003879A0"/>
    <w:rsid w:val="003A4A4F"/>
    <w:rsid w:val="003C1BAC"/>
    <w:rsid w:val="003D5837"/>
    <w:rsid w:val="004150C7"/>
    <w:rsid w:val="00424025"/>
    <w:rsid w:val="00433316"/>
    <w:rsid w:val="0043354D"/>
    <w:rsid w:val="0045515F"/>
    <w:rsid w:val="00461D1F"/>
    <w:rsid w:val="00463CF2"/>
    <w:rsid w:val="004816B8"/>
    <w:rsid w:val="00487DD6"/>
    <w:rsid w:val="00494EF1"/>
    <w:rsid w:val="004968CC"/>
    <w:rsid w:val="004A6F3F"/>
    <w:rsid w:val="004C211D"/>
    <w:rsid w:val="004C33B6"/>
    <w:rsid w:val="004C6226"/>
    <w:rsid w:val="004D6E19"/>
    <w:rsid w:val="004F0212"/>
    <w:rsid w:val="004F7C31"/>
    <w:rsid w:val="00536737"/>
    <w:rsid w:val="00556019"/>
    <w:rsid w:val="0055681C"/>
    <w:rsid w:val="00561B66"/>
    <w:rsid w:val="00565A89"/>
    <w:rsid w:val="00574D62"/>
    <w:rsid w:val="005C7CAA"/>
    <w:rsid w:val="005D5796"/>
    <w:rsid w:val="005D5B4A"/>
    <w:rsid w:val="005F58AE"/>
    <w:rsid w:val="005F780F"/>
    <w:rsid w:val="006842E8"/>
    <w:rsid w:val="006B7926"/>
    <w:rsid w:val="006D5127"/>
    <w:rsid w:val="006E3D6F"/>
    <w:rsid w:val="00701184"/>
    <w:rsid w:val="00705A3D"/>
    <w:rsid w:val="0074198C"/>
    <w:rsid w:val="00796BD5"/>
    <w:rsid w:val="007A55F2"/>
    <w:rsid w:val="007C3E90"/>
    <w:rsid w:val="007C6C42"/>
    <w:rsid w:val="007F0F64"/>
    <w:rsid w:val="0080437F"/>
    <w:rsid w:val="00821EDA"/>
    <w:rsid w:val="0086179C"/>
    <w:rsid w:val="00865B95"/>
    <w:rsid w:val="008735B8"/>
    <w:rsid w:val="00897FAC"/>
    <w:rsid w:val="008D4725"/>
    <w:rsid w:val="008E55B4"/>
    <w:rsid w:val="00951C73"/>
    <w:rsid w:val="00956360"/>
    <w:rsid w:val="00964E98"/>
    <w:rsid w:val="009676C0"/>
    <w:rsid w:val="009A2552"/>
    <w:rsid w:val="009C03B8"/>
    <w:rsid w:val="009D609A"/>
    <w:rsid w:val="00A05F32"/>
    <w:rsid w:val="00A07A48"/>
    <w:rsid w:val="00A100C3"/>
    <w:rsid w:val="00A13B77"/>
    <w:rsid w:val="00A172B2"/>
    <w:rsid w:val="00A21AC0"/>
    <w:rsid w:val="00A31398"/>
    <w:rsid w:val="00A63376"/>
    <w:rsid w:val="00A73819"/>
    <w:rsid w:val="00A86088"/>
    <w:rsid w:val="00AA5FCB"/>
    <w:rsid w:val="00AB6ABE"/>
    <w:rsid w:val="00AE7939"/>
    <w:rsid w:val="00AF1640"/>
    <w:rsid w:val="00B07998"/>
    <w:rsid w:val="00B82243"/>
    <w:rsid w:val="00BB4A8C"/>
    <w:rsid w:val="00BE103C"/>
    <w:rsid w:val="00BE727E"/>
    <w:rsid w:val="00C05F42"/>
    <w:rsid w:val="00C2654B"/>
    <w:rsid w:val="00C57B8B"/>
    <w:rsid w:val="00C71810"/>
    <w:rsid w:val="00C801C7"/>
    <w:rsid w:val="00C86494"/>
    <w:rsid w:val="00CC2608"/>
    <w:rsid w:val="00CE3584"/>
    <w:rsid w:val="00CE7FE9"/>
    <w:rsid w:val="00D129D3"/>
    <w:rsid w:val="00D47B78"/>
    <w:rsid w:val="00D83189"/>
    <w:rsid w:val="00D9298B"/>
    <w:rsid w:val="00DB44AF"/>
    <w:rsid w:val="00DD28D0"/>
    <w:rsid w:val="00DF0034"/>
    <w:rsid w:val="00E01CE5"/>
    <w:rsid w:val="00E05264"/>
    <w:rsid w:val="00E20146"/>
    <w:rsid w:val="00E25757"/>
    <w:rsid w:val="00E65399"/>
    <w:rsid w:val="00E75A6C"/>
    <w:rsid w:val="00E92FAF"/>
    <w:rsid w:val="00EC3C11"/>
    <w:rsid w:val="00EC63D0"/>
    <w:rsid w:val="00EE21FE"/>
    <w:rsid w:val="00EE77F8"/>
    <w:rsid w:val="00F678A3"/>
    <w:rsid w:val="00F90A3D"/>
    <w:rsid w:val="00FA0728"/>
    <w:rsid w:val="00FC5A7B"/>
    <w:rsid w:val="00FE2435"/>
    <w:rsid w:val="00FF45F0"/>
    <w:rsid w:val="00FF4C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FC93C"/>
  <w15:chartTrackingRefBased/>
  <w15:docId w15:val="{AAD91C3B-262E-4608-AFC3-10BD4704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5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65B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65B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34B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4B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9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65B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65B95"/>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65B95"/>
    <w:rPr>
      <w:b/>
      <w:bCs/>
    </w:rPr>
  </w:style>
  <w:style w:type="paragraph" w:styleId="NormalWeb">
    <w:name w:val="Normal (Web)"/>
    <w:basedOn w:val="Normal"/>
    <w:uiPriority w:val="99"/>
    <w:unhideWhenUsed/>
    <w:rsid w:val="00865B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334B6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34B6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36737"/>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39"/>
    <w:rsid w:val="0053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0C3"/>
    <w:rPr>
      <w:color w:val="0563C1" w:themeColor="hyperlink"/>
      <w:u w:val="single"/>
    </w:rPr>
  </w:style>
  <w:style w:type="character" w:styleId="Emphasis">
    <w:name w:val="Emphasis"/>
    <w:basedOn w:val="DefaultParagraphFont"/>
    <w:uiPriority w:val="20"/>
    <w:qFormat/>
    <w:rsid w:val="00433316"/>
    <w:rPr>
      <w:i/>
      <w:iCs/>
    </w:rPr>
  </w:style>
  <w:style w:type="character" w:styleId="UnresolvedMention">
    <w:name w:val="Unresolved Mention"/>
    <w:basedOn w:val="DefaultParagraphFont"/>
    <w:uiPriority w:val="99"/>
    <w:semiHidden/>
    <w:unhideWhenUsed/>
    <w:rsid w:val="00433316"/>
    <w:rPr>
      <w:color w:val="605E5C"/>
      <w:shd w:val="clear" w:color="auto" w:fill="E1DFDD"/>
    </w:rPr>
  </w:style>
  <w:style w:type="paragraph" w:styleId="BodyText">
    <w:name w:val="Body Text"/>
    <w:basedOn w:val="Normal"/>
    <w:link w:val="BodyTextChar"/>
    <w:uiPriority w:val="1"/>
    <w:qFormat/>
    <w:rsid w:val="00DB44A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B44AF"/>
    <w:rPr>
      <w:rFonts w:ascii="Times New Roman" w:eastAsia="Times New Roman" w:hAnsi="Times New Roman" w:cs="Times New Roman"/>
      <w:lang w:val="en-US"/>
    </w:rPr>
  </w:style>
  <w:style w:type="paragraph" w:styleId="ListParagraph">
    <w:name w:val="List Paragraph"/>
    <w:basedOn w:val="Normal"/>
    <w:uiPriority w:val="1"/>
    <w:qFormat/>
    <w:rsid w:val="00DB44AF"/>
    <w:pPr>
      <w:widowControl w:val="0"/>
      <w:autoSpaceDE w:val="0"/>
      <w:autoSpaceDN w:val="0"/>
      <w:spacing w:after="0" w:line="240" w:lineRule="auto"/>
      <w:ind w:left="1337" w:hanging="510"/>
    </w:pPr>
    <w:rPr>
      <w:rFonts w:ascii="Times New Roman" w:eastAsia="Times New Roman" w:hAnsi="Times New Roman" w:cs="Times New Roman"/>
      <w:lang w:val="en-US"/>
    </w:rPr>
  </w:style>
  <w:style w:type="paragraph" w:styleId="Header">
    <w:name w:val="header"/>
    <w:basedOn w:val="Normal"/>
    <w:link w:val="HeaderChar"/>
    <w:uiPriority w:val="99"/>
    <w:unhideWhenUsed/>
    <w:rsid w:val="0087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B8"/>
  </w:style>
  <w:style w:type="paragraph" w:styleId="Footer">
    <w:name w:val="footer"/>
    <w:basedOn w:val="Normal"/>
    <w:link w:val="FooterChar"/>
    <w:uiPriority w:val="99"/>
    <w:unhideWhenUsed/>
    <w:rsid w:val="0087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B8"/>
  </w:style>
  <w:style w:type="paragraph" w:styleId="Revision">
    <w:name w:val="Revision"/>
    <w:hidden/>
    <w:uiPriority w:val="99"/>
    <w:semiHidden/>
    <w:rsid w:val="007A5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1">
      <w:bodyDiv w:val="1"/>
      <w:marLeft w:val="0"/>
      <w:marRight w:val="0"/>
      <w:marTop w:val="0"/>
      <w:marBottom w:val="0"/>
      <w:divBdr>
        <w:top w:val="none" w:sz="0" w:space="0" w:color="auto"/>
        <w:left w:val="none" w:sz="0" w:space="0" w:color="auto"/>
        <w:bottom w:val="none" w:sz="0" w:space="0" w:color="auto"/>
        <w:right w:val="none" w:sz="0" w:space="0" w:color="auto"/>
      </w:divBdr>
    </w:div>
    <w:div w:id="92627332">
      <w:bodyDiv w:val="1"/>
      <w:marLeft w:val="0"/>
      <w:marRight w:val="0"/>
      <w:marTop w:val="0"/>
      <w:marBottom w:val="0"/>
      <w:divBdr>
        <w:top w:val="none" w:sz="0" w:space="0" w:color="auto"/>
        <w:left w:val="none" w:sz="0" w:space="0" w:color="auto"/>
        <w:bottom w:val="none" w:sz="0" w:space="0" w:color="auto"/>
        <w:right w:val="none" w:sz="0" w:space="0" w:color="auto"/>
      </w:divBdr>
    </w:div>
    <w:div w:id="106588826">
      <w:bodyDiv w:val="1"/>
      <w:marLeft w:val="0"/>
      <w:marRight w:val="0"/>
      <w:marTop w:val="0"/>
      <w:marBottom w:val="0"/>
      <w:divBdr>
        <w:top w:val="none" w:sz="0" w:space="0" w:color="auto"/>
        <w:left w:val="none" w:sz="0" w:space="0" w:color="auto"/>
        <w:bottom w:val="none" w:sz="0" w:space="0" w:color="auto"/>
        <w:right w:val="none" w:sz="0" w:space="0" w:color="auto"/>
      </w:divBdr>
    </w:div>
    <w:div w:id="182598625">
      <w:bodyDiv w:val="1"/>
      <w:marLeft w:val="0"/>
      <w:marRight w:val="0"/>
      <w:marTop w:val="0"/>
      <w:marBottom w:val="0"/>
      <w:divBdr>
        <w:top w:val="none" w:sz="0" w:space="0" w:color="auto"/>
        <w:left w:val="none" w:sz="0" w:space="0" w:color="auto"/>
        <w:bottom w:val="none" w:sz="0" w:space="0" w:color="auto"/>
        <w:right w:val="none" w:sz="0" w:space="0" w:color="auto"/>
      </w:divBdr>
    </w:div>
    <w:div w:id="535046550">
      <w:bodyDiv w:val="1"/>
      <w:marLeft w:val="0"/>
      <w:marRight w:val="0"/>
      <w:marTop w:val="0"/>
      <w:marBottom w:val="0"/>
      <w:divBdr>
        <w:top w:val="none" w:sz="0" w:space="0" w:color="auto"/>
        <w:left w:val="none" w:sz="0" w:space="0" w:color="auto"/>
        <w:bottom w:val="none" w:sz="0" w:space="0" w:color="auto"/>
        <w:right w:val="none" w:sz="0" w:space="0" w:color="auto"/>
      </w:divBdr>
    </w:div>
    <w:div w:id="582225616">
      <w:bodyDiv w:val="1"/>
      <w:marLeft w:val="0"/>
      <w:marRight w:val="0"/>
      <w:marTop w:val="0"/>
      <w:marBottom w:val="0"/>
      <w:divBdr>
        <w:top w:val="none" w:sz="0" w:space="0" w:color="auto"/>
        <w:left w:val="none" w:sz="0" w:space="0" w:color="auto"/>
        <w:bottom w:val="none" w:sz="0" w:space="0" w:color="auto"/>
        <w:right w:val="none" w:sz="0" w:space="0" w:color="auto"/>
      </w:divBdr>
    </w:div>
    <w:div w:id="631986124">
      <w:bodyDiv w:val="1"/>
      <w:marLeft w:val="0"/>
      <w:marRight w:val="0"/>
      <w:marTop w:val="0"/>
      <w:marBottom w:val="0"/>
      <w:divBdr>
        <w:top w:val="none" w:sz="0" w:space="0" w:color="auto"/>
        <w:left w:val="none" w:sz="0" w:space="0" w:color="auto"/>
        <w:bottom w:val="none" w:sz="0" w:space="0" w:color="auto"/>
        <w:right w:val="none" w:sz="0" w:space="0" w:color="auto"/>
      </w:divBdr>
    </w:div>
    <w:div w:id="791554095">
      <w:bodyDiv w:val="1"/>
      <w:marLeft w:val="0"/>
      <w:marRight w:val="0"/>
      <w:marTop w:val="0"/>
      <w:marBottom w:val="0"/>
      <w:divBdr>
        <w:top w:val="none" w:sz="0" w:space="0" w:color="auto"/>
        <w:left w:val="none" w:sz="0" w:space="0" w:color="auto"/>
        <w:bottom w:val="none" w:sz="0" w:space="0" w:color="auto"/>
        <w:right w:val="none" w:sz="0" w:space="0" w:color="auto"/>
      </w:divBdr>
    </w:div>
    <w:div w:id="843282493">
      <w:bodyDiv w:val="1"/>
      <w:marLeft w:val="0"/>
      <w:marRight w:val="0"/>
      <w:marTop w:val="0"/>
      <w:marBottom w:val="0"/>
      <w:divBdr>
        <w:top w:val="none" w:sz="0" w:space="0" w:color="auto"/>
        <w:left w:val="none" w:sz="0" w:space="0" w:color="auto"/>
        <w:bottom w:val="none" w:sz="0" w:space="0" w:color="auto"/>
        <w:right w:val="none" w:sz="0" w:space="0" w:color="auto"/>
      </w:divBdr>
    </w:div>
    <w:div w:id="916398695">
      <w:bodyDiv w:val="1"/>
      <w:marLeft w:val="0"/>
      <w:marRight w:val="0"/>
      <w:marTop w:val="0"/>
      <w:marBottom w:val="0"/>
      <w:divBdr>
        <w:top w:val="none" w:sz="0" w:space="0" w:color="auto"/>
        <w:left w:val="none" w:sz="0" w:space="0" w:color="auto"/>
        <w:bottom w:val="none" w:sz="0" w:space="0" w:color="auto"/>
        <w:right w:val="none" w:sz="0" w:space="0" w:color="auto"/>
      </w:divBdr>
    </w:div>
    <w:div w:id="918758739">
      <w:bodyDiv w:val="1"/>
      <w:marLeft w:val="0"/>
      <w:marRight w:val="0"/>
      <w:marTop w:val="0"/>
      <w:marBottom w:val="0"/>
      <w:divBdr>
        <w:top w:val="none" w:sz="0" w:space="0" w:color="auto"/>
        <w:left w:val="none" w:sz="0" w:space="0" w:color="auto"/>
        <w:bottom w:val="none" w:sz="0" w:space="0" w:color="auto"/>
        <w:right w:val="none" w:sz="0" w:space="0" w:color="auto"/>
      </w:divBdr>
    </w:div>
    <w:div w:id="948201390">
      <w:bodyDiv w:val="1"/>
      <w:marLeft w:val="0"/>
      <w:marRight w:val="0"/>
      <w:marTop w:val="0"/>
      <w:marBottom w:val="0"/>
      <w:divBdr>
        <w:top w:val="none" w:sz="0" w:space="0" w:color="auto"/>
        <w:left w:val="none" w:sz="0" w:space="0" w:color="auto"/>
        <w:bottom w:val="none" w:sz="0" w:space="0" w:color="auto"/>
        <w:right w:val="none" w:sz="0" w:space="0" w:color="auto"/>
      </w:divBdr>
    </w:div>
    <w:div w:id="1022509643">
      <w:bodyDiv w:val="1"/>
      <w:marLeft w:val="0"/>
      <w:marRight w:val="0"/>
      <w:marTop w:val="0"/>
      <w:marBottom w:val="0"/>
      <w:divBdr>
        <w:top w:val="none" w:sz="0" w:space="0" w:color="auto"/>
        <w:left w:val="none" w:sz="0" w:space="0" w:color="auto"/>
        <w:bottom w:val="none" w:sz="0" w:space="0" w:color="auto"/>
        <w:right w:val="none" w:sz="0" w:space="0" w:color="auto"/>
      </w:divBdr>
    </w:div>
    <w:div w:id="1026055916">
      <w:bodyDiv w:val="1"/>
      <w:marLeft w:val="0"/>
      <w:marRight w:val="0"/>
      <w:marTop w:val="0"/>
      <w:marBottom w:val="0"/>
      <w:divBdr>
        <w:top w:val="none" w:sz="0" w:space="0" w:color="auto"/>
        <w:left w:val="none" w:sz="0" w:space="0" w:color="auto"/>
        <w:bottom w:val="none" w:sz="0" w:space="0" w:color="auto"/>
        <w:right w:val="none" w:sz="0" w:space="0" w:color="auto"/>
      </w:divBdr>
    </w:div>
    <w:div w:id="1050306434">
      <w:bodyDiv w:val="1"/>
      <w:marLeft w:val="0"/>
      <w:marRight w:val="0"/>
      <w:marTop w:val="0"/>
      <w:marBottom w:val="0"/>
      <w:divBdr>
        <w:top w:val="none" w:sz="0" w:space="0" w:color="auto"/>
        <w:left w:val="none" w:sz="0" w:space="0" w:color="auto"/>
        <w:bottom w:val="none" w:sz="0" w:space="0" w:color="auto"/>
        <w:right w:val="none" w:sz="0" w:space="0" w:color="auto"/>
      </w:divBdr>
    </w:div>
    <w:div w:id="1191869734">
      <w:bodyDiv w:val="1"/>
      <w:marLeft w:val="0"/>
      <w:marRight w:val="0"/>
      <w:marTop w:val="0"/>
      <w:marBottom w:val="0"/>
      <w:divBdr>
        <w:top w:val="none" w:sz="0" w:space="0" w:color="auto"/>
        <w:left w:val="none" w:sz="0" w:space="0" w:color="auto"/>
        <w:bottom w:val="none" w:sz="0" w:space="0" w:color="auto"/>
        <w:right w:val="none" w:sz="0" w:space="0" w:color="auto"/>
      </w:divBdr>
    </w:div>
    <w:div w:id="1304967444">
      <w:bodyDiv w:val="1"/>
      <w:marLeft w:val="0"/>
      <w:marRight w:val="0"/>
      <w:marTop w:val="0"/>
      <w:marBottom w:val="0"/>
      <w:divBdr>
        <w:top w:val="none" w:sz="0" w:space="0" w:color="auto"/>
        <w:left w:val="none" w:sz="0" w:space="0" w:color="auto"/>
        <w:bottom w:val="none" w:sz="0" w:space="0" w:color="auto"/>
        <w:right w:val="none" w:sz="0" w:space="0" w:color="auto"/>
      </w:divBdr>
    </w:div>
    <w:div w:id="1450584817">
      <w:bodyDiv w:val="1"/>
      <w:marLeft w:val="0"/>
      <w:marRight w:val="0"/>
      <w:marTop w:val="0"/>
      <w:marBottom w:val="0"/>
      <w:divBdr>
        <w:top w:val="none" w:sz="0" w:space="0" w:color="auto"/>
        <w:left w:val="none" w:sz="0" w:space="0" w:color="auto"/>
        <w:bottom w:val="none" w:sz="0" w:space="0" w:color="auto"/>
        <w:right w:val="none" w:sz="0" w:space="0" w:color="auto"/>
      </w:divBdr>
    </w:div>
    <w:div w:id="1485854544">
      <w:bodyDiv w:val="1"/>
      <w:marLeft w:val="0"/>
      <w:marRight w:val="0"/>
      <w:marTop w:val="0"/>
      <w:marBottom w:val="0"/>
      <w:divBdr>
        <w:top w:val="none" w:sz="0" w:space="0" w:color="auto"/>
        <w:left w:val="none" w:sz="0" w:space="0" w:color="auto"/>
        <w:bottom w:val="none" w:sz="0" w:space="0" w:color="auto"/>
        <w:right w:val="none" w:sz="0" w:space="0" w:color="auto"/>
      </w:divBdr>
    </w:div>
    <w:div w:id="1548420165">
      <w:bodyDiv w:val="1"/>
      <w:marLeft w:val="0"/>
      <w:marRight w:val="0"/>
      <w:marTop w:val="0"/>
      <w:marBottom w:val="0"/>
      <w:divBdr>
        <w:top w:val="none" w:sz="0" w:space="0" w:color="auto"/>
        <w:left w:val="none" w:sz="0" w:space="0" w:color="auto"/>
        <w:bottom w:val="none" w:sz="0" w:space="0" w:color="auto"/>
        <w:right w:val="none" w:sz="0" w:space="0" w:color="auto"/>
      </w:divBdr>
    </w:div>
    <w:div w:id="1607882651">
      <w:bodyDiv w:val="1"/>
      <w:marLeft w:val="0"/>
      <w:marRight w:val="0"/>
      <w:marTop w:val="0"/>
      <w:marBottom w:val="0"/>
      <w:divBdr>
        <w:top w:val="none" w:sz="0" w:space="0" w:color="auto"/>
        <w:left w:val="none" w:sz="0" w:space="0" w:color="auto"/>
        <w:bottom w:val="none" w:sz="0" w:space="0" w:color="auto"/>
        <w:right w:val="none" w:sz="0" w:space="0" w:color="auto"/>
      </w:divBdr>
    </w:div>
    <w:div w:id="1625042341">
      <w:bodyDiv w:val="1"/>
      <w:marLeft w:val="0"/>
      <w:marRight w:val="0"/>
      <w:marTop w:val="0"/>
      <w:marBottom w:val="0"/>
      <w:divBdr>
        <w:top w:val="none" w:sz="0" w:space="0" w:color="auto"/>
        <w:left w:val="none" w:sz="0" w:space="0" w:color="auto"/>
        <w:bottom w:val="none" w:sz="0" w:space="0" w:color="auto"/>
        <w:right w:val="none" w:sz="0" w:space="0" w:color="auto"/>
      </w:divBdr>
    </w:div>
    <w:div w:id="1646549756">
      <w:bodyDiv w:val="1"/>
      <w:marLeft w:val="0"/>
      <w:marRight w:val="0"/>
      <w:marTop w:val="0"/>
      <w:marBottom w:val="0"/>
      <w:divBdr>
        <w:top w:val="none" w:sz="0" w:space="0" w:color="auto"/>
        <w:left w:val="none" w:sz="0" w:space="0" w:color="auto"/>
        <w:bottom w:val="none" w:sz="0" w:space="0" w:color="auto"/>
        <w:right w:val="none" w:sz="0" w:space="0" w:color="auto"/>
      </w:divBdr>
    </w:div>
    <w:div w:id="1646810878">
      <w:bodyDiv w:val="1"/>
      <w:marLeft w:val="0"/>
      <w:marRight w:val="0"/>
      <w:marTop w:val="0"/>
      <w:marBottom w:val="0"/>
      <w:divBdr>
        <w:top w:val="none" w:sz="0" w:space="0" w:color="auto"/>
        <w:left w:val="none" w:sz="0" w:space="0" w:color="auto"/>
        <w:bottom w:val="none" w:sz="0" w:space="0" w:color="auto"/>
        <w:right w:val="none" w:sz="0" w:space="0" w:color="auto"/>
      </w:divBdr>
    </w:div>
    <w:div w:id="1701666851">
      <w:bodyDiv w:val="1"/>
      <w:marLeft w:val="0"/>
      <w:marRight w:val="0"/>
      <w:marTop w:val="0"/>
      <w:marBottom w:val="0"/>
      <w:divBdr>
        <w:top w:val="none" w:sz="0" w:space="0" w:color="auto"/>
        <w:left w:val="none" w:sz="0" w:space="0" w:color="auto"/>
        <w:bottom w:val="none" w:sz="0" w:space="0" w:color="auto"/>
        <w:right w:val="none" w:sz="0" w:space="0" w:color="auto"/>
      </w:divBdr>
    </w:div>
    <w:div w:id="1882935775">
      <w:bodyDiv w:val="1"/>
      <w:marLeft w:val="0"/>
      <w:marRight w:val="0"/>
      <w:marTop w:val="0"/>
      <w:marBottom w:val="0"/>
      <w:divBdr>
        <w:top w:val="none" w:sz="0" w:space="0" w:color="auto"/>
        <w:left w:val="none" w:sz="0" w:space="0" w:color="auto"/>
        <w:bottom w:val="none" w:sz="0" w:space="0" w:color="auto"/>
        <w:right w:val="none" w:sz="0" w:space="0" w:color="auto"/>
      </w:divBdr>
    </w:div>
    <w:div w:id="2104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ddr.2007.05.010" TargetMode="External"/><Relationship Id="rId18" Type="http://schemas.openxmlformats.org/officeDocument/2006/relationships/hyperlink" Target="https://doi.org/10.1007/s40005-013-0099-7" TargetMode="External"/><Relationship Id="rId26" Type="http://schemas.openxmlformats.org/officeDocument/2006/relationships/hyperlink" Target="https://doi.org/10.3390/ph15121743"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doi.org/10.1016/j.ijpharm.2012.11.012" TargetMode="External"/><Relationship Id="rId34" Type="http://schemas.openxmlformats.org/officeDocument/2006/relationships/hyperlink" Target="https://doi.org/10.1016/j.jddst.2022.103175" TargetMode="External"/><Relationship Id="rId42" Type="http://schemas.openxmlformats.org/officeDocument/2006/relationships/image" Target="media/image6.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103/0250-474X.57283" TargetMode="External"/><Relationship Id="rId17" Type="http://schemas.openxmlformats.org/officeDocument/2006/relationships/hyperlink" Target="https://doi.org/10.5530/ijpi.20250146" TargetMode="External"/><Relationship Id="rId25" Type="http://schemas.openxmlformats.org/officeDocument/2006/relationships/hyperlink" Target="https://doi.org/10.1155/2013/197398" TargetMode="External"/><Relationship Id="rId33" Type="http://schemas.openxmlformats.org/officeDocument/2006/relationships/hyperlink" Target="https://doi.org/10.3109/10717544.2014.885615" TargetMode="External"/><Relationship Id="rId38" Type="http://schemas.openxmlformats.org/officeDocument/2006/relationships/image" Target="media/image2.jpe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390/ijms26041499" TargetMode="External"/><Relationship Id="rId20" Type="http://schemas.openxmlformats.org/officeDocument/2006/relationships/hyperlink" Target="https://doi.org/10.1517/17425241003645910" TargetMode="External"/><Relationship Id="rId29" Type="http://schemas.openxmlformats.org/officeDocument/2006/relationships/hyperlink" Target="https://doi.org/10.22159/ijap.2023v15i6.48767"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pharm.2022.121798" TargetMode="External"/><Relationship Id="rId24" Type="http://schemas.openxmlformats.org/officeDocument/2006/relationships/hyperlink" Target="https://doi.org/10.22159/ijap.2023v15i4.47618" TargetMode="External"/><Relationship Id="rId32" Type="http://schemas.openxmlformats.org/officeDocument/2006/relationships/hyperlink" Target="https://doi.org/10.1016/j.jddst.2023.104757" TargetMode="External"/><Relationship Id="rId37" Type="http://schemas.openxmlformats.org/officeDocument/2006/relationships/hyperlink" Target="https://doi.org/10.1016/j.apsb.2024.08.027" TargetMode="External"/><Relationship Id="rId40" Type="http://schemas.openxmlformats.org/officeDocument/2006/relationships/image" Target="media/image4.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life13051099" TargetMode="External"/><Relationship Id="rId23" Type="http://schemas.openxmlformats.org/officeDocument/2006/relationships/hyperlink" Target="https://doi.org/10.3390/pharmaceutics13040497" TargetMode="External"/><Relationship Id="rId28" Type="http://schemas.openxmlformats.org/officeDocument/2006/relationships/hyperlink" Target="https://doi.org/10.1002/jps.24362" TargetMode="External"/><Relationship Id="rId36" Type="http://schemas.openxmlformats.org/officeDocument/2006/relationships/hyperlink" Target="https://doi.org/10.34172/apb.2020.044" TargetMode="External"/><Relationship Id="rId49" Type="http://schemas.openxmlformats.org/officeDocument/2006/relationships/fontTable" Target="fontTable.xml"/><Relationship Id="rId10" Type="http://schemas.openxmlformats.org/officeDocument/2006/relationships/hyperlink" Target="https://doi.org/10.3389/fphar.2021.618411" TargetMode="External"/><Relationship Id="rId19" Type="http://schemas.openxmlformats.org/officeDocument/2006/relationships/hyperlink" Target="https://doi.org/10.1016/j.ejps.2022.106133" TargetMode="External"/><Relationship Id="rId31" Type="http://schemas.openxmlformats.org/officeDocument/2006/relationships/hyperlink" Target="https://doi.org/10.1016/j.jsps.2022.09.00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addr.2022.114507" TargetMode="External"/><Relationship Id="rId14" Type="http://schemas.openxmlformats.org/officeDocument/2006/relationships/hyperlink" Target="https://doi.org/10.1016/j.carbpol.2021.118889" TargetMode="External"/><Relationship Id="rId22" Type="http://schemas.openxmlformats.org/officeDocument/2006/relationships/hyperlink" Target="https://doi.org/10.1016/j.ijpharm.2018.11.005" TargetMode="External"/><Relationship Id="rId27" Type="http://schemas.openxmlformats.org/officeDocument/2006/relationships/hyperlink" Target="https://doi.org/10.1208/s12249-022-02394-7" TargetMode="External"/><Relationship Id="rId30" Type="http://schemas.openxmlformats.org/officeDocument/2006/relationships/hyperlink" Target="https://doi.org/10.1016/j.jddst.2020.101942" TargetMode="External"/><Relationship Id="rId35" Type="http://schemas.openxmlformats.org/officeDocument/2006/relationships/hyperlink" Target="https://doi.org/10.5530/ijper.53.3.8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F38E09D-496E-4C02-8C19-51A97143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5784</Words>
  <Characters>37194</Characters>
  <Application>Microsoft Office Word</Application>
  <DocSecurity>0</DocSecurity>
  <Lines>729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Mr.K.D.Mali</dc:creator>
  <cp:keywords/>
  <dc:description/>
  <cp:lastModifiedBy>Editor Acc 101</cp:lastModifiedBy>
  <cp:revision>86</cp:revision>
  <dcterms:created xsi:type="dcterms:W3CDTF">2025-08-26T10:06:00Z</dcterms:created>
  <dcterms:modified xsi:type="dcterms:W3CDTF">2025-09-15T05:59:00Z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54606c40-6b8d-31c7-abc3-5b1d8575b57e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bd4dbb7c-cba5-4ed3-a089-0e948bf9d0d8</vt:lpwstr>
  </property>
</Properties>
</file>