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E798D" w14:textId="77777777" w:rsidR="00754C9A" w:rsidRDefault="00754C9A" w:rsidP="00441B6F">
      <w:pPr>
        <w:pStyle w:val="Title"/>
        <w:spacing w:after="0"/>
        <w:jc w:val="both"/>
        <w:rPr>
          <w:rFonts w:ascii="Arial" w:hAnsi="Arial" w:cs="Arial"/>
        </w:rPr>
      </w:pPr>
    </w:p>
    <w:p w14:paraId="018BA53E" w14:textId="77777777" w:rsidR="004D370A" w:rsidRPr="001A20BC" w:rsidRDefault="004D370A" w:rsidP="00D640C9">
      <w:pPr>
        <w:pStyle w:val="Paper"/>
        <w:divId w:val="1119492999"/>
        <w:rPr>
          <w:lang w:val="en-IN" w:eastAsia="en-GB"/>
        </w:rPr>
      </w:pPr>
      <w:r w:rsidRPr="001A20BC">
        <w:rPr>
          <w:lang w:val="en-IN" w:eastAsia="en-GB"/>
        </w:rPr>
        <w:t>Optimizing Migraine Therapy: A Comparative Review of Dosage and Tolerability of Calcitonin Gene Related Peptide Antagonists</w:t>
      </w:r>
    </w:p>
    <w:p w14:paraId="24265595" w14:textId="77777777" w:rsidR="002C57D2" w:rsidRPr="00FB3A86" w:rsidRDefault="002C57D2" w:rsidP="00441B6F">
      <w:pPr>
        <w:pStyle w:val="Affiliation"/>
        <w:spacing w:after="0" w:line="240" w:lineRule="auto"/>
        <w:jc w:val="both"/>
        <w:rPr>
          <w:rFonts w:ascii="Arial" w:hAnsi="Arial" w:cs="Arial"/>
        </w:rPr>
      </w:pPr>
    </w:p>
    <w:p w14:paraId="6DADEBF9" w14:textId="77777777" w:rsidR="00B01FCD" w:rsidRPr="00FB3A86" w:rsidRDefault="000F4A1A"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15208391" wp14:editId="1B641A22">
                <wp:extent cx="5303520" cy="635"/>
                <wp:effectExtent l="0" t="12700" r="5080" b="12065"/>
                <wp:docPr id="738522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EA456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442AE29" w14:textId="0A509DC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203A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C3B60" w14:paraId="778F49B2" w14:textId="77777777" w:rsidTr="001E44FE">
        <w:tc>
          <w:tcPr>
            <w:tcW w:w="9576" w:type="dxa"/>
            <w:shd w:val="clear" w:color="auto" w:fill="F2F2F2"/>
          </w:tcPr>
          <w:p w14:paraId="637ED4CD" w14:textId="77777777" w:rsidR="00B73135" w:rsidRPr="00AC3B60" w:rsidRDefault="00B73135">
            <w:pPr>
              <w:pStyle w:val="p1"/>
              <w:divId w:val="2077891476"/>
              <w:rPr>
                <w:rStyle w:val="s2"/>
                <w:rFonts w:ascii="Arial" w:hAnsi="Arial" w:cs="Arial"/>
                <w:sz w:val="22"/>
                <w:szCs w:val="22"/>
              </w:rPr>
            </w:pPr>
            <w:r w:rsidRPr="00AC3B60">
              <w:rPr>
                <w:rStyle w:val="s1"/>
                <w:rFonts w:ascii="Arial" w:hAnsi="Arial" w:cs="Arial"/>
                <w:sz w:val="22"/>
                <w:szCs w:val="22"/>
              </w:rPr>
              <w:t>Background:</w:t>
            </w:r>
            <w:r w:rsidRPr="00AC3B60">
              <w:rPr>
                <w:rStyle w:val="s2"/>
                <w:rFonts w:ascii="Arial" w:hAnsi="Arial" w:cs="Arial"/>
                <w:sz w:val="22"/>
                <w:szCs w:val="22"/>
              </w:rPr>
              <w:t xml:space="preserve"> Migraines are a common neurological disorder which are characterised by recurrent headaches accompanied by ‘auras’, nausea, vomiting and photophobia. </w:t>
            </w:r>
          </w:p>
          <w:p w14:paraId="1E43DF68" w14:textId="2199D3CD" w:rsidR="00B73135" w:rsidRPr="00AC3B60" w:rsidRDefault="00B73135" w:rsidP="00B73135">
            <w:pPr>
              <w:pStyle w:val="p1"/>
              <w:divId w:val="2077891476"/>
              <w:rPr>
                <w:rFonts w:ascii="Arial" w:hAnsi="Arial" w:cs="Arial"/>
                <w:sz w:val="22"/>
                <w:szCs w:val="22"/>
              </w:rPr>
            </w:pPr>
            <w:r w:rsidRPr="00AC3B60">
              <w:rPr>
                <w:rStyle w:val="s1"/>
                <w:rFonts w:ascii="Arial" w:hAnsi="Arial" w:cs="Arial"/>
                <w:sz w:val="22"/>
                <w:szCs w:val="22"/>
              </w:rPr>
              <w:t xml:space="preserve">Objective: This review summarises the role of Calcitonin gene-related peptide (CGRP) in migraine as a therapeutic and prophylactic target and evaluates the dosage strategies and tolerability of CGRP inhibitors. </w:t>
            </w:r>
            <w:r w:rsidRPr="00AC3B60">
              <w:rPr>
                <w:rStyle w:val="s2"/>
                <w:rFonts w:ascii="Arial" w:hAnsi="Arial" w:cs="Arial"/>
                <w:sz w:val="22"/>
                <w:szCs w:val="22"/>
              </w:rPr>
              <w:t xml:space="preserve"> </w:t>
            </w:r>
          </w:p>
          <w:p w14:paraId="6690981D" w14:textId="06B259D6" w:rsidR="00B73135" w:rsidRPr="00AC3B60" w:rsidRDefault="00B73135" w:rsidP="005E70C9">
            <w:pPr>
              <w:pStyle w:val="p1"/>
              <w:divId w:val="2077891476"/>
              <w:rPr>
                <w:rFonts w:ascii="Arial" w:hAnsi="Arial" w:cs="Arial"/>
                <w:sz w:val="22"/>
                <w:szCs w:val="22"/>
              </w:rPr>
            </w:pPr>
            <w:r w:rsidRPr="00AC3B60">
              <w:rPr>
                <w:rStyle w:val="s1"/>
                <w:rFonts w:ascii="Arial" w:hAnsi="Arial" w:cs="Arial"/>
                <w:sz w:val="22"/>
                <w:szCs w:val="22"/>
              </w:rPr>
              <w:t>Summary of Findings:</w:t>
            </w:r>
            <w:r w:rsidRPr="00AC3B60">
              <w:rPr>
                <w:rStyle w:val="s2"/>
                <w:rFonts w:ascii="Arial" w:hAnsi="Arial" w:cs="Arial"/>
                <w:sz w:val="22"/>
                <w:szCs w:val="22"/>
              </w:rPr>
              <w:t xml:space="preserve"> CGRP is a central mediator of migraines and its inhibition is led by two major classes of therapies: the monoclonal antibodies (mAbs) and small-molecule receptor antagonists (</w:t>
            </w:r>
            <w:proofErr w:type="spellStart"/>
            <w:r w:rsidRPr="00AC3B60">
              <w:rPr>
                <w:rStyle w:val="s2"/>
                <w:rFonts w:ascii="Arial" w:hAnsi="Arial" w:cs="Arial"/>
                <w:sz w:val="22"/>
                <w:szCs w:val="22"/>
              </w:rPr>
              <w:t>gepants</w:t>
            </w:r>
            <w:proofErr w:type="spellEnd"/>
            <w:r w:rsidRPr="00AC3B60">
              <w:rPr>
                <w:rStyle w:val="s2"/>
                <w:rFonts w:ascii="Arial" w:hAnsi="Arial" w:cs="Arial"/>
                <w:sz w:val="22"/>
                <w:szCs w:val="22"/>
              </w:rPr>
              <w:t>).</w:t>
            </w:r>
            <w:r w:rsidR="00CA4C19" w:rsidRPr="00AC3B60">
              <w:rPr>
                <w:rStyle w:val="s2"/>
                <w:rFonts w:ascii="Arial" w:hAnsi="Arial" w:cs="Arial"/>
                <w:sz w:val="22"/>
                <w:szCs w:val="22"/>
              </w:rPr>
              <w:t xml:space="preserve"> The</w:t>
            </w:r>
            <w:r w:rsidRPr="00AC3B60">
              <w:rPr>
                <w:rStyle w:val="s2"/>
                <w:rFonts w:ascii="Arial" w:hAnsi="Arial" w:cs="Arial"/>
                <w:sz w:val="22"/>
                <w:szCs w:val="22"/>
              </w:rPr>
              <w:t xml:space="preserve"> </w:t>
            </w:r>
            <w:proofErr w:type="spellStart"/>
            <w:r w:rsidRPr="00AC3B60">
              <w:rPr>
                <w:rStyle w:val="s2"/>
                <w:rFonts w:ascii="Arial" w:hAnsi="Arial" w:cs="Arial"/>
                <w:sz w:val="22"/>
                <w:szCs w:val="22"/>
              </w:rPr>
              <w:t>mAbs</w:t>
            </w:r>
            <w:proofErr w:type="spellEnd"/>
            <w:r w:rsidRPr="00AC3B60">
              <w:rPr>
                <w:rStyle w:val="s2"/>
                <w:rFonts w:ascii="Arial" w:hAnsi="Arial" w:cs="Arial"/>
                <w:sz w:val="22"/>
                <w:szCs w:val="22"/>
              </w:rPr>
              <w:t xml:space="preserve"> (</w:t>
            </w:r>
            <w:proofErr w:type="spellStart"/>
            <w:r w:rsidRPr="00AC3B60">
              <w:rPr>
                <w:rStyle w:val="s2"/>
                <w:rFonts w:ascii="Arial" w:hAnsi="Arial" w:cs="Arial"/>
                <w:sz w:val="22"/>
                <w:szCs w:val="22"/>
              </w:rPr>
              <w:t>erenumab</w:t>
            </w:r>
            <w:proofErr w:type="spellEnd"/>
            <w:r w:rsidRPr="00AC3B60">
              <w:rPr>
                <w:rStyle w:val="s2"/>
                <w:rFonts w:ascii="Arial" w:hAnsi="Arial" w:cs="Arial"/>
                <w:sz w:val="22"/>
                <w:szCs w:val="22"/>
              </w:rPr>
              <w:t xml:space="preserve">, </w:t>
            </w:r>
            <w:proofErr w:type="spellStart"/>
            <w:r w:rsidRPr="00AC3B60">
              <w:rPr>
                <w:rStyle w:val="s2"/>
                <w:rFonts w:ascii="Arial" w:hAnsi="Arial" w:cs="Arial"/>
                <w:sz w:val="22"/>
                <w:szCs w:val="22"/>
              </w:rPr>
              <w:t>fremanezumab</w:t>
            </w:r>
            <w:proofErr w:type="spellEnd"/>
            <w:r w:rsidRPr="00AC3B60">
              <w:rPr>
                <w:rStyle w:val="s2"/>
                <w:rFonts w:ascii="Arial" w:hAnsi="Arial" w:cs="Arial"/>
                <w:sz w:val="22"/>
                <w:szCs w:val="22"/>
              </w:rPr>
              <w:t xml:space="preserve">, </w:t>
            </w:r>
            <w:proofErr w:type="spellStart"/>
            <w:r w:rsidRPr="00AC3B60">
              <w:rPr>
                <w:rStyle w:val="s2"/>
                <w:rFonts w:ascii="Arial" w:hAnsi="Arial" w:cs="Arial"/>
                <w:sz w:val="22"/>
                <w:szCs w:val="22"/>
              </w:rPr>
              <w:t>galcanezumab</w:t>
            </w:r>
            <w:proofErr w:type="spellEnd"/>
            <w:r w:rsidRPr="00AC3B60">
              <w:rPr>
                <w:rStyle w:val="s2"/>
                <w:rFonts w:ascii="Arial" w:hAnsi="Arial" w:cs="Arial"/>
                <w:sz w:val="22"/>
                <w:szCs w:val="22"/>
              </w:rPr>
              <w:t xml:space="preserve">, </w:t>
            </w:r>
            <w:proofErr w:type="spellStart"/>
            <w:r w:rsidRPr="00AC3B60">
              <w:rPr>
                <w:rStyle w:val="s2"/>
                <w:rFonts w:ascii="Arial" w:hAnsi="Arial" w:cs="Arial"/>
                <w:sz w:val="22"/>
                <w:szCs w:val="22"/>
              </w:rPr>
              <w:t>eptinezumab</w:t>
            </w:r>
            <w:proofErr w:type="spellEnd"/>
            <w:r w:rsidRPr="00AC3B60">
              <w:rPr>
                <w:rStyle w:val="s2"/>
                <w:rFonts w:ascii="Arial" w:hAnsi="Arial" w:cs="Arial"/>
                <w:sz w:val="22"/>
                <w:szCs w:val="22"/>
              </w:rPr>
              <w:t xml:space="preserve">) </w:t>
            </w:r>
            <w:r w:rsidR="00CA4C19" w:rsidRPr="00AC3B60">
              <w:rPr>
                <w:rStyle w:val="s2"/>
                <w:rFonts w:ascii="Arial" w:hAnsi="Arial" w:cs="Arial"/>
                <w:sz w:val="22"/>
                <w:szCs w:val="22"/>
              </w:rPr>
              <w:t xml:space="preserve">are usually administered monthly/quarterly for prophylaxis and reduce overall monthly migraine days with favourable tolerability (mild injection site reactions seen). On the other hand, </w:t>
            </w:r>
            <w:proofErr w:type="spellStart"/>
            <w:r w:rsidR="00CA4C19" w:rsidRPr="00AC3B60">
              <w:rPr>
                <w:rStyle w:val="s2"/>
                <w:rFonts w:ascii="Arial" w:hAnsi="Arial" w:cs="Arial"/>
                <w:sz w:val="22"/>
                <w:szCs w:val="22"/>
              </w:rPr>
              <w:t>gepants</w:t>
            </w:r>
            <w:proofErr w:type="spellEnd"/>
            <w:r w:rsidR="00CA4C19" w:rsidRPr="00AC3B60">
              <w:rPr>
                <w:rStyle w:val="s2"/>
                <w:rFonts w:ascii="Arial" w:hAnsi="Arial" w:cs="Arial"/>
                <w:sz w:val="22"/>
                <w:szCs w:val="22"/>
              </w:rPr>
              <w:t xml:space="preserve"> </w:t>
            </w:r>
            <w:r w:rsidRPr="00AC3B60">
              <w:rPr>
                <w:rStyle w:val="s2"/>
                <w:rFonts w:ascii="Arial" w:hAnsi="Arial" w:cs="Arial"/>
                <w:sz w:val="22"/>
                <w:szCs w:val="22"/>
              </w:rPr>
              <w:t>(</w:t>
            </w:r>
            <w:proofErr w:type="spellStart"/>
            <w:r w:rsidRPr="00AC3B60">
              <w:rPr>
                <w:rStyle w:val="s2"/>
                <w:rFonts w:ascii="Arial" w:hAnsi="Arial" w:cs="Arial"/>
                <w:sz w:val="22"/>
                <w:szCs w:val="22"/>
              </w:rPr>
              <w:t>ubrogepant</w:t>
            </w:r>
            <w:proofErr w:type="spellEnd"/>
            <w:r w:rsidRPr="00AC3B60">
              <w:rPr>
                <w:rStyle w:val="s2"/>
                <w:rFonts w:ascii="Arial" w:hAnsi="Arial" w:cs="Arial"/>
                <w:sz w:val="22"/>
                <w:szCs w:val="22"/>
              </w:rPr>
              <w:t xml:space="preserve">, </w:t>
            </w:r>
            <w:proofErr w:type="spellStart"/>
            <w:r w:rsidRPr="00AC3B60">
              <w:rPr>
                <w:rStyle w:val="s2"/>
                <w:rFonts w:ascii="Arial" w:hAnsi="Arial" w:cs="Arial"/>
                <w:sz w:val="22"/>
                <w:szCs w:val="22"/>
              </w:rPr>
              <w:t>rimegepant</w:t>
            </w:r>
            <w:proofErr w:type="spellEnd"/>
            <w:r w:rsidRPr="00AC3B60">
              <w:rPr>
                <w:rStyle w:val="s2"/>
                <w:rFonts w:ascii="Arial" w:hAnsi="Arial" w:cs="Arial"/>
                <w:sz w:val="22"/>
                <w:szCs w:val="22"/>
              </w:rPr>
              <w:t xml:space="preserve">, </w:t>
            </w:r>
            <w:proofErr w:type="spellStart"/>
            <w:r w:rsidRPr="00AC3B60">
              <w:rPr>
                <w:rStyle w:val="s2"/>
                <w:rFonts w:ascii="Arial" w:hAnsi="Arial" w:cs="Arial"/>
                <w:sz w:val="22"/>
                <w:szCs w:val="22"/>
              </w:rPr>
              <w:t>atogepant</w:t>
            </w:r>
            <w:proofErr w:type="spellEnd"/>
            <w:r w:rsidRPr="00AC3B60">
              <w:rPr>
                <w:rStyle w:val="s2"/>
                <w:rFonts w:ascii="Arial" w:hAnsi="Arial" w:cs="Arial"/>
                <w:sz w:val="22"/>
                <w:szCs w:val="22"/>
              </w:rPr>
              <w:t xml:space="preserve">, </w:t>
            </w:r>
            <w:proofErr w:type="spellStart"/>
            <w:r w:rsidRPr="00AC3B60">
              <w:rPr>
                <w:rStyle w:val="s2"/>
                <w:rFonts w:ascii="Arial" w:hAnsi="Arial" w:cs="Arial"/>
                <w:sz w:val="22"/>
                <w:szCs w:val="22"/>
              </w:rPr>
              <w:t>zavegepant</w:t>
            </w:r>
            <w:proofErr w:type="spellEnd"/>
            <w:r w:rsidRPr="00AC3B60">
              <w:rPr>
                <w:rStyle w:val="s2"/>
                <w:rFonts w:ascii="Arial" w:hAnsi="Arial" w:cs="Arial"/>
                <w:sz w:val="22"/>
                <w:szCs w:val="22"/>
              </w:rPr>
              <w:t xml:space="preserve">) </w:t>
            </w:r>
            <w:r w:rsidR="00CA4C19" w:rsidRPr="00AC3B60">
              <w:rPr>
                <w:rStyle w:val="s2"/>
                <w:rFonts w:ascii="Arial" w:hAnsi="Arial" w:cs="Arial"/>
                <w:sz w:val="22"/>
                <w:szCs w:val="22"/>
              </w:rPr>
              <w:t>are available for use in oral and nasal formulations for both therapeutic and prophylactic use.</w:t>
            </w:r>
            <w:r w:rsidR="005E70C9" w:rsidRPr="00AC3B60">
              <w:rPr>
                <w:rStyle w:val="s2"/>
                <w:rFonts w:ascii="Arial" w:hAnsi="Arial" w:cs="Arial"/>
                <w:sz w:val="22"/>
                <w:szCs w:val="22"/>
              </w:rPr>
              <w:t xml:space="preserve"> They show moderate tolerability with acceptable gastrointestinal or neurological adverse effects. </w:t>
            </w:r>
            <w:r w:rsidRPr="00AC3B60">
              <w:rPr>
                <w:rStyle w:val="s2"/>
                <w:rFonts w:ascii="Arial" w:hAnsi="Arial" w:cs="Arial"/>
                <w:sz w:val="22"/>
                <w:szCs w:val="22"/>
              </w:rPr>
              <w:t>Collectively, CGRP-targeted therapies expand treatment options, offering flexibility in route, frequency, and clinical application.</w:t>
            </w:r>
          </w:p>
          <w:p w14:paraId="6C8CFB3D" w14:textId="00EE8BBB" w:rsidR="00505F06" w:rsidRPr="00AC3B60" w:rsidRDefault="00B73135" w:rsidP="00E56288">
            <w:pPr>
              <w:pStyle w:val="p1"/>
              <w:divId w:val="2077891476"/>
              <w:rPr>
                <w:rFonts w:ascii="Arial" w:hAnsi="Arial" w:cs="Arial"/>
                <w:color w:val="000000"/>
                <w:sz w:val="22"/>
                <w:szCs w:val="22"/>
              </w:rPr>
            </w:pPr>
            <w:r w:rsidRPr="00AC3B60">
              <w:rPr>
                <w:rStyle w:val="s1"/>
                <w:rFonts w:ascii="Arial" w:hAnsi="Arial" w:cs="Arial"/>
                <w:sz w:val="22"/>
                <w:szCs w:val="22"/>
              </w:rPr>
              <w:t>Conclusion:</w:t>
            </w:r>
            <w:r w:rsidRPr="00AC3B60">
              <w:rPr>
                <w:rStyle w:val="s2"/>
                <w:rFonts w:ascii="Arial" w:hAnsi="Arial" w:cs="Arial"/>
                <w:sz w:val="22"/>
                <w:szCs w:val="22"/>
              </w:rPr>
              <w:t xml:space="preserve"> </w:t>
            </w:r>
            <w:r w:rsidR="005E70C9" w:rsidRPr="00AC3B60">
              <w:rPr>
                <w:rStyle w:val="s2"/>
                <w:rFonts w:ascii="Arial" w:hAnsi="Arial" w:cs="Arial"/>
                <w:sz w:val="22"/>
                <w:szCs w:val="22"/>
              </w:rPr>
              <w:t>CGRP inhibitors are a relatively new therapy which are well tolerated and effective treatments that can be individualised to each patient’s needs. Further ongoing studies are required for establishing long term safety, durability and</w:t>
            </w:r>
            <w:r w:rsidR="00E56288" w:rsidRPr="00AC3B60">
              <w:rPr>
                <w:rStyle w:val="s2"/>
                <w:rFonts w:ascii="Arial" w:hAnsi="Arial" w:cs="Arial"/>
                <w:sz w:val="22"/>
                <w:szCs w:val="22"/>
              </w:rPr>
              <w:t xml:space="preserve"> efficacy. </w:t>
            </w:r>
          </w:p>
        </w:tc>
      </w:tr>
    </w:tbl>
    <w:p w14:paraId="4F0B1924" w14:textId="77777777" w:rsidR="00636EB2" w:rsidRDefault="00636EB2" w:rsidP="00441B6F">
      <w:pPr>
        <w:pStyle w:val="Body"/>
        <w:spacing w:after="0"/>
        <w:rPr>
          <w:rFonts w:ascii="Arial" w:hAnsi="Arial" w:cs="Arial"/>
          <w:i/>
        </w:rPr>
      </w:pPr>
    </w:p>
    <w:p w14:paraId="6C6BD6DC" w14:textId="1F00EA24" w:rsidR="0024282C" w:rsidRPr="001C1459" w:rsidRDefault="00A24E7E" w:rsidP="001C1459">
      <w:pPr>
        <w:pStyle w:val="NormalWeb"/>
        <w:spacing w:before="240" w:beforeAutospacing="0" w:after="240" w:afterAutospacing="0"/>
        <w:jc w:val="both"/>
        <w:divId w:val="1020622681"/>
        <w:rPr>
          <w:rFonts w:ascii="Arial" w:hAnsi="Arial" w:cs="Arial"/>
          <w:i/>
          <w:iCs/>
          <w:sz w:val="22"/>
          <w:szCs w:val="22"/>
        </w:rPr>
      </w:pPr>
      <w:r>
        <w:rPr>
          <w:rFonts w:ascii="Arial" w:hAnsi="Arial" w:cs="Arial"/>
          <w:i/>
        </w:rPr>
        <w:t>Keywords</w:t>
      </w:r>
      <w:r w:rsidR="00370771">
        <w:rPr>
          <w:rFonts w:ascii="Arial" w:hAnsi="Arial" w:cs="Arial"/>
          <w:i/>
        </w:rPr>
        <w:t xml:space="preserve">: </w:t>
      </w:r>
      <w:r w:rsidR="00370771" w:rsidRPr="00370771">
        <w:rPr>
          <w:rFonts w:ascii="Arial" w:hAnsi="Arial" w:cs="Arial"/>
          <w:i/>
          <w:iCs/>
          <w:color w:val="000000"/>
          <w:sz w:val="22"/>
          <w:szCs w:val="22"/>
        </w:rPr>
        <w:t xml:space="preserve">Migraine; Calcitonin Gene–Related Peptide; Monoclonal Antibodies; </w:t>
      </w:r>
      <w:proofErr w:type="spellStart"/>
      <w:r w:rsidR="00370771" w:rsidRPr="00370771">
        <w:rPr>
          <w:rFonts w:ascii="Arial" w:hAnsi="Arial" w:cs="Arial"/>
          <w:i/>
          <w:iCs/>
          <w:color w:val="000000"/>
          <w:sz w:val="22"/>
          <w:szCs w:val="22"/>
        </w:rPr>
        <w:t>Gepants</w:t>
      </w:r>
      <w:proofErr w:type="spellEnd"/>
      <w:r w:rsidR="00370771" w:rsidRPr="00370771">
        <w:rPr>
          <w:rFonts w:ascii="Arial" w:hAnsi="Arial" w:cs="Arial"/>
          <w:i/>
          <w:iCs/>
          <w:color w:val="000000"/>
          <w:sz w:val="22"/>
          <w:szCs w:val="22"/>
        </w:rPr>
        <w:t>; Dosage; Adverse Effects</w:t>
      </w:r>
    </w:p>
    <w:p w14:paraId="001E9E27" w14:textId="77777777" w:rsidR="00505F06" w:rsidRPr="00A24E7E" w:rsidRDefault="00505F06" w:rsidP="00441B6F">
      <w:pPr>
        <w:pStyle w:val="Body"/>
        <w:spacing w:after="0"/>
        <w:rPr>
          <w:rFonts w:ascii="Arial" w:hAnsi="Arial" w:cs="Arial"/>
          <w:i/>
        </w:rPr>
      </w:pPr>
    </w:p>
    <w:p w14:paraId="4445AEDC" w14:textId="7DB87318"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1A04B7" w14:textId="224C2C75" w:rsidR="006E0CAE" w:rsidRPr="006E0CAE" w:rsidRDefault="006E0CAE" w:rsidP="006E0CAE">
      <w:pPr>
        <w:pStyle w:val="NormalWeb"/>
        <w:spacing w:before="240" w:beforeAutospacing="0" w:after="240" w:afterAutospacing="0"/>
        <w:jc w:val="both"/>
        <w:divId w:val="907376303"/>
        <w:rPr>
          <w:rFonts w:ascii="Arial" w:hAnsi="Arial" w:cs="Arial"/>
          <w:sz w:val="20"/>
          <w:szCs w:val="20"/>
        </w:rPr>
      </w:pPr>
      <w:r w:rsidRPr="006E0CAE">
        <w:rPr>
          <w:rFonts w:ascii="Arial" w:hAnsi="Arial" w:cs="Arial"/>
          <w:color w:val="000000"/>
          <w:sz w:val="20"/>
          <w:szCs w:val="20"/>
        </w:rPr>
        <w:t xml:space="preserve">Migraines are a common neurological pain disease </w:t>
      </w:r>
      <w:r w:rsidR="00ED5EB7">
        <w:rPr>
          <w:rFonts w:ascii="Arial" w:hAnsi="Arial" w:cs="Arial"/>
          <w:color w:val="000000"/>
          <w:sz w:val="20"/>
          <w:szCs w:val="20"/>
        </w:rPr>
        <w:t xml:space="preserve">affecting more than a billion people worldwide, </w:t>
      </w:r>
      <w:r w:rsidRPr="006E0CAE">
        <w:rPr>
          <w:rFonts w:ascii="Arial" w:hAnsi="Arial" w:cs="Arial"/>
          <w:color w:val="000000"/>
          <w:sz w:val="20"/>
          <w:szCs w:val="20"/>
        </w:rPr>
        <w:t>with recurrent headache episodes of moderate to severe pain intensity</w:t>
      </w:r>
      <w:r w:rsidR="00ED5EB7">
        <w:rPr>
          <w:rFonts w:ascii="Arial" w:hAnsi="Arial" w:cs="Arial"/>
          <w:color w:val="000000"/>
          <w:sz w:val="20"/>
          <w:szCs w:val="20"/>
        </w:rPr>
        <w:t xml:space="preserve"> </w:t>
      </w:r>
      <w:r w:rsidRPr="006E0CAE">
        <w:rPr>
          <w:rFonts w:ascii="Arial" w:hAnsi="Arial" w:cs="Arial"/>
          <w:color w:val="000000"/>
          <w:sz w:val="20"/>
          <w:szCs w:val="20"/>
        </w:rPr>
        <w:t xml:space="preserve">lasting 4 to 72 hours. Secondary symptoms such as nausea, vomiting, sensitivity to light and sound, and hearing disturbances are common, along with ‘auras,’ which are a temporary set of focused </w:t>
      </w:r>
      <w:r w:rsidRPr="006E0CAE">
        <w:rPr>
          <w:rFonts w:ascii="Arial" w:hAnsi="Arial" w:cs="Arial"/>
          <w:color w:val="000000"/>
          <w:sz w:val="20"/>
          <w:szCs w:val="20"/>
        </w:rPr>
        <w:lastRenderedPageBreak/>
        <w:t xml:space="preserve">neurological symptoms that generally manifest as visual or hemisensory abnormalities (1). While the exact causes of migraines are still a mystery, researchers believe that the trigeminal nerve and its axonal projections to the cerebral vasculature play a role in the disease’s development (termed the </w:t>
      </w:r>
      <w:proofErr w:type="spellStart"/>
      <w:r w:rsidRPr="006E0CAE">
        <w:rPr>
          <w:rFonts w:ascii="Arial" w:hAnsi="Arial" w:cs="Arial"/>
          <w:color w:val="000000"/>
          <w:sz w:val="20"/>
          <w:szCs w:val="20"/>
        </w:rPr>
        <w:t>trigeminovascular</w:t>
      </w:r>
      <w:proofErr w:type="spellEnd"/>
      <w:r w:rsidRPr="006E0CAE">
        <w:rPr>
          <w:rFonts w:ascii="Arial" w:hAnsi="Arial" w:cs="Arial"/>
          <w:color w:val="000000"/>
          <w:sz w:val="20"/>
          <w:szCs w:val="20"/>
        </w:rPr>
        <w:t xml:space="preserve"> system). When a patient feels pain, it is because the brain has received a nociceptive signal from the </w:t>
      </w:r>
      <w:proofErr w:type="spellStart"/>
      <w:r w:rsidRPr="006E0CAE">
        <w:rPr>
          <w:rFonts w:ascii="Arial" w:hAnsi="Arial" w:cs="Arial"/>
          <w:color w:val="000000"/>
          <w:sz w:val="20"/>
          <w:szCs w:val="20"/>
        </w:rPr>
        <w:t>trigeminovascular</w:t>
      </w:r>
      <w:proofErr w:type="spellEnd"/>
      <w:r w:rsidRPr="006E0CAE">
        <w:rPr>
          <w:rFonts w:ascii="Arial" w:hAnsi="Arial" w:cs="Arial"/>
          <w:color w:val="000000"/>
          <w:sz w:val="20"/>
          <w:szCs w:val="20"/>
        </w:rPr>
        <w:t xml:space="preserve"> system (2).</w:t>
      </w:r>
    </w:p>
    <w:p w14:paraId="3E33D2D2" w14:textId="77777777" w:rsidR="006E0CAE" w:rsidRPr="006E0CAE" w:rsidRDefault="006E0CAE" w:rsidP="006E0CAE">
      <w:pPr>
        <w:pStyle w:val="NormalWeb"/>
        <w:spacing w:before="240" w:beforeAutospacing="0" w:after="240" w:afterAutospacing="0"/>
        <w:jc w:val="both"/>
        <w:divId w:val="907376303"/>
        <w:rPr>
          <w:rFonts w:ascii="Arial" w:hAnsi="Arial" w:cs="Arial"/>
          <w:sz w:val="20"/>
          <w:szCs w:val="20"/>
        </w:rPr>
      </w:pPr>
      <w:r w:rsidRPr="006E0CAE">
        <w:rPr>
          <w:rFonts w:ascii="Arial" w:hAnsi="Arial" w:cs="Arial"/>
          <w:color w:val="000000"/>
          <w:sz w:val="20"/>
          <w:szCs w:val="20"/>
        </w:rPr>
        <w:t>Among these neuropeptides, Calcitonin gene related peptide (CGRP) is a key mediator of vascular activity and both central and peripheral pain mechanisms. CGRP is widely expressed in the trigeminal and dorsal root ganglia and are thus responsible for migraine generation (3-5).</w:t>
      </w:r>
    </w:p>
    <w:p w14:paraId="652BA32B" w14:textId="55BF4AFA" w:rsidR="006E0CAE" w:rsidRPr="006E0CAE" w:rsidRDefault="006E0CAE" w:rsidP="006E0CAE">
      <w:pPr>
        <w:pStyle w:val="NormalWeb"/>
        <w:spacing w:before="240" w:beforeAutospacing="0" w:after="240" w:afterAutospacing="0"/>
        <w:jc w:val="both"/>
        <w:divId w:val="907376303"/>
        <w:rPr>
          <w:rFonts w:ascii="Arial" w:hAnsi="Arial" w:cs="Arial"/>
          <w:sz w:val="20"/>
          <w:szCs w:val="20"/>
        </w:rPr>
      </w:pPr>
      <w:r w:rsidRPr="006E0CAE">
        <w:rPr>
          <w:rFonts w:ascii="Arial" w:hAnsi="Arial" w:cs="Arial"/>
          <w:color w:val="000000"/>
          <w:sz w:val="20"/>
          <w:szCs w:val="20"/>
        </w:rPr>
        <w:t xml:space="preserve">Until now, most migraine drugs acted on the serotonergic pathway, such as triptans. However, major therapeutic advances targeting the CGRP pathway have transformed the current landscape of migraine treatments. </w:t>
      </w:r>
      <w:r w:rsidR="003E1348">
        <w:rPr>
          <w:rFonts w:ascii="Arial" w:hAnsi="Arial" w:cs="Arial"/>
          <w:color w:val="000000"/>
          <w:sz w:val="20"/>
          <w:szCs w:val="20"/>
        </w:rPr>
        <w:t>These drugs are relatively new, with the earliest being released in 2018 and</w:t>
      </w:r>
      <w:r w:rsidRPr="006E0CAE">
        <w:rPr>
          <w:rFonts w:ascii="Arial" w:hAnsi="Arial" w:cs="Arial"/>
          <w:color w:val="000000"/>
          <w:sz w:val="20"/>
          <w:szCs w:val="20"/>
        </w:rPr>
        <w:t xml:space="preserve"> fall broadly into two classes: monoclonal antibodies or mAbs, and small molecule CGRP receptor antagonists or </w:t>
      </w:r>
      <w:proofErr w:type="spellStart"/>
      <w:r w:rsidRPr="006E0CAE">
        <w:rPr>
          <w:rFonts w:ascii="Arial" w:hAnsi="Arial" w:cs="Arial"/>
          <w:color w:val="000000"/>
          <w:sz w:val="20"/>
          <w:szCs w:val="20"/>
        </w:rPr>
        <w:t>gepants</w:t>
      </w:r>
      <w:proofErr w:type="spellEnd"/>
      <w:r w:rsidRPr="006E0CAE">
        <w:rPr>
          <w:rFonts w:ascii="Arial" w:hAnsi="Arial" w:cs="Arial"/>
          <w:color w:val="000000"/>
          <w:sz w:val="20"/>
          <w:szCs w:val="20"/>
        </w:rPr>
        <w:t xml:space="preserve"> (6).</w:t>
      </w:r>
    </w:p>
    <w:p w14:paraId="561FA381" w14:textId="77777777" w:rsidR="006E0CAE" w:rsidRPr="006E0CAE" w:rsidRDefault="006E0CAE" w:rsidP="006E0CAE">
      <w:pPr>
        <w:pStyle w:val="NormalWeb"/>
        <w:numPr>
          <w:ilvl w:val="0"/>
          <w:numId w:val="31"/>
        </w:numPr>
        <w:spacing w:before="240" w:beforeAutospacing="0" w:after="0" w:afterAutospacing="0"/>
        <w:jc w:val="both"/>
        <w:textAlignment w:val="baseline"/>
        <w:divId w:val="907376303"/>
        <w:rPr>
          <w:rFonts w:ascii="Arial" w:hAnsi="Arial" w:cs="Arial"/>
          <w:color w:val="000000"/>
          <w:sz w:val="20"/>
          <w:szCs w:val="20"/>
        </w:rPr>
      </w:pPr>
      <w:r w:rsidRPr="006E0CAE">
        <w:rPr>
          <w:rFonts w:ascii="Arial" w:hAnsi="Arial" w:cs="Arial"/>
          <w:color w:val="000000"/>
          <w:sz w:val="20"/>
          <w:szCs w:val="20"/>
        </w:rPr>
        <w:t xml:space="preserve">Monoclonal antibodies (mAbs): There are four FDA approved mAbs targeting CGRP for migraine prevention, of which three - </w:t>
      </w:r>
      <w:proofErr w:type="spellStart"/>
      <w:r w:rsidRPr="006E0CAE">
        <w:rPr>
          <w:rFonts w:ascii="Arial" w:hAnsi="Arial" w:cs="Arial"/>
          <w:color w:val="000000"/>
          <w:sz w:val="20"/>
          <w:szCs w:val="20"/>
        </w:rPr>
        <w:t>eptinezumab</w:t>
      </w:r>
      <w:proofErr w:type="spellEnd"/>
      <w:r w:rsidRPr="006E0CAE">
        <w:rPr>
          <w:rFonts w:ascii="Arial" w:hAnsi="Arial" w:cs="Arial"/>
          <w:color w:val="000000"/>
          <w:sz w:val="20"/>
          <w:szCs w:val="20"/>
        </w:rPr>
        <w:t xml:space="preserve">, </w:t>
      </w:r>
      <w:proofErr w:type="spellStart"/>
      <w:r w:rsidRPr="006E0CAE">
        <w:rPr>
          <w:rFonts w:ascii="Arial" w:hAnsi="Arial" w:cs="Arial"/>
          <w:color w:val="000000"/>
          <w:sz w:val="20"/>
          <w:szCs w:val="20"/>
        </w:rPr>
        <w:t>fremanezumab</w:t>
      </w:r>
      <w:proofErr w:type="spellEnd"/>
      <w:r w:rsidRPr="006E0CAE">
        <w:rPr>
          <w:rFonts w:ascii="Arial" w:hAnsi="Arial" w:cs="Arial"/>
          <w:color w:val="000000"/>
          <w:sz w:val="20"/>
          <w:szCs w:val="20"/>
        </w:rPr>
        <w:t xml:space="preserve">, and </w:t>
      </w:r>
      <w:proofErr w:type="spellStart"/>
      <w:r w:rsidRPr="006E0CAE">
        <w:rPr>
          <w:rFonts w:ascii="Arial" w:hAnsi="Arial" w:cs="Arial"/>
          <w:color w:val="000000"/>
          <w:sz w:val="20"/>
          <w:szCs w:val="20"/>
        </w:rPr>
        <w:t>galcanezumab</w:t>
      </w:r>
      <w:proofErr w:type="spellEnd"/>
      <w:r w:rsidRPr="006E0CAE">
        <w:rPr>
          <w:rFonts w:ascii="Arial" w:hAnsi="Arial" w:cs="Arial"/>
          <w:color w:val="000000"/>
          <w:sz w:val="20"/>
          <w:szCs w:val="20"/>
        </w:rPr>
        <w:t xml:space="preserve"> directly bind CGRP, and the other, bind </w:t>
      </w:r>
      <w:proofErr w:type="spellStart"/>
      <w:r w:rsidRPr="006E0CAE">
        <w:rPr>
          <w:rFonts w:ascii="Arial" w:hAnsi="Arial" w:cs="Arial"/>
          <w:color w:val="000000"/>
          <w:sz w:val="20"/>
          <w:szCs w:val="20"/>
        </w:rPr>
        <w:t>erenumab</w:t>
      </w:r>
      <w:proofErr w:type="spellEnd"/>
      <w:r w:rsidRPr="006E0CAE">
        <w:rPr>
          <w:rFonts w:ascii="Arial" w:hAnsi="Arial" w:cs="Arial"/>
          <w:color w:val="000000"/>
          <w:sz w:val="20"/>
          <w:szCs w:val="20"/>
        </w:rPr>
        <w:t xml:space="preserve"> targets the CGRP receptor instead (7,8). These are administered monthly or quarterly via injection and are effective as preventive therapies and not for acute attacks (6, 7)</w:t>
      </w:r>
    </w:p>
    <w:p w14:paraId="0612F212" w14:textId="14FDDCF1" w:rsidR="00037773" w:rsidRPr="00EC5A1C" w:rsidRDefault="006E0CAE" w:rsidP="00037773">
      <w:pPr>
        <w:pStyle w:val="NormalWeb"/>
        <w:numPr>
          <w:ilvl w:val="0"/>
          <w:numId w:val="31"/>
        </w:numPr>
        <w:spacing w:before="0" w:beforeAutospacing="0" w:after="0" w:afterAutospacing="0"/>
        <w:jc w:val="both"/>
        <w:textAlignment w:val="baseline"/>
        <w:divId w:val="907376303"/>
        <w:rPr>
          <w:rFonts w:ascii="Arial" w:hAnsi="Arial" w:cs="Arial"/>
          <w:color w:val="000000"/>
          <w:sz w:val="20"/>
          <w:szCs w:val="20"/>
        </w:rPr>
      </w:pPr>
      <w:proofErr w:type="spellStart"/>
      <w:r w:rsidRPr="006E0CAE">
        <w:rPr>
          <w:rFonts w:ascii="Arial" w:hAnsi="Arial" w:cs="Arial"/>
          <w:color w:val="000000"/>
          <w:sz w:val="20"/>
          <w:szCs w:val="20"/>
        </w:rPr>
        <w:t>Gepants</w:t>
      </w:r>
      <w:proofErr w:type="spellEnd"/>
      <w:r w:rsidRPr="006E0CAE">
        <w:rPr>
          <w:rFonts w:ascii="Arial" w:hAnsi="Arial" w:cs="Arial"/>
          <w:color w:val="000000"/>
          <w:sz w:val="20"/>
          <w:szCs w:val="20"/>
        </w:rPr>
        <w:t xml:space="preserve">: Small molecule antagonists block the CGRP receptor and are used both for treatment and prophylaxis, with first generation </w:t>
      </w:r>
      <w:proofErr w:type="spellStart"/>
      <w:r w:rsidRPr="006E0CAE">
        <w:rPr>
          <w:rFonts w:ascii="Arial" w:hAnsi="Arial" w:cs="Arial"/>
          <w:color w:val="000000"/>
          <w:sz w:val="20"/>
          <w:szCs w:val="20"/>
        </w:rPr>
        <w:t>gepants</w:t>
      </w:r>
      <w:proofErr w:type="spellEnd"/>
      <w:r w:rsidRPr="006E0CAE">
        <w:rPr>
          <w:rFonts w:ascii="Arial" w:hAnsi="Arial" w:cs="Arial"/>
          <w:color w:val="000000"/>
          <w:sz w:val="20"/>
          <w:szCs w:val="20"/>
        </w:rPr>
        <w:t xml:space="preserve"> such as </w:t>
      </w:r>
      <w:proofErr w:type="spellStart"/>
      <w:r w:rsidRPr="006E0CAE">
        <w:rPr>
          <w:rFonts w:ascii="Arial" w:hAnsi="Arial" w:cs="Arial"/>
          <w:color w:val="000000"/>
          <w:sz w:val="20"/>
          <w:szCs w:val="20"/>
        </w:rPr>
        <w:t>olcegepant</w:t>
      </w:r>
      <w:proofErr w:type="spellEnd"/>
      <w:r w:rsidRPr="006E0CAE">
        <w:rPr>
          <w:rFonts w:ascii="Arial" w:hAnsi="Arial" w:cs="Arial"/>
          <w:color w:val="000000"/>
          <w:sz w:val="20"/>
          <w:szCs w:val="20"/>
        </w:rPr>
        <w:t xml:space="preserve"> and telcagepant showing efficacy, but low bioavailability and hepatotoxicity lead to their discontinuation (9). Second generation agents on the other hand </w:t>
      </w:r>
      <w:proofErr w:type="spellStart"/>
      <w:r w:rsidRPr="006E0CAE">
        <w:rPr>
          <w:rFonts w:ascii="Arial" w:hAnsi="Arial" w:cs="Arial"/>
          <w:color w:val="000000"/>
          <w:sz w:val="20"/>
          <w:szCs w:val="20"/>
        </w:rPr>
        <w:t>ubrogepant</w:t>
      </w:r>
      <w:proofErr w:type="spellEnd"/>
      <w:r w:rsidRPr="006E0CAE">
        <w:rPr>
          <w:rFonts w:ascii="Arial" w:hAnsi="Arial" w:cs="Arial"/>
          <w:color w:val="000000"/>
          <w:sz w:val="20"/>
          <w:szCs w:val="20"/>
        </w:rPr>
        <w:t xml:space="preserve">, </w:t>
      </w:r>
      <w:proofErr w:type="spellStart"/>
      <w:r w:rsidRPr="006E0CAE">
        <w:rPr>
          <w:rFonts w:ascii="Arial" w:hAnsi="Arial" w:cs="Arial"/>
          <w:color w:val="000000"/>
          <w:sz w:val="20"/>
          <w:szCs w:val="20"/>
        </w:rPr>
        <w:t>rimegepant</w:t>
      </w:r>
      <w:proofErr w:type="spellEnd"/>
      <w:r w:rsidRPr="006E0CAE">
        <w:rPr>
          <w:rFonts w:ascii="Arial" w:hAnsi="Arial" w:cs="Arial"/>
          <w:color w:val="000000"/>
          <w:sz w:val="20"/>
          <w:szCs w:val="20"/>
        </w:rPr>
        <w:t xml:space="preserve">, </w:t>
      </w:r>
      <w:proofErr w:type="spellStart"/>
      <w:r w:rsidRPr="006E0CAE">
        <w:rPr>
          <w:rFonts w:ascii="Arial" w:hAnsi="Arial" w:cs="Arial"/>
          <w:color w:val="000000"/>
          <w:sz w:val="20"/>
          <w:szCs w:val="20"/>
        </w:rPr>
        <w:t>atogepant</w:t>
      </w:r>
      <w:proofErr w:type="spellEnd"/>
      <w:r w:rsidRPr="006E0CAE">
        <w:rPr>
          <w:rFonts w:ascii="Arial" w:hAnsi="Arial" w:cs="Arial"/>
          <w:color w:val="000000"/>
          <w:sz w:val="20"/>
          <w:szCs w:val="20"/>
        </w:rPr>
        <w:t xml:space="preserve">, and </w:t>
      </w:r>
      <w:proofErr w:type="spellStart"/>
      <w:r w:rsidRPr="006E0CAE">
        <w:rPr>
          <w:rFonts w:ascii="Arial" w:hAnsi="Arial" w:cs="Arial"/>
          <w:color w:val="000000"/>
          <w:sz w:val="20"/>
          <w:szCs w:val="20"/>
        </w:rPr>
        <w:t>zavegepant</w:t>
      </w:r>
      <w:proofErr w:type="spellEnd"/>
      <w:r w:rsidRPr="006E0CAE">
        <w:rPr>
          <w:rFonts w:ascii="Arial" w:hAnsi="Arial" w:cs="Arial"/>
          <w:color w:val="000000"/>
          <w:sz w:val="20"/>
          <w:szCs w:val="20"/>
        </w:rPr>
        <w:t xml:space="preserve"> are currently approved for use via oral or </w:t>
      </w:r>
      <w:r w:rsidRPr="00EC5A1C">
        <w:rPr>
          <w:rFonts w:ascii="Arial" w:hAnsi="Arial" w:cs="Arial"/>
          <w:color w:val="000000"/>
          <w:sz w:val="20"/>
          <w:szCs w:val="20"/>
        </w:rPr>
        <w:t>intranasal routes with favourable safety and tolerability (10).</w:t>
      </w:r>
    </w:p>
    <w:p w14:paraId="5339834E" w14:textId="4D0FEF2C" w:rsidR="006E0CAE" w:rsidRDefault="00037773" w:rsidP="00EC5A1C">
      <w:pPr>
        <w:pStyle w:val="p1"/>
        <w:divId w:val="175461683"/>
        <w:rPr>
          <w:rFonts w:ascii="Arial" w:hAnsi="Arial" w:cs="Arial"/>
          <w:color w:val="000000"/>
          <w:sz w:val="20"/>
          <w:szCs w:val="20"/>
        </w:rPr>
      </w:pPr>
      <w:r w:rsidRPr="00037773">
        <w:rPr>
          <w:rFonts w:ascii="Arial" w:hAnsi="Arial" w:cs="Arial"/>
          <w:sz w:val="20"/>
          <w:szCs w:val="20"/>
        </w:rPr>
        <w:t>Many review articles cover mechanisms and efficacy, but fewer synthesize dosage-specific evidence across the CGRP drug class.</w:t>
      </w:r>
      <w:r w:rsidRPr="00EC5A1C">
        <w:rPr>
          <w:rFonts w:ascii="Arial" w:hAnsi="Arial" w:cs="Arial"/>
          <w:sz w:val="20"/>
          <w:szCs w:val="20"/>
        </w:rPr>
        <w:t xml:space="preserve"> </w:t>
      </w:r>
      <w:r w:rsidR="006E0CAE" w:rsidRPr="00EC5A1C">
        <w:rPr>
          <w:rFonts w:ascii="Arial" w:hAnsi="Arial" w:cs="Arial"/>
          <w:color w:val="000000"/>
          <w:sz w:val="20"/>
          <w:szCs w:val="20"/>
        </w:rPr>
        <w:t xml:space="preserve">Dosing regimens are significantly different between each generation and each class, from once daily tablets to once quarterly injections, thus understanding the relative efficacy, durability, outcomes and adverse effects are essential for optimising migraine therapy. </w:t>
      </w:r>
      <w:r w:rsidR="00EC5A1C" w:rsidRPr="00EC5A1C">
        <w:rPr>
          <w:rStyle w:val="s1"/>
          <w:rFonts w:ascii="Arial" w:hAnsi="Arial" w:cs="Arial"/>
          <w:sz w:val="20"/>
          <w:szCs w:val="20"/>
        </w:rPr>
        <w:t xml:space="preserve">Because CGRP inhibitors are newly released to the market, a review focused on dosing is critical to inform early adoption and clinical use. </w:t>
      </w:r>
      <w:r w:rsidR="006E0CAE" w:rsidRPr="00EC5A1C">
        <w:rPr>
          <w:rFonts w:ascii="Arial" w:hAnsi="Arial" w:cs="Arial"/>
          <w:color w:val="000000"/>
          <w:sz w:val="20"/>
          <w:szCs w:val="20"/>
        </w:rPr>
        <w:t xml:space="preserve">This review thus summarises the evidence, outcomes and adverse effects of </w:t>
      </w:r>
      <w:proofErr w:type="spellStart"/>
      <w:r w:rsidR="006E0CAE" w:rsidRPr="00EC5A1C">
        <w:rPr>
          <w:rFonts w:ascii="Arial" w:hAnsi="Arial" w:cs="Arial"/>
          <w:color w:val="000000"/>
          <w:sz w:val="20"/>
          <w:szCs w:val="20"/>
        </w:rPr>
        <w:t>mAbs</w:t>
      </w:r>
      <w:proofErr w:type="spellEnd"/>
      <w:r w:rsidR="006E0CAE" w:rsidRPr="00EC5A1C">
        <w:rPr>
          <w:rFonts w:ascii="Arial" w:hAnsi="Arial" w:cs="Arial"/>
          <w:color w:val="000000"/>
          <w:sz w:val="20"/>
          <w:szCs w:val="20"/>
        </w:rPr>
        <w:t xml:space="preserve"> and </w:t>
      </w:r>
      <w:proofErr w:type="spellStart"/>
      <w:r w:rsidR="006E0CAE" w:rsidRPr="00EC5A1C">
        <w:rPr>
          <w:rFonts w:ascii="Arial" w:hAnsi="Arial" w:cs="Arial"/>
          <w:color w:val="000000"/>
          <w:sz w:val="20"/>
          <w:szCs w:val="20"/>
        </w:rPr>
        <w:t>gepants</w:t>
      </w:r>
      <w:proofErr w:type="spellEnd"/>
      <w:r w:rsidR="006E0CAE" w:rsidRPr="00EC5A1C">
        <w:rPr>
          <w:rFonts w:ascii="Arial" w:hAnsi="Arial" w:cs="Arial"/>
          <w:color w:val="000000"/>
          <w:sz w:val="20"/>
          <w:szCs w:val="20"/>
        </w:rPr>
        <w:t xml:space="preserve"> with the goal of guiding treatment selection.</w:t>
      </w:r>
    </w:p>
    <w:p w14:paraId="4A45EA25" w14:textId="69D5F63C" w:rsidR="00DE5F30" w:rsidRPr="00EC5A1C" w:rsidRDefault="00DE5F30" w:rsidP="003D6FE1">
      <w:pPr>
        <w:pStyle w:val="p1"/>
        <w:divId w:val="959071721"/>
        <w:rPr>
          <w:rFonts w:ascii="Arial" w:hAnsi="Arial" w:cs="Arial"/>
          <w:sz w:val="20"/>
          <w:szCs w:val="20"/>
        </w:rPr>
      </w:pPr>
      <w:r w:rsidRPr="003D6FE1">
        <w:rPr>
          <w:rStyle w:val="s1"/>
          <w:rFonts w:ascii="Arial" w:hAnsi="Arial" w:cs="Arial"/>
          <w:sz w:val="20"/>
          <w:szCs w:val="20"/>
        </w:rPr>
        <w:t xml:space="preserve">To contextualize how these </w:t>
      </w:r>
      <w:proofErr w:type="gramStart"/>
      <w:r w:rsidRPr="003D6FE1">
        <w:rPr>
          <w:rStyle w:val="s1"/>
          <w:rFonts w:ascii="Arial" w:hAnsi="Arial" w:cs="Arial"/>
          <w:sz w:val="20"/>
          <w:szCs w:val="20"/>
        </w:rPr>
        <w:t>therapies</w:t>
      </w:r>
      <w:proofErr w:type="gramEnd"/>
      <w:r w:rsidRPr="003D6FE1">
        <w:rPr>
          <w:rStyle w:val="s1"/>
          <w:rFonts w:ascii="Arial" w:hAnsi="Arial" w:cs="Arial"/>
          <w:sz w:val="20"/>
          <w:szCs w:val="20"/>
        </w:rPr>
        <w:t xml:space="preserve"> differ in practice, the following section outlines the specific dosage regimens and administration strategies for both monoclonal antibodies and </w:t>
      </w:r>
      <w:proofErr w:type="spellStart"/>
      <w:r w:rsidRPr="003D6FE1">
        <w:rPr>
          <w:rStyle w:val="s1"/>
          <w:rFonts w:ascii="Arial" w:hAnsi="Arial" w:cs="Arial"/>
          <w:sz w:val="20"/>
          <w:szCs w:val="20"/>
        </w:rPr>
        <w:t>gepants</w:t>
      </w:r>
      <w:proofErr w:type="spellEnd"/>
      <w:r w:rsidRPr="003D6FE1">
        <w:rPr>
          <w:rStyle w:val="s1"/>
          <w:rFonts w:ascii="Arial" w:hAnsi="Arial" w:cs="Arial"/>
          <w:sz w:val="20"/>
          <w:szCs w:val="20"/>
        </w:rPr>
        <w:t>.</w:t>
      </w:r>
    </w:p>
    <w:p w14:paraId="26C71DA4" w14:textId="777C5CC2" w:rsidR="007F7B32" w:rsidRDefault="00902823" w:rsidP="00441B6F">
      <w:pPr>
        <w:pStyle w:val="AbstHead"/>
        <w:spacing w:after="0"/>
        <w:jc w:val="both"/>
        <w:rPr>
          <w:rFonts w:ascii="Arial" w:hAnsi="Arial" w:cs="Arial"/>
        </w:rPr>
      </w:pPr>
      <w:r>
        <w:rPr>
          <w:rFonts w:ascii="Arial" w:hAnsi="Arial" w:cs="Arial"/>
        </w:rPr>
        <w:t xml:space="preserve">2. </w:t>
      </w:r>
      <w:r w:rsidR="00434F7C">
        <w:rPr>
          <w:rFonts w:ascii="Arial" w:hAnsi="Arial" w:cs="Arial"/>
        </w:rPr>
        <w:t xml:space="preserve">Specific dosages </w:t>
      </w:r>
    </w:p>
    <w:p w14:paraId="54EFDAB7" w14:textId="6E769ED4" w:rsidR="00EF746B" w:rsidRPr="00EF746B" w:rsidRDefault="00EF746B" w:rsidP="00EF746B">
      <w:pPr>
        <w:spacing w:before="240" w:after="240"/>
        <w:jc w:val="both"/>
        <w:divId w:val="680009809"/>
        <w:rPr>
          <w:rFonts w:ascii="Arial" w:eastAsiaTheme="minorEastAsia" w:hAnsi="Arial" w:cs="Arial"/>
          <w:lang w:val="en-IN" w:eastAsia="en-GB"/>
        </w:rPr>
      </w:pPr>
      <w:r w:rsidRPr="00EF746B">
        <w:rPr>
          <w:rFonts w:ascii="Arial" w:eastAsiaTheme="minorEastAsia" w:hAnsi="Arial" w:cs="Arial"/>
          <w:color w:val="000000"/>
          <w:lang w:val="en-IN" w:eastAsia="en-GB"/>
        </w:rPr>
        <w:t>Discussed below are the dosages, frequency and route of administration for the currently available CGRP antagonists.</w:t>
      </w:r>
    </w:p>
    <w:p w14:paraId="10A68A88" w14:textId="66A4D849" w:rsidR="00EF746B" w:rsidRPr="00EF746B" w:rsidRDefault="00FB3568" w:rsidP="00FB3568">
      <w:pPr>
        <w:spacing w:before="280" w:after="80"/>
        <w:jc w:val="both"/>
        <w:outlineLvl w:val="2"/>
        <w:divId w:val="680009809"/>
        <w:rPr>
          <w:rFonts w:ascii="Arial" w:hAnsi="Arial" w:cs="Arial"/>
          <w:b/>
          <w:bCs/>
          <w:sz w:val="22"/>
          <w:szCs w:val="22"/>
          <w:lang w:val="en-IN" w:eastAsia="en-GB"/>
        </w:rPr>
      </w:pPr>
      <w:r w:rsidRPr="00FB3568">
        <w:rPr>
          <w:rFonts w:ascii="Arial" w:hAnsi="Arial" w:cs="Arial"/>
          <w:b/>
          <w:bCs/>
          <w:color w:val="000000"/>
          <w:sz w:val="22"/>
          <w:szCs w:val="22"/>
          <w:lang w:val="en-IN" w:eastAsia="en-GB"/>
        </w:rPr>
        <w:t>2.1 Monoclonal</w:t>
      </w:r>
      <w:r w:rsidR="00EF746B" w:rsidRPr="00EF746B">
        <w:rPr>
          <w:rFonts w:ascii="Arial" w:hAnsi="Arial" w:cs="Arial"/>
          <w:b/>
          <w:bCs/>
          <w:color w:val="000000"/>
          <w:sz w:val="22"/>
          <w:szCs w:val="22"/>
          <w:lang w:val="en-IN" w:eastAsia="en-GB"/>
        </w:rPr>
        <w:t xml:space="preserve"> antibodies</w:t>
      </w:r>
    </w:p>
    <w:p w14:paraId="601D3408" w14:textId="77777777" w:rsidR="00EF746B" w:rsidRPr="00EF746B" w:rsidRDefault="00EF746B" w:rsidP="00FB3568">
      <w:pPr>
        <w:spacing w:before="240" w:after="240"/>
        <w:jc w:val="both"/>
        <w:divId w:val="680009809"/>
        <w:rPr>
          <w:rFonts w:ascii="Arial" w:eastAsiaTheme="minorEastAsia" w:hAnsi="Arial" w:cs="Arial"/>
          <w:b/>
          <w:bCs/>
          <w:u w:val="single"/>
          <w:lang w:val="en-IN" w:eastAsia="en-GB"/>
        </w:rPr>
      </w:pPr>
      <w:r w:rsidRPr="00EF746B">
        <w:rPr>
          <w:rFonts w:ascii="Arial" w:eastAsiaTheme="minorEastAsia" w:hAnsi="Arial" w:cs="Arial"/>
          <w:b/>
          <w:bCs/>
          <w:color w:val="000000"/>
          <w:u w:val="single"/>
          <w:lang w:val="en-IN" w:eastAsia="en-GB"/>
        </w:rPr>
        <w:t xml:space="preserve">2.1.1 </w:t>
      </w:r>
      <w:proofErr w:type="spellStart"/>
      <w:r w:rsidRPr="00EF746B">
        <w:rPr>
          <w:rFonts w:ascii="Arial" w:eastAsiaTheme="minorEastAsia" w:hAnsi="Arial" w:cs="Arial"/>
          <w:b/>
          <w:bCs/>
          <w:color w:val="000000"/>
          <w:u w:val="single"/>
          <w:lang w:val="en-IN" w:eastAsia="en-GB"/>
        </w:rPr>
        <w:t>Erenumab</w:t>
      </w:r>
      <w:proofErr w:type="spellEnd"/>
    </w:p>
    <w:p w14:paraId="1D98960E" w14:textId="700475C1" w:rsidR="00E26BF5" w:rsidRPr="005030A7" w:rsidRDefault="00EF746B" w:rsidP="00EF746B">
      <w:pPr>
        <w:spacing w:before="240" w:after="240"/>
        <w:jc w:val="both"/>
        <w:divId w:val="680009809"/>
        <w:rPr>
          <w:rFonts w:ascii="Arial" w:eastAsiaTheme="minorEastAsia" w:hAnsi="Arial" w:cs="Arial"/>
          <w:color w:val="000000"/>
          <w:lang w:val="en-IN" w:eastAsia="en-GB"/>
        </w:rPr>
      </w:pPr>
      <w:proofErr w:type="spellStart"/>
      <w:r w:rsidRPr="00EF746B">
        <w:rPr>
          <w:rFonts w:ascii="Arial" w:eastAsiaTheme="minorEastAsia" w:hAnsi="Arial" w:cs="Arial"/>
          <w:color w:val="000000"/>
          <w:lang w:val="en-IN" w:eastAsia="en-GB"/>
        </w:rPr>
        <w:lastRenderedPageBreak/>
        <w:t>Goadsby</w:t>
      </w:r>
      <w:proofErr w:type="spellEnd"/>
      <w:r w:rsidRPr="00EF746B">
        <w:rPr>
          <w:rFonts w:ascii="Arial" w:eastAsiaTheme="minorEastAsia" w:hAnsi="Arial" w:cs="Arial"/>
          <w:color w:val="000000"/>
          <w:lang w:val="en-IN" w:eastAsia="en-GB"/>
        </w:rPr>
        <w:t xml:space="preserve"> et al. conducted a randomised trial with 955 participants receiving either </w:t>
      </w:r>
      <w:proofErr w:type="spellStart"/>
      <w:r w:rsidRPr="00EF746B">
        <w:rPr>
          <w:rFonts w:ascii="Arial" w:eastAsiaTheme="minorEastAsia" w:hAnsi="Arial" w:cs="Arial"/>
          <w:color w:val="000000"/>
          <w:lang w:val="en-IN" w:eastAsia="en-GB"/>
        </w:rPr>
        <w:t>erenumab</w:t>
      </w:r>
      <w:proofErr w:type="spellEnd"/>
      <w:r w:rsidRPr="00EF746B">
        <w:rPr>
          <w:rFonts w:ascii="Arial" w:eastAsiaTheme="minorEastAsia" w:hAnsi="Arial" w:cs="Arial"/>
          <w:color w:val="000000"/>
          <w:lang w:val="en-IN" w:eastAsia="en-GB"/>
        </w:rPr>
        <w:t xml:space="preserve"> at 70 mg or 140 mg or a placebo for 6 months subcutaneously. There was an overall reduction of migraine days in the 70 mg group by 3.2, as compared to 3.7 in the 140 mg group to the 1.8 days of the placebo group (p &lt; 0.001) from 8.3 days (the mean number of migraine days per month at baseline). Patients receiving </w:t>
      </w:r>
      <w:proofErr w:type="spellStart"/>
      <w:r w:rsidRPr="00EF746B">
        <w:rPr>
          <w:rFonts w:ascii="Arial" w:eastAsiaTheme="minorEastAsia" w:hAnsi="Arial" w:cs="Arial"/>
          <w:color w:val="000000"/>
          <w:lang w:val="en-IN" w:eastAsia="en-GB"/>
        </w:rPr>
        <w:t>erenumab</w:t>
      </w:r>
      <w:proofErr w:type="spellEnd"/>
      <w:r w:rsidRPr="00EF746B">
        <w:rPr>
          <w:rFonts w:ascii="Arial" w:eastAsiaTheme="minorEastAsia" w:hAnsi="Arial" w:cs="Arial"/>
          <w:color w:val="000000"/>
          <w:lang w:val="en-IN" w:eastAsia="en-GB"/>
        </w:rPr>
        <w:t xml:space="preserve"> had a 50% or greater reduction in this number as compared to the 26.6% seen in placebo. The treated group had a greater improvement in physical impairment scores and in everyday activities when compared to the placebo group, with comparable adverse event rates (11).</w:t>
      </w:r>
      <w:r w:rsidR="00E26BF5">
        <w:rPr>
          <w:rFonts w:ascii="Arial" w:eastAsiaTheme="minorEastAsia" w:hAnsi="Arial" w:cs="Arial"/>
          <w:color w:val="000000"/>
          <w:lang w:val="en-IN" w:eastAsia="en-GB"/>
        </w:rPr>
        <w:t xml:space="preserve"> </w:t>
      </w:r>
      <w:r w:rsidR="00E26BF5" w:rsidRPr="003B7BAE">
        <w:rPr>
          <w:rStyle w:val="s1"/>
          <w:rFonts w:ascii="Arial" w:hAnsi="Arial" w:cs="Arial"/>
        </w:rPr>
        <w:t xml:space="preserve">While </w:t>
      </w:r>
      <w:proofErr w:type="spellStart"/>
      <w:r w:rsidR="00E26BF5" w:rsidRPr="003B7BAE">
        <w:rPr>
          <w:rStyle w:val="s1"/>
          <w:rFonts w:ascii="Arial" w:hAnsi="Arial" w:cs="Arial"/>
        </w:rPr>
        <w:t>erenumab</w:t>
      </w:r>
      <w:proofErr w:type="spellEnd"/>
      <w:r w:rsidR="00E26BF5" w:rsidRPr="003B7BAE">
        <w:rPr>
          <w:rStyle w:val="s1"/>
          <w:rFonts w:ascii="Arial" w:hAnsi="Arial" w:cs="Arial"/>
        </w:rPr>
        <w:t xml:space="preserve"> demonstrates robust reductions in migraine days, other </w:t>
      </w:r>
      <w:proofErr w:type="spellStart"/>
      <w:r w:rsidR="00E26BF5" w:rsidRPr="003B7BAE">
        <w:rPr>
          <w:rStyle w:val="s1"/>
          <w:rFonts w:ascii="Arial" w:hAnsi="Arial" w:cs="Arial"/>
        </w:rPr>
        <w:t>mAbs</w:t>
      </w:r>
      <w:proofErr w:type="spellEnd"/>
      <w:r w:rsidR="00E26BF5" w:rsidRPr="003B7BAE">
        <w:rPr>
          <w:rStyle w:val="s1"/>
          <w:rFonts w:ascii="Arial" w:hAnsi="Arial" w:cs="Arial"/>
        </w:rPr>
        <w:t xml:space="preserve"> such as </w:t>
      </w:r>
      <w:proofErr w:type="spellStart"/>
      <w:r w:rsidR="00E26BF5" w:rsidRPr="003B7BAE">
        <w:rPr>
          <w:rStyle w:val="s1"/>
          <w:rFonts w:ascii="Arial" w:hAnsi="Arial" w:cs="Arial"/>
        </w:rPr>
        <w:t>fremanezumab</w:t>
      </w:r>
      <w:proofErr w:type="spellEnd"/>
      <w:r w:rsidR="00E26BF5" w:rsidRPr="003B7BAE">
        <w:rPr>
          <w:rStyle w:val="s1"/>
          <w:rFonts w:ascii="Arial" w:hAnsi="Arial" w:cs="Arial"/>
        </w:rPr>
        <w:t xml:space="preserve"> have been evaluated for broader prophylactic use with varying regimens.</w:t>
      </w:r>
    </w:p>
    <w:p w14:paraId="6091F64F" w14:textId="17A1F312" w:rsidR="00EF746B" w:rsidRPr="00FC0364" w:rsidRDefault="00EF746B" w:rsidP="00FC0364">
      <w:pPr>
        <w:pStyle w:val="ListParagraph"/>
        <w:numPr>
          <w:ilvl w:val="2"/>
          <w:numId w:val="41"/>
        </w:numPr>
        <w:spacing w:before="240" w:after="240"/>
        <w:jc w:val="both"/>
        <w:divId w:val="680009809"/>
        <w:rPr>
          <w:rFonts w:ascii="Arial" w:eastAsiaTheme="minorEastAsia" w:hAnsi="Arial" w:cs="Arial"/>
          <w:b/>
          <w:bCs/>
          <w:u w:val="single"/>
          <w:lang w:val="en-IN" w:eastAsia="en-GB"/>
        </w:rPr>
      </w:pPr>
      <w:proofErr w:type="spellStart"/>
      <w:r w:rsidRPr="00FC0364">
        <w:rPr>
          <w:rFonts w:ascii="Arial" w:eastAsiaTheme="minorEastAsia" w:hAnsi="Arial" w:cs="Arial"/>
          <w:b/>
          <w:bCs/>
          <w:color w:val="000000"/>
          <w:u w:val="single"/>
          <w:lang w:val="en-IN" w:eastAsia="en-GB"/>
        </w:rPr>
        <w:t>Fremanezumab</w:t>
      </w:r>
      <w:proofErr w:type="spellEnd"/>
    </w:p>
    <w:p w14:paraId="3D23CDC9" w14:textId="11BD2E9F" w:rsidR="00EF746B" w:rsidRPr="00FC0364" w:rsidRDefault="00EF746B" w:rsidP="00FC0364">
      <w:pPr>
        <w:spacing w:before="240"/>
        <w:jc w:val="both"/>
        <w:divId w:val="680009809"/>
        <w:rPr>
          <w:rFonts w:ascii="Arial" w:eastAsiaTheme="minorEastAsia" w:hAnsi="Arial" w:cs="Arial"/>
          <w:color w:val="000000"/>
          <w:lang w:val="en-IN" w:eastAsia="en-GB"/>
        </w:rPr>
      </w:pPr>
      <w:r w:rsidRPr="00EF746B">
        <w:rPr>
          <w:rFonts w:ascii="Arial" w:eastAsiaTheme="minorEastAsia" w:hAnsi="Arial" w:cs="Arial"/>
          <w:color w:val="000000"/>
          <w:lang w:val="en-IN" w:eastAsia="en-GB"/>
        </w:rPr>
        <w:t xml:space="preserve">Silberstein et al.’s 12-week study assessed </w:t>
      </w:r>
      <w:proofErr w:type="spellStart"/>
      <w:r w:rsidRPr="00EF746B">
        <w:rPr>
          <w:rFonts w:ascii="Arial" w:eastAsiaTheme="minorEastAsia" w:hAnsi="Arial" w:cs="Arial"/>
          <w:color w:val="000000"/>
          <w:lang w:val="en-IN" w:eastAsia="en-GB"/>
        </w:rPr>
        <w:t>fremanezumab</w:t>
      </w:r>
      <w:proofErr w:type="spellEnd"/>
      <w:r w:rsidRPr="00EF746B">
        <w:rPr>
          <w:rFonts w:ascii="Arial" w:eastAsiaTheme="minorEastAsia" w:hAnsi="Arial" w:cs="Arial"/>
          <w:color w:val="000000"/>
          <w:lang w:val="en-IN" w:eastAsia="en-GB"/>
        </w:rPr>
        <w:t xml:space="preserve"> as a prophylactic drug for chronic migraine in 1,130 participants and received it quarterly, monthly or as a placebo, with the baseline headache days averaging 12.8 – 13.3 per month. Groups receiving </w:t>
      </w:r>
      <w:proofErr w:type="spellStart"/>
      <w:r w:rsidRPr="00EF746B">
        <w:rPr>
          <w:rFonts w:ascii="Arial" w:eastAsiaTheme="minorEastAsia" w:hAnsi="Arial" w:cs="Arial"/>
          <w:color w:val="000000"/>
          <w:lang w:val="en-IN" w:eastAsia="en-GB"/>
        </w:rPr>
        <w:t>fremanezumab</w:t>
      </w:r>
      <w:proofErr w:type="spellEnd"/>
      <w:r w:rsidRPr="00EF746B">
        <w:rPr>
          <w:rFonts w:ascii="Arial" w:eastAsiaTheme="minorEastAsia" w:hAnsi="Arial" w:cs="Arial"/>
          <w:color w:val="000000"/>
          <w:lang w:val="en-IN" w:eastAsia="en-GB"/>
        </w:rPr>
        <w:t xml:space="preserve"> experienced greater reductions in monthly headache days (4.3–4.6 days) compared to placebo having a reduction of 2.5 days (P&lt;0.001). At least 50% reduction in headache days was observed in 38% (quarterly) and 41% (monthly) of </w:t>
      </w:r>
      <w:proofErr w:type="spellStart"/>
      <w:r w:rsidRPr="00EF746B">
        <w:rPr>
          <w:rFonts w:ascii="Arial" w:eastAsiaTheme="minorEastAsia" w:hAnsi="Arial" w:cs="Arial"/>
          <w:color w:val="000000"/>
          <w:lang w:val="en-IN" w:eastAsia="en-GB"/>
        </w:rPr>
        <w:t>fremanezumab</w:t>
      </w:r>
      <w:proofErr w:type="spellEnd"/>
      <w:r w:rsidRPr="00EF746B">
        <w:rPr>
          <w:rFonts w:ascii="Arial" w:eastAsiaTheme="minorEastAsia" w:hAnsi="Arial" w:cs="Arial"/>
          <w:color w:val="000000"/>
          <w:lang w:val="en-IN" w:eastAsia="en-GB"/>
        </w:rPr>
        <w:t xml:space="preserve"> users versus 18% in the placebo group (P&lt;0.001). Injection-site reactions were common, and liver function abnormalities were noted in &lt;1% of patients. Long-term studies are needed to confirm safety and sustained efficacy (12).</w:t>
      </w:r>
      <w:r w:rsidR="00FC0364">
        <w:rPr>
          <w:rFonts w:ascii="Arial" w:eastAsiaTheme="minorEastAsia" w:hAnsi="Arial" w:cs="Arial"/>
          <w:color w:val="000000"/>
          <w:lang w:val="en-IN" w:eastAsia="en-GB"/>
        </w:rPr>
        <w:t xml:space="preserve"> </w:t>
      </w:r>
      <w:r w:rsidR="00FC0364">
        <w:rPr>
          <w:rStyle w:val="s1"/>
        </w:rPr>
        <w:t xml:space="preserve">Although mAbs provide durable prophylaxis through infrequent injections, oral and intranasal small-molecule </w:t>
      </w:r>
      <w:proofErr w:type="spellStart"/>
      <w:r w:rsidR="00FC0364">
        <w:rPr>
          <w:rStyle w:val="s1"/>
        </w:rPr>
        <w:t>gepants</w:t>
      </w:r>
      <w:proofErr w:type="spellEnd"/>
      <w:r w:rsidR="00FC0364">
        <w:rPr>
          <w:rStyle w:val="s1"/>
        </w:rPr>
        <w:t xml:space="preserve"> offer more flexible dosing strategies for both acute and preventive therapy.</w:t>
      </w:r>
    </w:p>
    <w:p w14:paraId="219A7E73" w14:textId="0CD21996" w:rsidR="00EF746B" w:rsidRPr="00EF746B" w:rsidRDefault="00DF1567" w:rsidP="00DF1567">
      <w:pPr>
        <w:spacing w:before="360" w:after="80"/>
        <w:jc w:val="both"/>
        <w:outlineLvl w:val="1"/>
        <w:divId w:val="680009809"/>
        <w:rPr>
          <w:rFonts w:ascii="Arial" w:hAnsi="Arial" w:cs="Arial"/>
          <w:b/>
          <w:bCs/>
          <w:sz w:val="22"/>
          <w:szCs w:val="22"/>
          <w:lang w:val="en-IN" w:eastAsia="en-GB"/>
        </w:rPr>
      </w:pPr>
      <w:r w:rsidRPr="00DF1567">
        <w:rPr>
          <w:rFonts w:ascii="Arial" w:hAnsi="Arial" w:cs="Arial"/>
          <w:b/>
          <w:bCs/>
          <w:color w:val="000000"/>
          <w:sz w:val="22"/>
          <w:szCs w:val="22"/>
          <w:lang w:val="en-IN" w:eastAsia="en-GB"/>
        </w:rPr>
        <w:t>2.2 Small</w:t>
      </w:r>
      <w:r w:rsidR="00EF746B" w:rsidRPr="00EF746B">
        <w:rPr>
          <w:rFonts w:ascii="Arial" w:hAnsi="Arial" w:cs="Arial"/>
          <w:b/>
          <w:bCs/>
          <w:color w:val="000000"/>
          <w:sz w:val="22"/>
          <w:szCs w:val="22"/>
          <w:lang w:val="en-IN" w:eastAsia="en-GB"/>
        </w:rPr>
        <w:t xml:space="preserve"> molecule </w:t>
      </w:r>
      <w:proofErr w:type="spellStart"/>
      <w:r w:rsidR="00EF746B" w:rsidRPr="00EF746B">
        <w:rPr>
          <w:rFonts w:ascii="Arial" w:hAnsi="Arial" w:cs="Arial"/>
          <w:b/>
          <w:bCs/>
          <w:color w:val="000000"/>
          <w:sz w:val="22"/>
          <w:szCs w:val="22"/>
          <w:lang w:val="en-IN" w:eastAsia="en-GB"/>
        </w:rPr>
        <w:t>gepants</w:t>
      </w:r>
      <w:proofErr w:type="spellEnd"/>
    </w:p>
    <w:p w14:paraId="3EF1C0DE" w14:textId="77777777" w:rsidR="00EF746B" w:rsidRPr="00EF746B" w:rsidRDefault="00EF746B" w:rsidP="00DF1567">
      <w:pPr>
        <w:spacing w:before="240" w:after="240"/>
        <w:jc w:val="both"/>
        <w:divId w:val="680009809"/>
        <w:rPr>
          <w:rFonts w:ascii="Arial" w:eastAsiaTheme="minorEastAsia" w:hAnsi="Arial" w:cs="Arial"/>
          <w:b/>
          <w:bCs/>
          <w:u w:val="single"/>
          <w:lang w:val="en-IN" w:eastAsia="en-GB"/>
        </w:rPr>
      </w:pPr>
      <w:r w:rsidRPr="00EF746B">
        <w:rPr>
          <w:rFonts w:ascii="Arial" w:eastAsiaTheme="minorEastAsia" w:hAnsi="Arial" w:cs="Arial"/>
          <w:b/>
          <w:bCs/>
          <w:color w:val="000000"/>
          <w:u w:val="single"/>
          <w:lang w:val="en-IN" w:eastAsia="en-GB"/>
        </w:rPr>
        <w:t xml:space="preserve">2.2.1 </w:t>
      </w:r>
      <w:proofErr w:type="spellStart"/>
      <w:r w:rsidRPr="00EF746B">
        <w:rPr>
          <w:rFonts w:ascii="Arial" w:eastAsiaTheme="minorEastAsia" w:hAnsi="Arial" w:cs="Arial"/>
          <w:b/>
          <w:bCs/>
          <w:color w:val="000000"/>
          <w:u w:val="single"/>
          <w:lang w:val="en-IN" w:eastAsia="en-GB"/>
        </w:rPr>
        <w:t>Atogepant</w:t>
      </w:r>
      <w:proofErr w:type="spellEnd"/>
    </w:p>
    <w:p w14:paraId="44C94C01" w14:textId="006DB1EC" w:rsidR="00F352A1" w:rsidRPr="00F352A1" w:rsidRDefault="00EF746B" w:rsidP="00F352A1">
      <w:pPr>
        <w:spacing w:before="240"/>
        <w:jc w:val="both"/>
        <w:divId w:val="680009809"/>
        <w:rPr>
          <w:rFonts w:ascii="Arial" w:eastAsiaTheme="minorEastAsia" w:hAnsi="Arial" w:cs="Arial"/>
          <w:color w:val="000000"/>
          <w:lang w:val="en-IN" w:eastAsia="en-GB"/>
        </w:rPr>
      </w:pPr>
      <w:proofErr w:type="spellStart"/>
      <w:r w:rsidRPr="00EF746B">
        <w:rPr>
          <w:rFonts w:ascii="Arial" w:eastAsiaTheme="minorEastAsia" w:hAnsi="Arial" w:cs="Arial"/>
          <w:color w:val="000000"/>
          <w:lang w:val="en-IN" w:eastAsia="en-GB"/>
        </w:rPr>
        <w:t>Ailani</w:t>
      </w:r>
      <w:proofErr w:type="spellEnd"/>
      <w:r w:rsidRPr="00EF746B">
        <w:rPr>
          <w:rFonts w:ascii="Arial" w:eastAsiaTheme="minorEastAsia" w:hAnsi="Arial" w:cs="Arial"/>
          <w:color w:val="000000"/>
          <w:lang w:val="en-IN" w:eastAsia="en-GB"/>
        </w:rPr>
        <w:t xml:space="preserve"> et al. conducted a randomised trial for </w:t>
      </w:r>
      <w:proofErr w:type="spellStart"/>
      <w:r w:rsidRPr="00EF746B">
        <w:rPr>
          <w:rFonts w:ascii="Arial" w:eastAsiaTheme="minorEastAsia" w:hAnsi="Arial" w:cs="Arial"/>
          <w:color w:val="000000"/>
          <w:lang w:val="en-IN" w:eastAsia="en-GB"/>
        </w:rPr>
        <w:t>atogepant</w:t>
      </w:r>
      <w:proofErr w:type="spellEnd"/>
      <w:r w:rsidRPr="00EF746B">
        <w:rPr>
          <w:rFonts w:ascii="Arial" w:eastAsiaTheme="minorEastAsia" w:hAnsi="Arial" w:cs="Arial"/>
          <w:color w:val="000000"/>
          <w:lang w:val="en-IN" w:eastAsia="en-GB"/>
        </w:rPr>
        <w:t xml:space="preserve"> in 873 participants with some given 10 mg, 30 mg, 60 mg, or placebo with an average baseline migraine frequency ranging from 7.5 to 7.9 days per month. They found a 3.7 (10 mg), 3.9 (30 mg), and 4.2 (60 mg) day reduction when compared to 2.5-day reduction of migraine with placebo over 12 weeks. The 60 mg dose showed the greatest reduction from baseline (-1.7 days, 95% CI: -2.3 to -1.2). </w:t>
      </w:r>
      <w:proofErr w:type="spellStart"/>
      <w:r w:rsidRPr="00EF746B">
        <w:rPr>
          <w:rFonts w:ascii="Arial" w:eastAsiaTheme="minorEastAsia" w:hAnsi="Arial" w:cs="Arial"/>
          <w:color w:val="000000"/>
          <w:lang w:val="en-IN" w:eastAsia="en-GB"/>
        </w:rPr>
        <w:t>Atogepant</w:t>
      </w:r>
      <w:proofErr w:type="spellEnd"/>
      <w:r w:rsidRPr="00EF746B">
        <w:rPr>
          <w:rFonts w:ascii="Arial" w:eastAsiaTheme="minorEastAsia" w:hAnsi="Arial" w:cs="Arial"/>
          <w:color w:val="000000"/>
          <w:lang w:val="en-IN" w:eastAsia="en-GB"/>
        </w:rPr>
        <w:t xml:space="preserve"> generally outperformed placebo in secondary endpoints, except for AIM-D activity and physical impairment scores at 10 mg. The most common adverse effects were constipation (6.9–7.7%) and nausea (4.4–6.1%). Serious adverse events included one case of asthma and one case of ocular neuritis. Larger studies are necessary to determine long-term efficacy and safety (13).</w:t>
      </w:r>
      <w:r w:rsidR="00EB7B26">
        <w:rPr>
          <w:rFonts w:ascii="Arial" w:eastAsiaTheme="minorEastAsia" w:hAnsi="Arial" w:cs="Arial"/>
          <w:color w:val="000000"/>
          <w:lang w:val="en-IN" w:eastAsia="en-GB"/>
        </w:rPr>
        <w:t xml:space="preserve"> Though </w:t>
      </w:r>
      <w:proofErr w:type="spellStart"/>
      <w:r w:rsidR="00EB7B26">
        <w:rPr>
          <w:rFonts w:ascii="Arial" w:eastAsiaTheme="minorEastAsia" w:hAnsi="Arial" w:cs="Arial"/>
          <w:color w:val="000000"/>
          <w:lang w:val="en-IN" w:eastAsia="en-GB"/>
        </w:rPr>
        <w:t>Atogepant</w:t>
      </w:r>
      <w:proofErr w:type="spellEnd"/>
      <w:r w:rsidR="00EB7B26">
        <w:rPr>
          <w:rFonts w:ascii="Arial" w:eastAsiaTheme="minorEastAsia" w:hAnsi="Arial" w:cs="Arial"/>
          <w:color w:val="000000"/>
          <w:lang w:val="en-IN" w:eastAsia="en-GB"/>
        </w:rPr>
        <w:t xml:space="preserve"> is effective at higher doses, it shows gastrointestinal intolerability as discussed in Section 3. </w:t>
      </w:r>
      <w:r w:rsidR="00F352A1">
        <w:rPr>
          <w:rStyle w:val="s1"/>
        </w:rPr>
        <w:t xml:space="preserve">In contrast to </w:t>
      </w:r>
      <w:proofErr w:type="spellStart"/>
      <w:r w:rsidR="00F352A1">
        <w:rPr>
          <w:rStyle w:val="s1"/>
        </w:rPr>
        <w:t>atogepant’s</w:t>
      </w:r>
      <w:proofErr w:type="spellEnd"/>
      <w:r w:rsidR="00F352A1">
        <w:rPr>
          <w:rStyle w:val="s1"/>
        </w:rPr>
        <w:t xml:space="preserve"> preventive role, </w:t>
      </w:r>
      <w:proofErr w:type="spellStart"/>
      <w:r w:rsidR="00F352A1">
        <w:rPr>
          <w:rStyle w:val="s1"/>
        </w:rPr>
        <w:t>ubrogepant</w:t>
      </w:r>
      <w:proofErr w:type="spellEnd"/>
      <w:r w:rsidR="00F352A1">
        <w:rPr>
          <w:rStyle w:val="s1"/>
        </w:rPr>
        <w:t xml:space="preserve"> has been primarily assessed for acute relief, providing a different perspective on how </w:t>
      </w:r>
      <w:proofErr w:type="spellStart"/>
      <w:r w:rsidR="00F352A1">
        <w:rPr>
          <w:rStyle w:val="s1"/>
        </w:rPr>
        <w:t>gepants</w:t>
      </w:r>
      <w:proofErr w:type="spellEnd"/>
      <w:r w:rsidR="00F352A1">
        <w:rPr>
          <w:rStyle w:val="s1"/>
        </w:rPr>
        <w:t xml:space="preserve"> fit into clinical practice</w:t>
      </w:r>
    </w:p>
    <w:p w14:paraId="354CDB96" w14:textId="77777777" w:rsidR="00F352A1" w:rsidRPr="00EB7B26" w:rsidRDefault="00F352A1" w:rsidP="00EF746B">
      <w:pPr>
        <w:spacing w:before="240"/>
        <w:jc w:val="both"/>
        <w:divId w:val="680009809"/>
        <w:rPr>
          <w:rFonts w:ascii="Arial" w:eastAsiaTheme="minorEastAsia" w:hAnsi="Arial" w:cs="Arial"/>
          <w:color w:val="000000"/>
          <w:lang w:val="en-IN" w:eastAsia="en-GB"/>
        </w:rPr>
      </w:pPr>
    </w:p>
    <w:p w14:paraId="56481D4C" w14:textId="77777777" w:rsidR="00EF746B" w:rsidRPr="00EF746B" w:rsidRDefault="00EF746B" w:rsidP="00DF1567">
      <w:pPr>
        <w:spacing w:before="240" w:after="240"/>
        <w:jc w:val="both"/>
        <w:divId w:val="680009809"/>
        <w:rPr>
          <w:rFonts w:ascii="Arial" w:eastAsiaTheme="minorEastAsia" w:hAnsi="Arial" w:cs="Arial"/>
          <w:b/>
          <w:bCs/>
          <w:u w:val="single"/>
          <w:lang w:val="en-IN" w:eastAsia="en-GB"/>
        </w:rPr>
      </w:pPr>
      <w:r w:rsidRPr="00EF746B">
        <w:rPr>
          <w:rFonts w:ascii="Arial" w:eastAsiaTheme="minorEastAsia" w:hAnsi="Arial" w:cs="Arial"/>
          <w:b/>
          <w:bCs/>
          <w:color w:val="000000"/>
          <w:u w:val="single"/>
          <w:lang w:val="en-IN" w:eastAsia="en-GB"/>
        </w:rPr>
        <w:t xml:space="preserve">2.2.2 </w:t>
      </w:r>
      <w:proofErr w:type="spellStart"/>
      <w:r w:rsidRPr="00EF746B">
        <w:rPr>
          <w:rFonts w:ascii="Arial" w:eastAsiaTheme="minorEastAsia" w:hAnsi="Arial" w:cs="Arial"/>
          <w:b/>
          <w:bCs/>
          <w:color w:val="000000"/>
          <w:u w:val="single"/>
          <w:lang w:val="en-IN" w:eastAsia="en-GB"/>
        </w:rPr>
        <w:t>Ubrogepant</w:t>
      </w:r>
      <w:proofErr w:type="spellEnd"/>
    </w:p>
    <w:p w14:paraId="3D9F2A9D" w14:textId="39DFAE37" w:rsidR="00042E9A" w:rsidRPr="00042E9A" w:rsidRDefault="00EF746B" w:rsidP="00EF746B">
      <w:pPr>
        <w:spacing w:before="240"/>
        <w:jc w:val="both"/>
        <w:divId w:val="680009809"/>
        <w:rPr>
          <w:rFonts w:ascii="Arial" w:eastAsiaTheme="minorEastAsia" w:hAnsi="Arial" w:cs="Arial"/>
          <w:color w:val="000000"/>
          <w:lang w:val="en-IN" w:eastAsia="en-GB"/>
        </w:rPr>
      </w:pPr>
      <w:proofErr w:type="spellStart"/>
      <w:r w:rsidRPr="00EF746B">
        <w:rPr>
          <w:rFonts w:ascii="Arial" w:eastAsiaTheme="minorEastAsia" w:hAnsi="Arial" w:cs="Arial"/>
          <w:color w:val="000000"/>
          <w:lang w:val="en-IN" w:eastAsia="en-GB"/>
        </w:rPr>
        <w:t>Dodick</w:t>
      </w:r>
      <w:proofErr w:type="spellEnd"/>
      <w:r w:rsidRPr="00EF746B">
        <w:rPr>
          <w:rFonts w:ascii="Arial" w:eastAsiaTheme="minorEastAsia" w:hAnsi="Arial" w:cs="Arial"/>
          <w:color w:val="000000"/>
          <w:lang w:val="en-IN" w:eastAsia="en-GB"/>
        </w:rPr>
        <w:t xml:space="preserve"> et. al conducted a trial involving 1,672 participants who were given </w:t>
      </w:r>
      <w:proofErr w:type="spellStart"/>
      <w:r w:rsidRPr="00EF746B">
        <w:rPr>
          <w:rFonts w:ascii="Arial" w:eastAsiaTheme="minorEastAsia" w:hAnsi="Arial" w:cs="Arial"/>
          <w:color w:val="000000"/>
          <w:lang w:val="en-IN" w:eastAsia="en-GB"/>
        </w:rPr>
        <w:t>ubrogepant</w:t>
      </w:r>
      <w:proofErr w:type="spellEnd"/>
      <w:r w:rsidRPr="00EF746B">
        <w:rPr>
          <w:rFonts w:ascii="Arial" w:eastAsiaTheme="minorEastAsia" w:hAnsi="Arial" w:cs="Arial"/>
          <w:color w:val="000000"/>
          <w:lang w:val="en-IN" w:eastAsia="en-GB"/>
        </w:rPr>
        <w:t xml:space="preserve"> at 50 mg; 100 mg; and placebo. At 2 hours post-dose, pain relief was achieved in 19.2% (50 mg) and 21.2% (100 mg) of patients versus 11.8% in the placebo group (P&lt;0.002), thus patients who took </w:t>
      </w:r>
      <w:proofErr w:type="spellStart"/>
      <w:r w:rsidRPr="00EF746B">
        <w:rPr>
          <w:rFonts w:ascii="Arial" w:eastAsiaTheme="minorEastAsia" w:hAnsi="Arial" w:cs="Arial"/>
          <w:color w:val="000000"/>
          <w:lang w:val="en-IN" w:eastAsia="en-GB"/>
        </w:rPr>
        <w:t>ubrogepant</w:t>
      </w:r>
      <w:proofErr w:type="spellEnd"/>
      <w:r w:rsidRPr="00EF746B">
        <w:rPr>
          <w:rFonts w:ascii="Arial" w:eastAsiaTheme="minorEastAsia" w:hAnsi="Arial" w:cs="Arial"/>
          <w:color w:val="000000"/>
          <w:lang w:val="en-IN" w:eastAsia="en-GB"/>
        </w:rPr>
        <w:t xml:space="preserve"> were more likely to be pain-free and have no signs of the most troublesome symptom than those who took a placebo at the 2-hour mark. Relief from the most </w:t>
      </w:r>
      <w:r w:rsidRPr="00EF746B">
        <w:rPr>
          <w:rFonts w:ascii="Arial" w:eastAsiaTheme="minorEastAsia" w:hAnsi="Arial" w:cs="Arial"/>
          <w:color w:val="000000"/>
          <w:lang w:val="en-IN" w:eastAsia="en-GB"/>
        </w:rPr>
        <w:lastRenderedPageBreak/>
        <w:t xml:space="preserve">bothersome symptoms (e.g., photophobia, phonophobia, nausea) occurred in 38.6% (50 mg) and 37.7% (100 mg) of patients versus 27.8% in the placebo group (P=0.002). Adverse effects, reported in 9.4% (50 mg) and 16.3% (100 mg) of users, included nausea, drowsiness, and dry mouth. While </w:t>
      </w:r>
      <w:proofErr w:type="spellStart"/>
      <w:r w:rsidRPr="00EF746B">
        <w:rPr>
          <w:rFonts w:ascii="Arial" w:eastAsiaTheme="minorEastAsia" w:hAnsi="Arial" w:cs="Arial"/>
          <w:color w:val="000000"/>
          <w:lang w:val="en-IN" w:eastAsia="en-GB"/>
        </w:rPr>
        <w:t>ubrogepant</w:t>
      </w:r>
      <w:proofErr w:type="spellEnd"/>
      <w:r w:rsidRPr="00EF746B">
        <w:rPr>
          <w:rFonts w:ascii="Arial" w:eastAsiaTheme="minorEastAsia" w:hAnsi="Arial" w:cs="Arial"/>
          <w:color w:val="000000"/>
          <w:lang w:val="en-IN" w:eastAsia="en-GB"/>
        </w:rPr>
        <w:t xml:space="preserve"> is effective for acute migraine relief, further studies are needed to compare it with other treatments and evaluate long-term effects (14</w:t>
      </w:r>
      <w:proofErr w:type="gramStart"/>
      <w:r w:rsidRPr="00EF746B">
        <w:rPr>
          <w:rFonts w:ascii="Arial" w:eastAsiaTheme="minorEastAsia" w:hAnsi="Arial" w:cs="Arial"/>
          <w:color w:val="000000"/>
          <w:lang w:val="en-IN" w:eastAsia="en-GB"/>
        </w:rPr>
        <w:t>).</w:t>
      </w:r>
      <w:proofErr w:type="spellStart"/>
      <w:r w:rsidR="00042E9A">
        <w:rPr>
          <w:rStyle w:val="s1"/>
        </w:rPr>
        <w:t>Rimegepant</w:t>
      </w:r>
      <w:proofErr w:type="spellEnd"/>
      <w:proofErr w:type="gramEnd"/>
      <w:r w:rsidR="00042E9A">
        <w:rPr>
          <w:rStyle w:val="s1"/>
        </w:rPr>
        <w:t xml:space="preserve"> extends this paradigm further by offering dual utility, functioning both as an acute and prophylactic agent.</w:t>
      </w:r>
    </w:p>
    <w:p w14:paraId="19FD1E06" w14:textId="6D034463" w:rsidR="00EF746B" w:rsidRPr="00EF746B" w:rsidRDefault="00EF746B" w:rsidP="00DF1567">
      <w:pPr>
        <w:spacing w:before="240"/>
        <w:jc w:val="both"/>
        <w:divId w:val="680009809"/>
        <w:rPr>
          <w:rFonts w:ascii="Arial" w:eastAsiaTheme="minorEastAsia" w:hAnsi="Arial" w:cs="Arial"/>
          <w:b/>
          <w:bCs/>
          <w:u w:val="single"/>
          <w:lang w:val="en-IN" w:eastAsia="en-GB"/>
        </w:rPr>
      </w:pPr>
      <w:r w:rsidRPr="00EF746B">
        <w:rPr>
          <w:rFonts w:ascii="Arial" w:eastAsiaTheme="minorEastAsia" w:hAnsi="Arial" w:cs="Arial"/>
          <w:color w:val="000000"/>
          <w:lang w:val="en-IN" w:eastAsia="en-GB"/>
        </w:rPr>
        <w:t> </w:t>
      </w:r>
      <w:r w:rsidRPr="00EF746B">
        <w:rPr>
          <w:rFonts w:ascii="Arial" w:eastAsiaTheme="minorEastAsia" w:hAnsi="Arial" w:cs="Arial"/>
          <w:b/>
          <w:bCs/>
          <w:color w:val="000000"/>
          <w:u w:val="single"/>
          <w:lang w:val="en-IN" w:eastAsia="en-GB"/>
        </w:rPr>
        <w:t xml:space="preserve">2.2.3 </w:t>
      </w:r>
      <w:proofErr w:type="spellStart"/>
      <w:r w:rsidRPr="00EF746B">
        <w:rPr>
          <w:rFonts w:ascii="Arial" w:eastAsiaTheme="minorEastAsia" w:hAnsi="Arial" w:cs="Arial"/>
          <w:b/>
          <w:bCs/>
          <w:color w:val="000000"/>
          <w:u w:val="single"/>
          <w:lang w:val="en-IN" w:eastAsia="en-GB"/>
        </w:rPr>
        <w:t>Rimegepant</w:t>
      </w:r>
      <w:proofErr w:type="spellEnd"/>
    </w:p>
    <w:p w14:paraId="1FC87E03" w14:textId="0DFAE599" w:rsidR="00EF746B" w:rsidRPr="00EF746B" w:rsidRDefault="00EF746B" w:rsidP="00EF746B">
      <w:pPr>
        <w:spacing w:before="240"/>
        <w:jc w:val="both"/>
        <w:divId w:val="680009809"/>
        <w:rPr>
          <w:rFonts w:ascii="Arial" w:eastAsiaTheme="minorEastAsia" w:hAnsi="Arial" w:cs="Arial"/>
          <w:lang w:val="en-IN" w:eastAsia="en-GB"/>
        </w:rPr>
      </w:pPr>
      <w:r w:rsidRPr="00EF746B">
        <w:rPr>
          <w:rFonts w:ascii="Arial" w:eastAsiaTheme="minorEastAsia" w:hAnsi="Arial" w:cs="Arial"/>
          <w:color w:val="000000"/>
          <w:lang w:val="en-IN" w:eastAsia="en-GB"/>
        </w:rPr>
        <w:t xml:space="preserve">Lipton et. al conducted a study which randomized 1,186 patients to </w:t>
      </w:r>
      <w:proofErr w:type="spellStart"/>
      <w:r w:rsidRPr="00EF746B">
        <w:rPr>
          <w:rFonts w:ascii="Arial" w:eastAsiaTheme="minorEastAsia" w:hAnsi="Arial" w:cs="Arial"/>
          <w:color w:val="000000"/>
          <w:lang w:val="en-IN" w:eastAsia="en-GB"/>
        </w:rPr>
        <w:t>rimegepant</w:t>
      </w:r>
      <w:proofErr w:type="spellEnd"/>
      <w:r w:rsidRPr="00EF746B">
        <w:rPr>
          <w:rFonts w:ascii="Arial" w:eastAsiaTheme="minorEastAsia" w:hAnsi="Arial" w:cs="Arial"/>
          <w:color w:val="000000"/>
          <w:lang w:val="en-IN" w:eastAsia="en-GB"/>
        </w:rPr>
        <w:t xml:space="preserve"> (n=594) or placebo (n=592). At 2 hours post-dose, 19.6% of </w:t>
      </w:r>
      <w:proofErr w:type="spellStart"/>
      <w:r w:rsidRPr="00EF746B">
        <w:rPr>
          <w:rFonts w:ascii="Arial" w:eastAsiaTheme="minorEastAsia" w:hAnsi="Arial" w:cs="Arial"/>
          <w:color w:val="000000"/>
          <w:lang w:val="en-IN" w:eastAsia="en-GB"/>
        </w:rPr>
        <w:t>rimegepant</w:t>
      </w:r>
      <w:proofErr w:type="spellEnd"/>
      <w:r w:rsidRPr="00EF746B">
        <w:rPr>
          <w:rFonts w:ascii="Arial" w:eastAsiaTheme="minorEastAsia" w:hAnsi="Arial" w:cs="Arial"/>
          <w:color w:val="000000"/>
          <w:lang w:val="en-IN" w:eastAsia="en-GB"/>
        </w:rPr>
        <w:t xml:space="preserve"> users were pain-free compared to 12.0% in the placebo group (absolute difference: 7.6%; 95% CI: 3.3–11.9; P&lt;0.001). The most bothersome symptom resolved in 37.6% versus 25.2% of placebo users (95% CI: 6.9–17.9; P&lt;0.001). Common adverse events included nausea and urinary tract infections (15).</w:t>
      </w:r>
    </w:p>
    <w:p w14:paraId="5FF271D8" w14:textId="6CA52EFC" w:rsidR="00EF746B" w:rsidRPr="008336EE" w:rsidRDefault="00EF746B" w:rsidP="00EF746B">
      <w:pPr>
        <w:spacing w:before="240"/>
        <w:jc w:val="both"/>
        <w:divId w:val="680009809"/>
        <w:rPr>
          <w:rFonts w:ascii="Arial" w:eastAsiaTheme="minorEastAsia" w:hAnsi="Arial" w:cs="Arial"/>
          <w:b/>
          <w:bCs/>
          <w:color w:val="000000"/>
          <w:lang w:val="en-IN" w:eastAsia="en-GB"/>
        </w:rPr>
      </w:pPr>
      <w:r w:rsidRPr="00EF746B">
        <w:rPr>
          <w:rFonts w:ascii="Arial" w:eastAsiaTheme="minorEastAsia" w:hAnsi="Arial" w:cs="Arial"/>
          <w:b/>
          <w:bCs/>
          <w:color w:val="000000"/>
          <w:lang w:val="en-IN" w:eastAsia="en-GB"/>
        </w:rPr>
        <w:t>Table 1:</w:t>
      </w:r>
      <w:r w:rsidR="008336EE">
        <w:rPr>
          <w:rFonts w:ascii="Arial" w:eastAsiaTheme="minorEastAsia" w:hAnsi="Arial" w:cs="Arial"/>
          <w:b/>
          <w:bCs/>
          <w:lang w:val="en-IN" w:eastAsia="en-GB"/>
        </w:rPr>
        <w:t xml:space="preserve"> </w:t>
      </w:r>
      <w:r w:rsidRPr="00EF746B">
        <w:rPr>
          <w:rFonts w:ascii="Arial" w:eastAsiaTheme="minorEastAsia" w:hAnsi="Arial" w:cs="Arial"/>
          <w:b/>
          <w:bCs/>
          <w:color w:val="000000"/>
          <w:lang w:val="en-IN" w:eastAsia="en-GB"/>
        </w:rPr>
        <w:t>Dosages of CGRP related drugs</w:t>
      </w:r>
    </w:p>
    <w:p w14:paraId="260C443F" w14:textId="77777777" w:rsidR="008336EE" w:rsidRPr="00EF746B" w:rsidRDefault="008336EE" w:rsidP="00EF746B">
      <w:pPr>
        <w:spacing w:before="240"/>
        <w:jc w:val="both"/>
        <w:divId w:val="680009809"/>
        <w:rPr>
          <w:rFonts w:ascii="Arial" w:eastAsiaTheme="minorEastAsia" w:hAnsi="Arial" w:cs="Arial"/>
          <w:b/>
          <w:bCs/>
          <w:lang w:val="en-IN" w:eastAsia="en-GB"/>
        </w:rPr>
      </w:pPr>
    </w:p>
    <w:tbl>
      <w:tblPr>
        <w:tblStyle w:val="ListTable1Light"/>
        <w:tblW w:w="0" w:type="auto"/>
        <w:tblLook w:val="04A0" w:firstRow="1" w:lastRow="0" w:firstColumn="1" w:lastColumn="0" w:noHBand="0" w:noVBand="1"/>
      </w:tblPr>
      <w:tblGrid>
        <w:gridCol w:w="8198"/>
      </w:tblGrid>
      <w:tr w:rsidR="00CD4122" w14:paraId="4AFE0E3C" w14:textId="77777777" w:rsidTr="008336EE">
        <w:trPr>
          <w:cnfStyle w:val="100000000000" w:firstRow="1" w:lastRow="0" w:firstColumn="0" w:lastColumn="0" w:oddVBand="0" w:evenVBand="0" w:oddHBand="0" w:evenHBand="0" w:firstRowFirstColumn="0" w:firstRowLastColumn="0" w:lastRowFirstColumn="0" w:lastRowLastColumn="0"/>
          <w:divId w:val="680009809"/>
        </w:trPr>
        <w:tc>
          <w:tcPr>
            <w:cnfStyle w:val="001000000000" w:firstRow="0" w:lastRow="0" w:firstColumn="1" w:lastColumn="0" w:oddVBand="0" w:evenVBand="0" w:oddHBand="0" w:evenHBand="0" w:firstRowFirstColumn="0" w:firstRowLastColumn="0" w:lastRowFirstColumn="0" w:lastRowLastColumn="0"/>
            <w:tcW w:w="8198" w:type="dxa"/>
          </w:tcPr>
          <w:tbl>
            <w:tblPr>
              <w:tblW w:w="0" w:type="auto"/>
              <w:tblCellMar>
                <w:top w:w="15" w:type="dxa"/>
                <w:left w:w="15" w:type="dxa"/>
                <w:bottom w:w="15" w:type="dxa"/>
                <w:right w:w="15" w:type="dxa"/>
              </w:tblCellMar>
              <w:tblLook w:val="04A0" w:firstRow="1" w:lastRow="0" w:firstColumn="1" w:lastColumn="0" w:noHBand="0" w:noVBand="1"/>
            </w:tblPr>
            <w:tblGrid>
              <w:gridCol w:w="1616"/>
              <w:gridCol w:w="1453"/>
              <w:gridCol w:w="1422"/>
              <w:gridCol w:w="1558"/>
              <w:gridCol w:w="1913"/>
            </w:tblGrid>
            <w:tr w:rsidR="00CD4122" w:rsidRPr="00EF746B" w14:paraId="361B6A6D"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2DEA0B"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Name of the drug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785AA6"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Dosage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3A640D"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1D2715"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Route of administration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711ABC" w14:textId="593A18B0"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or acute</w:t>
                  </w:r>
                  <w:r w:rsidR="002C7ACC">
                    <w:rPr>
                      <w:rFonts w:ascii="Arial" w:eastAsiaTheme="minorEastAsia" w:hAnsi="Arial" w:cs="Arial"/>
                      <w:color w:val="000000"/>
                      <w:lang w:val="en-IN" w:eastAsia="en-GB"/>
                    </w:rPr>
                    <w:t xml:space="preserve"> treatment </w:t>
                  </w:r>
                </w:p>
              </w:tc>
            </w:tr>
            <w:tr w:rsidR="00CD4122" w:rsidRPr="00EF746B" w14:paraId="27B7FF53"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CEA00D"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Fremanezumab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DF055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225 mg</w:t>
                  </w:r>
                </w:p>
                <w:p w14:paraId="27DD972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675mg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FD83B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Monthly</w:t>
                  </w:r>
                </w:p>
                <w:p w14:paraId="6AB40D87"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Every 3 months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77D77A"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subcutaneous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921838"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(12)</w:t>
                  </w:r>
                </w:p>
              </w:tc>
            </w:tr>
            <w:tr w:rsidR="00CD4122" w:rsidRPr="00EF746B" w14:paraId="44F848F4"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CAEAF8"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Eptinezumab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A5016F"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100mg</w:t>
                  </w:r>
                </w:p>
                <w:p w14:paraId="0434FB42"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300mg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97D715"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Every three months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23451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Intravenous infusion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1ED5AF"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(16)</w:t>
                  </w:r>
                </w:p>
              </w:tc>
            </w:tr>
            <w:tr w:rsidR="00CD4122" w:rsidRPr="00EF746B" w14:paraId="60E3142E"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13A331"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Galcanezumab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684D85"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120mg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729C11"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Once monthly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DA0D3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subcutaneous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3A0BCA"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(17)</w:t>
                  </w:r>
                </w:p>
              </w:tc>
            </w:tr>
            <w:tr w:rsidR="00CD4122" w:rsidRPr="00EF746B" w14:paraId="4D0CC5B3"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8A13B6"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Erenumab</w:t>
                  </w:r>
                  <w:proofErr w:type="spellEnd"/>
                </w:p>
                <w:p w14:paraId="0622EF48"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425F8D"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28mg</w:t>
                  </w:r>
                </w:p>
                <w:p w14:paraId="5E5845C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70mg</w:t>
                  </w:r>
                </w:p>
                <w:p w14:paraId="7B7A109D"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140mg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DC4CE6"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Once monthly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7EE2C1"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Subcutaneous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CDDFBA"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(18)</w:t>
                  </w:r>
                </w:p>
              </w:tc>
            </w:tr>
            <w:tr w:rsidR="00CD4122" w:rsidRPr="00EF746B" w14:paraId="7F114DDE"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0949C7" w14:textId="463B894C" w:rsidR="00CD4122" w:rsidRPr="00EF746B" w:rsidRDefault="00EF275D" w:rsidP="008B7929">
                  <w:pPr>
                    <w:spacing w:before="240"/>
                    <w:jc w:val="both"/>
                    <w:rPr>
                      <w:rFonts w:ascii="Arial" w:eastAsiaTheme="minorEastAsia" w:hAnsi="Arial" w:cs="Arial"/>
                      <w:lang w:val="en-IN" w:eastAsia="en-GB"/>
                    </w:rPr>
                  </w:pPr>
                  <w:proofErr w:type="spellStart"/>
                  <w:r>
                    <w:rPr>
                      <w:rFonts w:ascii="Arial" w:eastAsiaTheme="minorEastAsia" w:hAnsi="Arial" w:cs="Arial"/>
                      <w:color w:val="000000"/>
                      <w:lang w:val="en-IN" w:eastAsia="en-GB"/>
                    </w:rPr>
                    <w:t>Ubrogepant</w:t>
                  </w:r>
                  <w:proofErr w:type="spellEnd"/>
                  <w:r>
                    <w:rPr>
                      <w:rFonts w:ascii="Arial" w:eastAsiaTheme="minorEastAsia" w:hAnsi="Arial" w:cs="Arial"/>
                      <w:color w:val="000000"/>
                      <w:lang w:val="en-IN" w:eastAsia="en-GB"/>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604AC2"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50mg</w:t>
                  </w:r>
                </w:p>
                <w:p w14:paraId="1A20CADF"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100mg</w:t>
                  </w:r>
                </w:p>
                <w:p w14:paraId="7713910B"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Max dose/day 200mg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B05080"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As needed</w:t>
                  </w:r>
                </w:p>
                <w:p w14:paraId="3B0D21E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Can repeat after 2 hrs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DB82BA"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Orally</w:t>
                  </w:r>
                </w:p>
                <w:p w14:paraId="5D32D630"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4FC743"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Acute treatment (19) </w:t>
                  </w:r>
                </w:p>
                <w:p w14:paraId="499BF4F6"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w:t>
                  </w:r>
                </w:p>
              </w:tc>
            </w:tr>
            <w:tr w:rsidR="00CD4122" w:rsidRPr="00EF746B" w14:paraId="420A4128"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E53FF3"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Rimegepant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D32252"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75mg</w:t>
                  </w:r>
                </w:p>
                <w:p w14:paraId="7CD883D8"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75mg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46F06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Once</w:t>
                  </w:r>
                </w:p>
                <w:p w14:paraId="5182624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Once every alternate day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015873"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orally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AAE3A8"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Acute</w:t>
                  </w:r>
                </w:p>
                <w:p w14:paraId="2EEC807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Prophylaxis (20)</w:t>
                  </w:r>
                </w:p>
              </w:tc>
            </w:tr>
            <w:tr w:rsidR="00CD4122" w:rsidRPr="00EF746B" w14:paraId="60362733"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727E24"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lastRenderedPageBreak/>
                    <w:t>Atogepant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5DE00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10mg</w:t>
                  </w:r>
                </w:p>
                <w:p w14:paraId="11693CAD"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30mg</w:t>
                  </w:r>
                </w:p>
                <w:p w14:paraId="0D49662F"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60mg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E1C86E"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Daily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D2F603"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Orally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34809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Prophylaxis (6)</w:t>
                  </w:r>
                </w:p>
              </w:tc>
            </w:tr>
            <w:tr w:rsidR="00CD4122" w:rsidRPr="00EF746B" w14:paraId="6F8C60A0" w14:textId="77777777" w:rsidTr="008B792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8AC385" w14:textId="77777777" w:rsidR="00CD4122" w:rsidRPr="00EF746B" w:rsidRDefault="00CD4122" w:rsidP="008B7929">
                  <w:pPr>
                    <w:spacing w:before="240"/>
                    <w:jc w:val="both"/>
                    <w:rPr>
                      <w:rFonts w:ascii="Arial" w:eastAsiaTheme="minorEastAsia" w:hAnsi="Arial" w:cs="Arial"/>
                      <w:lang w:val="en-IN" w:eastAsia="en-GB"/>
                    </w:rPr>
                  </w:pPr>
                  <w:proofErr w:type="spellStart"/>
                  <w:r w:rsidRPr="00EF746B">
                    <w:rPr>
                      <w:rFonts w:ascii="Arial" w:eastAsiaTheme="minorEastAsia" w:hAnsi="Arial" w:cs="Arial"/>
                      <w:color w:val="000000"/>
                      <w:lang w:val="en-IN" w:eastAsia="en-GB"/>
                    </w:rPr>
                    <w:t>Zavegepant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7B7FB0"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10mg</w:t>
                  </w:r>
                </w:p>
                <w:p w14:paraId="02DE4986"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         20mg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B75134"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As needed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B30239"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Intranasal spray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691662" w14:textId="77777777" w:rsidR="00CD4122" w:rsidRPr="00EF746B" w:rsidRDefault="00CD4122" w:rsidP="008B7929">
                  <w:pPr>
                    <w:spacing w:before="240"/>
                    <w:jc w:val="both"/>
                    <w:rPr>
                      <w:rFonts w:ascii="Arial" w:eastAsiaTheme="minorEastAsia" w:hAnsi="Arial" w:cs="Arial"/>
                      <w:lang w:val="en-IN" w:eastAsia="en-GB"/>
                    </w:rPr>
                  </w:pPr>
                  <w:r w:rsidRPr="00EF746B">
                    <w:rPr>
                      <w:rFonts w:ascii="Arial" w:eastAsiaTheme="minorEastAsia" w:hAnsi="Arial" w:cs="Arial"/>
                      <w:color w:val="000000"/>
                      <w:lang w:val="en-IN" w:eastAsia="en-GB"/>
                    </w:rPr>
                    <w:t>Acute (21)</w:t>
                  </w:r>
                </w:p>
              </w:tc>
            </w:tr>
          </w:tbl>
          <w:p w14:paraId="7763CEB6" w14:textId="77777777" w:rsidR="00CD4122" w:rsidRDefault="00CD4122"/>
        </w:tc>
      </w:tr>
    </w:tbl>
    <w:p w14:paraId="4B0C27F3" w14:textId="24E9F2A6" w:rsidR="00326283" w:rsidRDefault="00326283" w:rsidP="00604B51">
      <w:pPr>
        <w:pStyle w:val="p1"/>
        <w:divId w:val="697587582"/>
        <w:rPr>
          <w:rStyle w:val="s1"/>
          <w:rFonts w:ascii="Arial" w:hAnsi="Arial" w:cs="Arial"/>
          <w:sz w:val="20"/>
          <w:szCs w:val="20"/>
        </w:rPr>
      </w:pPr>
      <w:r>
        <w:rPr>
          <w:rStyle w:val="s1"/>
          <w:rFonts w:ascii="Arial" w:hAnsi="Arial" w:cs="Arial"/>
          <w:sz w:val="20"/>
          <w:szCs w:val="20"/>
        </w:rPr>
        <w:lastRenderedPageBreak/>
        <w:t xml:space="preserve">Overall, </w:t>
      </w:r>
      <w:proofErr w:type="spellStart"/>
      <w:r>
        <w:rPr>
          <w:rStyle w:val="s1"/>
          <w:rFonts w:ascii="Arial" w:hAnsi="Arial" w:cs="Arial"/>
          <w:sz w:val="20"/>
          <w:szCs w:val="20"/>
        </w:rPr>
        <w:t>mAbs</w:t>
      </w:r>
      <w:proofErr w:type="spellEnd"/>
      <w:r>
        <w:rPr>
          <w:rStyle w:val="s1"/>
          <w:rFonts w:ascii="Arial" w:hAnsi="Arial" w:cs="Arial"/>
          <w:sz w:val="20"/>
          <w:szCs w:val="20"/>
        </w:rPr>
        <w:t xml:space="preserve"> like </w:t>
      </w:r>
      <w:proofErr w:type="spellStart"/>
      <w:r>
        <w:rPr>
          <w:rStyle w:val="s1"/>
          <w:rFonts w:ascii="Arial" w:hAnsi="Arial" w:cs="Arial"/>
          <w:sz w:val="20"/>
          <w:szCs w:val="20"/>
        </w:rPr>
        <w:t>erenumab</w:t>
      </w:r>
      <w:proofErr w:type="spellEnd"/>
      <w:r>
        <w:rPr>
          <w:rStyle w:val="s1"/>
          <w:rFonts w:ascii="Arial" w:hAnsi="Arial" w:cs="Arial"/>
          <w:sz w:val="20"/>
          <w:szCs w:val="20"/>
        </w:rPr>
        <w:t xml:space="preserve">, </w:t>
      </w:r>
      <w:proofErr w:type="spellStart"/>
      <w:r>
        <w:rPr>
          <w:rStyle w:val="s1"/>
          <w:rFonts w:ascii="Arial" w:hAnsi="Arial" w:cs="Arial"/>
          <w:sz w:val="20"/>
          <w:szCs w:val="20"/>
        </w:rPr>
        <w:t>fremanezumab</w:t>
      </w:r>
      <w:proofErr w:type="spellEnd"/>
      <w:r>
        <w:rPr>
          <w:rStyle w:val="s1"/>
          <w:rFonts w:ascii="Arial" w:hAnsi="Arial" w:cs="Arial"/>
          <w:sz w:val="20"/>
          <w:szCs w:val="20"/>
        </w:rPr>
        <w:t xml:space="preserve">, </w:t>
      </w:r>
      <w:proofErr w:type="spellStart"/>
      <w:r>
        <w:rPr>
          <w:rStyle w:val="s1"/>
          <w:rFonts w:ascii="Arial" w:hAnsi="Arial" w:cs="Arial"/>
          <w:sz w:val="20"/>
          <w:szCs w:val="20"/>
        </w:rPr>
        <w:t>galcanezumab</w:t>
      </w:r>
      <w:proofErr w:type="spellEnd"/>
      <w:r>
        <w:rPr>
          <w:rStyle w:val="s1"/>
          <w:rFonts w:ascii="Arial" w:hAnsi="Arial" w:cs="Arial"/>
          <w:sz w:val="20"/>
          <w:szCs w:val="20"/>
        </w:rPr>
        <w:t xml:space="preserve"> and </w:t>
      </w:r>
      <w:proofErr w:type="spellStart"/>
      <w:r w:rsidR="006313FF">
        <w:rPr>
          <w:rStyle w:val="s1"/>
          <w:rFonts w:ascii="Arial" w:hAnsi="Arial" w:cs="Arial"/>
          <w:sz w:val="20"/>
          <w:szCs w:val="20"/>
        </w:rPr>
        <w:t>eptinezumab</w:t>
      </w:r>
      <w:proofErr w:type="spellEnd"/>
      <w:r w:rsidR="006313FF">
        <w:rPr>
          <w:rStyle w:val="s1"/>
          <w:rFonts w:ascii="Arial" w:hAnsi="Arial" w:cs="Arial"/>
          <w:sz w:val="20"/>
          <w:szCs w:val="20"/>
        </w:rPr>
        <w:t xml:space="preserve"> show the strongest evidence for the prevention of migraine and consistently reduce monthly migraine days and improve patient function. </w:t>
      </w:r>
      <w:proofErr w:type="spellStart"/>
      <w:r w:rsidR="006313FF">
        <w:rPr>
          <w:rStyle w:val="s1"/>
          <w:rFonts w:ascii="Arial" w:hAnsi="Arial" w:cs="Arial"/>
          <w:sz w:val="20"/>
          <w:szCs w:val="20"/>
        </w:rPr>
        <w:t>Gepants</w:t>
      </w:r>
      <w:proofErr w:type="spellEnd"/>
      <w:r w:rsidR="006313FF">
        <w:rPr>
          <w:rStyle w:val="s1"/>
          <w:rFonts w:ascii="Arial" w:hAnsi="Arial" w:cs="Arial"/>
          <w:sz w:val="20"/>
          <w:szCs w:val="20"/>
        </w:rPr>
        <w:t xml:space="preserve"> are more effective in the acute management of attacks with </w:t>
      </w:r>
      <w:proofErr w:type="spellStart"/>
      <w:r w:rsidR="006313FF">
        <w:rPr>
          <w:rStyle w:val="s1"/>
          <w:rFonts w:ascii="Arial" w:hAnsi="Arial" w:cs="Arial"/>
          <w:sz w:val="20"/>
          <w:szCs w:val="20"/>
        </w:rPr>
        <w:t>atogepant</w:t>
      </w:r>
      <w:proofErr w:type="spellEnd"/>
      <w:r w:rsidR="006313FF">
        <w:rPr>
          <w:rStyle w:val="s1"/>
          <w:rFonts w:ascii="Arial" w:hAnsi="Arial" w:cs="Arial"/>
          <w:sz w:val="20"/>
          <w:szCs w:val="20"/>
        </w:rPr>
        <w:t xml:space="preserve"> standing out as the leading option for preventive use. </w:t>
      </w:r>
    </w:p>
    <w:p w14:paraId="71630F38" w14:textId="4A67D686" w:rsidR="00790ADA" w:rsidRPr="002601A2" w:rsidRDefault="00604B51" w:rsidP="002601A2">
      <w:pPr>
        <w:pStyle w:val="p1"/>
        <w:divId w:val="697587582"/>
        <w:rPr>
          <w:rFonts w:ascii="Arial" w:hAnsi="Arial" w:cs="Arial"/>
          <w:sz w:val="20"/>
          <w:szCs w:val="20"/>
        </w:rPr>
      </w:pPr>
      <w:r w:rsidRPr="00604B51">
        <w:rPr>
          <w:rStyle w:val="s1"/>
          <w:rFonts w:ascii="Arial" w:hAnsi="Arial" w:cs="Arial"/>
          <w:sz w:val="20"/>
          <w:szCs w:val="20"/>
        </w:rPr>
        <w:t>While dosage and route determine clinical utility, tolerability is equally critical. Therefore, we next examine the adverse effect profiles of these agents to provide a balanced view of their risk–benefit ratio.</w:t>
      </w:r>
    </w:p>
    <w:p w14:paraId="004BD3A7" w14:textId="5D114B2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A6FF1">
        <w:rPr>
          <w:rFonts w:ascii="Arial" w:hAnsi="Arial" w:cs="Arial"/>
        </w:rPr>
        <w:t xml:space="preserve">Adverse effects </w:t>
      </w:r>
    </w:p>
    <w:p w14:paraId="69743CE3" w14:textId="7F1ECCDE" w:rsidR="007517BC" w:rsidRPr="002601A2" w:rsidRDefault="007517BC" w:rsidP="009317B3">
      <w:pPr>
        <w:pStyle w:val="p1"/>
        <w:rPr>
          <w:rFonts w:ascii="Arial" w:hAnsi="Arial" w:cs="Arial"/>
          <w:sz w:val="20"/>
          <w:szCs w:val="20"/>
        </w:rPr>
      </w:pPr>
      <w:r w:rsidRPr="002601A2">
        <w:rPr>
          <w:rStyle w:val="s1"/>
          <w:rFonts w:ascii="Arial" w:hAnsi="Arial" w:cs="Arial"/>
          <w:sz w:val="20"/>
          <w:szCs w:val="20"/>
        </w:rPr>
        <w:t>Beyond dosage regimens, patient safety profiles must also be considered</w:t>
      </w:r>
      <w:r w:rsidR="00011394" w:rsidRPr="002601A2">
        <w:rPr>
          <w:rStyle w:val="s1"/>
          <w:rFonts w:ascii="Arial" w:hAnsi="Arial" w:cs="Arial"/>
          <w:sz w:val="20"/>
          <w:szCs w:val="20"/>
        </w:rPr>
        <w:t xml:space="preserve"> as they are central to the adoption of </w:t>
      </w:r>
      <w:r w:rsidR="0083100B" w:rsidRPr="002601A2">
        <w:rPr>
          <w:rStyle w:val="s1"/>
          <w:rFonts w:ascii="Arial" w:hAnsi="Arial" w:cs="Arial"/>
          <w:sz w:val="20"/>
          <w:szCs w:val="20"/>
        </w:rPr>
        <w:t xml:space="preserve">CGRP inhibitors. </w:t>
      </w:r>
      <w:r w:rsidR="009317B3" w:rsidRPr="002601A2">
        <w:rPr>
          <w:rStyle w:val="s1"/>
          <w:rFonts w:ascii="Arial" w:hAnsi="Arial" w:cs="Arial"/>
          <w:sz w:val="20"/>
          <w:szCs w:val="20"/>
        </w:rPr>
        <w:t xml:space="preserve">Adverse effects vary between </w:t>
      </w:r>
      <w:proofErr w:type="spellStart"/>
      <w:r w:rsidR="009317B3" w:rsidRPr="002601A2">
        <w:rPr>
          <w:rStyle w:val="s1"/>
          <w:rFonts w:ascii="Arial" w:hAnsi="Arial" w:cs="Arial"/>
          <w:sz w:val="20"/>
          <w:szCs w:val="20"/>
        </w:rPr>
        <w:t>mAbs</w:t>
      </w:r>
      <w:proofErr w:type="spellEnd"/>
      <w:r w:rsidR="009317B3" w:rsidRPr="002601A2">
        <w:rPr>
          <w:rStyle w:val="s1"/>
          <w:rFonts w:ascii="Arial" w:hAnsi="Arial" w:cs="Arial"/>
          <w:sz w:val="20"/>
          <w:szCs w:val="20"/>
        </w:rPr>
        <w:t xml:space="preserve"> and </w:t>
      </w:r>
      <w:proofErr w:type="spellStart"/>
      <w:r w:rsidR="009317B3" w:rsidRPr="002601A2">
        <w:rPr>
          <w:rStyle w:val="s1"/>
          <w:rFonts w:ascii="Arial" w:hAnsi="Arial" w:cs="Arial"/>
          <w:sz w:val="20"/>
          <w:szCs w:val="20"/>
        </w:rPr>
        <w:t>gepants</w:t>
      </w:r>
      <w:proofErr w:type="spellEnd"/>
      <w:r w:rsidR="009317B3" w:rsidRPr="002601A2">
        <w:rPr>
          <w:rStyle w:val="s1"/>
          <w:rFonts w:ascii="Arial" w:hAnsi="Arial" w:cs="Arial"/>
          <w:sz w:val="20"/>
          <w:szCs w:val="20"/>
        </w:rPr>
        <w:t xml:space="preserve"> and understanding this is crucial for physicians. </w:t>
      </w:r>
      <w:r w:rsidRPr="002601A2">
        <w:rPr>
          <w:rStyle w:val="s1"/>
          <w:rFonts w:ascii="Arial" w:hAnsi="Arial" w:cs="Arial"/>
          <w:sz w:val="20"/>
          <w:szCs w:val="20"/>
        </w:rPr>
        <w:t xml:space="preserve"> </w:t>
      </w:r>
    </w:p>
    <w:p w14:paraId="6A52F80C" w14:textId="77777777" w:rsidR="001835BE" w:rsidRPr="001835BE" w:rsidRDefault="001835BE" w:rsidP="00C97208">
      <w:pPr>
        <w:spacing w:before="240" w:after="240"/>
        <w:divId w:val="643315800"/>
        <w:rPr>
          <w:rFonts w:ascii="Arial" w:eastAsiaTheme="minorEastAsia" w:hAnsi="Arial" w:cs="Arial"/>
          <w:b/>
          <w:bCs/>
          <w:sz w:val="22"/>
          <w:szCs w:val="22"/>
          <w:lang w:val="en-IN" w:eastAsia="en-GB"/>
        </w:rPr>
      </w:pPr>
      <w:r w:rsidRPr="001835BE">
        <w:rPr>
          <w:rFonts w:ascii="Arial" w:eastAsiaTheme="minorEastAsia" w:hAnsi="Arial" w:cs="Arial"/>
          <w:b/>
          <w:bCs/>
          <w:color w:val="000000"/>
          <w:sz w:val="22"/>
          <w:szCs w:val="22"/>
          <w:lang w:val="en-IN" w:eastAsia="en-GB"/>
        </w:rPr>
        <w:t>3.1 Monoclonal Antibodies (mAbs)</w:t>
      </w:r>
    </w:p>
    <w:p w14:paraId="0C02C6F8" w14:textId="313579C2" w:rsidR="001835BE" w:rsidRPr="001835BE" w:rsidRDefault="001835BE" w:rsidP="001835BE">
      <w:pPr>
        <w:spacing w:before="240" w:after="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Most mAbs are well tolerated with most adverse events (AE) being mild or related to injections or infusions.</w:t>
      </w:r>
    </w:p>
    <w:p w14:paraId="17A2EF21" w14:textId="313B7588"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 a study involving 383 patients aimed at evaluating the safety and tolerability of </w:t>
      </w:r>
      <w:proofErr w:type="spellStart"/>
      <w:r w:rsidRPr="001835BE">
        <w:rPr>
          <w:rFonts w:ascii="Arial" w:eastAsiaTheme="minorEastAsia" w:hAnsi="Arial" w:cs="Arial"/>
          <w:color w:val="000000"/>
          <w:lang w:val="en-IN" w:eastAsia="en-GB"/>
        </w:rPr>
        <w:t>Erenumab</w:t>
      </w:r>
      <w:proofErr w:type="spellEnd"/>
      <w:r w:rsidRPr="001835BE">
        <w:rPr>
          <w:rFonts w:ascii="Arial" w:eastAsiaTheme="minorEastAsia" w:hAnsi="Arial" w:cs="Arial"/>
          <w:color w:val="000000"/>
          <w:lang w:val="en-IN" w:eastAsia="en-GB"/>
        </w:rPr>
        <w:t>, the most commonly reported adverse events were back pain, viral upper respiratory tract infection, sinusitis, and influenza. The majority of these AEs were mild to moderate in severity. Serious adverse events occurred at a rate of 4.2 per 100 patient years and were generally isolated incidents. Sixteen patients discontinued because of AEs like rash and depression. Additionally, other notable events like hypertension and hypersensitivity reactions were reported in the post-marketing surveillance (22).</w:t>
      </w:r>
    </w:p>
    <w:p w14:paraId="387A8982" w14:textId="73FDB774"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 a randomized study with 1890 patients, the common AEs observed with </w:t>
      </w:r>
      <w:proofErr w:type="spellStart"/>
      <w:r w:rsidRPr="001835BE">
        <w:rPr>
          <w:rFonts w:ascii="Arial" w:eastAsiaTheme="minorEastAsia" w:hAnsi="Arial" w:cs="Arial"/>
          <w:color w:val="000000"/>
          <w:lang w:val="en-IN" w:eastAsia="en-GB"/>
        </w:rPr>
        <w:t>Fremanezumab</w:t>
      </w:r>
      <w:proofErr w:type="spellEnd"/>
      <w:r w:rsidRPr="001835BE">
        <w:rPr>
          <w:rFonts w:ascii="Arial" w:eastAsiaTheme="minorEastAsia" w:hAnsi="Arial" w:cs="Arial"/>
          <w:color w:val="000000"/>
          <w:lang w:val="en-IN" w:eastAsia="en-GB"/>
        </w:rPr>
        <w:t xml:space="preserve"> were injection site reactions like erythema, rash, and pruritus. AEs leading to discontinuation occurred in 3-5% of the patients, amongst them injection site reactions and increased weight were the most common reasons for the discontinuation. Some serious AEs were reported in 5-7% of patients, such as status </w:t>
      </w:r>
      <w:proofErr w:type="spellStart"/>
      <w:r w:rsidRPr="001835BE">
        <w:rPr>
          <w:rFonts w:ascii="Arial" w:eastAsiaTheme="minorEastAsia" w:hAnsi="Arial" w:cs="Arial"/>
          <w:color w:val="000000"/>
          <w:lang w:val="en-IN" w:eastAsia="en-GB"/>
        </w:rPr>
        <w:t>migrainosus</w:t>
      </w:r>
      <w:proofErr w:type="spellEnd"/>
      <w:r w:rsidRPr="001835BE">
        <w:rPr>
          <w:rFonts w:ascii="Arial" w:eastAsiaTheme="minorEastAsia" w:hAnsi="Arial" w:cs="Arial"/>
          <w:color w:val="000000"/>
          <w:lang w:val="en-IN" w:eastAsia="en-GB"/>
        </w:rPr>
        <w:t>, basal cell carcinoma, cerebrovascular accident, malignant melanoma, osteoarthritis, and retinal tears (23).</w:t>
      </w:r>
    </w:p>
    <w:p w14:paraId="479BDD4C" w14:textId="2AE752F6"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 a research study on </w:t>
      </w:r>
      <w:proofErr w:type="spellStart"/>
      <w:r w:rsidRPr="001835BE">
        <w:rPr>
          <w:rFonts w:ascii="Arial" w:eastAsiaTheme="minorEastAsia" w:hAnsi="Arial" w:cs="Arial"/>
          <w:color w:val="000000"/>
          <w:lang w:val="en-IN" w:eastAsia="en-GB"/>
        </w:rPr>
        <w:t>Galcanezumab</w:t>
      </w:r>
      <w:proofErr w:type="spellEnd"/>
      <w:r w:rsidRPr="001835BE">
        <w:rPr>
          <w:rFonts w:ascii="Arial" w:eastAsiaTheme="minorEastAsia" w:hAnsi="Arial" w:cs="Arial"/>
          <w:color w:val="000000"/>
          <w:lang w:val="en-IN" w:eastAsia="en-GB"/>
        </w:rPr>
        <w:t xml:space="preserve">, the most common AE observed was pain at the injection site. Nasopharyngitis and upper respiratory tract infections were also reported. Less than 3% of the patients experienced serious AEs. The percentage of patients who experienced at least one AE was almost similar in both the </w:t>
      </w:r>
      <w:proofErr w:type="spellStart"/>
      <w:r w:rsidRPr="001835BE">
        <w:rPr>
          <w:rFonts w:ascii="Arial" w:eastAsiaTheme="minorEastAsia" w:hAnsi="Arial" w:cs="Arial"/>
          <w:color w:val="000000"/>
          <w:lang w:val="en-IN" w:eastAsia="en-GB"/>
        </w:rPr>
        <w:t>galcanezumab</w:t>
      </w:r>
      <w:proofErr w:type="spellEnd"/>
      <w:r w:rsidRPr="001835BE">
        <w:rPr>
          <w:rFonts w:ascii="Arial" w:eastAsiaTheme="minorEastAsia" w:hAnsi="Arial" w:cs="Arial"/>
          <w:color w:val="000000"/>
          <w:lang w:val="en-IN" w:eastAsia="en-GB"/>
        </w:rPr>
        <w:t xml:space="preserve"> and placebo groups (24).</w:t>
      </w:r>
    </w:p>
    <w:p w14:paraId="0611AA74" w14:textId="77777777" w:rsidR="003E3EB7" w:rsidRDefault="001835BE" w:rsidP="003E3EB7">
      <w:pPr>
        <w:spacing w:before="240"/>
        <w:divId w:val="643315800"/>
        <w:rPr>
          <w:rFonts w:ascii="Arial" w:eastAsiaTheme="minorEastAsia" w:hAnsi="Arial" w:cs="Arial"/>
          <w:color w:val="000000"/>
          <w:lang w:val="en-IN" w:eastAsia="en-GB"/>
        </w:rPr>
      </w:pPr>
      <w:r w:rsidRPr="001835BE">
        <w:rPr>
          <w:rFonts w:ascii="Arial" w:eastAsiaTheme="minorEastAsia" w:hAnsi="Arial" w:cs="Arial"/>
          <w:color w:val="000000"/>
          <w:lang w:val="en-IN" w:eastAsia="en-GB"/>
        </w:rPr>
        <w:lastRenderedPageBreak/>
        <w:t xml:space="preserve">In a pooled study analysis of 5 clinical trials on </w:t>
      </w:r>
      <w:proofErr w:type="spellStart"/>
      <w:r w:rsidRPr="001835BE">
        <w:rPr>
          <w:rFonts w:ascii="Arial" w:eastAsiaTheme="minorEastAsia" w:hAnsi="Arial" w:cs="Arial"/>
          <w:color w:val="000000"/>
          <w:lang w:val="en-IN" w:eastAsia="en-GB"/>
        </w:rPr>
        <w:t>Eptinezumab</w:t>
      </w:r>
      <w:proofErr w:type="spellEnd"/>
      <w:r w:rsidRPr="001835BE">
        <w:rPr>
          <w:rFonts w:ascii="Arial" w:eastAsiaTheme="minorEastAsia" w:hAnsi="Arial" w:cs="Arial"/>
          <w:color w:val="000000"/>
          <w:lang w:val="en-IN" w:eastAsia="en-GB"/>
        </w:rPr>
        <w:t>, comprising of 2867 adults with migraine, the most common AE was nasopharyngitis which occurred in 2% of patients. There were Infusion site reactions reported in 1.3% of the patients which led to infusion interruption in 0.9%. Hypersensitivity reactions like urticaria, flushing, rash, and pruritus were also observed in the study, most of which resolved in a day (25).</w:t>
      </w:r>
    </w:p>
    <w:p w14:paraId="41D1889F" w14:textId="2D83A81C" w:rsidR="003E3EB7" w:rsidRPr="003E3EB7" w:rsidRDefault="003E3EB7" w:rsidP="00C97208">
      <w:pPr>
        <w:spacing w:before="240"/>
        <w:divId w:val="643315800"/>
        <w:rPr>
          <w:rFonts w:ascii="Arial" w:eastAsiaTheme="minorEastAsia" w:hAnsi="Arial" w:cs="Arial"/>
          <w:color w:val="000000"/>
          <w:lang w:val="en-IN" w:eastAsia="en-GB"/>
        </w:rPr>
      </w:pPr>
      <w:r>
        <w:rPr>
          <w:rStyle w:val="s1"/>
        </w:rPr>
        <w:t xml:space="preserve">While mAbs are generally associated with localized and mild reactions, </w:t>
      </w:r>
      <w:proofErr w:type="spellStart"/>
      <w:r>
        <w:rPr>
          <w:rStyle w:val="s1"/>
        </w:rPr>
        <w:t>gepants</w:t>
      </w:r>
      <w:proofErr w:type="spellEnd"/>
      <w:r>
        <w:rPr>
          <w:rStyle w:val="s1"/>
        </w:rPr>
        <w:t xml:space="preserve"> present a distinct spectrum of adverse effects, particularly gastrointestinal and neurological, reflecting their different mechanisms and administration routes.</w:t>
      </w:r>
    </w:p>
    <w:p w14:paraId="320D6479" w14:textId="3443AC3E" w:rsidR="001835BE" w:rsidRPr="001835BE" w:rsidRDefault="001835BE" w:rsidP="00C97208">
      <w:pPr>
        <w:spacing w:before="240"/>
        <w:divId w:val="643315800"/>
        <w:rPr>
          <w:rFonts w:ascii="Arial" w:eastAsiaTheme="minorEastAsia" w:hAnsi="Arial" w:cs="Arial"/>
          <w:b/>
          <w:bCs/>
          <w:sz w:val="22"/>
          <w:szCs w:val="22"/>
          <w:lang w:val="en-IN" w:eastAsia="en-GB"/>
        </w:rPr>
      </w:pPr>
      <w:r w:rsidRPr="001835BE">
        <w:rPr>
          <w:rFonts w:ascii="Arial" w:eastAsiaTheme="minorEastAsia" w:hAnsi="Arial" w:cs="Arial"/>
          <w:b/>
          <w:bCs/>
          <w:color w:val="000000"/>
          <w:sz w:val="22"/>
          <w:szCs w:val="22"/>
          <w:lang w:val="en-IN" w:eastAsia="en-GB"/>
        </w:rPr>
        <w:t xml:space="preserve">3.2 </w:t>
      </w:r>
      <w:proofErr w:type="spellStart"/>
      <w:r w:rsidRPr="001835BE">
        <w:rPr>
          <w:rFonts w:ascii="Arial" w:eastAsiaTheme="minorEastAsia" w:hAnsi="Arial" w:cs="Arial"/>
          <w:b/>
          <w:bCs/>
          <w:color w:val="000000"/>
          <w:sz w:val="22"/>
          <w:szCs w:val="22"/>
          <w:lang w:val="en-IN" w:eastAsia="en-GB"/>
        </w:rPr>
        <w:t>Gepants</w:t>
      </w:r>
      <w:proofErr w:type="spellEnd"/>
    </w:p>
    <w:p w14:paraId="5AA14FCC" w14:textId="40D08779" w:rsidR="001835BE" w:rsidRPr="001835BE" w:rsidRDefault="001835BE" w:rsidP="001835BE">
      <w:pPr>
        <w:spacing w:before="240"/>
        <w:divId w:val="64331580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Gepants</w:t>
      </w:r>
      <w:proofErr w:type="spellEnd"/>
      <w:r w:rsidRPr="001835BE">
        <w:rPr>
          <w:rFonts w:ascii="Arial" w:eastAsiaTheme="minorEastAsia" w:hAnsi="Arial" w:cs="Arial"/>
          <w:color w:val="000000"/>
          <w:lang w:val="en-IN" w:eastAsia="en-GB"/>
        </w:rPr>
        <w:t xml:space="preserve"> are associated with a wide range of adverse effects affecting multiple organ systems, mostly gastrointestinal or neurological. Gastrointestinal AEs were most common among all </w:t>
      </w:r>
      <w:proofErr w:type="spellStart"/>
      <w:r w:rsidRPr="001835BE">
        <w:rPr>
          <w:rFonts w:ascii="Arial" w:eastAsiaTheme="minorEastAsia" w:hAnsi="Arial" w:cs="Arial"/>
          <w:color w:val="000000"/>
          <w:lang w:val="en-IN" w:eastAsia="en-GB"/>
        </w:rPr>
        <w:t>gepants</w:t>
      </w:r>
      <w:proofErr w:type="spellEnd"/>
      <w:r w:rsidRPr="001835BE">
        <w:rPr>
          <w:rFonts w:ascii="Arial" w:eastAsiaTheme="minorEastAsia" w:hAnsi="Arial" w:cs="Arial"/>
          <w:color w:val="000000"/>
          <w:lang w:val="en-IN" w:eastAsia="en-GB"/>
        </w:rPr>
        <w:t xml:space="preserve"> with nausea, vomiting, constipation, abdominal pain and abdominal discomfort and diarrhoea being common. Liver related AEs were uncommon. Neurological AEs such as insomnia, dizziness, abnormal dreams, brain fog and anxiety. Each </w:t>
      </w:r>
      <w:proofErr w:type="spellStart"/>
      <w:r w:rsidRPr="001835BE">
        <w:rPr>
          <w:rFonts w:ascii="Arial" w:eastAsiaTheme="minorEastAsia" w:hAnsi="Arial" w:cs="Arial"/>
          <w:color w:val="000000"/>
          <w:lang w:val="en-IN" w:eastAsia="en-GB"/>
        </w:rPr>
        <w:t>gepant</w:t>
      </w:r>
      <w:proofErr w:type="spellEnd"/>
      <w:r w:rsidRPr="001835BE">
        <w:rPr>
          <w:rFonts w:ascii="Arial" w:eastAsiaTheme="minorEastAsia" w:hAnsi="Arial" w:cs="Arial"/>
          <w:color w:val="000000"/>
          <w:lang w:val="en-IN" w:eastAsia="en-GB"/>
        </w:rPr>
        <w:t xml:space="preserve"> demonstrates distinct adverse event profiles that should guide individualized treatment selection:</w:t>
      </w:r>
    </w:p>
    <w:p w14:paraId="1DE71589" w14:textId="4A3EFD9E" w:rsidR="001835BE" w:rsidRPr="00FB3175" w:rsidRDefault="001835BE" w:rsidP="00FB3175">
      <w:pPr>
        <w:pStyle w:val="ListParagraph"/>
        <w:numPr>
          <w:ilvl w:val="0"/>
          <w:numId w:val="32"/>
        </w:numPr>
        <w:spacing w:before="240"/>
        <w:divId w:val="643315800"/>
        <w:rPr>
          <w:rFonts w:ascii="Arial" w:eastAsiaTheme="minorEastAsia" w:hAnsi="Arial" w:cs="Arial"/>
          <w:lang w:val="en-IN" w:eastAsia="en-GB"/>
        </w:rPr>
      </w:pPr>
      <w:proofErr w:type="spellStart"/>
      <w:r w:rsidRPr="009666D5">
        <w:rPr>
          <w:rFonts w:ascii="Arial" w:eastAsiaTheme="minorEastAsia" w:hAnsi="Arial" w:cs="Arial"/>
          <w:color w:val="000000"/>
          <w:lang w:val="en-IN" w:eastAsia="en-GB"/>
        </w:rPr>
        <w:t>Rimegepant</w:t>
      </w:r>
      <w:proofErr w:type="spellEnd"/>
      <w:r w:rsidRPr="009666D5">
        <w:rPr>
          <w:rFonts w:ascii="Arial" w:eastAsiaTheme="minorEastAsia" w:hAnsi="Arial" w:cs="Arial"/>
          <w:color w:val="000000"/>
          <w:lang w:val="en-IN" w:eastAsia="en-GB"/>
        </w:rPr>
        <w:t>: Highest overall adverse event signals, prominent gastrointestinal and oral effects, skin reactions, and Raynaud’s phenomenon. Strong association with nausea and vomiting. Rash, pruritus and alopecia along with oral AEs like tongue discomfort, paraesthesia and swollen tongue were particularly common.</w:t>
      </w:r>
    </w:p>
    <w:p w14:paraId="28BDC1D0" w14:textId="274094D7" w:rsidR="001835BE" w:rsidRPr="00FB3175" w:rsidRDefault="001835BE" w:rsidP="00FB3175">
      <w:pPr>
        <w:pStyle w:val="ListParagraph"/>
        <w:numPr>
          <w:ilvl w:val="0"/>
          <w:numId w:val="32"/>
        </w:numPr>
        <w:spacing w:before="240"/>
        <w:divId w:val="643315800"/>
        <w:rPr>
          <w:rFonts w:ascii="Arial" w:eastAsiaTheme="minorEastAsia" w:hAnsi="Arial" w:cs="Arial"/>
          <w:lang w:val="en-IN" w:eastAsia="en-GB"/>
        </w:rPr>
      </w:pPr>
      <w:proofErr w:type="spellStart"/>
      <w:r w:rsidRPr="009666D5">
        <w:rPr>
          <w:rFonts w:ascii="Arial" w:eastAsiaTheme="minorEastAsia" w:hAnsi="Arial" w:cs="Arial"/>
          <w:color w:val="000000"/>
          <w:lang w:val="en-IN" w:eastAsia="en-GB"/>
        </w:rPr>
        <w:t>U</w:t>
      </w:r>
      <w:r w:rsidR="00E52FFF">
        <w:rPr>
          <w:rFonts w:ascii="Arial" w:eastAsiaTheme="minorEastAsia" w:hAnsi="Arial" w:cs="Arial"/>
          <w:color w:val="000000"/>
          <w:lang w:val="en-IN" w:eastAsia="en-GB"/>
        </w:rPr>
        <w:t>br</w:t>
      </w:r>
      <w:r w:rsidRPr="009666D5">
        <w:rPr>
          <w:rFonts w:ascii="Arial" w:eastAsiaTheme="minorEastAsia" w:hAnsi="Arial" w:cs="Arial"/>
          <w:color w:val="000000"/>
          <w:lang w:val="en-IN" w:eastAsia="en-GB"/>
        </w:rPr>
        <w:t>ogepant</w:t>
      </w:r>
      <w:proofErr w:type="spellEnd"/>
      <w:r w:rsidRPr="009666D5">
        <w:rPr>
          <w:rFonts w:ascii="Arial" w:eastAsiaTheme="minorEastAsia" w:hAnsi="Arial" w:cs="Arial"/>
          <w:color w:val="000000"/>
          <w:lang w:val="en-IN" w:eastAsia="en-GB"/>
        </w:rPr>
        <w:t xml:space="preserve"> has better GI tolerability, with more musculoskeletal AEs such as muscle tightness, neck pain and muscle spasms.</w:t>
      </w:r>
    </w:p>
    <w:p w14:paraId="12C11B83" w14:textId="77777777" w:rsidR="001835BE" w:rsidRPr="009666D5" w:rsidRDefault="001835BE" w:rsidP="009666D5">
      <w:pPr>
        <w:pStyle w:val="ListParagraph"/>
        <w:numPr>
          <w:ilvl w:val="0"/>
          <w:numId w:val="32"/>
        </w:numPr>
        <w:spacing w:before="240"/>
        <w:divId w:val="643315800"/>
        <w:rPr>
          <w:rFonts w:ascii="Arial" w:eastAsiaTheme="minorEastAsia" w:hAnsi="Arial" w:cs="Arial"/>
          <w:lang w:val="en-IN" w:eastAsia="en-GB"/>
        </w:rPr>
      </w:pPr>
      <w:proofErr w:type="spellStart"/>
      <w:r w:rsidRPr="009666D5">
        <w:rPr>
          <w:rFonts w:ascii="Arial" w:eastAsiaTheme="minorEastAsia" w:hAnsi="Arial" w:cs="Arial"/>
          <w:color w:val="000000"/>
          <w:lang w:val="en-IN" w:eastAsia="en-GB"/>
        </w:rPr>
        <w:t>Atogepant</w:t>
      </w:r>
      <w:proofErr w:type="spellEnd"/>
      <w:r w:rsidRPr="009666D5">
        <w:rPr>
          <w:rFonts w:ascii="Arial" w:eastAsiaTheme="minorEastAsia" w:hAnsi="Arial" w:cs="Arial"/>
          <w:color w:val="000000"/>
          <w:lang w:val="en-IN" w:eastAsia="en-GB"/>
        </w:rPr>
        <w:t>: Highest GI adverse event frequency, liver monitoring required and rare cardiac signals. Constipation was more commonly noted then nausea and vomiting (26).</w:t>
      </w:r>
    </w:p>
    <w:p w14:paraId="154926FE" w14:textId="77777777"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w:t>
      </w:r>
    </w:p>
    <w:p w14:paraId="164B8CF6" w14:textId="50EAFF06" w:rsidR="001835BE" w:rsidRPr="001835BE" w:rsidRDefault="001835BE" w:rsidP="001835BE">
      <w:pPr>
        <w:spacing w:before="240"/>
        <w:divId w:val="643315800"/>
        <w:rPr>
          <w:rFonts w:ascii="Arial" w:eastAsiaTheme="minorEastAsia" w:hAnsi="Arial" w:cs="Arial"/>
          <w:b/>
          <w:bCs/>
          <w:lang w:val="en-IN" w:eastAsia="en-GB"/>
        </w:rPr>
      </w:pPr>
      <w:r w:rsidRPr="001835BE">
        <w:rPr>
          <w:rFonts w:ascii="Arial" w:eastAsiaTheme="minorEastAsia" w:hAnsi="Arial" w:cs="Arial"/>
          <w:b/>
          <w:bCs/>
          <w:color w:val="000000"/>
          <w:lang w:val="en-IN" w:eastAsia="en-GB"/>
        </w:rPr>
        <w:t>Table 2:</w:t>
      </w:r>
      <w:r w:rsidR="009666D5" w:rsidRPr="009666D5">
        <w:rPr>
          <w:rFonts w:ascii="Arial" w:eastAsiaTheme="minorEastAsia" w:hAnsi="Arial" w:cs="Arial"/>
          <w:b/>
          <w:bCs/>
          <w:lang w:val="en-IN" w:eastAsia="en-GB"/>
        </w:rPr>
        <w:t xml:space="preserve"> </w:t>
      </w:r>
      <w:r w:rsidRPr="001835BE">
        <w:rPr>
          <w:rFonts w:ascii="Arial" w:eastAsiaTheme="minorEastAsia" w:hAnsi="Arial" w:cs="Arial"/>
          <w:b/>
          <w:bCs/>
          <w:color w:val="000000"/>
          <w:lang w:val="en-IN" w:eastAsia="en-GB"/>
        </w:rPr>
        <w:t>Common side effects of CGRP inhibitors</w:t>
      </w:r>
    </w:p>
    <w:p w14:paraId="6B6B6FD6" w14:textId="77777777" w:rsidR="001835BE" w:rsidRPr="001835BE" w:rsidRDefault="001835BE" w:rsidP="001835BE">
      <w:pPr>
        <w:spacing w:before="240"/>
        <w:divId w:val="643315800"/>
        <w:rPr>
          <w:rFonts w:ascii="Arial" w:eastAsiaTheme="minorEastAsia" w:hAnsi="Arial" w:cs="Arial"/>
          <w:lang w:val="en-IN" w:eastAsia="en-GB"/>
        </w:rPr>
      </w:pPr>
      <w:r w:rsidRPr="001835BE">
        <w:rPr>
          <w:rFonts w:ascii="Arial" w:eastAsiaTheme="minorEastAsia" w:hAnsi="Arial" w:cs="Arial"/>
          <w:color w:val="000000"/>
          <w:lang w:val="en-IN"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1326"/>
        <w:gridCol w:w="1601"/>
        <w:gridCol w:w="2761"/>
        <w:gridCol w:w="2500"/>
      </w:tblGrid>
      <w:tr w:rsidR="001835BE" w:rsidRPr="001835BE" w14:paraId="5688CD3B"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E66F8"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CLASS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10619"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DRUG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3A3EE"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COMMON SIDE EFFECTS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4B9CD"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SERIOUS SIDE EFFECTS</w:t>
            </w:r>
          </w:p>
        </w:tc>
      </w:tr>
      <w:tr w:rsidR="001835BE" w:rsidRPr="001835BE" w14:paraId="4A8373C4"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62F84"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Monoclonal Antibodies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9C80D"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Erenumab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C602E"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Viral upper respiratory tract </w:t>
            </w:r>
            <w:proofErr w:type="gramStart"/>
            <w:r w:rsidRPr="001835BE">
              <w:rPr>
                <w:rFonts w:ascii="Arial" w:eastAsiaTheme="minorEastAsia" w:hAnsi="Arial" w:cs="Arial"/>
                <w:color w:val="000000"/>
                <w:lang w:val="en-IN" w:eastAsia="en-GB"/>
              </w:rPr>
              <w:t>infection,Sinusitis</w:t>
            </w:r>
            <w:proofErr w:type="gramEnd"/>
            <w:r w:rsidRPr="001835BE">
              <w:rPr>
                <w:rFonts w:ascii="Arial" w:eastAsiaTheme="minorEastAsia" w:hAnsi="Arial" w:cs="Arial"/>
                <w:color w:val="000000"/>
                <w:lang w:val="en-IN" w:eastAsia="en-GB"/>
              </w:rPr>
              <w:t xml:space="preserve"> ,Influenza,Back pain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2AD29"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Rash, Depression,</w:t>
            </w:r>
          </w:p>
          <w:p w14:paraId="0C49DFAE"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Hypertension,</w:t>
            </w:r>
          </w:p>
          <w:p w14:paraId="0916CB57"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Hypersensitivity reactions</w:t>
            </w:r>
          </w:p>
        </w:tc>
      </w:tr>
      <w:tr w:rsidR="001835BE" w:rsidRPr="001835BE" w14:paraId="2F243DD5"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CF1A8" w14:textId="77777777" w:rsidR="001835BE" w:rsidRPr="001835BE" w:rsidRDefault="001835BE" w:rsidP="001835BE">
            <w:pPr>
              <w:rPr>
                <w:rFonts w:ascii="Arial" w:hAnsi="Arial" w:cs="Arial"/>
                <w:lang w:val="en-IN"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F9080"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Fremanezumab</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74981"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Injection site reactions </w:t>
            </w:r>
            <w:proofErr w:type="gramStart"/>
            <w:r w:rsidRPr="001835BE">
              <w:rPr>
                <w:rFonts w:ascii="Arial" w:eastAsiaTheme="minorEastAsia" w:hAnsi="Arial" w:cs="Arial"/>
                <w:color w:val="000000"/>
                <w:lang w:val="en-IN" w:eastAsia="en-GB"/>
              </w:rPr>
              <w:t>( Rash</w:t>
            </w:r>
            <w:proofErr w:type="gramEnd"/>
            <w:r w:rsidRPr="001835BE">
              <w:rPr>
                <w:rFonts w:ascii="Arial" w:eastAsiaTheme="minorEastAsia" w:hAnsi="Arial" w:cs="Arial"/>
                <w:color w:val="000000"/>
                <w:lang w:val="en-IN" w:eastAsia="en-GB"/>
              </w:rPr>
              <w:t>, Erythema, Swelling,Pruritus)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BACE3"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Pneumonia, </w:t>
            </w:r>
            <w:proofErr w:type="gramStart"/>
            <w:r w:rsidRPr="001835BE">
              <w:rPr>
                <w:rFonts w:ascii="Arial" w:eastAsiaTheme="minorEastAsia" w:hAnsi="Arial" w:cs="Arial"/>
                <w:color w:val="000000"/>
                <w:lang w:val="en-IN" w:eastAsia="en-GB"/>
              </w:rPr>
              <w:t>Dehydration ,</w:t>
            </w:r>
            <w:proofErr w:type="gramEnd"/>
            <w:r w:rsidRPr="001835BE">
              <w:rPr>
                <w:rFonts w:ascii="Arial" w:eastAsiaTheme="minorEastAsia" w:hAnsi="Arial" w:cs="Arial"/>
                <w:color w:val="000000"/>
                <w:lang w:val="en-IN" w:eastAsia="en-GB"/>
              </w:rPr>
              <w:t xml:space="preserve"> Suicidal ideation, Fibromyalgia , Papillary thyroid carcinoma, Transient global amnesia</w:t>
            </w:r>
          </w:p>
        </w:tc>
      </w:tr>
      <w:tr w:rsidR="001835BE" w:rsidRPr="001835BE" w14:paraId="6011B504"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4E528" w14:textId="77777777" w:rsidR="001835BE" w:rsidRPr="001835BE" w:rsidRDefault="001835BE" w:rsidP="001835BE">
            <w:pPr>
              <w:rPr>
                <w:rFonts w:ascii="Arial" w:hAnsi="Arial" w:cs="Arial"/>
                <w:lang w:val="en-IN"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7F2AA"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Galcanezumab</w:t>
            </w:r>
            <w:proofErr w:type="spellEnd"/>
            <w:r w:rsidRPr="001835BE">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55A5E"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Injection site pain, Nasopharyngitis, Upper respiratory tract infections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8B697" w14:textId="4244BC03" w:rsidR="001835BE" w:rsidRPr="001835BE" w:rsidRDefault="006269A5" w:rsidP="001835BE">
            <w:pPr>
              <w:rPr>
                <w:rFonts w:ascii="Arial" w:hAnsi="Arial" w:cs="Arial"/>
                <w:lang w:val="en-IN" w:eastAsia="en-GB"/>
              </w:rPr>
            </w:pPr>
            <w:r>
              <w:rPr>
                <w:rFonts w:ascii="Arial" w:hAnsi="Arial" w:cs="Arial"/>
                <w:lang w:val="en-IN" w:eastAsia="en-GB"/>
              </w:rPr>
              <w:t xml:space="preserve">Raynaud’s phenomenon, serious </w:t>
            </w:r>
            <w:r w:rsidR="00542F19">
              <w:rPr>
                <w:rFonts w:ascii="Arial" w:hAnsi="Arial" w:cs="Arial"/>
                <w:lang w:val="en-IN" w:eastAsia="en-GB"/>
              </w:rPr>
              <w:t xml:space="preserve">allergic reactions </w:t>
            </w:r>
          </w:p>
        </w:tc>
      </w:tr>
      <w:tr w:rsidR="001835BE" w:rsidRPr="001835BE" w14:paraId="1BC3D46E"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A4574" w14:textId="77777777" w:rsidR="001835BE" w:rsidRPr="001835BE" w:rsidRDefault="001835BE" w:rsidP="001835BE">
            <w:pPr>
              <w:rPr>
                <w:rFonts w:ascii="Arial" w:hAnsi="Arial" w:cs="Arial"/>
                <w:lang w:val="en-IN"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7354D"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Eptinezumab</w:t>
            </w:r>
            <w:proofErr w:type="spellEnd"/>
            <w:r w:rsidRPr="001835BE">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4B3BA"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Nasopharyngitis, infusion site reactions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F9781"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Hypersensitivity reactions</w:t>
            </w:r>
          </w:p>
        </w:tc>
      </w:tr>
      <w:tr w:rsidR="001835BE" w:rsidRPr="001835BE" w14:paraId="414D4E2B"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94C03"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Gepants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5F6F0"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Rimegepant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F4BF3"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Nausea and vomiting, rash, pruritus and alopecia along with oral AEs like tongue discomfort, paraesthesia and swollen tongue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17F4C"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Skin reactions, and Raynaud’s phenomenon</w:t>
            </w:r>
          </w:p>
        </w:tc>
      </w:tr>
      <w:tr w:rsidR="001835BE" w:rsidRPr="001835BE" w14:paraId="6484EE4C"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C8D01"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A40D8" w14:textId="6E829530" w:rsidR="001835BE" w:rsidRPr="001835BE" w:rsidRDefault="00E55863" w:rsidP="001835BE">
            <w:pPr>
              <w:spacing w:before="240"/>
              <w:rPr>
                <w:rFonts w:ascii="Arial" w:eastAsiaTheme="minorEastAsia" w:hAnsi="Arial" w:cs="Arial"/>
                <w:lang w:val="en-IN" w:eastAsia="en-GB"/>
              </w:rPr>
            </w:pPr>
            <w:proofErr w:type="spellStart"/>
            <w:r>
              <w:rPr>
                <w:rFonts w:ascii="Arial" w:eastAsiaTheme="minorEastAsia" w:hAnsi="Arial" w:cs="Arial"/>
                <w:color w:val="000000"/>
                <w:lang w:val="en-IN" w:eastAsia="en-GB"/>
              </w:rPr>
              <w:t>Ubrogepant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6845F"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Muscle tightness, neck pain and muscle spasms.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10B8D"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w:t>
            </w:r>
          </w:p>
        </w:tc>
      </w:tr>
      <w:tr w:rsidR="001835BE" w:rsidRPr="001835BE" w14:paraId="34442D82" w14:textId="77777777">
        <w:trPr>
          <w:divId w:val="643315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6BDCA"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BC29B" w14:textId="77777777" w:rsidR="001835BE" w:rsidRPr="001835BE" w:rsidRDefault="001835BE" w:rsidP="001835BE">
            <w:pPr>
              <w:spacing w:before="240"/>
              <w:rPr>
                <w:rFonts w:ascii="Arial" w:eastAsiaTheme="minorEastAsia" w:hAnsi="Arial" w:cs="Arial"/>
                <w:lang w:val="en-IN" w:eastAsia="en-GB"/>
              </w:rPr>
            </w:pPr>
            <w:proofErr w:type="spellStart"/>
            <w:r w:rsidRPr="001835BE">
              <w:rPr>
                <w:rFonts w:ascii="Arial" w:eastAsiaTheme="minorEastAsia" w:hAnsi="Arial" w:cs="Arial"/>
                <w:color w:val="000000"/>
                <w:lang w:val="en-IN" w:eastAsia="en-GB"/>
              </w:rPr>
              <w:t>Atogepant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56E15"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GI adverse events common (constipation), liver function may be affected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CD0D3" w14:textId="77777777" w:rsidR="001835BE" w:rsidRPr="001835BE" w:rsidRDefault="001835BE" w:rsidP="001835BE">
            <w:pPr>
              <w:spacing w:before="240"/>
              <w:rPr>
                <w:rFonts w:ascii="Arial" w:eastAsiaTheme="minorEastAsia" w:hAnsi="Arial" w:cs="Arial"/>
                <w:lang w:val="en-IN" w:eastAsia="en-GB"/>
              </w:rPr>
            </w:pPr>
            <w:r w:rsidRPr="001835BE">
              <w:rPr>
                <w:rFonts w:ascii="Arial" w:eastAsiaTheme="minorEastAsia" w:hAnsi="Arial" w:cs="Arial"/>
                <w:color w:val="000000"/>
                <w:lang w:val="en-IN" w:eastAsia="en-GB"/>
              </w:rPr>
              <w:t xml:space="preserve">Tachycardia, </w:t>
            </w:r>
            <w:proofErr w:type="gramStart"/>
            <w:r w:rsidRPr="001835BE">
              <w:rPr>
                <w:rFonts w:ascii="Arial" w:eastAsiaTheme="minorEastAsia" w:hAnsi="Arial" w:cs="Arial"/>
                <w:color w:val="000000"/>
                <w:lang w:val="en-IN" w:eastAsia="en-GB"/>
              </w:rPr>
              <w:t>other</w:t>
            </w:r>
            <w:proofErr w:type="gramEnd"/>
            <w:r w:rsidRPr="001835BE">
              <w:rPr>
                <w:rFonts w:ascii="Arial" w:eastAsiaTheme="minorEastAsia" w:hAnsi="Arial" w:cs="Arial"/>
                <w:color w:val="000000"/>
                <w:lang w:val="en-IN" w:eastAsia="en-GB"/>
              </w:rPr>
              <w:t xml:space="preserve"> CVS</w:t>
            </w:r>
          </w:p>
        </w:tc>
      </w:tr>
    </w:tbl>
    <w:p w14:paraId="5EBC132E" w14:textId="0B5309FA" w:rsidR="00790ADA" w:rsidRPr="00AD3F36" w:rsidRDefault="00AD3F36" w:rsidP="00AD3F36">
      <w:pPr>
        <w:pStyle w:val="p1"/>
        <w:divId w:val="745421374"/>
        <w:rPr>
          <w:rFonts w:ascii="Arial" w:hAnsi="Arial" w:cs="Arial"/>
          <w:sz w:val="20"/>
          <w:szCs w:val="20"/>
        </w:rPr>
      </w:pPr>
      <w:r w:rsidRPr="00AD3F36">
        <w:rPr>
          <w:rStyle w:val="s1"/>
          <w:rFonts w:ascii="Arial" w:hAnsi="Arial" w:cs="Arial"/>
          <w:sz w:val="20"/>
          <w:szCs w:val="20"/>
        </w:rPr>
        <w:t>Taken together, dosage strategies and tolerability profiles demonstrate that therapy selection must weigh both efficacy and patient safety, underscoring the importance of individualized treatment planning.</w:t>
      </w:r>
    </w:p>
    <w:p w14:paraId="7038C3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A74899C" w14:textId="1395EC1C" w:rsidR="00325959" w:rsidRPr="00325959" w:rsidRDefault="00325959">
      <w:pPr>
        <w:pStyle w:val="NormalWeb"/>
        <w:spacing w:before="240" w:beforeAutospacing="0" w:after="0" w:afterAutospacing="0"/>
        <w:divId w:val="856580456"/>
        <w:rPr>
          <w:rFonts w:ascii="Arial" w:hAnsi="Arial" w:cs="Arial"/>
          <w:sz w:val="20"/>
          <w:szCs w:val="20"/>
        </w:rPr>
      </w:pPr>
      <w:r w:rsidRPr="00325959">
        <w:rPr>
          <w:rFonts w:ascii="Arial" w:hAnsi="Arial" w:cs="Arial"/>
          <w:color w:val="000000"/>
          <w:sz w:val="20"/>
          <w:szCs w:val="20"/>
        </w:rPr>
        <w:t xml:space="preserve">CGRP targeting drugs (both </w:t>
      </w:r>
      <w:proofErr w:type="spellStart"/>
      <w:r w:rsidRPr="00325959">
        <w:rPr>
          <w:rFonts w:ascii="Arial" w:hAnsi="Arial" w:cs="Arial"/>
          <w:color w:val="000000"/>
          <w:sz w:val="20"/>
          <w:szCs w:val="20"/>
        </w:rPr>
        <w:t>mAbs</w:t>
      </w:r>
      <w:proofErr w:type="spellEnd"/>
      <w:r w:rsidRPr="00325959">
        <w:rPr>
          <w:rFonts w:ascii="Arial" w:hAnsi="Arial" w:cs="Arial"/>
          <w:color w:val="000000"/>
          <w:sz w:val="20"/>
          <w:szCs w:val="20"/>
        </w:rPr>
        <w:t xml:space="preserve"> and </w:t>
      </w:r>
      <w:proofErr w:type="spellStart"/>
      <w:r w:rsidRPr="00325959">
        <w:rPr>
          <w:rFonts w:ascii="Arial" w:hAnsi="Arial" w:cs="Arial"/>
          <w:color w:val="000000"/>
          <w:sz w:val="20"/>
          <w:szCs w:val="20"/>
        </w:rPr>
        <w:t>gepants</w:t>
      </w:r>
      <w:proofErr w:type="spellEnd"/>
      <w:r w:rsidRPr="00325959">
        <w:rPr>
          <w:rFonts w:ascii="Arial" w:hAnsi="Arial" w:cs="Arial"/>
          <w:color w:val="000000"/>
          <w:sz w:val="20"/>
          <w:szCs w:val="20"/>
        </w:rPr>
        <w:t xml:space="preserve">) are generally safe and well tolerated options for both therapeutic and prophylactic treatment of migraines and represent a major advance in migraine therapy. Across numerous randomised trials, both classes have shown significant reductions in the number of monthly migraine days and other patient outcomes such as improvements in daily activities, etc. Dosing regimens for these drugs vary from once daily dosing to once monthly or quarterly, offering flexibility. While mAbs are frequently associated with injection site reactions, </w:t>
      </w:r>
      <w:proofErr w:type="spellStart"/>
      <w:r w:rsidRPr="00325959">
        <w:rPr>
          <w:rFonts w:ascii="Arial" w:hAnsi="Arial" w:cs="Arial"/>
          <w:color w:val="000000"/>
          <w:sz w:val="20"/>
          <w:szCs w:val="20"/>
        </w:rPr>
        <w:t>gepants</w:t>
      </w:r>
      <w:proofErr w:type="spellEnd"/>
      <w:r w:rsidRPr="00325959">
        <w:rPr>
          <w:rFonts w:ascii="Arial" w:hAnsi="Arial" w:cs="Arial"/>
          <w:color w:val="000000"/>
          <w:sz w:val="20"/>
          <w:szCs w:val="20"/>
        </w:rPr>
        <w:t xml:space="preserve"> more frequently have gastrointestinal or neurological side effects. Understanding the specific efficacy and safety profiles are crucial for the optimisation of individualised therapy.</w:t>
      </w:r>
    </w:p>
    <w:p w14:paraId="4B06333B" w14:textId="16E3A4B8" w:rsidR="00325959" w:rsidRPr="00325959" w:rsidRDefault="00325959">
      <w:pPr>
        <w:pStyle w:val="NormalWeb"/>
        <w:spacing w:before="240" w:beforeAutospacing="0" w:after="0" w:afterAutospacing="0"/>
        <w:divId w:val="856580456"/>
        <w:rPr>
          <w:rFonts w:ascii="Arial" w:hAnsi="Arial" w:cs="Arial"/>
          <w:sz w:val="20"/>
          <w:szCs w:val="20"/>
        </w:rPr>
      </w:pPr>
      <w:r w:rsidRPr="00325959">
        <w:rPr>
          <w:rFonts w:ascii="Arial" w:hAnsi="Arial" w:cs="Arial"/>
          <w:color w:val="000000"/>
          <w:sz w:val="20"/>
          <w:szCs w:val="20"/>
        </w:rPr>
        <w:t xml:space="preserve">However, significant important gaps in knowledge remain, with a lack of head to head comparative trials, long term safety and durability of response are too yet to be established. The first </w:t>
      </w:r>
      <w:proofErr w:type="spellStart"/>
      <w:r w:rsidRPr="00325959">
        <w:rPr>
          <w:rFonts w:ascii="Arial" w:hAnsi="Arial" w:cs="Arial"/>
          <w:color w:val="000000"/>
          <w:sz w:val="20"/>
          <w:szCs w:val="20"/>
        </w:rPr>
        <w:t>mAb</w:t>
      </w:r>
      <w:proofErr w:type="spellEnd"/>
      <w:r w:rsidRPr="00325959">
        <w:rPr>
          <w:rFonts w:ascii="Arial" w:hAnsi="Arial" w:cs="Arial"/>
          <w:color w:val="000000"/>
          <w:sz w:val="20"/>
          <w:szCs w:val="20"/>
        </w:rPr>
        <w:t xml:space="preserve"> targeting CGRP, </w:t>
      </w:r>
      <w:proofErr w:type="spellStart"/>
      <w:r w:rsidRPr="00325959">
        <w:rPr>
          <w:rFonts w:ascii="Arial" w:hAnsi="Arial" w:cs="Arial"/>
          <w:color w:val="000000"/>
          <w:sz w:val="20"/>
          <w:szCs w:val="20"/>
        </w:rPr>
        <w:t>erenumab</w:t>
      </w:r>
      <w:proofErr w:type="spellEnd"/>
      <w:r w:rsidRPr="00325959">
        <w:rPr>
          <w:rFonts w:ascii="Arial" w:hAnsi="Arial" w:cs="Arial"/>
          <w:color w:val="000000"/>
          <w:sz w:val="20"/>
          <w:szCs w:val="20"/>
        </w:rPr>
        <w:t xml:space="preserve"> (</w:t>
      </w:r>
      <w:proofErr w:type="spellStart"/>
      <w:r w:rsidRPr="00325959">
        <w:rPr>
          <w:rFonts w:ascii="Arial" w:hAnsi="Arial" w:cs="Arial"/>
          <w:color w:val="000000"/>
          <w:sz w:val="20"/>
          <w:szCs w:val="20"/>
        </w:rPr>
        <w:t>Aimovig</w:t>
      </w:r>
      <w:proofErr w:type="spellEnd"/>
      <w:r w:rsidRPr="00325959">
        <w:rPr>
          <w:rFonts w:ascii="Arial" w:hAnsi="Arial" w:cs="Arial"/>
          <w:color w:val="000000"/>
          <w:sz w:val="20"/>
          <w:szCs w:val="20"/>
        </w:rPr>
        <w:t xml:space="preserve">) was FDA approved only in 2018, with the first </w:t>
      </w:r>
      <w:proofErr w:type="spellStart"/>
      <w:r w:rsidRPr="00325959">
        <w:rPr>
          <w:rFonts w:ascii="Arial" w:hAnsi="Arial" w:cs="Arial"/>
          <w:color w:val="000000"/>
          <w:sz w:val="20"/>
          <w:szCs w:val="20"/>
        </w:rPr>
        <w:t>gepants</w:t>
      </w:r>
      <w:proofErr w:type="spellEnd"/>
      <w:r w:rsidRPr="00325959">
        <w:rPr>
          <w:rFonts w:ascii="Arial" w:hAnsi="Arial" w:cs="Arial"/>
          <w:color w:val="000000"/>
          <w:sz w:val="20"/>
          <w:szCs w:val="20"/>
        </w:rPr>
        <w:t xml:space="preserve">, </w:t>
      </w:r>
      <w:proofErr w:type="spellStart"/>
      <w:r w:rsidRPr="00325959">
        <w:rPr>
          <w:rFonts w:ascii="Arial" w:hAnsi="Arial" w:cs="Arial"/>
          <w:color w:val="000000"/>
          <w:sz w:val="20"/>
          <w:szCs w:val="20"/>
        </w:rPr>
        <w:t>ubrogepant</w:t>
      </w:r>
      <w:proofErr w:type="spellEnd"/>
      <w:r w:rsidRPr="00325959">
        <w:rPr>
          <w:rFonts w:ascii="Arial" w:hAnsi="Arial" w:cs="Arial"/>
          <w:color w:val="000000"/>
          <w:sz w:val="20"/>
          <w:szCs w:val="20"/>
        </w:rPr>
        <w:t xml:space="preserve"> approved in 2019. Questions remain with regards to optimal patient selection, potential biomarkers, and management of refractory disease or comorbidities. Further future research is necessary for comparative effectiveness, extended follow up of existing cohorts and the exploration of dual targeting or combination strategies for resistance or refractory nature of the disease.</w:t>
      </w:r>
    </w:p>
    <w:p w14:paraId="49CF566F" w14:textId="5EFF25F3" w:rsidR="00315186" w:rsidRPr="008C7319" w:rsidRDefault="00325959" w:rsidP="008C7319">
      <w:pPr>
        <w:pStyle w:val="NormalWeb"/>
        <w:spacing w:before="240" w:beforeAutospacing="0" w:after="0" w:afterAutospacing="0"/>
        <w:divId w:val="856580456"/>
        <w:rPr>
          <w:rFonts w:ascii="Arial" w:hAnsi="Arial" w:cs="Arial"/>
          <w:sz w:val="20"/>
          <w:szCs w:val="20"/>
        </w:rPr>
      </w:pPr>
      <w:r w:rsidRPr="00325959">
        <w:rPr>
          <w:rFonts w:ascii="Arial" w:hAnsi="Arial" w:cs="Arial"/>
          <w:color w:val="000000"/>
          <w:sz w:val="20"/>
          <w:szCs w:val="20"/>
        </w:rPr>
        <w:lastRenderedPageBreak/>
        <w:t>In summary, CGRP antagonists offer safe and effective options for migraine prevention with diverse dosage protocols. As longer term and comparative data become available, these agents will improve outcomes and quality of life for patients with migraines.</w:t>
      </w:r>
    </w:p>
    <w:p w14:paraId="3233B13F" w14:textId="77777777" w:rsidR="00315186" w:rsidRPr="00315186" w:rsidRDefault="00315186" w:rsidP="00441B6F"/>
    <w:p w14:paraId="04239E5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57D80DC" w14:textId="77777777" w:rsidR="00860000" w:rsidRPr="00786D36" w:rsidRDefault="00860000" w:rsidP="00441B6F">
      <w:pPr>
        <w:pStyle w:val="ReferHead"/>
        <w:spacing w:after="0"/>
        <w:jc w:val="both"/>
        <w:rPr>
          <w:rFonts w:ascii="Arial" w:hAnsi="Arial" w:cs="Arial"/>
        </w:rPr>
      </w:pPr>
    </w:p>
    <w:p w14:paraId="1AC5664B" w14:textId="54FCD100"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21F21414" w14:textId="77777777" w:rsidR="00371FB6" w:rsidRDefault="00371FB6" w:rsidP="00441B6F">
      <w:pPr>
        <w:pStyle w:val="ReferHead"/>
        <w:spacing w:after="0"/>
        <w:jc w:val="both"/>
        <w:rPr>
          <w:rFonts w:ascii="Arial" w:hAnsi="Arial" w:cs="Arial"/>
          <w:b w:val="0"/>
          <w:caps w:val="0"/>
          <w:sz w:val="20"/>
        </w:rPr>
      </w:pPr>
    </w:p>
    <w:p w14:paraId="5EF90C05"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2B192DEA" w14:textId="77777777" w:rsidR="00F63F28" w:rsidRPr="00F63F28" w:rsidRDefault="00F63F28">
      <w:pPr>
        <w:pStyle w:val="NormalWeb"/>
        <w:spacing w:before="240" w:beforeAutospacing="0" w:after="240" w:afterAutospacing="0"/>
        <w:divId w:val="1093937491"/>
        <w:rPr>
          <w:rFonts w:ascii="Arial" w:hAnsi="Arial" w:cs="Arial"/>
          <w:sz w:val="20"/>
          <w:szCs w:val="20"/>
        </w:rPr>
      </w:pPr>
      <w:proofErr w:type="spellStart"/>
      <w:r w:rsidRPr="00F63F28">
        <w:rPr>
          <w:rFonts w:ascii="Arial" w:hAnsi="Arial" w:cs="Arial"/>
          <w:color w:val="000000"/>
          <w:sz w:val="20"/>
          <w:szCs w:val="20"/>
        </w:rPr>
        <w:t>Sarabjot</w:t>
      </w:r>
      <w:proofErr w:type="spellEnd"/>
      <w:r w:rsidRPr="00F63F28">
        <w:rPr>
          <w:rFonts w:ascii="Arial" w:hAnsi="Arial" w:cs="Arial"/>
          <w:color w:val="000000"/>
          <w:sz w:val="20"/>
          <w:szCs w:val="20"/>
        </w:rPr>
        <w:t xml:space="preserve"> Singh-</w:t>
      </w:r>
      <w:proofErr w:type="spellStart"/>
      <w:r w:rsidRPr="00F63F28">
        <w:rPr>
          <w:rFonts w:ascii="Arial" w:hAnsi="Arial" w:cs="Arial"/>
          <w:color w:val="000000"/>
          <w:sz w:val="20"/>
          <w:szCs w:val="20"/>
        </w:rPr>
        <w:t>Sethi</w:t>
      </w:r>
      <w:proofErr w:type="spellEnd"/>
      <w:r w:rsidRPr="00F63F28">
        <w:rPr>
          <w:rFonts w:ascii="Arial" w:hAnsi="Arial" w:cs="Arial"/>
          <w:color w:val="000000"/>
          <w:sz w:val="20"/>
          <w:szCs w:val="20"/>
        </w:rPr>
        <w:t>-</w:t>
      </w:r>
      <w:proofErr w:type="spellStart"/>
      <w:r w:rsidRPr="00F63F28">
        <w:rPr>
          <w:rFonts w:ascii="Arial" w:hAnsi="Arial" w:cs="Arial"/>
          <w:color w:val="000000"/>
          <w:sz w:val="20"/>
          <w:szCs w:val="20"/>
        </w:rPr>
        <w:t>Makkar</w:t>
      </w:r>
      <w:proofErr w:type="spellEnd"/>
      <w:r w:rsidRPr="00F63F28">
        <w:rPr>
          <w:rFonts w:ascii="Arial" w:hAnsi="Arial" w:cs="Arial"/>
          <w:color w:val="000000"/>
          <w:sz w:val="20"/>
          <w:szCs w:val="20"/>
        </w:rPr>
        <w:t xml:space="preserve"> prepared the dosage table, and was the original conceptualiser, Leela </w:t>
      </w:r>
      <w:proofErr w:type="spellStart"/>
      <w:r w:rsidRPr="00F63F28">
        <w:rPr>
          <w:rFonts w:ascii="Arial" w:hAnsi="Arial" w:cs="Arial"/>
          <w:color w:val="000000"/>
          <w:sz w:val="20"/>
          <w:szCs w:val="20"/>
        </w:rPr>
        <w:t>Sarmada</w:t>
      </w:r>
      <w:proofErr w:type="spellEnd"/>
      <w:r w:rsidRPr="00F63F28">
        <w:rPr>
          <w:rFonts w:ascii="Arial" w:hAnsi="Arial" w:cs="Arial"/>
          <w:color w:val="000000"/>
          <w:sz w:val="20"/>
          <w:szCs w:val="20"/>
        </w:rPr>
        <w:t xml:space="preserve"> </w:t>
      </w:r>
      <w:proofErr w:type="spellStart"/>
      <w:r w:rsidRPr="00F63F28">
        <w:rPr>
          <w:rFonts w:ascii="Arial" w:hAnsi="Arial" w:cs="Arial"/>
          <w:color w:val="000000"/>
          <w:sz w:val="20"/>
          <w:szCs w:val="20"/>
        </w:rPr>
        <w:t>Gaddamanugu</w:t>
      </w:r>
      <w:proofErr w:type="spellEnd"/>
      <w:r w:rsidRPr="00F63F28">
        <w:rPr>
          <w:rFonts w:ascii="Arial" w:hAnsi="Arial" w:cs="Arial"/>
          <w:color w:val="000000"/>
          <w:sz w:val="20"/>
          <w:szCs w:val="20"/>
        </w:rPr>
        <w:t xml:space="preserve"> wrote the dosage section. Siddharth </w:t>
      </w:r>
      <w:proofErr w:type="spellStart"/>
      <w:r w:rsidRPr="00F63F28">
        <w:rPr>
          <w:rFonts w:ascii="Arial" w:hAnsi="Arial" w:cs="Arial"/>
          <w:color w:val="000000"/>
          <w:sz w:val="20"/>
          <w:szCs w:val="20"/>
        </w:rPr>
        <w:t>Thokale</w:t>
      </w:r>
      <w:proofErr w:type="spellEnd"/>
      <w:r w:rsidRPr="00F63F28">
        <w:rPr>
          <w:rFonts w:ascii="Arial" w:hAnsi="Arial" w:cs="Arial"/>
          <w:color w:val="000000"/>
          <w:sz w:val="20"/>
          <w:szCs w:val="20"/>
        </w:rPr>
        <w:t xml:space="preserve"> drafted the adverse events section. Parinita Aroori wrote the conclusion, integrated and edited the manuscript, contributed to the side effects table, and expanded the future directions section. Krishna Moparthi assisted with the introduction and background research. Sanjana </w:t>
      </w:r>
      <w:proofErr w:type="spellStart"/>
      <w:r w:rsidRPr="00F63F28">
        <w:rPr>
          <w:rFonts w:ascii="Arial" w:hAnsi="Arial" w:cs="Arial"/>
          <w:color w:val="000000"/>
          <w:sz w:val="20"/>
          <w:szCs w:val="20"/>
        </w:rPr>
        <w:t>Palakodeti</w:t>
      </w:r>
      <w:proofErr w:type="spellEnd"/>
      <w:r w:rsidRPr="00F63F28">
        <w:rPr>
          <w:rFonts w:ascii="Arial" w:hAnsi="Arial" w:cs="Arial"/>
          <w:color w:val="000000"/>
          <w:sz w:val="20"/>
          <w:szCs w:val="20"/>
        </w:rPr>
        <w:t xml:space="preserve"> contributed to the future directions section, included in the conclusion.</w:t>
      </w:r>
    </w:p>
    <w:p w14:paraId="000346B3" w14:textId="77777777" w:rsidR="00F63F28" w:rsidRPr="00F63F28" w:rsidRDefault="00F63F28">
      <w:pPr>
        <w:pStyle w:val="NormalWeb"/>
        <w:spacing w:before="240" w:beforeAutospacing="0" w:after="240" w:afterAutospacing="0"/>
        <w:divId w:val="1093937491"/>
        <w:rPr>
          <w:rFonts w:ascii="Arial" w:hAnsi="Arial" w:cs="Arial"/>
          <w:sz w:val="20"/>
          <w:szCs w:val="20"/>
        </w:rPr>
      </w:pPr>
      <w:r w:rsidRPr="00F63F28">
        <w:rPr>
          <w:rFonts w:ascii="Arial" w:hAnsi="Arial" w:cs="Arial"/>
          <w:color w:val="000000"/>
          <w:sz w:val="20"/>
          <w:szCs w:val="20"/>
        </w:rPr>
        <w:t>All authors contributed to manuscript revision, read, and approved the final version.</w:t>
      </w:r>
    </w:p>
    <w:p w14:paraId="211176E6" w14:textId="77777777" w:rsidR="002B685A" w:rsidRDefault="002B685A" w:rsidP="00441B6F">
      <w:pPr>
        <w:pStyle w:val="ReferHead"/>
        <w:spacing w:after="0"/>
        <w:jc w:val="both"/>
        <w:rPr>
          <w:rFonts w:ascii="Arial" w:hAnsi="Arial" w:cs="Arial"/>
          <w:b w:val="0"/>
          <w:caps w:val="0"/>
          <w:sz w:val="20"/>
        </w:rPr>
      </w:pPr>
    </w:p>
    <w:p w14:paraId="360B1E9C" w14:textId="603ADE6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F4398C2" w14:textId="58F9ED66" w:rsidR="001A29D8" w:rsidRPr="00A33C37" w:rsidRDefault="00A33C37" w:rsidP="00441B6F">
      <w:pPr>
        <w:pStyle w:val="ReferHead"/>
        <w:spacing w:after="0"/>
        <w:jc w:val="both"/>
        <w:rPr>
          <w:rFonts w:ascii="Arial" w:hAnsi="Arial" w:cs="Arial"/>
          <w:b w:val="0"/>
          <w:caps w:val="0"/>
          <w:sz w:val="20"/>
        </w:rPr>
      </w:pPr>
      <w:r>
        <w:rPr>
          <w:rFonts w:ascii="Arial" w:hAnsi="Arial" w:cs="Arial"/>
          <w:b w:val="0"/>
          <w:sz w:val="20"/>
        </w:rPr>
        <w:t xml:space="preserve">NOT APPLICABLE. </w:t>
      </w:r>
    </w:p>
    <w:p w14:paraId="4F481EC5" w14:textId="77777777" w:rsidR="005C784C" w:rsidRDefault="005C784C" w:rsidP="00441B6F">
      <w:pPr>
        <w:pStyle w:val="ReferHead"/>
        <w:spacing w:after="0"/>
        <w:jc w:val="both"/>
        <w:rPr>
          <w:rFonts w:ascii="Arial" w:hAnsi="Arial" w:cs="Arial"/>
          <w:b w:val="0"/>
          <w:caps w:val="0"/>
          <w:sz w:val="20"/>
        </w:rPr>
      </w:pPr>
    </w:p>
    <w:p w14:paraId="1CD152A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55D4190" w14:textId="77777777" w:rsidR="005C784C" w:rsidRPr="002B685A" w:rsidRDefault="005C784C" w:rsidP="00441B6F">
      <w:pPr>
        <w:pStyle w:val="ReferHead"/>
        <w:spacing w:after="0"/>
        <w:jc w:val="both"/>
        <w:rPr>
          <w:rFonts w:ascii="Arial" w:hAnsi="Arial" w:cs="Arial"/>
          <w:bCs/>
        </w:rPr>
      </w:pPr>
    </w:p>
    <w:p w14:paraId="050B8C8B" w14:textId="6C49AE66" w:rsidR="00860000" w:rsidRDefault="00A33C37" w:rsidP="00A33C37">
      <w:pPr>
        <w:pStyle w:val="ReferHead"/>
        <w:spacing w:after="0"/>
        <w:jc w:val="both"/>
        <w:rPr>
          <w:rFonts w:ascii="Arial" w:hAnsi="Arial" w:cs="Arial"/>
          <w:b w:val="0"/>
          <w:caps w:val="0"/>
          <w:sz w:val="20"/>
        </w:rPr>
      </w:pPr>
      <w:r>
        <w:rPr>
          <w:rFonts w:ascii="Arial" w:hAnsi="Arial" w:cs="Arial"/>
          <w:b w:val="0"/>
          <w:caps w:val="0"/>
          <w:sz w:val="20"/>
        </w:rPr>
        <w:t xml:space="preserve">Not applicable. </w:t>
      </w:r>
    </w:p>
    <w:p w14:paraId="61B46CBF" w14:textId="380801C4" w:rsidR="007710DE" w:rsidRDefault="007710DE" w:rsidP="00A33C37">
      <w:pPr>
        <w:pStyle w:val="ReferHead"/>
        <w:spacing w:after="0"/>
        <w:jc w:val="both"/>
        <w:rPr>
          <w:rFonts w:ascii="Arial" w:hAnsi="Arial" w:cs="Arial"/>
          <w:b w:val="0"/>
          <w:caps w:val="0"/>
          <w:sz w:val="20"/>
        </w:rPr>
      </w:pPr>
    </w:p>
    <w:p w14:paraId="1FD63818" w14:textId="77777777" w:rsidR="007710DE" w:rsidRDefault="007710DE" w:rsidP="007710DE">
      <w:pPr>
        <w:rPr>
          <w:rFonts w:asciiTheme="minorHAnsi" w:hAnsiTheme="minorHAnsi"/>
          <w:highlight w:val="yellow"/>
        </w:rPr>
      </w:pPr>
      <w:r>
        <w:rPr>
          <w:highlight w:val="yellow"/>
        </w:rPr>
        <w:t>Disclaimer (Artificial intelligence)</w:t>
      </w:r>
    </w:p>
    <w:p w14:paraId="7832BCEB" w14:textId="77777777" w:rsidR="007710DE" w:rsidRDefault="007710DE" w:rsidP="007710DE">
      <w:pPr>
        <w:rPr>
          <w:highlight w:val="yellow"/>
        </w:rPr>
      </w:pPr>
      <w:r>
        <w:rPr>
          <w:highlight w:val="yellow"/>
        </w:rPr>
        <w:t xml:space="preserve">Option 1: </w:t>
      </w:r>
    </w:p>
    <w:p w14:paraId="4D867928" w14:textId="77777777" w:rsidR="007710DE" w:rsidRDefault="007710DE" w:rsidP="007710D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AE2E20D" w14:textId="77777777" w:rsidR="007710DE" w:rsidRDefault="007710DE" w:rsidP="007710DE">
      <w:pPr>
        <w:rPr>
          <w:highlight w:val="yellow"/>
        </w:rPr>
      </w:pPr>
      <w:r>
        <w:rPr>
          <w:highlight w:val="yellow"/>
        </w:rPr>
        <w:t xml:space="preserve">Option 2: </w:t>
      </w:r>
    </w:p>
    <w:p w14:paraId="2D06E37E" w14:textId="77777777" w:rsidR="007710DE" w:rsidRDefault="007710DE" w:rsidP="007710D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521949" w14:textId="77777777" w:rsidR="007710DE" w:rsidRDefault="007710DE" w:rsidP="007710DE">
      <w:pPr>
        <w:rPr>
          <w:highlight w:val="yellow"/>
        </w:rPr>
      </w:pPr>
      <w:r>
        <w:rPr>
          <w:highlight w:val="yellow"/>
        </w:rPr>
        <w:t>Details of the AI usage are given below:</w:t>
      </w:r>
    </w:p>
    <w:p w14:paraId="74A0EE6B" w14:textId="77777777" w:rsidR="007710DE" w:rsidRDefault="007710DE" w:rsidP="007710DE">
      <w:pPr>
        <w:rPr>
          <w:highlight w:val="yellow"/>
        </w:rPr>
      </w:pPr>
      <w:r>
        <w:rPr>
          <w:highlight w:val="yellow"/>
        </w:rPr>
        <w:t>1.</w:t>
      </w:r>
    </w:p>
    <w:p w14:paraId="5CE76419" w14:textId="77777777" w:rsidR="007710DE" w:rsidRDefault="007710DE" w:rsidP="007710DE">
      <w:pPr>
        <w:rPr>
          <w:highlight w:val="yellow"/>
        </w:rPr>
      </w:pPr>
      <w:r>
        <w:rPr>
          <w:highlight w:val="yellow"/>
        </w:rPr>
        <w:t>2.</w:t>
      </w:r>
    </w:p>
    <w:p w14:paraId="33F7FC35" w14:textId="77777777" w:rsidR="007710DE" w:rsidRDefault="007710DE" w:rsidP="007710DE">
      <w:r>
        <w:rPr>
          <w:highlight w:val="yellow"/>
        </w:rPr>
        <w:t>3.</w:t>
      </w:r>
    </w:p>
    <w:p w14:paraId="26389478" w14:textId="77777777" w:rsidR="007710DE" w:rsidRDefault="007710DE" w:rsidP="00A33C37">
      <w:pPr>
        <w:pStyle w:val="ReferHead"/>
        <w:spacing w:after="0"/>
        <w:jc w:val="both"/>
        <w:rPr>
          <w:rFonts w:ascii="Arial" w:hAnsi="Arial" w:cs="Arial"/>
          <w:b w:val="0"/>
          <w:caps w:val="0"/>
          <w:sz w:val="20"/>
        </w:rPr>
      </w:pPr>
      <w:bookmarkStart w:id="0" w:name="_GoBack"/>
      <w:bookmarkEnd w:id="0"/>
    </w:p>
    <w:p w14:paraId="09E9B1D6" w14:textId="77777777" w:rsidR="00A33C37" w:rsidRDefault="00A33C37" w:rsidP="00A33C37">
      <w:pPr>
        <w:pStyle w:val="ReferHead"/>
        <w:spacing w:after="0"/>
        <w:jc w:val="both"/>
        <w:rPr>
          <w:rFonts w:ascii="Arial" w:hAnsi="Arial" w:cs="Arial"/>
        </w:rPr>
      </w:pPr>
    </w:p>
    <w:p w14:paraId="271B5D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EB63BB" w14:textId="77777777" w:rsidR="00790ADA" w:rsidRDefault="00790ADA" w:rsidP="00441B6F">
      <w:pPr>
        <w:pStyle w:val="ReferHead"/>
        <w:spacing w:after="0"/>
        <w:jc w:val="both"/>
        <w:rPr>
          <w:rFonts w:ascii="Arial" w:hAnsi="Arial" w:cs="Arial"/>
        </w:rPr>
      </w:pPr>
    </w:p>
    <w:p w14:paraId="0DD8FD82" w14:textId="77777777" w:rsidR="006C4D01" w:rsidRPr="006C4D01" w:rsidRDefault="00A8412A" w:rsidP="004861FC">
      <w:pPr>
        <w:pStyle w:val="p1"/>
        <w:numPr>
          <w:ilvl w:val="0"/>
          <w:numId w:val="33"/>
        </w:numPr>
        <w:divId w:val="585501717"/>
        <w:rPr>
          <w:rFonts w:ascii="Arial" w:hAnsi="Arial" w:cs="Arial"/>
          <w:sz w:val="20"/>
          <w:szCs w:val="20"/>
        </w:rPr>
      </w:pPr>
      <w:proofErr w:type="spellStart"/>
      <w:r w:rsidRPr="006C4D01">
        <w:rPr>
          <w:rFonts w:ascii="Arial" w:eastAsia="Times New Roman" w:hAnsi="Arial" w:cs="Arial"/>
          <w:color w:val="1B1B1B"/>
          <w:sz w:val="20"/>
          <w:szCs w:val="20"/>
          <w:shd w:val="clear" w:color="auto" w:fill="FFFFFF"/>
        </w:rPr>
        <w:t>Amiri</w:t>
      </w:r>
      <w:proofErr w:type="spellEnd"/>
      <w:r w:rsidRPr="006C4D01">
        <w:rPr>
          <w:rFonts w:ascii="Arial" w:eastAsia="Times New Roman" w:hAnsi="Arial" w:cs="Arial"/>
          <w:color w:val="1B1B1B"/>
          <w:sz w:val="20"/>
          <w:szCs w:val="20"/>
          <w:shd w:val="clear" w:color="auto" w:fill="FFFFFF"/>
        </w:rPr>
        <w:t xml:space="preserve"> P, </w:t>
      </w:r>
      <w:proofErr w:type="spellStart"/>
      <w:r w:rsidRPr="006C4D01">
        <w:rPr>
          <w:rFonts w:ascii="Arial" w:eastAsia="Times New Roman" w:hAnsi="Arial" w:cs="Arial"/>
          <w:color w:val="1B1B1B"/>
          <w:sz w:val="20"/>
          <w:szCs w:val="20"/>
          <w:shd w:val="clear" w:color="auto" w:fill="FFFFFF"/>
        </w:rPr>
        <w:t>Kazeminasab</w:t>
      </w:r>
      <w:proofErr w:type="spellEnd"/>
      <w:r w:rsidRPr="006C4D01">
        <w:rPr>
          <w:rFonts w:ascii="Arial" w:eastAsia="Times New Roman" w:hAnsi="Arial" w:cs="Arial"/>
          <w:color w:val="1B1B1B"/>
          <w:sz w:val="20"/>
          <w:szCs w:val="20"/>
          <w:shd w:val="clear" w:color="auto" w:fill="FFFFFF"/>
        </w:rPr>
        <w:t xml:space="preserve"> S, </w:t>
      </w:r>
      <w:proofErr w:type="spellStart"/>
      <w:r w:rsidRPr="006C4D01">
        <w:rPr>
          <w:rFonts w:ascii="Arial" w:eastAsia="Times New Roman" w:hAnsi="Arial" w:cs="Arial"/>
          <w:color w:val="1B1B1B"/>
          <w:sz w:val="20"/>
          <w:szCs w:val="20"/>
          <w:shd w:val="clear" w:color="auto" w:fill="FFFFFF"/>
        </w:rPr>
        <w:t>Nejadghaderi</w:t>
      </w:r>
      <w:proofErr w:type="spellEnd"/>
      <w:r w:rsidRPr="006C4D01">
        <w:rPr>
          <w:rFonts w:ascii="Arial" w:eastAsia="Times New Roman" w:hAnsi="Arial" w:cs="Arial"/>
          <w:color w:val="1B1B1B"/>
          <w:sz w:val="20"/>
          <w:szCs w:val="20"/>
          <w:shd w:val="clear" w:color="auto" w:fill="FFFFFF"/>
        </w:rPr>
        <w:t xml:space="preserve"> SA, et al. Migraine: A Review on Its History, Global Epidemiology, Risk Factors, and Comorbidities.</w:t>
      </w:r>
      <w:r w:rsidRPr="006C4D01">
        <w:rPr>
          <w:rStyle w:val="apple-converted-space"/>
          <w:rFonts w:ascii="Arial" w:eastAsia="Times New Roman" w:hAnsi="Arial" w:cs="Arial"/>
          <w:color w:val="1B1B1B"/>
          <w:sz w:val="20"/>
          <w:szCs w:val="20"/>
          <w:shd w:val="clear" w:color="auto" w:fill="FFFFFF"/>
        </w:rPr>
        <w:t> </w:t>
      </w:r>
      <w:r w:rsidRPr="006C4D01">
        <w:rPr>
          <w:rFonts w:ascii="Arial" w:eastAsia="Times New Roman" w:hAnsi="Arial" w:cs="Arial"/>
          <w:i/>
          <w:iCs/>
          <w:color w:val="1B1B1B"/>
          <w:sz w:val="20"/>
          <w:szCs w:val="20"/>
        </w:rPr>
        <w:t>Front Neurol</w:t>
      </w:r>
      <w:r w:rsidRPr="006C4D01">
        <w:rPr>
          <w:rFonts w:ascii="Arial" w:eastAsia="Times New Roman" w:hAnsi="Arial" w:cs="Arial"/>
          <w:color w:val="1B1B1B"/>
          <w:sz w:val="20"/>
          <w:szCs w:val="20"/>
          <w:shd w:val="clear" w:color="auto" w:fill="FFFFFF"/>
        </w:rPr>
        <w:t xml:space="preserve">. </w:t>
      </w:r>
      <w:proofErr w:type="gramStart"/>
      <w:r w:rsidRPr="006C4D01">
        <w:rPr>
          <w:rFonts w:ascii="Arial" w:eastAsia="Times New Roman" w:hAnsi="Arial" w:cs="Arial"/>
          <w:color w:val="1B1B1B"/>
          <w:sz w:val="20"/>
          <w:szCs w:val="20"/>
          <w:shd w:val="clear" w:color="auto" w:fill="FFFFFF"/>
        </w:rPr>
        <w:t>2022;12:800605</w:t>
      </w:r>
      <w:proofErr w:type="gramEnd"/>
      <w:r w:rsidRPr="006C4D01">
        <w:rPr>
          <w:rFonts w:ascii="Arial" w:eastAsia="Times New Roman" w:hAnsi="Arial" w:cs="Arial"/>
          <w:color w:val="1B1B1B"/>
          <w:sz w:val="20"/>
          <w:szCs w:val="20"/>
          <w:shd w:val="clear" w:color="auto" w:fill="FFFFFF"/>
        </w:rPr>
        <w:t>. Published 2022 Feb 23. doi:10.3389/fneur.2021.800605</w:t>
      </w:r>
    </w:p>
    <w:p w14:paraId="569E24A7" w14:textId="6B5097B5"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Ashina</w:t>
      </w:r>
      <w:proofErr w:type="spellEnd"/>
      <w:r w:rsidRPr="004861FC">
        <w:rPr>
          <w:rStyle w:val="s1"/>
          <w:rFonts w:ascii="Arial" w:hAnsi="Arial" w:cs="Arial"/>
          <w:sz w:val="20"/>
          <w:szCs w:val="20"/>
        </w:rPr>
        <w:t xml:space="preserve"> M, Hansen JM, Do TP, Melo</w:t>
      </w:r>
      <w:r w:rsidRPr="004861FC">
        <w:rPr>
          <w:rStyle w:val="s1"/>
          <w:rFonts w:ascii="Arial" w:hAnsi="Arial" w:cs="Arial"/>
          <w:sz w:val="20"/>
          <w:szCs w:val="20"/>
        </w:rPr>
        <w:noBreakHyphen/>
        <w:t>Carrillo A, Burstein R, Moskowitz MA, et al.</w:t>
      </w:r>
      <w:r w:rsidRPr="004861FC">
        <w:rPr>
          <w:rStyle w:val="s2"/>
          <w:rFonts w:ascii="Arial" w:hAnsi="Arial" w:cs="Arial"/>
          <w:sz w:val="20"/>
          <w:szCs w:val="20"/>
        </w:rPr>
        <w:t xml:space="preserve"> Migraine and the </w:t>
      </w:r>
      <w:proofErr w:type="spellStart"/>
      <w:r w:rsidRPr="004861FC">
        <w:rPr>
          <w:rStyle w:val="s2"/>
          <w:rFonts w:ascii="Arial" w:hAnsi="Arial" w:cs="Arial"/>
          <w:sz w:val="20"/>
          <w:szCs w:val="20"/>
        </w:rPr>
        <w:t>trigeminovascular</w:t>
      </w:r>
      <w:proofErr w:type="spellEnd"/>
      <w:r w:rsidRPr="004861FC">
        <w:rPr>
          <w:rStyle w:val="s2"/>
          <w:rFonts w:ascii="Arial" w:hAnsi="Arial" w:cs="Arial"/>
          <w:sz w:val="20"/>
          <w:szCs w:val="20"/>
        </w:rPr>
        <w:t xml:space="preserve"> system—40 years and counting. </w:t>
      </w:r>
      <w:r w:rsidRPr="004861FC">
        <w:rPr>
          <w:rStyle w:val="s3"/>
          <w:rFonts w:ascii="Arial" w:hAnsi="Arial" w:cs="Arial"/>
          <w:sz w:val="20"/>
          <w:szCs w:val="20"/>
        </w:rPr>
        <w:t>Lancet Neurol.</w:t>
      </w:r>
      <w:r w:rsidRPr="004861FC">
        <w:rPr>
          <w:rStyle w:val="s2"/>
          <w:rFonts w:ascii="Arial" w:hAnsi="Arial" w:cs="Arial"/>
          <w:sz w:val="20"/>
          <w:szCs w:val="20"/>
        </w:rPr>
        <w:t xml:space="preserve"> 2019;18(8):795</w:t>
      </w:r>
      <w:r w:rsidRPr="004861FC">
        <w:rPr>
          <w:rStyle w:val="s2"/>
          <w:rFonts w:ascii="Arial" w:hAnsi="Arial" w:cs="Arial"/>
          <w:sz w:val="20"/>
          <w:szCs w:val="20"/>
        </w:rPr>
        <w:noBreakHyphen/>
        <w:t>804. doi:10.1016/S1474</w:t>
      </w:r>
      <w:r w:rsidRPr="004861FC">
        <w:rPr>
          <w:rStyle w:val="s2"/>
          <w:rFonts w:ascii="Arial" w:hAnsi="Arial" w:cs="Arial"/>
          <w:sz w:val="20"/>
          <w:szCs w:val="20"/>
        </w:rPr>
        <w:noBreakHyphen/>
        <w:t>4422(19)30185</w:t>
      </w:r>
      <w:r w:rsidRPr="004861FC">
        <w:rPr>
          <w:rStyle w:val="s2"/>
          <w:rFonts w:ascii="Arial" w:hAnsi="Arial" w:cs="Arial"/>
          <w:sz w:val="20"/>
          <w:szCs w:val="20"/>
        </w:rPr>
        <w:noBreakHyphen/>
        <w:t>1. PMID: 31160203.</w:t>
      </w:r>
    </w:p>
    <w:p w14:paraId="0BF108F7"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lastRenderedPageBreak/>
        <w:t>Edvinsson L.</w:t>
      </w:r>
      <w:r w:rsidRPr="004861FC">
        <w:rPr>
          <w:rStyle w:val="s2"/>
          <w:rFonts w:ascii="Arial" w:hAnsi="Arial" w:cs="Arial"/>
          <w:sz w:val="20"/>
          <w:szCs w:val="20"/>
        </w:rPr>
        <w:t xml:space="preserve"> The </w:t>
      </w:r>
      <w:proofErr w:type="spellStart"/>
      <w:r w:rsidRPr="004861FC">
        <w:rPr>
          <w:rStyle w:val="s2"/>
          <w:rFonts w:ascii="Arial" w:hAnsi="Arial" w:cs="Arial"/>
          <w:sz w:val="20"/>
          <w:szCs w:val="20"/>
        </w:rPr>
        <w:t>trigeminovascular</w:t>
      </w:r>
      <w:proofErr w:type="spellEnd"/>
      <w:r w:rsidRPr="004861FC">
        <w:rPr>
          <w:rStyle w:val="s2"/>
          <w:rFonts w:ascii="Arial" w:hAnsi="Arial" w:cs="Arial"/>
          <w:sz w:val="20"/>
          <w:szCs w:val="20"/>
        </w:rPr>
        <w:t xml:space="preserve"> pathway: Role of CGRP and CGRP receptors in migraine. </w:t>
      </w:r>
      <w:r w:rsidRPr="004861FC">
        <w:rPr>
          <w:rStyle w:val="s3"/>
          <w:rFonts w:ascii="Arial" w:hAnsi="Arial" w:cs="Arial"/>
          <w:sz w:val="20"/>
          <w:szCs w:val="20"/>
        </w:rPr>
        <w:t>Headache.</w:t>
      </w:r>
      <w:r w:rsidRPr="004861FC">
        <w:rPr>
          <w:rStyle w:val="s2"/>
          <w:rFonts w:ascii="Arial" w:hAnsi="Arial" w:cs="Arial"/>
          <w:sz w:val="20"/>
          <w:szCs w:val="20"/>
        </w:rPr>
        <w:t xml:space="preserve"> 2017;57(47):47-55. doi:10.1111/HEAD.13081.</w:t>
      </w:r>
    </w:p>
    <w:p w14:paraId="38F1AD98"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Iyengar S, </w:t>
      </w:r>
      <w:proofErr w:type="spellStart"/>
      <w:r w:rsidRPr="004861FC">
        <w:rPr>
          <w:rStyle w:val="s1"/>
          <w:rFonts w:ascii="Arial" w:hAnsi="Arial" w:cs="Arial"/>
          <w:sz w:val="20"/>
          <w:szCs w:val="20"/>
        </w:rPr>
        <w:t>Ossipov</w:t>
      </w:r>
      <w:proofErr w:type="spellEnd"/>
      <w:r w:rsidRPr="004861FC">
        <w:rPr>
          <w:rStyle w:val="s1"/>
          <w:rFonts w:ascii="Arial" w:hAnsi="Arial" w:cs="Arial"/>
          <w:sz w:val="20"/>
          <w:szCs w:val="20"/>
        </w:rPr>
        <w:t xml:space="preserve"> MH, Johnson KW.</w:t>
      </w:r>
      <w:r w:rsidRPr="004861FC">
        <w:rPr>
          <w:rStyle w:val="s2"/>
          <w:rFonts w:ascii="Arial" w:hAnsi="Arial" w:cs="Arial"/>
          <w:sz w:val="20"/>
          <w:szCs w:val="20"/>
        </w:rPr>
        <w:t xml:space="preserve"> The role of calcitonin gene–related peptide in peripheral and central pain mechanisms including migraine. </w:t>
      </w:r>
      <w:r w:rsidRPr="004861FC">
        <w:rPr>
          <w:rStyle w:val="s3"/>
          <w:rFonts w:ascii="Arial" w:hAnsi="Arial" w:cs="Arial"/>
          <w:sz w:val="20"/>
          <w:szCs w:val="20"/>
        </w:rPr>
        <w:t>Pain.</w:t>
      </w:r>
      <w:r w:rsidRPr="004861FC">
        <w:rPr>
          <w:rStyle w:val="s2"/>
          <w:rFonts w:ascii="Arial" w:hAnsi="Arial" w:cs="Arial"/>
          <w:sz w:val="20"/>
          <w:szCs w:val="20"/>
        </w:rPr>
        <w:t xml:space="preserve"> 2017;158(4):543. </w:t>
      </w:r>
      <w:proofErr w:type="gramStart"/>
      <w:r w:rsidRPr="004861FC">
        <w:rPr>
          <w:rStyle w:val="s2"/>
          <w:rFonts w:ascii="Arial" w:hAnsi="Arial" w:cs="Arial"/>
          <w:sz w:val="20"/>
          <w:szCs w:val="20"/>
        </w:rPr>
        <w:t>doi:10.1097/J.PAIN</w:t>
      </w:r>
      <w:proofErr w:type="gramEnd"/>
      <w:r w:rsidRPr="004861FC">
        <w:rPr>
          <w:rStyle w:val="s2"/>
          <w:rFonts w:ascii="Arial" w:hAnsi="Arial" w:cs="Arial"/>
          <w:sz w:val="20"/>
          <w:szCs w:val="20"/>
        </w:rPr>
        <w:t>.0000000000000831.</w:t>
      </w:r>
    </w:p>
    <w:p w14:paraId="2A9D6D19"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Edvinsson L.</w:t>
      </w:r>
      <w:r w:rsidRPr="004861FC">
        <w:rPr>
          <w:rStyle w:val="s2"/>
          <w:rFonts w:ascii="Arial" w:hAnsi="Arial" w:cs="Arial"/>
          <w:sz w:val="20"/>
          <w:szCs w:val="20"/>
        </w:rPr>
        <w:t xml:space="preserve"> Functional role of perivascular peptides in the control of cerebral circulation. </w:t>
      </w:r>
      <w:r w:rsidRPr="004861FC">
        <w:rPr>
          <w:rStyle w:val="s3"/>
          <w:rFonts w:ascii="Arial" w:hAnsi="Arial" w:cs="Arial"/>
          <w:sz w:val="20"/>
          <w:szCs w:val="20"/>
        </w:rPr>
        <w:t xml:space="preserve">Trends </w:t>
      </w:r>
      <w:proofErr w:type="spellStart"/>
      <w:r w:rsidRPr="004861FC">
        <w:rPr>
          <w:rStyle w:val="s3"/>
          <w:rFonts w:ascii="Arial" w:hAnsi="Arial" w:cs="Arial"/>
          <w:sz w:val="20"/>
          <w:szCs w:val="20"/>
        </w:rPr>
        <w:t>Neurosci</w:t>
      </w:r>
      <w:proofErr w:type="spellEnd"/>
      <w:r w:rsidRPr="004861FC">
        <w:rPr>
          <w:rStyle w:val="s3"/>
          <w:rFonts w:ascii="Arial" w:hAnsi="Arial" w:cs="Arial"/>
          <w:sz w:val="20"/>
          <w:szCs w:val="20"/>
        </w:rPr>
        <w:t>.</w:t>
      </w:r>
      <w:r w:rsidRPr="004861FC">
        <w:rPr>
          <w:rStyle w:val="s2"/>
          <w:rFonts w:ascii="Arial" w:hAnsi="Arial" w:cs="Arial"/>
          <w:sz w:val="20"/>
          <w:szCs w:val="20"/>
        </w:rPr>
        <w:t xml:space="preserve"> 1985;</w:t>
      </w:r>
      <w:proofErr w:type="gramStart"/>
      <w:r w:rsidRPr="004861FC">
        <w:rPr>
          <w:rStyle w:val="s2"/>
          <w:rFonts w:ascii="Arial" w:hAnsi="Arial" w:cs="Arial"/>
          <w:sz w:val="20"/>
          <w:szCs w:val="20"/>
        </w:rPr>
        <w:t>8( )</w:t>
      </w:r>
      <w:proofErr w:type="gramEnd"/>
      <w:r w:rsidRPr="004861FC">
        <w:rPr>
          <w:rStyle w:val="s2"/>
          <w:rFonts w:ascii="Arial" w:hAnsi="Arial" w:cs="Arial"/>
          <w:sz w:val="20"/>
          <w:szCs w:val="20"/>
        </w:rPr>
        <w:t>C:126-131. doi:10.1016/0166-2236(85)90050-5.</w:t>
      </w:r>
    </w:p>
    <w:p w14:paraId="746F197E"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Boinpally</w:t>
      </w:r>
      <w:proofErr w:type="spellEnd"/>
      <w:r w:rsidRPr="004861FC">
        <w:rPr>
          <w:rStyle w:val="s1"/>
          <w:rFonts w:ascii="Arial" w:hAnsi="Arial" w:cs="Arial"/>
          <w:sz w:val="20"/>
          <w:szCs w:val="20"/>
        </w:rPr>
        <w:t xml:space="preserve"> R, </w:t>
      </w:r>
      <w:proofErr w:type="spellStart"/>
      <w:r w:rsidRPr="004861FC">
        <w:rPr>
          <w:rStyle w:val="s1"/>
          <w:rFonts w:ascii="Arial" w:hAnsi="Arial" w:cs="Arial"/>
          <w:sz w:val="20"/>
          <w:szCs w:val="20"/>
        </w:rPr>
        <w:t>Shebley</w:t>
      </w:r>
      <w:proofErr w:type="spellEnd"/>
      <w:r w:rsidRPr="004861FC">
        <w:rPr>
          <w:rStyle w:val="s1"/>
          <w:rFonts w:ascii="Arial" w:hAnsi="Arial" w:cs="Arial"/>
          <w:sz w:val="20"/>
          <w:szCs w:val="20"/>
        </w:rPr>
        <w:t xml:space="preserve"> M, </w:t>
      </w:r>
      <w:proofErr w:type="spellStart"/>
      <w:r w:rsidRPr="004861FC">
        <w:rPr>
          <w:rStyle w:val="s1"/>
          <w:rFonts w:ascii="Arial" w:hAnsi="Arial" w:cs="Arial"/>
          <w:sz w:val="20"/>
          <w:szCs w:val="20"/>
        </w:rPr>
        <w:t>Trugman</w:t>
      </w:r>
      <w:proofErr w:type="spellEnd"/>
      <w:r w:rsidRPr="004861FC">
        <w:rPr>
          <w:rStyle w:val="s1"/>
          <w:rFonts w:ascii="Arial" w:hAnsi="Arial" w:cs="Arial"/>
          <w:sz w:val="20"/>
          <w:szCs w:val="20"/>
        </w:rPr>
        <w:t xml:space="preserve"> JM.</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Atogepant</w:t>
      </w:r>
      <w:proofErr w:type="spellEnd"/>
      <w:r w:rsidRPr="004861FC">
        <w:rPr>
          <w:rStyle w:val="s2"/>
          <w:rFonts w:ascii="Arial" w:hAnsi="Arial" w:cs="Arial"/>
          <w:sz w:val="20"/>
          <w:szCs w:val="20"/>
        </w:rPr>
        <w:t xml:space="preserve">: Mechanism of action, clinical and translational science. </w:t>
      </w:r>
      <w:r w:rsidRPr="004861FC">
        <w:rPr>
          <w:rStyle w:val="s3"/>
          <w:rFonts w:ascii="Arial" w:hAnsi="Arial" w:cs="Arial"/>
          <w:sz w:val="20"/>
          <w:szCs w:val="20"/>
        </w:rPr>
        <w:t xml:space="preserve">Clin </w:t>
      </w:r>
      <w:proofErr w:type="spellStart"/>
      <w:r w:rsidRPr="004861FC">
        <w:rPr>
          <w:rStyle w:val="s3"/>
          <w:rFonts w:ascii="Arial" w:hAnsi="Arial" w:cs="Arial"/>
          <w:sz w:val="20"/>
          <w:szCs w:val="20"/>
        </w:rPr>
        <w:t>Transl</w:t>
      </w:r>
      <w:proofErr w:type="spellEnd"/>
      <w:r w:rsidRPr="004861FC">
        <w:rPr>
          <w:rStyle w:val="s3"/>
          <w:rFonts w:ascii="Arial" w:hAnsi="Arial" w:cs="Arial"/>
          <w:sz w:val="20"/>
          <w:szCs w:val="20"/>
        </w:rPr>
        <w:t xml:space="preserve"> Sci.</w:t>
      </w:r>
      <w:r w:rsidRPr="004861FC">
        <w:rPr>
          <w:rStyle w:val="s2"/>
          <w:rFonts w:ascii="Arial" w:hAnsi="Arial" w:cs="Arial"/>
          <w:sz w:val="20"/>
          <w:szCs w:val="20"/>
        </w:rPr>
        <w:t xml:space="preserve"> 2024;17(1</w:t>
      </w:r>
      <w:proofErr w:type="gramStart"/>
      <w:r w:rsidRPr="004861FC">
        <w:rPr>
          <w:rStyle w:val="s2"/>
          <w:rFonts w:ascii="Arial" w:hAnsi="Arial" w:cs="Arial"/>
          <w:sz w:val="20"/>
          <w:szCs w:val="20"/>
        </w:rPr>
        <w:t>):e</w:t>
      </w:r>
      <w:proofErr w:type="gramEnd"/>
      <w:r w:rsidRPr="004861FC">
        <w:rPr>
          <w:rStyle w:val="s2"/>
          <w:rFonts w:ascii="Arial" w:hAnsi="Arial" w:cs="Arial"/>
          <w:sz w:val="20"/>
          <w:szCs w:val="20"/>
        </w:rPr>
        <w:t>13707. doi:10.1111/cts.13707.</w:t>
      </w:r>
    </w:p>
    <w:p w14:paraId="6531E691"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Rivera-</w:t>
      </w:r>
      <w:proofErr w:type="spellStart"/>
      <w:r w:rsidRPr="004861FC">
        <w:rPr>
          <w:rStyle w:val="s1"/>
          <w:rFonts w:ascii="Arial" w:hAnsi="Arial" w:cs="Arial"/>
          <w:sz w:val="20"/>
          <w:szCs w:val="20"/>
        </w:rPr>
        <w:t>Mancilla</w:t>
      </w:r>
      <w:proofErr w:type="spellEnd"/>
      <w:r w:rsidRPr="004861FC">
        <w:rPr>
          <w:rStyle w:val="s1"/>
          <w:rFonts w:ascii="Arial" w:hAnsi="Arial" w:cs="Arial"/>
          <w:sz w:val="20"/>
          <w:szCs w:val="20"/>
        </w:rPr>
        <w:t xml:space="preserve"> E, </w:t>
      </w:r>
      <w:proofErr w:type="spellStart"/>
      <w:r w:rsidRPr="004861FC">
        <w:rPr>
          <w:rStyle w:val="s1"/>
          <w:rFonts w:ascii="Arial" w:hAnsi="Arial" w:cs="Arial"/>
          <w:sz w:val="20"/>
          <w:szCs w:val="20"/>
        </w:rPr>
        <w:t>Villalón</w:t>
      </w:r>
      <w:proofErr w:type="spellEnd"/>
      <w:r w:rsidRPr="004861FC">
        <w:rPr>
          <w:rStyle w:val="s1"/>
          <w:rFonts w:ascii="Arial" w:hAnsi="Arial" w:cs="Arial"/>
          <w:sz w:val="20"/>
          <w:szCs w:val="20"/>
        </w:rPr>
        <w:t xml:space="preserve"> CM, </w:t>
      </w:r>
      <w:proofErr w:type="spellStart"/>
      <w:r w:rsidRPr="004861FC">
        <w:rPr>
          <w:rStyle w:val="s1"/>
          <w:rFonts w:ascii="Arial" w:hAnsi="Arial" w:cs="Arial"/>
          <w:sz w:val="20"/>
          <w:szCs w:val="20"/>
        </w:rPr>
        <w:t>MaassenVanDenBrink</w:t>
      </w:r>
      <w:proofErr w:type="spellEnd"/>
      <w:r w:rsidRPr="004861FC">
        <w:rPr>
          <w:rStyle w:val="s1"/>
          <w:rFonts w:ascii="Arial" w:hAnsi="Arial" w:cs="Arial"/>
          <w:sz w:val="20"/>
          <w:szCs w:val="20"/>
        </w:rPr>
        <w:t xml:space="preserve"> A.</w:t>
      </w:r>
      <w:r w:rsidRPr="004861FC">
        <w:rPr>
          <w:rStyle w:val="s2"/>
          <w:rFonts w:ascii="Arial" w:hAnsi="Arial" w:cs="Arial"/>
          <w:sz w:val="20"/>
          <w:szCs w:val="20"/>
        </w:rPr>
        <w:t xml:space="preserve"> CGRP inhibitors for migraine prophylaxis: A safety review. </w:t>
      </w:r>
      <w:r w:rsidRPr="004861FC">
        <w:rPr>
          <w:rStyle w:val="s3"/>
          <w:rFonts w:ascii="Arial" w:hAnsi="Arial" w:cs="Arial"/>
          <w:sz w:val="20"/>
          <w:szCs w:val="20"/>
        </w:rPr>
        <w:t xml:space="preserve">Expert </w:t>
      </w:r>
      <w:proofErr w:type="spellStart"/>
      <w:r w:rsidRPr="004861FC">
        <w:rPr>
          <w:rStyle w:val="s3"/>
          <w:rFonts w:ascii="Arial" w:hAnsi="Arial" w:cs="Arial"/>
          <w:sz w:val="20"/>
          <w:szCs w:val="20"/>
        </w:rPr>
        <w:t>Opin</w:t>
      </w:r>
      <w:proofErr w:type="spellEnd"/>
      <w:r w:rsidRPr="004861FC">
        <w:rPr>
          <w:rStyle w:val="s3"/>
          <w:rFonts w:ascii="Arial" w:hAnsi="Arial" w:cs="Arial"/>
          <w:sz w:val="20"/>
          <w:szCs w:val="20"/>
        </w:rPr>
        <w:t xml:space="preserve"> Drug </w:t>
      </w:r>
      <w:proofErr w:type="spellStart"/>
      <w:r w:rsidRPr="004861FC">
        <w:rPr>
          <w:rStyle w:val="s3"/>
          <w:rFonts w:ascii="Arial" w:hAnsi="Arial" w:cs="Arial"/>
          <w:sz w:val="20"/>
          <w:szCs w:val="20"/>
        </w:rPr>
        <w:t>Saf</w:t>
      </w:r>
      <w:proofErr w:type="spellEnd"/>
      <w:r w:rsidRPr="004861FC">
        <w:rPr>
          <w:rStyle w:val="s3"/>
          <w:rFonts w:ascii="Arial" w:hAnsi="Arial" w:cs="Arial"/>
          <w:sz w:val="20"/>
          <w:szCs w:val="20"/>
        </w:rPr>
        <w:t>.</w:t>
      </w:r>
      <w:r w:rsidRPr="004861FC">
        <w:rPr>
          <w:rStyle w:val="s2"/>
          <w:rFonts w:ascii="Arial" w:hAnsi="Arial" w:cs="Arial"/>
          <w:sz w:val="20"/>
          <w:szCs w:val="20"/>
        </w:rPr>
        <w:t xml:space="preserve"> 2020;19(10):1237-1250. doi:10.1080/14740338.2020.1811229.</w:t>
      </w:r>
    </w:p>
    <w:p w14:paraId="466722D0"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Edvinsson L.</w:t>
      </w:r>
      <w:r w:rsidRPr="004861FC">
        <w:rPr>
          <w:rStyle w:val="s2"/>
          <w:rFonts w:ascii="Arial" w:hAnsi="Arial" w:cs="Arial"/>
          <w:sz w:val="20"/>
          <w:szCs w:val="20"/>
        </w:rPr>
        <w:t xml:space="preserve"> CGRP and migraine: from bench to bedside. </w:t>
      </w:r>
      <w:r w:rsidRPr="004861FC">
        <w:rPr>
          <w:rStyle w:val="s3"/>
          <w:rFonts w:ascii="Arial" w:hAnsi="Arial" w:cs="Arial"/>
          <w:sz w:val="20"/>
          <w:szCs w:val="20"/>
        </w:rPr>
        <w:t xml:space="preserve">Rev </w:t>
      </w:r>
      <w:proofErr w:type="spellStart"/>
      <w:r w:rsidRPr="004861FC">
        <w:rPr>
          <w:rStyle w:val="s3"/>
          <w:rFonts w:ascii="Arial" w:hAnsi="Arial" w:cs="Arial"/>
          <w:sz w:val="20"/>
          <w:szCs w:val="20"/>
        </w:rPr>
        <w:t>Neurol</w:t>
      </w:r>
      <w:proofErr w:type="spellEnd"/>
      <w:r w:rsidRPr="004861FC">
        <w:rPr>
          <w:rStyle w:val="s3"/>
          <w:rFonts w:ascii="Arial" w:hAnsi="Arial" w:cs="Arial"/>
          <w:sz w:val="20"/>
          <w:szCs w:val="20"/>
        </w:rPr>
        <w:t xml:space="preserve"> (Paris).</w:t>
      </w:r>
      <w:r w:rsidRPr="004861FC">
        <w:rPr>
          <w:rStyle w:val="s2"/>
          <w:rFonts w:ascii="Arial" w:hAnsi="Arial" w:cs="Arial"/>
          <w:sz w:val="20"/>
          <w:szCs w:val="20"/>
        </w:rPr>
        <w:t xml:space="preserve"> 2021;177(7):785-790. </w:t>
      </w:r>
      <w:proofErr w:type="gramStart"/>
      <w:r w:rsidRPr="004861FC">
        <w:rPr>
          <w:rStyle w:val="s2"/>
          <w:rFonts w:ascii="Arial" w:hAnsi="Arial" w:cs="Arial"/>
          <w:sz w:val="20"/>
          <w:szCs w:val="20"/>
        </w:rPr>
        <w:t>doi:10.1016/j.neurol</w:t>
      </w:r>
      <w:proofErr w:type="gramEnd"/>
      <w:r w:rsidRPr="004861FC">
        <w:rPr>
          <w:rStyle w:val="s2"/>
          <w:rFonts w:ascii="Arial" w:hAnsi="Arial" w:cs="Arial"/>
          <w:sz w:val="20"/>
          <w:szCs w:val="20"/>
        </w:rPr>
        <w:t>.2021.06.003.</w:t>
      </w:r>
    </w:p>
    <w:p w14:paraId="7DAF731B"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Rashid A, Rashid AMA.</w:t>
      </w:r>
      <w:r w:rsidRPr="004861FC">
        <w:rPr>
          <w:rStyle w:val="s2"/>
          <w:rFonts w:ascii="Arial" w:hAnsi="Arial" w:cs="Arial"/>
          <w:sz w:val="20"/>
          <w:szCs w:val="20"/>
        </w:rPr>
        <w:t xml:space="preserve"> Calcitonin Gene-Related </w:t>
      </w:r>
      <w:proofErr w:type="spellStart"/>
      <w:r w:rsidRPr="004861FC">
        <w:rPr>
          <w:rStyle w:val="s2"/>
          <w:rFonts w:ascii="Arial" w:hAnsi="Arial" w:cs="Arial"/>
          <w:sz w:val="20"/>
          <w:szCs w:val="20"/>
        </w:rPr>
        <w:t>Peptid</w:t>
      </w:r>
      <w:proofErr w:type="spellEnd"/>
      <w:r w:rsidRPr="004861FC">
        <w:rPr>
          <w:rStyle w:val="s2"/>
          <w:rFonts w:ascii="Arial" w:hAnsi="Arial" w:cs="Arial"/>
          <w:sz w:val="20"/>
          <w:szCs w:val="20"/>
        </w:rPr>
        <w:t xml:space="preserve">. </w:t>
      </w:r>
      <w:r w:rsidRPr="004861FC">
        <w:rPr>
          <w:rStyle w:val="s3"/>
          <w:rFonts w:ascii="Arial" w:hAnsi="Arial" w:cs="Arial"/>
          <w:sz w:val="20"/>
          <w:szCs w:val="20"/>
        </w:rPr>
        <w:t>StatPearls.</w:t>
      </w:r>
      <w:r w:rsidRPr="004861FC">
        <w:rPr>
          <w:rStyle w:val="s2"/>
          <w:rFonts w:ascii="Arial" w:hAnsi="Arial" w:cs="Arial"/>
          <w:sz w:val="20"/>
          <w:szCs w:val="20"/>
        </w:rPr>
        <w:t xml:space="preserve"> 2023.</w:t>
      </w:r>
    </w:p>
    <w:p w14:paraId="4EDFC214"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Vuralli</w:t>
      </w:r>
      <w:proofErr w:type="spellEnd"/>
      <w:r w:rsidRPr="004861FC">
        <w:rPr>
          <w:rStyle w:val="s1"/>
          <w:rFonts w:ascii="Arial" w:hAnsi="Arial" w:cs="Arial"/>
          <w:sz w:val="20"/>
          <w:szCs w:val="20"/>
        </w:rPr>
        <w:t xml:space="preserve"> D, </w:t>
      </w:r>
      <w:proofErr w:type="spellStart"/>
      <w:r w:rsidRPr="004861FC">
        <w:rPr>
          <w:rStyle w:val="s1"/>
          <w:rFonts w:ascii="Arial" w:hAnsi="Arial" w:cs="Arial"/>
          <w:sz w:val="20"/>
          <w:szCs w:val="20"/>
        </w:rPr>
        <w:t>Karatas</w:t>
      </w:r>
      <w:proofErr w:type="spellEnd"/>
      <w:r w:rsidRPr="004861FC">
        <w:rPr>
          <w:rStyle w:val="s1"/>
          <w:rFonts w:ascii="Arial" w:hAnsi="Arial" w:cs="Arial"/>
          <w:sz w:val="20"/>
          <w:szCs w:val="20"/>
        </w:rPr>
        <w:t xml:space="preserve"> H, </w:t>
      </w:r>
      <w:proofErr w:type="spellStart"/>
      <w:r w:rsidRPr="004861FC">
        <w:rPr>
          <w:rStyle w:val="s1"/>
          <w:rFonts w:ascii="Arial" w:hAnsi="Arial" w:cs="Arial"/>
          <w:sz w:val="20"/>
          <w:szCs w:val="20"/>
        </w:rPr>
        <w:t>Yemisci</w:t>
      </w:r>
      <w:proofErr w:type="spellEnd"/>
      <w:r w:rsidRPr="004861FC">
        <w:rPr>
          <w:rStyle w:val="s1"/>
          <w:rFonts w:ascii="Arial" w:hAnsi="Arial" w:cs="Arial"/>
          <w:sz w:val="20"/>
          <w:szCs w:val="20"/>
        </w:rPr>
        <w:t xml:space="preserve"> M, </w:t>
      </w:r>
      <w:proofErr w:type="spellStart"/>
      <w:r w:rsidRPr="004861FC">
        <w:rPr>
          <w:rStyle w:val="s1"/>
          <w:rFonts w:ascii="Arial" w:hAnsi="Arial" w:cs="Arial"/>
          <w:sz w:val="20"/>
          <w:szCs w:val="20"/>
        </w:rPr>
        <w:t>Bolay</w:t>
      </w:r>
      <w:proofErr w:type="spellEnd"/>
      <w:r w:rsidRPr="004861FC">
        <w:rPr>
          <w:rStyle w:val="s1"/>
          <w:rFonts w:ascii="Arial" w:hAnsi="Arial" w:cs="Arial"/>
          <w:sz w:val="20"/>
          <w:szCs w:val="20"/>
        </w:rPr>
        <w:t xml:space="preserve"> H.</w:t>
      </w:r>
      <w:r w:rsidRPr="004861FC">
        <w:rPr>
          <w:rStyle w:val="s2"/>
          <w:rFonts w:ascii="Arial" w:hAnsi="Arial" w:cs="Arial"/>
          <w:sz w:val="20"/>
          <w:szCs w:val="20"/>
        </w:rPr>
        <w:t xml:space="preserve"> Updated review on the link between cortical spreading depression and headache disorders. </w:t>
      </w:r>
      <w:r w:rsidRPr="004861FC">
        <w:rPr>
          <w:rStyle w:val="s3"/>
          <w:rFonts w:ascii="Arial" w:hAnsi="Arial" w:cs="Arial"/>
          <w:sz w:val="20"/>
          <w:szCs w:val="20"/>
        </w:rPr>
        <w:t xml:space="preserve">Expert Rev </w:t>
      </w:r>
      <w:proofErr w:type="spellStart"/>
      <w:r w:rsidRPr="004861FC">
        <w:rPr>
          <w:rStyle w:val="s3"/>
          <w:rFonts w:ascii="Arial" w:hAnsi="Arial" w:cs="Arial"/>
          <w:sz w:val="20"/>
          <w:szCs w:val="20"/>
        </w:rPr>
        <w:t>Neurother</w:t>
      </w:r>
      <w:proofErr w:type="spellEnd"/>
      <w:r w:rsidRPr="004861FC">
        <w:rPr>
          <w:rStyle w:val="s3"/>
          <w:rFonts w:ascii="Arial" w:hAnsi="Arial" w:cs="Arial"/>
          <w:sz w:val="20"/>
          <w:szCs w:val="20"/>
        </w:rPr>
        <w:t>.</w:t>
      </w:r>
      <w:r w:rsidRPr="004861FC">
        <w:rPr>
          <w:rStyle w:val="s2"/>
          <w:rFonts w:ascii="Arial" w:hAnsi="Arial" w:cs="Arial"/>
          <w:sz w:val="20"/>
          <w:szCs w:val="20"/>
        </w:rPr>
        <w:t xml:space="preserve"> 2021;21(10):1069-1084. doi:10.1080/14737175.2021.1947797.</w:t>
      </w:r>
    </w:p>
    <w:p w14:paraId="79254910"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Reuter U, Hallström Y, </w:t>
      </w:r>
      <w:proofErr w:type="spellStart"/>
      <w:r w:rsidRPr="004861FC">
        <w:rPr>
          <w:rStyle w:val="s1"/>
          <w:rFonts w:ascii="Arial" w:hAnsi="Arial" w:cs="Arial"/>
          <w:sz w:val="20"/>
          <w:szCs w:val="20"/>
        </w:rPr>
        <w:t>Broessner</w:t>
      </w:r>
      <w:proofErr w:type="spellEnd"/>
      <w:r w:rsidRPr="004861FC">
        <w:rPr>
          <w:rStyle w:val="s1"/>
          <w:rFonts w:ascii="Arial" w:hAnsi="Arial" w:cs="Arial"/>
          <w:sz w:val="20"/>
          <w:szCs w:val="20"/>
        </w:rPr>
        <w:t xml:space="preserve"> G, Bonner JH, Zhang F, et al.</w:t>
      </w:r>
      <w:r w:rsidRPr="004861FC">
        <w:rPr>
          <w:rStyle w:val="s2"/>
          <w:rFonts w:ascii="Arial" w:hAnsi="Arial" w:cs="Arial"/>
          <w:sz w:val="20"/>
          <w:szCs w:val="20"/>
        </w:rPr>
        <w:t xml:space="preserve"> A controlled trial of </w:t>
      </w:r>
      <w:proofErr w:type="spellStart"/>
      <w:r w:rsidRPr="004861FC">
        <w:rPr>
          <w:rStyle w:val="s2"/>
          <w:rFonts w:ascii="Arial" w:hAnsi="Arial" w:cs="Arial"/>
          <w:sz w:val="20"/>
          <w:szCs w:val="20"/>
        </w:rPr>
        <w:t>erenumab</w:t>
      </w:r>
      <w:proofErr w:type="spellEnd"/>
      <w:r w:rsidRPr="004861FC">
        <w:rPr>
          <w:rStyle w:val="s2"/>
          <w:rFonts w:ascii="Arial" w:hAnsi="Arial" w:cs="Arial"/>
          <w:sz w:val="20"/>
          <w:szCs w:val="20"/>
        </w:rPr>
        <w:t xml:space="preserve"> for episodic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2017;377(22):2123-2132. doi:10.1056/NEJMoa1705848.</w:t>
      </w:r>
    </w:p>
    <w:p w14:paraId="2670D5D0"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Silberstein SD, </w:t>
      </w:r>
      <w:proofErr w:type="spellStart"/>
      <w:r w:rsidRPr="004861FC">
        <w:rPr>
          <w:rStyle w:val="s1"/>
          <w:rFonts w:ascii="Arial" w:hAnsi="Arial" w:cs="Arial"/>
          <w:sz w:val="20"/>
          <w:szCs w:val="20"/>
        </w:rPr>
        <w:t>Dodick</w:t>
      </w:r>
      <w:proofErr w:type="spellEnd"/>
      <w:r w:rsidRPr="004861FC">
        <w:rPr>
          <w:rStyle w:val="s1"/>
          <w:rFonts w:ascii="Arial" w:hAnsi="Arial" w:cs="Arial"/>
          <w:sz w:val="20"/>
          <w:szCs w:val="20"/>
        </w:rPr>
        <w:t xml:space="preserve"> DW, </w:t>
      </w:r>
      <w:proofErr w:type="spellStart"/>
      <w:r w:rsidRPr="004861FC">
        <w:rPr>
          <w:rStyle w:val="s1"/>
          <w:rFonts w:ascii="Arial" w:hAnsi="Arial" w:cs="Arial"/>
          <w:sz w:val="20"/>
          <w:szCs w:val="20"/>
        </w:rPr>
        <w:t>Bigal</w:t>
      </w:r>
      <w:proofErr w:type="spellEnd"/>
      <w:r w:rsidRPr="004861FC">
        <w:rPr>
          <w:rStyle w:val="s1"/>
          <w:rFonts w:ascii="Arial" w:hAnsi="Arial" w:cs="Arial"/>
          <w:sz w:val="20"/>
          <w:szCs w:val="20"/>
        </w:rPr>
        <w:t xml:space="preserve"> ME, Yeung PP,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Fremanezumab</w:t>
      </w:r>
      <w:proofErr w:type="spellEnd"/>
      <w:r w:rsidRPr="004861FC">
        <w:rPr>
          <w:rStyle w:val="s2"/>
          <w:rFonts w:ascii="Arial" w:hAnsi="Arial" w:cs="Arial"/>
          <w:sz w:val="20"/>
          <w:szCs w:val="20"/>
        </w:rPr>
        <w:t xml:space="preserve"> for the preventive treatment of chronic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2017;377(22):2113-2122. doi:10.1056/NEJMOA1709038.</w:t>
      </w:r>
    </w:p>
    <w:p w14:paraId="51C74EB9"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Ailani</w:t>
      </w:r>
      <w:proofErr w:type="spellEnd"/>
      <w:r w:rsidRPr="004861FC">
        <w:rPr>
          <w:rStyle w:val="s1"/>
          <w:rFonts w:ascii="Arial" w:hAnsi="Arial" w:cs="Arial"/>
          <w:sz w:val="20"/>
          <w:szCs w:val="20"/>
        </w:rPr>
        <w:t xml:space="preserve"> J, Lipton RB, </w:t>
      </w: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Atogepant</w:t>
      </w:r>
      <w:proofErr w:type="spellEnd"/>
      <w:r w:rsidRPr="004861FC">
        <w:rPr>
          <w:rStyle w:val="s2"/>
          <w:rFonts w:ascii="Arial" w:hAnsi="Arial" w:cs="Arial"/>
          <w:sz w:val="20"/>
          <w:szCs w:val="20"/>
        </w:rPr>
        <w:t xml:space="preserve"> for the preventive treatment of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2021;385(8):695-706. doi:10.1056/NEJMoa2035908.</w:t>
      </w:r>
    </w:p>
    <w:p w14:paraId="6623F7F4"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Dodick</w:t>
      </w:r>
      <w:proofErr w:type="spellEnd"/>
      <w:r w:rsidRPr="004861FC">
        <w:rPr>
          <w:rStyle w:val="s1"/>
          <w:rFonts w:ascii="Arial" w:hAnsi="Arial" w:cs="Arial"/>
          <w:sz w:val="20"/>
          <w:szCs w:val="20"/>
        </w:rPr>
        <w:t xml:space="preserve"> DW, Lipton RB, </w:t>
      </w:r>
      <w:proofErr w:type="spellStart"/>
      <w:r w:rsidRPr="004861FC">
        <w:rPr>
          <w:rStyle w:val="s1"/>
          <w:rFonts w:ascii="Arial" w:hAnsi="Arial" w:cs="Arial"/>
          <w:sz w:val="20"/>
          <w:szCs w:val="20"/>
        </w:rPr>
        <w:t>Ailani</w:t>
      </w:r>
      <w:proofErr w:type="spellEnd"/>
      <w:r w:rsidRPr="004861FC">
        <w:rPr>
          <w:rStyle w:val="s1"/>
          <w:rFonts w:ascii="Arial" w:hAnsi="Arial" w:cs="Arial"/>
          <w:sz w:val="20"/>
          <w:szCs w:val="20"/>
        </w:rPr>
        <w:t xml:space="preserve"> J,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Ubrogepant</w:t>
      </w:r>
      <w:proofErr w:type="spellEnd"/>
      <w:r w:rsidRPr="004861FC">
        <w:rPr>
          <w:rStyle w:val="s2"/>
          <w:rFonts w:ascii="Arial" w:hAnsi="Arial" w:cs="Arial"/>
          <w:sz w:val="20"/>
          <w:szCs w:val="20"/>
        </w:rPr>
        <w:t xml:space="preserve"> for the treatment of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2019;381(23):2230-2241. doi:10.1056/NEJMoa1813049.</w:t>
      </w:r>
    </w:p>
    <w:p w14:paraId="0CEC494C"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Lipton RB, </w:t>
      </w:r>
      <w:proofErr w:type="spellStart"/>
      <w:r w:rsidRPr="004861FC">
        <w:rPr>
          <w:rStyle w:val="s1"/>
          <w:rFonts w:ascii="Arial" w:hAnsi="Arial" w:cs="Arial"/>
          <w:sz w:val="20"/>
          <w:szCs w:val="20"/>
        </w:rPr>
        <w:t>Croop</w:t>
      </w:r>
      <w:proofErr w:type="spellEnd"/>
      <w:r w:rsidRPr="004861FC">
        <w:rPr>
          <w:rStyle w:val="s1"/>
          <w:rFonts w:ascii="Arial" w:hAnsi="Arial" w:cs="Arial"/>
          <w:sz w:val="20"/>
          <w:szCs w:val="20"/>
        </w:rPr>
        <w:t xml:space="preserve"> R, Stock EG,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Rimegepant</w:t>
      </w:r>
      <w:proofErr w:type="spellEnd"/>
      <w:r w:rsidRPr="004861FC">
        <w:rPr>
          <w:rStyle w:val="s2"/>
          <w:rFonts w:ascii="Arial" w:hAnsi="Arial" w:cs="Arial"/>
          <w:sz w:val="20"/>
          <w:szCs w:val="20"/>
        </w:rPr>
        <w:t xml:space="preserve">, an oral CGRP receptor antagonist, for migraine. </w:t>
      </w:r>
      <w:r w:rsidRPr="004861FC">
        <w:rPr>
          <w:rStyle w:val="s3"/>
          <w:rFonts w:ascii="Arial" w:hAnsi="Arial" w:cs="Arial"/>
          <w:sz w:val="20"/>
          <w:szCs w:val="20"/>
        </w:rPr>
        <w:t xml:space="preserve">N </w:t>
      </w:r>
      <w:proofErr w:type="spellStart"/>
      <w:r w:rsidRPr="004861FC">
        <w:rPr>
          <w:rStyle w:val="s3"/>
          <w:rFonts w:ascii="Arial" w:hAnsi="Arial" w:cs="Arial"/>
          <w:sz w:val="20"/>
          <w:szCs w:val="20"/>
        </w:rPr>
        <w:t>Engl</w:t>
      </w:r>
      <w:proofErr w:type="spellEnd"/>
      <w:r w:rsidRPr="004861FC">
        <w:rPr>
          <w:rStyle w:val="s3"/>
          <w:rFonts w:ascii="Arial" w:hAnsi="Arial" w:cs="Arial"/>
          <w:sz w:val="20"/>
          <w:szCs w:val="20"/>
        </w:rPr>
        <w:t xml:space="preserve"> J Med.</w:t>
      </w:r>
      <w:r w:rsidRPr="004861FC">
        <w:rPr>
          <w:rStyle w:val="s2"/>
          <w:rFonts w:ascii="Arial" w:hAnsi="Arial" w:cs="Arial"/>
          <w:sz w:val="20"/>
          <w:szCs w:val="20"/>
        </w:rPr>
        <w:t xml:space="preserve"> 2019;381(2):142-149. doi:10.1056/NEJMoa1811090.</w:t>
      </w:r>
    </w:p>
    <w:p w14:paraId="5FC4B389"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Lipton RB, </w:t>
      </w: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Smith J, et al.</w:t>
      </w:r>
      <w:r w:rsidRPr="004861FC">
        <w:rPr>
          <w:rStyle w:val="s2"/>
          <w:rFonts w:ascii="Arial" w:hAnsi="Arial" w:cs="Arial"/>
          <w:sz w:val="20"/>
          <w:szCs w:val="20"/>
        </w:rPr>
        <w:t xml:space="preserve"> Efficacy and safety of </w:t>
      </w:r>
      <w:proofErr w:type="spellStart"/>
      <w:r w:rsidRPr="004861FC">
        <w:rPr>
          <w:rStyle w:val="s2"/>
          <w:rFonts w:ascii="Arial" w:hAnsi="Arial" w:cs="Arial"/>
          <w:sz w:val="20"/>
          <w:szCs w:val="20"/>
        </w:rPr>
        <w:t>eptinezumab</w:t>
      </w:r>
      <w:proofErr w:type="spellEnd"/>
      <w:r w:rsidRPr="004861FC">
        <w:rPr>
          <w:rStyle w:val="s2"/>
          <w:rFonts w:ascii="Arial" w:hAnsi="Arial" w:cs="Arial"/>
          <w:sz w:val="20"/>
          <w:szCs w:val="20"/>
        </w:rPr>
        <w:t xml:space="preserve"> in chronic migraine. </w:t>
      </w:r>
      <w:r w:rsidRPr="004861FC">
        <w:rPr>
          <w:rStyle w:val="s3"/>
          <w:rFonts w:ascii="Arial" w:hAnsi="Arial" w:cs="Arial"/>
          <w:sz w:val="20"/>
          <w:szCs w:val="20"/>
        </w:rPr>
        <w:t>Neurology.</w:t>
      </w:r>
      <w:r w:rsidRPr="004861FC">
        <w:rPr>
          <w:rStyle w:val="s2"/>
          <w:rFonts w:ascii="Arial" w:hAnsi="Arial" w:cs="Arial"/>
          <w:sz w:val="20"/>
          <w:szCs w:val="20"/>
        </w:rPr>
        <w:t xml:space="preserve"> 2020;94(13</w:t>
      </w:r>
      <w:proofErr w:type="gramStart"/>
      <w:r w:rsidRPr="004861FC">
        <w:rPr>
          <w:rStyle w:val="s2"/>
          <w:rFonts w:ascii="Arial" w:hAnsi="Arial" w:cs="Arial"/>
          <w:sz w:val="20"/>
          <w:szCs w:val="20"/>
        </w:rPr>
        <w:t>):e</w:t>
      </w:r>
      <w:proofErr w:type="gramEnd"/>
      <w:r w:rsidRPr="004861FC">
        <w:rPr>
          <w:rStyle w:val="s2"/>
          <w:rFonts w:ascii="Arial" w:hAnsi="Arial" w:cs="Arial"/>
          <w:sz w:val="20"/>
          <w:szCs w:val="20"/>
        </w:rPr>
        <w:t>1369-e1380. doi:10.1212/WNL.0000000000009169.</w:t>
      </w:r>
    </w:p>
    <w:p w14:paraId="18288130"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Urits</w:t>
      </w:r>
      <w:proofErr w:type="spellEnd"/>
      <w:r w:rsidRPr="004861FC">
        <w:rPr>
          <w:rStyle w:val="s1"/>
          <w:rFonts w:ascii="Arial" w:hAnsi="Arial" w:cs="Arial"/>
          <w:sz w:val="20"/>
          <w:szCs w:val="20"/>
        </w:rPr>
        <w:t xml:space="preserve"> I, Yilmaz M, </w:t>
      </w:r>
      <w:proofErr w:type="spellStart"/>
      <w:r w:rsidRPr="004861FC">
        <w:rPr>
          <w:rStyle w:val="s1"/>
          <w:rFonts w:ascii="Arial" w:hAnsi="Arial" w:cs="Arial"/>
          <w:sz w:val="20"/>
          <w:szCs w:val="20"/>
        </w:rPr>
        <w:t>Charipova</w:t>
      </w:r>
      <w:proofErr w:type="spellEnd"/>
      <w:r w:rsidRPr="004861FC">
        <w:rPr>
          <w:rStyle w:val="s1"/>
          <w:rFonts w:ascii="Arial" w:hAnsi="Arial" w:cs="Arial"/>
          <w:sz w:val="20"/>
          <w:szCs w:val="20"/>
        </w:rPr>
        <w:t xml:space="preserve"> K, et al.</w:t>
      </w:r>
      <w:r w:rsidRPr="004861FC">
        <w:rPr>
          <w:rStyle w:val="s2"/>
          <w:rFonts w:ascii="Arial" w:hAnsi="Arial" w:cs="Arial"/>
          <w:sz w:val="20"/>
          <w:szCs w:val="20"/>
        </w:rPr>
        <w:t xml:space="preserve"> An evidence-based review of </w:t>
      </w:r>
      <w:proofErr w:type="spellStart"/>
      <w:r w:rsidRPr="004861FC">
        <w:rPr>
          <w:rStyle w:val="s2"/>
          <w:rFonts w:ascii="Arial" w:hAnsi="Arial" w:cs="Arial"/>
          <w:sz w:val="20"/>
          <w:szCs w:val="20"/>
        </w:rPr>
        <w:t>galcanezumab</w:t>
      </w:r>
      <w:proofErr w:type="spellEnd"/>
      <w:r w:rsidRPr="004861FC">
        <w:rPr>
          <w:rStyle w:val="s2"/>
          <w:rFonts w:ascii="Arial" w:hAnsi="Arial" w:cs="Arial"/>
          <w:sz w:val="20"/>
          <w:szCs w:val="20"/>
        </w:rPr>
        <w:t xml:space="preserve"> for migraine treatment. </w:t>
      </w:r>
      <w:proofErr w:type="spellStart"/>
      <w:r w:rsidRPr="004861FC">
        <w:rPr>
          <w:rStyle w:val="s3"/>
          <w:rFonts w:ascii="Arial" w:hAnsi="Arial" w:cs="Arial"/>
          <w:sz w:val="20"/>
          <w:szCs w:val="20"/>
        </w:rPr>
        <w:t>Neurol</w:t>
      </w:r>
      <w:proofErr w:type="spellEnd"/>
      <w:r w:rsidRPr="004861FC">
        <w:rPr>
          <w:rStyle w:val="s3"/>
          <w:rFonts w:ascii="Arial" w:hAnsi="Arial" w:cs="Arial"/>
          <w:sz w:val="20"/>
          <w:szCs w:val="20"/>
        </w:rPr>
        <w:t xml:space="preserve"> </w:t>
      </w:r>
      <w:proofErr w:type="spellStart"/>
      <w:r w:rsidRPr="004861FC">
        <w:rPr>
          <w:rStyle w:val="s3"/>
          <w:rFonts w:ascii="Arial" w:hAnsi="Arial" w:cs="Arial"/>
          <w:sz w:val="20"/>
          <w:szCs w:val="20"/>
        </w:rPr>
        <w:t>Ther</w:t>
      </w:r>
      <w:proofErr w:type="spellEnd"/>
      <w:r w:rsidRPr="004861FC">
        <w:rPr>
          <w:rStyle w:val="s3"/>
          <w:rFonts w:ascii="Arial" w:hAnsi="Arial" w:cs="Arial"/>
          <w:sz w:val="20"/>
          <w:szCs w:val="20"/>
        </w:rPr>
        <w:t>.</w:t>
      </w:r>
      <w:r w:rsidRPr="004861FC">
        <w:rPr>
          <w:rStyle w:val="s2"/>
          <w:rFonts w:ascii="Arial" w:hAnsi="Arial" w:cs="Arial"/>
          <w:sz w:val="20"/>
          <w:szCs w:val="20"/>
        </w:rPr>
        <w:t xml:space="preserve"> 2020;9(2):403-417. doi:10.1007/s40120-020-00214-3.</w:t>
      </w:r>
    </w:p>
    <w:p w14:paraId="64F0CFEC"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Gui</w:t>
      </w:r>
      <w:proofErr w:type="spellEnd"/>
      <w:r w:rsidRPr="004861FC">
        <w:rPr>
          <w:rStyle w:val="s1"/>
          <w:rFonts w:ascii="Arial" w:hAnsi="Arial" w:cs="Arial"/>
          <w:sz w:val="20"/>
          <w:szCs w:val="20"/>
        </w:rPr>
        <w:t xml:space="preserve"> T, Li H, Zhu F, Wang Q, Zhou X, </w:t>
      </w:r>
      <w:proofErr w:type="spellStart"/>
      <w:r w:rsidRPr="004861FC">
        <w:rPr>
          <w:rStyle w:val="s1"/>
          <w:rFonts w:ascii="Arial" w:hAnsi="Arial" w:cs="Arial"/>
          <w:sz w:val="20"/>
          <w:szCs w:val="20"/>
        </w:rPr>
        <w:t>Xue</w:t>
      </w:r>
      <w:proofErr w:type="spellEnd"/>
      <w:r w:rsidRPr="004861FC">
        <w:rPr>
          <w:rStyle w:val="s1"/>
          <w:rFonts w:ascii="Arial" w:hAnsi="Arial" w:cs="Arial"/>
          <w:sz w:val="20"/>
          <w:szCs w:val="20"/>
        </w:rPr>
        <w:t xml:space="preserve"> Q.</w:t>
      </w:r>
      <w:r w:rsidRPr="004861FC">
        <w:rPr>
          <w:rStyle w:val="s2"/>
          <w:rFonts w:ascii="Arial" w:hAnsi="Arial" w:cs="Arial"/>
          <w:sz w:val="20"/>
          <w:szCs w:val="20"/>
        </w:rPr>
        <w:t xml:space="preserve"> Different dosage regimens of </w:t>
      </w:r>
      <w:proofErr w:type="spellStart"/>
      <w:r w:rsidRPr="004861FC">
        <w:rPr>
          <w:rStyle w:val="s2"/>
          <w:rFonts w:ascii="Arial" w:hAnsi="Arial" w:cs="Arial"/>
          <w:sz w:val="20"/>
          <w:szCs w:val="20"/>
        </w:rPr>
        <w:t>erenumab</w:t>
      </w:r>
      <w:proofErr w:type="spellEnd"/>
      <w:r w:rsidRPr="004861FC">
        <w:rPr>
          <w:rStyle w:val="s2"/>
          <w:rFonts w:ascii="Arial" w:hAnsi="Arial" w:cs="Arial"/>
          <w:sz w:val="20"/>
          <w:szCs w:val="20"/>
        </w:rPr>
        <w:t xml:space="preserve"> for migraine: a systematic review and meta-analysis. </w:t>
      </w:r>
      <w:r w:rsidRPr="004861FC">
        <w:rPr>
          <w:rStyle w:val="s3"/>
          <w:rFonts w:ascii="Arial" w:hAnsi="Arial" w:cs="Arial"/>
          <w:sz w:val="20"/>
          <w:szCs w:val="20"/>
        </w:rPr>
        <w:t>Headache.</w:t>
      </w:r>
      <w:r w:rsidRPr="004861FC">
        <w:rPr>
          <w:rStyle w:val="s2"/>
          <w:rFonts w:ascii="Arial" w:hAnsi="Arial" w:cs="Arial"/>
          <w:sz w:val="20"/>
          <w:szCs w:val="20"/>
        </w:rPr>
        <w:t xml:space="preserve"> 2022;62(10):1281-1292. doi:10.1111/head.14423.</w:t>
      </w:r>
    </w:p>
    <w:p w14:paraId="05658780"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Chiang CC, </w:t>
      </w:r>
      <w:proofErr w:type="spellStart"/>
      <w:r w:rsidRPr="004861FC">
        <w:rPr>
          <w:rStyle w:val="s1"/>
          <w:rFonts w:ascii="Arial" w:hAnsi="Arial" w:cs="Arial"/>
          <w:sz w:val="20"/>
          <w:szCs w:val="20"/>
        </w:rPr>
        <w:t>VanderPluym</w:t>
      </w:r>
      <w:proofErr w:type="spellEnd"/>
      <w:r w:rsidRPr="004861FC">
        <w:rPr>
          <w:rStyle w:val="s1"/>
          <w:rFonts w:ascii="Arial" w:hAnsi="Arial" w:cs="Arial"/>
          <w:sz w:val="20"/>
          <w:szCs w:val="20"/>
        </w:rPr>
        <w:t xml:space="preserve"> JH.</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Ubrogepant</w:t>
      </w:r>
      <w:proofErr w:type="spellEnd"/>
      <w:r w:rsidRPr="004861FC">
        <w:rPr>
          <w:rStyle w:val="s2"/>
          <w:rFonts w:ascii="Arial" w:hAnsi="Arial" w:cs="Arial"/>
          <w:sz w:val="20"/>
          <w:szCs w:val="20"/>
        </w:rPr>
        <w:t xml:space="preserve"> in the acute management of migraine: A narrative review. </w:t>
      </w:r>
      <w:r w:rsidRPr="004861FC">
        <w:rPr>
          <w:rStyle w:val="s3"/>
          <w:rFonts w:ascii="Arial" w:hAnsi="Arial" w:cs="Arial"/>
          <w:sz w:val="20"/>
          <w:szCs w:val="20"/>
        </w:rPr>
        <w:t>J Pain Res.</w:t>
      </w:r>
      <w:r w:rsidRPr="004861FC">
        <w:rPr>
          <w:rStyle w:val="s2"/>
          <w:rFonts w:ascii="Arial" w:hAnsi="Arial" w:cs="Arial"/>
          <w:sz w:val="20"/>
          <w:szCs w:val="20"/>
        </w:rPr>
        <w:t xml:space="preserve"> </w:t>
      </w:r>
      <w:proofErr w:type="gramStart"/>
      <w:r w:rsidRPr="004861FC">
        <w:rPr>
          <w:rStyle w:val="s2"/>
          <w:rFonts w:ascii="Arial" w:hAnsi="Arial" w:cs="Arial"/>
          <w:sz w:val="20"/>
          <w:szCs w:val="20"/>
        </w:rPr>
        <w:t>2021;14:1185</w:t>
      </w:r>
      <w:proofErr w:type="gramEnd"/>
      <w:r w:rsidRPr="004861FC">
        <w:rPr>
          <w:rStyle w:val="s2"/>
          <w:rFonts w:ascii="Arial" w:hAnsi="Arial" w:cs="Arial"/>
          <w:sz w:val="20"/>
          <w:szCs w:val="20"/>
        </w:rPr>
        <w:t>-1192. doi:10.2147/JPR.S244249.</w:t>
      </w:r>
    </w:p>
    <w:p w14:paraId="230BE928"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Blair HA.</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Rimegepant</w:t>
      </w:r>
      <w:proofErr w:type="spellEnd"/>
      <w:r w:rsidRPr="004861FC">
        <w:rPr>
          <w:rStyle w:val="s2"/>
          <w:rFonts w:ascii="Arial" w:hAnsi="Arial" w:cs="Arial"/>
          <w:sz w:val="20"/>
          <w:szCs w:val="20"/>
        </w:rPr>
        <w:t xml:space="preserve">: A review in acute and preventive treatment of migraine. </w:t>
      </w:r>
      <w:r w:rsidRPr="004861FC">
        <w:rPr>
          <w:rStyle w:val="s3"/>
          <w:rFonts w:ascii="Arial" w:hAnsi="Arial" w:cs="Arial"/>
          <w:sz w:val="20"/>
          <w:szCs w:val="20"/>
        </w:rPr>
        <w:t>CNS Drugs.</w:t>
      </w:r>
      <w:r w:rsidRPr="004861FC">
        <w:rPr>
          <w:rStyle w:val="s2"/>
          <w:rFonts w:ascii="Arial" w:hAnsi="Arial" w:cs="Arial"/>
          <w:sz w:val="20"/>
          <w:szCs w:val="20"/>
        </w:rPr>
        <w:t xml:space="preserve"> 2023;37(3):255-265. doi:10.1007/s40263-023-00988-8.</w:t>
      </w:r>
    </w:p>
    <w:p w14:paraId="1AFC6B17"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Croop</w:t>
      </w:r>
      <w:proofErr w:type="spellEnd"/>
      <w:r w:rsidRPr="004861FC">
        <w:rPr>
          <w:rStyle w:val="s1"/>
          <w:rFonts w:ascii="Arial" w:hAnsi="Arial" w:cs="Arial"/>
          <w:sz w:val="20"/>
          <w:szCs w:val="20"/>
        </w:rPr>
        <w:t xml:space="preserve"> R, </w:t>
      </w:r>
      <w:proofErr w:type="spellStart"/>
      <w:r w:rsidRPr="004861FC">
        <w:rPr>
          <w:rStyle w:val="s1"/>
          <w:rFonts w:ascii="Arial" w:hAnsi="Arial" w:cs="Arial"/>
          <w:sz w:val="20"/>
          <w:szCs w:val="20"/>
        </w:rPr>
        <w:t>Madonia</w:t>
      </w:r>
      <w:proofErr w:type="spellEnd"/>
      <w:r w:rsidRPr="004861FC">
        <w:rPr>
          <w:rStyle w:val="s1"/>
          <w:rFonts w:ascii="Arial" w:hAnsi="Arial" w:cs="Arial"/>
          <w:sz w:val="20"/>
          <w:szCs w:val="20"/>
        </w:rPr>
        <w:t xml:space="preserve"> J, Stock DA, et al.</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Zavegepant</w:t>
      </w:r>
      <w:proofErr w:type="spellEnd"/>
      <w:r w:rsidRPr="004861FC">
        <w:rPr>
          <w:rStyle w:val="s2"/>
          <w:rFonts w:ascii="Arial" w:hAnsi="Arial" w:cs="Arial"/>
          <w:sz w:val="20"/>
          <w:szCs w:val="20"/>
        </w:rPr>
        <w:t xml:space="preserve"> nasal spray for acute migraine: a phase 2/3 dose-ranging trial. </w:t>
      </w:r>
      <w:r w:rsidRPr="004861FC">
        <w:rPr>
          <w:rStyle w:val="s3"/>
          <w:rFonts w:ascii="Arial" w:hAnsi="Arial" w:cs="Arial"/>
          <w:sz w:val="20"/>
          <w:szCs w:val="20"/>
        </w:rPr>
        <w:t>Headache.</w:t>
      </w:r>
      <w:r w:rsidRPr="004861FC">
        <w:rPr>
          <w:rStyle w:val="s2"/>
          <w:rFonts w:ascii="Arial" w:hAnsi="Arial" w:cs="Arial"/>
          <w:sz w:val="20"/>
          <w:szCs w:val="20"/>
        </w:rPr>
        <w:t xml:space="preserve"> 2022;62(9):1153-1163. doi:10.1111/head.14389.</w:t>
      </w:r>
    </w:p>
    <w:p w14:paraId="60A516BD"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t>Ashina</w:t>
      </w:r>
      <w:proofErr w:type="spellEnd"/>
      <w:r w:rsidRPr="004861FC">
        <w:rPr>
          <w:rStyle w:val="s1"/>
          <w:rFonts w:ascii="Arial" w:hAnsi="Arial" w:cs="Arial"/>
          <w:sz w:val="20"/>
          <w:szCs w:val="20"/>
        </w:rPr>
        <w:t xml:space="preserve"> M, </w:t>
      </w:r>
      <w:proofErr w:type="spellStart"/>
      <w:r w:rsidRPr="004861FC">
        <w:rPr>
          <w:rStyle w:val="s1"/>
          <w:rFonts w:ascii="Arial" w:hAnsi="Arial" w:cs="Arial"/>
          <w:sz w:val="20"/>
          <w:szCs w:val="20"/>
        </w:rPr>
        <w:t>Goadsby</w:t>
      </w:r>
      <w:proofErr w:type="spellEnd"/>
      <w:r w:rsidRPr="004861FC">
        <w:rPr>
          <w:rStyle w:val="s1"/>
          <w:rFonts w:ascii="Arial" w:hAnsi="Arial" w:cs="Arial"/>
          <w:sz w:val="20"/>
          <w:szCs w:val="20"/>
        </w:rPr>
        <w:t xml:space="preserve"> PJ, Reuter U, Silberstein S, </w:t>
      </w:r>
      <w:proofErr w:type="spellStart"/>
      <w:r w:rsidRPr="004861FC">
        <w:rPr>
          <w:rStyle w:val="s1"/>
          <w:rFonts w:ascii="Arial" w:hAnsi="Arial" w:cs="Arial"/>
          <w:sz w:val="20"/>
          <w:szCs w:val="20"/>
        </w:rPr>
        <w:t>Dodick</w:t>
      </w:r>
      <w:proofErr w:type="spellEnd"/>
      <w:r w:rsidRPr="004861FC">
        <w:rPr>
          <w:rStyle w:val="s1"/>
          <w:rFonts w:ascii="Arial" w:hAnsi="Arial" w:cs="Arial"/>
          <w:sz w:val="20"/>
          <w:szCs w:val="20"/>
        </w:rPr>
        <w:t xml:space="preserve"> D, Rippon GA, et al.</w:t>
      </w:r>
      <w:r w:rsidRPr="004861FC">
        <w:rPr>
          <w:rStyle w:val="s2"/>
          <w:rFonts w:ascii="Arial" w:hAnsi="Arial" w:cs="Arial"/>
          <w:sz w:val="20"/>
          <w:szCs w:val="20"/>
        </w:rPr>
        <w:t xml:space="preserve"> Long-term safety and tolerability of </w:t>
      </w:r>
      <w:proofErr w:type="spellStart"/>
      <w:r w:rsidRPr="004861FC">
        <w:rPr>
          <w:rStyle w:val="s2"/>
          <w:rFonts w:ascii="Arial" w:hAnsi="Arial" w:cs="Arial"/>
          <w:sz w:val="20"/>
          <w:szCs w:val="20"/>
        </w:rPr>
        <w:t>erenumab</w:t>
      </w:r>
      <w:proofErr w:type="spellEnd"/>
      <w:r w:rsidRPr="004861FC">
        <w:rPr>
          <w:rStyle w:val="s2"/>
          <w:rFonts w:ascii="Arial" w:hAnsi="Arial" w:cs="Arial"/>
          <w:sz w:val="20"/>
          <w:szCs w:val="20"/>
        </w:rPr>
        <w:t xml:space="preserve">: results from a five-year open-label extension. </w:t>
      </w:r>
      <w:r w:rsidRPr="004861FC">
        <w:rPr>
          <w:rStyle w:val="s3"/>
          <w:rFonts w:ascii="Arial" w:hAnsi="Arial" w:cs="Arial"/>
          <w:sz w:val="20"/>
          <w:szCs w:val="20"/>
        </w:rPr>
        <w:t>Cephalalgia.</w:t>
      </w:r>
      <w:r w:rsidRPr="004861FC">
        <w:rPr>
          <w:rStyle w:val="s2"/>
          <w:rFonts w:ascii="Arial" w:hAnsi="Arial" w:cs="Arial"/>
          <w:sz w:val="20"/>
          <w:szCs w:val="20"/>
        </w:rPr>
        <w:t xml:space="preserve"> 2019;39(11):1455-1464. doi:10.1177/0333102419854082. PMID: 31146544.</w:t>
      </w:r>
    </w:p>
    <w:p w14:paraId="38663225" w14:textId="77777777" w:rsidR="004861FC" w:rsidRPr="004861FC" w:rsidRDefault="004861FC" w:rsidP="004861FC">
      <w:pPr>
        <w:pStyle w:val="p1"/>
        <w:numPr>
          <w:ilvl w:val="0"/>
          <w:numId w:val="33"/>
        </w:numPr>
        <w:divId w:val="585501717"/>
        <w:rPr>
          <w:rFonts w:ascii="Arial" w:hAnsi="Arial" w:cs="Arial"/>
          <w:sz w:val="20"/>
          <w:szCs w:val="20"/>
        </w:rPr>
      </w:pPr>
      <w:proofErr w:type="spellStart"/>
      <w:r w:rsidRPr="004861FC">
        <w:rPr>
          <w:rStyle w:val="s1"/>
          <w:rFonts w:ascii="Arial" w:hAnsi="Arial" w:cs="Arial"/>
          <w:sz w:val="20"/>
          <w:szCs w:val="20"/>
        </w:rPr>
        <w:lastRenderedPageBreak/>
        <w:t>Goadsby</w:t>
      </w:r>
      <w:proofErr w:type="spellEnd"/>
      <w:r w:rsidRPr="004861FC">
        <w:rPr>
          <w:rStyle w:val="s1"/>
          <w:rFonts w:ascii="Arial" w:hAnsi="Arial" w:cs="Arial"/>
          <w:sz w:val="20"/>
          <w:szCs w:val="20"/>
        </w:rPr>
        <w:t xml:space="preserve"> PJ, Silberstein SD, Yeung PP, et al.</w:t>
      </w:r>
      <w:r w:rsidRPr="004861FC">
        <w:rPr>
          <w:rStyle w:val="s2"/>
          <w:rFonts w:ascii="Arial" w:hAnsi="Arial" w:cs="Arial"/>
          <w:sz w:val="20"/>
          <w:szCs w:val="20"/>
        </w:rPr>
        <w:t xml:space="preserve"> Long-term safety, tolerability, and efficacy of </w:t>
      </w:r>
      <w:proofErr w:type="spellStart"/>
      <w:r w:rsidRPr="004861FC">
        <w:rPr>
          <w:rStyle w:val="s2"/>
          <w:rFonts w:ascii="Arial" w:hAnsi="Arial" w:cs="Arial"/>
          <w:sz w:val="20"/>
          <w:szCs w:val="20"/>
        </w:rPr>
        <w:t>fremanezumab</w:t>
      </w:r>
      <w:proofErr w:type="spellEnd"/>
      <w:r w:rsidRPr="004861FC">
        <w:rPr>
          <w:rStyle w:val="s2"/>
          <w:rFonts w:ascii="Arial" w:hAnsi="Arial" w:cs="Arial"/>
          <w:sz w:val="20"/>
          <w:szCs w:val="20"/>
        </w:rPr>
        <w:t xml:space="preserve"> in migraine: a randomized study. </w:t>
      </w:r>
      <w:r w:rsidRPr="004861FC">
        <w:rPr>
          <w:rStyle w:val="s3"/>
          <w:rFonts w:ascii="Arial" w:hAnsi="Arial" w:cs="Arial"/>
          <w:sz w:val="20"/>
          <w:szCs w:val="20"/>
        </w:rPr>
        <w:t>Neurology.</w:t>
      </w:r>
      <w:r w:rsidRPr="004861FC">
        <w:rPr>
          <w:rStyle w:val="s2"/>
          <w:rFonts w:ascii="Arial" w:hAnsi="Arial" w:cs="Arial"/>
          <w:sz w:val="20"/>
          <w:szCs w:val="20"/>
        </w:rPr>
        <w:t xml:space="preserve"> 2020;95(18</w:t>
      </w:r>
      <w:proofErr w:type="gramStart"/>
      <w:r w:rsidRPr="004861FC">
        <w:rPr>
          <w:rStyle w:val="s2"/>
          <w:rFonts w:ascii="Arial" w:hAnsi="Arial" w:cs="Arial"/>
          <w:sz w:val="20"/>
          <w:szCs w:val="20"/>
        </w:rPr>
        <w:t>):e</w:t>
      </w:r>
      <w:proofErr w:type="gramEnd"/>
      <w:r w:rsidRPr="004861FC">
        <w:rPr>
          <w:rStyle w:val="s2"/>
          <w:rFonts w:ascii="Arial" w:hAnsi="Arial" w:cs="Arial"/>
          <w:sz w:val="20"/>
          <w:szCs w:val="20"/>
        </w:rPr>
        <w:t>2487-e2499. doi:10.1212/WNL.0000000000010600. PMID: 32913018.</w:t>
      </w:r>
    </w:p>
    <w:p w14:paraId="439E74FB"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CADTH.</w:t>
      </w:r>
      <w:r w:rsidRPr="004861FC">
        <w:rPr>
          <w:rStyle w:val="s2"/>
          <w:rFonts w:ascii="Arial" w:hAnsi="Arial" w:cs="Arial"/>
          <w:sz w:val="20"/>
          <w:szCs w:val="20"/>
        </w:rPr>
        <w:t xml:space="preserve"> </w:t>
      </w:r>
      <w:proofErr w:type="spellStart"/>
      <w:r w:rsidRPr="004861FC">
        <w:rPr>
          <w:rStyle w:val="s2"/>
          <w:rFonts w:ascii="Arial" w:hAnsi="Arial" w:cs="Arial"/>
          <w:sz w:val="20"/>
          <w:szCs w:val="20"/>
        </w:rPr>
        <w:t>Galcanezumab</w:t>
      </w:r>
      <w:proofErr w:type="spellEnd"/>
      <w:r w:rsidRPr="004861FC">
        <w:rPr>
          <w:rStyle w:val="s2"/>
          <w:rFonts w:ascii="Arial" w:hAnsi="Arial" w:cs="Arial"/>
          <w:sz w:val="20"/>
          <w:szCs w:val="20"/>
        </w:rPr>
        <w:t xml:space="preserve"> (</w:t>
      </w:r>
      <w:proofErr w:type="spellStart"/>
      <w:r w:rsidRPr="004861FC">
        <w:rPr>
          <w:rStyle w:val="s2"/>
          <w:rFonts w:ascii="Arial" w:hAnsi="Arial" w:cs="Arial"/>
          <w:sz w:val="20"/>
          <w:szCs w:val="20"/>
        </w:rPr>
        <w:t>Emgality</w:t>
      </w:r>
      <w:proofErr w:type="spellEnd"/>
      <w:r w:rsidRPr="004861FC">
        <w:rPr>
          <w:rStyle w:val="s2"/>
          <w:rFonts w:ascii="Arial" w:hAnsi="Arial" w:cs="Arial"/>
          <w:sz w:val="20"/>
          <w:szCs w:val="20"/>
        </w:rPr>
        <w:t>): CADTH reimbursement review. Ottawa (ON): Canadian Agency for Drugs and Technologies in Health; 2022 Mar. Available from: https://www.ncbi.nlm.nih.gov/books/NBK596661/.</w:t>
      </w:r>
    </w:p>
    <w:p w14:paraId="30FA9C39"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 xml:space="preserve">Smith TR, </w:t>
      </w:r>
      <w:proofErr w:type="spellStart"/>
      <w:r w:rsidRPr="004861FC">
        <w:rPr>
          <w:rStyle w:val="s1"/>
          <w:rFonts w:ascii="Arial" w:hAnsi="Arial" w:cs="Arial"/>
          <w:sz w:val="20"/>
          <w:szCs w:val="20"/>
        </w:rPr>
        <w:t>Spierings</w:t>
      </w:r>
      <w:proofErr w:type="spellEnd"/>
      <w:r w:rsidRPr="004861FC">
        <w:rPr>
          <w:rStyle w:val="s1"/>
          <w:rFonts w:ascii="Arial" w:hAnsi="Arial" w:cs="Arial"/>
          <w:sz w:val="20"/>
          <w:szCs w:val="20"/>
        </w:rPr>
        <w:t xml:space="preserve"> ELH, Cady R, et al.</w:t>
      </w:r>
      <w:r w:rsidRPr="004861FC">
        <w:rPr>
          <w:rStyle w:val="s2"/>
          <w:rFonts w:ascii="Arial" w:hAnsi="Arial" w:cs="Arial"/>
          <w:sz w:val="20"/>
          <w:szCs w:val="20"/>
        </w:rPr>
        <w:t xml:space="preserve"> Safety and tolerability of </w:t>
      </w:r>
      <w:proofErr w:type="spellStart"/>
      <w:r w:rsidRPr="004861FC">
        <w:rPr>
          <w:rStyle w:val="s2"/>
          <w:rFonts w:ascii="Arial" w:hAnsi="Arial" w:cs="Arial"/>
          <w:sz w:val="20"/>
          <w:szCs w:val="20"/>
        </w:rPr>
        <w:t>eptinezumab</w:t>
      </w:r>
      <w:proofErr w:type="spellEnd"/>
      <w:r w:rsidRPr="004861FC">
        <w:rPr>
          <w:rStyle w:val="s2"/>
          <w:rFonts w:ascii="Arial" w:hAnsi="Arial" w:cs="Arial"/>
          <w:sz w:val="20"/>
          <w:szCs w:val="20"/>
        </w:rPr>
        <w:t xml:space="preserve"> in patients with migraine: pooled analysis of 5 clinical trials. </w:t>
      </w:r>
      <w:r w:rsidRPr="004861FC">
        <w:rPr>
          <w:rStyle w:val="s3"/>
          <w:rFonts w:ascii="Arial" w:hAnsi="Arial" w:cs="Arial"/>
          <w:sz w:val="20"/>
          <w:szCs w:val="20"/>
        </w:rPr>
        <w:t>J Headache Pain.</w:t>
      </w:r>
      <w:r w:rsidRPr="004861FC">
        <w:rPr>
          <w:rStyle w:val="s2"/>
          <w:rFonts w:ascii="Arial" w:hAnsi="Arial" w:cs="Arial"/>
          <w:sz w:val="20"/>
          <w:szCs w:val="20"/>
        </w:rPr>
        <w:t xml:space="preserve"> 2021;22(1):16. doi:10.1186/s10194-021-01227-5. PMID: 33781209.</w:t>
      </w:r>
    </w:p>
    <w:p w14:paraId="194804C9" w14:textId="77777777" w:rsidR="004861FC" w:rsidRPr="004861FC" w:rsidRDefault="004861FC" w:rsidP="004861FC">
      <w:pPr>
        <w:pStyle w:val="p1"/>
        <w:numPr>
          <w:ilvl w:val="0"/>
          <w:numId w:val="33"/>
        </w:numPr>
        <w:divId w:val="585501717"/>
        <w:rPr>
          <w:rFonts w:ascii="Arial" w:hAnsi="Arial" w:cs="Arial"/>
          <w:sz w:val="20"/>
          <w:szCs w:val="20"/>
        </w:rPr>
      </w:pPr>
      <w:r w:rsidRPr="004861FC">
        <w:rPr>
          <w:rStyle w:val="s1"/>
          <w:rFonts w:ascii="Arial" w:hAnsi="Arial" w:cs="Arial"/>
          <w:sz w:val="20"/>
          <w:szCs w:val="20"/>
        </w:rPr>
        <w:t>Liang Q, Liao X, Wu H, Huang Y, Liang T, Li H, et al.</w:t>
      </w:r>
      <w:r w:rsidRPr="004861FC">
        <w:rPr>
          <w:rStyle w:val="s2"/>
          <w:rFonts w:ascii="Arial" w:hAnsi="Arial" w:cs="Arial"/>
          <w:sz w:val="20"/>
          <w:szCs w:val="20"/>
        </w:rPr>
        <w:t xml:space="preserve"> Real-world adverse events associated with </w:t>
      </w:r>
      <w:proofErr w:type="spellStart"/>
      <w:r w:rsidRPr="004861FC">
        <w:rPr>
          <w:rStyle w:val="s2"/>
          <w:rFonts w:ascii="Arial" w:hAnsi="Arial" w:cs="Arial"/>
          <w:sz w:val="20"/>
          <w:szCs w:val="20"/>
        </w:rPr>
        <w:t>gepants</w:t>
      </w:r>
      <w:proofErr w:type="spellEnd"/>
      <w:r w:rsidRPr="004861FC">
        <w:rPr>
          <w:rStyle w:val="s2"/>
          <w:rFonts w:ascii="Arial" w:hAnsi="Arial" w:cs="Arial"/>
          <w:sz w:val="20"/>
          <w:szCs w:val="20"/>
        </w:rPr>
        <w:t xml:space="preserve">: data from </w:t>
      </w:r>
      <w:proofErr w:type="spellStart"/>
      <w:r w:rsidRPr="004861FC">
        <w:rPr>
          <w:rStyle w:val="s2"/>
          <w:rFonts w:ascii="Arial" w:hAnsi="Arial" w:cs="Arial"/>
          <w:sz w:val="20"/>
          <w:szCs w:val="20"/>
        </w:rPr>
        <w:t>VigiAccess</w:t>
      </w:r>
      <w:proofErr w:type="spellEnd"/>
      <w:r w:rsidRPr="004861FC">
        <w:rPr>
          <w:rStyle w:val="s2"/>
          <w:rFonts w:ascii="Arial" w:hAnsi="Arial" w:cs="Arial"/>
          <w:sz w:val="20"/>
          <w:szCs w:val="20"/>
        </w:rPr>
        <w:t xml:space="preserve"> and FDA reporting. </w:t>
      </w:r>
      <w:r w:rsidRPr="004861FC">
        <w:rPr>
          <w:rStyle w:val="s3"/>
          <w:rFonts w:ascii="Arial" w:hAnsi="Arial" w:cs="Arial"/>
          <w:sz w:val="20"/>
          <w:szCs w:val="20"/>
        </w:rPr>
        <w:t>Front Pharmacol.</w:t>
      </w:r>
      <w:r w:rsidRPr="004861FC">
        <w:rPr>
          <w:rStyle w:val="s2"/>
          <w:rFonts w:ascii="Arial" w:hAnsi="Arial" w:cs="Arial"/>
          <w:sz w:val="20"/>
          <w:szCs w:val="20"/>
        </w:rPr>
        <w:t xml:space="preserve"> </w:t>
      </w:r>
      <w:proofErr w:type="gramStart"/>
      <w:r w:rsidRPr="004861FC">
        <w:rPr>
          <w:rStyle w:val="s2"/>
          <w:rFonts w:ascii="Arial" w:hAnsi="Arial" w:cs="Arial"/>
          <w:sz w:val="20"/>
          <w:szCs w:val="20"/>
        </w:rPr>
        <w:t>2024;15:1431562</w:t>
      </w:r>
      <w:proofErr w:type="gramEnd"/>
      <w:r w:rsidRPr="004861FC">
        <w:rPr>
          <w:rStyle w:val="s2"/>
          <w:rFonts w:ascii="Arial" w:hAnsi="Arial" w:cs="Arial"/>
          <w:sz w:val="20"/>
          <w:szCs w:val="20"/>
        </w:rPr>
        <w:t>. doi:10.3389/fphar.2024.1431562. PMID: 39144633.</w:t>
      </w:r>
    </w:p>
    <w:p w14:paraId="41B18FF5" w14:textId="77777777" w:rsidR="004861FC" w:rsidRPr="00FB3A86" w:rsidRDefault="004861FC" w:rsidP="00441B6F">
      <w:pPr>
        <w:pStyle w:val="ReferHead"/>
        <w:spacing w:after="0"/>
        <w:jc w:val="both"/>
        <w:rPr>
          <w:rFonts w:ascii="Arial" w:hAnsi="Arial" w:cs="Arial"/>
        </w:rPr>
      </w:pPr>
    </w:p>
    <w:p w14:paraId="415B3919" w14:textId="77777777" w:rsidR="004D4277" w:rsidRPr="00FB3A86" w:rsidRDefault="00B01FCD" w:rsidP="00441B6F">
      <w:pPr>
        <w:pStyle w:val="Appendix"/>
        <w:spacing w:after="0"/>
        <w:jc w:val="both"/>
        <w:rPr>
          <w:rFonts w:ascii="Arial" w:hAnsi="Arial" w:cs="Arial"/>
          <w:b w:val="0"/>
        </w:rPr>
        <w:sectPr w:rsidR="004D4277" w:rsidRPr="00FB3A86" w:rsidSect="000B1E33">
          <w:footerReference w:type="default" r:id="rId10"/>
          <w:type w:val="continuous"/>
          <w:pgSz w:w="12240" w:h="15840"/>
          <w:pgMar w:top="1440" w:right="2016" w:bottom="2016" w:left="2016" w:header="720" w:footer="1123" w:gutter="0"/>
          <w:lnNumType w:countBy="1" w:restart="continuous"/>
          <w:cols w:space="720"/>
          <w:docGrid w:linePitch="272"/>
        </w:sectPr>
      </w:pPr>
      <w:r w:rsidRPr="00FB3A86">
        <w:rPr>
          <w:rFonts w:ascii="Arial" w:hAnsi="Arial" w:cs="Arial"/>
        </w:rPr>
        <w:t>APPENDIX</w:t>
      </w:r>
    </w:p>
    <w:p w14:paraId="63AA3E2F"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A6A2" w14:textId="77777777" w:rsidR="00053B8F" w:rsidRDefault="00053B8F" w:rsidP="00C37E61">
      <w:r>
        <w:separator/>
      </w:r>
    </w:p>
  </w:endnote>
  <w:endnote w:type="continuationSeparator" w:id="0">
    <w:p w14:paraId="699982D9" w14:textId="77777777" w:rsidR="00053B8F" w:rsidRDefault="00053B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68DD" w14:textId="77777777" w:rsidR="009E048A" w:rsidRDefault="009E048A">
    <w:pPr>
      <w:pStyle w:val="Footer"/>
      <w:rPr>
        <w:rFonts w:ascii="Arial" w:hAnsi="Arial" w:cs="Arial"/>
        <w:sz w:val="16"/>
      </w:rPr>
    </w:pPr>
  </w:p>
  <w:p w14:paraId="4426C6A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9F720C" w14:textId="77777777" w:rsidR="009E048A" w:rsidRDefault="009E048A">
    <w:pPr>
      <w:pStyle w:val="Footer"/>
      <w:rPr>
        <w:rFonts w:ascii="Arial" w:hAnsi="Arial" w:cs="Arial"/>
        <w:sz w:val="16"/>
      </w:rPr>
    </w:pPr>
  </w:p>
  <w:p w14:paraId="65E702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9E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C9A4C" w14:textId="77777777" w:rsidR="00053B8F" w:rsidRDefault="00053B8F" w:rsidP="00C37E61">
      <w:r>
        <w:separator/>
      </w:r>
    </w:p>
  </w:footnote>
  <w:footnote w:type="continuationSeparator" w:id="0">
    <w:p w14:paraId="57D13100" w14:textId="77777777" w:rsidR="00053B8F" w:rsidRDefault="00053B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177C" w14:textId="77777777" w:rsidR="00296529" w:rsidRPr="00296529" w:rsidRDefault="00296529" w:rsidP="00296529">
    <w:pPr>
      <w:ind w:left="2160"/>
      <w:jc w:val="center"/>
      <w:rPr>
        <w:rFonts w:ascii="Times New Roman" w:eastAsia="Calibri" w:hAnsi="Times New Roman"/>
        <w:i/>
        <w:sz w:val="18"/>
        <w:szCs w:val="22"/>
      </w:rPr>
    </w:pPr>
  </w:p>
  <w:p w14:paraId="5512B5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CFBE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BAF8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E0EE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2250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72FF6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A350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6A34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D658A"/>
    <w:multiLevelType w:val="multilevel"/>
    <w:tmpl w:val="FFFFFFFF"/>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06370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162C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536A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944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BA20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F3E50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604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4025F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0606D"/>
    <w:multiLevelType w:val="multilevel"/>
    <w:tmpl w:val="FFFFFFFF"/>
    <w:lvl w:ilvl="0">
      <w:start w:val="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7EA3A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2553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4CE49F2"/>
    <w:multiLevelType w:val="hybridMultilevel"/>
    <w:tmpl w:val="26F2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40"/>
  </w:num>
  <w:num w:numId="10">
    <w:abstractNumId w:val="2"/>
  </w:num>
  <w:num w:numId="11">
    <w:abstractNumId w:val="31"/>
  </w:num>
  <w:num w:numId="12">
    <w:abstractNumId w:val="3"/>
  </w:num>
  <w:num w:numId="13">
    <w:abstractNumId w:val="27"/>
  </w:num>
  <w:num w:numId="14">
    <w:abstractNumId w:val="11"/>
  </w:num>
  <w:num w:numId="15">
    <w:abstractNumId w:val="35"/>
  </w:num>
  <w:num w:numId="16">
    <w:abstractNumId w:val="5"/>
  </w:num>
  <w:num w:numId="17">
    <w:abstractNumId w:val="36"/>
  </w:num>
  <w:num w:numId="18">
    <w:abstractNumId w:val="18"/>
  </w:num>
  <w:num w:numId="19">
    <w:abstractNumId w:val="43"/>
  </w:num>
  <w:num w:numId="20">
    <w:abstractNumId w:val="14"/>
  </w:num>
  <w:num w:numId="21">
    <w:abstractNumId w:val="12"/>
  </w:num>
  <w:num w:numId="22">
    <w:abstractNumId w:val="16"/>
  </w:num>
  <w:num w:numId="23">
    <w:abstractNumId w:val="32"/>
  </w:num>
  <w:num w:numId="24">
    <w:abstractNumId w:val="41"/>
  </w:num>
  <w:num w:numId="25">
    <w:abstractNumId w:val="4"/>
  </w:num>
  <w:num w:numId="26">
    <w:abstractNumId w:val="25"/>
  </w:num>
  <w:num w:numId="27">
    <w:abstractNumId w:val="34"/>
  </w:num>
  <w:num w:numId="28">
    <w:abstractNumId w:val="42"/>
  </w:num>
  <w:num w:numId="29">
    <w:abstractNumId w:val="39"/>
  </w:num>
  <w:num w:numId="30">
    <w:abstractNumId w:val="13"/>
  </w:num>
  <w:num w:numId="31">
    <w:abstractNumId w:val="19"/>
  </w:num>
  <w:num w:numId="32">
    <w:abstractNumId w:val="38"/>
  </w:num>
  <w:num w:numId="33">
    <w:abstractNumId w:val="21"/>
  </w:num>
  <w:num w:numId="34">
    <w:abstractNumId w:val="10"/>
  </w:num>
  <w:num w:numId="35">
    <w:abstractNumId w:val="9"/>
  </w:num>
  <w:num w:numId="36">
    <w:abstractNumId w:val="22"/>
  </w:num>
  <w:num w:numId="37">
    <w:abstractNumId w:val="17"/>
  </w:num>
  <w:num w:numId="38">
    <w:abstractNumId w:val="33"/>
  </w:num>
  <w:num w:numId="39">
    <w:abstractNumId w:val="26"/>
  </w:num>
  <w:num w:numId="40">
    <w:abstractNumId w:val="20"/>
  </w:num>
  <w:num w:numId="41">
    <w:abstractNumId w:val="29"/>
  </w:num>
  <w:num w:numId="42">
    <w:abstractNumId w:val="6"/>
  </w:num>
  <w:num w:numId="43">
    <w:abstractNumId w:val="30"/>
  </w:num>
  <w:num w:numId="44">
    <w:abstractNumId w:val="2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394"/>
    <w:rsid w:val="0001383E"/>
    <w:rsid w:val="00030174"/>
    <w:rsid w:val="00035343"/>
    <w:rsid w:val="00037773"/>
    <w:rsid w:val="0004186A"/>
    <w:rsid w:val="00042E9A"/>
    <w:rsid w:val="0004579C"/>
    <w:rsid w:val="00053B8F"/>
    <w:rsid w:val="000A47FA"/>
    <w:rsid w:val="000A65D3"/>
    <w:rsid w:val="000B1E33"/>
    <w:rsid w:val="000D689F"/>
    <w:rsid w:val="000E7B7B"/>
    <w:rsid w:val="000E7D62"/>
    <w:rsid w:val="000F4A1A"/>
    <w:rsid w:val="00103357"/>
    <w:rsid w:val="00123C9F"/>
    <w:rsid w:val="00126190"/>
    <w:rsid w:val="00130F17"/>
    <w:rsid w:val="001320BF"/>
    <w:rsid w:val="00163BC4"/>
    <w:rsid w:val="001835BE"/>
    <w:rsid w:val="00191062"/>
    <w:rsid w:val="00192B72"/>
    <w:rsid w:val="00197077"/>
    <w:rsid w:val="001A20BC"/>
    <w:rsid w:val="001A29D8"/>
    <w:rsid w:val="001A5CAA"/>
    <w:rsid w:val="001B0427"/>
    <w:rsid w:val="001C11D2"/>
    <w:rsid w:val="001C1459"/>
    <w:rsid w:val="001D3A51"/>
    <w:rsid w:val="001E10D2"/>
    <w:rsid w:val="001E25B4"/>
    <w:rsid w:val="001E44FE"/>
    <w:rsid w:val="001F3CD2"/>
    <w:rsid w:val="00200595"/>
    <w:rsid w:val="00204835"/>
    <w:rsid w:val="00213CF1"/>
    <w:rsid w:val="00231920"/>
    <w:rsid w:val="0023195C"/>
    <w:rsid w:val="0024282C"/>
    <w:rsid w:val="002460DC"/>
    <w:rsid w:val="00250985"/>
    <w:rsid w:val="002556F6"/>
    <w:rsid w:val="002601A2"/>
    <w:rsid w:val="00283105"/>
    <w:rsid w:val="00284C4C"/>
    <w:rsid w:val="00287E68"/>
    <w:rsid w:val="00296529"/>
    <w:rsid w:val="002A2D50"/>
    <w:rsid w:val="002B27FB"/>
    <w:rsid w:val="002B685A"/>
    <w:rsid w:val="002C57D2"/>
    <w:rsid w:val="002C7ACC"/>
    <w:rsid w:val="002E0D56"/>
    <w:rsid w:val="00315186"/>
    <w:rsid w:val="00325959"/>
    <w:rsid w:val="00326283"/>
    <w:rsid w:val="0033343E"/>
    <w:rsid w:val="003512C2"/>
    <w:rsid w:val="00370771"/>
    <w:rsid w:val="00371FB6"/>
    <w:rsid w:val="003763C1"/>
    <w:rsid w:val="00376BBE"/>
    <w:rsid w:val="0039224F"/>
    <w:rsid w:val="003A43A4"/>
    <w:rsid w:val="003A6FF1"/>
    <w:rsid w:val="003A7E18"/>
    <w:rsid w:val="003B7BAE"/>
    <w:rsid w:val="003C4C86"/>
    <w:rsid w:val="003C6258"/>
    <w:rsid w:val="003D6FE1"/>
    <w:rsid w:val="003E1348"/>
    <w:rsid w:val="003E2904"/>
    <w:rsid w:val="003E3EB7"/>
    <w:rsid w:val="00401927"/>
    <w:rsid w:val="0041027F"/>
    <w:rsid w:val="00412475"/>
    <w:rsid w:val="00423789"/>
    <w:rsid w:val="00434F7C"/>
    <w:rsid w:val="00440F43"/>
    <w:rsid w:val="00441B6F"/>
    <w:rsid w:val="00446221"/>
    <w:rsid w:val="00450E62"/>
    <w:rsid w:val="004539DB"/>
    <w:rsid w:val="00471A80"/>
    <w:rsid w:val="004861FC"/>
    <w:rsid w:val="004D305E"/>
    <w:rsid w:val="004D370A"/>
    <w:rsid w:val="004D4277"/>
    <w:rsid w:val="00502516"/>
    <w:rsid w:val="005030A7"/>
    <w:rsid w:val="00505F06"/>
    <w:rsid w:val="00506828"/>
    <w:rsid w:val="0053056E"/>
    <w:rsid w:val="00542F19"/>
    <w:rsid w:val="00554FDA"/>
    <w:rsid w:val="005C784C"/>
    <w:rsid w:val="005D17F6"/>
    <w:rsid w:val="005E5539"/>
    <w:rsid w:val="005E70C9"/>
    <w:rsid w:val="00602BF5"/>
    <w:rsid w:val="00604B51"/>
    <w:rsid w:val="00617FDD"/>
    <w:rsid w:val="006269A5"/>
    <w:rsid w:val="006313FF"/>
    <w:rsid w:val="00633614"/>
    <w:rsid w:val="00633F68"/>
    <w:rsid w:val="00636EB2"/>
    <w:rsid w:val="006375B8"/>
    <w:rsid w:val="0066510A"/>
    <w:rsid w:val="00673F9F"/>
    <w:rsid w:val="00686953"/>
    <w:rsid w:val="00687DEA"/>
    <w:rsid w:val="00687E67"/>
    <w:rsid w:val="006967F7"/>
    <w:rsid w:val="006A250C"/>
    <w:rsid w:val="006B21D3"/>
    <w:rsid w:val="006B57D0"/>
    <w:rsid w:val="006C4D01"/>
    <w:rsid w:val="006D30FF"/>
    <w:rsid w:val="006D6940"/>
    <w:rsid w:val="006E0CAE"/>
    <w:rsid w:val="006F11EC"/>
    <w:rsid w:val="0070082C"/>
    <w:rsid w:val="007369E6"/>
    <w:rsid w:val="00746E59"/>
    <w:rsid w:val="007517BC"/>
    <w:rsid w:val="00754C9A"/>
    <w:rsid w:val="0075599A"/>
    <w:rsid w:val="00761D52"/>
    <w:rsid w:val="007710DE"/>
    <w:rsid w:val="0077749E"/>
    <w:rsid w:val="00790ADA"/>
    <w:rsid w:val="007D2288"/>
    <w:rsid w:val="007E088F"/>
    <w:rsid w:val="007F5248"/>
    <w:rsid w:val="007F7AB5"/>
    <w:rsid w:val="007F7B32"/>
    <w:rsid w:val="00804BC2"/>
    <w:rsid w:val="00811769"/>
    <w:rsid w:val="0081431A"/>
    <w:rsid w:val="0083100B"/>
    <w:rsid w:val="0083216F"/>
    <w:rsid w:val="008336EE"/>
    <w:rsid w:val="00860000"/>
    <w:rsid w:val="00863BD3"/>
    <w:rsid w:val="008641ED"/>
    <w:rsid w:val="00866D66"/>
    <w:rsid w:val="008671C6"/>
    <w:rsid w:val="00874847"/>
    <w:rsid w:val="00875803"/>
    <w:rsid w:val="008B459E"/>
    <w:rsid w:val="008C7319"/>
    <w:rsid w:val="008E13AE"/>
    <w:rsid w:val="008E1506"/>
    <w:rsid w:val="008E710C"/>
    <w:rsid w:val="008F69D6"/>
    <w:rsid w:val="00902823"/>
    <w:rsid w:val="00915CA6"/>
    <w:rsid w:val="00927834"/>
    <w:rsid w:val="009317B3"/>
    <w:rsid w:val="009500A6"/>
    <w:rsid w:val="00957C18"/>
    <w:rsid w:val="009659BA"/>
    <w:rsid w:val="009666D5"/>
    <w:rsid w:val="00983040"/>
    <w:rsid w:val="00992A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C37"/>
    <w:rsid w:val="00A347C0"/>
    <w:rsid w:val="00A40923"/>
    <w:rsid w:val="00A51431"/>
    <w:rsid w:val="00A539AD"/>
    <w:rsid w:val="00A64655"/>
    <w:rsid w:val="00A8412A"/>
    <w:rsid w:val="00A94063"/>
    <w:rsid w:val="00AA6219"/>
    <w:rsid w:val="00AA74E0"/>
    <w:rsid w:val="00AB703F"/>
    <w:rsid w:val="00AC3B60"/>
    <w:rsid w:val="00AC6BB8"/>
    <w:rsid w:val="00AD3F36"/>
    <w:rsid w:val="00AE008F"/>
    <w:rsid w:val="00B01FCD"/>
    <w:rsid w:val="00B16EEC"/>
    <w:rsid w:val="00B1776C"/>
    <w:rsid w:val="00B52583"/>
    <w:rsid w:val="00B52896"/>
    <w:rsid w:val="00B73135"/>
    <w:rsid w:val="00B95236"/>
    <w:rsid w:val="00B96BD9"/>
    <w:rsid w:val="00BA1B01"/>
    <w:rsid w:val="00BA2641"/>
    <w:rsid w:val="00BA4AF3"/>
    <w:rsid w:val="00BB37AA"/>
    <w:rsid w:val="00BC53A0"/>
    <w:rsid w:val="00BE62AD"/>
    <w:rsid w:val="00BF121F"/>
    <w:rsid w:val="00BF1F80"/>
    <w:rsid w:val="00C00D1F"/>
    <w:rsid w:val="00C166EF"/>
    <w:rsid w:val="00C17EB0"/>
    <w:rsid w:val="00C27F5F"/>
    <w:rsid w:val="00C30A0F"/>
    <w:rsid w:val="00C37E61"/>
    <w:rsid w:val="00C66347"/>
    <w:rsid w:val="00C70F1B"/>
    <w:rsid w:val="00C71A47"/>
    <w:rsid w:val="00C7464C"/>
    <w:rsid w:val="00C85588"/>
    <w:rsid w:val="00C97208"/>
    <w:rsid w:val="00CA4C19"/>
    <w:rsid w:val="00CD4122"/>
    <w:rsid w:val="00CD6755"/>
    <w:rsid w:val="00CD6856"/>
    <w:rsid w:val="00CE0089"/>
    <w:rsid w:val="00CE793C"/>
    <w:rsid w:val="00CF193C"/>
    <w:rsid w:val="00D173F1"/>
    <w:rsid w:val="00D640C9"/>
    <w:rsid w:val="00D74CB0"/>
    <w:rsid w:val="00D8295D"/>
    <w:rsid w:val="00DC2A65"/>
    <w:rsid w:val="00DE15F0"/>
    <w:rsid w:val="00DE5663"/>
    <w:rsid w:val="00DE5F30"/>
    <w:rsid w:val="00DE78AA"/>
    <w:rsid w:val="00DF1567"/>
    <w:rsid w:val="00DF5252"/>
    <w:rsid w:val="00E053D0"/>
    <w:rsid w:val="00E15994"/>
    <w:rsid w:val="00E26BF5"/>
    <w:rsid w:val="00E3114E"/>
    <w:rsid w:val="00E31A70"/>
    <w:rsid w:val="00E35B02"/>
    <w:rsid w:val="00E52FFF"/>
    <w:rsid w:val="00E55863"/>
    <w:rsid w:val="00E56288"/>
    <w:rsid w:val="00E66496"/>
    <w:rsid w:val="00E66B35"/>
    <w:rsid w:val="00E66E10"/>
    <w:rsid w:val="00E769F6"/>
    <w:rsid w:val="00E83534"/>
    <w:rsid w:val="00E8407C"/>
    <w:rsid w:val="00E84F3C"/>
    <w:rsid w:val="00EA012C"/>
    <w:rsid w:val="00EB7B26"/>
    <w:rsid w:val="00EC5A1C"/>
    <w:rsid w:val="00EC6A55"/>
    <w:rsid w:val="00ED001C"/>
    <w:rsid w:val="00ED0288"/>
    <w:rsid w:val="00ED5EB7"/>
    <w:rsid w:val="00EE52CB"/>
    <w:rsid w:val="00EF275D"/>
    <w:rsid w:val="00EF581D"/>
    <w:rsid w:val="00EF746B"/>
    <w:rsid w:val="00EF7FD8"/>
    <w:rsid w:val="00F06F59"/>
    <w:rsid w:val="00F17988"/>
    <w:rsid w:val="00F273C4"/>
    <w:rsid w:val="00F352A1"/>
    <w:rsid w:val="00F469F0"/>
    <w:rsid w:val="00F53273"/>
    <w:rsid w:val="00F63F28"/>
    <w:rsid w:val="00F755E4"/>
    <w:rsid w:val="00F77D02"/>
    <w:rsid w:val="00FB3175"/>
    <w:rsid w:val="00FB3568"/>
    <w:rsid w:val="00FB3A86"/>
    <w:rsid w:val="00FC036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021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F74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746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4D370A"/>
    <w:rPr>
      <w:rFonts w:ascii="Arial" w:hAnsi="Arial"/>
      <w:b/>
      <w:kern w:val="28"/>
      <w:sz w:val="28"/>
    </w:rPr>
  </w:style>
  <w:style w:type="paragraph" w:styleId="NormalWeb">
    <w:name w:val="Normal (Web)"/>
    <w:basedOn w:val="Normal"/>
    <w:uiPriority w:val="99"/>
    <w:unhideWhenUsed/>
    <w:rsid w:val="00992AD0"/>
    <w:pPr>
      <w:spacing w:before="100" w:beforeAutospacing="1" w:after="100" w:afterAutospacing="1"/>
    </w:pPr>
    <w:rPr>
      <w:rFonts w:ascii="Times New Roman" w:eastAsiaTheme="minorEastAsia" w:hAnsi="Times New Roman"/>
      <w:sz w:val="24"/>
      <w:szCs w:val="24"/>
      <w:lang w:val="en-IN" w:eastAsia="en-GB"/>
    </w:rPr>
  </w:style>
  <w:style w:type="character" w:customStyle="1" w:styleId="Heading3Char">
    <w:name w:val="Heading 3 Char"/>
    <w:basedOn w:val="DefaultParagraphFont"/>
    <w:link w:val="Heading3"/>
    <w:uiPriority w:val="9"/>
    <w:semiHidden/>
    <w:rsid w:val="00EF746B"/>
    <w:rPr>
      <w:rFonts w:asciiTheme="minorHAnsi" w:eastAsiaTheme="majorEastAsia" w:hAnsiTheme="minorHAnsi" w:cstheme="majorBidi"/>
      <w:color w:val="365F91" w:themeColor="accent1" w:themeShade="BF"/>
      <w:sz w:val="28"/>
      <w:szCs w:val="28"/>
    </w:rPr>
  </w:style>
  <w:style w:type="character" w:customStyle="1" w:styleId="Heading2Char">
    <w:name w:val="Heading 2 Char"/>
    <w:basedOn w:val="DefaultParagraphFont"/>
    <w:link w:val="Heading2"/>
    <w:uiPriority w:val="9"/>
    <w:semiHidden/>
    <w:rsid w:val="00EF746B"/>
    <w:rPr>
      <w:rFonts w:asciiTheme="majorHAnsi" w:eastAsiaTheme="majorEastAsia" w:hAnsiTheme="majorHAnsi" w:cstheme="majorBidi"/>
      <w:color w:val="365F91" w:themeColor="accent1" w:themeShade="BF"/>
      <w:sz w:val="32"/>
      <w:szCs w:val="32"/>
    </w:rPr>
  </w:style>
  <w:style w:type="table" w:styleId="PlainTable2">
    <w:name w:val="Plain Table 2"/>
    <w:basedOn w:val="TableNormal"/>
    <w:uiPriority w:val="42"/>
    <w:rsid w:val="008336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8336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666D5"/>
    <w:pPr>
      <w:ind w:left="720"/>
      <w:contextualSpacing/>
    </w:pPr>
  </w:style>
  <w:style w:type="paragraph" w:customStyle="1" w:styleId="p1">
    <w:name w:val="p1"/>
    <w:basedOn w:val="Normal"/>
    <w:rsid w:val="004861FC"/>
    <w:pPr>
      <w:spacing w:before="100" w:beforeAutospacing="1" w:after="100" w:afterAutospacing="1"/>
    </w:pPr>
    <w:rPr>
      <w:rFonts w:ascii="Times New Roman" w:eastAsiaTheme="minorEastAsia" w:hAnsi="Times New Roman"/>
      <w:sz w:val="24"/>
      <w:szCs w:val="24"/>
      <w:lang w:val="en-IN" w:eastAsia="en-GB"/>
    </w:rPr>
  </w:style>
  <w:style w:type="character" w:customStyle="1" w:styleId="s1">
    <w:name w:val="s1"/>
    <w:basedOn w:val="DefaultParagraphFont"/>
    <w:rsid w:val="004861FC"/>
  </w:style>
  <w:style w:type="character" w:customStyle="1" w:styleId="s2">
    <w:name w:val="s2"/>
    <w:basedOn w:val="DefaultParagraphFont"/>
    <w:rsid w:val="004861FC"/>
  </w:style>
  <w:style w:type="character" w:customStyle="1" w:styleId="s3">
    <w:name w:val="s3"/>
    <w:basedOn w:val="DefaultParagraphFont"/>
    <w:rsid w:val="004861FC"/>
  </w:style>
  <w:style w:type="character" w:customStyle="1" w:styleId="apple-converted-space">
    <w:name w:val="apple-converted-space"/>
    <w:basedOn w:val="DefaultParagraphFont"/>
    <w:rsid w:val="00A8412A"/>
  </w:style>
  <w:style w:type="paragraph" w:customStyle="1" w:styleId="p2">
    <w:name w:val="p2"/>
    <w:basedOn w:val="Normal"/>
    <w:rsid w:val="00B73135"/>
    <w:pPr>
      <w:spacing w:before="100" w:beforeAutospacing="1" w:after="100" w:afterAutospacing="1"/>
    </w:pPr>
    <w:rPr>
      <w:rFonts w:ascii="Times New Roman" w:eastAsiaTheme="minorEastAsia" w:hAnsi="Times New Roman"/>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5501717">
      <w:bodyDiv w:val="1"/>
      <w:marLeft w:val="0"/>
      <w:marRight w:val="0"/>
      <w:marTop w:val="0"/>
      <w:marBottom w:val="0"/>
      <w:divBdr>
        <w:top w:val="none" w:sz="0" w:space="0" w:color="auto"/>
        <w:left w:val="none" w:sz="0" w:space="0" w:color="auto"/>
        <w:bottom w:val="none" w:sz="0" w:space="0" w:color="auto"/>
        <w:right w:val="none" w:sz="0" w:space="0" w:color="auto"/>
      </w:divBdr>
    </w:div>
    <w:div w:id="598684443">
      <w:bodyDiv w:val="1"/>
      <w:marLeft w:val="0"/>
      <w:marRight w:val="0"/>
      <w:marTop w:val="0"/>
      <w:marBottom w:val="0"/>
      <w:divBdr>
        <w:top w:val="none" w:sz="0" w:space="0" w:color="auto"/>
        <w:left w:val="none" w:sz="0" w:space="0" w:color="auto"/>
        <w:bottom w:val="none" w:sz="0" w:space="0" w:color="auto"/>
        <w:right w:val="none" w:sz="0" w:space="0" w:color="auto"/>
      </w:divBdr>
      <w:divsChild>
        <w:div w:id="2077891476">
          <w:marLeft w:val="0"/>
          <w:marRight w:val="0"/>
          <w:marTop w:val="0"/>
          <w:marBottom w:val="0"/>
          <w:divBdr>
            <w:top w:val="none" w:sz="0" w:space="0" w:color="auto"/>
            <w:left w:val="none" w:sz="0" w:space="0" w:color="auto"/>
            <w:bottom w:val="none" w:sz="0" w:space="0" w:color="auto"/>
            <w:right w:val="none" w:sz="0" w:space="0" w:color="auto"/>
          </w:divBdr>
        </w:div>
      </w:divsChild>
    </w:div>
    <w:div w:id="61186326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315800">
      <w:bodyDiv w:val="1"/>
      <w:marLeft w:val="0"/>
      <w:marRight w:val="0"/>
      <w:marTop w:val="0"/>
      <w:marBottom w:val="0"/>
      <w:divBdr>
        <w:top w:val="none" w:sz="0" w:space="0" w:color="auto"/>
        <w:left w:val="none" w:sz="0" w:space="0" w:color="auto"/>
        <w:bottom w:val="none" w:sz="0" w:space="0" w:color="auto"/>
        <w:right w:val="none" w:sz="0" w:space="0" w:color="auto"/>
      </w:divBdr>
    </w:div>
    <w:div w:id="680009809">
      <w:bodyDiv w:val="1"/>
      <w:marLeft w:val="0"/>
      <w:marRight w:val="0"/>
      <w:marTop w:val="0"/>
      <w:marBottom w:val="0"/>
      <w:divBdr>
        <w:top w:val="none" w:sz="0" w:space="0" w:color="auto"/>
        <w:left w:val="none" w:sz="0" w:space="0" w:color="auto"/>
        <w:bottom w:val="none" w:sz="0" w:space="0" w:color="auto"/>
        <w:right w:val="none" w:sz="0" w:space="0" w:color="auto"/>
      </w:divBdr>
      <w:divsChild>
        <w:div w:id="697587582">
          <w:marLeft w:val="0"/>
          <w:marRight w:val="0"/>
          <w:marTop w:val="0"/>
          <w:marBottom w:val="0"/>
          <w:divBdr>
            <w:top w:val="none" w:sz="0" w:space="0" w:color="auto"/>
            <w:left w:val="none" w:sz="0" w:space="0" w:color="auto"/>
            <w:bottom w:val="none" w:sz="0" w:space="0" w:color="auto"/>
            <w:right w:val="none" w:sz="0" w:space="0" w:color="auto"/>
          </w:divBdr>
        </w:div>
      </w:divsChild>
    </w:div>
    <w:div w:id="744954691">
      <w:bodyDiv w:val="1"/>
      <w:marLeft w:val="0"/>
      <w:marRight w:val="0"/>
      <w:marTop w:val="0"/>
      <w:marBottom w:val="0"/>
      <w:divBdr>
        <w:top w:val="none" w:sz="0" w:space="0" w:color="auto"/>
        <w:left w:val="none" w:sz="0" w:space="0" w:color="auto"/>
        <w:bottom w:val="none" w:sz="0" w:space="0" w:color="auto"/>
        <w:right w:val="none" w:sz="0" w:space="0" w:color="auto"/>
      </w:divBdr>
    </w:div>
    <w:div w:id="745421374">
      <w:bodyDiv w:val="1"/>
      <w:marLeft w:val="0"/>
      <w:marRight w:val="0"/>
      <w:marTop w:val="0"/>
      <w:marBottom w:val="0"/>
      <w:divBdr>
        <w:top w:val="none" w:sz="0" w:space="0" w:color="auto"/>
        <w:left w:val="none" w:sz="0" w:space="0" w:color="auto"/>
        <w:bottom w:val="none" w:sz="0" w:space="0" w:color="auto"/>
        <w:right w:val="none" w:sz="0" w:space="0" w:color="auto"/>
      </w:divBdr>
    </w:div>
    <w:div w:id="809592297">
      <w:bodyDiv w:val="1"/>
      <w:marLeft w:val="0"/>
      <w:marRight w:val="0"/>
      <w:marTop w:val="0"/>
      <w:marBottom w:val="0"/>
      <w:divBdr>
        <w:top w:val="none" w:sz="0" w:space="0" w:color="auto"/>
        <w:left w:val="none" w:sz="0" w:space="0" w:color="auto"/>
        <w:bottom w:val="none" w:sz="0" w:space="0" w:color="auto"/>
        <w:right w:val="none" w:sz="0" w:space="0" w:color="auto"/>
      </w:divBdr>
    </w:div>
    <w:div w:id="856580456">
      <w:bodyDiv w:val="1"/>
      <w:marLeft w:val="0"/>
      <w:marRight w:val="0"/>
      <w:marTop w:val="0"/>
      <w:marBottom w:val="0"/>
      <w:divBdr>
        <w:top w:val="none" w:sz="0" w:space="0" w:color="auto"/>
        <w:left w:val="none" w:sz="0" w:space="0" w:color="auto"/>
        <w:bottom w:val="none" w:sz="0" w:space="0" w:color="auto"/>
        <w:right w:val="none" w:sz="0" w:space="0" w:color="auto"/>
      </w:divBdr>
    </w:div>
    <w:div w:id="907376303">
      <w:bodyDiv w:val="1"/>
      <w:marLeft w:val="0"/>
      <w:marRight w:val="0"/>
      <w:marTop w:val="0"/>
      <w:marBottom w:val="0"/>
      <w:divBdr>
        <w:top w:val="none" w:sz="0" w:space="0" w:color="auto"/>
        <w:left w:val="none" w:sz="0" w:space="0" w:color="auto"/>
        <w:bottom w:val="none" w:sz="0" w:space="0" w:color="auto"/>
        <w:right w:val="none" w:sz="0" w:space="0" w:color="auto"/>
      </w:divBdr>
      <w:divsChild>
        <w:div w:id="1379089501">
          <w:marLeft w:val="0"/>
          <w:marRight w:val="0"/>
          <w:marTop w:val="0"/>
          <w:marBottom w:val="0"/>
          <w:divBdr>
            <w:top w:val="none" w:sz="0" w:space="0" w:color="auto"/>
            <w:left w:val="none" w:sz="0" w:space="0" w:color="auto"/>
            <w:bottom w:val="none" w:sz="0" w:space="0" w:color="auto"/>
            <w:right w:val="none" w:sz="0" w:space="0" w:color="auto"/>
          </w:divBdr>
          <w:divsChild>
            <w:div w:id="175461683">
              <w:marLeft w:val="0"/>
              <w:marRight w:val="0"/>
              <w:marTop w:val="0"/>
              <w:marBottom w:val="0"/>
              <w:divBdr>
                <w:top w:val="none" w:sz="0" w:space="0" w:color="auto"/>
                <w:left w:val="none" w:sz="0" w:space="0" w:color="auto"/>
                <w:bottom w:val="none" w:sz="0" w:space="0" w:color="auto"/>
                <w:right w:val="none" w:sz="0" w:space="0" w:color="auto"/>
              </w:divBdr>
              <w:divsChild>
                <w:div w:id="9590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096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62268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93749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9492999">
      <w:bodyDiv w:val="1"/>
      <w:marLeft w:val="0"/>
      <w:marRight w:val="0"/>
      <w:marTop w:val="0"/>
      <w:marBottom w:val="0"/>
      <w:divBdr>
        <w:top w:val="none" w:sz="0" w:space="0" w:color="auto"/>
        <w:left w:val="none" w:sz="0" w:space="0" w:color="auto"/>
        <w:bottom w:val="none" w:sz="0" w:space="0" w:color="auto"/>
        <w:right w:val="none" w:sz="0" w:space="0" w:color="auto"/>
      </w:divBdr>
    </w:div>
    <w:div w:id="15284458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2213574">
      <w:bodyDiv w:val="1"/>
      <w:marLeft w:val="0"/>
      <w:marRight w:val="0"/>
      <w:marTop w:val="0"/>
      <w:marBottom w:val="0"/>
      <w:divBdr>
        <w:top w:val="none" w:sz="0" w:space="0" w:color="auto"/>
        <w:left w:val="none" w:sz="0" w:space="0" w:color="auto"/>
        <w:bottom w:val="none" w:sz="0" w:space="0" w:color="auto"/>
        <w:right w:val="none" w:sz="0" w:space="0" w:color="auto"/>
      </w:divBdr>
    </w:div>
    <w:div w:id="193200982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12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BD87-61B4-4FC2-BA1D-2DF86DF4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10</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78</cp:revision>
  <cp:lastPrinted>1999-07-06T11:00:00Z</cp:lastPrinted>
  <dcterms:created xsi:type="dcterms:W3CDTF">2025-08-27T12:12:00Z</dcterms:created>
  <dcterms:modified xsi:type="dcterms:W3CDTF">2025-09-09T08:29:00Z</dcterms:modified>
</cp:coreProperties>
</file>