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2C640" w14:textId="77777777" w:rsidR="00FF275E" w:rsidRDefault="00FF275E" w:rsidP="00FF275E">
      <w:pPr>
        <w:jc w:val="center"/>
        <w:rPr>
          <w:rFonts w:ascii="Times New Roman" w:hAnsi="Times New Roman" w:cs="Times New Roman"/>
          <w:b/>
          <w:sz w:val="24"/>
          <w:szCs w:val="24"/>
        </w:rPr>
      </w:pPr>
      <w:r>
        <w:rPr>
          <w:rFonts w:ascii="Times New Roman" w:hAnsi="Times New Roman" w:cs="Times New Roman"/>
          <w:b/>
          <w:sz w:val="24"/>
          <w:szCs w:val="24"/>
        </w:rPr>
        <w:t>A STUDY ON THE THERMOGRAVIETRIC AND DIFFERENTIAL THERMAL ANALYSIS OF A BIO BASED SILICA NANO COMPOSITE MATERIAL</w:t>
      </w:r>
    </w:p>
    <w:p w14:paraId="50350B40" w14:textId="77777777" w:rsidR="00B77196" w:rsidRPr="007B6803" w:rsidRDefault="00B77196" w:rsidP="001507BB">
      <w:pPr>
        <w:jc w:val="both"/>
        <w:rPr>
          <w:rFonts w:ascii="Arial" w:hAnsi="Arial" w:cs="Arial"/>
        </w:rPr>
      </w:pPr>
    </w:p>
    <w:p w14:paraId="72712CBE" w14:textId="4557B12E" w:rsidR="001507BB" w:rsidRPr="007B6803" w:rsidRDefault="001507BB" w:rsidP="001507BB">
      <w:pPr>
        <w:jc w:val="both"/>
        <w:rPr>
          <w:rFonts w:ascii="Arial" w:hAnsi="Arial" w:cs="Arial"/>
        </w:rPr>
      </w:pPr>
      <w:r w:rsidRPr="007B6803">
        <w:rPr>
          <w:rFonts w:ascii="Arial" w:hAnsi="Arial" w:cs="Arial"/>
        </w:rPr>
        <w:t>Abstract</w:t>
      </w:r>
    </w:p>
    <w:p w14:paraId="648F8811" w14:textId="77777777" w:rsidR="00810362" w:rsidRDefault="00CE768F" w:rsidP="001507BB">
      <w:pPr>
        <w:jc w:val="both"/>
        <w:rPr>
          <w:rFonts w:ascii="Arial" w:hAnsi="Arial" w:cs="Arial"/>
          <w:b/>
          <w:lang w:val="fi-FI"/>
        </w:rPr>
      </w:pPr>
      <w:r w:rsidRPr="007B6803">
        <w:rPr>
          <w:rFonts w:ascii="Arial" w:hAnsi="Arial" w:cs="Arial"/>
        </w:rPr>
        <w:t xml:space="preserve">The thermal </w:t>
      </w:r>
      <w:r w:rsidRPr="007B6803">
        <w:rPr>
          <w:rFonts w:ascii="Arial" w:hAnsi="Arial" w:cs="Arial"/>
          <w:highlight w:val="yellow"/>
        </w:rPr>
        <w:t>stability</w:t>
      </w:r>
      <w:r w:rsidR="001507BB" w:rsidRPr="007B6803">
        <w:rPr>
          <w:rFonts w:ascii="Arial" w:hAnsi="Arial" w:cs="Arial"/>
        </w:rPr>
        <w:t xml:space="preserve"> of ethanol extract of </w:t>
      </w:r>
      <w:proofErr w:type="spellStart"/>
      <w:r w:rsidR="001507BB" w:rsidRPr="007B6803">
        <w:rPr>
          <w:rStyle w:val="Emphasis"/>
          <w:rFonts w:ascii="Arial" w:hAnsi="Arial" w:cs="Arial"/>
        </w:rPr>
        <w:t>Dacryodes</w:t>
      </w:r>
      <w:proofErr w:type="spellEnd"/>
      <w:r w:rsidR="001507BB" w:rsidRPr="007B6803">
        <w:rPr>
          <w:rStyle w:val="Emphasis"/>
          <w:rFonts w:ascii="Arial" w:hAnsi="Arial" w:cs="Arial"/>
        </w:rPr>
        <w:t xml:space="preserve"> edulis</w:t>
      </w:r>
      <w:r w:rsidR="001507BB" w:rsidRPr="007B6803">
        <w:rPr>
          <w:rFonts w:ascii="Arial" w:hAnsi="Arial" w:cs="Arial"/>
        </w:rPr>
        <w:t xml:space="preserve"> (DE), precipitated amorphous silica (PAS), and their hybrid (DE/PAS) was evaluated by thermogravimetric/differential thermal analysis (TGA/DTA) between 0–950 °C. Three major thermal events were observed: initial weight loss at ~30–200 °C (physically adsorbed water/volatiles), major decomposition at 300–500 °C (polymer chain degradation, silanol condensation, endothermic peaks), and residual stability beyond 500 °C. Residual mass values were ~15% (DE), ~12% (PAS), and ~10% (DE/PAS). Major weight loss occurred at 350–450 °C (DE), 370–480 °C (PAS), and 380–500 °C (DE/PAS), with peak decomposition temperatures at 400 °C, 420 °C, and 430 °C respectively. The weakest DTA peak intensity in DE/PAS indicated a more controlled degradation process and superior thermal stability. FTIR analysis revealed functional groups (aromatic ester, alkyl aryl ether, O–H, C=C, C=O, anhydride, N=C=S, C≡C, C–H), while TEM confirmed spherical nanoparticles (~20–50 nm) </w:t>
      </w:r>
      <w:r w:rsidRPr="007B6803">
        <w:rPr>
          <w:rFonts w:ascii="Arial" w:hAnsi="Arial" w:cs="Arial"/>
        </w:rPr>
        <w:t xml:space="preserve">before and after hybridization. </w:t>
      </w:r>
      <w:r w:rsidR="001507BB" w:rsidRPr="007B6803">
        <w:rPr>
          <w:rFonts w:ascii="Arial" w:hAnsi="Arial" w:cs="Arial"/>
        </w:rPr>
        <w:t xml:space="preserve">The enhanced stability of DE/PAS is attributed to strong covalent interactions between electron-rich groups in DE and Si–O–Si bonds in PAS, conferring improved mechanical </w:t>
      </w:r>
      <w:r w:rsidRPr="007B6803">
        <w:rPr>
          <w:rFonts w:ascii="Arial" w:hAnsi="Arial" w:cs="Arial"/>
        </w:rPr>
        <w:t xml:space="preserve">strength and thermal resistance. </w:t>
      </w:r>
      <w:r w:rsidRPr="007B6803">
        <w:rPr>
          <w:rFonts w:ascii="Arial" w:hAnsi="Arial" w:cs="Arial"/>
          <w:highlight w:val="yellow"/>
        </w:rPr>
        <w:t xml:space="preserve">The </w:t>
      </w:r>
      <w:r w:rsidR="00F91C3B" w:rsidRPr="007B6803">
        <w:rPr>
          <w:rFonts w:ascii="Arial" w:hAnsi="Arial" w:cs="Arial"/>
          <w:highlight w:val="yellow"/>
        </w:rPr>
        <w:t>study</w:t>
      </w:r>
      <w:r w:rsidRPr="007B6803">
        <w:rPr>
          <w:rFonts w:ascii="Arial" w:hAnsi="Arial" w:cs="Arial"/>
          <w:highlight w:val="yellow"/>
        </w:rPr>
        <w:t xml:space="preserve"> </w:t>
      </w:r>
      <w:r w:rsidRPr="007B6803">
        <w:rPr>
          <w:rFonts w:ascii="Arial" w:hAnsi="Arial" w:cs="Arial"/>
          <w:highlight w:val="yellow"/>
          <w:lang w:val="fi-FI"/>
        </w:rPr>
        <w:t>provides an anti corrosion additive which can be an excellent alternative to the more toxic material employed in conventional coating hence can be of relevance in material science</w:t>
      </w:r>
      <w:r w:rsidR="00F91C3B" w:rsidRPr="007B6803">
        <w:rPr>
          <w:rFonts w:ascii="Arial" w:hAnsi="Arial" w:cs="Arial"/>
          <w:highlight w:val="yellow"/>
          <w:lang w:val="fi-FI"/>
        </w:rPr>
        <w:t xml:space="preserve">, </w:t>
      </w:r>
      <w:r w:rsidRPr="007B6803">
        <w:rPr>
          <w:rFonts w:ascii="Arial" w:hAnsi="Arial" w:cs="Arial"/>
          <w:highlight w:val="yellow"/>
          <w:lang w:val="fi-FI"/>
        </w:rPr>
        <w:t>in the formulation of a high performance coating for appication in  areas such as ships and automobiles where strong adhesion, scratch resistance  and non wettablity of the coating is crucial</w:t>
      </w:r>
      <w:r w:rsidR="00F91C3B" w:rsidRPr="007B6803">
        <w:rPr>
          <w:rFonts w:ascii="Arial" w:hAnsi="Arial" w:cs="Arial"/>
          <w:lang w:val="fi-FI"/>
        </w:rPr>
        <w:t xml:space="preserve">. </w:t>
      </w:r>
      <w:r w:rsidR="00F91C3B" w:rsidRPr="007B6803">
        <w:rPr>
          <w:rFonts w:ascii="Arial" w:hAnsi="Arial" w:cs="Arial"/>
          <w:highlight w:val="yellow"/>
          <w:lang w:val="fi-FI"/>
        </w:rPr>
        <w:t>It provides additional insight on further reserach in other relevant areas such as water treatment, removal of heavy metals, drug delivery system, energy storage and conversion systems.</w:t>
      </w:r>
    </w:p>
    <w:p w14:paraId="7ACE7333" w14:textId="7163E265" w:rsidR="001507BB" w:rsidRPr="00810362" w:rsidRDefault="00CE768F" w:rsidP="001507BB">
      <w:pPr>
        <w:jc w:val="both"/>
        <w:rPr>
          <w:rFonts w:ascii="Arial" w:hAnsi="Arial" w:cs="Arial"/>
          <w:b/>
          <w:lang w:val="fi-FI"/>
        </w:rPr>
      </w:pPr>
      <w:r w:rsidRPr="007B6803">
        <w:rPr>
          <w:rFonts w:ascii="Arial" w:hAnsi="Arial" w:cs="Arial"/>
        </w:rPr>
        <w:t xml:space="preserve"> </w:t>
      </w:r>
    </w:p>
    <w:p w14:paraId="5D26673C" w14:textId="77777777" w:rsidR="001507BB" w:rsidRPr="007B6803" w:rsidRDefault="001507BB" w:rsidP="001507BB">
      <w:pPr>
        <w:pStyle w:val="NormalWeb"/>
        <w:jc w:val="both"/>
        <w:rPr>
          <w:rFonts w:ascii="Arial" w:hAnsi="Arial" w:cs="Arial"/>
          <w:sz w:val="22"/>
          <w:szCs w:val="22"/>
        </w:rPr>
      </w:pPr>
      <w:r w:rsidRPr="007B6803">
        <w:rPr>
          <w:rStyle w:val="Strong"/>
          <w:rFonts w:ascii="Arial" w:hAnsi="Arial" w:cs="Arial"/>
          <w:sz w:val="22"/>
          <w:szCs w:val="22"/>
        </w:rPr>
        <w:t>Keywords:</w:t>
      </w:r>
      <w:r w:rsidRPr="007B6803">
        <w:rPr>
          <w:rFonts w:ascii="Arial" w:hAnsi="Arial" w:cs="Arial"/>
          <w:sz w:val="22"/>
          <w:szCs w:val="22"/>
        </w:rPr>
        <w:t xml:space="preserve"> organic/inorganic hybrids, nanocomposites, TGA/DTA, </w:t>
      </w:r>
      <w:proofErr w:type="spellStart"/>
      <w:r w:rsidRPr="007B6803">
        <w:rPr>
          <w:rStyle w:val="Emphasis"/>
          <w:rFonts w:ascii="Arial" w:hAnsi="Arial" w:cs="Arial"/>
          <w:sz w:val="22"/>
          <w:szCs w:val="22"/>
        </w:rPr>
        <w:t>Dacryodes</w:t>
      </w:r>
      <w:proofErr w:type="spellEnd"/>
      <w:r w:rsidRPr="007B6803">
        <w:rPr>
          <w:rStyle w:val="Emphasis"/>
          <w:rFonts w:ascii="Arial" w:hAnsi="Arial" w:cs="Arial"/>
          <w:sz w:val="22"/>
          <w:szCs w:val="22"/>
        </w:rPr>
        <w:t xml:space="preserve"> edulis</w:t>
      </w:r>
      <w:r w:rsidRPr="007B6803">
        <w:rPr>
          <w:rFonts w:ascii="Arial" w:hAnsi="Arial" w:cs="Arial"/>
          <w:sz w:val="22"/>
          <w:szCs w:val="22"/>
        </w:rPr>
        <w:t>, precipitated amorphous silica, thermal stability</w:t>
      </w:r>
    </w:p>
    <w:p w14:paraId="25533E71" w14:textId="77777777" w:rsidR="001507BB" w:rsidRPr="007B6803" w:rsidRDefault="001507BB" w:rsidP="001507BB">
      <w:pPr>
        <w:spacing w:before="100" w:beforeAutospacing="1" w:after="100" w:afterAutospacing="1" w:line="240" w:lineRule="auto"/>
        <w:jc w:val="both"/>
        <w:outlineLvl w:val="0"/>
        <w:rPr>
          <w:rFonts w:ascii="Arial" w:eastAsia="Times New Roman" w:hAnsi="Arial" w:cs="Arial"/>
          <w:b/>
          <w:bCs/>
          <w:kern w:val="36"/>
          <w:lang w:eastAsia="en-GB"/>
        </w:rPr>
      </w:pPr>
      <w:r w:rsidRPr="007B6803">
        <w:rPr>
          <w:rFonts w:ascii="Arial" w:eastAsia="Times New Roman" w:hAnsi="Arial" w:cs="Arial"/>
          <w:b/>
          <w:bCs/>
          <w:kern w:val="36"/>
          <w:lang w:eastAsia="en-GB"/>
        </w:rPr>
        <w:t>Introduction</w:t>
      </w:r>
    </w:p>
    <w:p w14:paraId="639C0BFA" w14:textId="77777777"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Organic/inorganic nanocomposites are increasingly employed across diverse fields including optoelectronics, energy storage, catalysis, biomedical applications, sensors, coatings, and membranes. Their unique properties arise from the synergistic combination of organic and inorganic phases, resulting in enhanced performance, multifunctionality, and superior thermal and mechanical stability [1,2].</w:t>
      </w:r>
    </w:p>
    <w:p w14:paraId="7484556D" w14:textId="77777777"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Precipitated amorphous silica (PAS) is a versatile inorganic material characterized by its high surface area, fine particle size, and hygroscopic nature. These attributes make PAS suitable as a filler, reinforcement agent, and additive in coatings, plastics, rubber, pharmaceu</w:t>
      </w:r>
      <w:r w:rsidR="00BD6A74" w:rsidRPr="007B6803">
        <w:rPr>
          <w:rFonts w:ascii="Arial" w:eastAsia="Times New Roman" w:hAnsi="Arial" w:cs="Arial"/>
          <w:lang w:eastAsia="en-GB"/>
        </w:rPr>
        <w:t>ticals, food, and beverages [3-4</w:t>
      </w:r>
      <w:r w:rsidRPr="007B6803">
        <w:rPr>
          <w:rFonts w:ascii="Arial" w:eastAsia="Times New Roman" w:hAnsi="Arial" w:cs="Arial"/>
          <w:lang w:eastAsia="en-GB"/>
        </w:rPr>
        <w:t>,</w:t>
      </w:r>
      <w:r w:rsidR="00BD6A74" w:rsidRPr="007B6803">
        <w:rPr>
          <w:rFonts w:ascii="Arial" w:eastAsia="Times New Roman" w:hAnsi="Arial" w:cs="Arial"/>
          <w:lang w:eastAsia="en-GB"/>
        </w:rPr>
        <w:t xml:space="preserve"> </w:t>
      </w:r>
      <w:r w:rsidRPr="007B6803">
        <w:rPr>
          <w:rFonts w:ascii="Arial" w:eastAsia="Times New Roman" w:hAnsi="Arial" w:cs="Arial"/>
          <w:lang w:eastAsia="en-GB"/>
        </w:rPr>
        <w:t>21].</w:t>
      </w:r>
    </w:p>
    <w:p w14:paraId="13CE2E1C" w14:textId="77777777"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 xml:space="preserve">Conversely, plant-derived materials such as extracts from leaves and bark have shown promise as eco-friendly corrosion inhibitors. Their protective effect is attributed to the presence of electron-rich functional groups (e.g., O–H, C=O, C=C) that form covalent bonds with metallic substrates, creating protective layers against corrosion [5,6]. However, the use </w:t>
      </w:r>
      <w:r w:rsidRPr="007B6803">
        <w:rPr>
          <w:rFonts w:ascii="Arial" w:eastAsia="Times New Roman" w:hAnsi="Arial" w:cs="Arial"/>
          <w:lang w:eastAsia="en-GB"/>
        </w:rPr>
        <w:lastRenderedPageBreak/>
        <w:t xml:space="preserve">of plant materials alone is limited by poor thermal stability, mechanical weakness, and void formation due to </w:t>
      </w:r>
      <w:proofErr w:type="gramStart"/>
      <w:r w:rsidRPr="007B6803">
        <w:rPr>
          <w:rFonts w:ascii="Arial" w:eastAsia="Times New Roman" w:hAnsi="Arial" w:cs="Arial"/>
          <w:lang w:eastAsia="en-GB"/>
        </w:rPr>
        <w:t>swelling.</w:t>
      </w:r>
      <w:r w:rsidR="00BD6A74" w:rsidRPr="007B6803">
        <w:rPr>
          <w:rFonts w:ascii="Arial" w:eastAsia="Times New Roman" w:hAnsi="Arial" w:cs="Arial"/>
          <w:lang w:eastAsia="en-GB"/>
        </w:rPr>
        <w:t>[</w:t>
      </w:r>
      <w:proofErr w:type="gramEnd"/>
      <w:r w:rsidR="00BD6A74" w:rsidRPr="007B6803">
        <w:rPr>
          <w:rFonts w:ascii="Arial" w:eastAsia="Times New Roman" w:hAnsi="Arial" w:cs="Arial"/>
          <w:lang w:eastAsia="en-GB"/>
        </w:rPr>
        <w:t>6-</w:t>
      </w:r>
      <w:r w:rsidR="00395EE8" w:rsidRPr="007B6803">
        <w:rPr>
          <w:rFonts w:ascii="Arial" w:eastAsia="Times New Roman" w:hAnsi="Arial" w:cs="Arial"/>
          <w:lang w:eastAsia="en-GB"/>
        </w:rPr>
        <w:t>7]</w:t>
      </w:r>
    </w:p>
    <w:p w14:paraId="67CBB738" w14:textId="77777777"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proofErr w:type="spellStart"/>
      <w:r w:rsidRPr="007B6803">
        <w:rPr>
          <w:rFonts w:ascii="Arial" w:eastAsia="Times New Roman" w:hAnsi="Arial" w:cs="Arial"/>
          <w:i/>
          <w:iCs/>
          <w:lang w:eastAsia="en-GB"/>
        </w:rPr>
        <w:t>Dacryodes</w:t>
      </w:r>
      <w:proofErr w:type="spellEnd"/>
      <w:r w:rsidRPr="007B6803">
        <w:rPr>
          <w:rFonts w:ascii="Arial" w:eastAsia="Times New Roman" w:hAnsi="Arial" w:cs="Arial"/>
          <w:i/>
          <w:iCs/>
          <w:lang w:eastAsia="en-GB"/>
        </w:rPr>
        <w:t xml:space="preserve"> edulis</w:t>
      </w:r>
      <w:r w:rsidRPr="007B6803">
        <w:rPr>
          <w:rFonts w:ascii="Arial" w:eastAsia="Times New Roman" w:hAnsi="Arial" w:cs="Arial"/>
          <w:lang w:eastAsia="en-GB"/>
        </w:rPr>
        <w:t xml:space="preserve"> (African/bush pear), an indigenous fruit tree from West and Central Africa, is rich in phytochemicals such as flavonoids, alkaloids, and tannins. FTIR studies of its ethanol extract confirm the presence of aromatic esters, alkyl aryl ethers, O–H, C=C, C=O, anhydrides</w:t>
      </w:r>
      <w:r w:rsidR="00BD6A74" w:rsidRPr="007B6803">
        <w:rPr>
          <w:rFonts w:ascii="Arial" w:eastAsia="Times New Roman" w:hAnsi="Arial" w:cs="Arial"/>
          <w:lang w:eastAsia="en-GB"/>
        </w:rPr>
        <w:t>, N=C=S, C≡C, and C–H groups [7-</w:t>
      </w:r>
      <w:r w:rsidRPr="007B6803">
        <w:rPr>
          <w:rFonts w:ascii="Arial" w:eastAsia="Times New Roman" w:hAnsi="Arial" w:cs="Arial"/>
          <w:lang w:eastAsia="en-GB"/>
        </w:rPr>
        <w:t>8]. These functional groups can form strong covalent interactions with Si–O–Si networks in PAS, potentially improving the stability and mechan</w:t>
      </w:r>
      <w:r w:rsidR="007B15EC" w:rsidRPr="007B6803">
        <w:rPr>
          <w:rFonts w:ascii="Arial" w:eastAsia="Times New Roman" w:hAnsi="Arial" w:cs="Arial"/>
          <w:lang w:eastAsia="en-GB"/>
        </w:rPr>
        <w:t>ical performance of composites [34-</w:t>
      </w:r>
      <w:proofErr w:type="gramStart"/>
      <w:r w:rsidR="007B15EC" w:rsidRPr="007B6803">
        <w:rPr>
          <w:rFonts w:ascii="Arial" w:eastAsia="Times New Roman" w:hAnsi="Arial" w:cs="Arial"/>
          <w:lang w:eastAsia="en-GB"/>
        </w:rPr>
        <w:t>35,  37</w:t>
      </w:r>
      <w:proofErr w:type="gramEnd"/>
      <w:r w:rsidR="007B15EC" w:rsidRPr="007B6803">
        <w:rPr>
          <w:rFonts w:ascii="Arial" w:eastAsia="Times New Roman" w:hAnsi="Arial" w:cs="Arial"/>
          <w:lang w:eastAsia="en-GB"/>
        </w:rPr>
        <w:t>]</w:t>
      </w:r>
    </w:p>
    <w:p w14:paraId="0D40D163" w14:textId="77777777"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 xml:space="preserve">The synthesis of organic/inorganic hybrids enables the integration of plant extracts with PAS, addressing limitations of organic systems while enhancing coating performance. Such hybrids are especially important as environmentally friendly alternatives to toxic anticorrosive additives such as hexavalent chromium, which pose significant health hazards. Beyond environmental safety, these hybrids improve adhesion, mechanical strength, and anti-sagging </w:t>
      </w:r>
      <w:r w:rsidR="00625E9B" w:rsidRPr="007B6803">
        <w:rPr>
          <w:rFonts w:ascii="Arial" w:eastAsia="Times New Roman" w:hAnsi="Arial" w:cs="Arial"/>
          <w:lang w:eastAsia="en-GB"/>
        </w:rPr>
        <w:t>behaviour in coatings [9–12</w:t>
      </w:r>
      <w:r w:rsidRPr="007B6803">
        <w:rPr>
          <w:rFonts w:ascii="Arial" w:eastAsia="Times New Roman" w:hAnsi="Arial" w:cs="Arial"/>
          <w:lang w:eastAsia="en-GB"/>
        </w:rPr>
        <w:t>,20].</w:t>
      </w:r>
    </w:p>
    <w:p w14:paraId="0AAD87FA" w14:textId="77777777"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Thermal characterization techniques such as thermogravimetric analysis (TGA) and differential thermal analysis (DTA) are vital for assessing the stability of organic/inorganic composites. TGA measures weight loss as a function of temperature, while DTA identifies endothermic and exothermic transitions, providing insights into phase changes, degradation, and chemical reactions [13–17</w:t>
      </w:r>
      <w:r w:rsidR="007B15EC" w:rsidRPr="007B6803">
        <w:rPr>
          <w:rFonts w:ascii="Arial" w:eastAsia="Times New Roman" w:hAnsi="Arial" w:cs="Arial"/>
          <w:lang w:eastAsia="en-GB"/>
        </w:rPr>
        <w:t>, 38</w:t>
      </w:r>
      <w:r w:rsidRPr="007B6803">
        <w:rPr>
          <w:rFonts w:ascii="Arial" w:eastAsia="Times New Roman" w:hAnsi="Arial" w:cs="Arial"/>
          <w:lang w:eastAsia="en-GB"/>
        </w:rPr>
        <w:t>]. These tools are crucial for optimizing processing conditions (e.g., curing, drying) and predicting coating performance and durability</w:t>
      </w:r>
    </w:p>
    <w:p w14:paraId="3E464076" w14:textId="696F3F88"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 xml:space="preserve">Previous research demonstrates the stabilizing effect of nanoparticles in hybrid matrices. Nicolás </w:t>
      </w:r>
      <w:r w:rsidRPr="007B6803">
        <w:rPr>
          <w:rFonts w:ascii="Arial" w:eastAsia="Times New Roman" w:hAnsi="Arial" w:cs="Arial"/>
          <w:i/>
          <w:lang w:eastAsia="en-GB"/>
        </w:rPr>
        <w:t>et al.</w:t>
      </w:r>
      <w:r w:rsidRPr="007B6803">
        <w:rPr>
          <w:rFonts w:ascii="Arial" w:eastAsia="Times New Roman" w:hAnsi="Arial" w:cs="Arial"/>
          <w:lang w:eastAsia="en-GB"/>
        </w:rPr>
        <w:t xml:space="preserve"> (2024) reported enhanced stability in </w:t>
      </w:r>
      <w:proofErr w:type="spellStart"/>
      <w:r w:rsidRPr="007B6803">
        <w:rPr>
          <w:rFonts w:ascii="Arial" w:eastAsia="Times New Roman" w:hAnsi="Arial" w:cs="Arial"/>
          <w:lang w:eastAsia="en-GB"/>
        </w:rPr>
        <w:t>nano</w:t>
      </w:r>
      <w:proofErr w:type="spellEnd"/>
      <w:r w:rsidRPr="007B6803">
        <w:rPr>
          <w:rFonts w:ascii="Arial" w:eastAsia="Times New Roman" w:hAnsi="Arial" w:cs="Arial"/>
          <w:lang w:eastAsia="en-GB"/>
        </w:rPr>
        <w:t>-bioactive glass (</w:t>
      </w:r>
      <w:proofErr w:type="spellStart"/>
      <w:r w:rsidRPr="007B6803">
        <w:rPr>
          <w:rFonts w:ascii="Arial" w:eastAsia="Times New Roman" w:hAnsi="Arial" w:cs="Arial"/>
          <w:lang w:eastAsia="en-GB"/>
        </w:rPr>
        <w:t>nBG</w:t>
      </w:r>
      <w:proofErr w:type="spellEnd"/>
      <w:r w:rsidRPr="007B6803">
        <w:rPr>
          <w:rFonts w:ascii="Arial" w:eastAsia="Times New Roman" w:hAnsi="Arial" w:cs="Arial"/>
          <w:lang w:eastAsia="en-GB"/>
        </w:rPr>
        <w:t xml:space="preserve">) loaded hybrids compared to TEOS-based systems, with degradation peaks shifting to higher temperatures [18]. </w:t>
      </w:r>
      <w:r w:rsidR="00EB309A">
        <w:rPr>
          <w:rFonts w:ascii="Arial" w:eastAsia="Times New Roman" w:hAnsi="Arial" w:cs="Arial"/>
          <w:lang w:eastAsia="en-GB"/>
        </w:rPr>
        <w:t>A</w:t>
      </w:r>
      <w:r w:rsidRPr="007B6803">
        <w:rPr>
          <w:rFonts w:ascii="Arial" w:eastAsia="Times New Roman" w:hAnsi="Arial" w:cs="Arial"/>
          <w:lang w:eastAsia="en-GB"/>
        </w:rPr>
        <w:t xml:space="preserve"> 20% increase in thermal stability for </w:t>
      </w:r>
      <w:proofErr w:type="spellStart"/>
      <w:r w:rsidRPr="007B6803">
        <w:rPr>
          <w:rFonts w:ascii="Arial" w:eastAsia="Times New Roman" w:hAnsi="Arial" w:cs="Arial"/>
          <w:lang w:eastAsia="en-GB"/>
        </w:rPr>
        <w:t>hydrolyzed</w:t>
      </w:r>
      <w:proofErr w:type="spellEnd"/>
      <w:r w:rsidRPr="007B6803">
        <w:rPr>
          <w:rFonts w:ascii="Arial" w:eastAsia="Times New Roman" w:hAnsi="Arial" w:cs="Arial"/>
          <w:lang w:eastAsia="en-GB"/>
        </w:rPr>
        <w:t xml:space="preserve"> </w:t>
      </w:r>
      <w:proofErr w:type="spellStart"/>
      <w:r w:rsidRPr="007B6803">
        <w:rPr>
          <w:rFonts w:ascii="Arial" w:eastAsia="Times New Roman" w:hAnsi="Arial" w:cs="Arial"/>
          <w:lang w:eastAsia="en-GB"/>
        </w:rPr>
        <w:t>tetraethoxy</w:t>
      </w:r>
      <w:proofErr w:type="spellEnd"/>
      <w:r w:rsidRPr="007B6803">
        <w:rPr>
          <w:rFonts w:ascii="Arial" w:eastAsia="Times New Roman" w:hAnsi="Arial" w:cs="Arial"/>
          <w:lang w:eastAsia="en-GB"/>
        </w:rPr>
        <w:t xml:space="preserve"> silane (HTEOS) hybrid coatings compared to pure SE coatings [19]. Similarly, </w:t>
      </w:r>
      <w:r w:rsidR="00EB309A">
        <w:rPr>
          <w:rFonts w:ascii="Arial" w:eastAsia="Times New Roman" w:hAnsi="Arial" w:cs="Arial"/>
          <w:lang w:eastAsia="en-GB"/>
        </w:rPr>
        <w:t xml:space="preserve">another researcher </w:t>
      </w:r>
      <w:r w:rsidRPr="007B6803">
        <w:rPr>
          <w:rFonts w:ascii="Arial" w:eastAsia="Times New Roman" w:hAnsi="Arial" w:cs="Arial"/>
          <w:lang w:eastAsia="en-GB"/>
        </w:rPr>
        <w:t>showed improved stability in polyurethane–</w:t>
      </w:r>
      <w:proofErr w:type="spellStart"/>
      <w:r w:rsidRPr="007B6803">
        <w:rPr>
          <w:rFonts w:ascii="Arial" w:eastAsia="Times New Roman" w:hAnsi="Arial" w:cs="Arial"/>
          <w:lang w:eastAsia="en-GB"/>
        </w:rPr>
        <w:t>fattyamide</w:t>
      </w:r>
      <w:proofErr w:type="spellEnd"/>
      <w:r w:rsidRPr="007B6803">
        <w:rPr>
          <w:rFonts w:ascii="Arial" w:eastAsia="Times New Roman" w:hAnsi="Arial" w:cs="Arial"/>
          <w:lang w:eastAsia="en-GB"/>
        </w:rPr>
        <w:t>/TEOS hybrids, with higher O–Si–O content directly correlated with greater resistance to thermal degradation</w:t>
      </w:r>
    </w:p>
    <w:p w14:paraId="427FB575" w14:textId="047A5893" w:rsidR="00F4244B" w:rsidRPr="007B6803" w:rsidRDefault="00CE768F" w:rsidP="00F4244B">
      <w:pPr>
        <w:pStyle w:val="NormalWeb"/>
        <w:shd w:val="clear" w:color="auto" w:fill="FFFFFF"/>
        <w:spacing w:before="450" w:beforeAutospacing="0" w:after="0" w:afterAutospacing="0"/>
        <w:jc w:val="both"/>
        <w:rPr>
          <w:rFonts w:ascii="Arial" w:hAnsi="Arial" w:cs="Arial"/>
          <w:sz w:val="22"/>
          <w:szCs w:val="22"/>
          <w:shd w:val="clear" w:color="auto" w:fill="FFFFFF"/>
        </w:rPr>
      </w:pPr>
      <w:r w:rsidRPr="007B6803">
        <w:rPr>
          <w:rFonts w:ascii="Arial" w:hAnsi="Arial" w:cs="Arial"/>
          <w:sz w:val="22"/>
          <w:szCs w:val="22"/>
          <w:highlight w:val="yellow"/>
        </w:rPr>
        <w:t>Beyond coating, organic/inorganic nano composite material have been developed</w:t>
      </w:r>
      <w:r w:rsidR="00810362">
        <w:rPr>
          <w:rFonts w:ascii="Arial" w:hAnsi="Arial" w:cs="Arial"/>
          <w:sz w:val="22"/>
          <w:szCs w:val="22"/>
          <w:highlight w:val="yellow"/>
        </w:rPr>
        <w:t xml:space="preserve"> and employed</w:t>
      </w:r>
      <w:r w:rsidRPr="007B6803">
        <w:rPr>
          <w:rFonts w:ascii="Arial" w:hAnsi="Arial" w:cs="Arial"/>
          <w:sz w:val="22"/>
          <w:szCs w:val="22"/>
          <w:highlight w:val="yellow"/>
        </w:rPr>
        <w:t xml:space="preserve"> by research scientist in </w:t>
      </w:r>
      <w:r w:rsidR="007B6803" w:rsidRPr="007B6803">
        <w:rPr>
          <w:rFonts w:ascii="Arial" w:hAnsi="Arial" w:cs="Arial"/>
          <w:sz w:val="22"/>
          <w:szCs w:val="22"/>
          <w:highlight w:val="yellow"/>
        </w:rPr>
        <w:t xml:space="preserve">other </w:t>
      </w:r>
      <w:r w:rsidRPr="007B6803">
        <w:rPr>
          <w:rFonts w:ascii="Arial" w:hAnsi="Arial" w:cs="Arial"/>
          <w:sz w:val="22"/>
          <w:szCs w:val="22"/>
          <w:highlight w:val="yellow"/>
        </w:rPr>
        <w:t>area</w:t>
      </w:r>
      <w:r w:rsidR="007B6803" w:rsidRPr="007B6803">
        <w:rPr>
          <w:rFonts w:ascii="Arial" w:hAnsi="Arial" w:cs="Arial"/>
          <w:sz w:val="22"/>
          <w:szCs w:val="22"/>
          <w:highlight w:val="yellow"/>
        </w:rPr>
        <w:t>s</w:t>
      </w:r>
      <w:r w:rsidRPr="007B6803">
        <w:rPr>
          <w:rFonts w:ascii="Arial" w:hAnsi="Arial" w:cs="Arial"/>
          <w:sz w:val="22"/>
          <w:szCs w:val="22"/>
          <w:highlight w:val="yellow"/>
        </w:rPr>
        <w:t xml:space="preserve"> such as removal of contaminants from industrial waste water. </w:t>
      </w:r>
      <w:r w:rsidR="00943D44" w:rsidRPr="007B6803">
        <w:rPr>
          <w:rFonts w:ascii="Arial" w:hAnsi="Arial" w:cs="Arial"/>
          <w:sz w:val="22"/>
          <w:szCs w:val="22"/>
          <w:highlight w:val="yellow"/>
        </w:rPr>
        <w:t xml:space="preserve">Consequently, </w:t>
      </w:r>
      <w:r w:rsidRPr="007B6803">
        <w:rPr>
          <w:rFonts w:ascii="Arial" w:hAnsi="Arial" w:cs="Arial"/>
          <w:sz w:val="22"/>
          <w:szCs w:val="22"/>
          <w:highlight w:val="yellow"/>
        </w:rPr>
        <w:t xml:space="preserve">Ahmed </w:t>
      </w:r>
      <w:r w:rsidR="00810362">
        <w:rPr>
          <w:rFonts w:ascii="Arial" w:hAnsi="Arial" w:cs="Arial"/>
          <w:i/>
          <w:sz w:val="22"/>
          <w:szCs w:val="22"/>
          <w:highlight w:val="yellow"/>
        </w:rPr>
        <w:t>et al.</w:t>
      </w:r>
      <w:r w:rsidR="00943D44" w:rsidRPr="007B6803">
        <w:rPr>
          <w:rFonts w:ascii="Arial" w:hAnsi="Arial" w:cs="Arial"/>
          <w:sz w:val="22"/>
          <w:szCs w:val="22"/>
          <w:highlight w:val="yellow"/>
        </w:rPr>
        <w:t xml:space="preserve"> 2023, reported the </w:t>
      </w:r>
      <w:r w:rsidR="00943D44" w:rsidRPr="007B6803">
        <w:rPr>
          <w:rFonts w:ascii="Arial" w:hAnsi="Arial" w:cs="Arial"/>
          <w:color w:val="222222"/>
          <w:sz w:val="22"/>
          <w:szCs w:val="22"/>
          <w:highlight w:val="yellow"/>
          <w:shd w:val="clear" w:color="auto" w:fill="FFFFFF"/>
        </w:rPr>
        <w:t>successful</w:t>
      </w:r>
      <w:r w:rsidR="007B6803" w:rsidRPr="007B6803">
        <w:rPr>
          <w:rFonts w:ascii="Arial" w:hAnsi="Arial" w:cs="Arial"/>
          <w:color w:val="222222"/>
          <w:sz w:val="22"/>
          <w:szCs w:val="22"/>
          <w:highlight w:val="yellow"/>
          <w:shd w:val="clear" w:color="auto" w:fill="FFFFFF"/>
        </w:rPr>
        <w:t xml:space="preserve"> fabrication </w:t>
      </w:r>
      <w:proofErr w:type="gramStart"/>
      <w:r w:rsidR="007B6803" w:rsidRPr="007B6803">
        <w:rPr>
          <w:rFonts w:ascii="Arial" w:hAnsi="Arial" w:cs="Arial"/>
          <w:color w:val="222222"/>
          <w:sz w:val="22"/>
          <w:szCs w:val="22"/>
          <w:highlight w:val="yellow"/>
          <w:shd w:val="clear" w:color="auto" w:fill="FFFFFF"/>
        </w:rPr>
        <w:t xml:space="preserve">of </w:t>
      </w:r>
      <w:r w:rsidRPr="007B6803">
        <w:rPr>
          <w:rFonts w:ascii="Arial" w:hAnsi="Arial" w:cs="Arial"/>
          <w:color w:val="222222"/>
          <w:sz w:val="22"/>
          <w:szCs w:val="22"/>
          <w:highlight w:val="yellow"/>
          <w:shd w:val="clear" w:color="auto" w:fill="FFFFFF"/>
        </w:rPr>
        <w:t xml:space="preserve"> a</w:t>
      </w:r>
      <w:proofErr w:type="gramEnd"/>
      <w:r w:rsidRPr="007B6803">
        <w:rPr>
          <w:rFonts w:ascii="Arial" w:hAnsi="Arial" w:cs="Arial"/>
          <w:color w:val="222222"/>
          <w:sz w:val="22"/>
          <w:szCs w:val="22"/>
          <w:highlight w:val="yellow"/>
          <w:shd w:val="clear" w:color="auto" w:fill="FFFFFF"/>
        </w:rPr>
        <w:t xml:space="preserve"> </w:t>
      </w:r>
      <w:r w:rsidR="00F4244B" w:rsidRPr="007B6803">
        <w:rPr>
          <w:rFonts w:ascii="Arial" w:hAnsi="Arial" w:cs="Arial"/>
          <w:color w:val="222222"/>
          <w:sz w:val="22"/>
          <w:szCs w:val="22"/>
          <w:highlight w:val="yellow"/>
          <w:shd w:val="clear" w:color="auto" w:fill="FFFFFF"/>
        </w:rPr>
        <w:t>multifunctional</w:t>
      </w:r>
      <w:r w:rsidRPr="007B6803">
        <w:rPr>
          <w:rFonts w:ascii="Arial" w:hAnsi="Arial" w:cs="Arial"/>
          <w:color w:val="222222"/>
          <w:sz w:val="22"/>
          <w:szCs w:val="22"/>
          <w:highlight w:val="yellow"/>
          <w:shd w:val="clear" w:color="auto" w:fill="FFFFFF"/>
        </w:rPr>
        <w:t xml:space="preserve"> organic/inorganic nano composite material (Zeolite X (Ze) and activated carbon) capable of removing organic /inorganic contaminant from industrial waste water. The authors reported efficient removal of methylene blue and Co (II) from the aqueous media. </w:t>
      </w:r>
      <w:r w:rsidR="00F4244B" w:rsidRPr="007B6803">
        <w:rPr>
          <w:rFonts w:ascii="Arial" w:hAnsi="Arial" w:cs="Arial"/>
          <w:color w:val="222222"/>
          <w:sz w:val="22"/>
          <w:szCs w:val="22"/>
          <w:highlight w:val="yellow"/>
          <w:shd w:val="clear" w:color="auto" w:fill="FFFFFF"/>
        </w:rPr>
        <w:t>Furthermore</w:t>
      </w:r>
      <w:r w:rsidRPr="007B6803">
        <w:rPr>
          <w:rFonts w:ascii="Arial" w:hAnsi="Arial" w:cs="Arial"/>
          <w:color w:val="222222"/>
          <w:sz w:val="22"/>
          <w:szCs w:val="22"/>
          <w:highlight w:val="yellow"/>
          <w:shd w:val="clear" w:color="auto" w:fill="FFFFFF"/>
        </w:rPr>
        <w:t>, the authors</w:t>
      </w:r>
      <w:r w:rsidR="00F4244B" w:rsidRPr="007B6803">
        <w:rPr>
          <w:rFonts w:ascii="Arial" w:hAnsi="Arial" w:cs="Arial"/>
          <w:color w:val="222222"/>
          <w:sz w:val="22"/>
          <w:szCs w:val="22"/>
          <w:highlight w:val="yellow"/>
          <w:shd w:val="clear" w:color="auto" w:fill="FFFFFF"/>
        </w:rPr>
        <w:t xml:space="preserve"> </w:t>
      </w:r>
      <w:r w:rsidRPr="007B6803">
        <w:rPr>
          <w:rFonts w:ascii="Arial" w:hAnsi="Arial" w:cs="Arial"/>
          <w:color w:val="222222"/>
          <w:sz w:val="22"/>
          <w:szCs w:val="22"/>
          <w:highlight w:val="yellow"/>
          <w:shd w:val="clear" w:color="auto" w:fill="FFFFFF"/>
        </w:rPr>
        <w:t>noted that Ze/</w:t>
      </w:r>
      <w:proofErr w:type="gramStart"/>
      <w:r w:rsidRPr="007B6803">
        <w:rPr>
          <w:rFonts w:ascii="Arial" w:hAnsi="Arial" w:cs="Arial"/>
          <w:color w:val="222222"/>
          <w:sz w:val="22"/>
          <w:szCs w:val="22"/>
          <w:highlight w:val="yellow"/>
          <w:shd w:val="clear" w:color="auto" w:fill="FFFFFF"/>
        </w:rPr>
        <w:t>AC  removal</w:t>
      </w:r>
      <w:proofErr w:type="gramEnd"/>
      <w:r w:rsidRPr="007B6803">
        <w:rPr>
          <w:rFonts w:ascii="Arial" w:hAnsi="Arial" w:cs="Arial"/>
          <w:color w:val="222222"/>
          <w:sz w:val="22"/>
          <w:szCs w:val="22"/>
          <w:highlight w:val="yellow"/>
          <w:shd w:val="clear" w:color="auto" w:fill="FFFFFF"/>
        </w:rPr>
        <w:t xml:space="preserve"> capacity of  MB and Co(II) from aqueous media were 67.6</w:t>
      </w:r>
      <w:r w:rsidR="007B6803" w:rsidRPr="007B6803">
        <w:rPr>
          <w:rFonts w:ascii="Arial" w:hAnsi="Arial" w:cs="Arial"/>
          <w:color w:val="222222"/>
          <w:sz w:val="22"/>
          <w:szCs w:val="22"/>
          <w:highlight w:val="yellow"/>
          <w:shd w:val="clear" w:color="auto" w:fill="FFFFFF"/>
        </w:rPr>
        <w:t> mg/g and 66.7 mg/g compared to</w:t>
      </w:r>
      <w:r w:rsidRPr="007B6803">
        <w:rPr>
          <w:rFonts w:ascii="Arial" w:hAnsi="Arial" w:cs="Arial"/>
          <w:color w:val="222222"/>
          <w:sz w:val="22"/>
          <w:szCs w:val="22"/>
          <w:highlight w:val="yellow"/>
          <w:shd w:val="clear" w:color="auto" w:fill="FFFFFF"/>
        </w:rPr>
        <w:t xml:space="preserve"> Ze/L/AC  (66.6 mg/g and 44.8 mg/g).</w:t>
      </w:r>
      <w:r w:rsidR="00F4244B" w:rsidRPr="007B6803">
        <w:rPr>
          <w:rFonts w:ascii="Arial" w:hAnsi="Arial" w:cs="Arial"/>
          <w:color w:val="222222"/>
          <w:sz w:val="22"/>
          <w:szCs w:val="22"/>
          <w:highlight w:val="yellow"/>
          <w:shd w:val="clear" w:color="auto" w:fill="FFFFFF"/>
        </w:rPr>
        <w:t xml:space="preserve"> Similarly, </w:t>
      </w:r>
      <w:proofErr w:type="spellStart"/>
      <w:r w:rsidR="00943D44" w:rsidRPr="007B6803">
        <w:rPr>
          <w:rFonts w:ascii="Arial" w:hAnsi="Arial" w:cs="Arial"/>
          <w:color w:val="222222"/>
          <w:sz w:val="22"/>
          <w:szCs w:val="22"/>
          <w:highlight w:val="yellow"/>
        </w:rPr>
        <w:t>Sadrara</w:t>
      </w:r>
      <w:proofErr w:type="spellEnd"/>
      <w:r w:rsidR="00F4244B" w:rsidRPr="007B6803">
        <w:rPr>
          <w:rFonts w:ascii="Arial" w:hAnsi="Arial" w:cs="Arial"/>
          <w:sz w:val="22"/>
          <w:szCs w:val="22"/>
          <w:highlight w:val="yellow"/>
          <w:shd w:val="clear" w:color="auto" w:fill="FFFFFF"/>
        </w:rPr>
        <w:t xml:space="preserve"> </w:t>
      </w:r>
      <w:r w:rsidR="00F4244B" w:rsidRPr="007B6803">
        <w:rPr>
          <w:rFonts w:ascii="Arial" w:hAnsi="Arial" w:cs="Arial"/>
          <w:i/>
          <w:sz w:val="22"/>
          <w:szCs w:val="22"/>
          <w:highlight w:val="yellow"/>
          <w:shd w:val="clear" w:color="auto" w:fill="FFFFFF"/>
        </w:rPr>
        <w:t>et al.,</w:t>
      </w:r>
      <w:r w:rsidR="00F4244B" w:rsidRPr="007B6803">
        <w:rPr>
          <w:rFonts w:ascii="Arial" w:hAnsi="Arial" w:cs="Arial"/>
          <w:sz w:val="22"/>
          <w:szCs w:val="22"/>
          <w:highlight w:val="yellow"/>
          <w:shd w:val="clear" w:color="auto" w:fill="FFFFFF"/>
        </w:rPr>
        <w:t xml:space="preserve"> 2023, s</w:t>
      </w:r>
      <w:r w:rsidR="00943D44" w:rsidRPr="007B6803">
        <w:rPr>
          <w:rFonts w:ascii="Arial" w:hAnsi="Arial" w:cs="Arial"/>
          <w:sz w:val="22"/>
          <w:szCs w:val="22"/>
          <w:highlight w:val="yellow"/>
          <w:shd w:val="clear" w:color="auto" w:fill="FFFFFF"/>
        </w:rPr>
        <w:t>uccessfully designed an organic</w:t>
      </w:r>
      <w:r w:rsidR="00F4244B" w:rsidRPr="007B6803">
        <w:rPr>
          <w:rFonts w:ascii="Arial" w:hAnsi="Arial" w:cs="Arial"/>
          <w:sz w:val="22"/>
          <w:szCs w:val="22"/>
          <w:highlight w:val="yellow"/>
          <w:shd w:val="clear" w:color="auto" w:fill="FFFFFF"/>
        </w:rPr>
        <w:t>/inorganic nano composite material (</w:t>
      </w:r>
      <w:r w:rsidR="00F4244B" w:rsidRPr="007B6803">
        <w:rPr>
          <w:rFonts w:ascii="Arial" w:hAnsi="Arial" w:cs="Arial"/>
          <w:sz w:val="22"/>
          <w:szCs w:val="22"/>
          <w:highlight w:val="yellow"/>
        </w:rPr>
        <w:t>surface molecularly imprinted polymer (SMIP) and mesoporous silica nanoparticles (MSNs)</w:t>
      </w:r>
      <w:r w:rsidR="00F4244B" w:rsidRPr="007B6803">
        <w:rPr>
          <w:rFonts w:ascii="Arial" w:hAnsi="Arial" w:cs="Arial"/>
          <w:sz w:val="22"/>
          <w:szCs w:val="22"/>
          <w:highlight w:val="yellow"/>
          <w:shd w:val="clear" w:color="auto" w:fill="FFFFFF"/>
        </w:rPr>
        <w:t xml:space="preserve"> for deep oxidative /adsorptive removal of </w:t>
      </w:r>
      <w:r w:rsidR="00F4244B" w:rsidRPr="007B6803">
        <w:rPr>
          <w:rFonts w:ascii="Arial" w:hAnsi="Arial" w:cs="Arial"/>
          <w:sz w:val="22"/>
          <w:szCs w:val="22"/>
          <w:highlight w:val="yellow"/>
        </w:rPr>
        <w:t xml:space="preserve">dibenzothiophene (DBT) from model and real fuel. </w:t>
      </w:r>
      <w:r w:rsidR="007B6803" w:rsidRPr="007B6803">
        <w:rPr>
          <w:rFonts w:ascii="Arial" w:hAnsi="Arial" w:cs="Arial"/>
          <w:sz w:val="22"/>
          <w:szCs w:val="22"/>
          <w:highlight w:val="yellow"/>
        </w:rPr>
        <w:t>o</w:t>
      </w:r>
      <w:r w:rsidR="00F4244B" w:rsidRPr="007B6803">
        <w:rPr>
          <w:rFonts w:ascii="Arial" w:hAnsi="Arial" w:cs="Arial"/>
          <w:sz w:val="22"/>
          <w:szCs w:val="22"/>
          <w:highlight w:val="yellow"/>
        </w:rPr>
        <w:t>ils, The hybrid material developed  according to the authors showed good potential for simultaneous oxidative and adsorptive desulphurization of model and real fuel.</w:t>
      </w:r>
    </w:p>
    <w:p w14:paraId="433637BF" w14:textId="2CB8A431" w:rsidR="00CE768F" w:rsidRPr="007B6803" w:rsidRDefault="00F4244B" w:rsidP="00CE768F">
      <w:pPr>
        <w:jc w:val="both"/>
        <w:rPr>
          <w:rFonts w:ascii="Arial" w:hAnsi="Arial" w:cs="Arial"/>
        </w:rPr>
      </w:pPr>
      <w:r w:rsidRPr="007B6803">
        <w:rPr>
          <w:rFonts w:ascii="Arial" w:hAnsi="Arial" w:cs="Arial"/>
          <w:color w:val="222222"/>
          <w:shd w:val="clear" w:color="auto" w:fill="FFFFFF"/>
        </w:rPr>
        <w:t xml:space="preserve"> </w:t>
      </w:r>
    </w:p>
    <w:p w14:paraId="2823C303" w14:textId="671883C0" w:rsidR="001507BB" w:rsidRPr="007B6803" w:rsidRDefault="00810362" w:rsidP="001507BB">
      <w:pPr>
        <w:spacing w:before="100" w:beforeAutospacing="1" w:after="100" w:afterAutospacing="1" w:line="240" w:lineRule="auto"/>
        <w:jc w:val="both"/>
        <w:rPr>
          <w:rFonts w:ascii="Arial" w:eastAsia="Times New Roman" w:hAnsi="Arial" w:cs="Arial"/>
          <w:lang w:eastAsia="en-GB"/>
        </w:rPr>
      </w:pPr>
      <w:r w:rsidRPr="00810362">
        <w:rPr>
          <w:rFonts w:ascii="Arial" w:eastAsia="Times New Roman" w:hAnsi="Arial" w:cs="Arial"/>
          <w:highlight w:val="yellow"/>
          <w:lang w:eastAsia="en-GB"/>
        </w:rPr>
        <w:t xml:space="preserve">In our </w:t>
      </w:r>
      <w:r w:rsidR="001507BB" w:rsidRPr="00810362">
        <w:rPr>
          <w:rFonts w:ascii="Arial" w:eastAsia="Times New Roman" w:hAnsi="Arial" w:cs="Arial"/>
          <w:highlight w:val="yellow"/>
          <w:lang w:eastAsia="en-GB"/>
        </w:rPr>
        <w:t>study</w:t>
      </w:r>
      <w:r w:rsidRPr="00810362">
        <w:rPr>
          <w:rFonts w:ascii="Arial" w:eastAsia="Times New Roman" w:hAnsi="Arial" w:cs="Arial"/>
          <w:highlight w:val="yellow"/>
          <w:lang w:eastAsia="en-GB"/>
        </w:rPr>
        <w:t>, we</w:t>
      </w:r>
      <w:r w:rsidR="00E96824">
        <w:rPr>
          <w:rFonts w:ascii="Arial" w:eastAsia="Times New Roman" w:hAnsi="Arial" w:cs="Arial"/>
          <w:lang w:eastAsia="en-GB"/>
        </w:rPr>
        <w:t xml:space="preserve"> investigated</w:t>
      </w:r>
      <w:r w:rsidR="001507BB" w:rsidRPr="007B6803">
        <w:rPr>
          <w:rFonts w:ascii="Arial" w:eastAsia="Times New Roman" w:hAnsi="Arial" w:cs="Arial"/>
          <w:lang w:eastAsia="en-GB"/>
        </w:rPr>
        <w:t xml:space="preserve"> the thermal behaviour of ethanol extract of </w:t>
      </w:r>
      <w:r w:rsidR="001507BB" w:rsidRPr="007B6803">
        <w:rPr>
          <w:rFonts w:ascii="Arial" w:eastAsia="Times New Roman" w:hAnsi="Arial" w:cs="Arial"/>
          <w:i/>
          <w:iCs/>
          <w:lang w:eastAsia="en-GB"/>
        </w:rPr>
        <w:t>D. edulis</w:t>
      </w:r>
      <w:r w:rsidR="001507BB" w:rsidRPr="007B6803">
        <w:rPr>
          <w:rFonts w:ascii="Arial" w:eastAsia="Times New Roman" w:hAnsi="Arial" w:cs="Arial"/>
          <w:lang w:eastAsia="en-GB"/>
        </w:rPr>
        <w:t xml:space="preserve"> (DE), PAS, and their hybrid (DE/PAS) using TGA/DTA in nitrogen atmosphere. FTIR was employed to identify functional groups, while TEM and SEM were used to confirm particle size (20–50 nm) and morphology before and after hybridization. The analysis highlights the enhanced thermal stability of the hybrid material, attributed to covalent bonding between the electron-</w:t>
      </w:r>
      <w:r w:rsidR="001507BB" w:rsidRPr="007B6803">
        <w:rPr>
          <w:rFonts w:ascii="Arial" w:eastAsia="Times New Roman" w:hAnsi="Arial" w:cs="Arial"/>
          <w:lang w:eastAsia="en-GB"/>
        </w:rPr>
        <w:lastRenderedPageBreak/>
        <w:t xml:space="preserve">rich organic groups of DE </w:t>
      </w:r>
      <w:r w:rsidR="00AD2020" w:rsidRPr="007B6803">
        <w:rPr>
          <w:rFonts w:ascii="Arial" w:eastAsia="Times New Roman" w:hAnsi="Arial" w:cs="Arial"/>
          <w:lang w:eastAsia="en-GB"/>
        </w:rPr>
        <w:t>and the Si–O–Si network of PAS. It also</w:t>
      </w:r>
      <w:r w:rsidR="001507BB" w:rsidRPr="007B6803">
        <w:rPr>
          <w:rFonts w:ascii="Arial" w:eastAsia="Times New Roman" w:hAnsi="Arial" w:cs="Arial"/>
          <w:lang w:eastAsia="en-GB"/>
        </w:rPr>
        <w:t xml:space="preserve"> demonstrates the potential of DE/PAS hybrids as sustainable, thermally stable alternatives in coating technology, combining renewable bio-sources with inorganic reinforcement to achieve superior performance.</w:t>
      </w:r>
    </w:p>
    <w:p w14:paraId="7EFD2340" w14:textId="77777777" w:rsidR="001507BB" w:rsidRPr="007B6803" w:rsidRDefault="001507BB" w:rsidP="001507BB">
      <w:pPr>
        <w:pStyle w:val="Heading2"/>
        <w:jc w:val="both"/>
        <w:rPr>
          <w:rFonts w:ascii="Arial" w:hAnsi="Arial" w:cs="Arial"/>
          <w:sz w:val="22"/>
          <w:szCs w:val="22"/>
        </w:rPr>
      </w:pPr>
      <w:r w:rsidRPr="007B6803">
        <w:rPr>
          <w:rStyle w:val="Strong"/>
          <w:rFonts w:ascii="Arial" w:hAnsi="Arial" w:cs="Arial"/>
          <w:b/>
          <w:bCs/>
          <w:sz w:val="22"/>
          <w:szCs w:val="22"/>
        </w:rPr>
        <w:t>Materials and Methods</w:t>
      </w:r>
    </w:p>
    <w:p w14:paraId="503E544C" w14:textId="77777777" w:rsidR="001507BB" w:rsidRPr="007B6803" w:rsidRDefault="001507BB" w:rsidP="001507BB">
      <w:pPr>
        <w:pStyle w:val="Heading3"/>
        <w:jc w:val="both"/>
        <w:rPr>
          <w:rFonts w:ascii="Arial" w:hAnsi="Arial" w:cs="Arial"/>
          <w:sz w:val="22"/>
          <w:szCs w:val="22"/>
        </w:rPr>
      </w:pPr>
      <w:r w:rsidRPr="007B6803">
        <w:rPr>
          <w:rStyle w:val="Strong"/>
          <w:rFonts w:ascii="Arial" w:hAnsi="Arial" w:cs="Arial"/>
          <w:bCs/>
          <w:sz w:val="22"/>
          <w:szCs w:val="22"/>
        </w:rPr>
        <w:t>Preparation of Plant Extract</w:t>
      </w:r>
    </w:p>
    <w:p w14:paraId="0234BFCE"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 xml:space="preserve">Fresh leaves of </w:t>
      </w:r>
      <w:proofErr w:type="spellStart"/>
      <w:r w:rsidRPr="007B6803">
        <w:rPr>
          <w:rStyle w:val="Emphasis"/>
          <w:rFonts w:ascii="Arial" w:hAnsi="Arial" w:cs="Arial"/>
          <w:sz w:val="22"/>
          <w:szCs w:val="22"/>
        </w:rPr>
        <w:t>Dacryodes</w:t>
      </w:r>
      <w:proofErr w:type="spellEnd"/>
      <w:r w:rsidRPr="007B6803">
        <w:rPr>
          <w:rStyle w:val="Emphasis"/>
          <w:rFonts w:ascii="Arial" w:hAnsi="Arial" w:cs="Arial"/>
          <w:sz w:val="22"/>
          <w:szCs w:val="22"/>
        </w:rPr>
        <w:t xml:space="preserve"> edulis</w:t>
      </w:r>
      <w:r w:rsidRPr="007B6803">
        <w:rPr>
          <w:rFonts w:ascii="Arial" w:hAnsi="Arial" w:cs="Arial"/>
          <w:sz w:val="22"/>
          <w:szCs w:val="22"/>
        </w:rPr>
        <w:t xml:space="preserve"> were collected from </w:t>
      </w:r>
      <w:proofErr w:type="spellStart"/>
      <w:r w:rsidRPr="007B6803">
        <w:rPr>
          <w:rFonts w:ascii="Arial" w:hAnsi="Arial" w:cs="Arial"/>
          <w:sz w:val="22"/>
          <w:szCs w:val="22"/>
        </w:rPr>
        <w:t>Ubomiri</w:t>
      </w:r>
      <w:proofErr w:type="spellEnd"/>
      <w:r w:rsidRPr="007B6803">
        <w:rPr>
          <w:rFonts w:ascii="Arial" w:hAnsi="Arial" w:cs="Arial"/>
          <w:sz w:val="22"/>
          <w:szCs w:val="22"/>
        </w:rPr>
        <w:t xml:space="preserve">, </w:t>
      </w:r>
      <w:proofErr w:type="spellStart"/>
      <w:r w:rsidRPr="007B6803">
        <w:rPr>
          <w:rFonts w:ascii="Arial" w:hAnsi="Arial" w:cs="Arial"/>
          <w:sz w:val="22"/>
          <w:szCs w:val="22"/>
        </w:rPr>
        <w:t>Mbaitoli</w:t>
      </w:r>
      <w:proofErr w:type="spellEnd"/>
      <w:r w:rsidRPr="007B6803">
        <w:rPr>
          <w:rFonts w:ascii="Arial" w:hAnsi="Arial" w:cs="Arial"/>
          <w:sz w:val="22"/>
          <w:szCs w:val="22"/>
        </w:rPr>
        <w:t xml:space="preserve"> Local Government Area, Imo State, Nigeria (Latitude 5.6500° N, Longitude 7.0333° E). The leaves were thoroughly washed with distilled water, air-dried at room temperature, and ground into fine powder. Approximately 100 g of the powdered sample was soaked in 1000 mL of 99% ethanol in an airtight container and allowed to stand for 48 h. The mixture was then filtered, and the solvent was removed under reduced pressure using a rotary evaporator, yielding the concentrated e</w:t>
      </w:r>
      <w:r w:rsidR="00B76581" w:rsidRPr="007B6803">
        <w:rPr>
          <w:rFonts w:ascii="Arial" w:hAnsi="Arial" w:cs="Arial"/>
          <w:sz w:val="22"/>
          <w:szCs w:val="22"/>
        </w:rPr>
        <w:t>thanolic extract [23-27</w:t>
      </w:r>
      <w:r w:rsidRPr="007B6803">
        <w:rPr>
          <w:rFonts w:ascii="Arial" w:hAnsi="Arial" w:cs="Arial"/>
          <w:sz w:val="22"/>
          <w:szCs w:val="22"/>
        </w:rPr>
        <w:t>].</w:t>
      </w:r>
    </w:p>
    <w:p w14:paraId="3CAEED4B" w14:textId="77777777" w:rsidR="001507BB" w:rsidRPr="007B6803" w:rsidRDefault="001507BB" w:rsidP="001507BB">
      <w:pPr>
        <w:pStyle w:val="Heading3"/>
        <w:jc w:val="both"/>
        <w:rPr>
          <w:rFonts w:ascii="Arial" w:hAnsi="Arial" w:cs="Arial"/>
          <w:sz w:val="22"/>
          <w:szCs w:val="22"/>
        </w:rPr>
      </w:pPr>
      <w:r w:rsidRPr="007B6803">
        <w:rPr>
          <w:rStyle w:val="Strong"/>
          <w:rFonts w:ascii="Arial" w:hAnsi="Arial" w:cs="Arial"/>
          <w:b/>
          <w:bCs/>
          <w:sz w:val="22"/>
          <w:szCs w:val="22"/>
        </w:rPr>
        <w:t>Synthesis of Precipitated Amorphous Silica (PAS)</w:t>
      </w:r>
    </w:p>
    <w:p w14:paraId="1DD23D94"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PAS was synthesized via acid neutralization of sodium silicate solution. Briefly, 250 g of analytical grade sodium silicate (</w:t>
      </w:r>
      <w:proofErr w:type="spellStart"/>
      <w:r w:rsidRPr="007B6803">
        <w:rPr>
          <w:rFonts w:ascii="Arial" w:hAnsi="Arial" w:cs="Arial"/>
          <w:sz w:val="22"/>
          <w:szCs w:val="22"/>
        </w:rPr>
        <w:t>Na</w:t>
      </w:r>
      <w:r w:rsidRPr="007B6803">
        <w:rPr>
          <w:rFonts w:ascii="Cambria Math" w:hAnsi="Cambria Math" w:cs="Cambria Math"/>
          <w:sz w:val="22"/>
          <w:szCs w:val="22"/>
        </w:rPr>
        <w:t>₂</w:t>
      </w:r>
      <w:r w:rsidRPr="007B6803">
        <w:rPr>
          <w:rFonts w:ascii="Arial" w:hAnsi="Arial" w:cs="Arial"/>
          <w:sz w:val="22"/>
          <w:szCs w:val="22"/>
        </w:rPr>
        <w:t>SiO</w:t>
      </w:r>
      <w:proofErr w:type="spellEnd"/>
      <w:r w:rsidRPr="007B6803">
        <w:rPr>
          <w:rFonts w:ascii="Cambria Math" w:hAnsi="Cambria Math" w:cs="Cambria Math"/>
          <w:sz w:val="22"/>
          <w:szCs w:val="22"/>
        </w:rPr>
        <w:t>₃</w:t>
      </w:r>
      <w:r w:rsidRPr="007B6803">
        <w:rPr>
          <w:rFonts w:ascii="Arial" w:hAnsi="Arial" w:cs="Arial"/>
          <w:sz w:val="22"/>
          <w:szCs w:val="22"/>
        </w:rPr>
        <w:t xml:space="preserve">) was dissolved in 750 mL of distilled water to obtain a 25% solution, followed by moderate heating until a homogeneous solution was achieved. A dilute solution of </w:t>
      </w:r>
      <w:proofErr w:type="spellStart"/>
      <w:r w:rsidRPr="007B6803">
        <w:rPr>
          <w:rFonts w:ascii="Arial" w:hAnsi="Arial" w:cs="Arial"/>
          <w:sz w:val="22"/>
          <w:szCs w:val="22"/>
        </w:rPr>
        <w:t>tetraoxosulphate</w:t>
      </w:r>
      <w:proofErr w:type="spellEnd"/>
      <w:r w:rsidRPr="007B6803">
        <w:rPr>
          <w:rFonts w:ascii="Arial" w:hAnsi="Arial" w:cs="Arial"/>
          <w:sz w:val="22"/>
          <w:szCs w:val="22"/>
        </w:rPr>
        <w:t xml:space="preserve"> (VI) acid (H</w:t>
      </w:r>
      <w:r w:rsidRPr="007B6803">
        <w:rPr>
          <w:rFonts w:ascii="Cambria Math" w:hAnsi="Cambria Math" w:cs="Cambria Math"/>
          <w:sz w:val="22"/>
          <w:szCs w:val="22"/>
        </w:rPr>
        <w:t>₂</w:t>
      </w:r>
      <w:r w:rsidRPr="007B6803">
        <w:rPr>
          <w:rFonts w:ascii="Arial" w:hAnsi="Arial" w:cs="Arial"/>
          <w:sz w:val="22"/>
          <w:szCs w:val="22"/>
        </w:rPr>
        <w:t>SO</w:t>
      </w:r>
      <w:r w:rsidRPr="007B6803">
        <w:rPr>
          <w:rFonts w:ascii="Cambria Math" w:hAnsi="Cambria Math" w:cs="Cambria Math"/>
          <w:sz w:val="22"/>
          <w:szCs w:val="22"/>
        </w:rPr>
        <w:t>₄</w:t>
      </w:r>
      <w:r w:rsidRPr="007B6803">
        <w:rPr>
          <w:rFonts w:ascii="Arial" w:hAnsi="Arial" w:cs="Arial"/>
          <w:sz w:val="22"/>
          <w:szCs w:val="22"/>
        </w:rPr>
        <w:t>; 1:10 with water) was prepared separately. The acid was added gradually to the sodium silicate solution containing 0.1 g of polyvinylpyrrolidone (PVP) while stirring with a high-energy disperser. The rate of acid addition was controlled by temperature: faster addition at 40–60 °C and slower addition at 60–80 °C.</w:t>
      </w:r>
    </w:p>
    <w:p w14:paraId="25910D64"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 xml:space="preserve">The pH was monitored throughout, decreasing from ~11 to 7.5 as precipitation occurred. The reaction mixture was maintained at ~80 °C with vigorous stirring to prevent coagulation. The precipitate was aged for 1 h, cooled to room temperature, and separated by vacuum filtration. The silica cake was washed repeatedly with distilled water until the filtrate pH matched that of distilled water (6.5). The recovered material was oven-dried at 40 °C and ground to obtain nano-sized PAS </w:t>
      </w:r>
      <w:proofErr w:type="gramStart"/>
      <w:r w:rsidRPr="007B6803">
        <w:rPr>
          <w:rFonts w:ascii="Arial" w:hAnsi="Arial" w:cs="Arial"/>
          <w:sz w:val="22"/>
          <w:szCs w:val="22"/>
        </w:rPr>
        <w:t>powder.</w:t>
      </w:r>
      <w:r w:rsidR="00AD2020" w:rsidRPr="007B6803">
        <w:rPr>
          <w:rFonts w:ascii="Arial" w:hAnsi="Arial" w:cs="Arial"/>
          <w:sz w:val="22"/>
          <w:szCs w:val="22"/>
        </w:rPr>
        <w:t>[</w:t>
      </w:r>
      <w:proofErr w:type="gramEnd"/>
      <w:r w:rsidR="00AD2020" w:rsidRPr="007B6803">
        <w:rPr>
          <w:rFonts w:ascii="Arial" w:hAnsi="Arial" w:cs="Arial"/>
          <w:sz w:val="22"/>
          <w:szCs w:val="22"/>
        </w:rPr>
        <w:t>3, 22]</w:t>
      </w:r>
    </w:p>
    <w:p w14:paraId="48BB78C3" w14:textId="77777777" w:rsidR="001507BB" w:rsidRPr="007B6803" w:rsidRDefault="001507BB" w:rsidP="001507BB">
      <w:pPr>
        <w:pStyle w:val="Heading3"/>
        <w:jc w:val="both"/>
        <w:rPr>
          <w:rFonts w:ascii="Arial" w:hAnsi="Arial" w:cs="Arial"/>
          <w:sz w:val="22"/>
          <w:szCs w:val="22"/>
        </w:rPr>
      </w:pPr>
      <w:r w:rsidRPr="007B6803">
        <w:rPr>
          <w:rStyle w:val="Strong"/>
          <w:rFonts w:ascii="Arial" w:hAnsi="Arial" w:cs="Arial"/>
          <w:b/>
          <w:bCs/>
          <w:sz w:val="22"/>
          <w:szCs w:val="22"/>
        </w:rPr>
        <w:t>Hybridization of Organic and Inorganic Components</w:t>
      </w:r>
    </w:p>
    <w:p w14:paraId="5B14BCF6" w14:textId="39BD0049"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 xml:space="preserve">The hybrid material was prepared by incorporating the ethanolic extract of </w:t>
      </w:r>
      <w:r w:rsidRPr="007B6803">
        <w:rPr>
          <w:rStyle w:val="Emphasis"/>
          <w:rFonts w:ascii="Arial" w:hAnsi="Arial" w:cs="Arial"/>
          <w:sz w:val="22"/>
          <w:szCs w:val="22"/>
        </w:rPr>
        <w:t>D. edulis</w:t>
      </w:r>
      <w:r w:rsidRPr="007B6803">
        <w:rPr>
          <w:rFonts w:ascii="Arial" w:hAnsi="Arial" w:cs="Arial"/>
          <w:sz w:val="22"/>
          <w:szCs w:val="22"/>
        </w:rPr>
        <w:t xml:space="preserve"> onto PAS via ultrasonication, followed by thorough mixing to ensure uniform dispersion. The resulting bio-based organic/inorganic hybrid was stored in airtight containers for subsequent analyses.</w:t>
      </w:r>
      <w:r w:rsidR="00B76581" w:rsidRPr="007B6803">
        <w:rPr>
          <w:rFonts w:ascii="Arial" w:hAnsi="Arial" w:cs="Arial"/>
          <w:sz w:val="22"/>
          <w:szCs w:val="22"/>
        </w:rPr>
        <w:t>[9]</w:t>
      </w:r>
    </w:p>
    <w:p w14:paraId="36C656B3" w14:textId="77777777" w:rsidR="00CE768F" w:rsidRPr="007B6803" w:rsidRDefault="00CE768F" w:rsidP="00CE768F">
      <w:pPr>
        <w:spacing w:after="0"/>
        <w:jc w:val="both"/>
        <w:rPr>
          <w:rFonts w:ascii="Arial" w:hAnsi="Arial" w:cs="Arial"/>
          <w:b/>
          <w:highlight w:val="yellow"/>
        </w:rPr>
      </w:pPr>
      <w:r w:rsidRPr="007B6803">
        <w:rPr>
          <w:rFonts w:ascii="Arial" w:hAnsi="Arial" w:cs="Arial"/>
          <w:b/>
          <w:highlight w:val="yellow"/>
        </w:rPr>
        <w:t>Characterization</w:t>
      </w:r>
    </w:p>
    <w:p w14:paraId="71F8EE76" w14:textId="77777777" w:rsidR="00CE768F" w:rsidRPr="007B6803" w:rsidRDefault="00CE768F" w:rsidP="00CE768F">
      <w:pPr>
        <w:spacing w:after="0"/>
        <w:jc w:val="both"/>
        <w:rPr>
          <w:rFonts w:ascii="Arial" w:hAnsi="Arial" w:cs="Arial"/>
          <w:highlight w:val="yellow"/>
        </w:rPr>
      </w:pPr>
      <w:r w:rsidRPr="007B6803">
        <w:rPr>
          <w:rFonts w:ascii="Arial" w:hAnsi="Arial" w:cs="Arial"/>
          <w:highlight w:val="yellow"/>
        </w:rPr>
        <w:t xml:space="preserve">Fourier Transform </w:t>
      </w:r>
      <w:proofErr w:type="spellStart"/>
      <w:r w:rsidRPr="007B6803">
        <w:rPr>
          <w:rFonts w:ascii="Arial" w:hAnsi="Arial" w:cs="Arial"/>
          <w:highlight w:val="yellow"/>
        </w:rPr>
        <w:t>Infra red</w:t>
      </w:r>
      <w:proofErr w:type="spellEnd"/>
      <w:r w:rsidRPr="007B6803">
        <w:rPr>
          <w:rFonts w:ascii="Arial" w:hAnsi="Arial" w:cs="Arial"/>
          <w:highlight w:val="yellow"/>
        </w:rPr>
        <w:t xml:space="preserve"> spectroscopy was performed on using Buck scientific M530 USA </w:t>
      </w:r>
      <w:proofErr w:type="gramStart"/>
      <w:r w:rsidRPr="007B6803">
        <w:rPr>
          <w:rFonts w:ascii="Arial" w:hAnsi="Arial" w:cs="Arial"/>
          <w:highlight w:val="yellow"/>
        </w:rPr>
        <w:t>FTIR  at</w:t>
      </w:r>
      <w:proofErr w:type="gramEnd"/>
      <w:r w:rsidRPr="007B6803">
        <w:rPr>
          <w:rFonts w:ascii="Arial" w:hAnsi="Arial" w:cs="Arial"/>
          <w:highlight w:val="yellow"/>
        </w:rPr>
        <w:t xml:space="preserve"> a frequency range of 4,000 – 600 cm</w:t>
      </w:r>
      <w:r w:rsidRPr="007B6803">
        <w:rPr>
          <w:rFonts w:ascii="Arial" w:hAnsi="Arial" w:cs="Arial"/>
          <w:highlight w:val="yellow"/>
          <w:vertAlign w:val="superscript"/>
        </w:rPr>
        <w:t>-1</w:t>
      </w:r>
      <w:r w:rsidRPr="007B6803">
        <w:rPr>
          <w:rFonts w:ascii="Arial" w:hAnsi="Arial" w:cs="Arial"/>
          <w:highlight w:val="yellow"/>
        </w:rPr>
        <w:t>and co –added at 32 scans at 4 cm</w:t>
      </w:r>
      <w:r w:rsidRPr="007B6803">
        <w:rPr>
          <w:rFonts w:ascii="Arial" w:hAnsi="Arial" w:cs="Arial"/>
          <w:highlight w:val="yellow"/>
          <w:vertAlign w:val="superscript"/>
        </w:rPr>
        <w:t>-1</w:t>
      </w:r>
      <w:r w:rsidRPr="007B6803">
        <w:rPr>
          <w:rFonts w:ascii="Arial" w:hAnsi="Arial" w:cs="Arial"/>
          <w:highlight w:val="yellow"/>
        </w:rPr>
        <w:t xml:space="preserve"> resolution. The instrument was equipped with a detector of deuterated triglycine sulphate and beam splitter of potassium bromide.  A  Gram A1 software was employed to obtain and manipulate the spectra.  1. 0 g of the plant </w:t>
      </w:r>
      <w:proofErr w:type="gramStart"/>
      <w:r w:rsidRPr="007B6803">
        <w:rPr>
          <w:rFonts w:ascii="Arial" w:hAnsi="Arial" w:cs="Arial"/>
          <w:highlight w:val="yellow"/>
        </w:rPr>
        <w:t>extract  was</w:t>
      </w:r>
      <w:proofErr w:type="gramEnd"/>
      <w:r w:rsidRPr="007B6803">
        <w:rPr>
          <w:rFonts w:ascii="Arial" w:hAnsi="Arial" w:cs="Arial"/>
          <w:highlight w:val="yellow"/>
        </w:rPr>
        <w:t xml:space="preserve">  employed and 0.5 </w:t>
      </w:r>
      <w:proofErr w:type="spellStart"/>
      <w:r w:rsidRPr="007B6803">
        <w:rPr>
          <w:rFonts w:ascii="Arial" w:hAnsi="Arial" w:cs="Arial"/>
          <w:highlight w:val="yellow"/>
        </w:rPr>
        <w:t>nujol</w:t>
      </w:r>
      <w:proofErr w:type="spellEnd"/>
      <w:r w:rsidRPr="007B6803">
        <w:rPr>
          <w:rFonts w:ascii="Arial" w:hAnsi="Arial" w:cs="Arial"/>
          <w:highlight w:val="yellow"/>
        </w:rPr>
        <w:t xml:space="preserve">  was added. </w:t>
      </w:r>
      <w:proofErr w:type="gramStart"/>
      <w:r w:rsidRPr="007B6803">
        <w:rPr>
          <w:rFonts w:ascii="Arial" w:hAnsi="Arial" w:cs="Arial"/>
          <w:highlight w:val="yellow"/>
        </w:rPr>
        <w:t>This  was</w:t>
      </w:r>
      <w:proofErr w:type="gramEnd"/>
      <w:r w:rsidRPr="007B6803">
        <w:rPr>
          <w:rFonts w:ascii="Arial" w:hAnsi="Arial" w:cs="Arial"/>
          <w:highlight w:val="yellow"/>
        </w:rPr>
        <w:t xml:space="preserve"> properly mixed and placed on a salt pellet . The FTIR spectra was displayed </w:t>
      </w:r>
      <w:proofErr w:type="gramStart"/>
      <w:r w:rsidRPr="007B6803">
        <w:rPr>
          <w:rFonts w:ascii="Arial" w:hAnsi="Arial" w:cs="Arial"/>
          <w:highlight w:val="yellow"/>
        </w:rPr>
        <w:t>as  transmitter</w:t>
      </w:r>
      <w:proofErr w:type="gramEnd"/>
      <w:r w:rsidRPr="007B6803">
        <w:rPr>
          <w:rFonts w:ascii="Arial" w:hAnsi="Arial" w:cs="Arial"/>
          <w:highlight w:val="yellow"/>
        </w:rPr>
        <w:t xml:space="preserve"> value.</w:t>
      </w:r>
    </w:p>
    <w:p w14:paraId="4B632D1C" w14:textId="68DADF95" w:rsidR="00CE768F" w:rsidRPr="007B6803" w:rsidRDefault="00CE768F" w:rsidP="00CE768F">
      <w:pPr>
        <w:tabs>
          <w:tab w:val="left" w:pos="3945"/>
        </w:tabs>
        <w:jc w:val="both"/>
        <w:rPr>
          <w:rFonts w:ascii="Arial" w:hAnsi="Arial" w:cs="Arial"/>
        </w:rPr>
      </w:pPr>
      <w:r w:rsidRPr="007B6803">
        <w:rPr>
          <w:rFonts w:ascii="Arial" w:hAnsi="Arial" w:cs="Arial"/>
          <w:highlight w:val="yellow"/>
        </w:rPr>
        <w:t xml:space="preserve">Transmission electron </w:t>
      </w:r>
      <w:proofErr w:type="gramStart"/>
      <w:r w:rsidRPr="007B6803">
        <w:rPr>
          <w:rFonts w:ascii="Arial" w:hAnsi="Arial" w:cs="Arial"/>
          <w:highlight w:val="yellow"/>
        </w:rPr>
        <w:t>microscopy(</w:t>
      </w:r>
      <w:proofErr w:type="gramEnd"/>
      <w:r w:rsidRPr="007B6803">
        <w:rPr>
          <w:rFonts w:ascii="Arial" w:hAnsi="Arial" w:cs="Arial"/>
          <w:highlight w:val="yellow"/>
        </w:rPr>
        <w:t>TEM) was performed to provide an insight on surface morphology and particl</w:t>
      </w:r>
      <w:r w:rsidR="009B29CC">
        <w:rPr>
          <w:rFonts w:ascii="Arial" w:hAnsi="Arial" w:cs="Arial"/>
          <w:highlight w:val="yellow"/>
        </w:rPr>
        <w:t xml:space="preserve">e size using a JEOL JEM-2100F </w:t>
      </w:r>
      <w:r w:rsidRPr="007B6803">
        <w:rPr>
          <w:rFonts w:ascii="Arial" w:hAnsi="Arial" w:cs="Arial"/>
          <w:highlight w:val="yellow"/>
        </w:rPr>
        <w:t xml:space="preserve">at an accelerating voltage of 200 </w:t>
      </w:r>
      <w:r w:rsidRPr="007B6803">
        <w:rPr>
          <w:rFonts w:ascii="Arial" w:hAnsi="Arial" w:cs="Arial"/>
          <w:highlight w:val="yellow"/>
        </w:rPr>
        <w:lastRenderedPageBreak/>
        <w:t xml:space="preserve">KV. Electron optics were adjusted for better image quality and resolution. Consequently, </w:t>
      </w:r>
      <w:proofErr w:type="spellStart"/>
      <w:r w:rsidRPr="007B6803">
        <w:rPr>
          <w:rFonts w:ascii="Arial" w:hAnsi="Arial" w:cs="Arial"/>
          <w:highlight w:val="yellow"/>
        </w:rPr>
        <w:t>Gatan</w:t>
      </w:r>
      <w:proofErr w:type="spellEnd"/>
      <w:r w:rsidRPr="007B6803">
        <w:rPr>
          <w:rFonts w:ascii="Arial" w:hAnsi="Arial" w:cs="Arial"/>
          <w:highlight w:val="yellow"/>
        </w:rPr>
        <w:t xml:space="preserve"> </w:t>
      </w:r>
      <w:proofErr w:type="spellStart"/>
      <w:r w:rsidRPr="007B6803">
        <w:rPr>
          <w:rFonts w:ascii="Arial" w:hAnsi="Arial" w:cs="Arial"/>
          <w:highlight w:val="yellow"/>
        </w:rPr>
        <w:t>Ultrascan</w:t>
      </w:r>
      <w:proofErr w:type="spellEnd"/>
      <w:r w:rsidRPr="007B6803">
        <w:rPr>
          <w:rFonts w:ascii="Arial" w:hAnsi="Arial" w:cs="Arial"/>
          <w:highlight w:val="yellow"/>
        </w:rPr>
        <w:t xml:space="preserve"> 1000 CCD camera was employed to acquire the images. The images were </w:t>
      </w:r>
      <w:proofErr w:type="gramStart"/>
      <w:r w:rsidRPr="007B6803">
        <w:rPr>
          <w:rFonts w:ascii="Arial" w:hAnsi="Arial" w:cs="Arial"/>
          <w:highlight w:val="yellow"/>
        </w:rPr>
        <w:t>acquired  at</w:t>
      </w:r>
      <w:proofErr w:type="gramEnd"/>
      <w:r w:rsidRPr="007B6803">
        <w:rPr>
          <w:rFonts w:ascii="Arial" w:hAnsi="Arial" w:cs="Arial"/>
          <w:highlight w:val="yellow"/>
        </w:rPr>
        <w:t xml:space="preserve"> a magni</w:t>
      </w:r>
      <w:r w:rsidR="009B29CC">
        <w:rPr>
          <w:rFonts w:ascii="Arial" w:hAnsi="Arial" w:cs="Arial"/>
          <w:highlight w:val="yellow"/>
        </w:rPr>
        <w:t>fication of  500 nm and 1000 nm</w:t>
      </w:r>
      <w:r w:rsidRPr="007B6803">
        <w:rPr>
          <w:rFonts w:ascii="Arial" w:hAnsi="Arial" w:cs="Arial"/>
          <w:highlight w:val="yellow"/>
        </w:rPr>
        <w:t>,</w:t>
      </w:r>
      <w:r w:rsidR="009B29CC">
        <w:rPr>
          <w:rFonts w:ascii="Arial" w:hAnsi="Arial" w:cs="Arial"/>
          <w:highlight w:val="yellow"/>
        </w:rPr>
        <w:t xml:space="preserve"> </w:t>
      </w:r>
      <w:r w:rsidRPr="007B6803">
        <w:rPr>
          <w:rFonts w:ascii="Arial" w:hAnsi="Arial" w:cs="Arial"/>
          <w:highlight w:val="yellow"/>
        </w:rPr>
        <w:t xml:space="preserve"> thereafter,  the average grain size was evaluated.</w:t>
      </w:r>
    </w:p>
    <w:p w14:paraId="4072AC6F" w14:textId="77777777" w:rsidR="00CE768F" w:rsidRPr="007B6803" w:rsidRDefault="00CE768F" w:rsidP="00CE768F">
      <w:pPr>
        <w:tabs>
          <w:tab w:val="left" w:pos="3945"/>
        </w:tabs>
        <w:jc w:val="both"/>
        <w:rPr>
          <w:rFonts w:ascii="Arial" w:hAnsi="Arial" w:cs="Arial"/>
          <w:b/>
          <w:highlight w:val="yellow"/>
        </w:rPr>
      </w:pPr>
      <w:r w:rsidRPr="007B6803">
        <w:rPr>
          <w:rFonts w:ascii="Arial" w:hAnsi="Arial" w:cs="Arial"/>
          <w:b/>
          <w:highlight w:val="yellow"/>
        </w:rPr>
        <w:t>Thermogravimetric analysis (TGA)</w:t>
      </w:r>
    </w:p>
    <w:p w14:paraId="0A4E0847" w14:textId="77777777" w:rsidR="00CE768F" w:rsidRPr="007B6803" w:rsidRDefault="00CE768F" w:rsidP="00CE768F">
      <w:pPr>
        <w:spacing w:after="0"/>
        <w:jc w:val="both"/>
        <w:rPr>
          <w:rFonts w:ascii="Arial" w:hAnsi="Arial" w:cs="Arial"/>
          <w:highlight w:val="yellow"/>
        </w:rPr>
      </w:pPr>
      <w:proofErr w:type="spellStart"/>
      <w:r w:rsidRPr="007B6803">
        <w:rPr>
          <w:rFonts w:ascii="Arial" w:hAnsi="Arial" w:cs="Arial"/>
          <w:highlight w:val="yellow"/>
        </w:rPr>
        <w:t>Thermogravemetric</w:t>
      </w:r>
      <w:proofErr w:type="spellEnd"/>
      <w:r w:rsidRPr="007B6803">
        <w:rPr>
          <w:rFonts w:ascii="Arial" w:hAnsi="Arial" w:cs="Arial"/>
          <w:highlight w:val="yellow"/>
        </w:rPr>
        <w:t xml:space="preserve"> analysis was </w:t>
      </w:r>
      <w:proofErr w:type="gramStart"/>
      <w:r w:rsidRPr="007B6803">
        <w:rPr>
          <w:rFonts w:ascii="Arial" w:hAnsi="Arial" w:cs="Arial"/>
          <w:highlight w:val="yellow"/>
        </w:rPr>
        <w:t>performed  in</w:t>
      </w:r>
      <w:proofErr w:type="gramEnd"/>
      <w:r w:rsidRPr="007B6803">
        <w:rPr>
          <w:rFonts w:ascii="Arial" w:hAnsi="Arial" w:cs="Arial"/>
          <w:highlight w:val="yellow"/>
        </w:rPr>
        <w:t xml:space="preserve"> a highly pure nitrogen environment at a heating rate of 5.0 L/h under continuous evacuation at 1.33 × 10 </w:t>
      </w:r>
      <w:r w:rsidRPr="007B6803">
        <w:rPr>
          <w:rFonts w:ascii="Arial" w:hAnsi="Arial" w:cs="Arial"/>
          <w:highlight w:val="yellow"/>
          <w:vertAlign w:val="superscript"/>
        </w:rPr>
        <w:t>-6</w:t>
      </w:r>
      <w:r w:rsidRPr="007B6803">
        <w:rPr>
          <w:rFonts w:ascii="Arial" w:hAnsi="Arial" w:cs="Arial"/>
          <w:highlight w:val="yellow"/>
        </w:rPr>
        <w:t xml:space="preserve"> mbar within the temperature range of 0  - 1000 </w:t>
      </w:r>
      <w:proofErr w:type="spellStart"/>
      <w:r w:rsidRPr="007B6803">
        <w:rPr>
          <w:rFonts w:ascii="Arial" w:hAnsi="Arial" w:cs="Arial"/>
          <w:highlight w:val="yellow"/>
          <w:vertAlign w:val="superscript"/>
        </w:rPr>
        <w:t>o</w:t>
      </w:r>
      <w:r w:rsidRPr="007B6803">
        <w:rPr>
          <w:rFonts w:ascii="Arial" w:hAnsi="Arial" w:cs="Arial"/>
          <w:highlight w:val="yellow"/>
        </w:rPr>
        <w:t>C</w:t>
      </w:r>
      <w:proofErr w:type="spellEnd"/>
      <w:r w:rsidRPr="007B6803">
        <w:rPr>
          <w:rFonts w:ascii="Arial" w:hAnsi="Arial" w:cs="Arial"/>
          <w:highlight w:val="yellow"/>
        </w:rPr>
        <w:t xml:space="preserve"> and at a heating rate of 10 </w:t>
      </w:r>
      <w:proofErr w:type="spellStart"/>
      <w:r w:rsidRPr="007B6803">
        <w:rPr>
          <w:rFonts w:ascii="Arial" w:hAnsi="Arial" w:cs="Arial"/>
          <w:highlight w:val="yellow"/>
          <w:vertAlign w:val="superscript"/>
        </w:rPr>
        <w:t>o</w:t>
      </w:r>
      <w:r w:rsidRPr="007B6803">
        <w:rPr>
          <w:rFonts w:ascii="Arial" w:hAnsi="Arial" w:cs="Arial"/>
          <w:highlight w:val="yellow"/>
        </w:rPr>
        <w:t>C</w:t>
      </w:r>
      <w:proofErr w:type="spellEnd"/>
      <w:r w:rsidRPr="007B6803">
        <w:rPr>
          <w:rFonts w:ascii="Arial" w:hAnsi="Arial" w:cs="Arial"/>
          <w:highlight w:val="yellow"/>
        </w:rPr>
        <w:t>/min. The reference material employed was Al</w:t>
      </w:r>
      <w:r w:rsidRPr="007B6803">
        <w:rPr>
          <w:rFonts w:ascii="Arial" w:hAnsi="Arial" w:cs="Arial"/>
          <w:highlight w:val="yellow"/>
          <w:vertAlign w:val="subscript"/>
        </w:rPr>
        <w:t>2</w:t>
      </w:r>
      <w:r w:rsidRPr="007B6803">
        <w:rPr>
          <w:rFonts w:ascii="Arial" w:hAnsi="Arial" w:cs="Arial"/>
          <w:highlight w:val="yellow"/>
        </w:rPr>
        <w:t>O</w:t>
      </w:r>
      <w:r w:rsidRPr="007B6803">
        <w:rPr>
          <w:rFonts w:ascii="Arial" w:hAnsi="Arial" w:cs="Arial"/>
          <w:highlight w:val="yellow"/>
          <w:vertAlign w:val="subscript"/>
        </w:rPr>
        <w:t>3</w:t>
      </w:r>
      <w:r w:rsidRPr="007B6803">
        <w:rPr>
          <w:rFonts w:ascii="Arial" w:hAnsi="Arial" w:cs="Arial"/>
          <w:highlight w:val="yellow"/>
        </w:rPr>
        <w:t xml:space="preserve"> and a 0.5 g of each composite material was used, transferred into the TGA machine while analytical investigation was observed.  Consequently.  </w:t>
      </w:r>
      <w:proofErr w:type="gramStart"/>
      <w:r w:rsidRPr="007B6803">
        <w:rPr>
          <w:rFonts w:ascii="Arial" w:hAnsi="Arial" w:cs="Arial"/>
          <w:highlight w:val="yellow"/>
        </w:rPr>
        <w:t>a  Mettle</w:t>
      </w:r>
      <w:proofErr w:type="gramEnd"/>
      <w:r w:rsidRPr="007B6803">
        <w:rPr>
          <w:rFonts w:ascii="Arial" w:hAnsi="Arial" w:cs="Arial"/>
          <w:highlight w:val="yellow"/>
        </w:rPr>
        <w:t xml:space="preserve"> –Toledo TG850  thermo – analyser was used to record the DTA and TGA curves simultaneously.</w:t>
      </w:r>
    </w:p>
    <w:p w14:paraId="6EA0391F" w14:textId="77777777" w:rsidR="00CE768F" w:rsidRPr="007B6803" w:rsidRDefault="00CE768F" w:rsidP="00CE768F">
      <w:pPr>
        <w:pStyle w:val="Heading2"/>
        <w:spacing w:line="276" w:lineRule="auto"/>
        <w:rPr>
          <w:rFonts w:ascii="Arial" w:hAnsi="Arial" w:cs="Arial"/>
          <w:sz w:val="22"/>
          <w:szCs w:val="22"/>
          <w:highlight w:val="yellow"/>
        </w:rPr>
      </w:pPr>
      <w:r w:rsidRPr="007B6803">
        <w:rPr>
          <w:rFonts w:ascii="Arial" w:hAnsi="Arial" w:cs="Arial"/>
          <w:sz w:val="22"/>
          <w:szCs w:val="22"/>
          <w:highlight w:val="yellow"/>
        </w:rPr>
        <w:t>Differential Thermal Analysis (DTA)</w:t>
      </w:r>
    </w:p>
    <w:p w14:paraId="74BAC50B" w14:textId="692128BE" w:rsidR="00CE768F" w:rsidRPr="007B6803" w:rsidRDefault="00CE768F" w:rsidP="00CE768F">
      <w:pPr>
        <w:spacing w:after="0"/>
        <w:jc w:val="both"/>
        <w:rPr>
          <w:rFonts w:ascii="Arial" w:hAnsi="Arial" w:cs="Arial"/>
        </w:rPr>
      </w:pPr>
      <w:r w:rsidRPr="007B6803">
        <w:rPr>
          <w:rFonts w:ascii="Arial" w:eastAsia="Times New Roman" w:hAnsi="Arial" w:cs="Arial"/>
          <w:highlight w:val="yellow"/>
        </w:rPr>
        <w:t xml:space="preserve">Differential </w:t>
      </w:r>
      <w:proofErr w:type="gramStart"/>
      <w:r w:rsidRPr="007B6803">
        <w:rPr>
          <w:rFonts w:ascii="Arial" w:eastAsia="Times New Roman" w:hAnsi="Arial" w:cs="Arial"/>
          <w:highlight w:val="yellow"/>
        </w:rPr>
        <w:t>Thermal  Analysis</w:t>
      </w:r>
      <w:proofErr w:type="gramEnd"/>
      <w:r w:rsidRPr="007B6803">
        <w:rPr>
          <w:rFonts w:ascii="Arial" w:eastAsia="Times New Roman" w:hAnsi="Arial" w:cs="Arial"/>
          <w:highlight w:val="yellow"/>
        </w:rPr>
        <w:t xml:space="preserve"> (DTA)  was carried out on using a  TA* instrument DSCQ10 analyser.  0. 5 g of each composite material were employed. Each powdered sample was loaded in a sealed alumina pan and heated to a temperature </w:t>
      </w:r>
      <w:proofErr w:type="gramStart"/>
      <w:r w:rsidRPr="007B6803">
        <w:rPr>
          <w:rFonts w:ascii="Arial" w:eastAsia="Times New Roman" w:hAnsi="Arial" w:cs="Arial"/>
          <w:highlight w:val="yellow"/>
        </w:rPr>
        <w:t>of  500</w:t>
      </w:r>
      <w:proofErr w:type="gramEnd"/>
      <w:r w:rsidRPr="007B6803">
        <w:rPr>
          <w:rFonts w:ascii="Arial" w:eastAsia="Times New Roman" w:hAnsi="Arial" w:cs="Arial"/>
          <w:highlight w:val="yellow"/>
        </w:rPr>
        <w:t xml:space="preserve"> </w:t>
      </w:r>
      <w:proofErr w:type="spellStart"/>
      <w:r w:rsidRPr="007B6803">
        <w:rPr>
          <w:rFonts w:ascii="Arial" w:eastAsia="Times New Roman" w:hAnsi="Arial" w:cs="Arial"/>
          <w:highlight w:val="yellow"/>
          <w:vertAlign w:val="superscript"/>
        </w:rPr>
        <w:t>o</w:t>
      </w:r>
      <w:r w:rsidRPr="007B6803">
        <w:rPr>
          <w:rFonts w:ascii="Arial" w:eastAsia="Times New Roman" w:hAnsi="Arial" w:cs="Arial"/>
          <w:highlight w:val="yellow"/>
        </w:rPr>
        <w:t>C</w:t>
      </w:r>
      <w:proofErr w:type="spellEnd"/>
      <w:r w:rsidRPr="007B6803">
        <w:rPr>
          <w:rFonts w:ascii="Arial" w:eastAsia="Times New Roman" w:hAnsi="Arial" w:cs="Arial"/>
          <w:highlight w:val="yellow"/>
        </w:rPr>
        <w:t xml:space="preserve">  at a heating rate  of 2 </w:t>
      </w:r>
      <w:proofErr w:type="spellStart"/>
      <w:r w:rsidRPr="007B6803">
        <w:rPr>
          <w:rFonts w:ascii="Arial" w:eastAsia="Times New Roman" w:hAnsi="Arial" w:cs="Arial"/>
          <w:highlight w:val="yellow"/>
          <w:vertAlign w:val="superscript"/>
        </w:rPr>
        <w:t>o</w:t>
      </w:r>
      <w:r w:rsidRPr="007B6803">
        <w:rPr>
          <w:rFonts w:ascii="Arial" w:eastAsia="Times New Roman" w:hAnsi="Arial" w:cs="Arial"/>
          <w:highlight w:val="yellow"/>
        </w:rPr>
        <w:t>C</w:t>
      </w:r>
      <w:proofErr w:type="spellEnd"/>
      <w:r w:rsidRPr="007B6803">
        <w:rPr>
          <w:rFonts w:ascii="Arial" w:eastAsia="Times New Roman" w:hAnsi="Arial" w:cs="Arial"/>
          <w:highlight w:val="yellow"/>
        </w:rPr>
        <w:t>/min.  An empty alumina pan was used as a reference and the heat flow between the sample and reference pans was recorded</w:t>
      </w:r>
    </w:p>
    <w:p w14:paraId="22C0D5E6" w14:textId="127EF36F" w:rsidR="002002B6" w:rsidRPr="007B6803" w:rsidRDefault="002002B6" w:rsidP="001507BB">
      <w:pPr>
        <w:pStyle w:val="NormalWeb"/>
        <w:jc w:val="both"/>
        <w:rPr>
          <w:rFonts w:ascii="Arial" w:hAnsi="Arial" w:cs="Arial"/>
          <w:b/>
          <w:sz w:val="22"/>
          <w:szCs w:val="22"/>
        </w:rPr>
      </w:pPr>
      <w:r w:rsidRPr="007B6803">
        <w:rPr>
          <w:rFonts w:ascii="Arial" w:hAnsi="Arial" w:cs="Arial"/>
          <w:b/>
          <w:sz w:val="22"/>
          <w:szCs w:val="22"/>
        </w:rPr>
        <w:t>Results and discussion</w:t>
      </w:r>
    </w:p>
    <w:p w14:paraId="45A20754" w14:textId="77777777" w:rsidR="001507BB" w:rsidRPr="007B6803" w:rsidRDefault="004C5FD5" w:rsidP="001507BB">
      <w:pPr>
        <w:spacing w:before="100" w:beforeAutospacing="1" w:after="100" w:afterAutospacing="1" w:line="240" w:lineRule="auto"/>
        <w:jc w:val="both"/>
        <w:outlineLvl w:val="2"/>
        <w:rPr>
          <w:rFonts w:ascii="Arial" w:eastAsia="Times New Roman" w:hAnsi="Arial" w:cs="Arial"/>
          <w:b/>
          <w:bCs/>
          <w:lang w:eastAsia="en-GB"/>
        </w:rPr>
      </w:pPr>
      <w:r w:rsidRPr="007B6803">
        <w:rPr>
          <w:rFonts w:ascii="Arial" w:eastAsia="Times New Roman" w:hAnsi="Arial" w:cs="Arial"/>
          <w:b/>
          <w:bCs/>
          <w:lang w:eastAsia="en-GB"/>
        </w:rPr>
        <w:t>FTIR Examination</w:t>
      </w:r>
      <w:r w:rsidR="00B76581" w:rsidRPr="007B6803">
        <w:rPr>
          <w:rFonts w:ascii="Arial" w:eastAsia="Times New Roman" w:hAnsi="Arial" w:cs="Arial"/>
          <w:b/>
          <w:bCs/>
          <w:lang w:eastAsia="en-GB"/>
        </w:rPr>
        <w:t xml:space="preserve"> [28-31]</w:t>
      </w:r>
    </w:p>
    <w:p w14:paraId="73FFF2CF" w14:textId="77777777"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 xml:space="preserve">The FTIR spectrum of the ethanol extract of </w:t>
      </w:r>
      <w:proofErr w:type="spellStart"/>
      <w:r w:rsidRPr="007B6803">
        <w:rPr>
          <w:rFonts w:ascii="Arial" w:eastAsia="Times New Roman" w:hAnsi="Arial" w:cs="Arial"/>
          <w:i/>
          <w:iCs/>
          <w:lang w:eastAsia="en-GB"/>
        </w:rPr>
        <w:t>Dacryodes</w:t>
      </w:r>
      <w:proofErr w:type="spellEnd"/>
      <w:r w:rsidRPr="007B6803">
        <w:rPr>
          <w:rFonts w:ascii="Arial" w:eastAsia="Times New Roman" w:hAnsi="Arial" w:cs="Arial"/>
          <w:i/>
          <w:iCs/>
          <w:lang w:eastAsia="en-GB"/>
        </w:rPr>
        <w:t xml:space="preserve"> edulis</w:t>
      </w:r>
      <w:r w:rsidRPr="007B6803">
        <w:rPr>
          <w:rFonts w:ascii="Arial" w:eastAsia="Times New Roman" w:hAnsi="Arial" w:cs="Arial"/>
          <w:lang w:eastAsia="en-GB"/>
        </w:rPr>
        <w:t xml:space="preserve"> leaves (Fig. 1) displayed several absorption bands corresponding to characteristic functional groups. Peaks at 757.2 cm</w:t>
      </w:r>
      <w:r w:rsidRPr="007B6803">
        <w:rPr>
          <w:rFonts w:ascii="Cambria Math" w:eastAsia="Times New Roman" w:hAnsi="Cambria Math" w:cs="Cambria Math"/>
          <w:lang w:eastAsia="en-GB"/>
        </w:rPr>
        <w:t>⁻</w:t>
      </w:r>
      <w:r w:rsidRPr="007B6803">
        <w:rPr>
          <w:rFonts w:ascii="Arial" w:eastAsia="Times New Roman" w:hAnsi="Arial" w:cs="Arial"/>
          <w:lang w:eastAsia="en-GB"/>
        </w:rPr>
        <w:t>¹ and 855.1 cm</w:t>
      </w:r>
      <w:r w:rsidRPr="007B6803">
        <w:rPr>
          <w:rFonts w:ascii="Cambria Math" w:eastAsia="Times New Roman" w:hAnsi="Cambria Math" w:cs="Cambria Math"/>
          <w:lang w:eastAsia="en-GB"/>
        </w:rPr>
        <w:t>⁻</w:t>
      </w:r>
      <w:r w:rsidRPr="007B6803">
        <w:rPr>
          <w:rFonts w:ascii="Arial" w:eastAsia="Times New Roman" w:hAnsi="Arial" w:cs="Arial"/>
          <w:lang w:eastAsia="en-GB"/>
        </w:rPr>
        <w:t>¹ were attributed to cis- and ortho-disubstituted alkenes and benzene rings, while the band at 2687.7 cm</w:t>
      </w:r>
      <w:r w:rsidRPr="007B6803">
        <w:rPr>
          <w:rFonts w:ascii="Cambria Math" w:eastAsia="Times New Roman" w:hAnsi="Cambria Math" w:cs="Cambria Math"/>
          <w:lang w:eastAsia="en-GB"/>
        </w:rPr>
        <w:t>⁻</w:t>
      </w:r>
      <w:r w:rsidRPr="007B6803">
        <w:rPr>
          <w:rFonts w:ascii="Arial" w:eastAsia="Times New Roman" w:hAnsi="Arial" w:cs="Arial"/>
          <w:lang w:eastAsia="en-GB"/>
        </w:rPr>
        <w:t>¹ indicated O–H stretching typical of carboxylic acids. A strong peak at 1281.1 cm</w:t>
      </w:r>
      <w:r w:rsidRPr="007B6803">
        <w:rPr>
          <w:rFonts w:ascii="Cambria Math" w:eastAsia="Times New Roman" w:hAnsi="Cambria Math" w:cs="Cambria Math"/>
          <w:lang w:eastAsia="en-GB"/>
        </w:rPr>
        <w:t>⁻</w:t>
      </w:r>
      <w:r w:rsidRPr="007B6803">
        <w:rPr>
          <w:rFonts w:ascii="Arial" w:eastAsia="Times New Roman" w:hAnsi="Arial" w:cs="Arial"/>
          <w:lang w:eastAsia="en-GB"/>
        </w:rPr>
        <w:t>¹ corresponded to aromatic esters and alkyl aryl ethers, whereas the band at 1606.7 cm</w:t>
      </w:r>
      <w:r w:rsidRPr="007B6803">
        <w:rPr>
          <w:rFonts w:ascii="Cambria Math" w:eastAsia="Times New Roman" w:hAnsi="Cambria Math" w:cs="Cambria Math"/>
          <w:lang w:eastAsia="en-GB"/>
        </w:rPr>
        <w:t>⁻</w:t>
      </w:r>
      <w:r w:rsidRPr="007B6803">
        <w:rPr>
          <w:rFonts w:ascii="Arial" w:eastAsia="Times New Roman" w:hAnsi="Arial" w:cs="Arial"/>
          <w:lang w:eastAsia="en-GB"/>
        </w:rPr>
        <w:t xml:space="preserve">¹ was assigned to C=C stretching, consistent with </w:t>
      </w:r>
      <w:proofErr w:type="gramStart"/>
      <w:r w:rsidRPr="007B6803">
        <w:rPr>
          <w:rFonts w:ascii="Arial" w:eastAsia="Times New Roman" w:hAnsi="Arial" w:cs="Arial"/>
          <w:lang w:eastAsia="en-GB"/>
        </w:rPr>
        <w:t>α,β</w:t>
      </w:r>
      <w:proofErr w:type="gramEnd"/>
      <w:r w:rsidRPr="007B6803">
        <w:rPr>
          <w:rFonts w:ascii="Arial" w:eastAsia="Times New Roman" w:hAnsi="Arial" w:cs="Arial"/>
          <w:lang w:eastAsia="en-GB"/>
        </w:rPr>
        <w:t>-unsaturated ketones and β-lactams, and also overlapping with anhydride C=O stretching. Additional anhydride-related bands were observed at 1882.2 cm</w:t>
      </w:r>
      <w:r w:rsidRPr="007B6803">
        <w:rPr>
          <w:rFonts w:ascii="Cambria Math" w:eastAsia="Times New Roman" w:hAnsi="Cambria Math" w:cs="Cambria Math"/>
          <w:lang w:eastAsia="en-GB"/>
        </w:rPr>
        <w:t>⁻</w:t>
      </w:r>
      <w:r w:rsidRPr="007B6803">
        <w:rPr>
          <w:rFonts w:ascii="Arial" w:eastAsia="Times New Roman" w:hAnsi="Arial" w:cs="Arial"/>
          <w:lang w:eastAsia="en-GB"/>
        </w:rPr>
        <w:t>¹ and 2037.5 cm</w:t>
      </w:r>
      <w:r w:rsidRPr="007B6803">
        <w:rPr>
          <w:rFonts w:ascii="Cambria Math" w:eastAsia="Times New Roman" w:hAnsi="Cambria Math" w:cs="Cambria Math"/>
          <w:lang w:eastAsia="en-GB"/>
        </w:rPr>
        <w:t>⁻</w:t>
      </w:r>
      <w:r w:rsidRPr="007B6803">
        <w:rPr>
          <w:rFonts w:ascii="Arial" w:eastAsia="Times New Roman" w:hAnsi="Arial" w:cs="Arial"/>
          <w:lang w:eastAsia="en-GB"/>
        </w:rPr>
        <w:t>¹. The sharp peak at 2144.5 cm</w:t>
      </w:r>
      <w:r w:rsidRPr="007B6803">
        <w:rPr>
          <w:rFonts w:ascii="Cambria Math" w:eastAsia="Times New Roman" w:hAnsi="Cambria Math" w:cs="Cambria Math"/>
          <w:lang w:eastAsia="en-GB"/>
        </w:rPr>
        <w:t>⁻</w:t>
      </w:r>
      <w:r w:rsidRPr="007B6803">
        <w:rPr>
          <w:rFonts w:ascii="Arial" w:eastAsia="Times New Roman" w:hAnsi="Arial" w:cs="Arial"/>
          <w:lang w:eastAsia="en-GB"/>
        </w:rPr>
        <w:t>¹ was ascribed to N=C=S stretching of isothiocyanates, while the absorption at 2532.7 cm</w:t>
      </w:r>
      <w:r w:rsidRPr="007B6803">
        <w:rPr>
          <w:rFonts w:ascii="Cambria Math" w:eastAsia="Times New Roman" w:hAnsi="Cambria Math" w:cs="Cambria Math"/>
          <w:lang w:eastAsia="en-GB"/>
        </w:rPr>
        <w:t>⁻</w:t>
      </w:r>
      <w:r w:rsidRPr="007B6803">
        <w:rPr>
          <w:rFonts w:ascii="Arial" w:eastAsia="Times New Roman" w:hAnsi="Arial" w:cs="Arial"/>
          <w:lang w:eastAsia="en-GB"/>
        </w:rPr>
        <w:t>¹ suggested C≡C stretching of alkynes. A broad band at 3069.6 cm</w:t>
      </w:r>
      <w:r w:rsidRPr="007B6803">
        <w:rPr>
          <w:rFonts w:ascii="Cambria Math" w:eastAsia="Times New Roman" w:hAnsi="Cambria Math" w:cs="Cambria Math"/>
          <w:lang w:eastAsia="en-GB"/>
        </w:rPr>
        <w:t>⁻</w:t>
      </w:r>
      <w:r w:rsidRPr="007B6803">
        <w:rPr>
          <w:rFonts w:ascii="Arial" w:eastAsia="Times New Roman" w:hAnsi="Arial" w:cs="Arial"/>
          <w:lang w:eastAsia="en-GB"/>
        </w:rPr>
        <w:t>¹ indicated C–H stretching of alkanes.</w:t>
      </w:r>
    </w:p>
    <w:p w14:paraId="3D12F279" w14:textId="58702672" w:rsidR="001507BB" w:rsidRPr="007B6803" w:rsidRDefault="001507BB" w:rsidP="001507BB">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 xml:space="preserve">These findings reveal the presence of aromatic esters, alkyl aryl ethers, hydroxyl, carbonyl, anhydride, isothiocyanate, alkyne, and alkane groups, suggesting that the extract is rich in carboxylic acids, phenols, and carbonyl compounds. This aligns with previous phytochemical studies on </w:t>
      </w:r>
      <w:proofErr w:type="spellStart"/>
      <w:r w:rsidRPr="007B6803">
        <w:rPr>
          <w:rFonts w:ascii="Arial" w:eastAsia="Times New Roman" w:hAnsi="Arial" w:cs="Arial"/>
          <w:i/>
          <w:iCs/>
          <w:lang w:eastAsia="en-GB"/>
        </w:rPr>
        <w:t>Dacryodes</w:t>
      </w:r>
      <w:proofErr w:type="spellEnd"/>
      <w:r w:rsidRPr="007B6803">
        <w:rPr>
          <w:rFonts w:ascii="Arial" w:eastAsia="Times New Roman" w:hAnsi="Arial" w:cs="Arial"/>
          <w:i/>
          <w:iCs/>
          <w:lang w:eastAsia="en-GB"/>
        </w:rPr>
        <w:t xml:space="preserve"> edulis</w:t>
      </w:r>
      <w:r w:rsidRPr="007B6803">
        <w:rPr>
          <w:rFonts w:ascii="Arial" w:eastAsia="Times New Roman" w:hAnsi="Arial" w:cs="Arial"/>
          <w:lang w:eastAsia="en-GB"/>
        </w:rPr>
        <w:t>, which reported abundant flavonoids, alkaloids, tannins, phenols, and carboxylic acids. Such functional groups are known to act as electron-donating or electron-deficient moieties, enabling strong interactions with inorganic phases (e.g., Si–O–Si bonds) in hybrid nanocomposites, thereby contributing to improved thermal and mechanical stability.</w:t>
      </w:r>
    </w:p>
    <w:p w14:paraId="1AECEECA" w14:textId="77777777" w:rsidR="00F23EB8" w:rsidRPr="007B6803" w:rsidRDefault="00F23EB8" w:rsidP="001507BB">
      <w:pPr>
        <w:spacing w:before="100" w:beforeAutospacing="1" w:after="100" w:afterAutospacing="1" w:line="240" w:lineRule="auto"/>
        <w:jc w:val="both"/>
        <w:rPr>
          <w:rFonts w:ascii="Arial" w:hAnsi="Arial" w:cs="Arial"/>
        </w:rPr>
      </w:pPr>
      <w:r w:rsidRPr="007B6803">
        <w:rPr>
          <w:rFonts w:ascii="Arial" w:hAnsi="Arial" w:cs="Arial"/>
        </w:rPr>
        <w:object w:dxaOrig="8055" w:dyaOrig="5970" w14:anchorId="15283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55pt;height:298pt" o:ole="">
            <v:imagedata r:id="rId7" o:title=""/>
          </v:shape>
          <o:OLEObject Type="Embed" ProgID="Word.Document.12" ShapeID="_x0000_i1025" DrawAspect="Content" ObjectID="_1818936968" r:id="rId8"/>
        </w:object>
      </w:r>
    </w:p>
    <w:p w14:paraId="0E918544" w14:textId="77777777" w:rsidR="00F23EB8" w:rsidRPr="007B6803" w:rsidRDefault="00105988" w:rsidP="001507BB">
      <w:pPr>
        <w:spacing w:before="100" w:beforeAutospacing="1" w:after="100" w:afterAutospacing="1" w:line="240" w:lineRule="auto"/>
        <w:jc w:val="both"/>
        <w:rPr>
          <w:rFonts w:ascii="Arial" w:eastAsia="Times New Roman" w:hAnsi="Arial" w:cs="Arial"/>
          <w:lang w:eastAsia="en-GB"/>
        </w:rPr>
      </w:pPr>
      <w:r w:rsidRPr="007B6803">
        <w:rPr>
          <w:rFonts w:ascii="Arial" w:hAnsi="Arial" w:cs="Arial"/>
          <w:b/>
        </w:rPr>
        <w:t>Fig 1:</w:t>
      </w:r>
      <w:r w:rsidR="00F23EB8" w:rsidRPr="007B6803">
        <w:rPr>
          <w:rFonts w:ascii="Arial" w:hAnsi="Arial" w:cs="Arial"/>
          <w:b/>
        </w:rPr>
        <w:t xml:space="preserve"> FTIR spectra on the ethanol extract of </w:t>
      </w:r>
      <w:proofErr w:type="spellStart"/>
      <w:r w:rsidR="00F23EB8" w:rsidRPr="007B6803">
        <w:rPr>
          <w:rFonts w:ascii="Arial" w:hAnsi="Arial" w:cs="Arial"/>
          <w:b/>
          <w:i/>
        </w:rPr>
        <w:t>Dacryodes</w:t>
      </w:r>
      <w:proofErr w:type="spellEnd"/>
      <w:r w:rsidR="00F23EB8" w:rsidRPr="007B6803">
        <w:rPr>
          <w:rFonts w:ascii="Arial" w:hAnsi="Arial" w:cs="Arial"/>
          <w:b/>
          <w:i/>
        </w:rPr>
        <w:t xml:space="preserve"> edulis</w:t>
      </w:r>
      <w:r w:rsidR="00F23EB8" w:rsidRPr="007B6803">
        <w:rPr>
          <w:rFonts w:ascii="Arial" w:hAnsi="Arial" w:cs="Arial"/>
          <w:b/>
        </w:rPr>
        <w:t xml:space="preserve"> (DE</w:t>
      </w:r>
    </w:p>
    <w:p w14:paraId="7FB238EC" w14:textId="77777777" w:rsidR="001507BB" w:rsidRPr="007B6803" w:rsidRDefault="001507BB" w:rsidP="001507BB">
      <w:pPr>
        <w:pStyle w:val="Heading3"/>
        <w:rPr>
          <w:rFonts w:ascii="Arial" w:hAnsi="Arial" w:cs="Arial"/>
          <w:sz w:val="22"/>
          <w:szCs w:val="22"/>
        </w:rPr>
      </w:pPr>
      <w:r w:rsidRPr="007B6803">
        <w:rPr>
          <w:rFonts w:ascii="Arial" w:hAnsi="Arial" w:cs="Arial"/>
          <w:sz w:val="22"/>
          <w:szCs w:val="22"/>
        </w:rPr>
        <w:t>TEM Analysis</w:t>
      </w:r>
    </w:p>
    <w:p w14:paraId="733EB0EA" w14:textId="74ABDE50"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Transmission electron microscopy (TEM) micrographs of PAS and the hybrid DE/PAS (Figs. 2–3) revealed predominantly spherical, smooth-surfaced nanoparticles with average particle sizes of ~20 nm and ~50 nm at higher (×1000) and lower (×500) magnifications, respectively, confirming nanoscale dimensions. In PAS (Figs. 2a–b), localized dark patches were observed, which can be attributed to regions of higher electron density, possibly due to the presence of heavy elements or grain boundaries with disordered atomic arrangements.</w:t>
      </w:r>
      <w:r w:rsidR="00FA6D33" w:rsidRPr="007B6803">
        <w:rPr>
          <w:rFonts w:ascii="Arial" w:hAnsi="Arial" w:cs="Arial"/>
          <w:sz w:val="22"/>
          <w:szCs w:val="22"/>
        </w:rPr>
        <w:t xml:space="preserve"> </w:t>
      </w:r>
      <w:r w:rsidRPr="007B6803">
        <w:rPr>
          <w:rFonts w:ascii="Arial" w:hAnsi="Arial" w:cs="Arial"/>
          <w:sz w:val="22"/>
          <w:szCs w:val="22"/>
        </w:rPr>
        <w:t xml:space="preserve">In contrast, the DE/PAS hybrid (Figs. 3a–b) exhibited relatively lighter regions, consistent with a predominance of low electron density organic phases (carbon-rich matrix). The reduced contrast and more homogeneous morphology in the hybrid material suggest successful grafting of PAS onto the organic extract. This hybridization is likely facilitated by strong covalent interactions between electron-rich functional groups in </w:t>
      </w:r>
      <w:proofErr w:type="spellStart"/>
      <w:r w:rsidRPr="007B6803">
        <w:rPr>
          <w:rStyle w:val="Emphasis"/>
          <w:rFonts w:ascii="Arial" w:hAnsi="Arial" w:cs="Arial"/>
          <w:sz w:val="22"/>
          <w:szCs w:val="22"/>
        </w:rPr>
        <w:t>Dacryodes</w:t>
      </w:r>
      <w:proofErr w:type="spellEnd"/>
      <w:r w:rsidRPr="007B6803">
        <w:rPr>
          <w:rStyle w:val="Emphasis"/>
          <w:rFonts w:ascii="Arial" w:hAnsi="Arial" w:cs="Arial"/>
          <w:sz w:val="22"/>
          <w:szCs w:val="22"/>
        </w:rPr>
        <w:t xml:space="preserve"> edulis</w:t>
      </w:r>
      <w:r w:rsidRPr="007B6803">
        <w:rPr>
          <w:rFonts w:ascii="Arial" w:hAnsi="Arial" w:cs="Arial"/>
          <w:sz w:val="22"/>
          <w:szCs w:val="22"/>
        </w:rPr>
        <w:t xml:space="preserve"> extract (e.g., –OH, –C=O) and Si–O–Si bonds in PAS, resulting in a more integrated organic–inorganic nanocomposite.</w:t>
      </w:r>
      <w:r w:rsidR="009B29CC">
        <w:rPr>
          <w:rFonts w:ascii="Arial" w:hAnsi="Arial" w:cs="Arial"/>
          <w:sz w:val="22"/>
          <w:szCs w:val="22"/>
        </w:rPr>
        <w:t xml:space="preserve"> [19,41,44]</w:t>
      </w:r>
    </w:p>
    <w:p w14:paraId="4715F286" w14:textId="77777777" w:rsidR="00F23EB8" w:rsidRPr="007B6803" w:rsidRDefault="00F23EB8" w:rsidP="00F23EB8">
      <w:pPr>
        <w:spacing w:after="0"/>
        <w:jc w:val="both"/>
        <w:rPr>
          <w:rFonts w:ascii="Arial" w:hAnsi="Arial" w:cs="Arial"/>
        </w:rPr>
      </w:pPr>
      <w:r w:rsidRPr="007B6803">
        <w:rPr>
          <w:rFonts w:ascii="Arial" w:hAnsi="Arial" w:cs="Arial"/>
          <w:noProof/>
          <w:lang w:eastAsia="en-GB"/>
        </w:rPr>
        <w:drawing>
          <wp:inline distT="0" distB="0" distL="0" distR="0" wp14:anchorId="42ACA1E0" wp14:editId="73CADC39">
            <wp:extent cx="1916430" cy="1302385"/>
            <wp:effectExtent l="0" t="0" r="7620" b="0"/>
            <wp:docPr id="2" name="Picture 2" descr="Description: C:\Users\user\AppData\Local\Te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AppData\Local\Temp\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430" cy="1302385"/>
                    </a:xfrm>
                    <a:prstGeom prst="rect">
                      <a:avLst/>
                    </a:prstGeom>
                    <a:noFill/>
                    <a:ln>
                      <a:noFill/>
                    </a:ln>
                  </pic:spPr>
                </pic:pic>
              </a:graphicData>
            </a:graphic>
          </wp:inline>
        </w:drawing>
      </w:r>
      <w:r w:rsidRPr="007B6803">
        <w:rPr>
          <w:rFonts w:ascii="Arial" w:hAnsi="Arial" w:cs="Arial"/>
        </w:rPr>
        <w:t xml:space="preserve">            </w:t>
      </w:r>
      <w:r w:rsidRPr="007B6803">
        <w:rPr>
          <w:rFonts w:ascii="Arial" w:hAnsi="Arial" w:cs="Arial"/>
          <w:noProof/>
          <w:lang w:eastAsia="en-GB"/>
        </w:rPr>
        <w:drawing>
          <wp:inline distT="0" distB="0" distL="0" distR="0" wp14:anchorId="486F6C58" wp14:editId="759C4CB3">
            <wp:extent cx="2019300" cy="1346200"/>
            <wp:effectExtent l="0" t="0" r="0" b="6350"/>
            <wp:docPr id="1" name="Picture 1" descr="Description: C:\Users\user\Download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ownloads\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p w14:paraId="3005DFB7" w14:textId="63548294" w:rsidR="00F23EB8" w:rsidRPr="007B6803" w:rsidRDefault="00F23EB8" w:rsidP="00F23EB8">
      <w:pPr>
        <w:spacing w:after="0"/>
        <w:jc w:val="both"/>
        <w:rPr>
          <w:rFonts w:ascii="Arial" w:hAnsi="Arial" w:cs="Arial"/>
        </w:rPr>
      </w:pPr>
      <w:r w:rsidRPr="007B6803">
        <w:rPr>
          <w:rFonts w:ascii="Arial" w:hAnsi="Arial" w:cs="Arial"/>
        </w:rPr>
        <w:t>Fi</w:t>
      </w:r>
      <w:r w:rsidR="009C76F2" w:rsidRPr="007B6803">
        <w:rPr>
          <w:rFonts w:ascii="Arial" w:hAnsi="Arial" w:cs="Arial"/>
        </w:rPr>
        <w:t>g 2</w:t>
      </w:r>
      <w:proofErr w:type="gramStart"/>
      <w:r w:rsidR="009C76F2" w:rsidRPr="007B6803">
        <w:rPr>
          <w:rFonts w:ascii="Arial" w:hAnsi="Arial" w:cs="Arial"/>
        </w:rPr>
        <w:t>a:TEM</w:t>
      </w:r>
      <w:proofErr w:type="gramEnd"/>
      <w:r w:rsidR="009C76F2" w:rsidRPr="007B6803">
        <w:rPr>
          <w:rFonts w:ascii="Arial" w:hAnsi="Arial" w:cs="Arial"/>
        </w:rPr>
        <w:t xml:space="preserve"> image on PAS         </w:t>
      </w:r>
      <w:r w:rsidR="009C76F2" w:rsidRPr="007B6803">
        <w:rPr>
          <w:rFonts w:ascii="Arial" w:hAnsi="Arial" w:cs="Arial"/>
        </w:rPr>
        <w:tab/>
        <w:t xml:space="preserve">     </w:t>
      </w:r>
      <w:r w:rsidRPr="007B6803">
        <w:rPr>
          <w:rFonts w:ascii="Arial" w:hAnsi="Arial" w:cs="Arial"/>
        </w:rPr>
        <w:t xml:space="preserve"> Fig. 2b TEM image on PAS</w:t>
      </w:r>
    </w:p>
    <w:p w14:paraId="6C642B92" w14:textId="77777777" w:rsidR="00F23EB8" w:rsidRPr="007B6803" w:rsidRDefault="00F23EB8" w:rsidP="00F23EB8">
      <w:pPr>
        <w:spacing w:after="0"/>
        <w:jc w:val="both"/>
        <w:rPr>
          <w:rFonts w:ascii="Arial" w:hAnsi="Arial" w:cs="Arial"/>
        </w:rPr>
      </w:pPr>
      <w:r w:rsidRPr="007B6803">
        <w:rPr>
          <w:rFonts w:ascii="Arial" w:hAnsi="Arial" w:cs="Arial"/>
          <w:noProof/>
          <w:lang w:eastAsia="en-GB"/>
        </w:rPr>
        <w:lastRenderedPageBreak/>
        <w:drawing>
          <wp:inline distT="0" distB="0" distL="0" distR="0" wp14:anchorId="08375BFA" wp14:editId="4ED03D7E">
            <wp:extent cx="1858010" cy="1228725"/>
            <wp:effectExtent l="0" t="0" r="8890" b="9525"/>
            <wp:docPr id="4" name="Picture 4" descr="Description: C:\Users\user\AppData\Local\Temp\C 20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AppData\Local\Temp\C 20n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010" cy="1228725"/>
                    </a:xfrm>
                    <a:prstGeom prst="rect">
                      <a:avLst/>
                    </a:prstGeom>
                    <a:noFill/>
                    <a:ln>
                      <a:noFill/>
                    </a:ln>
                  </pic:spPr>
                </pic:pic>
              </a:graphicData>
            </a:graphic>
          </wp:inline>
        </w:drawing>
      </w:r>
      <w:r w:rsidRPr="007B6803">
        <w:rPr>
          <w:rFonts w:ascii="Arial" w:hAnsi="Arial" w:cs="Arial"/>
        </w:rPr>
        <w:t xml:space="preserve">                </w:t>
      </w:r>
      <w:r w:rsidRPr="007B6803">
        <w:rPr>
          <w:rFonts w:ascii="Arial" w:hAnsi="Arial" w:cs="Arial"/>
          <w:noProof/>
          <w:lang w:eastAsia="en-GB"/>
        </w:rPr>
        <w:drawing>
          <wp:inline distT="0" distB="0" distL="0" distR="0" wp14:anchorId="25D3E30A" wp14:editId="4CB9CF6C">
            <wp:extent cx="1997075" cy="1192530"/>
            <wp:effectExtent l="0" t="0" r="3175" b="7620"/>
            <wp:docPr id="3" name="Picture 3" descr="Description: C:\Users\user\Downloads\C 50n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ownloads\C 50nm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75" cy="1192530"/>
                    </a:xfrm>
                    <a:prstGeom prst="rect">
                      <a:avLst/>
                    </a:prstGeom>
                    <a:noFill/>
                    <a:ln>
                      <a:noFill/>
                    </a:ln>
                  </pic:spPr>
                </pic:pic>
              </a:graphicData>
            </a:graphic>
          </wp:inline>
        </w:drawing>
      </w:r>
    </w:p>
    <w:p w14:paraId="59E873CD" w14:textId="175FBADB" w:rsidR="00F23EB8" w:rsidRPr="007B6803" w:rsidRDefault="00F23EB8" w:rsidP="00F23EB8">
      <w:pPr>
        <w:spacing w:after="0"/>
        <w:jc w:val="both"/>
        <w:rPr>
          <w:rFonts w:ascii="Arial" w:hAnsi="Arial" w:cs="Arial"/>
        </w:rPr>
      </w:pPr>
      <w:r w:rsidRPr="007B6803">
        <w:rPr>
          <w:rFonts w:ascii="Arial" w:hAnsi="Arial" w:cs="Arial"/>
        </w:rPr>
        <w:t>Fig 3a TEM image on D</w:t>
      </w:r>
      <w:r w:rsidR="009C76F2" w:rsidRPr="007B6803">
        <w:rPr>
          <w:rFonts w:ascii="Arial" w:hAnsi="Arial" w:cs="Arial"/>
        </w:rPr>
        <w:t xml:space="preserve">E/PAS                  </w:t>
      </w:r>
      <w:r w:rsidRPr="007B6803">
        <w:rPr>
          <w:rFonts w:ascii="Arial" w:hAnsi="Arial" w:cs="Arial"/>
        </w:rPr>
        <w:t>Fig 3b TEM image on</w:t>
      </w:r>
      <w:r w:rsidR="009C76F2" w:rsidRPr="007B6803">
        <w:rPr>
          <w:rFonts w:ascii="Arial" w:hAnsi="Arial" w:cs="Arial"/>
        </w:rPr>
        <w:t xml:space="preserve"> DE/PAS</w:t>
      </w:r>
    </w:p>
    <w:p w14:paraId="45AF71BD" w14:textId="77777777" w:rsidR="001507BB" w:rsidRPr="007B6803" w:rsidRDefault="001507BB" w:rsidP="001507BB">
      <w:pPr>
        <w:pStyle w:val="Heading3"/>
        <w:jc w:val="both"/>
        <w:rPr>
          <w:rFonts w:ascii="Arial" w:hAnsi="Arial" w:cs="Arial"/>
          <w:sz w:val="22"/>
          <w:szCs w:val="22"/>
        </w:rPr>
      </w:pPr>
      <w:r w:rsidRPr="007B6803">
        <w:rPr>
          <w:rFonts w:ascii="Arial" w:hAnsi="Arial" w:cs="Arial"/>
          <w:sz w:val="22"/>
          <w:szCs w:val="22"/>
        </w:rPr>
        <w:t>Thermal Analysis (TGA/DTA)</w:t>
      </w:r>
      <w:r w:rsidR="007B15EC" w:rsidRPr="007B6803">
        <w:rPr>
          <w:rFonts w:ascii="Arial" w:hAnsi="Arial" w:cs="Arial"/>
          <w:sz w:val="22"/>
          <w:szCs w:val="22"/>
        </w:rPr>
        <w:t xml:space="preserve"> [36]</w:t>
      </w:r>
    </w:p>
    <w:p w14:paraId="76AB3992"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The TGA/DTA profile of DE (Fig. 4) shows three distinct thermal events. An initial weight loss (~5–10%) between 100–300 °C corresponds to evaporation of residual moisture and low-molecular-weight volatiles. A major decomposition (~70%) occurred between 300–500 °C, accompanied by a strong endothermic peak in the DTA curve, attributable to polymer chain degradation, organic component breakdown, and phase transitions. Above 500 °C, the curve plateaued, leaving a residual mass of ~10%, likely due to char or thermally stable inorganic fractions.</w:t>
      </w:r>
    </w:p>
    <w:p w14:paraId="21CC950B"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Similarly, the PAS sample (Fig. 5) displayed an initial moderate mass loss (~5–10%) at 30–150 °C, attributed to physically adsorbed water and volatile species. The major weight loss (~70–80%) occurred at 150–500 °C with a corresponding DTA endothermic peak, associated with the removal of strongly bound water and condensation of silanol groups (dehydration/</w:t>
      </w:r>
      <w:proofErr w:type="spellStart"/>
      <w:r w:rsidRPr="007B6803">
        <w:rPr>
          <w:rFonts w:ascii="Arial" w:hAnsi="Arial" w:cs="Arial"/>
          <w:sz w:val="22"/>
          <w:szCs w:val="22"/>
        </w:rPr>
        <w:t>dehydroxylation</w:t>
      </w:r>
      <w:proofErr w:type="spellEnd"/>
      <w:r w:rsidRPr="007B6803">
        <w:rPr>
          <w:rFonts w:ascii="Arial" w:hAnsi="Arial" w:cs="Arial"/>
          <w:sz w:val="22"/>
          <w:szCs w:val="22"/>
        </w:rPr>
        <w:t>). Beyond 500 °C, the mass loss slowed, with a final residue of ~10–20% up to 950 °C, representing the thermally stable silica framework.</w:t>
      </w:r>
    </w:p>
    <w:p w14:paraId="5EF1F764" w14:textId="167D7C64" w:rsidR="00CE768F" w:rsidRPr="007B6803" w:rsidRDefault="001507BB" w:rsidP="00BD6A74">
      <w:pPr>
        <w:pStyle w:val="NormalWeb"/>
        <w:jc w:val="both"/>
        <w:rPr>
          <w:rFonts w:ascii="Arial" w:hAnsi="Arial" w:cs="Arial"/>
          <w:sz w:val="22"/>
          <w:szCs w:val="22"/>
        </w:rPr>
      </w:pPr>
      <w:r w:rsidRPr="007B6803">
        <w:rPr>
          <w:rFonts w:ascii="Arial" w:hAnsi="Arial" w:cs="Arial"/>
          <w:sz w:val="22"/>
          <w:szCs w:val="22"/>
        </w:rPr>
        <w:t>The TGA/DTA profile of DE/PAS (Fig. 6) exhibited an initial weight loss (~5–10%) between 30–200 °C, attributed to the evaporation of physically adsorbed water and low molecular weight volatiles. A major decomposition occurred at 300–500 °C, with ~70–80% mass loss and a corresponding endothermic peak (~430 °C), reflecting polymer degradation and removal of chemically bound water from silanol groups. Beyond 500 °C, a stable residue of ~10–20% was recorded, associated with inorganic reinforceme</w:t>
      </w:r>
      <w:r w:rsidR="008A429E" w:rsidRPr="007B6803">
        <w:rPr>
          <w:rFonts w:ascii="Arial" w:hAnsi="Arial" w:cs="Arial"/>
          <w:sz w:val="22"/>
          <w:szCs w:val="22"/>
        </w:rPr>
        <w:t xml:space="preserve">nt such as the silica framework. </w:t>
      </w:r>
    </w:p>
    <w:p w14:paraId="54408B2C" w14:textId="77777777" w:rsidR="004E06AA" w:rsidRPr="007B6803" w:rsidRDefault="004E06AA" w:rsidP="00BD6A74">
      <w:pPr>
        <w:pStyle w:val="NormalWeb"/>
        <w:jc w:val="both"/>
        <w:rPr>
          <w:rFonts w:ascii="Arial" w:hAnsi="Arial" w:cs="Arial"/>
          <w:sz w:val="22"/>
          <w:szCs w:val="22"/>
        </w:rPr>
      </w:pPr>
      <w:r w:rsidRPr="007B6803">
        <w:rPr>
          <w:rFonts w:ascii="Arial" w:hAnsi="Arial" w:cs="Arial"/>
          <w:b/>
          <w:noProof/>
          <w:sz w:val="22"/>
          <w:szCs w:val="22"/>
          <w:highlight w:val="yellow"/>
        </w:rPr>
        <w:lastRenderedPageBreak/>
        <w:drawing>
          <wp:inline distT="0" distB="0" distL="0" distR="0" wp14:anchorId="0F574571" wp14:editId="053F2975">
            <wp:extent cx="2133600" cy="3228975"/>
            <wp:effectExtent l="0" t="0" r="0" b="9525"/>
            <wp:docPr id="9" name="Picture 9"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1" name="Picture 1" descr="C:\Users\ADMINI~1\AppData\Local\Temp\msohtmlclip1\01\clip_image001.jpg"/>
                    <pic:cNvPicPr/>
                  </pic:nvPicPr>
                  <pic:blipFill>
                    <a:blip r:embed="rId13"/>
                    <a:srcRect/>
                    <a:stretch>
                      <a:fillRect/>
                    </a:stretch>
                  </pic:blipFill>
                  <pic:spPr bwMode="auto">
                    <a:xfrm>
                      <a:off x="0" y="0"/>
                      <a:ext cx="2133600" cy="3228975"/>
                    </a:xfrm>
                    <a:prstGeom prst="rect">
                      <a:avLst/>
                    </a:prstGeom>
                    <a:noFill/>
                    <a:ln w="9525">
                      <a:noFill/>
                      <a:miter lim="800000"/>
                      <a:headEnd/>
                      <a:tailEnd/>
                    </a:ln>
                  </pic:spPr>
                </pic:pic>
              </a:graphicData>
            </a:graphic>
          </wp:inline>
        </w:drawing>
      </w:r>
      <w:r w:rsidRPr="007B6803">
        <w:rPr>
          <w:rFonts w:ascii="Arial" w:hAnsi="Arial" w:cs="Arial"/>
          <w:noProof/>
          <w:sz w:val="22"/>
          <w:szCs w:val="22"/>
        </w:rPr>
        <w:t xml:space="preserve">              </w:t>
      </w:r>
      <w:r w:rsidR="00897479" w:rsidRPr="007B6803">
        <w:rPr>
          <w:rFonts w:ascii="Arial" w:hAnsi="Arial" w:cs="Arial"/>
          <w:noProof/>
          <w:sz w:val="22"/>
          <w:szCs w:val="22"/>
        </w:rPr>
        <w:t xml:space="preserve">          </w:t>
      </w:r>
      <w:r w:rsidRPr="007B6803">
        <w:rPr>
          <w:rFonts w:ascii="Arial" w:hAnsi="Arial" w:cs="Arial"/>
          <w:noProof/>
          <w:sz w:val="22"/>
          <w:szCs w:val="22"/>
        </w:rPr>
        <w:t xml:space="preserve"> </w:t>
      </w:r>
      <w:r w:rsidRPr="007B6803">
        <w:rPr>
          <w:rFonts w:ascii="Arial" w:hAnsi="Arial" w:cs="Arial"/>
          <w:noProof/>
          <w:sz w:val="22"/>
          <w:szCs w:val="22"/>
          <w:highlight w:val="yellow"/>
        </w:rPr>
        <w:drawing>
          <wp:inline distT="0" distB="0" distL="0" distR="0" wp14:anchorId="523B7320" wp14:editId="2FAF42BE">
            <wp:extent cx="2609850" cy="3295650"/>
            <wp:effectExtent l="0" t="0" r="0" b="0"/>
            <wp:docPr id="5" name="Picture 4"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61" name="Picture 4" descr="C:\Users\ADMINI~1\AppData\Local\Temp\msohtmlclip1\01\clip_image001.jpg"/>
                    <pic:cNvPicPr/>
                  </pic:nvPicPr>
                  <pic:blipFill>
                    <a:blip r:embed="rId14"/>
                    <a:srcRect/>
                    <a:stretch>
                      <a:fillRect/>
                    </a:stretch>
                  </pic:blipFill>
                  <pic:spPr bwMode="auto">
                    <a:xfrm>
                      <a:off x="0" y="0"/>
                      <a:ext cx="2609850" cy="3295650"/>
                    </a:xfrm>
                    <a:prstGeom prst="rect">
                      <a:avLst/>
                    </a:prstGeom>
                    <a:noFill/>
                    <a:ln w="9525">
                      <a:noFill/>
                      <a:miter lim="800000"/>
                      <a:headEnd/>
                      <a:tailEnd/>
                    </a:ln>
                  </pic:spPr>
                </pic:pic>
              </a:graphicData>
            </a:graphic>
          </wp:inline>
        </w:drawing>
      </w:r>
    </w:p>
    <w:p w14:paraId="4B280175" w14:textId="3A0E69AB" w:rsidR="004E06AA" w:rsidRPr="007B6803" w:rsidRDefault="00CE768F" w:rsidP="004E06AA">
      <w:pPr>
        <w:jc w:val="both"/>
        <w:rPr>
          <w:rFonts w:ascii="Arial" w:hAnsi="Arial" w:cs="Arial"/>
        </w:rPr>
      </w:pPr>
      <w:r w:rsidRPr="007B6803">
        <w:rPr>
          <w:rFonts w:ascii="Arial" w:hAnsi="Arial" w:cs="Arial"/>
        </w:rPr>
        <w:t xml:space="preserve">     </w:t>
      </w:r>
      <w:r w:rsidR="00EB08B0" w:rsidRPr="007B6803">
        <w:rPr>
          <w:rFonts w:ascii="Arial" w:hAnsi="Arial" w:cs="Arial"/>
        </w:rPr>
        <w:t>Fig 4a TGA plot on DE</w:t>
      </w:r>
      <w:r w:rsidR="004E06AA" w:rsidRPr="007B6803">
        <w:rPr>
          <w:rFonts w:ascii="Arial" w:hAnsi="Arial" w:cs="Arial"/>
        </w:rPr>
        <w:t xml:space="preserve">                         </w:t>
      </w:r>
      <w:r w:rsidR="00897479" w:rsidRPr="007B6803">
        <w:rPr>
          <w:rFonts w:ascii="Arial" w:hAnsi="Arial" w:cs="Arial"/>
        </w:rPr>
        <w:t xml:space="preserve">           </w:t>
      </w:r>
      <w:r w:rsidR="004E06AA" w:rsidRPr="007B6803">
        <w:rPr>
          <w:rFonts w:ascii="Arial" w:hAnsi="Arial" w:cs="Arial"/>
        </w:rPr>
        <w:t xml:space="preserve"> </w:t>
      </w:r>
      <w:r w:rsidR="00897479" w:rsidRPr="007B6803">
        <w:rPr>
          <w:rFonts w:ascii="Arial" w:hAnsi="Arial" w:cs="Arial"/>
        </w:rPr>
        <w:t xml:space="preserve">           </w:t>
      </w:r>
      <w:r w:rsidR="004E06AA" w:rsidRPr="007B6803">
        <w:rPr>
          <w:rFonts w:ascii="Arial" w:hAnsi="Arial" w:cs="Arial"/>
        </w:rPr>
        <w:t>Fig 4b TGA/DTA plot on DE</w:t>
      </w:r>
    </w:p>
    <w:p w14:paraId="58CCC39D" w14:textId="77777777" w:rsidR="004E06AA" w:rsidRPr="007B6803" w:rsidRDefault="004E06AA" w:rsidP="004E06AA">
      <w:pPr>
        <w:jc w:val="both"/>
        <w:rPr>
          <w:rFonts w:ascii="Arial" w:hAnsi="Arial" w:cs="Arial"/>
        </w:rPr>
      </w:pPr>
      <w:r w:rsidRPr="007B6803">
        <w:rPr>
          <w:rFonts w:ascii="Arial" w:hAnsi="Arial" w:cs="Arial"/>
          <w:b/>
          <w:noProof/>
          <w:lang w:eastAsia="en-GB"/>
        </w:rPr>
        <w:drawing>
          <wp:inline distT="0" distB="0" distL="0" distR="0" wp14:anchorId="50212855" wp14:editId="65A10559">
            <wp:extent cx="2140985" cy="3009900"/>
            <wp:effectExtent l="0" t="0" r="0" b="0"/>
            <wp:docPr id="7" name="Picture 7"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7" name="Picture 7" descr="C:\Users\ADMINI~1\AppData\Local\Temp\msohtmlclip1\01\clip_image001.jpg"/>
                    <pic:cNvPicPr/>
                  </pic:nvPicPr>
                  <pic:blipFill>
                    <a:blip r:embed="rId15"/>
                    <a:srcRect/>
                    <a:stretch>
                      <a:fillRect/>
                    </a:stretch>
                  </pic:blipFill>
                  <pic:spPr bwMode="auto">
                    <a:xfrm>
                      <a:off x="0" y="0"/>
                      <a:ext cx="2140985" cy="3009900"/>
                    </a:xfrm>
                    <a:prstGeom prst="rect">
                      <a:avLst/>
                    </a:prstGeom>
                    <a:noFill/>
                    <a:ln w="9525">
                      <a:noFill/>
                      <a:miter lim="800000"/>
                      <a:headEnd/>
                      <a:tailEnd/>
                    </a:ln>
                  </pic:spPr>
                </pic:pic>
              </a:graphicData>
            </a:graphic>
          </wp:inline>
        </w:drawing>
      </w:r>
      <w:r w:rsidRPr="007B6803">
        <w:rPr>
          <w:rFonts w:ascii="Arial" w:hAnsi="Arial" w:cs="Arial"/>
        </w:rPr>
        <w:t xml:space="preserve">    </w:t>
      </w:r>
      <w:r w:rsidR="00897479" w:rsidRPr="007B6803">
        <w:rPr>
          <w:rFonts w:ascii="Arial" w:hAnsi="Arial" w:cs="Arial"/>
        </w:rPr>
        <w:t xml:space="preserve">        </w:t>
      </w:r>
      <w:r w:rsidRPr="007B6803">
        <w:rPr>
          <w:rFonts w:ascii="Arial" w:hAnsi="Arial" w:cs="Arial"/>
        </w:rPr>
        <w:t xml:space="preserve">    </w:t>
      </w:r>
      <w:r w:rsidR="00897479" w:rsidRPr="007B6803">
        <w:rPr>
          <w:rFonts w:ascii="Arial" w:hAnsi="Arial" w:cs="Arial"/>
        </w:rPr>
        <w:t xml:space="preserve">           </w:t>
      </w:r>
      <w:r w:rsidRPr="007B6803">
        <w:rPr>
          <w:rFonts w:ascii="Arial" w:hAnsi="Arial" w:cs="Arial"/>
        </w:rPr>
        <w:t xml:space="preserve"> </w:t>
      </w:r>
      <w:r w:rsidRPr="007B6803">
        <w:rPr>
          <w:rFonts w:ascii="Arial" w:hAnsi="Arial" w:cs="Arial"/>
          <w:b/>
          <w:noProof/>
          <w:lang w:eastAsia="en-GB"/>
        </w:rPr>
        <w:drawing>
          <wp:inline distT="0" distB="0" distL="0" distR="0" wp14:anchorId="7F282968" wp14:editId="3E33A264">
            <wp:extent cx="2419350" cy="3000375"/>
            <wp:effectExtent l="0" t="0" r="0" b="9525"/>
            <wp:docPr id="62" name="Picture 10"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62" name="Picture 10" descr="C:\Users\ADMINI~1\AppData\Local\Temp\msohtmlclip1\01\clip_image001.jpg"/>
                    <pic:cNvPicPr/>
                  </pic:nvPicPr>
                  <pic:blipFill>
                    <a:blip r:embed="rId16"/>
                    <a:srcRect/>
                    <a:stretch>
                      <a:fillRect/>
                    </a:stretch>
                  </pic:blipFill>
                  <pic:spPr bwMode="auto">
                    <a:xfrm>
                      <a:off x="0" y="0"/>
                      <a:ext cx="2419350" cy="3000375"/>
                    </a:xfrm>
                    <a:prstGeom prst="rect">
                      <a:avLst/>
                    </a:prstGeom>
                    <a:noFill/>
                    <a:ln w="9525">
                      <a:noFill/>
                      <a:miter lim="800000"/>
                      <a:headEnd/>
                      <a:tailEnd/>
                    </a:ln>
                  </pic:spPr>
                </pic:pic>
              </a:graphicData>
            </a:graphic>
          </wp:inline>
        </w:drawing>
      </w:r>
    </w:p>
    <w:p w14:paraId="42793D45" w14:textId="77777777" w:rsidR="004E06AA" w:rsidRPr="007B6803" w:rsidRDefault="004E06AA" w:rsidP="00897479">
      <w:pPr>
        <w:rPr>
          <w:rFonts w:ascii="Arial" w:hAnsi="Arial" w:cs="Arial"/>
        </w:rPr>
      </w:pPr>
      <w:r w:rsidRPr="007B6803">
        <w:rPr>
          <w:rFonts w:ascii="Arial" w:hAnsi="Arial" w:cs="Arial"/>
        </w:rPr>
        <w:t xml:space="preserve">Fig 5a:TGA plot on PAS                             </w:t>
      </w:r>
      <w:r w:rsidR="00897479" w:rsidRPr="007B6803">
        <w:rPr>
          <w:rFonts w:ascii="Arial" w:hAnsi="Arial" w:cs="Arial"/>
        </w:rPr>
        <w:t xml:space="preserve"> </w:t>
      </w:r>
      <w:r w:rsidRPr="007B6803">
        <w:rPr>
          <w:rFonts w:ascii="Arial" w:hAnsi="Arial" w:cs="Arial"/>
        </w:rPr>
        <w:t xml:space="preserve">         </w:t>
      </w:r>
      <w:r w:rsidR="0023554D" w:rsidRPr="007B6803">
        <w:rPr>
          <w:rFonts w:ascii="Arial" w:hAnsi="Arial" w:cs="Arial"/>
        </w:rPr>
        <w:t xml:space="preserve">    </w:t>
      </w:r>
      <w:r w:rsidR="00897479" w:rsidRPr="007B6803">
        <w:rPr>
          <w:rFonts w:ascii="Arial" w:hAnsi="Arial" w:cs="Arial"/>
        </w:rPr>
        <w:t xml:space="preserve"> </w:t>
      </w:r>
      <w:r w:rsidRPr="007B6803">
        <w:rPr>
          <w:rFonts w:ascii="Arial" w:hAnsi="Arial" w:cs="Arial"/>
        </w:rPr>
        <w:t>Fig 5b: TGA/DTA plot on PAS</w:t>
      </w:r>
    </w:p>
    <w:p w14:paraId="403054BC" w14:textId="77777777" w:rsidR="004E06AA" w:rsidRPr="007B6803" w:rsidRDefault="00897479" w:rsidP="004E06AA">
      <w:pPr>
        <w:jc w:val="both"/>
        <w:rPr>
          <w:rFonts w:ascii="Arial" w:hAnsi="Arial" w:cs="Arial"/>
        </w:rPr>
      </w:pPr>
      <w:r w:rsidRPr="007B6803">
        <w:rPr>
          <w:rFonts w:ascii="Arial" w:hAnsi="Arial" w:cs="Arial"/>
          <w:noProof/>
          <w:lang w:eastAsia="en-GB"/>
        </w:rPr>
        <w:lastRenderedPageBreak/>
        <w:drawing>
          <wp:inline distT="0" distB="0" distL="0" distR="0" wp14:anchorId="438EC92D" wp14:editId="696A9476">
            <wp:extent cx="2263670" cy="3048000"/>
            <wp:effectExtent l="0" t="0" r="3810" b="0"/>
            <wp:docPr id="13" name="Picture 13"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13" name="Picture 13" descr="C:\Users\ADMINI~1\AppData\Local\Temp\msohtmlclip1\01\clip_image001.jpg"/>
                    <pic:cNvPicPr/>
                  </pic:nvPicPr>
                  <pic:blipFill>
                    <a:blip r:embed="rId17"/>
                    <a:srcRect/>
                    <a:stretch>
                      <a:fillRect/>
                    </a:stretch>
                  </pic:blipFill>
                  <pic:spPr bwMode="auto">
                    <a:xfrm>
                      <a:off x="0" y="0"/>
                      <a:ext cx="2267049" cy="3052550"/>
                    </a:xfrm>
                    <a:prstGeom prst="rect">
                      <a:avLst/>
                    </a:prstGeom>
                    <a:noFill/>
                    <a:ln w="9525">
                      <a:noFill/>
                      <a:miter lim="800000"/>
                      <a:headEnd/>
                      <a:tailEnd/>
                    </a:ln>
                  </pic:spPr>
                </pic:pic>
              </a:graphicData>
            </a:graphic>
          </wp:inline>
        </w:drawing>
      </w:r>
      <w:r w:rsidRPr="007B6803">
        <w:rPr>
          <w:rFonts w:ascii="Arial" w:hAnsi="Arial" w:cs="Arial"/>
        </w:rPr>
        <w:t xml:space="preserve">                    </w:t>
      </w:r>
      <w:r w:rsidRPr="007B6803">
        <w:rPr>
          <w:rFonts w:ascii="Arial" w:hAnsi="Arial" w:cs="Arial"/>
          <w:noProof/>
          <w:lang w:eastAsia="en-GB"/>
        </w:rPr>
        <w:drawing>
          <wp:inline distT="0" distB="0" distL="0" distR="0" wp14:anchorId="4811D74A" wp14:editId="178AE8E3">
            <wp:extent cx="2686050" cy="3121352"/>
            <wp:effectExtent l="0" t="0" r="0" b="3175"/>
            <wp:docPr id="63" name="Picture 16" descr="C:\Users\ADMINI~1\AppData\Local\Temp\msohtmlclip1\01\clip_image001.jpg"/>
            <wp:cNvGraphicFramePr/>
            <a:graphic xmlns:a="http://schemas.openxmlformats.org/drawingml/2006/main">
              <a:graphicData uri="http://schemas.openxmlformats.org/drawingml/2006/picture">
                <pic:pic xmlns:pic="http://schemas.openxmlformats.org/drawingml/2006/picture">
                  <pic:nvPicPr>
                    <pic:cNvPr id="63" name="Picture 16" descr="C:\Users\ADMINI~1\AppData\Local\Temp\msohtmlclip1\01\clip_image001.jpg"/>
                    <pic:cNvPicPr/>
                  </pic:nvPicPr>
                  <pic:blipFill>
                    <a:blip r:embed="rId18"/>
                    <a:srcRect/>
                    <a:stretch>
                      <a:fillRect/>
                    </a:stretch>
                  </pic:blipFill>
                  <pic:spPr bwMode="auto">
                    <a:xfrm>
                      <a:off x="0" y="0"/>
                      <a:ext cx="2689119" cy="3124918"/>
                    </a:xfrm>
                    <a:prstGeom prst="rect">
                      <a:avLst/>
                    </a:prstGeom>
                    <a:noFill/>
                    <a:ln w="9525">
                      <a:noFill/>
                      <a:miter lim="800000"/>
                      <a:headEnd/>
                      <a:tailEnd/>
                    </a:ln>
                  </pic:spPr>
                </pic:pic>
              </a:graphicData>
            </a:graphic>
          </wp:inline>
        </w:drawing>
      </w:r>
      <w:r w:rsidRPr="007B6803">
        <w:rPr>
          <w:rFonts w:ascii="Arial" w:hAnsi="Arial" w:cs="Arial"/>
        </w:rPr>
        <w:t xml:space="preserve"> </w:t>
      </w:r>
    </w:p>
    <w:p w14:paraId="192F93E1" w14:textId="77777777" w:rsidR="00761850" w:rsidRPr="007B6803" w:rsidRDefault="00E623B7" w:rsidP="00897479">
      <w:pPr>
        <w:rPr>
          <w:rFonts w:ascii="Arial" w:hAnsi="Arial" w:cs="Arial"/>
        </w:rPr>
      </w:pPr>
      <w:r w:rsidRPr="007B6803">
        <w:rPr>
          <w:rFonts w:ascii="Arial" w:hAnsi="Arial" w:cs="Arial"/>
        </w:rPr>
        <w:t xml:space="preserve">   </w:t>
      </w:r>
      <w:r w:rsidR="00761850" w:rsidRPr="007B6803">
        <w:rPr>
          <w:rFonts w:ascii="Arial" w:hAnsi="Arial" w:cs="Arial"/>
        </w:rPr>
        <w:t>Fig 6a: TGA plot on DE/PAS</w:t>
      </w:r>
      <w:r w:rsidR="00897479" w:rsidRPr="007B6803">
        <w:rPr>
          <w:rFonts w:ascii="Arial" w:hAnsi="Arial" w:cs="Arial"/>
        </w:rPr>
        <w:t xml:space="preserve">                          </w:t>
      </w:r>
      <w:r w:rsidR="0023554D" w:rsidRPr="007B6803">
        <w:rPr>
          <w:rFonts w:ascii="Arial" w:hAnsi="Arial" w:cs="Arial"/>
        </w:rPr>
        <w:t xml:space="preserve">        </w:t>
      </w:r>
      <w:r w:rsidRPr="007B6803">
        <w:rPr>
          <w:rFonts w:ascii="Arial" w:hAnsi="Arial" w:cs="Arial"/>
        </w:rPr>
        <w:t xml:space="preserve"> </w:t>
      </w:r>
      <w:r w:rsidR="00897479" w:rsidRPr="007B6803">
        <w:rPr>
          <w:rFonts w:ascii="Arial" w:hAnsi="Arial" w:cs="Arial"/>
        </w:rPr>
        <w:t>Fig 6b: TGA/DTA plot on DE/PAS</w:t>
      </w:r>
    </w:p>
    <w:p w14:paraId="5148E193" w14:textId="6FF7FA22"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Comparison of DE, PAS, and DE/PAS showed all materials were thermally stable up to ~300 °C, with major weight loss (~70–80%) occurring between 300–500 °C and final residues of 10–20% above 600 °C. DE degraded most rapidly (350–450 °C) with the strongest DTA peak, while PAS showed decomposition at 370–480 °C. The hybrid DE/PAS demonstrated the highest thermal stability, with delayed decomposition (~350–500 °C), weakest DTA peak, and controlled degradation behavio</w:t>
      </w:r>
      <w:r w:rsidR="004C5FD5" w:rsidRPr="007B6803">
        <w:rPr>
          <w:rFonts w:ascii="Arial" w:hAnsi="Arial" w:cs="Arial"/>
          <w:sz w:val="22"/>
          <w:szCs w:val="22"/>
        </w:rPr>
        <w:t>u</w:t>
      </w:r>
      <w:r w:rsidRPr="007B6803">
        <w:rPr>
          <w:rFonts w:ascii="Arial" w:hAnsi="Arial" w:cs="Arial"/>
          <w:sz w:val="22"/>
          <w:szCs w:val="22"/>
        </w:rPr>
        <w:t>r.</w:t>
      </w:r>
      <w:r w:rsidR="00D61038">
        <w:rPr>
          <w:rFonts w:ascii="Arial" w:hAnsi="Arial" w:cs="Arial"/>
          <w:sz w:val="22"/>
          <w:szCs w:val="22"/>
        </w:rPr>
        <w:t xml:space="preserve"> </w:t>
      </w:r>
      <w:r w:rsidR="00D61038" w:rsidRPr="007B6803">
        <w:rPr>
          <w:rFonts w:ascii="Arial" w:hAnsi="Arial" w:cs="Arial"/>
          <w:sz w:val="22"/>
          <w:szCs w:val="22"/>
          <w:highlight w:val="yellow"/>
        </w:rPr>
        <w:t>Similar behaviour were reported by researchers demonstrating the superior thermal stability of hybrid organic/inorganic nano composite material and their enhanced barrier properties in coatings compared to the organic or inorganic moieties [9,12,15.19,41,44].</w:t>
      </w:r>
    </w:p>
    <w:p w14:paraId="74029F23" w14:textId="77777777" w:rsidR="00761850" w:rsidRPr="007B6803" w:rsidRDefault="00761850" w:rsidP="00761850">
      <w:pPr>
        <w:spacing w:after="0"/>
        <w:jc w:val="both"/>
        <w:rPr>
          <w:rStyle w:val="Strong"/>
          <w:rFonts w:ascii="Arial" w:hAnsi="Arial" w:cs="Arial"/>
        </w:rPr>
      </w:pPr>
      <w:r w:rsidRPr="007B6803">
        <w:rPr>
          <w:rStyle w:val="Strong"/>
          <w:rFonts w:ascii="Arial" w:hAnsi="Arial" w:cs="Arial"/>
        </w:rPr>
        <w:t>Table 1   Comparison of the three plots</w:t>
      </w:r>
    </w:p>
    <w:tbl>
      <w:tblPr>
        <w:tblW w:w="9194" w:type="dxa"/>
        <w:tblCellSpacing w:w="15" w:type="dxa"/>
        <w:tblLook w:val="04A0" w:firstRow="1" w:lastRow="0" w:firstColumn="1" w:lastColumn="0" w:noHBand="0" w:noVBand="1"/>
      </w:tblPr>
      <w:tblGrid>
        <w:gridCol w:w="3967"/>
        <w:gridCol w:w="1748"/>
        <w:gridCol w:w="1985"/>
        <w:gridCol w:w="1494"/>
      </w:tblGrid>
      <w:tr w:rsidR="00761850" w:rsidRPr="007B6803" w14:paraId="6785BFAF" w14:textId="77777777" w:rsidTr="00761850">
        <w:trPr>
          <w:tblHeader/>
          <w:tblCellSpacing w:w="15" w:type="dxa"/>
        </w:trPr>
        <w:tc>
          <w:tcPr>
            <w:tcW w:w="3922" w:type="dxa"/>
            <w:tcMar>
              <w:top w:w="15" w:type="dxa"/>
              <w:left w:w="15" w:type="dxa"/>
              <w:bottom w:w="15" w:type="dxa"/>
              <w:right w:w="15" w:type="dxa"/>
            </w:tcMar>
            <w:vAlign w:val="center"/>
            <w:hideMark/>
          </w:tcPr>
          <w:p w14:paraId="23A000A5" w14:textId="77777777" w:rsidR="00761850" w:rsidRPr="007B6803" w:rsidRDefault="00761850" w:rsidP="00BD6A74">
            <w:pPr>
              <w:spacing w:after="0" w:line="240" w:lineRule="auto"/>
              <w:jc w:val="both"/>
              <w:rPr>
                <w:rFonts w:ascii="Arial" w:hAnsi="Arial" w:cs="Arial"/>
                <w:bCs/>
                <w:kern w:val="2"/>
                <w14:ligatures w14:val="standardContextual"/>
              </w:rPr>
            </w:pPr>
            <w:r w:rsidRPr="007B6803">
              <w:rPr>
                <w:rFonts w:ascii="Arial" w:hAnsi="Arial" w:cs="Arial"/>
                <w:bCs/>
                <w:kern w:val="2"/>
                <w14:ligatures w14:val="standardContextual"/>
              </w:rPr>
              <w:t>Features</w:t>
            </w:r>
          </w:p>
        </w:tc>
        <w:tc>
          <w:tcPr>
            <w:tcW w:w="1718" w:type="dxa"/>
            <w:tcMar>
              <w:top w:w="15" w:type="dxa"/>
              <w:left w:w="15" w:type="dxa"/>
              <w:bottom w:w="15" w:type="dxa"/>
              <w:right w:w="15" w:type="dxa"/>
            </w:tcMar>
            <w:vAlign w:val="center"/>
            <w:hideMark/>
          </w:tcPr>
          <w:p w14:paraId="4C458864" w14:textId="77777777" w:rsidR="00761850" w:rsidRPr="007B6803" w:rsidRDefault="00761850" w:rsidP="00BD6A74">
            <w:pPr>
              <w:spacing w:after="0" w:line="240" w:lineRule="auto"/>
              <w:jc w:val="both"/>
              <w:rPr>
                <w:rFonts w:ascii="Arial" w:hAnsi="Arial" w:cs="Arial"/>
                <w:bCs/>
                <w:kern w:val="2"/>
                <w14:ligatures w14:val="standardContextual"/>
              </w:rPr>
            </w:pPr>
            <w:r w:rsidRPr="007B6803">
              <w:rPr>
                <w:rStyle w:val="Strong"/>
                <w:rFonts w:ascii="Arial" w:hAnsi="Arial" w:cs="Arial"/>
                <w:kern w:val="2"/>
                <w14:ligatures w14:val="standardContextual"/>
              </w:rPr>
              <w:t>DE</w:t>
            </w:r>
          </w:p>
        </w:tc>
        <w:tc>
          <w:tcPr>
            <w:tcW w:w="1955" w:type="dxa"/>
            <w:tcMar>
              <w:top w:w="15" w:type="dxa"/>
              <w:left w:w="15" w:type="dxa"/>
              <w:bottom w:w="15" w:type="dxa"/>
              <w:right w:w="15" w:type="dxa"/>
            </w:tcMar>
            <w:vAlign w:val="center"/>
            <w:hideMark/>
          </w:tcPr>
          <w:p w14:paraId="228E44FD" w14:textId="77777777" w:rsidR="00761850" w:rsidRPr="007B6803" w:rsidRDefault="00761850" w:rsidP="00BD6A74">
            <w:pPr>
              <w:spacing w:after="0" w:line="240" w:lineRule="auto"/>
              <w:jc w:val="both"/>
              <w:rPr>
                <w:rFonts w:ascii="Arial" w:hAnsi="Arial" w:cs="Arial"/>
                <w:bCs/>
                <w:kern w:val="2"/>
                <w14:ligatures w14:val="standardContextual"/>
              </w:rPr>
            </w:pPr>
            <w:r w:rsidRPr="007B6803">
              <w:rPr>
                <w:rStyle w:val="Strong"/>
                <w:rFonts w:ascii="Arial" w:hAnsi="Arial" w:cs="Arial"/>
                <w:kern w:val="2"/>
                <w14:ligatures w14:val="standardContextual"/>
              </w:rPr>
              <w:t>PAS</w:t>
            </w:r>
          </w:p>
        </w:tc>
        <w:tc>
          <w:tcPr>
            <w:tcW w:w="1449" w:type="dxa"/>
            <w:tcMar>
              <w:top w:w="15" w:type="dxa"/>
              <w:left w:w="15" w:type="dxa"/>
              <w:bottom w:w="15" w:type="dxa"/>
              <w:right w:w="15" w:type="dxa"/>
            </w:tcMar>
            <w:vAlign w:val="center"/>
            <w:hideMark/>
          </w:tcPr>
          <w:p w14:paraId="46F95D86" w14:textId="77777777" w:rsidR="00761850" w:rsidRPr="007B6803" w:rsidRDefault="00761850" w:rsidP="00BD6A74">
            <w:pPr>
              <w:spacing w:after="0" w:line="240" w:lineRule="auto"/>
              <w:jc w:val="both"/>
              <w:rPr>
                <w:rFonts w:ascii="Arial" w:hAnsi="Arial" w:cs="Arial"/>
                <w:bCs/>
                <w:kern w:val="2"/>
                <w14:ligatures w14:val="standardContextual"/>
              </w:rPr>
            </w:pPr>
            <w:r w:rsidRPr="007B6803">
              <w:rPr>
                <w:rStyle w:val="Strong"/>
                <w:rFonts w:ascii="Arial" w:hAnsi="Arial" w:cs="Arial"/>
                <w:kern w:val="2"/>
                <w14:ligatures w14:val="standardContextual"/>
              </w:rPr>
              <w:t>DE /PAS</w:t>
            </w:r>
          </w:p>
        </w:tc>
      </w:tr>
      <w:tr w:rsidR="00761850" w:rsidRPr="007B6803" w14:paraId="3BDD03F0" w14:textId="77777777" w:rsidTr="00761850">
        <w:trPr>
          <w:trHeight w:val="573"/>
          <w:tblCellSpacing w:w="15" w:type="dxa"/>
        </w:trPr>
        <w:tc>
          <w:tcPr>
            <w:tcW w:w="3922" w:type="dxa"/>
            <w:tcMar>
              <w:top w:w="15" w:type="dxa"/>
              <w:left w:w="15" w:type="dxa"/>
              <w:bottom w:w="15" w:type="dxa"/>
              <w:right w:w="15" w:type="dxa"/>
            </w:tcMar>
            <w:vAlign w:val="center"/>
            <w:hideMark/>
          </w:tcPr>
          <w:p w14:paraId="11178CE5" w14:textId="77777777" w:rsidR="00761850" w:rsidRPr="007B6803" w:rsidRDefault="00761850" w:rsidP="00BD6A74">
            <w:pPr>
              <w:spacing w:after="0" w:line="240" w:lineRule="auto"/>
              <w:jc w:val="both"/>
              <w:rPr>
                <w:rFonts w:ascii="Arial" w:hAnsi="Arial" w:cs="Arial"/>
                <w:b/>
                <w:kern w:val="2"/>
                <w14:ligatures w14:val="standardContextual"/>
              </w:rPr>
            </w:pPr>
            <w:r w:rsidRPr="007B6803">
              <w:rPr>
                <w:rStyle w:val="Strong"/>
                <w:rFonts w:ascii="Arial" w:hAnsi="Arial" w:cs="Arial"/>
                <w:b w:val="0"/>
                <w:kern w:val="2"/>
                <w14:ligatures w14:val="standardContextual"/>
              </w:rPr>
              <w:t>Initial decomposition temperature</w:t>
            </w:r>
          </w:p>
        </w:tc>
        <w:tc>
          <w:tcPr>
            <w:tcW w:w="1718" w:type="dxa"/>
            <w:tcMar>
              <w:top w:w="15" w:type="dxa"/>
              <w:left w:w="15" w:type="dxa"/>
              <w:bottom w:w="15" w:type="dxa"/>
              <w:right w:w="15" w:type="dxa"/>
            </w:tcMar>
            <w:vAlign w:val="center"/>
            <w:hideMark/>
          </w:tcPr>
          <w:p w14:paraId="4F84EB62"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~320°C</w:t>
            </w:r>
          </w:p>
        </w:tc>
        <w:tc>
          <w:tcPr>
            <w:tcW w:w="1955" w:type="dxa"/>
            <w:tcMar>
              <w:top w:w="15" w:type="dxa"/>
              <w:left w:w="15" w:type="dxa"/>
              <w:bottom w:w="15" w:type="dxa"/>
              <w:right w:w="15" w:type="dxa"/>
            </w:tcMar>
            <w:vAlign w:val="center"/>
            <w:hideMark/>
          </w:tcPr>
          <w:p w14:paraId="3946DF4D"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~340°C</w:t>
            </w:r>
          </w:p>
        </w:tc>
        <w:tc>
          <w:tcPr>
            <w:tcW w:w="1449" w:type="dxa"/>
            <w:tcMar>
              <w:top w:w="15" w:type="dxa"/>
              <w:left w:w="15" w:type="dxa"/>
              <w:bottom w:w="15" w:type="dxa"/>
              <w:right w:w="15" w:type="dxa"/>
            </w:tcMar>
            <w:vAlign w:val="center"/>
            <w:hideMark/>
          </w:tcPr>
          <w:p w14:paraId="6EF1587F"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~350°C</w:t>
            </w:r>
          </w:p>
        </w:tc>
      </w:tr>
      <w:tr w:rsidR="00761850" w:rsidRPr="007B6803" w14:paraId="01248C6E" w14:textId="77777777" w:rsidTr="00761850">
        <w:trPr>
          <w:trHeight w:val="570"/>
          <w:tblCellSpacing w:w="15" w:type="dxa"/>
        </w:trPr>
        <w:tc>
          <w:tcPr>
            <w:tcW w:w="3922" w:type="dxa"/>
            <w:tcMar>
              <w:top w:w="15" w:type="dxa"/>
              <w:left w:w="15" w:type="dxa"/>
              <w:bottom w:w="15" w:type="dxa"/>
              <w:right w:w="15" w:type="dxa"/>
            </w:tcMar>
            <w:vAlign w:val="center"/>
            <w:hideMark/>
          </w:tcPr>
          <w:p w14:paraId="28ECD525" w14:textId="77777777" w:rsidR="00761850" w:rsidRPr="007B6803" w:rsidRDefault="00761850" w:rsidP="00BD6A74">
            <w:pPr>
              <w:spacing w:after="0" w:line="240" w:lineRule="auto"/>
              <w:jc w:val="both"/>
              <w:rPr>
                <w:rFonts w:ascii="Arial" w:hAnsi="Arial" w:cs="Arial"/>
                <w:b/>
                <w:kern w:val="2"/>
                <w14:ligatures w14:val="standardContextual"/>
              </w:rPr>
            </w:pPr>
            <w:r w:rsidRPr="007B6803">
              <w:rPr>
                <w:rStyle w:val="Strong"/>
                <w:rFonts w:ascii="Arial" w:hAnsi="Arial" w:cs="Arial"/>
                <w:b w:val="0"/>
                <w:kern w:val="2"/>
                <w14:ligatures w14:val="standardContextual"/>
              </w:rPr>
              <w:t>Major weight loss range</w:t>
            </w:r>
          </w:p>
        </w:tc>
        <w:tc>
          <w:tcPr>
            <w:tcW w:w="1718" w:type="dxa"/>
            <w:tcMar>
              <w:top w:w="15" w:type="dxa"/>
              <w:left w:w="15" w:type="dxa"/>
              <w:bottom w:w="15" w:type="dxa"/>
              <w:right w:w="15" w:type="dxa"/>
            </w:tcMar>
            <w:vAlign w:val="center"/>
            <w:hideMark/>
          </w:tcPr>
          <w:p w14:paraId="20B9C6CF"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350-450°C</w:t>
            </w:r>
          </w:p>
        </w:tc>
        <w:tc>
          <w:tcPr>
            <w:tcW w:w="1955" w:type="dxa"/>
            <w:tcMar>
              <w:top w:w="15" w:type="dxa"/>
              <w:left w:w="15" w:type="dxa"/>
              <w:bottom w:w="15" w:type="dxa"/>
              <w:right w:w="15" w:type="dxa"/>
            </w:tcMar>
            <w:vAlign w:val="center"/>
            <w:hideMark/>
          </w:tcPr>
          <w:p w14:paraId="120CA8ED"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370-480°C</w:t>
            </w:r>
          </w:p>
        </w:tc>
        <w:tc>
          <w:tcPr>
            <w:tcW w:w="1449" w:type="dxa"/>
            <w:tcMar>
              <w:top w:w="15" w:type="dxa"/>
              <w:left w:w="15" w:type="dxa"/>
              <w:bottom w:w="15" w:type="dxa"/>
              <w:right w:w="15" w:type="dxa"/>
            </w:tcMar>
            <w:vAlign w:val="center"/>
            <w:hideMark/>
          </w:tcPr>
          <w:p w14:paraId="0AB948A5"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380-500°C</w:t>
            </w:r>
          </w:p>
        </w:tc>
      </w:tr>
      <w:tr w:rsidR="00761850" w:rsidRPr="007B6803" w14:paraId="58619D58" w14:textId="77777777" w:rsidTr="00761850">
        <w:trPr>
          <w:tblCellSpacing w:w="15" w:type="dxa"/>
        </w:trPr>
        <w:tc>
          <w:tcPr>
            <w:tcW w:w="3922" w:type="dxa"/>
            <w:tcMar>
              <w:top w:w="15" w:type="dxa"/>
              <w:left w:w="15" w:type="dxa"/>
              <w:bottom w:w="15" w:type="dxa"/>
              <w:right w:w="15" w:type="dxa"/>
            </w:tcMar>
            <w:vAlign w:val="center"/>
            <w:hideMark/>
          </w:tcPr>
          <w:p w14:paraId="722C0B0F" w14:textId="77777777" w:rsidR="00761850" w:rsidRPr="007B6803" w:rsidRDefault="00761850" w:rsidP="00BD6A74">
            <w:pPr>
              <w:spacing w:after="0" w:line="240" w:lineRule="auto"/>
              <w:jc w:val="both"/>
              <w:rPr>
                <w:rFonts w:ascii="Arial" w:hAnsi="Arial" w:cs="Arial"/>
                <w:b/>
                <w:kern w:val="2"/>
                <w14:ligatures w14:val="standardContextual"/>
              </w:rPr>
            </w:pPr>
            <w:r w:rsidRPr="007B6803">
              <w:rPr>
                <w:rStyle w:val="Strong"/>
                <w:rFonts w:ascii="Arial" w:hAnsi="Arial" w:cs="Arial"/>
                <w:b w:val="0"/>
                <w:kern w:val="2"/>
                <w14:ligatures w14:val="standardContextual"/>
              </w:rPr>
              <w:t>Residual mass (~950°C)</w:t>
            </w:r>
          </w:p>
        </w:tc>
        <w:tc>
          <w:tcPr>
            <w:tcW w:w="1718" w:type="dxa"/>
            <w:tcMar>
              <w:top w:w="15" w:type="dxa"/>
              <w:left w:w="15" w:type="dxa"/>
              <w:bottom w:w="15" w:type="dxa"/>
              <w:right w:w="15" w:type="dxa"/>
            </w:tcMar>
            <w:vAlign w:val="center"/>
            <w:hideMark/>
          </w:tcPr>
          <w:p w14:paraId="1EB13A02"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~15%</w:t>
            </w:r>
          </w:p>
        </w:tc>
        <w:tc>
          <w:tcPr>
            <w:tcW w:w="1955" w:type="dxa"/>
            <w:tcMar>
              <w:top w:w="15" w:type="dxa"/>
              <w:left w:w="15" w:type="dxa"/>
              <w:bottom w:w="15" w:type="dxa"/>
              <w:right w:w="15" w:type="dxa"/>
            </w:tcMar>
            <w:vAlign w:val="center"/>
            <w:hideMark/>
          </w:tcPr>
          <w:p w14:paraId="100B31FA"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~12%</w:t>
            </w:r>
          </w:p>
        </w:tc>
        <w:tc>
          <w:tcPr>
            <w:tcW w:w="1449" w:type="dxa"/>
            <w:tcMar>
              <w:top w:w="15" w:type="dxa"/>
              <w:left w:w="15" w:type="dxa"/>
              <w:bottom w:w="15" w:type="dxa"/>
              <w:right w:w="15" w:type="dxa"/>
            </w:tcMar>
            <w:vAlign w:val="center"/>
            <w:hideMark/>
          </w:tcPr>
          <w:p w14:paraId="1888EFBB"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~10%</w:t>
            </w:r>
          </w:p>
        </w:tc>
      </w:tr>
      <w:tr w:rsidR="00761850" w:rsidRPr="007B6803" w14:paraId="556D1F11" w14:textId="77777777" w:rsidTr="00761850">
        <w:trPr>
          <w:tblCellSpacing w:w="15" w:type="dxa"/>
        </w:trPr>
        <w:tc>
          <w:tcPr>
            <w:tcW w:w="3922" w:type="dxa"/>
            <w:tcMar>
              <w:top w:w="15" w:type="dxa"/>
              <w:left w:w="15" w:type="dxa"/>
              <w:bottom w:w="15" w:type="dxa"/>
              <w:right w:w="15" w:type="dxa"/>
            </w:tcMar>
            <w:vAlign w:val="center"/>
            <w:hideMark/>
          </w:tcPr>
          <w:p w14:paraId="33DE0C97" w14:textId="77777777" w:rsidR="00761850" w:rsidRPr="007B6803" w:rsidRDefault="00761850" w:rsidP="00BD6A74">
            <w:pPr>
              <w:spacing w:after="0" w:line="240" w:lineRule="auto"/>
              <w:jc w:val="both"/>
              <w:rPr>
                <w:rFonts w:ascii="Arial" w:hAnsi="Arial" w:cs="Arial"/>
                <w:b/>
                <w:kern w:val="2"/>
                <w14:ligatures w14:val="standardContextual"/>
              </w:rPr>
            </w:pPr>
            <w:r w:rsidRPr="007B6803">
              <w:rPr>
                <w:rStyle w:val="Strong"/>
                <w:rFonts w:ascii="Arial" w:hAnsi="Arial" w:cs="Arial"/>
                <w:b w:val="0"/>
                <w:kern w:val="2"/>
                <w14:ligatures w14:val="standardContextual"/>
              </w:rPr>
              <w:t>DTA peak temperature</w:t>
            </w:r>
          </w:p>
        </w:tc>
        <w:tc>
          <w:tcPr>
            <w:tcW w:w="1718" w:type="dxa"/>
            <w:tcMar>
              <w:top w:w="15" w:type="dxa"/>
              <w:left w:w="15" w:type="dxa"/>
              <w:bottom w:w="15" w:type="dxa"/>
              <w:right w:w="15" w:type="dxa"/>
            </w:tcMar>
            <w:vAlign w:val="center"/>
            <w:hideMark/>
          </w:tcPr>
          <w:p w14:paraId="6895CB9A"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~400°C</w:t>
            </w:r>
          </w:p>
        </w:tc>
        <w:tc>
          <w:tcPr>
            <w:tcW w:w="1955" w:type="dxa"/>
            <w:tcMar>
              <w:top w:w="15" w:type="dxa"/>
              <w:left w:w="15" w:type="dxa"/>
              <w:bottom w:w="15" w:type="dxa"/>
              <w:right w:w="15" w:type="dxa"/>
            </w:tcMar>
            <w:vAlign w:val="center"/>
            <w:hideMark/>
          </w:tcPr>
          <w:p w14:paraId="55B0CF7A"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~420°C</w:t>
            </w:r>
          </w:p>
        </w:tc>
        <w:tc>
          <w:tcPr>
            <w:tcW w:w="1449" w:type="dxa"/>
            <w:tcMar>
              <w:top w:w="15" w:type="dxa"/>
              <w:left w:w="15" w:type="dxa"/>
              <w:bottom w:w="15" w:type="dxa"/>
              <w:right w:w="15" w:type="dxa"/>
            </w:tcMar>
            <w:vAlign w:val="center"/>
            <w:hideMark/>
          </w:tcPr>
          <w:p w14:paraId="7B1450CF"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~430°C</w:t>
            </w:r>
          </w:p>
        </w:tc>
      </w:tr>
      <w:tr w:rsidR="00761850" w:rsidRPr="007B6803" w14:paraId="3D9D0029" w14:textId="77777777" w:rsidTr="00761850">
        <w:trPr>
          <w:tblCellSpacing w:w="15" w:type="dxa"/>
        </w:trPr>
        <w:tc>
          <w:tcPr>
            <w:tcW w:w="3922" w:type="dxa"/>
            <w:tcMar>
              <w:top w:w="15" w:type="dxa"/>
              <w:left w:w="15" w:type="dxa"/>
              <w:bottom w:w="15" w:type="dxa"/>
              <w:right w:w="15" w:type="dxa"/>
            </w:tcMar>
            <w:vAlign w:val="center"/>
            <w:hideMark/>
          </w:tcPr>
          <w:p w14:paraId="564DB168" w14:textId="77777777" w:rsidR="00761850" w:rsidRPr="007B6803" w:rsidRDefault="00761850" w:rsidP="00BD6A74">
            <w:pPr>
              <w:spacing w:after="0" w:line="240" w:lineRule="auto"/>
              <w:jc w:val="both"/>
              <w:rPr>
                <w:rFonts w:ascii="Arial" w:hAnsi="Arial" w:cs="Arial"/>
                <w:b/>
                <w:kern w:val="2"/>
                <w14:ligatures w14:val="standardContextual"/>
              </w:rPr>
            </w:pPr>
            <w:r w:rsidRPr="007B6803">
              <w:rPr>
                <w:rStyle w:val="Strong"/>
                <w:rFonts w:ascii="Arial" w:hAnsi="Arial" w:cs="Arial"/>
                <w:b w:val="0"/>
                <w:kern w:val="2"/>
                <w14:ligatures w14:val="standardContextual"/>
              </w:rPr>
              <w:t>Peak intensity (DTA Curve)</w:t>
            </w:r>
          </w:p>
        </w:tc>
        <w:tc>
          <w:tcPr>
            <w:tcW w:w="1718" w:type="dxa"/>
            <w:tcMar>
              <w:top w:w="15" w:type="dxa"/>
              <w:left w:w="15" w:type="dxa"/>
              <w:bottom w:w="15" w:type="dxa"/>
              <w:right w:w="15" w:type="dxa"/>
            </w:tcMar>
            <w:vAlign w:val="center"/>
            <w:hideMark/>
          </w:tcPr>
          <w:p w14:paraId="7D9BC1A3"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Strongest</w:t>
            </w:r>
          </w:p>
        </w:tc>
        <w:tc>
          <w:tcPr>
            <w:tcW w:w="1955" w:type="dxa"/>
            <w:tcMar>
              <w:top w:w="15" w:type="dxa"/>
              <w:left w:w="15" w:type="dxa"/>
              <w:bottom w:w="15" w:type="dxa"/>
              <w:right w:w="15" w:type="dxa"/>
            </w:tcMar>
            <w:vAlign w:val="center"/>
            <w:hideMark/>
          </w:tcPr>
          <w:p w14:paraId="5B6088C4"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Moderate</w:t>
            </w:r>
          </w:p>
        </w:tc>
        <w:tc>
          <w:tcPr>
            <w:tcW w:w="1449" w:type="dxa"/>
            <w:tcMar>
              <w:top w:w="15" w:type="dxa"/>
              <w:left w:w="15" w:type="dxa"/>
              <w:bottom w:w="15" w:type="dxa"/>
              <w:right w:w="15" w:type="dxa"/>
            </w:tcMar>
            <w:vAlign w:val="center"/>
            <w:hideMark/>
          </w:tcPr>
          <w:p w14:paraId="216BBF77" w14:textId="77777777" w:rsidR="00761850" w:rsidRPr="007B6803" w:rsidRDefault="00761850" w:rsidP="00BD6A74">
            <w:pPr>
              <w:spacing w:after="0" w:line="240" w:lineRule="auto"/>
              <w:jc w:val="both"/>
              <w:rPr>
                <w:rFonts w:ascii="Arial" w:hAnsi="Arial" w:cs="Arial"/>
                <w:kern w:val="2"/>
                <w14:ligatures w14:val="standardContextual"/>
              </w:rPr>
            </w:pPr>
            <w:r w:rsidRPr="007B6803">
              <w:rPr>
                <w:rFonts w:ascii="Arial" w:hAnsi="Arial" w:cs="Arial"/>
                <w:kern w:val="2"/>
                <w14:ligatures w14:val="standardContextual"/>
              </w:rPr>
              <w:t>Weakest</w:t>
            </w:r>
          </w:p>
        </w:tc>
      </w:tr>
    </w:tbl>
    <w:p w14:paraId="4B1C0D1F"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 xml:space="preserve">The enhanced stability of DE/PAS is attributed to crosslinking between functional groups in DE (aromatic esters, ethers, O–H, C=O, C=C, etc.) and silanol (Si–OH) groups on PAS, forming strong covalent Si–O–Si linkages. This crosslinking improves mechanical integrity and thermal resistance. SEM micrographs further confirmed surface modification and grafting of DE onto PAS. Similar improvements in hybrid systems have been reported in previous studies (Sharma et al., 2017; Zhang et al., 2009; </w:t>
      </w:r>
      <w:proofErr w:type="spellStart"/>
      <w:r w:rsidRPr="007B6803">
        <w:rPr>
          <w:rFonts w:ascii="Arial" w:hAnsi="Arial" w:cs="Arial"/>
          <w:sz w:val="22"/>
          <w:szCs w:val="22"/>
        </w:rPr>
        <w:t>Krispyna</w:t>
      </w:r>
      <w:proofErr w:type="spellEnd"/>
      <w:r w:rsidRPr="007B6803">
        <w:rPr>
          <w:rFonts w:ascii="Arial" w:hAnsi="Arial" w:cs="Arial"/>
          <w:sz w:val="22"/>
          <w:szCs w:val="22"/>
        </w:rPr>
        <w:t xml:space="preserve"> et al., 2017; Subramanian et al., 2017).</w:t>
      </w:r>
    </w:p>
    <w:p w14:paraId="0E302B24" w14:textId="77777777" w:rsidR="001507BB" w:rsidRPr="007B6803" w:rsidRDefault="001507BB" w:rsidP="001507BB">
      <w:pPr>
        <w:pStyle w:val="Heading3"/>
        <w:jc w:val="both"/>
        <w:rPr>
          <w:rFonts w:ascii="Arial" w:hAnsi="Arial" w:cs="Arial"/>
          <w:sz w:val="22"/>
          <w:szCs w:val="22"/>
        </w:rPr>
      </w:pPr>
      <w:r w:rsidRPr="007B6803">
        <w:rPr>
          <w:rFonts w:ascii="Arial" w:hAnsi="Arial" w:cs="Arial"/>
          <w:sz w:val="22"/>
          <w:szCs w:val="22"/>
        </w:rPr>
        <w:t>Conclusion</w:t>
      </w:r>
    </w:p>
    <w:p w14:paraId="68F3C57D"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lastRenderedPageBreak/>
        <w:t xml:space="preserve">The thermal performance of bio-based silica nanocomposites combining </w:t>
      </w:r>
      <w:proofErr w:type="spellStart"/>
      <w:r w:rsidRPr="007B6803">
        <w:rPr>
          <w:rStyle w:val="Emphasis"/>
          <w:rFonts w:ascii="Arial" w:hAnsi="Arial" w:cs="Arial"/>
          <w:sz w:val="22"/>
          <w:szCs w:val="22"/>
        </w:rPr>
        <w:t>Dacryodes</w:t>
      </w:r>
      <w:proofErr w:type="spellEnd"/>
      <w:r w:rsidRPr="007B6803">
        <w:rPr>
          <w:rStyle w:val="Emphasis"/>
          <w:rFonts w:ascii="Arial" w:hAnsi="Arial" w:cs="Arial"/>
          <w:sz w:val="22"/>
          <w:szCs w:val="22"/>
        </w:rPr>
        <w:t xml:space="preserve"> edulis</w:t>
      </w:r>
      <w:r w:rsidRPr="007B6803">
        <w:rPr>
          <w:rFonts w:ascii="Arial" w:hAnsi="Arial" w:cs="Arial"/>
          <w:sz w:val="22"/>
          <w:szCs w:val="22"/>
        </w:rPr>
        <w:t xml:space="preserve"> extract (DE) and precipitated amorphous silica (PAS) demonstrated that the DE/PAS hybrid offers substantially enhanced thermal stability. The hybrid’s degradation onset (~350 °C) occurs at higher temperatures compared to PAS (~340 °C) and DE (~320 °C), with a delayed and more controlled weight loss within 300–500 °C, and a subdued DTA peak (~430 °C). In contrast, DE exhibited the most abrupt decomposition and strongest DTA response, </w:t>
      </w:r>
      <w:proofErr w:type="spellStart"/>
      <w:r w:rsidRPr="007B6803">
        <w:rPr>
          <w:rFonts w:ascii="Arial" w:hAnsi="Arial" w:cs="Arial"/>
          <w:sz w:val="22"/>
          <w:szCs w:val="22"/>
        </w:rPr>
        <w:t>signaling</w:t>
      </w:r>
      <w:proofErr w:type="spellEnd"/>
      <w:r w:rsidRPr="007B6803">
        <w:rPr>
          <w:rFonts w:ascii="Arial" w:hAnsi="Arial" w:cs="Arial"/>
          <w:sz w:val="22"/>
          <w:szCs w:val="22"/>
        </w:rPr>
        <w:t xml:space="preserve"> rapid organic breakdown. These observations align with findings from organic–inorganic hybrid coatings, where covalent linkage between phases (as in Class II systems) markedly improves thermal resistance and modulus through enhanced interfacial bonding</w:t>
      </w:r>
      <w:r w:rsidR="004C5FD5" w:rsidRPr="007B6803">
        <w:rPr>
          <w:rStyle w:val="max-w-full"/>
          <w:rFonts w:ascii="Arial" w:hAnsi="Arial" w:cs="Arial"/>
          <w:sz w:val="22"/>
          <w:szCs w:val="22"/>
          <w:u w:val="single"/>
        </w:rPr>
        <w:t>.</w:t>
      </w:r>
      <w:r w:rsidR="00167D3F" w:rsidRPr="007B6803">
        <w:rPr>
          <w:rStyle w:val="max-w-full"/>
          <w:rFonts w:ascii="Arial" w:hAnsi="Arial" w:cs="Arial"/>
          <w:sz w:val="22"/>
          <w:szCs w:val="22"/>
          <w:u w:val="single"/>
        </w:rPr>
        <w:t>[45]</w:t>
      </w:r>
    </w:p>
    <w:p w14:paraId="6AEC3C33" w14:textId="77777777" w:rsidR="001507BB" w:rsidRPr="007B6803" w:rsidRDefault="001507BB" w:rsidP="001507BB">
      <w:pPr>
        <w:pStyle w:val="NormalWeb"/>
        <w:jc w:val="both"/>
        <w:rPr>
          <w:rFonts w:ascii="Arial" w:hAnsi="Arial" w:cs="Arial"/>
          <w:sz w:val="22"/>
          <w:szCs w:val="22"/>
        </w:rPr>
      </w:pPr>
      <w:r w:rsidRPr="007B6803">
        <w:rPr>
          <w:rFonts w:ascii="Arial" w:hAnsi="Arial" w:cs="Arial"/>
          <w:sz w:val="22"/>
          <w:szCs w:val="22"/>
        </w:rPr>
        <w:t xml:space="preserve">SEM analysis confirmed a rough, grafted surface indicating robust interfacial bonding—consistent with improved mechanical strength and adhesion reported in other functional hybrid coating systems </w:t>
      </w:r>
    </w:p>
    <w:p w14:paraId="03CE7109" w14:textId="77777777" w:rsidR="001507BB" w:rsidRPr="007B6803" w:rsidRDefault="001507BB" w:rsidP="001507BB">
      <w:pPr>
        <w:pStyle w:val="NormalWeb"/>
        <w:jc w:val="both"/>
        <w:rPr>
          <w:rFonts w:ascii="Arial" w:hAnsi="Arial" w:cs="Arial"/>
          <w:b/>
          <w:sz w:val="22"/>
          <w:szCs w:val="22"/>
        </w:rPr>
      </w:pPr>
      <w:r w:rsidRPr="007B6803">
        <w:rPr>
          <w:rFonts w:ascii="Arial" w:hAnsi="Arial" w:cs="Arial"/>
          <w:sz w:val="22"/>
          <w:szCs w:val="22"/>
        </w:rPr>
        <w:t xml:space="preserve">Because of its elevated thermal resistance and controlled degradation, the DE/PAS hybrid holds strong potential as an eco-friendly additive in high-performance coatings—offering anti-sagging, scratch resistance, and corrosion protection, while avoiding hazardous additives like chromium. This aligns with growing literature emphasizing the need for </w:t>
      </w:r>
      <w:r w:rsidRPr="007B6803">
        <w:rPr>
          <w:rStyle w:val="Strong"/>
          <w:rFonts w:ascii="Arial" w:hAnsi="Arial" w:cs="Arial"/>
          <w:b w:val="0"/>
          <w:sz w:val="22"/>
          <w:szCs w:val="22"/>
        </w:rPr>
        <w:t>sustainable bio-based functional additives</w:t>
      </w:r>
      <w:r w:rsidRPr="007B6803">
        <w:rPr>
          <w:rFonts w:ascii="Arial" w:hAnsi="Arial" w:cs="Arial"/>
          <w:b/>
          <w:sz w:val="22"/>
          <w:szCs w:val="22"/>
        </w:rPr>
        <w:t xml:space="preserve"> </w:t>
      </w:r>
      <w:r w:rsidRPr="007B6803">
        <w:rPr>
          <w:rFonts w:ascii="Arial" w:hAnsi="Arial" w:cs="Arial"/>
          <w:sz w:val="22"/>
          <w:szCs w:val="22"/>
        </w:rPr>
        <w:t xml:space="preserve">in coatings with multifunctional </w:t>
      </w:r>
      <w:proofErr w:type="gramStart"/>
      <w:r w:rsidRPr="007B6803">
        <w:rPr>
          <w:rFonts w:ascii="Arial" w:hAnsi="Arial" w:cs="Arial"/>
          <w:sz w:val="22"/>
          <w:szCs w:val="22"/>
        </w:rPr>
        <w:t>properties</w:t>
      </w:r>
      <w:r w:rsidR="004C5FD5" w:rsidRPr="007B6803">
        <w:rPr>
          <w:rFonts w:ascii="Arial" w:hAnsi="Arial" w:cs="Arial"/>
          <w:sz w:val="22"/>
          <w:szCs w:val="22"/>
        </w:rPr>
        <w:t>[</w:t>
      </w:r>
      <w:proofErr w:type="gramEnd"/>
      <w:r w:rsidR="004C5FD5" w:rsidRPr="007B6803">
        <w:rPr>
          <w:rFonts w:ascii="Arial" w:hAnsi="Arial" w:cs="Arial"/>
          <w:sz w:val="22"/>
          <w:szCs w:val="22"/>
        </w:rPr>
        <w:t>43-45].</w:t>
      </w:r>
    </w:p>
    <w:p w14:paraId="21D3072A" w14:textId="77777777" w:rsidR="004C5FD5" w:rsidRPr="007B6803" w:rsidRDefault="001507BB" w:rsidP="002F57F6">
      <w:pPr>
        <w:pStyle w:val="NormalWeb"/>
        <w:jc w:val="both"/>
        <w:rPr>
          <w:rStyle w:val="max-w-full"/>
          <w:rFonts w:ascii="Arial" w:hAnsi="Arial" w:cs="Arial"/>
          <w:sz w:val="22"/>
          <w:szCs w:val="22"/>
          <w:u w:val="single"/>
        </w:rPr>
      </w:pPr>
      <w:r w:rsidRPr="007B6803">
        <w:rPr>
          <w:rFonts w:ascii="Arial" w:hAnsi="Arial" w:cs="Arial"/>
          <w:sz w:val="22"/>
          <w:szCs w:val="22"/>
        </w:rPr>
        <w:t>Beyond coatings, these findings pave the way for broader applications of bio-based hybrids in fields such as water purification, heavy metal sequestration, energy storage, and biomedical systems—areas increasingly explored in recent research on sustainable hybrid nanocomposites</w:t>
      </w:r>
      <w:r w:rsidR="004C5FD5" w:rsidRPr="007B6803">
        <w:rPr>
          <w:rStyle w:val="max-w-full"/>
          <w:rFonts w:ascii="Arial" w:hAnsi="Arial" w:cs="Arial"/>
          <w:sz w:val="22"/>
          <w:szCs w:val="22"/>
          <w:u w:val="single"/>
        </w:rPr>
        <w:t xml:space="preserve"> [42-43]</w:t>
      </w:r>
    </w:p>
    <w:p w14:paraId="0BF442AF" w14:textId="37858733" w:rsidR="001F2B1E" w:rsidRPr="007B6803" w:rsidRDefault="00B46FBF" w:rsidP="002F57F6">
      <w:pPr>
        <w:pStyle w:val="NormalWeb"/>
        <w:jc w:val="both"/>
        <w:rPr>
          <w:rStyle w:val="max-w-full"/>
          <w:rFonts w:ascii="Arial" w:hAnsi="Arial" w:cs="Arial"/>
          <w:sz w:val="22"/>
          <w:szCs w:val="22"/>
          <w:u w:val="single"/>
        </w:rPr>
      </w:pPr>
      <w:r w:rsidRPr="007B6803">
        <w:rPr>
          <w:rStyle w:val="max-w-full"/>
          <w:rFonts w:ascii="Arial" w:hAnsi="Arial" w:cs="Arial"/>
          <w:sz w:val="22"/>
          <w:szCs w:val="22"/>
          <w:highlight w:val="yellow"/>
          <w:u w:val="single"/>
        </w:rPr>
        <w:t>However</w:t>
      </w:r>
      <w:proofErr w:type="gramStart"/>
      <w:r w:rsidRPr="007B6803">
        <w:rPr>
          <w:rStyle w:val="max-w-full"/>
          <w:rFonts w:ascii="Arial" w:hAnsi="Arial" w:cs="Arial"/>
          <w:sz w:val="22"/>
          <w:szCs w:val="22"/>
          <w:highlight w:val="yellow"/>
          <w:u w:val="single"/>
        </w:rPr>
        <w:t>, ,further</w:t>
      </w:r>
      <w:proofErr w:type="gramEnd"/>
      <w:r w:rsidR="001F2B1E" w:rsidRPr="007B6803">
        <w:rPr>
          <w:rStyle w:val="max-w-full"/>
          <w:rFonts w:ascii="Arial" w:hAnsi="Arial" w:cs="Arial"/>
          <w:sz w:val="22"/>
          <w:szCs w:val="22"/>
          <w:highlight w:val="yellow"/>
          <w:u w:val="single"/>
        </w:rPr>
        <w:t xml:space="preserve"> research</w:t>
      </w:r>
      <w:r w:rsidRPr="007B6803">
        <w:rPr>
          <w:rStyle w:val="max-w-full"/>
          <w:rFonts w:ascii="Arial" w:hAnsi="Arial" w:cs="Arial"/>
          <w:sz w:val="22"/>
          <w:szCs w:val="22"/>
          <w:highlight w:val="yellow"/>
          <w:u w:val="single"/>
        </w:rPr>
        <w:t>es</w:t>
      </w:r>
      <w:r w:rsidR="001F2B1E" w:rsidRPr="007B6803">
        <w:rPr>
          <w:rStyle w:val="max-w-full"/>
          <w:rFonts w:ascii="Arial" w:hAnsi="Arial" w:cs="Arial"/>
          <w:sz w:val="22"/>
          <w:szCs w:val="22"/>
          <w:highlight w:val="yellow"/>
          <w:u w:val="single"/>
        </w:rPr>
        <w:t xml:space="preserve"> can be channelled on </w:t>
      </w:r>
      <w:r w:rsidRPr="007B6803">
        <w:rPr>
          <w:rStyle w:val="max-w-full"/>
          <w:rFonts w:ascii="Arial" w:hAnsi="Arial" w:cs="Arial"/>
          <w:sz w:val="22"/>
          <w:szCs w:val="22"/>
          <w:highlight w:val="yellow"/>
          <w:u w:val="single"/>
        </w:rPr>
        <w:t>e</w:t>
      </w:r>
      <w:r w:rsidR="007B6803" w:rsidRPr="007B6803">
        <w:rPr>
          <w:rStyle w:val="max-w-full"/>
          <w:rFonts w:ascii="Arial" w:hAnsi="Arial" w:cs="Arial"/>
          <w:sz w:val="22"/>
          <w:szCs w:val="22"/>
          <w:highlight w:val="yellow"/>
          <w:u w:val="single"/>
        </w:rPr>
        <w:t>xploring the effect</w:t>
      </w:r>
      <w:r w:rsidRPr="007B6803">
        <w:rPr>
          <w:rStyle w:val="max-w-full"/>
          <w:rFonts w:ascii="Arial" w:hAnsi="Arial" w:cs="Arial"/>
          <w:sz w:val="22"/>
          <w:szCs w:val="22"/>
          <w:highlight w:val="yellow"/>
          <w:u w:val="single"/>
        </w:rPr>
        <w:t xml:space="preserve"> of surface modification and functionalization on the properties of nano composites, and developing new methods to enhance their performance. </w:t>
      </w:r>
      <w:r w:rsidR="001F2B1E" w:rsidRPr="007B6803">
        <w:rPr>
          <w:rStyle w:val="max-w-full"/>
          <w:rFonts w:ascii="Arial" w:hAnsi="Arial" w:cs="Arial"/>
          <w:sz w:val="22"/>
          <w:szCs w:val="22"/>
          <w:highlight w:val="yellow"/>
          <w:u w:val="single"/>
        </w:rPr>
        <w:t xml:space="preserve">More so, </w:t>
      </w:r>
      <w:r w:rsidR="00A0305C" w:rsidRPr="007B6803">
        <w:rPr>
          <w:rStyle w:val="max-w-full"/>
          <w:rFonts w:ascii="Arial" w:hAnsi="Arial" w:cs="Arial"/>
          <w:sz w:val="22"/>
          <w:szCs w:val="22"/>
          <w:highlight w:val="yellow"/>
          <w:u w:val="single"/>
        </w:rPr>
        <w:t xml:space="preserve">future </w:t>
      </w:r>
      <w:r w:rsidR="001F2B1E" w:rsidRPr="007B6803">
        <w:rPr>
          <w:rStyle w:val="max-w-full"/>
          <w:rFonts w:ascii="Arial" w:hAnsi="Arial" w:cs="Arial"/>
          <w:sz w:val="22"/>
          <w:szCs w:val="22"/>
          <w:highlight w:val="yellow"/>
          <w:u w:val="single"/>
        </w:rPr>
        <w:t xml:space="preserve">studies can be geared into designing hybrid materials which can combine the benefit of </w:t>
      </w:r>
      <w:r w:rsidRPr="007B6803">
        <w:rPr>
          <w:rStyle w:val="max-w-full"/>
          <w:rFonts w:ascii="Arial" w:hAnsi="Arial" w:cs="Arial"/>
          <w:sz w:val="22"/>
          <w:szCs w:val="22"/>
          <w:highlight w:val="yellow"/>
          <w:u w:val="single"/>
        </w:rPr>
        <w:t xml:space="preserve">organic/inorganic </w:t>
      </w:r>
      <w:r w:rsidR="001F2B1E" w:rsidRPr="007B6803">
        <w:rPr>
          <w:rStyle w:val="max-w-full"/>
          <w:rFonts w:ascii="Arial" w:hAnsi="Arial" w:cs="Arial"/>
          <w:sz w:val="22"/>
          <w:szCs w:val="22"/>
          <w:highlight w:val="yellow"/>
          <w:u w:val="single"/>
        </w:rPr>
        <w:t xml:space="preserve">components such as conductive polymers and metal </w:t>
      </w:r>
      <w:proofErr w:type="gramStart"/>
      <w:r w:rsidR="001F2B1E" w:rsidRPr="007B6803">
        <w:rPr>
          <w:rStyle w:val="max-w-full"/>
          <w:rFonts w:ascii="Arial" w:hAnsi="Arial" w:cs="Arial"/>
          <w:sz w:val="22"/>
          <w:szCs w:val="22"/>
          <w:highlight w:val="yellow"/>
          <w:u w:val="single"/>
        </w:rPr>
        <w:t>oxides</w:t>
      </w:r>
      <w:r w:rsidRPr="007B6803">
        <w:rPr>
          <w:rStyle w:val="max-w-full"/>
          <w:rFonts w:ascii="Arial" w:hAnsi="Arial" w:cs="Arial"/>
          <w:sz w:val="22"/>
          <w:szCs w:val="22"/>
          <w:u w:val="single"/>
        </w:rPr>
        <w:t>..</w:t>
      </w:r>
      <w:proofErr w:type="gramEnd"/>
      <w:r w:rsidR="001F2B1E" w:rsidRPr="007B6803">
        <w:rPr>
          <w:rStyle w:val="max-w-full"/>
          <w:rFonts w:ascii="Arial" w:hAnsi="Arial" w:cs="Arial"/>
          <w:sz w:val="22"/>
          <w:szCs w:val="22"/>
          <w:u w:val="single"/>
        </w:rPr>
        <w:t xml:space="preserve">  </w:t>
      </w:r>
    </w:p>
    <w:p w14:paraId="65E9420B" w14:textId="77777777" w:rsidR="00731840" w:rsidRPr="007B6803" w:rsidRDefault="00731840" w:rsidP="002F57F6">
      <w:pPr>
        <w:pStyle w:val="NormalWeb"/>
        <w:jc w:val="both"/>
        <w:rPr>
          <w:rStyle w:val="max-w-full"/>
          <w:rFonts w:ascii="Arial" w:hAnsi="Arial" w:cs="Arial"/>
          <w:b/>
          <w:sz w:val="22"/>
          <w:szCs w:val="22"/>
        </w:rPr>
      </w:pPr>
      <w:r w:rsidRPr="007B6803">
        <w:rPr>
          <w:rStyle w:val="max-w-full"/>
          <w:rFonts w:ascii="Arial" w:hAnsi="Arial" w:cs="Arial"/>
          <w:b/>
          <w:sz w:val="22"/>
          <w:szCs w:val="22"/>
        </w:rPr>
        <w:t xml:space="preserve">Conflict of interest </w:t>
      </w:r>
    </w:p>
    <w:p w14:paraId="4097891F" w14:textId="77777777" w:rsidR="00731840" w:rsidRDefault="00731840" w:rsidP="002F57F6">
      <w:pPr>
        <w:pStyle w:val="NormalWeb"/>
        <w:jc w:val="both"/>
        <w:rPr>
          <w:rStyle w:val="max-w-full"/>
          <w:rFonts w:ascii="Arial" w:hAnsi="Arial" w:cs="Arial"/>
          <w:sz w:val="22"/>
          <w:szCs w:val="22"/>
        </w:rPr>
      </w:pPr>
      <w:r w:rsidRPr="007B6803">
        <w:rPr>
          <w:rStyle w:val="max-w-full"/>
          <w:rFonts w:ascii="Arial" w:hAnsi="Arial" w:cs="Arial"/>
          <w:sz w:val="22"/>
          <w:szCs w:val="22"/>
        </w:rPr>
        <w:t>Non applicable</w:t>
      </w:r>
    </w:p>
    <w:p w14:paraId="494B356C" w14:textId="67F05755" w:rsidR="00EB309A" w:rsidRPr="00EB309A" w:rsidRDefault="00211639" w:rsidP="00EB309A">
      <w:pPr>
        <w:pStyle w:val="NormalWeb"/>
        <w:jc w:val="both"/>
        <w:rPr>
          <w:rFonts w:ascii="Arial" w:hAnsi="Arial" w:cs="Arial"/>
          <w:sz w:val="22"/>
          <w:szCs w:val="22"/>
        </w:rPr>
      </w:pPr>
      <w:r w:rsidRPr="00211639">
        <w:rPr>
          <w:rStyle w:val="max-w-full"/>
          <w:rFonts w:ascii="Arial" w:hAnsi="Arial" w:cs="Arial"/>
          <w:sz w:val="22"/>
          <w:szCs w:val="22"/>
        </w:rPr>
        <w:t>Disclaimer (Artificial intelligence)</w:t>
      </w:r>
      <w:bookmarkStart w:id="0" w:name="_GoBack"/>
      <w:bookmarkEnd w:id="0"/>
    </w:p>
    <w:p w14:paraId="480ED8F1" w14:textId="5EC107DC" w:rsidR="00EB309A" w:rsidRPr="00EB309A" w:rsidRDefault="00EB309A" w:rsidP="00EB309A">
      <w:pPr>
        <w:rPr>
          <w:rStyle w:val="max-w-full"/>
          <w:rFonts w:ascii="Calibri" w:eastAsia="Calibri" w:hAnsi="Calibri" w:cs="Times New Roman"/>
          <w:kern w:val="2"/>
          <w:highlight w:val="yellow"/>
          <w:lang w:val="en-US"/>
        </w:rPr>
      </w:pPr>
      <w:bookmarkStart w:id="1" w:name="_Hlk197682619"/>
      <w:bookmarkStart w:id="2" w:name="_Hlk180402183"/>
      <w:bookmarkStart w:id="3" w:name="_Hlk183680988"/>
      <w:bookmarkStart w:id="4" w:name="_Hlk197351200"/>
      <w:r w:rsidRPr="007B6803">
        <w:rPr>
          <w:rFonts w:ascii="Calibri" w:eastAsia="Calibri" w:hAnsi="Calibri" w:cs="Times New Roman"/>
          <w:kern w:val="2"/>
          <w:highlight w:val="yellow"/>
          <w:lang w:val="en-US"/>
        </w:rPr>
        <w:t>Author(s) hereby declare that NO generative AI technologies such as Large Language Models (</w:t>
      </w:r>
      <w:proofErr w:type="spellStart"/>
      <w:r w:rsidRPr="007B6803">
        <w:rPr>
          <w:rFonts w:ascii="Calibri" w:eastAsia="Calibri" w:hAnsi="Calibri" w:cs="Times New Roman"/>
          <w:kern w:val="2"/>
          <w:highlight w:val="yellow"/>
          <w:lang w:val="en-US"/>
        </w:rPr>
        <w:t>ChatGPT</w:t>
      </w:r>
      <w:proofErr w:type="spellEnd"/>
      <w:r w:rsidRPr="007B6803">
        <w:rPr>
          <w:rFonts w:ascii="Calibri" w:eastAsia="Calibri" w:hAnsi="Calibri" w:cs="Times New Roman"/>
          <w:kern w:val="2"/>
          <w:highlight w:val="yellow"/>
          <w:lang w:val="en-US"/>
        </w:rPr>
        <w:t xml:space="preserve">, COPILOT, etc.) and text-to-image generators have been used during the writing or editing of this manuscript. </w:t>
      </w:r>
      <w:bookmarkEnd w:id="1"/>
      <w:bookmarkEnd w:id="2"/>
      <w:bookmarkEnd w:id="3"/>
      <w:bookmarkEnd w:id="4"/>
    </w:p>
    <w:p w14:paraId="3E023909" w14:textId="77777777" w:rsidR="009802C9" w:rsidRPr="007B6803" w:rsidRDefault="004C5FD5" w:rsidP="004C5FD5">
      <w:pPr>
        <w:spacing w:before="100" w:beforeAutospacing="1" w:after="100" w:afterAutospacing="1" w:line="240" w:lineRule="auto"/>
        <w:jc w:val="both"/>
        <w:rPr>
          <w:rFonts w:ascii="Arial" w:eastAsia="Times New Roman" w:hAnsi="Arial" w:cs="Arial"/>
          <w:lang w:eastAsia="en-GB"/>
        </w:rPr>
      </w:pPr>
      <w:r w:rsidRPr="007B6803">
        <w:rPr>
          <w:rFonts w:ascii="Arial" w:eastAsia="Times New Roman" w:hAnsi="Arial" w:cs="Arial"/>
          <w:lang w:eastAsia="en-GB"/>
        </w:rPr>
        <w:t>References</w:t>
      </w:r>
    </w:p>
    <w:p w14:paraId="6AA24021" w14:textId="77777777" w:rsidR="00CE768F" w:rsidRPr="007B6803" w:rsidRDefault="00CE768F" w:rsidP="00CE768F">
      <w:pPr>
        <w:pStyle w:val="ListParagraph"/>
        <w:numPr>
          <w:ilvl w:val="0"/>
          <w:numId w:val="2"/>
        </w:numPr>
        <w:spacing w:after="0"/>
        <w:jc w:val="both"/>
        <w:rPr>
          <w:rFonts w:ascii="Arial" w:eastAsia="Times New Roman" w:hAnsi="Arial" w:cs="Arial"/>
          <w:lang w:eastAsia="en-GB"/>
        </w:rPr>
      </w:pPr>
      <w:r w:rsidRPr="007B6803">
        <w:rPr>
          <w:rFonts w:ascii="Arial" w:eastAsia="Times New Roman" w:hAnsi="Arial" w:cs="Arial"/>
          <w:lang w:eastAsia="en-GB"/>
        </w:rPr>
        <w:t xml:space="preserve">Sánchez, C., Julián, B., Belleville, P., &amp; </w:t>
      </w:r>
      <w:proofErr w:type="spellStart"/>
      <w:r w:rsidRPr="007B6803">
        <w:rPr>
          <w:rFonts w:ascii="Arial" w:eastAsia="Times New Roman" w:hAnsi="Arial" w:cs="Arial"/>
          <w:lang w:eastAsia="en-GB"/>
        </w:rPr>
        <w:t>Popall</w:t>
      </w:r>
      <w:proofErr w:type="spellEnd"/>
      <w:r w:rsidRPr="007B6803">
        <w:rPr>
          <w:rFonts w:ascii="Arial" w:eastAsia="Times New Roman" w:hAnsi="Arial" w:cs="Arial"/>
          <w:lang w:eastAsia="en-GB"/>
        </w:rPr>
        <w:t>, M. (2005). Applications of hybrid organic–inorganic</w:t>
      </w:r>
    </w:p>
    <w:p w14:paraId="6D8321EE" w14:textId="77777777" w:rsidR="00CE768F" w:rsidRPr="007B6803" w:rsidRDefault="00CE768F" w:rsidP="00CE768F">
      <w:pPr>
        <w:spacing w:after="0"/>
        <w:ind w:left="720"/>
        <w:jc w:val="both"/>
        <w:rPr>
          <w:rFonts w:ascii="Arial" w:eastAsia="Times New Roman" w:hAnsi="Arial" w:cs="Arial"/>
          <w:lang w:eastAsia="en-GB"/>
        </w:rPr>
      </w:pPr>
      <w:r w:rsidRPr="007B6803">
        <w:rPr>
          <w:rFonts w:ascii="Arial" w:eastAsia="Times New Roman" w:hAnsi="Arial" w:cs="Arial"/>
          <w:lang w:eastAsia="en-GB"/>
        </w:rPr>
        <w:t xml:space="preserve">nanocomposites. </w:t>
      </w:r>
      <w:r w:rsidRPr="007B6803">
        <w:rPr>
          <w:rFonts w:ascii="Arial" w:eastAsia="Times New Roman" w:hAnsi="Arial" w:cs="Arial"/>
          <w:i/>
          <w:iCs/>
          <w:lang w:eastAsia="en-GB"/>
        </w:rPr>
        <w:t>Journal of Materials Chemistry, 15</w:t>
      </w:r>
      <w:r w:rsidRPr="007B6803">
        <w:rPr>
          <w:rFonts w:ascii="Arial" w:eastAsia="Times New Roman" w:hAnsi="Arial" w:cs="Arial"/>
          <w:lang w:eastAsia="en-GB"/>
        </w:rPr>
        <w:t xml:space="preserve">(35–36), 3559–3592. </w:t>
      </w:r>
      <w:hyperlink r:id="rId19" w:history="1">
        <w:r w:rsidRPr="007B6803">
          <w:rPr>
            <w:rStyle w:val="Hyperlink"/>
            <w:rFonts w:ascii="Arial" w:hAnsi="Arial" w:cs="Arial"/>
          </w:rPr>
          <w:t>https://doi.org/10.1039/B509097K</w:t>
        </w:r>
      </w:hyperlink>
    </w:p>
    <w:p w14:paraId="5AB98F89" w14:textId="77777777"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 xml:space="preserve">    2</w:t>
      </w:r>
      <w:r w:rsidRPr="007B6803">
        <w:rPr>
          <w:rFonts w:ascii="Arial" w:eastAsia="Times New Roman" w:hAnsi="Arial" w:cs="Arial"/>
          <w:lang w:eastAsia="en-GB"/>
        </w:rPr>
        <w:tab/>
      </w:r>
      <w:proofErr w:type="spellStart"/>
      <w:r w:rsidRPr="007B6803">
        <w:rPr>
          <w:rFonts w:ascii="Arial" w:eastAsia="Times New Roman" w:hAnsi="Arial" w:cs="Arial"/>
          <w:lang w:eastAsia="en-GB"/>
        </w:rPr>
        <w:t>Kickelbick</w:t>
      </w:r>
      <w:proofErr w:type="spellEnd"/>
      <w:r w:rsidRPr="007B6803">
        <w:rPr>
          <w:rFonts w:ascii="Arial" w:eastAsia="Times New Roman" w:hAnsi="Arial" w:cs="Arial"/>
          <w:lang w:eastAsia="en-GB"/>
        </w:rPr>
        <w:t xml:space="preserve">, G. (2007). </w:t>
      </w:r>
      <w:r w:rsidRPr="007B6803">
        <w:rPr>
          <w:rFonts w:ascii="Arial" w:eastAsia="Times New Roman" w:hAnsi="Arial" w:cs="Arial"/>
          <w:i/>
          <w:iCs/>
          <w:lang w:eastAsia="en-GB"/>
        </w:rPr>
        <w:t>Hybrid Materials: Synthesis, Characterization, and Applications</w:t>
      </w:r>
      <w:r w:rsidRPr="007B6803">
        <w:rPr>
          <w:rFonts w:ascii="Arial" w:eastAsia="Times New Roman" w:hAnsi="Arial" w:cs="Arial"/>
          <w:lang w:eastAsia="en-GB"/>
        </w:rPr>
        <w:t>. Wiley-VCH. https://doi.org/10.1002/9783527610485</w:t>
      </w:r>
    </w:p>
    <w:p w14:paraId="1BC46026" w14:textId="77777777" w:rsidR="00CE768F" w:rsidRPr="007B6803" w:rsidRDefault="00CE768F" w:rsidP="00CE768F">
      <w:pPr>
        <w:spacing w:after="0"/>
        <w:ind w:left="720" w:hanging="480"/>
        <w:jc w:val="both"/>
        <w:rPr>
          <w:rFonts w:ascii="Arial" w:eastAsia="Times New Roman" w:hAnsi="Arial" w:cs="Arial"/>
          <w:lang w:eastAsia="en-GB"/>
        </w:rPr>
      </w:pPr>
      <w:r w:rsidRPr="007B6803">
        <w:rPr>
          <w:rFonts w:ascii="Arial" w:eastAsia="Times New Roman" w:hAnsi="Arial" w:cs="Arial"/>
          <w:lang w:eastAsia="en-GB"/>
        </w:rPr>
        <w:t xml:space="preserve">3 </w:t>
      </w:r>
      <w:r w:rsidRPr="007B6803">
        <w:rPr>
          <w:rFonts w:ascii="Arial" w:eastAsia="Times New Roman" w:hAnsi="Arial" w:cs="Arial"/>
          <w:lang w:eastAsia="en-GB"/>
        </w:rPr>
        <w:tab/>
        <w:t xml:space="preserve">Barkalow, R.H. (1990). Precipitated silica: properties and applications. </w:t>
      </w:r>
      <w:r w:rsidRPr="007B6803">
        <w:rPr>
          <w:rFonts w:ascii="Arial" w:eastAsia="Times New Roman" w:hAnsi="Arial" w:cs="Arial"/>
          <w:i/>
          <w:iCs/>
          <w:lang w:eastAsia="en-GB"/>
        </w:rPr>
        <w:t>Journal of Coatings Technology, 62</w:t>
      </w:r>
      <w:r w:rsidRPr="007B6803">
        <w:rPr>
          <w:rFonts w:ascii="Arial" w:eastAsia="Times New Roman" w:hAnsi="Arial" w:cs="Arial"/>
          <w:lang w:eastAsia="en-GB"/>
        </w:rPr>
        <w:t xml:space="preserve">(785), 63–72. </w:t>
      </w:r>
      <w:hyperlink r:id="rId20" w:history="1">
        <w:r w:rsidRPr="007B6803">
          <w:rPr>
            <w:rStyle w:val="Hyperlink"/>
            <w:rFonts w:ascii="Arial" w:hAnsi="Arial" w:cs="Arial"/>
          </w:rPr>
          <w:t>https://doi.org/10.1007/BF02695813</w:t>
        </w:r>
      </w:hyperlink>
    </w:p>
    <w:p w14:paraId="57A9626D" w14:textId="77777777" w:rsidR="00CE768F" w:rsidRPr="007B6803" w:rsidRDefault="00CE768F" w:rsidP="00CE768F">
      <w:pPr>
        <w:spacing w:after="0"/>
        <w:ind w:left="720" w:hanging="480"/>
        <w:jc w:val="both"/>
        <w:rPr>
          <w:rFonts w:ascii="Arial" w:eastAsia="Times New Roman" w:hAnsi="Arial" w:cs="Arial"/>
          <w:lang w:eastAsia="en-GB"/>
        </w:rPr>
      </w:pPr>
      <w:r w:rsidRPr="007B6803">
        <w:rPr>
          <w:rFonts w:ascii="Arial" w:eastAsia="Times New Roman" w:hAnsi="Arial" w:cs="Arial"/>
          <w:lang w:eastAsia="en-GB"/>
        </w:rPr>
        <w:lastRenderedPageBreak/>
        <w:t xml:space="preserve">4 </w:t>
      </w:r>
      <w:r w:rsidRPr="007B6803">
        <w:rPr>
          <w:rFonts w:ascii="Arial" w:eastAsia="Times New Roman" w:hAnsi="Arial" w:cs="Arial"/>
          <w:lang w:eastAsia="en-GB"/>
        </w:rPr>
        <w:tab/>
        <w:t xml:space="preserve">Braun, D., </w:t>
      </w:r>
      <w:proofErr w:type="spellStart"/>
      <w:r w:rsidRPr="007B6803">
        <w:rPr>
          <w:rFonts w:ascii="Arial" w:eastAsia="Times New Roman" w:hAnsi="Arial" w:cs="Arial"/>
          <w:lang w:eastAsia="en-GB"/>
        </w:rPr>
        <w:t>Cherdron</w:t>
      </w:r>
      <w:proofErr w:type="spellEnd"/>
      <w:r w:rsidRPr="007B6803">
        <w:rPr>
          <w:rFonts w:ascii="Arial" w:eastAsia="Times New Roman" w:hAnsi="Arial" w:cs="Arial"/>
          <w:lang w:eastAsia="en-GB"/>
        </w:rPr>
        <w:t xml:space="preserve">, H., &amp; Kern, W. (2013). </w:t>
      </w:r>
      <w:r w:rsidRPr="007B6803">
        <w:rPr>
          <w:rFonts w:ascii="Arial" w:eastAsia="Times New Roman" w:hAnsi="Arial" w:cs="Arial"/>
          <w:i/>
          <w:iCs/>
          <w:lang w:eastAsia="en-GB"/>
        </w:rPr>
        <w:t>Polymer Synthesis: Theory and Practice</w:t>
      </w:r>
      <w:r w:rsidRPr="007B6803">
        <w:rPr>
          <w:rFonts w:ascii="Arial" w:eastAsia="Times New Roman" w:hAnsi="Arial" w:cs="Arial"/>
          <w:lang w:eastAsia="en-GB"/>
        </w:rPr>
        <w:t xml:space="preserve">.      Springer. </w:t>
      </w:r>
      <w:hyperlink r:id="rId21" w:history="1">
        <w:r w:rsidRPr="007B6803">
          <w:rPr>
            <w:rStyle w:val="Hyperlink"/>
            <w:rFonts w:ascii="Arial" w:hAnsi="Arial" w:cs="Arial"/>
          </w:rPr>
          <w:t>https://doi.org/10.1007/978-3-642-38557-3</w:t>
        </w:r>
      </w:hyperlink>
    </w:p>
    <w:p w14:paraId="1831DA86" w14:textId="77777777"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 xml:space="preserve">    5.  </w:t>
      </w:r>
      <w:r w:rsidRPr="007B6803">
        <w:rPr>
          <w:rFonts w:ascii="Arial" w:eastAsia="Times New Roman" w:hAnsi="Arial" w:cs="Arial"/>
          <w:lang w:eastAsia="en-GB"/>
        </w:rPr>
        <w:tab/>
        <w:t xml:space="preserve">Raja, P.B., &amp; Sethuraman, M.G. (2008). Natural products as corrosion inhibitors for                          metals in corrosive media – A review. </w:t>
      </w:r>
      <w:r w:rsidRPr="007B6803">
        <w:rPr>
          <w:rFonts w:ascii="Arial" w:eastAsia="Times New Roman" w:hAnsi="Arial" w:cs="Arial"/>
          <w:i/>
          <w:iCs/>
          <w:lang w:eastAsia="en-GB"/>
        </w:rPr>
        <w:t>Materials Letters, 62</w:t>
      </w:r>
      <w:r w:rsidRPr="007B6803">
        <w:rPr>
          <w:rFonts w:ascii="Arial" w:eastAsia="Times New Roman" w:hAnsi="Arial" w:cs="Arial"/>
          <w:lang w:eastAsia="en-GB"/>
        </w:rPr>
        <w:t xml:space="preserve">(1), 113–116. </w:t>
      </w:r>
      <w:hyperlink r:id="rId22" w:history="1">
        <w:r w:rsidRPr="007B6803">
          <w:rPr>
            <w:rStyle w:val="Hyperlink"/>
            <w:rFonts w:ascii="Arial" w:hAnsi="Arial" w:cs="Arial"/>
          </w:rPr>
          <w:t>https://doi.org/10.1016/j.matlet.2007.04.079</w:t>
        </w:r>
      </w:hyperlink>
    </w:p>
    <w:p w14:paraId="4B9901DF" w14:textId="77777777"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 xml:space="preserve">    6.. </w:t>
      </w:r>
      <w:r w:rsidRPr="007B6803">
        <w:rPr>
          <w:rFonts w:ascii="Arial" w:eastAsia="Times New Roman" w:hAnsi="Arial" w:cs="Arial"/>
          <w:lang w:eastAsia="en-GB"/>
        </w:rPr>
        <w:tab/>
        <w:t xml:space="preserve">Rani, B.E.A., &amp; Basu, B.B.J. (2012). Green inhibitors for corrosion protection of metals and alloys: An overview. </w:t>
      </w:r>
      <w:r w:rsidRPr="007B6803">
        <w:rPr>
          <w:rFonts w:ascii="Arial" w:eastAsia="Times New Roman" w:hAnsi="Arial" w:cs="Arial"/>
          <w:i/>
          <w:iCs/>
          <w:lang w:eastAsia="en-GB"/>
        </w:rPr>
        <w:t>International Journal of Corrosion, 2012</w:t>
      </w:r>
      <w:r w:rsidRPr="007B6803">
        <w:rPr>
          <w:rFonts w:ascii="Arial" w:eastAsia="Times New Roman" w:hAnsi="Arial" w:cs="Arial"/>
          <w:lang w:eastAsia="en-GB"/>
        </w:rPr>
        <w:t xml:space="preserve">, 1–15. </w:t>
      </w:r>
      <w:hyperlink r:id="rId23" w:history="1">
        <w:r w:rsidRPr="007B6803">
          <w:rPr>
            <w:rStyle w:val="Hyperlink"/>
            <w:rFonts w:ascii="Arial" w:hAnsi="Arial" w:cs="Arial"/>
          </w:rPr>
          <w:t>https://doi.org/10.1155/2012/380217</w:t>
        </w:r>
      </w:hyperlink>
    </w:p>
    <w:p w14:paraId="0208B746" w14:textId="77777777" w:rsidR="00CE768F" w:rsidRPr="007B6803" w:rsidRDefault="00CE768F" w:rsidP="00CE768F">
      <w:pPr>
        <w:spacing w:after="0"/>
        <w:ind w:left="720" w:hanging="540"/>
        <w:jc w:val="both"/>
        <w:rPr>
          <w:rFonts w:ascii="Arial" w:eastAsia="Times New Roman" w:hAnsi="Arial" w:cs="Arial"/>
          <w:lang w:eastAsia="en-GB"/>
        </w:rPr>
      </w:pPr>
      <w:r w:rsidRPr="007B6803">
        <w:rPr>
          <w:rFonts w:ascii="Arial" w:eastAsia="Times New Roman" w:hAnsi="Arial" w:cs="Arial"/>
          <w:lang w:eastAsia="en-GB"/>
        </w:rPr>
        <w:t>11.</w:t>
      </w:r>
      <w:r w:rsidRPr="007B6803">
        <w:rPr>
          <w:rFonts w:ascii="Arial" w:eastAsia="Times New Roman" w:hAnsi="Arial" w:cs="Arial"/>
          <w:lang w:eastAsia="en-GB"/>
        </w:rPr>
        <w:tab/>
      </w:r>
      <w:proofErr w:type="spellStart"/>
      <w:r w:rsidRPr="007B6803">
        <w:rPr>
          <w:rFonts w:ascii="Arial" w:eastAsia="Times New Roman" w:hAnsi="Arial" w:cs="Arial"/>
          <w:lang w:eastAsia="en-GB"/>
        </w:rPr>
        <w:t>Zheludkevich</w:t>
      </w:r>
      <w:proofErr w:type="spellEnd"/>
      <w:r w:rsidRPr="007B6803">
        <w:rPr>
          <w:rFonts w:ascii="Arial" w:eastAsia="Times New Roman" w:hAnsi="Arial" w:cs="Arial"/>
          <w:lang w:eastAsia="en-GB"/>
        </w:rPr>
        <w:t xml:space="preserve">, M.L., et al. (2005). Sol–gel coatings for corrosion protection of metals. </w:t>
      </w:r>
      <w:r w:rsidRPr="007B6803">
        <w:rPr>
          <w:rFonts w:ascii="Arial" w:eastAsia="Times New Roman" w:hAnsi="Arial" w:cs="Arial"/>
          <w:i/>
          <w:iCs/>
          <w:lang w:eastAsia="en-GB"/>
        </w:rPr>
        <w:t>Journal of Materials Chemistry, 15</w:t>
      </w:r>
      <w:r w:rsidRPr="007B6803">
        <w:rPr>
          <w:rFonts w:ascii="Arial" w:eastAsia="Times New Roman" w:hAnsi="Arial" w:cs="Arial"/>
          <w:lang w:eastAsia="en-GB"/>
        </w:rPr>
        <w:t>(48), 5099–5111. https://doi.org/10.1039/B510313B</w:t>
      </w:r>
    </w:p>
    <w:p w14:paraId="7549EDF8" w14:textId="77777777"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 xml:space="preserve">   13. </w:t>
      </w:r>
      <w:r w:rsidRPr="007B6803">
        <w:rPr>
          <w:rFonts w:ascii="Arial" w:eastAsia="Times New Roman" w:hAnsi="Arial" w:cs="Arial"/>
          <w:lang w:eastAsia="en-GB"/>
        </w:rPr>
        <w:tab/>
      </w:r>
      <w:proofErr w:type="spellStart"/>
      <w:r w:rsidRPr="007B6803">
        <w:rPr>
          <w:rFonts w:ascii="Arial" w:eastAsia="Times New Roman" w:hAnsi="Arial" w:cs="Arial"/>
          <w:lang w:eastAsia="en-GB"/>
        </w:rPr>
        <w:t>Vyazovkin</w:t>
      </w:r>
      <w:proofErr w:type="spellEnd"/>
      <w:r w:rsidRPr="007B6803">
        <w:rPr>
          <w:rFonts w:ascii="Arial" w:eastAsia="Times New Roman" w:hAnsi="Arial" w:cs="Arial"/>
          <w:lang w:eastAsia="en-GB"/>
        </w:rPr>
        <w:t xml:space="preserve">, S., et al. (2011). ICTAC Kinetics Committee recommendations for performing kinetic computations on thermal analysis data. </w:t>
      </w:r>
      <w:proofErr w:type="spellStart"/>
      <w:r w:rsidRPr="007B6803">
        <w:rPr>
          <w:rFonts w:ascii="Arial" w:eastAsia="Times New Roman" w:hAnsi="Arial" w:cs="Arial"/>
          <w:i/>
          <w:iCs/>
          <w:lang w:eastAsia="en-GB"/>
        </w:rPr>
        <w:t>Thermochimica</w:t>
      </w:r>
      <w:proofErr w:type="spellEnd"/>
      <w:r w:rsidRPr="007B6803">
        <w:rPr>
          <w:rFonts w:ascii="Arial" w:eastAsia="Times New Roman" w:hAnsi="Arial" w:cs="Arial"/>
          <w:i/>
          <w:iCs/>
          <w:lang w:eastAsia="en-GB"/>
        </w:rPr>
        <w:t xml:space="preserve"> Acta, 520</w:t>
      </w:r>
      <w:r w:rsidRPr="007B6803">
        <w:rPr>
          <w:rFonts w:ascii="Arial" w:eastAsia="Times New Roman" w:hAnsi="Arial" w:cs="Arial"/>
          <w:lang w:eastAsia="en-GB"/>
        </w:rPr>
        <w:t xml:space="preserve">(1–2), 1–19. </w:t>
      </w:r>
      <w:hyperlink r:id="rId24" w:history="1">
        <w:r w:rsidRPr="007B6803">
          <w:rPr>
            <w:rStyle w:val="Hyperlink"/>
            <w:rFonts w:ascii="Arial" w:hAnsi="Arial" w:cs="Arial"/>
          </w:rPr>
          <w:t>https://doi.org/10.1016/j.tca.2011.03.034</w:t>
        </w:r>
      </w:hyperlink>
    </w:p>
    <w:p w14:paraId="303B3B21" w14:textId="77777777"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 xml:space="preserve">   14.    Wendlandt, W.W. (1986). </w:t>
      </w:r>
      <w:r w:rsidRPr="007B6803">
        <w:rPr>
          <w:rFonts w:ascii="Arial" w:eastAsia="Times New Roman" w:hAnsi="Arial" w:cs="Arial"/>
          <w:i/>
          <w:iCs/>
          <w:lang w:eastAsia="en-GB"/>
        </w:rPr>
        <w:t>Thermal Analysis</w:t>
      </w:r>
      <w:r w:rsidRPr="007B6803">
        <w:rPr>
          <w:rFonts w:ascii="Arial" w:eastAsia="Times New Roman" w:hAnsi="Arial" w:cs="Arial"/>
          <w:lang w:eastAsia="en-GB"/>
        </w:rPr>
        <w:t>. Wiley-</w:t>
      </w:r>
      <w:proofErr w:type="spellStart"/>
      <w:r w:rsidRPr="007B6803">
        <w:rPr>
          <w:rFonts w:ascii="Arial" w:eastAsia="Times New Roman" w:hAnsi="Arial" w:cs="Arial"/>
          <w:lang w:eastAsia="en-GB"/>
        </w:rPr>
        <w:t>Interscience</w:t>
      </w:r>
      <w:proofErr w:type="spellEnd"/>
    </w:p>
    <w:p w14:paraId="3C6C80AC" w14:textId="77777777" w:rsidR="00CE768F" w:rsidRPr="007B6803" w:rsidRDefault="00CE768F" w:rsidP="00CE768F">
      <w:pPr>
        <w:spacing w:after="0"/>
        <w:ind w:left="720" w:hanging="720"/>
        <w:jc w:val="both"/>
        <w:rPr>
          <w:rFonts w:ascii="Arial" w:eastAsia="Times New Roman" w:hAnsi="Arial" w:cs="Arial"/>
          <w:lang w:eastAsia="en-GB"/>
        </w:rPr>
      </w:pPr>
      <w:r w:rsidRPr="00EB309A">
        <w:rPr>
          <w:rFonts w:ascii="Arial" w:eastAsia="Times New Roman" w:hAnsi="Arial" w:cs="Arial"/>
          <w:highlight w:val="yellow"/>
          <w:lang w:eastAsia="en-GB"/>
        </w:rPr>
        <w:t xml:space="preserve">  18.    Nicolás, E., et al. (2024). Enhanced thermal stability of </w:t>
      </w:r>
      <w:proofErr w:type="spellStart"/>
      <w:r w:rsidRPr="00EB309A">
        <w:rPr>
          <w:rFonts w:ascii="Arial" w:eastAsia="Times New Roman" w:hAnsi="Arial" w:cs="Arial"/>
          <w:highlight w:val="yellow"/>
          <w:lang w:eastAsia="en-GB"/>
        </w:rPr>
        <w:t>nBG</w:t>
      </w:r>
      <w:proofErr w:type="spellEnd"/>
      <w:r w:rsidRPr="00EB309A">
        <w:rPr>
          <w:rFonts w:ascii="Arial" w:eastAsia="Times New Roman" w:hAnsi="Arial" w:cs="Arial"/>
          <w:highlight w:val="yellow"/>
          <w:lang w:eastAsia="en-GB"/>
        </w:rPr>
        <w:t xml:space="preserve">-loaded hybrid matrices. </w:t>
      </w:r>
      <w:r w:rsidRPr="00EB309A">
        <w:rPr>
          <w:rFonts w:ascii="Arial" w:eastAsia="Times New Roman" w:hAnsi="Arial" w:cs="Arial"/>
          <w:i/>
          <w:iCs/>
          <w:highlight w:val="yellow"/>
          <w:lang w:eastAsia="en-GB"/>
        </w:rPr>
        <w:t>Materials Today Communications, 38</w:t>
      </w:r>
      <w:r w:rsidRPr="00EB309A">
        <w:rPr>
          <w:rFonts w:ascii="Arial" w:eastAsia="Times New Roman" w:hAnsi="Arial" w:cs="Arial"/>
          <w:highlight w:val="yellow"/>
          <w:lang w:eastAsia="en-GB"/>
        </w:rPr>
        <w:t xml:space="preserve">, 107232. </w:t>
      </w:r>
      <w:hyperlink r:id="rId25" w:history="1">
        <w:r w:rsidRPr="00EB309A">
          <w:rPr>
            <w:rStyle w:val="Hyperlink"/>
            <w:rFonts w:ascii="Arial" w:hAnsi="Arial" w:cs="Arial"/>
            <w:highlight w:val="yellow"/>
          </w:rPr>
          <w:t>https://doi.org/10.1016/j.mtcomm.2024.107232</w:t>
        </w:r>
      </w:hyperlink>
      <w:r w:rsidRPr="00EB309A">
        <w:rPr>
          <w:rFonts w:ascii="Arial" w:eastAsia="Times New Roman" w:hAnsi="Arial" w:cs="Arial"/>
          <w:highlight w:val="yellow"/>
          <w:lang w:eastAsia="en-GB"/>
        </w:rPr>
        <w:t>.</w:t>
      </w:r>
    </w:p>
    <w:p w14:paraId="3E55B00D" w14:textId="1534A156"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 xml:space="preserve">   20.</w:t>
      </w:r>
      <w:r w:rsidRPr="007B6803">
        <w:rPr>
          <w:rFonts w:ascii="Arial" w:eastAsia="Times New Roman" w:hAnsi="Arial" w:cs="Arial"/>
          <w:lang w:eastAsia="en-GB"/>
        </w:rPr>
        <w:tab/>
      </w:r>
      <w:proofErr w:type="spellStart"/>
      <w:r w:rsidRPr="007B6803">
        <w:rPr>
          <w:rFonts w:ascii="Arial" w:eastAsia="Times New Roman" w:hAnsi="Arial" w:cs="Arial"/>
          <w:lang w:eastAsia="en-GB"/>
        </w:rPr>
        <w:t>Kickelbick</w:t>
      </w:r>
      <w:proofErr w:type="spellEnd"/>
      <w:r w:rsidRPr="007B6803">
        <w:rPr>
          <w:rFonts w:ascii="Arial" w:eastAsia="Times New Roman" w:hAnsi="Arial" w:cs="Arial"/>
          <w:lang w:eastAsia="en-GB"/>
        </w:rPr>
        <w:t>, G. (</w:t>
      </w:r>
      <w:r w:rsidR="00EB309A">
        <w:rPr>
          <w:rFonts w:ascii="Arial" w:eastAsia="Times New Roman" w:hAnsi="Arial" w:cs="Arial"/>
          <w:lang w:eastAsia="en-GB"/>
        </w:rPr>
        <w:t>2007</w:t>
      </w:r>
      <w:r w:rsidRPr="007B6803">
        <w:rPr>
          <w:rFonts w:ascii="Arial" w:eastAsia="Times New Roman" w:hAnsi="Arial" w:cs="Arial"/>
          <w:lang w:eastAsia="en-GB"/>
        </w:rPr>
        <w:t xml:space="preserve">). </w:t>
      </w:r>
      <w:r w:rsidRPr="007B6803">
        <w:rPr>
          <w:rFonts w:ascii="Arial" w:eastAsia="Times New Roman" w:hAnsi="Arial" w:cs="Arial"/>
          <w:i/>
          <w:iCs/>
          <w:lang w:eastAsia="en-GB"/>
        </w:rPr>
        <w:t>Introduction to Hybrid Materials</w:t>
      </w:r>
      <w:r w:rsidRPr="007B6803">
        <w:rPr>
          <w:rFonts w:ascii="Arial" w:eastAsia="Times New Roman" w:hAnsi="Arial" w:cs="Arial"/>
          <w:lang w:eastAsia="en-GB"/>
        </w:rPr>
        <w:t xml:space="preserve">. Wiley-VCH.   </w:t>
      </w:r>
      <w:hyperlink r:id="rId26" w:history="1">
        <w:r w:rsidRPr="007B6803">
          <w:rPr>
            <w:rStyle w:val="Hyperlink"/>
            <w:rFonts w:ascii="Arial" w:hAnsi="Arial" w:cs="Arial"/>
          </w:rPr>
          <w:t>https://doi.org/10.1002/9783527684479</w:t>
        </w:r>
      </w:hyperlink>
      <w:r w:rsidRPr="007B6803">
        <w:rPr>
          <w:rFonts w:ascii="Arial" w:eastAsia="Times New Roman" w:hAnsi="Arial" w:cs="Arial"/>
          <w:lang w:eastAsia="en-GB"/>
        </w:rPr>
        <w:t>.</w:t>
      </w:r>
      <w:r w:rsidR="00ED067A">
        <w:rPr>
          <w:rFonts w:ascii="Arial" w:eastAsia="Times New Roman" w:hAnsi="Arial" w:cs="Arial"/>
          <w:lang w:eastAsia="en-GB"/>
        </w:rPr>
        <w:t xml:space="preserve"> </w:t>
      </w:r>
    </w:p>
    <w:p w14:paraId="24E23EEB" w14:textId="77777777" w:rsidR="00CE768F" w:rsidRPr="007B6803" w:rsidRDefault="00CE768F" w:rsidP="00CE768F">
      <w:pPr>
        <w:spacing w:after="0"/>
        <w:ind w:left="720" w:hanging="720"/>
        <w:jc w:val="both"/>
        <w:rPr>
          <w:rFonts w:ascii="Arial" w:eastAsia="Times New Roman" w:hAnsi="Arial" w:cs="Arial"/>
        </w:rPr>
      </w:pPr>
      <w:r w:rsidRPr="007B6803">
        <w:rPr>
          <w:rFonts w:ascii="Arial" w:eastAsia="Times New Roman" w:hAnsi="Arial" w:cs="Arial"/>
          <w:lang w:eastAsia="en-GB"/>
        </w:rPr>
        <w:t xml:space="preserve">   22.</w:t>
      </w:r>
      <w:r w:rsidRPr="007B6803">
        <w:rPr>
          <w:rFonts w:ascii="Arial" w:eastAsia="MinionPro-Regular2" w:hAnsi="Arial" w:cs="Arial"/>
          <w:iCs/>
        </w:rPr>
        <w:t xml:space="preserve"> </w:t>
      </w:r>
      <w:r w:rsidRPr="007B6803">
        <w:rPr>
          <w:rFonts w:ascii="Arial" w:eastAsia="MinionPro-Regular2" w:hAnsi="Arial" w:cs="Arial"/>
          <w:iCs/>
        </w:rPr>
        <w:tab/>
        <w:t xml:space="preserve">Musić S., Filipović-Vinceković, N. </w:t>
      </w:r>
      <w:proofErr w:type="gramStart"/>
      <w:r w:rsidRPr="007B6803">
        <w:rPr>
          <w:rFonts w:ascii="Arial" w:eastAsia="MinionPro-Regular2" w:hAnsi="Arial" w:cs="Arial"/>
          <w:iCs/>
        </w:rPr>
        <w:t xml:space="preserve">&amp;  </w:t>
      </w:r>
      <w:proofErr w:type="spellStart"/>
      <w:r w:rsidRPr="007B6803">
        <w:rPr>
          <w:rFonts w:ascii="Arial" w:eastAsia="MinionPro-Regular2" w:hAnsi="Arial" w:cs="Arial"/>
          <w:iCs/>
        </w:rPr>
        <w:t>Sekovanić</w:t>
      </w:r>
      <w:proofErr w:type="spellEnd"/>
      <w:proofErr w:type="gramEnd"/>
      <w:r w:rsidRPr="007B6803">
        <w:rPr>
          <w:rFonts w:ascii="Arial" w:eastAsia="MinionPro-Regular2" w:hAnsi="Arial" w:cs="Arial"/>
          <w:iCs/>
        </w:rPr>
        <w:t xml:space="preserve"> L. (2011) .  Precipitation of amorphous sio</w:t>
      </w:r>
      <w:r w:rsidRPr="007B6803">
        <w:rPr>
          <w:rFonts w:ascii="Arial" w:eastAsia="MinionPro-Regular2" w:hAnsi="Arial" w:cs="Arial"/>
          <w:iCs/>
          <w:vertAlign w:val="subscript"/>
        </w:rPr>
        <w:t>2</w:t>
      </w:r>
      <w:r w:rsidRPr="007B6803">
        <w:rPr>
          <w:rFonts w:ascii="Arial" w:eastAsia="MinionPro-Regular2" w:hAnsi="Arial" w:cs="Arial"/>
          <w:iCs/>
        </w:rPr>
        <w:t xml:space="preserve"> particles and their properties Brazilian </w:t>
      </w:r>
      <w:r w:rsidRPr="007B6803">
        <w:rPr>
          <w:rFonts w:ascii="Arial" w:eastAsia="MinionPro-Regular2" w:hAnsi="Arial" w:cs="Arial"/>
          <w:i/>
          <w:iCs/>
        </w:rPr>
        <w:t xml:space="preserve">Journal of Chemical </w:t>
      </w:r>
      <w:proofErr w:type="gramStart"/>
      <w:r w:rsidRPr="007B6803">
        <w:rPr>
          <w:rFonts w:ascii="Arial" w:eastAsia="MinionPro-Regular2" w:hAnsi="Arial" w:cs="Arial"/>
          <w:i/>
          <w:iCs/>
        </w:rPr>
        <w:t>Engineering,</w:t>
      </w:r>
      <w:r w:rsidRPr="007B6803">
        <w:rPr>
          <w:rFonts w:ascii="Arial" w:eastAsia="MinionPro-Regular2" w:hAnsi="Arial" w:cs="Arial"/>
          <w:iCs/>
        </w:rPr>
        <w:t xml:space="preserve">  </w:t>
      </w:r>
      <w:r w:rsidRPr="007B6803">
        <w:rPr>
          <w:rFonts w:ascii="Arial" w:eastAsia="MinionPro-Regular2" w:hAnsi="Arial" w:cs="Arial"/>
          <w:b/>
          <w:iCs/>
        </w:rPr>
        <w:t>1</w:t>
      </w:r>
      <w:proofErr w:type="gramEnd"/>
      <w:r w:rsidRPr="007B6803">
        <w:rPr>
          <w:rFonts w:ascii="Arial" w:eastAsia="MinionPro-Regular2" w:hAnsi="Arial" w:cs="Arial"/>
          <w:b/>
          <w:iCs/>
        </w:rPr>
        <w:t xml:space="preserve">(28),   </w:t>
      </w:r>
      <w:r w:rsidRPr="007B6803">
        <w:rPr>
          <w:rFonts w:ascii="Arial" w:eastAsia="MinionPro-Regular2" w:hAnsi="Arial" w:cs="Arial"/>
          <w:iCs/>
        </w:rPr>
        <w:t xml:space="preserve">89 – 94.  </w:t>
      </w:r>
      <w:r w:rsidRPr="007B6803">
        <w:rPr>
          <w:rFonts w:ascii="Arial" w:hAnsi="Arial" w:cs="Arial"/>
        </w:rPr>
        <w:t>https://doi.org/</w:t>
      </w:r>
      <w:hyperlink r:id="rId27" w:tgtFrame="_blank" w:history="1">
        <w:r w:rsidRPr="007B6803">
          <w:rPr>
            <w:rStyle w:val="Hyperlink"/>
            <w:rFonts w:ascii="Arial" w:hAnsi="Arial" w:cs="Arial"/>
          </w:rPr>
          <w:t>10.1590/S0104-66322011000100011</w:t>
        </w:r>
      </w:hyperlink>
    </w:p>
    <w:p w14:paraId="16948D06" w14:textId="77777777" w:rsidR="00CE768F" w:rsidRPr="007B6803" w:rsidRDefault="00CE768F" w:rsidP="00CE768F">
      <w:pPr>
        <w:spacing w:after="0"/>
        <w:ind w:left="720" w:hanging="720"/>
        <w:jc w:val="both"/>
        <w:rPr>
          <w:rFonts w:ascii="Arial" w:hAnsi="Arial" w:cs="Arial"/>
        </w:rPr>
      </w:pPr>
      <w:r w:rsidRPr="007B6803">
        <w:rPr>
          <w:rFonts w:ascii="Arial" w:eastAsia="Times New Roman" w:hAnsi="Arial" w:cs="Arial"/>
        </w:rPr>
        <w:t xml:space="preserve">   23.</w:t>
      </w:r>
      <w:r w:rsidRPr="007B6803">
        <w:rPr>
          <w:rFonts w:ascii="Arial" w:eastAsia="Times New Roman" w:hAnsi="Arial" w:cs="Arial"/>
        </w:rPr>
        <w:tab/>
      </w:r>
      <w:proofErr w:type="spellStart"/>
      <w:proofErr w:type="gramStart"/>
      <w:r w:rsidRPr="007B6803">
        <w:rPr>
          <w:rFonts w:ascii="Arial" w:eastAsia="Times New Roman" w:hAnsi="Arial" w:cs="Arial"/>
        </w:rPr>
        <w:t>Oguzie</w:t>
      </w:r>
      <w:proofErr w:type="spellEnd"/>
      <w:r w:rsidRPr="007B6803">
        <w:rPr>
          <w:rFonts w:ascii="Arial" w:eastAsia="Times New Roman" w:hAnsi="Arial" w:cs="Arial"/>
        </w:rPr>
        <w:t>,  E</w:t>
      </w:r>
      <w:proofErr w:type="gramEnd"/>
      <w:r w:rsidRPr="007B6803">
        <w:rPr>
          <w:rFonts w:ascii="Arial" w:eastAsia="Times New Roman" w:hAnsi="Arial" w:cs="Arial"/>
        </w:rPr>
        <w:t xml:space="preserve">, E., Onuoha, G. N., Ejike  E. N. (2007).  Effect </w:t>
      </w:r>
      <w:proofErr w:type="gramStart"/>
      <w:r w:rsidRPr="007B6803">
        <w:rPr>
          <w:rFonts w:ascii="Arial" w:eastAsia="Times New Roman" w:hAnsi="Arial" w:cs="Arial"/>
        </w:rPr>
        <w:t xml:space="preserve">of  </w:t>
      </w:r>
      <w:proofErr w:type="spellStart"/>
      <w:r w:rsidRPr="007B6803">
        <w:rPr>
          <w:rFonts w:ascii="Arial" w:eastAsia="Times New Roman" w:hAnsi="Arial" w:cs="Arial"/>
          <w:i/>
        </w:rPr>
        <w:t>Gongrenema</w:t>
      </w:r>
      <w:proofErr w:type="spellEnd"/>
      <w:proofErr w:type="gramEnd"/>
      <w:r w:rsidRPr="007B6803">
        <w:rPr>
          <w:rFonts w:ascii="Arial" w:eastAsia="Times New Roman" w:hAnsi="Arial" w:cs="Arial"/>
          <w:i/>
        </w:rPr>
        <w:t xml:space="preserve">  </w:t>
      </w:r>
      <w:proofErr w:type="spellStart"/>
      <w:r w:rsidRPr="007B6803">
        <w:rPr>
          <w:rFonts w:ascii="Arial" w:eastAsia="Times New Roman" w:hAnsi="Arial" w:cs="Arial"/>
          <w:i/>
        </w:rPr>
        <w:t>latifolum</w:t>
      </w:r>
      <w:proofErr w:type="spellEnd"/>
      <w:r w:rsidRPr="007B6803">
        <w:rPr>
          <w:rFonts w:ascii="Arial" w:eastAsia="Times New Roman" w:hAnsi="Arial" w:cs="Arial"/>
        </w:rPr>
        <w:t xml:space="preserve">   extract on     Aluminium corrosion in acidic and Alkaline media. </w:t>
      </w:r>
      <w:r w:rsidRPr="007B6803">
        <w:rPr>
          <w:rFonts w:ascii="Arial" w:eastAsia="Times New Roman" w:hAnsi="Arial" w:cs="Arial"/>
          <w:i/>
        </w:rPr>
        <w:t xml:space="preserve">Pigment </w:t>
      </w:r>
      <w:proofErr w:type="gramStart"/>
      <w:r w:rsidRPr="007B6803">
        <w:rPr>
          <w:rFonts w:ascii="Arial" w:eastAsia="Times New Roman" w:hAnsi="Arial" w:cs="Arial"/>
          <w:i/>
        </w:rPr>
        <w:t>and  Resin</w:t>
      </w:r>
      <w:proofErr w:type="gramEnd"/>
      <w:r w:rsidRPr="007B6803">
        <w:rPr>
          <w:rFonts w:ascii="Arial" w:eastAsia="Times New Roman" w:hAnsi="Arial" w:cs="Arial"/>
          <w:i/>
        </w:rPr>
        <w:t xml:space="preserve"> Technology  </w:t>
      </w:r>
      <w:r w:rsidRPr="007B6803">
        <w:rPr>
          <w:rFonts w:ascii="Arial" w:eastAsia="Times New Roman" w:hAnsi="Arial" w:cs="Arial"/>
          <w:b/>
        </w:rPr>
        <w:t>(36)</w:t>
      </w:r>
      <w:r w:rsidRPr="007B6803">
        <w:rPr>
          <w:rFonts w:ascii="Arial" w:eastAsia="Times New Roman" w:hAnsi="Arial" w:cs="Arial"/>
        </w:rPr>
        <w:t xml:space="preserve">, 44 – 49. </w:t>
      </w:r>
      <w:hyperlink r:id="rId28" w:tooltip="DOI: https://doi.org/10.1108/03699420710718751" w:history="1">
        <w:r w:rsidRPr="007B6803">
          <w:rPr>
            <w:rStyle w:val="Hyperlink"/>
            <w:rFonts w:ascii="Arial" w:hAnsi="Arial" w:cs="Arial"/>
          </w:rPr>
          <w:t>https://doi.org/10.1108/03699420710718751</w:t>
        </w:r>
      </w:hyperlink>
      <w:r w:rsidRPr="007B6803">
        <w:rPr>
          <w:rStyle w:val="Hyperlink"/>
          <w:rFonts w:ascii="Arial" w:hAnsi="Arial" w:cs="Arial"/>
        </w:rPr>
        <w:t xml:space="preserve"> </w:t>
      </w:r>
      <w:r w:rsidRPr="007B6803">
        <w:rPr>
          <w:rFonts w:ascii="Arial" w:hAnsi="Arial" w:cs="Arial"/>
        </w:rPr>
        <w:t xml:space="preserve">.24 </w:t>
      </w:r>
      <w:proofErr w:type="spellStart"/>
      <w:proofErr w:type="gramStart"/>
      <w:r w:rsidRPr="007B6803">
        <w:rPr>
          <w:rFonts w:ascii="Arial" w:hAnsi="Arial" w:cs="Arial"/>
        </w:rPr>
        <w:t>Omogbehin</w:t>
      </w:r>
      <w:proofErr w:type="spellEnd"/>
      <w:r w:rsidRPr="007B6803">
        <w:rPr>
          <w:rFonts w:ascii="Arial" w:hAnsi="Arial" w:cs="Arial"/>
        </w:rPr>
        <w:t xml:space="preserve">,   </w:t>
      </w:r>
      <w:proofErr w:type="gramEnd"/>
      <w:r w:rsidRPr="007B6803">
        <w:rPr>
          <w:rFonts w:ascii="Arial" w:hAnsi="Arial" w:cs="Arial"/>
        </w:rPr>
        <w:t>A.  S.</w:t>
      </w:r>
    </w:p>
    <w:p w14:paraId="0E03E325" w14:textId="77777777" w:rsidR="00CE768F" w:rsidRPr="007B6803" w:rsidRDefault="00CE768F" w:rsidP="00CE768F">
      <w:pPr>
        <w:spacing w:after="0"/>
        <w:ind w:left="720" w:hanging="720"/>
        <w:jc w:val="both"/>
        <w:rPr>
          <w:rStyle w:val="Hyperlink"/>
          <w:rFonts w:ascii="Arial" w:hAnsi="Arial" w:cs="Arial"/>
        </w:rPr>
      </w:pPr>
      <w:r w:rsidRPr="007B6803">
        <w:rPr>
          <w:rStyle w:val="Hyperlink"/>
          <w:rFonts w:ascii="Arial" w:hAnsi="Arial" w:cs="Arial"/>
        </w:rPr>
        <w:t xml:space="preserve">   25.</w:t>
      </w:r>
      <w:r w:rsidRPr="007B6803">
        <w:rPr>
          <w:rStyle w:val="Hyperlink"/>
          <w:rFonts w:ascii="Arial" w:hAnsi="Arial" w:cs="Arial"/>
        </w:rPr>
        <w:tab/>
      </w:r>
      <w:r w:rsidRPr="007B6803">
        <w:rPr>
          <w:rFonts w:ascii="Arial" w:eastAsia="MinionPro-Regular2" w:hAnsi="Arial" w:cs="Arial"/>
          <w:iCs/>
        </w:rPr>
        <w:t>Udo, I.  E.</w:t>
      </w:r>
      <w:proofErr w:type="gramStart"/>
      <w:r w:rsidRPr="007B6803">
        <w:rPr>
          <w:rFonts w:ascii="Arial" w:eastAsia="MinionPro-Regular2" w:hAnsi="Arial" w:cs="Arial"/>
          <w:iCs/>
        </w:rPr>
        <w:t>,  Gloria</w:t>
      </w:r>
      <w:proofErr w:type="gramEnd"/>
      <w:r w:rsidRPr="007B6803">
        <w:rPr>
          <w:rFonts w:ascii="Arial" w:eastAsia="MinionPro-Regular2" w:hAnsi="Arial" w:cs="Arial"/>
          <w:iCs/>
        </w:rPr>
        <w:t>, O., Michael,  H. (2016). Physiochemical characteristics of</w:t>
      </w:r>
      <w:r w:rsidRPr="007B6803">
        <w:rPr>
          <w:rFonts w:ascii="Arial" w:hAnsi="Arial" w:cs="Arial"/>
        </w:rPr>
        <w:t xml:space="preserve"> </w:t>
      </w:r>
      <w:r w:rsidRPr="007B6803">
        <w:rPr>
          <w:rFonts w:ascii="Arial" w:eastAsia="MinionPro-Regular2" w:hAnsi="Arial" w:cs="Arial"/>
          <w:iCs/>
        </w:rPr>
        <w:t xml:space="preserve">the      exudate of     </w:t>
      </w:r>
      <w:proofErr w:type="spellStart"/>
      <w:proofErr w:type="gramStart"/>
      <w:r w:rsidRPr="007B6803">
        <w:rPr>
          <w:rFonts w:ascii="Arial" w:eastAsia="MinionPro-Regular2" w:hAnsi="Arial" w:cs="Arial"/>
          <w:i/>
          <w:iCs/>
        </w:rPr>
        <w:t>Dacryodes</w:t>
      </w:r>
      <w:proofErr w:type="spellEnd"/>
      <w:r w:rsidRPr="007B6803">
        <w:rPr>
          <w:rFonts w:ascii="Arial" w:eastAsia="MinionPro-Regular2" w:hAnsi="Arial" w:cs="Arial"/>
          <w:i/>
          <w:iCs/>
        </w:rPr>
        <w:t xml:space="preserve">  edulis</w:t>
      </w:r>
      <w:proofErr w:type="gramEnd"/>
      <w:r w:rsidRPr="007B6803">
        <w:rPr>
          <w:rFonts w:ascii="Arial" w:eastAsia="MinionPro-Regular2" w:hAnsi="Arial" w:cs="Arial"/>
          <w:i/>
          <w:iCs/>
        </w:rPr>
        <w:t xml:space="preserve">.  J. Appl. Sci. Manage. </w:t>
      </w:r>
      <w:r w:rsidRPr="007B6803">
        <w:rPr>
          <w:rFonts w:ascii="Arial" w:eastAsia="MinionPro-Regular2" w:hAnsi="Arial" w:cs="Arial"/>
          <w:iCs/>
        </w:rPr>
        <w:t xml:space="preserve"> </w:t>
      </w:r>
      <w:r w:rsidRPr="007B6803">
        <w:rPr>
          <w:rFonts w:ascii="Arial" w:eastAsia="MinionPro-Regular2" w:hAnsi="Arial" w:cs="Arial"/>
          <w:b/>
          <w:iCs/>
        </w:rPr>
        <w:t>20</w:t>
      </w:r>
      <w:r w:rsidRPr="007B6803">
        <w:rPr>
          <w:rFonts w:ascii="Arial" w:eastAsia="MinionPro-Regular2" w:hAnsi="Arial" w:cs="Arial"/>
          <w:iCs/>
        </w:rPr>
        <w:t xml:space="preserve"> (1), 209 – 201. </w:t>
      </w:r>
      <w:hyperlink r:id="rId29" w:history="1">
        <w:r w:rsidRPr="007B6803">
          <w:rPr>
            <w:rStyle w:val="Hyperlink"/>
            <w:rFonts w:ascii="Arial" w:hAnsi="Arial" w:cs="Arial"/>
          </w:rPr>
          <w:t>https://doi.org/10.4314/jasem.v20i1.25</w:t>
        </w:r>
      </w:hyperlink>
      <w:r w:rsidRPr="007B6803">
        <w:rPr>
          <w:rStyle w:val="Hyperlink"/>
          <w:rFonts w:ascii="Arial" w:hAnsi="Arial" w:cs="Arial"/>
        </w:rPr>
        <w:t xml:space="preserve">. </w:t>
      </w:r>
    </w:p>
    <w:p w14:paraId="64C81199" w14:textId="77777777" w:rsidR="00CE768F" w:rsidRPr="007B6803" w:rsidRDefault="00CE768F" w:rsidP="00CE768F">
      <w:pPr>
        <w:spacing w:after="0"/>
        <w:ind w:left="720" w:hanging="540"/>
        <w:jc w:val="both"/>
        <w:rPr>
          <w:rStyle w:val="Hyperlink"/>
          <w:rFonts w:ascii="Arial" w:hAnsi="Arial" w:cs="Arial"/>
        </w:rPr>
      </w:pPr>
      <w:proofErr w:type="gramStart"/>
      <w:r w:rsidRPr="007B6803">
        <w:rPr>
          <w:rFonts w:ascii="Arial" w:eastAsia="Times New Roman" w:hAnsi="Arial" w:cs="Arial"/>
        </w:rPr>
        <w:t xml:space="preserve">27  </w:t>
      </w:r>
      <w:r w:rsidRPr="007B6803">
        <w:rPr>
          <w:rFonts w:ascii="Arial" w:eastAsia="Times New Roman" w:hAnsi="Arial" w:cs="Arial"/>
        </w:rPr>
        <w:tab/>
      </w:r>
      <w:proofErr w:type="spellStart"/>
      <w:proofErr w:type="gramEnd"/>
      <w:r w:rsidRPr="007B6803">
        <w:rPr>
          <w:rFonts w:ascii="Arial" w:eastAsia="Times New Roman" w:hAnsi="Arial" w:cs="Arial"/>
        </w:rPr>
        <w:t>Oguzie</w:t>
      </w:r>
      <w:proofErr w:type="spellEnd"/>
      <w:r w:rsidRPr="007B6803">
        <w:rPr>
          <w:rFonts w:ascii="Arial" w:eastAsia="Times New Roman" w:hAnsi="Arial" w:cs="Arial"/>
        </w:rPr>
        <w:t xml:space="preserve">,  E, E., 27] Onuoha, G. N., Ejike  E. N. (2007).  Effect </w:t>
      </w:r>
      <w:proofErr w:type="gramStart"/>
      <w:r w:rsidRPr="007B6803">
        <w:rPr>
          <w:rFonts w:ascii="Arial" w:eastAsia="Times New Roman" w:hAnsi="Arial" w:cs="Arial"/>
        </w:rPr>
        <w:t xml:space="preserve">of  </w:t>
      </w:r>
      <w:proofErr w:type="spellStart"/>
      <w:r w:rsidRPr="007B6803">
        <w:rPr>
          <w:rFonts w:ascii="Arial" w:eastAsia="Times New Roman" w:hAnsi="Arial" w:cs="Arial"/>
          <w:i/>
        </w:rPr>
        <w:t>Gongrenema</w:t>
      </w:r>
      <w:proofErr w:type="spellEnd"/>
      <w:proofErr w:type="gramEnd"/>
      <w:r w:rsidRPr="007B6803">
        <w:rPr>
          <w:rFonts w:ascii="Arial" w:eastAsia="Times New Roman" w:hAnsi="Arial" w:cs="Arial"/>
          <w:i/>
        </w:rPr>
        <w:t xml:space="preserve"> </w:t>
      </w:r>
      <w:proofErr w:type="spellStart"/>
      <w:r w:rsidRPr="007B6803">
        <w:rPr>
          <w:rFonts w:ascii="Arial" w:eastAsia="Times New Roman" w:hAnsi="Arial" w:cs="Arial"/>
          <w:i/>
        </w:rPr>
        <w:t>latifolum</w:t>
      </w:r>
      <w:proofErr w:type="spellEnd"/>
      <w:r w:rsidRPr="007B6803">
        <w:rPr>
          <w:rFonts w:ascii="Arial" w:eastAsia="Times New Roman" w:hAnsi="Arial" w:cs="Arial"/>
        </w:rPr>
        <w:t xml:space="preserve"> extract on   Aluminium corrosion in acidic and Alkaline media.</w:t>
      </w:r>
      <w:r w:rsidRPr="007B6803">
        <w:rPr>
          <w:rFonts w:ascii="Arial" w:hAnsi="Arial" w:cs="Arial"/>
        </w:rPr>
        <w:t xml:space="preserve"> </w:t>
      </w:r>
      <w:r w:rsidRPr="007B6803">
        <w:rPr>
          <w:rFonts w:ascii="Arial" w:eastAsia="Times New Roman" w:hAnsi="Arial" w:cs="Arial"/>
          <w:i/>
        </w:rPr>
        <w:t xml:space="preserve">Pigment </w:t>
      </w:r>
      <w:proofErr w:type="gramStart"/>
      <w:r w:rsidRPr="007B6803">
        <w:rPr>
          <w:rFonts w:ascii="Arial" w:eastAsia="Times New Roman" w:hAnsi="Arial" w:cs="Arial"/>
          <w:i/>
        </w:rPr>
        <w:t>and  Resin</w:t>
      </w:r>
      <w:proofErr w:type="gramEnd"/>
      <w:r w:rsidRPr="007B6803">
        <w:rPr>
          <w:rFonts w:ascii="Arial" w:eastAsia="Times New Roman" w:hAnsi="Arial" w:cs="Arial"/>
          <w:i/>
        </w:rPr>
        <w:t xml:space="preserve"> Technology  </w:t>
      </w:r>
      <w:r w:rsidRPr="007B6803">
        <w:rPr>
          <w:rFonts w:ascii="Arial" w:eastAsia="Times New Roman" w:hAnsi="Arial" w:cs="Arial"/>
          <w:b/>
        </w:rPr>
        <w:t>(36)</w:t>
      </w:r>
      <w:r w:rsidRPr="007B6803">
        <w:rPr>
          <w:rFonts w:ascii="Arial" w:eastAsia="Times New Roman" w:hAnsi="Arial" w:cs="Arial"/>
        </w:rPr>
        <w:t xml:space="preserve">, 44 – 49. </w:t>
      </w:r>
      <w:r w:rsidRPr="007B6803">
        <w:rPr>
          <w:rFonts w:ascii="Arial" w:hAnsi="Arial" w:cs="Arial"/>
        </w:rPr>
        <w:t>https://doi.org/10.1108/0369942071071875128</w:t>
      </w:r>
      <w:r w:rsidRPr="007B6803">
        <w:rPr>
          <w:rStyle w:val="Hyperlink"/>
          <w:rFonts w:ascii="Arial" w:hAnsi="Arial" w:cs="Arial"/>
        </w:rPr>
        <w:t>.</w:t>
      </w:r>
    </w:p>
    <w:p w14:paraId="4F399783" w14:textId="688B3F62" w:rsidR="00CE768F" w:rsidRPr="007B6803" w:rsidRDefault="00CE768F" w:rsidP="007B6803">
      <w:pPr>
        <w:spacing w:after="0"/>
        <w:ind w:left="720" w:hanging="600"/>
        <w:jc w:val="both"/>
        <w:rPr>
          <w:rFonts w:ascii="Arial" w:hAnsi="Arial" w:cs="Arial"/>
        </w:rPr>
      </w:pPr>
      <w:r w:rsidRPr="007B6803">
        <w:rPr>
          <w:rFonts w:ascii="Arial" w:eastAsia="Times New Roman" w:hAnsi="Arial" w:cs="Arial"/>
          <w:lang w:eastAsia="en-GB"/>
        </w:rPr>
        <w:t>29.</w:t>
      </w:r>
      <w:r w:rsidRPr="007B6803">
        <w:rPr>
          <w:rFonts w:ascii="Arial" w:eastAsia="Times New Roman" w:hAnsi="Arial" w:cs="Arial"/>
          <w:lang w:eastAsia="en-GB"/>
        </w:rPr>
        <w:tab/>
        <w:t xml:space="preserve">Stuart, B. (2004). </w:t>
      </w:r>
      <w:r w:rsidRPr="007B6803">
        <w:rPr>
          <w:rFonts w:ascii="Arial" w:eastAsia="Times New Roman" w:hAnsi="Arial" w:cs="Arial"/>
          <w:i/>
          <w:iCs/>
          <w:lang w:eastAsia="en-GB"/>
        </w:rPr>
        <w:t xml:space="preserve">Infrared Spectroscopy: Fundamentals and </w:t>
      </w:r>
      <w:proofErr w:type="spellStart"/>
      <w:r w:rsidRPr="007B6803">
        <w:rPr>
          <w:rFonts w:ascii="Arial" w:eastAsia="Times New Roman" w:hAnsi="Arial" w:cs="Arial"/>
          <w:i/>
          <w:iCs/>
          <w:lang w:eastAsia="en-GB"/>
        </w:rPr>
        <w:t>Applications</w:t>
      </w:r>
      <w:r w:rsidR="007B6803">
        <w:rPr>
          <w:rFonts w:ascii="Arial" w:eastAsia="Times New Roman" w:hAnsi="Arial" w:cs="Arial"/>
          <w:lang w:eastAsia="en-GB"/>
        </w:rPr>
        <w:t>.</w:t>
      </w:r>
      <w:r w:rsidRPr="007B6803">
        <w:rPr>
          <w:rFonts w:ascii="Arial" w:eastAsia="Times New Roman" w:hAnsi="Arial" w:cs="Arial"/>
          <w:lang w:eastAsia="en-GB"/>
        </w:rPr>
        <w:t>Wiley</w:t>
      </w:r>
      <w:proofErr w:type="spellEnd"/>
      <w:r w:rsidRPr="007B6803">
        <w:rPr>
          <w:rFonts w:ascii="Arial" w:eastAsia="Times New Roman" w:hAnsi="Arial" w:cs="Arial"/>
          <w:lang w:eastAsia="en-GB"/>
        </w:rPr>
        <w:t xml:space="preserve">. </w:t>
      </w:r>
      <w:hyperlink r:id="rId30" w:history="1">
        <w:r w:rsidRPr="007B6803">
          <w:rPr>
            <w:rStyle w:val="Hyperlink"/>
            <w:rFonts w:ascii="Arial" w:hAnsi="Arial" w:cs="Arial"/>
          </w:rPr>
          <w:t>https://doi.org/10.1002/0470011149</w:t>
        </w:r>
      </w:hyperlink>
    </w:p>
    <w:p w14:paraId="6F76614A" w14:textId="7006A8CE" w:rsidR="00CE768F" w:rsidRPr="007B6803" w:rsidRDefault="00CE768F" w:rsidP="007B6803">
      <w:pPr>
        <w:spacing w:after="0"/>
        <w:ind w:left="720" w:hanging="600"/>
        <w:jc w:val="both"/>
        <w:rPr>
          <w:rFonts w:ascii="Arial" w:eastAsia="Times New Roman" w:hAnsi="Arial" w:cs="Arial"/>
          <w:lang w:eastAsia="en-GB"/>
        </w:rPr>
      </w:pPr>
      <w:r w:rsidRPr="007B6803">
        <w:rPr>
          <w:rFonts w:ascii="Arial" w:eastAsia="Times New Roman" w:hAnsi="Arial" w:cs="Arial"/>
          <w:lang w:eastAsia="en-GB"/>
        </w:rPr>
        <w:t>30.</w:t>
      </w:r>
      <w:r w:rsidRPr="007B6803">
        <w:rPr>
          <w:rFonts w:ascii="Arial" w:eastAsia="Times New Roman" w:hAnsi="Arial" w:cs="Arial"/>
          <w:lang w:eastAsia="en-GB"/>
        </w:rPr>
        <w:tab/>
        <w:t xml:space="preserve">Coates, J. (2006). </w:t>
      </w:r>
      <w:r w:rsidRPr="007B6803">
        <w:rPr>
          <w:rFonts w:ascii="Arial" w:eastAsia="Times New Roman" w:hAnsi="Arial" w:cs="Arial"/>
          <w:i/>
          <w:iCs/>
          <w:lang w:eastAsia="en-GB"/>
        </w:rPr>
        <w:t>Interpretation of Infrared Spectra: A Practical Approach</w:t>
      </w:r>
      <w:r w:rsidRPr="007B6803">
        <w:rPr>
          <w:rFonts w:ascii="Arial" w:eastAsia="Times New Roman" w:hAnsi="Arial" w:cs="Arial"/>
          <w:lang w:eastAsia="en-GB"/>
        </w:rPr>
        <w:t xml:space="preserve">. </w:t>
      </w:r>
      <w:proofErr w:type="gramStart"/>
      <w:r w:rsidRPr="007B6803">
        <w:rPr>
          <w:rFonts w:ascii="Arial" w:eastAsia="Times New Roman" w:hAnsi="Arial" w:cs="Arial"/>
          <w:lang w:eastAsia="en-GB"/>
        </w:rPr>
        <w:t xml:space="preserve">In </w:t>
      </w:r>
      <w:r w:rsidR="007B6803">
        <w:rPr>
          <w:rFonts w:ascii="Arial" w:eastAsia="Times New Roman" w:hAnsi="Arial" w:cs="Arial"/>
          <w:lang w:eastAsia="en-GB"/>
        </w:rPr>
        <w:t xml:space="preserve"> </w:t>
      </w:r>
      <w:r w:rsidRPr="007B6803">
        <w:rPr>
          <w:rFonts w:ascii="Arial" w:eastAsia="Times New Roman" w:hAnsi="Arial" w:cs="Arial"/>
          <w:lang w:eastAsia="en-GB"/>
        </w:rPr>
        <w:t>Meyers</w:t>
      </w:r>
      <w:proofErr w:type="gramEnd"/>
      <w:r w:rsidRPr="007B6803">
        <w:rPr>
          <w:rFonts w:ascii="Arial" w:eastAsia="Times New Roman" w:hAnsi="Arial" w:cs="Arial"/>
          <w:lang w:eastAsia="en-GB"/>
        </w:rPr>
        <w:t>, R.A. (Ed.),</w:t>
      </w:r>
    </w:p>
    <w:p w14:paraId="2B7F58E2" w14:textId="3129E11C" w:rsidR="00CE768F" w:rsidRPr="007B6803" w:rsidRDefault="00CE768F" w:rsidP="007B6803">
      <w:pPr>
        <w:spacing w:after="0"/>
        <w:ind w:left="720" w:hanging="600"/>
        <w:jc w:val="both"/>
        <w:rPr>
          <w:rFonts w:ascii="Arial" w:hAnsi="Arial" w:cs="Arial"/>
        </w:rPr>
      </w:pPr>
      <w:r w:rsidRPr="007B6803">
        <w:rPr>
          <w:rFonts w:ascii="Arial" w:eastAsia="Times New Roman" w:hAnsi="Arial" w:cs="Arial"/>
          <w:lang w:eastAsia="en-GB"/>
        </w:rPr>
        <w:t>31.</w:t>
      </w:r>
      <w:r w:rsidRPr="007B6803">
        <w:rPr>
          <w:rFonts w:ascii="Arial" w:eastAsia="Times New Roman" w:hAnsi="Arial" w:cs="Arial"/>
          <w:lang w:eastAsia="en-GB"/>
        </w:rPr>
        <w:tab/>
      </w:r>
      <w:proofErr w:type="spellStart"/>
      <w:r w:rsidRPr="007B6803">
        <w:rPr>
          <w:rFonts w:ascii="Arial" w:eastAsia="Times New Roman" w:hAnsi="Arial" w:cs="Arial"/>
          <w:i/>
          <w:iCs/>
          <w:lang w:eastAsia="en-GB"/>
        </w:rPr>
        <w:t>Encyclopedia</w:t>
      </w:r>
      <w:proofErr w:type="spellEnd"/>
      <w:r w:rsidRPr="007B6803">
        <w:rPr>
          <w:rFonts w:ascii="Arial" w:eastAsia="Times New Roman" w:hAnsi="Arial" w:cs="Arial"/>
          <w:i/>
          <w:iCs/>
          <w:lang w:eastAsia="en-GB"/>
        </w:rPr>
        <w:t xml:space="preserve"> of Analytical Chemistry</w:t>
      </w:r>
      <w:r w:rsidRPr="007B6803">
        <w:rPr>
          <w:rFonts w:ascii="Arial" w:eastAsia="Times New Roman" w:hAnsi="Arial" w:cs="Arial"/>
          <w:lang w:eastAsia="en-GB"/>
        </w:rPr>
        <w:t xml:space="preserve">. Wiley. </w:t>
      </w:r>
      <w:hyperlink r:id="rId31" w:history="1">
        <w:r w:rsidRPr="007B6803">
          <w:rPr>
            <w:rStyle w:val="Hyperlink"/>
            <w:rFonts w:ascii="Arial" w:hAnsi="Arial" w:cs="Arial"/>
          </w:rPr>
          <w:t>https://doi.org/10.1002/9780470027318.a5606</w:t>
        </w:r>
      </w:hyperlink>
    </w:p>
    <w:p w14:paraId="4F819976" w14:textId="77777777" w:rsidR="00CE768F" w:rsidRPr="007B6803" w:rsidRDefault="00CE768F" w:rsidP="00CE768F">
      <w:pPr>
        <w:spacing w:after="0"/>
        <w:ind w:left="720" w:hanging="720"/>
        <w:jc w:val="both"/>
        <w:rPr>
          <w:rFonts w:ascii="Arial" w:hAnsi="Arial" w:cs="Arial"/>
        </w:rPr>
      </w:pPr>
      <w:r w:rsidRPr="007B6803">
        <w:rPr>
          <w:rFonts w:ascii="Arial" w:eastAsia="Times New Roman" w:hAnsi="Arial" w:cs="Arial"/>
          <w:lang w:eastAsia="en-GB"/>
        </w:rPr>
        <w:t xml:space="preserve">  32. </w:t>
      </w:r>
      <w:r w:rsidRPr="007B6803">
        <w:rPr>
          <w:rFonts w:ascii="Arial" w:eastAsia="Times New Roman" w:hAnsi="Arial" w:cs="Arial"/>
          <w:lang w:eastAsia="en-GB"/>
        </w:rPr>
        <w:tab/>
        <w:t xml:space="preserve">Silverstein, R.M., Webster, F.X., </w:t>
      </w:r>
      <w:proofErr w:type="spellStart"/>
      <w:r w:rsidRPr="007B6803">
        <w:rPr>
          <w:rFonts w:ascii="Arial" w:eastAsia="Times New Roman" w:hAnsi="Arial" w:cs="Arial"/>
          <w:lang w:eastAsia="en-GB"/>
        </w:rPr>
        <w:t>Kiemle</w:t>
      </w:r>
      <w:proofErr w:type="spellEnd"/>
      <w:r w:rsidRPr="007B6803">
        <w:rPr>
          <w:rFonts w:ascii="Arial" w:eastAsia="Times New Roman" w:hAnsi="Arial" w:cs="Arial"/>
          <w:lang w:eastAsia="en-GB"/>
        </w:rPr>
        <w:t xml:space="preserve">, D.J., &amp; Bryce, D.L. (2014). </w:t>
      </w:r>
      <w:r w:rsidRPr="007B6803">
        <w:rPr>
          <w:rFonts w:ascii="Arial" w:eastAsia="Times New Roman" w:hAnsi="Arial" w:cs="Arial"/>
          <w:i/>
          <w:iCs/>
          <w:lang w:eastAsia="en-GB"/>
        </w:rPr>
        <w:t>Spectrometric Identification of   Organic Compounds</w:t>
      </w:r>
      <w:r w:rsidRPr="007B6803">
        <w:rPr>
          <w:rFonts w:ascii="Arial" w:eastAsia="Times New Roman" w:hAnsi="Arial" w:cs="Arial"/>
          <w:lang w:eastAsia="en-GB"/>
        </w:rPr>
        <w:t xml:space="preserve"> (8th ed.). Wiley.</w:t>
      </w:r>
    </w:p>
    <w:p w14:paraId="39E92905" w14:textId="77777777" w:rsidR="00CE768F" w:rsidRPr="007B6803" w:rsidRDefault="00CE768F" w:rsidP="00CE768F">
      <w:pPr>
        <w:spacing w:after="0"/>
        <w:ind w:left="720" w:hanging="600"/>
        <w:jc w:val="both"/>
        <w:rPr>
          <w:rFonts w:ascii="Arial" w:hAnsi="Arial" w:cs="Arial"/>
        </w:rPr>
      </w:pPr>
      <w:r w:rsidRPr="007B6803">
        <w:rPr>
          <w:rFonts w:ascii="Arial" w:hAnsi="Arial" w:cs="Arial"/>
        </w:rPr>
        <w:t>33.</w:t>
      </w:r>
      <w:r w:rsidRPr="007B6803">
        <w:rPr>
          <w:rFonts w:ascii="Arial" w:hAnsi="Arial" w:cs="Arial"/>
        </w:rPr>
        <w:tab/>
      </w:r>
      <w:r w:rsidRPr="007B6803">
        <w:rPr>
          <w:rFonts w:ascii="Arial" w:eastAsia="Times New Roman" w:hAnsi="Arial" w:cs="Arial"/>
          <w:lang w:eastAsia="en-GB"/>
        </w:rPr>
        <w:t xml:space="preserve">Pavia, D.L., Lampman, G.M., Kriz, G.S., &amp; Vyvyan, J.A. (2015). </w:t>
      </w:r>
      <w:r w:rsidRPr="007B6803">
        <w:rPr>
          <w:rFonts w:ascii="Arial" w:eastAsia="Times New Roman" w:hAnsi="Arial" w:cs="Arial"/>
          <w:i/>
          <w:iCs/>
          <w:lang w:eastAsia="en-GB"/>
        </w:rPr>
        <w:t xml:space="preserve">Introduction </w:t>
      </w:r>
      <w:proofErr w:type="gramStart"/>
      <w:r w:rsidRPr="007B6803">
        <w:rPr>
          <w:rFonts w:ascii="Arial" w:eastAsia="Times New Roman" w:hAnsi="Arial" w:cs="Arial"/>
          <w:i/>
          <w:iCs/>
          <w:lang w:eastAsia="en-GB"/>
        </w:rPr>
        <w:t>to  Spectroscopy</w:t>
      </w:r>
      <w:proofErr w:type="gramEnd"/>
      <w:r w:rsidRPr="007B6803">
        <w:rPr>
          <w:rFonts w:ascii="Arial" w:eastAsia="Times New Roman" w:hAnsi="Arial" w:cs="Arial"/>
          <w:lang w:eastAsia="en-GB"/>
        </w:rPr>
        <w:t xml:space="preserve"> (5th ed.). Cengage Learning</w:t>
      </w:r>
    </w:p>
    <w:p w14:paraId="012286C2" w14:textId="091C76CF" w:rsidR="00CE768F" w:rsidRPr="007B6803" w:rsidRDefault="00844717" w:rsidP="00CE768F">
      <w:pPr>
        <w:spacing w:after="0"/>
        <w:ind w:left="720" w:hanging="720"/>
        <w:jc w:val="both"/>
        <w:rPr>
          <w:rFonts w:ascii="Arial" w:hAnsi="Arial" w:cs="Arial"/>
        </w:rPr>
      </w:pPr>
      <w:r w:rsidRPr="007B6803">
        <w:rPr>
          <w:rFonts w:ascii="Arial" w:hAnsi="Arial" w:cs="Arial"/>
        </w:rPr>
        <w:t xml:space="preserve">  </w:t>
      </w:r>
      <w:r w:rsidR="00CE768F" w:rsidRPr="007B6803">
        <w:rPr>
          <w:rFonts w:ascii="Arial" w:hAnsi="Arial" w:cs="Arial"/>
        </w:rPr>
        <w:t>36.</w:t>
      </w:r>
      <w:r w:rsidR="00CE768F" w:rsidRPr="007B6803">
        <w:rPr>
          <w:rFonts w:ascii="Arial" w:hAnsi="Arial" w:cs="Arial"/>
        </w:rPr>
        <w:tab/>
      </w:r>
      <w:proofErr w:type="spellStart"/>
      <w:r w:rsidR="00CE768F" w:rsidRPr="007B6803">
        <w:rPr>
          <w:rFonts w:ascii="Arial" w:eastAsia="Times New Roman" w:hAnsi="Arial" w:cs="Arial"/>
          <w:lang w:eastAsia="en-GB"/>
        </w:rPr>
        <w:t>Oguzie</w:t>
      </w:r>
      <w:proofErr w:type="spellEnd"/>
      <w:r w:rsidR="00CE768F" w:rsidRPr="007B6803">
        <w:rPr>
          <w:rFonts w:ascii="Arial" w:eastAsia="Times New Roman" w:hAnsi="Arial" w:cs="Arial"/>
          <w:lang w:eastAsia="en-GB"/>
        </w:rPr>
        <w:t xml:space="preserve">, E. E., </w:t>
      </w:r>
      <w:proofErr w:type="spellStart"/>
      <w:r w:rsidR="00CE768F" w:rsidRPr="007B6803">
        <w:rPr>
          <w:rFonts w:ascii="Arial" w:eastAsia="Times New Roman" w:hAnsi="Arial" w:cs="Arial"/>
          <w:lang w:eastAsia="en-GB"/>
        </w:rPr>
        <w:t>Enenebeaku</w:t>
      </w:r>
      <w:proofErr w:type="spellEnd"/>
      <w:r w:rsidR="00CE768F" w:rsidRPr="007B6803">
        <w:rPr>
          <w:rFonts w:ascii="Arial" w:eastAsia="Times New Roman" w:hAnsi="Arial" w:cs="Arial"/>
          <w:lang w:eastAsia="en-GB"/>
        </w:rPr>
        <w:t xml:space="preserve">, C. K., </w:t>
      </w:r>
      <w:proofErr w:type="spellStart"/>
      <w:r w:rsidR="00CE768F" w:rsidRPr="007B6803">
        <w:rPr>
          <w:rFonts w:ascii="Arial" w:eastAsia="Times New Roman" w:hAnsi="Arial" w:cs="Arial"/>
          <w:lang w:eastAsia="en-GB"/>
        </w:rPr>
        <w:t>Akalezi</w:t>
      </w:r>
      <w:proofErr w:type="spellEnd"/>
      <w:r w:rsidR="00CE768F" w:rsidRPr="007B6803">
        <w:rPr>
          <w:rFonts w:ascii="Arial" w:eastAsia="Times New Roman" w:hAnsi="Arial" w:cs="Arial"/>
          <w:lang w:eastAsia="en-GB"/>
        </w:rPr>
        <w:t xml:space="preserve">, C. O., Okoro, S. C., Ayuk, A. A., &amp; Ejike, E. N. (2010).   Adsorption and corrosion-inhibiting effect of </w:t>
      </w:r>
      <w:proofErr w:type="spellStart"/>
      <w:r w:rsidR="00CE768F" w:rsidRPr="007B6803">
        <w:rPr>
          <w:rFonts w:ascii="Arial" w:eastAsia="Times New Roman" w:hAnsi="Arial" w:cs="Arial"/>
          <w:i/>
          <w:iCs/>
          <w:lang w:eastAsia="en-GB"/>
        </w:rPr>
        <w:t>Dacryodes</w:t>
      </w:r>
      <w:proofErr w:type="spellEnd"/>
      <w:r w:rsidR="00CE768F" w:rsidRPr="007B6803">
        <w:rPr>
          <w:rFonts w:ascii="Arial" w:eastAsia="Times New Roman" w:hAnsi="Arial" w:cs="Arial"/>
          <w:i/>
          <w:iCs/>
          <w:lang w:eastAsia="en-GB"/>
        </w:rPr>
        <w:t xml:space="preserve"> edulis</w:t>
      </w:r>
      <w:r w:rsidR="00CE768F" w:rsidRPr="007B6803">
        <w:rPr>
          <w:rFonts w:ascii="Arial" w:eastAsia="Times New Roman" w:hAnsi="Arial" w:cs="Arial"/>
          <w:lang w:eastAsia="en-GB"/>
        </w:rPr>
        <w:t xml:space="preserve"> extract on low-carbon-steel corrosion in acidic media. </w:t>
      </w:r>
      <w:r w:rsidR="00CE768F" w:rsidRPr="007B6803">
        <w:rPr>
          <w:rFonts w:ascii="Arial" w:eastAsia="Times New Roman" w:hAnsi="Arial" w:cs="Arial"/>
          <w:i/>
          <w:iCs/>
          <w:lang w:eastAsia="en-GB"/>
        </w:rPr>
        <w:t>Journal of Colloid and Interface Science, 349</w:t>
      </w:r>
      <w:r w:rsidR="00CE768F" w:rsidRPr="007B6803">
        <w:rPr>
          <w:rFonts w:ascii="Arial" w:eastAsia="Times New Roman" w:hAnsi="Arial" w:cs="Arial"/>
          <w:lang w:eastAsia="en-GB"/>
        </w:rPr>
        <w:t xml:space="preserve">(1), 283–292. </w:t>
      </w:r>
      <w:hyperlink r:id="rId32" w:history="1">
        <w:r w:rsidR="00CE768F" w:rsidRPr="007B6803">
          <w:rPr>
            <w:rStyle w:val="Hyperlink"/>
            <w:rFonts w:ascii="Arial" w:hAnsi="Arial" w:cs="Arial"/>
          </w:rPr>
          <w:t>https://doi.org/10.1016/j.jcis.2010.05.027</w:t>
        </w:r>
      </w:hyperlink>
    </w:p>
    <w:p w14:paraId="24986B30" w14:textId="77777777" w:rsidR="00CE768F" w:rsidRPr="007B6803" w:rsidRDefault="00CE768F" w:rsidP="00CE768F">
      <w:pPr>
        <w:spacing w:after="0"/>
        <w:ind w:left="720" w:hanging="720"/>
        <w:jc w:val="both"/>
        <w:rPr>
          <w:rFonts w:ascii="Arial" w:hAnsi="Arial" w:cs="Arial"/>
        </w:rPr>
      </w:pPr>
      <w:r w:rsidRPr="007B6803">
        <w:rPr>
          <w:rFonts w:ascii="Arial" w:hAnsi="Arial" w:cs="Arial"/>
        </w:rPr>
        <w:lastRenderedPageBreak/>
        <w:t xml:space="preserve">37. </w:t>
      </w:r>
      <w:r w:rsidRPr="007B6803">
        <w:rPr>
          <w:rFonts w:ascii="Arial" w:hAnsi="Arial" w:cs="Arial"/>
        </w:rPr>
        <w:tab/>
      </w:r>
      <w:r w:rsidRPr="007B6803">
        <w:rPr>
          <w:rFonts w:ascii="Arial" w:eastAsia="Times New Roman" w:hAnsi="Arial" w:cs="Arial"/>
          <w:lang w:eastAsia="en-GB"/>
        </w:rPr>
        <w:t xml:space="preserve">Reader, C. J., &amp; </w:t>
      </w:r>
      <w:proofErr w:type="spellStart"/>
      <w:r w:rsidRPr="007B6803">
        <w:rPr>
          <w:rFonts w:ascii="Arial" w:eastAsia="Times New Roman" w:hAnsi="Arial" w:cs="Arial"/>
          <w:lang w:eastAsia="en-GB"/>
        </w:rPr>
        <w:t>Nargiello</w:t>
      </w:r>
      <w:proofErr w:type="spellEnd"/>
      <w:r w:rsidRPr="007B6803">
        <w:rPr>
          <w:rFonts w:ascii="Arial" w:eastAsia="Times New Roman" w:hAnsi="Arial" w:cs="Arial"/>
          <w:lang w:eastAsia="en-GB"/>
        </w:rPr>
        <w:t xml:space="preserve">, M. (2021). The use of engineered silica to enhance coatings.   </w:t>
      </w:r>
      <w:proofErr w:type="spellStart"/>
      <w:r w:rsidRPr="007B6803">
        <w:rPr>
          <w:rFonts w:ascii="Arial" w:eastAsia="Times New Roman" w:hAnsi="Arial" w:cs="Arial"/>
          <w:i/>
          <w:iCs/>
          <w:lang w:eastAsia="en-GB"/>
        </w:rPr>
        <w:t>CoatingsTech</w:t>
      </w:r>
      <w:proofErr w:type="spellEnd"/>
      <w:r w:rsidRPr="007B6803">
        <w:rPr>
          <w:rFonts w:ascii="Arial" w:eastAsia="Times New Roman" w:hAnsi="Arial" w:cs="Arial"/>
          <w:i/>
          <w:iCs/>
          <w:lang w:eastAsia="en-GB"/>
        </w:rPr>
        <w:t xml:space="preserve"> Magazine</w:t>
      </w:r>
      <w:r w:rsidRPr="007B6803">
        <w:rPr>
          <w:rFonts w:ascii="Arial" w:eastAsia="Times New Roman" w:hAnsi="Arial" w:cs="Arial"/>
          <w:lang w:eastAsia="en-GB"/>
        </w:rPr>
        <w:t>.</w:t>
      </w:r>
    </w:p>
    <w:p w14:paraId="0654D873" w14:textId="77777777"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[38.</w:t>
      </w:r>
      <w:r w:rsidRPr="007B6803">
        <w:rPr>
          <w:rFonts w:ascii="Arial" w:eastAsia="Times New Roman" w:hAnsi="Arial" w:cs="Arial"/>
          <w:lang w:eastAsia="en-GB"/>
        </w:rPr>
        <w:tab/>
        <w:t xml:space="preserve">Anonymous]. (2013). Thermal stability and abrasion resistance of polyacrylate/nano-silica hybrid   coatings. </w:t>
      </w:r>
      <w:proofErr w:type="gramStart"/>
      <w:r w:rsidRPr="007B6803">
        <w:rPr>
          <w:rFonts w:ascii="Arial" w:eastAsia="Times New Roman" w:hAnsi="Arial" w:cs="Arial"/>
          <w:i/>
          <w:iCs/>
          <w:lang w:eastAsia="en-GB"/>
        </w:rPr>
        <w:t>Iranian .Polymer</w:t>
      </w:r>
      <w:proofErr w:type="gramEnd"/>
      <w:r w:rsidRPr="007B6803">
        <w:rPr>
          <w:rFonts w:ascii="Arial" w:eastAsia="Times New Roman" w:hAnsi="Arial" w:cs="Arial"/>
          <w:i/>
          <w:iCs/>
          <w:lang w:eastAsia="en-GB"/>
        </w:rPr>
        <w:t xml:space="preserve"> Journal, 22</w:t>
      </w:r>
      <w:r w:rsidRPr="007B6803">
        <w:rPr>
          <w:rFonts w:ascii="Arial" w:eastAsia="Times New Roman" w:hAnsi="Arial" w:cs="Arial"/>
          <w:lang w:eastAsia="en-GB"/>
        </w:rPr>
        <w:t xml:space="preserve">, 465–471. </w:t>
      </w:r>
      <w:hyperlink r:id="rId33" w:history="1">
        <w:r w:rsidRPr="007B6803">
          <w:rPr>
            <w:rStyle w:val="Hyperlink"/>
            <w:rFonts w:ascii="Arial" w:hAnsi="Arial" w:cs="Arial"/>
          </w:rPr>
          <w:t>https://doi.org/10.1007/s13726-013-0146-2 38</w:t>
        </w:r>
      </w:hyperlink>
      <w:r w:rsidRPr="007B6803">
        <w:rPr>
          <w:rFonts w:ascii="Arial" w:eastAsia="Times New Roman" w:hAnsi="Arial" w:cs="Arial"/>
          <w:lang w:eastAsia="en-GB"/>
        </w:rPr>
        <w:t>]</w:t>
      </w:r>
    </w:p>
    <w:p w14:paraId="000061C0" w14:textId="77777777"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39.</w:t>
      </w:r>
      <w:r w:rsidRPr="007B6803">
        <w:rPr>
          <w:rFonts w:ascii="Arial" w:eastAsia="Times New Roman" w:hAnsi="Arial" w:cs="Arial"/>
          <w:lang w:eastAsia="en-GB"/>
        </w:rPr>
        <w:tab/>
        <w:t xml:space="preserve">Musa, M. A., et al. (2015). Use of natural gums as green corrosion inhibitors: an overview. </w:t>
      </w:r>
      <w:r w:rsidRPr="007B6803">
        <w:rPr>
          <w:rFonts w:ascii="Arial" w:eastAsia="Times New Roman" w:hAnsi="Arial" w:cs="Arial"/>
          <w:i/>
          <w:iCs/>
          <w:lang w:eastAsia="en-GB"/>
        </w:rPr>
        <w:t>International Journal of Industrial Chemistry, 6</w:t>
      </w:r>
      <w:r w:rsidRPr="007B6803">
        <w:rPr>
          <w:rFonts w:ascii="Arial" w:eastAsia="Times New Roman" w:hAnsi="Arial" w:cs="Arial"/>
          <w:lang w:eastAsia="en-GB"/>
        </w:rPr>
        <w:t xml:space="preserve">, 29–41. </w:t>
      </w:r>
      <w:hyperlink r:id="rId34" w:history="1">
        <w:r w:rsidRPr="007B6803">
          <w:rPr>
            <w:rStyle w:val="Hyperlink"/>
            <w:rFonts w:ascii="Arial" w:hAnsi="Arial" w:cs="Arial"/>
          </w:rPr>
          <w:t>https://doi.org/10.1007/s40090-015-0040-1</w:t>
        </w:r>
      </w:hyperlink>
      <w:r w:rsidRPr="007B6803">
        <w:rPr>
          <w:rFonts w:ascii="Arial" w:eastAsia="Times New Roman" w:hAnsi="Arial" w:cs="Arial"/>
          <w:lang w:eastAsia="en-GB"/>
        </w:rPr>
        <w:t xml:space="preserve"> 39] </w:t>
      </w:r>
    </w:p>
    <w:p w14:paraId="29B2B3CB" w14:textId="77777777" w:rsidR="00CE768F" w:rsidRPr="00EB309A" w:rsidRDefault="00CE768F" w:rsidP="00CE768F">
      <w:pPr>
        <w:spacing w:after="0"/>
        <w:jc w:val="both"/>
        <w:rPr>
          <w:rFonts w:ascii="Arial" w:hAnsi="Arial" w:cs="Arial"/>
          <w:highlight w:val="yellow"/>
        </w:rPr>
      </w:pPr>
      <w:r w:rsidRPr="007B6803">
        <w:rPr>
          <w:rFonts w:ascii="Arial" w:eastAsia="Times New Roman" w:hAnsi="Arial" w:cs="Arial"/>
          <w:lang w:eastAsia="en-GB"/>
        </w:rPr>
        <w:t>40</w:t>
      </w:r>
      <w:r w:rsidRPr="00ED067A">
        <w:rPr>
          <w:rFonts w:ascii="Arial" w:eastAsia="Times New Roman" w:hAnsi="Arial" w:cs="Arial"/>
          <w:highlight w:val="red"/>
          <w:lang w:eastAsia="en-GB"/>
        </w:rPr>
        <w:t xml:space="preserve">. </w:t>
      </w:r>
      <w:r w:rsidRPr="00ED067A">
        <w:rPr>
          <w:rFonts w:ascii="Arial" w:eastAsia="Times New Roman" w:hAnsi="Arial" w:cs="Arial"/>
          <w:highlight w:val="red"/>
          <w:lang w:eastAsia="en-GB"/>
        </w:rPr>
        <w:tab/>
      </w:r>
      <w:proofErr w:type="spellStart"/>
      <w:r w:rsidRPr="00EB309A">
        <w:rPr>
          <w:rFonts w:ascii="Arial" w:eastAsia="Times New Roman" w:hAnsi="Arial" w:cs="Arial"/>
          <w:highlight w:val="yellow"/>
          <w:lang w:eastAsia="en-GB"/>
        </w:rPr>
        <w:t>Encyclopedia</w:t>
      </w:r>
      <w:proofErr w:type="spellEnd"/>
      <w:r w:rsidRPr="00EB309A">
        <w:rPr>
          <w:rFonts w:ascii="Arial" w:eastAsia="Times New Roman" w:hAnsi="Arial" w:cs="Arial"/>
          <w:highlight w:val="yellow"/>
          <w:lang w:eastAsia="en-GB"/>
        </w:rPr>
        <w:t xml:space="preserve"> reference: </w:t>
      </w:r>
      <w:r w:rsidRPr="00EB309A">
        <w:rPr>
          <w:rFonts w:ascii="Arial" w:eastAsia="Times New Roman" w:hAnsi="Arial" w:cs="Arial"/>
          <w:i/>
          <w:iCs/>
          <w:highlight w:val="yellow"/>
          <w:lang w:eastAsia="en-GB"/>
        </w:rPr>
        <w:t>Thermogravimetric analysis</w:t>
      </w:r>
      <w:r w:rsidRPr="00EB309A">
        <w:rPr>
          <w:rFonts w:ascii="Arial" w:eastAsia="Times New Roman" w:hAnsi="Arial" w:cs="Arial"/>
          <w:highlight w:val="yellow"/>
          <w:lang w:eastAsia="en-GB"/>
        </w:rPr>
        <w:t xml:space="preserve"> overview. Wikipedia. </w:t>
      </w:r>
      <w:hyperlink r:id="rId35" w:tgtFrame="_blank" w:history="1">
        <w:r w:rsidRPr="00EB309A">
          <w:rPr>
            <w:rStyle w:val="Hyperlink"/>
            <w:rFonts w:ascii="Arial" w:hAnsi="Arial" w:cs="Arial"/>
            <w:highlight w:val="yellow"/>
          </w:rPr>
          <w:t>Wikipedia</w:t>
        </w:r>
      </w:hyperlink>
    </w:p>
    <w:p w14:paraId="47A834F2" w14:textId="77777777" w:rsidR="00CE768F" w:rsidRPr="00EB309A" w:rsidRDefault="00CE768F" w:rsidP="00CE768F">
      <w:pPr>
        <w:spacing w:after="0"/>
        <w:ind w:left="720"/>
        <w:jc w:val="both"/>
        <w:rPr>
          <w:rFonts w:ascii="Arial" w:hAnsi="Arial" w:cs="Arial"/>
          <w:highlight w:val="yellow"/>
        </w:rPr>
      </w:pPr>
      <w:r w:rsidRPr="00EB309A">
        <w:rPr>
          <w:rFonts w:ascii="Arial" w:eastAsia="Times New Roman" w:hAnsi="Arial" w:cs="Arial"/>
          <w:highlight w:val="yellow"/>
          <w:lang w:eastAsia="en-GB"/>
        </w:rPr>
        <w:t xml:space="preserve">Nicolás, E., et al. (2024). Enhanced thermal stability of </w:t>
      </w:r>
      <w:proofErr w:type="spellStart"/>
      <w:r w:rsidRPr="00EB309A">
        <w:rPr>
          <w:rFonts w:ascii="Arial" w:eastAsia="Times New Roman" w:hAnsi="Arial" w:cs="Arial"/>
          <w:highlight w:val="yellow"/>
          <w:lang w:eastAsia="en-GB"/>
        </w:rPr>
        <w:t>nBG</w:t>
      </w:r>
      <w:proofErr w:type="spellEnd"/>
      <w:r w:rsidRPr="00EB309A">
        <w:rPr>
          <w:rFonts w:ascii="Arial" w:eastAsia="Times New Roman" w:hAnsi="Arial" w:cs="Arial"/>
          <w:highlight w:val="yellow"/>
          <w:lang w:eastAsia="en-GB"/>
        </w:rPr>
        <w:t xml:space="preserve">-loaded hybrid matrices. </w:t>
      </w:r>
      <w:r w:rsidRPr="00EB309A">
        <w:rPr>
          <w:rFonts w:ascii="Arial" w:eastAsia="Times New Roman" w:hAnsi="Arial" w:cs="Arial"/>
          <w:i/>
          <w:iCs/>
          <w:highlight w:val="yellow"/>
          <w:lang w:eastAsia="en-GB"/>
        </w:rPr>
        <w:t>Materials Today Communications, 38</w:t>
      </w:r>
      <w:r w:rsidRPr="00EB309A">
        <w:rPr>
          <w:rFonts w:ascii="Arial" w:eastAsia="Times New Roman" w:hAnsi="Arial" w:cs="Arial"/>
          <w:highlight w:val="yellow"/>
          <w:lang w:eastAsia="en-GB"/>
        </w:rPr>
        <w:t xml:space="preserve">, 107232. </w:t>
      </w:r>
      <w:hyperlink r:id="rId36" w:history="1">
        <w:r w:rsidRPr="00EB309A">
          <w:rPr>
            <w:rStyle w:val="Hyperlink"/>
            <w:rFonts w:ascii="Arial" w:hAnsi="Arial" w:cs="Arial"/>
            <w:highlight w:val="yellow"/>
          </w:rPr>
          <w:t>https://doi.org/10.1016/j.mtcomm.2024.107232</w:t>
        </w:r>
      </w:hyperlink>
    </w:p>
    <w:p w14:paraId="05B6D463" w14:textId="77777777" w:rsidR="00CE768F" w:rsidRPr="007B6803" w:rsidRDefault="00CE768F" w:rsidP="00CE768F">
      <w:pPr>
        <w:spacing w:after="0"/>
        <w:ind w:left="720" w:hanging="720"/>
        <w:jc w:val="both"/>
        <w:rPr>
          <w:rFonts w:ascii="Arial" w:hAnsi="Arial" w:cs="Arial"/>
        </w:rPr>
      </w:pPr>
      <w:r w:rsidRPr="007B6803">
        <w:rPr>
          <w:rFonts w:ascii="Arial" w:eastAsia="Times New Roman" w:hAnsi="Arial" w:cs="Arial"/>
          <w:lang w:eastAsia="en-GB"/>
        </w:rPr>
        <w:t>42.</w:t>
      </w:r>
      <w:r w:rsidRPr="007B6803">
        <w:rPr>
          <w:rFonts w:ascii="Arial" w:eastAsia="Times New Roman" w:hAnsi="Arial" w:cs="Arial"/>
          <w:lang w:eastAsia="en-GB"/>
        </w:rPr>
        <w:tab/>
        <w:t xml:space="preserve">Khalid, S., Chaudhary, M. N., Nazir, R., Ahmad, S. R., Hussain, N., Ayub, Y., &amp; </w:t>
      </w:r>
      <w:proofErr w:type="spellStart"/>
      <w:r w:rsidRPr="007B6803">
        <w:rPr>
          <w:rFonts w:ascii="Arial" w:eastAsia="Times New Roman" w:hAnsi="Arial" w:cs="Arial"/>
          <w:lang w:eastAsia="en-GB"/>
        </w:rPr>
        <w:t>Ibrar</w:t>
      </w:r>
      <w:proofErr w:type="spellEnd"/>
      <w:r w:rsidRPr="007B6803">
        <w:rPr>
          <w:rFonts w:ascii="Arial" w:eastAsia="Times New Roman" w:hAnsi="Arial" w:cs="Arial"/>
          <w:lang w:eastAsia="en-GB"/>
        </w:rPr>
        <w:t xml:space="preserve">, M. (2023). Biochar supported </w:t>
      </w:r>
      <w:proofErr w:type="spellStart"/>
      <w:r w:rsidRPr="007B6803">
        <w:rPr>
          <w:rFonts w:ascii="Arial" w:eastAsia="Times New Roman" w:hAnsi="Arial" w:cs="Arial"/>
          <w:lang w:eastAsia="en-GB"/>
        </w:rPr>
        <w:t>metallo</w:t>
      </w:r>
      <w:proofErr w:type="spellEnd"/>
      <w:r w:rsidRPr="007B6803">
        <w:rPr>
          <w:rFonts w:ascii="Arial" w:eastAsia="Times New Roman" w:hAnsi="Arial" w:cs="Arial"/>
          <w:lang w:eastAsia="en-GB"/>
        </w:rPr>
        <w:t xml:space="preserve">-inorganic nanocomposite: A green approach for decontamination of heavy metals from water. </w:t>
      </w:r>
      <w:proofErr w:type="spellStart"/>
      <w:r w:rsidRPr="007B6803">
        <w:rPr>
          <w:rFonts w:ascii="Arial" w:eastAsia="Times New Roman" w:hAnsi="Arial" w:cs="Arial"/>
          <w:i/>
          <w:iCs/>
          <w:lang w:eastAsia="en-GB"/>
        </w:rPr>
        <w:t>PLoS</w:t>
      </w:r>
      <w:proofErr w:type="spellEnd"/>
      <w:r w:rsidRPr="007B6803">
        <w:rPr>
          <w:rFonts w:ascii="Arial" w:eastAsia="Times New Roman" w:hAnsi="Arial" w:cs="Arial"/>
          <w:i/>
          <w:iCs/>
          <w:lang w:eastAsia="en-GB"/>
        </w:rPr>
        <w:t xml:space="preserve"> ONE</w:t>
      </w:r>
      <w:r w:rsidRPr="007B6803">
        <w:rPr>
          <w:rFonts w:ascii="Arial" w:eastAsia="Times New Roman" w:hAnsi="Arial" w:cs="Arial"/>
          <w:lang w:eastAsia="en-GB"/>
        </w:rPr>
        <w:t xml:space="preserve">, 18(9), e0289069. </w:t>
      </w:r>
      <w:hyperlink r:id="rId37" w:history="1">
        <w:r w:rsidRPr="007B6803">
          <w:rPr>
            <w:rStyle w:val="Hyperlink"/>
            <w:rFonts w:ascii="Arial" w:hAnsi="Arial" w:cs="Arial"/>
          </w:rPr>
          <w:t>https://doi.org/10.1371/journal.pone.0289069</w:t>
        </w:r>
      </w:hyperlink>
    </w:p>
    <w:p w14:paraId="51FE9E60" w14:textId="77777777" w:rsidR="00CE768F" w:rsidRPr="007B6803" w:rsidRDefault="00CE768F" w:rsidP="00CE768F">
      <w:pPr>
        <w:spacing w:after="0"/>
        <w:ind w:left="720" w:hanging="720"/>
        <w:jc w:val="both"/>
        <w:rPr>
          <w:rFonts w:ascii="Arial" w:hAnsi="Arial" w:cs="Arial"/>
        </w:rPr>
      </w:pPr>
      <w:r w:rsidRPr="007B6803">
        <w:rPr>
          <w:rFonts w:ascii="Arial" w:eastAsia="Times New Roman" w:hAnsi="Arial" w:cs="Arial"/>
          <w:lang w:eastAsia="en-GB"/>
        </w:rPr>
        <w:t>43.</w:t>
      </w:r>
      <w:r w:rsidRPr="007B6803">
        <w:rPr>
          <w:rFonts w:ascii="Arial" w:eastAsia="Times New Roman" w:hAnsi="Arial" w:cs="Arial"/>
          <w:lang w:eastAsia="en-GB"/>
        </w:rPr>
        <w:tab/>
      </w:r>
      <w:proofErr w:type="spellStart"/>
      <w:r w:rsidRPr="007B6803">
        <w:rPr>
          <w:rFonts w:ascii="Arial" w:eastAsia="Times New Roman" w:hAnsi="Arial" w:cs="Arial"/>
          <w:lang w:eastAsia="en-GB"/>
        </w:rPr>
        <w:t>Damiri</w:t>
      </w:r>
      <w:proofErr w:type="spellEnd"/>
      <w:r w:rsidRPr="007B6803">
        <w:rPr>
          <w:rFonts w:ascii="Arial" w:eastAsia="Times New Roman" w:hAnsi="Arial" w:cs="Arial"/>
          <w:lang w:eastAsia="en-GB"/>
        </w:rPr>
        <w:t xml:space="preserve">, F., Andra, S., Kommineni, N., Balu, S. K., Bulusu, R., </w:t>
      </w:r>
      <w:proofErr w:type="spellStart"/>
      <w:r w:rsidRPr="007B6803">
        <w:rPr>
          <w:rFonts w:ascii="Arial" w:eastAsia="Times New Roman" w:hAnsi="Arial" w:cs="Arial"/>
          <w:lang w:eastAsia="en-GB"/>
        </w:rPr>
        <w:t>Boseila</w:t>
      </w:r>
      <w:proofErr w:type="spellEnd"/>
      <w:r w:rsidRPr="007B6803">
        <w:rPr>
          <w:rFonts w:ascii="Arial" w:eastAsia="Times New Roman" w:hAnsi="Arial" w:cs="Arial"/>
          <w:lang w:eastAsia="en-GB"/>
        </w:rPr>
        <w:t xml:space="preserve">, A. A., ... &amp; </w:t>
      </w:r>
      <w:proofErr w:type="spellStart"/>
      <w:r w:rsidRPr="007B6803">
        <w:rPr>
          <w:rFonts w:ascii="Arial" w:eastAsia="Times New Roman" w:hAnsi="Arial" w:cs="Arial"/>
          <w:lang w:eastAsia="en-GB"/>
        </w:rPr>
        <w:t>Cavalu</w:t>
      </w:r>
      <w:proofErr w:type="spellEnd"/>
      <w:r w:rsidRPr="007B6803">
        <w:rPr>
          <w:rFonts w:ascii="Arial" w:eastAsia="Times New Roman" w:hAnsi="Arial" w:cs="Arial"/>
          <w:lang w:eastAsia="en-GB"/>
        </w:rPr>
        <w:t xml:space="preserve">, S. (2022). Recent advances in adsorptive nanocomposite membranes for heavy metal ion removal from contaminated water: A comprehensive review. </w:t>
      </w:r>
      <w:r w:rsidRPr="007B6803">
        <w:rPr>
          <w:rFonts w:ascii="Arial" w:eastAsia="Times New Roman" w:hAnsi="Arial" w:cs="Arial"/>
          <w:i/>
          <w:iCs/>
          <w:lang w:eastAsia="en-GB"/>
        </w:rPr>
        <w:t>Materials</w:t>
      </w:r>
      <w:r w:rsidRPr="007B6803">
        <w:rPr>
          <w:rFonts w:ascii="Arial" w:eastAsia="Times New Roman" w:hAnsi="Arial" w:cs="Arial"/>
          <w:lang w:eastAsia="en-GB"/>
        </w:rPr>
        <w:t xml:space="preserve">, 15(15), 5392. </w:t>
      </w:r>
      <w:hyperlink r:id="rId38" w:history="1">
        <w:r w:rsidRPr="007B6803">
          <w:rPr>
            <w:rStyle w:val="Hyperlink"/>
            <w:rFonts w:ascii="Arial" w:hAnsi="Arial" w:cs="Arial"/>
          </w:rPr>
          <w:t>https://doi.org/10.3390/ma15155392</w:t>
        </w:r>
      </w:hyperlink>
    </w:p>
    <w:p w14:paraId="3B9682E3" w14:textId="472F28D4" w:rsidR="00CE768F" w:rsidRPr="007B6803" w:rsidRDefault="00CE768F" w:rsidP="00CE768F">
      <w:pPr>
        <w:spacing w:after="0"/>
        <w:ind w:left="720" w:hanging="720"/>
        <w:jc w:val="both"/>
        <w:rPr>
          <w:rFonts w:ascii="Arial" w:eastAsia="Times New Roman" w:hAnsi="Arial" w:cs="Arial"/>
          <w:lang w:eastAsia="en-GB"/>
        </w:rPr>
      </w:pPr>
      <w:r w:rsidRPr="007B6803">
        <w:rPr>
          <w:rFonts w:ascii="Arial" w:eastAsia="Times New Roman" w:hAnsi="Arial" w:cs="Arial"/>
          <w:lang w:eastAsia="en-GB"/>
        </w:rPr>
        <w:t>45</w:t>
      </w:r>
      <w:r w:rsidRPr="007B6803">
        <w:rPr>
          <w:rFonts w:ascii="Arial" w:eastAsia="Times New Roman" w:hAnsi="Arial" w:cs="Arial"/>
          <w:lang w:eastAsia="en-GB"/>
        </w:rPr>
        <w:tab/>
        <w:t xml:space="preserve">Korhonen, J. T., &amp; Argyropoulos, D. S. (2023). Recent advances in bio-based functional additives for    polymers. </w:t>
      </w:r>
      <w:r w:rsidRPr="007B6803">
        <w:rPr>
          <w:rFonts w:ascii="Arial" w:eastAsia="Times New Roman" w:hAnsi="Arial" w:cs="Arial"/>
          <w:i/>
          <w:iCs/>
          <w:lang w:eastAsia="en-GB"/>
        </w:rPr>
        <w:t>Progress in Materials Science</w:t>
      </w:r>
      <w:r w:rsidRPr="007B6803">
        <w:rPr>
          <w:rFonts w:ascii="Arial" w:eastAsia="Times New Roman" w:hAnsi="Arial" w:cs="Arial"/>
          <w:lang w:eastAsia="en-GB"/>
        </w:rPr>
        <w:t xml:space="preserve">, 139, 101186. </w:t>
      </w:r>
      <w:hyperlink r:id="rId39" w:history="1">
        <w:r w:rsidR="00590786" w:rsidRPr="007B6803">
          <w:rPr>
            <w:rStyle w:val="Hyperlink"/>
            <w:rFonts w:ascii="Arial" w:eastAsia="Times New Roman" w:hAnsi="Arial" w:cs="Arial"/>
            <w:lang w:eastAsia="en-GB"/>
          </w:rPr>
          <w:t>https://doi.org/10.1016/j.pmatsci.2023.101186</w:t>
        </w:r>
      </w:hyperlink>
    </w:p>
    <w:p w14:paraId="276B0577" w14:textId="77F8C215" w:rsidR="00590786" w:rsidRPr="007B6803" w:rsidRDefault="00590786" w:rsidP="00590786">
      <w:pPr>
        <w:pStyle w:val="Heading1"/>
        <w:shd w:val="clear" w:color="auto" w:fill="FFFFFF"/>
        <w:spacing w:before="0" w:after="240"/>
        <w:ind w:left="720" w:hanging="720"/>
        <w:jc w:val="both"/>
        <w:rPr>
          <w:rFonts w:ascii="Arial" w:hAnsi="Arial" w:cs="Arial"/>
          <w:b w:val="0"/>
          <w:color w:val="auto"/>
          <w:sz w:val="22"/>
          <w:szCs w:val="22"/>
        </w:rPr>
      </w:pPr>
      <w:r w:rsidRPr="007B6803">
        <w:rPr>
          <w:rFonts w:ascii="Arial" w:eastAsia="Times New Roman" w:hAnsi="Arial" w:cs="Arial"/>
          <w:b w:val="0"/>
          <w:color w:val="auto"/>
          <w:sz w:val="22"/>
          <w:szCs w:val="22"/>
          <w:lang w:eastAsia="en-GB"/>
        </w:rPr>
        <w:t>46</w:t>
      </w:r>
      <w:r w:rsidRPr="007B6803">
        <w:rPr>
          <w:rFonts w:ascii="Arial" w:eastAsia="Times New Roman" w:hAnsi="Arial" w:cs="Arial"/>
          <w:b w:val="0"/>
          <w:color w:val="auto"/>
          <w:sz w:val="22"/>
          <w:szCs w:val="22"/>
          <w:lang w:eastAsia="en-GB"/>
        </w:rPr>
        <w:tab/>
      </w:r>
      <w:hyperlink r:id="rId40" w:anchor="auth-Ahmed-Elmekawy-Aff1-Aff2" w:history="1">
        <w:r w:rsidRPr="007B6803">
          <w:rPr>
            <w:rFonts w:ascii="Arial" w:eastAsia="Times New Roman" w:hAnsi="Arial" w:cs="Arial"/>
            <w:b w:val="0"/>
            <w:color w:val="auto"/>
            <w:sz w:val="22"/>
            <w:szCs w:val="22"/>
            <w:highlight w:val="yellow"/>
            <w:u w:val="single"/>
            <w:lang w:eastAsia="en-GB"/>
          </w:rPr>
          <w:t>Ahmed Elmekawy</w:t>
        </w:r>
      </w:hyperlink>
      <w:r w:rsidRPr="002C041A">
        <w:rPr>
          <w:rFonts w:ascii="Arial" w:eastAsia="Times New Roman" w:hAnsi="Arial" w:cs="Arial"/>
          <w:b w:val="0"/>
          <w:color w:val="auto"/>
          <w:sz w:val="22"/>
          <w:szCs w:val="22"/>
          <w:highlight w:val="yellow"/>
          <w:lang w:eastAsia="en-GB"/>
        </w:rPr>
        <w:t>, </w:t>
      </w:r>
      <w:hyperlink r:id="rId41" w:anchor="auth-Qui-Quach-Aff1" w:history="1">
        <w:r w:rsidRPr="007B6803">
          <w:rPr>
            <w:rFonts w:ascii="Arial" w:eastAsia="Times New Roman" w:hAnsi="Arial" w:cs="Arial"/>
            <w:b w:val="0"/>
            <w:color w:val="auto"/>
            <w:sz w:val="22"/>
            <w:szCs w:val="22"/>
            <w:highlight w:val="yellow"/>
            <w:u w:val="single"/>
            <w:lang w:eastAsia="en-GB"/>
          </w:rPr>
          <w:t>Qui Quach</w:t>
        </w:r>
      </w:hyperlink>
      <w:r w:rsidRPr="002C041A">
        <w:rPr>
          <w:rFonts w:ascii="Arial" w:eastAsia="Times New Roman" w:hAnsi="Arial" w:cs="Arial"/>
          <w:b w:val="0"/>
          <w:color w:val="auto"/>
          <w:sz w:val="22"/>
          <w:szCs w:val="22"/>
          <w:highlight w:val="yellow"/>
          <w:lang w:eastAsia="en-GB"/>
        </w:rPr>
        <w:t> &amp; </w:t>
      </w:r>
      <w:hyperlink r:id="rId42" w:anchor="auth-Tarek_M_-Abdel_Fattah-Aff1-Aff3" w:history="1">
        <w:r w:rsidRPr="007B6803">
          <w:rPr>
            <w:rFonts w:ascii="Arial" w:eastAsia="Times New Roman" w:hAnsi="Arial" w:cs="Arial"/>
            <w:b w:val="0"/>
            <w:color w:val="auto"/>
            <w:sz w:val="22"/>
            <w:szCs w:val="22"/>
            <w:highlight w:val="yellow"/>
            <w:u w:val="single"/>
            <w:lang w:eastAsia="en-GB"/>
          </w:rPr>
          <w:t>Tarek M. Abdel-Fattah</w:t>
        </w:r>
      </w:hyperlink>
      <w:r w:rsidRPr="007B6803">
        <w:rPr>
          <w:rFonts w:ascii="Arial" w:eastAsia="Times New Roman" w:hAnsi="Arial" w:cs="Arial"/>
          <w:b w:val="0"/>
          <w:color w:val="auto"/>
          <w:sz w:val="22"/>
          <w:szCs w:val="22"/>
          <w:highlight w:val="yellow"/>
          <w:lang w:eastAsia="en-GB"/>
        </w:rPr>
        <w:t xml:space="preserve"> (2023)</w:t>
      </w:r>
      <w:r w:rsidRPr="007B6803">
        <w:rPr>
          <w:rFonts w:ascii="Arial" w:hAnsi="Arial" w:cs="Arial"/>
          <w:b w:val="0"/>
          <w:color w:val="auto"/>
          <w:sz w:val="22"/>
          <w:szCs w:val="22"/>
          <w:highlight w:val="yellow"/>
        </w:rPr>
        <w:t xml:space="preserve"> Synthesis of a novel multifunctional organic–inorganic nanocomposite for metal ions and organic dye removals, </w:t>
      </w:r>
      <w:r w:rsidRPr="007B6803">
        <w:rPr>
          <w:rFonts w:ascii="Arial" w:hAnsi="Arial" w:cs="Arial"/>
          <w:b w:val="0"/>
          <w:i/>
          <w:color w:val="auto"/>
          <w:sz w:val="22"/>
          <w:szCs w:val="22"/>
          <w:highlight w:val="yellow"/>
        </w:rPr>
        <w:t>Scientific reports</w:t>
      </w:r>
      <w:r w:rsidRPr="007B6803">
        <w:rPr>
          <w:rFonts w:ascii="Arial" w:hAnsi="Arial" w:cs="Arial"/>
          <w:b w:val="0"/>
          <w:color w:val="auto"/>
          <w:sz w:val="22"/>
          <w:szCs w:val="22"/>
          <w:highlight w:val="yellow"/>
        </w:rPr>
        <w:t>.13(12845). Doi.org/10.1038/s41598-023-38420-2</w:t>
      </w:r>
    </w:p>
    <w:p w14:paraId="0ABAF544" w14:textId="514E1D74" w:rsidR="00F4244B" w:rsidRPr="007B6803" w:rsidRDefault="00943D44" w:rsidP="00943D44">
      <w:pPr>
        <w:pStyle w:val="c-bibliographic-informationcitation"/>
        <w:shd w:val="clear" w:color="auto" w:fill="FFFFFF"/>
        <w:spacing w:before="0" w:beforeAutospacing="0" w:after="240" w:afterAutospacing="0"/>
        <w:ind w:left="720" w:hanging="720"/>
        <w:jc w:val="both"/>
        <w:rPr>
          <w:rFonts w:ascii="Arial" w:hAnsi="Arial" w:cs="Arial"/>
          <w:color w:val="222222"/>
          <w:sz w:val="22"/>
          <w:szCs w:val="22"/>
        </w:rPr>
      </w:pPr>
      <w:r w:rsidRPr="007B6803">
        <w:rPr>
          <w:sz w:val="22"/>
          <w:szCs w:val="22"/>
        </w:rPr>
        <w:t>47</w:t>
      </w:r>
      <w:r w:rsidRPr="007B6803">
        <w:rPr>
          <w:sz w:val="22"/>
          <w:szCs w:val="22"/>
        </w:rPr>
        <w:tab/>
      </w:r>
      <w:proofErr w:type="spellStart"/>
      <w:r w:rsidR="00F4244B" w:rsidRPr="007B6803">
        <w:rPr>
          <w:rFonts w:ascii="Arial" w:hAnsi="Arial" w:cs="Arial"/>
          <w:color w:val="222222"/>
          <w:sz w:val="22"/>
          <w:szCs w:val="22"/>
          <w:highlight w:val="yellow"/>
        </w:rPr>
        <w:t>Sadrara</w:t>
      </w:r>
      <w:proofErr w:type="spellEnd"/>
      <w:r w:rsidR="00F4244B" w:rsidRPr="007B6803">
        <w:rPr>
          <w:rFonts w:ascii="Arial" w:hAnsi="Arial" w:cs="Arial"/>
          <w:color w:val="222222"/>
          <w:sz w:val="22"/>
          <w:szCs w:val="22"/>
          <w:highlight w:val="yellow"/>
        </w:rPr>
        <w:t>, M., Khorrami, M.K. Designing an efficient organic–inorganic hybrid nanocomposite for simultaneous oxidative/adsorptive desulfurization of model and real fuel oils. </w:t>
      </w:r>
      <w:r w:rsidR="00F4244B" w:rsidRPr="007B6803">
        <w:rPr>
          <w:rFonts w:ascii="Arial" w:hAnsi="Arial" w:cs="Arial"/>
          <w:i/>
          <w:iCs/>
          <w:color w:val="222222"/>
          <w:sz w:val="22"/>
          <w:szCs w:val="22"/>
          <w:highlight w:val="yellow"/>
        </w:rPr>
        <w:t>Sci Rep</w:t>
      </w:r>
      <w:r w:rsidR="00F4244B" w:rsidRPr="007B6803">
        <w:rPr>
          <w:rFonts w:ascii="Arial" w:hAnsi="Arial" w:cs="Arial"/>
          <w:color w:val="222222"/>
          <w:sz w:val="22"/>
          <w:szCs w:val="22"/>
          <w:highlight w:val="yellow"/>
        </w:rPr>
        <w:t> </w:t>
      </w:r>
      <w:r w:rsidR="00F4244B" w:rsidRPr="007B6803">
        <w:rPr>
          <w:rFonts w:ascii="Arial" w:hAnsi="Arial" w:cs="Arial"/>
          <w:b/>
          <w:bCs/>
          <w:color w:val="222222"/>
          <w:sz w:val="22"/>
          <w:szCs w:val="22"/>
          <w:highlight w:val="yellow"/>
        </w:rPr>
        <w:t>13</w:t>
      </w:r>
      <w:r w:rsidR="00F4244B" w:rsidRPr="007B6803">
        <w:rPr>
          <w:rFonts w:ascii="Arial" w:hAnsi="Arial" w:cs="Arial"/>
          <w:color w:val="222222"/>
          <w:sz w:val="22"/>
          <w:szCs w:val="22"/>
          <w:highlight w:val="yellow"/>
        </w:rPr>
        <w:t>, 15134 (2023). https://doi.org/10.1038/s41598-023-42392-8</w:t>
      </w:r>
    </w:p>
    <w:p w14:paraId="3DA17C46" w14:textId="77296956" w:rsidR="00F4244B" w:rsidRPr="007B6803" w:rsidRDefault="00F4244B" w:rsidP="00F4244B">
      <w:pPr>
        <w:rPr>
          <w:rFonts w:ascii="Arial" w:hAnsi="Arial" w:cs="Arial"/>
        </w:rPr>
      </w:pPr>
    </w:p>
    <w:p w14:paraId="182814A3" w14:textId="77777777" w:rsidR="00CE768F" w:rsidRPr="007B6803" w:rsidRDefault="00CE768F" w:rsidP="00CE768F">
      <w:pPr>
        <w:spacing w:after="0"/>
        <w:jc w:val="both"/>
        <w:rPr>
          <w:rFonts w:ascii="Arial" w:hAnsi="Arial" w:cs="Arial"/>
        </w:rPr>
      </w:pPr>
    </w:p>
    <w:p w14:paraId="54AC6058" w14:textId="77777777" w:rsidR="00CE768F" w:rsidRPr="007B6803" w:rsidRDefault="00CE768F" w:rsidP="00CE768F">
      <w:pPr>
        <w:spacing w:after="0"/>
        <w:rPr>
          <w:rFonts w:ascii="Arial" w:hAnsi="Arial" w:cs="Arial"/>
        </w:rPr>
      </w:pPr>
    </w:p>
    <w:p w14:paraId="73F8F378" w14:textId="77777777" w:rsidR="00CE768F" w:rsidRPr="007B6803" w:rsidRDefault="00CE768F" w:rsidP="00CE768F">
      <w:pPr>
        <w:pStyle w:val="ListParagraph"/>
        <w:spacing w:after="0"/>
        <w:ind w:left="540"/>
        <w:jc w:val="both"/>
        <w:rPr>
          <w:rFonts w:ascii="Arial" w:hAnsi="Arial" w:cs="Arial"/>
        </w:rPr>
      </w:pPr>
    </w:p>
    <w:p w14:paraId="30A14B30" w14:textId="77777777" w:rsidR="00CE768F" w:rsidRPr="007B6803" w:rsidRDefault="00CE768F" w:rsidP="00CE768F">
      <w:pPr>
        <w:spacing w:after="0"/>
        <w:ind w:left="720" w:hanging="720"/>
        <w:jc w:val="both"/>
        <w:rPr>
          <w:rStyle w:val="Hyperlink"/>
          <w:rFonts w:ascii="Arial" w:hAnsi="Arial" w:cs="Arial"/>
        </w:rPr>
      </w:pPr>
    </w:p>
    <w:p w14:paraId="36CE4F5F" w14:textId="77777777" w:rsidR="00CE768F" w:rsidRPr="007B6803" w:rsidRDefault="00CE768F" w:rsidP="00CE768F">
      <w:pPr>
        <w:spacing w:after="0"/>
        <w:ind w:left="180"/>
        <w:jc w:val="both"/>
        <w:rPr>
          <w:rFonts w:ascii="Arial" w:hAnsi="Arial" w:cs="Arial"/>
        </w:rPr>
      </w:pPr>
    </w:p>
    <w:p w14:paraId="23C7CEAC" w14:textId="77777777" w:rsidR="00CE768F" w:rsidRPr="007B6803" w:rsidRDefault="00CE768F" w:rsidP="00CE768F">
      <w:pPr>
        <w:spacing w:after="0"/>
        <w:ind w:left="720" w:hanging="720"/>
        <w:jc w:val="both"/>
        <w:rPr>
          <w:rFonts w:ascii="Arial" w:hAnsi="Arial" w:cs="Arial"/>
        </w:rPr>
      </w:pPr>
    </w:p>
    <w:p w14:paraId="43506A2F" w14:textId="77777777" w:rsidR="00CE768F" w:rsidRPr="007B6803" w:rsidRDefault="00CE768F" w:rsidP="00CE768F">
      <w:pPr>
        <w:spacing w:after="0"/>
        <w:ind w:left="720" w:hanging="720"/>
        <w:jc w:val="both"/>
        <w:rPr>
          <w:rFonts w:ascii="Arial" w:hAnsi="Arial" w:cs="Arial"/>
          <w:u w:val="single"/>
        </w:rPr>
      </w:pPr>
    </w:p>
    <w:p w14:paraId="7F0674C5" w14:textId="77777777" w:rsidR="00CE768F" w:rsidRPr="007B6803" w:rsidRDefault="00CE768F" w:rsidP="00CE768F">
      <w:pPr>
        <w:spacing w:after="0"/>
        <w:ind w:left="720" w:hanging="720"/>
        <w:jc w:val="both"/>
        <w:rPr>
          <w:rStyle w:val="Hyperlink"/>
          <w:rFonts w:ascii="Arial" w:hAnsi="Arial" w:cs="Arial"/>
        </w:rPr>
      </w:pPr>
    </w:p>
    <w:p w14:paraId="35BAB8C1" w14:textId="77777777" w:rsidR="00CE768F" w:rsidRPr="007B6803" w:rsidRDefault="00CE768F" w:rsidP="00CE768F">
      <w:pPr>
        <w:spacing w:after="0"/>
        <w:ind w:left="720" w:hanging="720"/>
        <w:jc w:val="both"/>
        <w:rPr>
          <w:rFonts w:ascii="Arial" w:eastAsia="Times New Roman" w:hAnsi="Arial" w:cs="Arial"/>
          <w:lang w:eastAsia="en-GB"/>
        </w:rPr>
      </w:pPr>
    </w:p>
    <w:p w14:paraId="574EA272" w14:textId="77777777" w:rsidR="00CE768F" w:rsidRPr="007B6803" w:rsidRDefault="00CE768F" w:rsidP="00CE768F">
      <w:pPr>
        <w:spacing w:after="0"/>
        <w:ind w:left="720" w:hanging="720"/>
        <w:jc w:val="both"/>
        <w:rPr>
          <w:rFonts w:ascii="Arial" w:eastAsia="Times New Roman" w:hAnsi="Arial" w:cs="Arial"/>
          <w:lang w:eastAsia="en-GB"/>
        </w:rPr>
      </w:pPr>
    </w:p>
    <w:p w14:paraId="7EBAE38D" w14:textId="77777777" w:rsidR="00CE768F" w:rsidRPr="007B6803" w:rsidRDefault="00CE768F" w:rsidP="00CE768F">
      <w:pPr>
        <w:spacing w:after="0"/>
        <w:ind w:left="720" w:hanging="720"/>
        <w:jc w:val="both"/>
        <w:rPr>
          <w:rFonts w:ascii="Arial" w:eastAsia="Times New Roman" w:hAnsi="Arial" w:cs="Arial"/>
          <w:lang w:eastAsia="en-GB"/>
        </w:rPr>
      </w:pPr>
    </w:p>
    <w:p w14:paraId="62B886E4" w14:textId="77777777" w:rsidR="00CE768F" w:rsidRPr="007B6803" w:rsidRDefault="00CE768F" w:rsidP="00CE768F">
      <w:pPr>
        <w:spacing w:after="0"/>
        <w:ind w:left="720" w:hanging="720"/>
        <w:jc w:val="both"/>
        <w:rPr>
          <w:rFonts w:ascii="Arial" w:eastAsia="Times New Roman" w:hAnsi="Arial" w:cs="Arial"/>
          <w:lang w:eastAsia="en-GB"/>
        </w:rPr>
      </w:pPr>
    </w:p>
    <w:p w14:paraId="5C1BBD9B" w14:textId="77777777" w:rsidR="00CE768F" w:rsidRDefault="00CE768F" w:rsidP="00CE768F">
      <w:pPr>
        <w:spacing w:after="0"/>
        <w:ind w:left="720" w:hanging="720"/>
        <w:jc w:val="both"/>
        <w:rPr>
          <w:rFonts w:ascii="Arial" w:eastAsia="Times New Roman" w:hAnsi="Arial" w:cs="Arial"/>
          <w:lang w:eastAsia="en-GB"/>
        </w:rPr>
      </w:pPr>
    </w:p>
    <w:p w14:paraId="2F45C8EA" w14:textId="77777777" w:rsidR="00CE768F" w:rsidRPr="008634A1" w:rsidRDefault="00CE768F" w:rsidP="00CE768F">
      <w:pPr>
        <w:spacing w:after="0"/>
        <w:ind w:left="720" w:hanging="720"/>
        <w:jc w:val="both"/>
        <w:rPr>
          <w:rFonts w:ascii="Arial" w:eastAsia="Times New Roman" w:hAnsi="Arial" w:cs="Arial"/>
          <w:lang w:eastAsia="en-GB"/>
        </w:rPr>
      </w:pPr>
    </w:p>
    <w:p w14:paraId="2339782D" w14:textId="77777777" w:rsidR="00CE768F" w:rsidRPr="00221240" w:rsidRDefault="00CE768F" w:rsidP="00CE768F">
      <w:pPr>
        <w:spacing w:after="0"/>
        <w:ind w:left="720" w:hanging="720"/>
        <w:jc w:val="both"/>
        <w:rPr>
          <w:rFonts w:ascii="Arial" w:eastAsia="Times New Roman" w:hAnsi="Arial" w:cs="Arial"/>
          <w:lang w:eastAsia="en-GB"/>
        </w:rPr>
      </w:pPr>
    </w:p>
    <w:p w14:paraId="6EC40E8B" w14:textId="77777777" w:rsidR="00CE768F" w:rsidRPr="00221240" w:rsidRDefault="00CE768F" w:rsidP="00CE768F">
      <w:pPr>
        <w:spacing w:after="0"/>
        <w:ind w:left="720" w:hanging="720"/>
        <w:jc w:val="both"/>
        <w:rPr>
          <w:rFonts w:ascii="Arial" w:eastAsia="Times New Roman" w:hAnsi="Arial" w:cs="Arial"/>
          <w:lang w:eastAsia="en-GB"/>
        </w:rPr>
      </w:pPr>
    </w:p>
    <w:p w14:paraId="726ECD2D" w14:textId="77777777" w:rsidR="00CE768F" w:rsidRPr="00221240" w:rsidRDefault="00CE768F" w:rsidP="00CE768F">
      <w:pPr>
        <w:spacing w:after="0"/>
        <w:ind w:left="720" w:hanging="720"/>
        <w:jc w:val="both"/>
        <w:rPr>
          <w:rFonts w:ascii="Arial" w:eastAsia="Times New Roman" w:hAnsi="Arial" w:cs="Arial"/>
          <w:lang w:eastAsia="en-GB"/>
        </w:rPr>
      </w:pPr>
    </w:p>
    <w:p w14:paraId="1FC219BB" w14:textId="77777777" w:rsidR="00CE768F" w:rsidRPr="00221240" w:rsidRDefault="00CE768F" w:rsidP="00CE768F">
      <w:pPr>
        <w:spacing w:after="0"/>
        <w:ind w:left="720" w:hanging="720"/>
        <w:jc w:val="both"/>
        <w:rPr>
          <w:rFonts w:ascii="Arial" w:eastAsia="Times New Roman" w:hAnsi="Arial" w:cs="Arial"/>
          <w:lang w:eastAsia="en-GB"/>
        </w:rPr>
      </w:pPr>
    </w:p>
    <w:p w14:paraId="7461E170" w14:textId="77777777" w:rsidR="00CE768F" w:rsidRPr="00221240" w:rsidRDefault="00CE768F" w:rsidP="00CE768F">
      <w:pPr>
        <w:spacing w:after="0"/>
        <w:ind w:left="720" w:hanging="540"/>
        <w:jc w:val="both"/>
        <w:rPr>
          <w:rFonts w:ascii="Arial" w:eastAsia="Times New Roman" w:hAnsi="Arial" w:cs="Arial"/>
          <w:lang w:eastAsia="en-GB"/>
        </w:rPr>
      </w:pPr>
    </w:p>
    <w:p w14:paraId="4D8C29B0" w14:textId="77777777" w:rsidR="005E5BA1" w:rsidRPr="0023554D" w:rsidRDefault="005E5BA1" w:rsidP="00F23EB8">
      <w:pPr>
        <w:spacing w:after="0"/>
        <w:rPr>
          <w:rFonts w:ascii="Arial" w:hAnsi="Arial" w:cs="Arial"/>
        </w:rPr>
      </w:pPr>
    </w:p>
    <w:sectPr w:rsidR="005E5BA1" w:rsidRPr="0023554D">
      <w:headerReference w:type="even" r:id="rId43"/>
      <w:headerReference w:type="default" r:id="rId44"/>
      <w:head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23323" w14:textId="77777777" w:rsidR="002F1ED0" w:rsidRDefault="002F1ED0" w:rsidP="00B77196">
      <w:pPr>
        <w:spacing w:after="0" w:line="240" w:lineRule="auto"/>
      </w:pPr>
      <w:r>
        <w:separator/>
      </w:r>
    </w:p>
  </w:endnote>
  <w:endnote w:type="continuationSeparator" w:id="0">
    <w:p w14:paraId="630AAF8B" w14:textId="77777777" w:rsidR="002F1ED0" w:rsidRDefault="002F1ED0" w:rsidP="00B77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nionPro-Regular2">
    <w:altName w:val="Arial Unicode MS"/>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7B026" w14:textId="77777777" w:rsidR="002F1ED0" w:rsidRDefault="002F1ED0" w:rsidP="00B77196">
      <w:pPr>
        <w:spacing w:after="0" w:line="240" w:lineRule="auto"/>
      </w:pPr>
      <w:r>
        <w:separator/>
      </w:r>
    </w:p>
  </w:footnote>
  <w:footnote w:type="continuationSeparator" w:id="0">
    <w:p w14:paraId="501E22D1" w14:textId="77777777" w:rsidR="002F1ED0" w:rsidRDefault="002F1ED0" w:rsidP="00B77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7F31F" w14:textId="09BFB898" w:rsidR="00B77196" w:rsidRDefault="00EB309A">
    <w:pPr>
      <w:pStyle w:val="Header"/>
    </w:pPr>
    <w:r>
      <w:rPr>
        <w:noProof/>
      </w:rPr>
      <w:pict w14:anchorId="5B2DD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70275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62BB" w14:textId="0FF94BE1" w:rsidR="00B77196" w:rsidRDefault="00EB309A">
    <w:pPr>
      <w:pStyle w:val="Header"/>
    </w:pPr>
    <w:r>
      <w:rPr>
        <w:noProof/>
      </w:rPr>
      <w:pict w14:anchorId="72966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70275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112AB" w14:textId="3CBA5101" w:rsidR="00B77196" w:rsidRDefault="00EB309A">
    <w:pPr>
      <w:pStyle w:val="Header"/>
    </w:pPr>
    <w:r>
      <w:rPr>
        <w:noProof/>
      </w:rPr>
      <w:pict w14:anchorId="725B8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70275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4ED1"/>
    <w:multiLevelType w:val="hybridMultilevel"/>
    <w:tmpl w:val="89389056"/>
    <w:lvl w:ilvl="0" w:tplc="172EB9B2">
      <w:start w:val="25"/>
      <w:numFmt w:val="decimal"/>
      <w:lvlText w:val="%1"/>
      <w:lvlJc w:val="left"/>
      <w:pPr>
        <w:ind w:left="720" w:hanging="360"/>
      </w:pPr>
      <w:rPr>
        <w:rFonts w:eastAsia="MinionPro-Regular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81260"/>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6220DCD"/>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402906"/>
    <w:multiLevelType w:val="multilevel"/>
    <w:tmpl w:val="0278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B402A9"/>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872625F"/>
    <w:multiLevelType w:val="multilevel"/>
    <w:tmpl w:val="5F4691E6"/>
    <w:lvl w:ilvl="0">
      <w:start w:val="1"/>
      <w:numFmt w:val="decimal"/>
      <w:lvlText w:val="%1."/>
      <w:lvlJc w:val="left"/>
      <w:pPr>
        <w:tabs>
          <w:tab w:val="num" w:pos="644"/>
        </w:tabs>
        <w:ind w:left="644"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292535C"/>
    <w:multiLevelType w:val="multilevel"/>
    <w:tmpl w:val="24F89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7BB"/>
    <w:rsid w:val="0004025D"/>
    <w:rsid w:val="00086927"/>
    <w:rsid w:val="00105988"/>
    <w:rsid w:val="0013294C"/>
    <w:rsid w:val="001507BB"/>
    <w:rsid w:val="001638E7"/>
    <w:rsid w:val="00167B34"/>
    <w:rsid w:val="00167D3F"/>
    <w:rsid w:val="001F2B1E"/>
    <w:rsid w:val="002002B6"/>
    <w:rsid w:val="00211639"/>
    <w:rsid w:val="002229EF"/>
    <w:rsid w:val="0023554D"/>
    <w:rsid w:val="00271D4E"/>
    <w:rsid w:val="002D7D36"/>
    <w:rsid w:val="002F1ED0"/>
    <w:rsid w:val="002F57F6"/>
    <w:rsid w:val="00350894"/>
    <w:rsid w:val="00353AB1"/>
    <w:rsid w:val="00395EE8"/>
    <w:rsid w:val="00446F2B"/>
    <w:rsid w:val="00454E51"/>
    <w:rsid w:val="004A47A8"/>
    <w:rsid w:val="004C5FD5"/>
    <w:rsid w:val="004E06AA"/>
    <w:rsid w:val="004F076B"/>
    <w:rsid w:val="00590786"/>
    <w:rsid w:val="005E5BA1"/>
    <w:rsid w:val="00606651"/>
    <w:rsid w:val="00625E9B"/>
    <w:rsid w:val="00661C0E"/>
    <w:rsid w:val="006838CD"/>
    <w:rsid w:val="00684D21"/>
    <w:rsid w:val="00684D4C"/>
    <w:rsid w:val="006B5B1A"/>
    <w:rsid w:val="00723204"/>
    <w:rsid w:val="00731840"/>
    <w:rsid w:val="00761850"/>
    <w:rsid w:val="007B15EC"/>
    <w:rsid w:val="007B6803"/>
    <w:rsid w:val="00810362"/>
    <w:rsid w:val="00844717"/>
    <w:rsid w:val="00897479"/>
    <w:rsid w:val="008A429E"/>
    <w:rsid w:val="00943D44"/>
    <w:rsid w:val="009802C9"/>
    <w:rsid w:val="009A32FE"/>
    <w:rsid w:val="009B29CC"/>
    <w:rsid w:val="009C76F2"/>
    <w:rsid w:val="00A0305C"/>
    <w:rsid w:val="00A47049"/>
    <w:rsid w:val="00A637E1"/>
    <w:rsid w:val="00A83BAA"/>
    <w:rsid w:val="00AB084F"/>
    <w:rsid w:val="00AD2020"/>
    <w:rsid w:val="00AD7737"/>
    <w:rsid w:val="00B107E3"/>
    <w:rsid w:val="00B46FBF"/>
    <w:rsid w:val="00B508D4"/>
    <w:rsid w:val="00B75050"/>
    <w:rsid w:val="00B76581"/>
    <w:rsid w:val="00B77196"/>
    <w:rsid w:val="00BD6A74"/>
    <w:rsid w:val="00C0325F"/>
    <w:rsid w:val="00C1545C"/>
    <w:rsid w:val="00C43AF8"/>
    <w:rsid w:val="00CE768F"/>
    <w:rsid w:val="00D61038"/>
    <w:rsid w:val="00E623B7"/>
    <w:rsid w:val="00E96824"/>
    <w:rsid w:val="00EB08B0"/>
    <w:rsid w:val="00EB309A"/>
    <w:rsid w:val="00ED067A"/>
    <w:rsid w:val="00F23EB8"/>
    <w:rsid w:val="00F4244B"/>
    <w:rsid w:val="00F73614"/>
    <w:rsid w:val="00F91C3B"/>
    <w:rsid w:val="00F95BAC"/>
    <w:rsid w:val="00FA6D33"/>
    <w:rsid w:val="00FF2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64A4B0"/>
  <w15:docId w15:val="{58691A8F-F8A0-43DE-B178-D6C13B14D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07BB"/>
  </w:style>
  <w:style w:type="paragraph" w:styleId="Heading1">
    <w:name w:val="heading 1"/>
    <w:basedOn w:val="Normal"/>
    <w:next w:val="Normal"/>
    <w:link w:val="Heading1Char"/>
    <w:uiPriority w:val="9"/>
    <w:qFormat/>
    <w:rsid w:val="005907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507B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507B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07B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507B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507BB"/>
    <w:rPr>
      <w:b/>
      <w:bCs/>
    </w:rPr>
  </w:style>
  <w:style w:type="paragraph" w:styleId="NormalWeb">
    <w:name w:val="Normal (Web)"/>
    <w:basedOn w:val="Normal"/>
    <w:uiPriority w:val="99"/>
    <w:unhideWhenUsed/>
    <w:rsid w:val="001507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507BB"/>
    <w:rPr>
      <w:i/>
      <w:iCs/>
    </w:rPr>
  </w:style>
  <w:style w:type="character" w:customStyle="1" w:styleId="ms-1">
    <w:name w:val="ms-1"/>
    <w:basedOn w:val="DefaultParagraphFont"/>
    <w:rsid w:val="001507BB"/>
  </w:style>
  <w:style w:type="character" w:customStyle="1" w:styleId="max-w-full">
    <w:name w:val="max-w-full"/>
    <w:basedOn w:val="DefaultParagraphFont"/>
    <w:rsid w:val="001507BB"/>
  </w:style>
  <w:style w:type="character" w:styleId="Hyperlink">
    <w:name w:val="Hyperlink"/>
    <w:basedOn w:val="DefaultParagraphFont"/>
    <w:uiPriority w:val="99"/>
    <w:unhideWhenUsed/>
    <w:rsid w:val="004C5FD5"/>
    <w:rPr>
      <w:color w:val="0000FF"/>
      <w:u w:val="single"/>
    </w:rPr>
  </w:style>
  <w:style w:type="paragraph" w:styleId="ListParagraph">
    <w:name w:val="List Paragraph"/>
    <w:basedOn w:val="Normal"/>
    <w:uiPriority w:val="34"/>
    <w:qFormat/>
    <w:rsid w:val="004C5FD5"/>
    <w:pPr>
      <w:ind w:left="720"/>
      <w:contextualSpacing/>
    </w:pPr>
  </w:style>
  <w:style w:type="paragraph" w:styleId="BalloonText">
    <w:name w:val="Balloon Text"/>
    <w:basedOn w:val="Normal"/>
    <w:link w:val="BalloonTextChar"/>
    <w:uiPriority w:val="99"/>
    <w:semiHidden/>
    <w:unhideWhenUsed/>
    <w:rsid w:val="00F23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EB8"/>
    <w:rPr>
      <w:rFonts w:ascii="Tahoma" w:hAnsi="Tahoma" w:cs="Tahoma"/>
      <w:sz w:val="16"/>
      <w:szCs w:val="16"/>
    </w:rPr>
  </w:style>
  <w:style w:type="character" w:customStyle="1" w:styleId="UnresolvedMention1">
    <w:name w:val="Unresolved Mention1"/>
    <w:basedOn w:val="DefaultParagraphFont"/>
    <w:uiPriority w:val="99"/>
    <w:semiHidden/>
    <w:unhideWhenUsed/>
    <w:rsid w:val="004A47A8"/>
    <w:rPr>
      <w:color w:val="605E5C"/>
      <w:shd w:val="clear" w:color="auto" w:fill="E1DFDD"/>
    </w:rPr>
  </w:style>
  <w:style w:type="paragraph" w:styleId="Header">
    <w:name w:val="header"/>
    <w:basedOn w:val="Normal"/>
    <w:link w:val="HeaderChar"/>
    <w:uiPriority w:val="99"/>
    <w:unhideWhenUsed/>
    <w:rsid w:val="00B77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196"/>
  </w:style>
  <w:style w:type="paragraph" w:styleId="Footer">
    <w:name w:val="footer"/>
    <w:basedOn w:val="Normal"/>
    <w:link w:val="FooterChar"/>
    <w:uiPriority w:val="99"/>
    <w:unhideWhenUsed/>
    <w:rsid w:val="00B77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196"/>
  </w:style>
  <w:style w:type="character" w:customStyle="1" w:styleId="Heading1Char">
    <w:name w:val="Heading 1 Char"/>
    <w:basedOn w:val="DefaultParagraphFont"/>
    <w:link w:val="Heading1"/>
    <w:uiPriority w:val="9"/>
    <w:rsid w:val="00590786"/>
    <w:rPr>
      <w:rFonts w:asciiTheme="majorHAnsi" w:eastAsiaTheme="majorEastAsia" w:hAnsiTheme="majorHAnsi" w:cstheme="majorBidi"/>
      <w:b/>
      <w:bCs/>
      <w:color w:val="365F91" w:themeColor="accent1" w:themeShade="BF"/>
      <w:sz w:val="28"/>
      <w:szCs w:val="28"/>
    </w:rPr>
  </w:style>
  <w:style w:type="paragraph" w:customStyle="1" w:styleId="c-bibliographic-informationcitation">
    <w:name w:val="c-bibliographic-information__citation"/>
    <w:basedOn w:val="Normal"/>
    <w:rsid w:val="00F424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67973">
      <w:bodyDiv w:val="1"/>
      <w:marLeft w:val="0"/>
      <w:marRight w:val="0"/>
      <w:marTop w:val="0"/>
      <w:marBottom w:val="0"/>
      <w:divBdr>
        <w:top w:val="none" w:sz="0" w:space="0" w:color="auto"/>
        <w:left w:val="none" w:sz="0" w:space="0" w:color="auto"/>
        <w:bottom w:val="none" w:sz="0" w:space="0" w:color="auto"/>
        <w:right w:val="none" w:sz="0" w:space="0" w:color="auto"/>
      </w:divBdr>
    </w:div>
    <w:div w:id="275909542">
      <w:bodyDiv w:val="1"/>
      <w:marLeft w:val="0"/>
      <w:marRight w:val="0"/>
      <w:marTop w:val="0"/>
      <w:marBottom w:val="0"/>
      <w:divBdr>
        <w:top w:val="none" w:sz="0" w:space="0" w:color="auto"/>
        <w:left w:val="none" w:sz="0" w:space="0" w:color="auto"/>
        <w:bottom w:val="none" w:sz="0" w:space="0" w:color="auto"/>
        <w:right w:val="none" w:sz="0" w:space="0" w:color="auto"/>
      </w:divBdr>
    </w:div>
    <w:div w:id="802622439">
      <w:bodyDiv w:val="1"/>
      <w:marLeft w:val="0"/>
      <w:marRight w:val="0"/>
      <w:marTop w:val="0"/>
      <w:marBottom w:val="0"/>
      <w:divBdr>
        <w:top w:val="none" w:sz="0" w:space="0" w:color="auto"/>
        <w:left w:val="none" w:sz="0" w:space="0" w:color="auto"/>
        <w:bottom w:val="none" w:sz="0" w:space="0" w:color="auto"/>
        <w:right w:val="none" w:sz="0" w:space="0" w:color="auto"/>
      </w:divBdr>
    </w:div>
    <w:div w:id="993143859">
      <w:bodyDiv w:val="1"/>
      <w:marLeft w:val="0"/>
      <w:marRight w:val="0"/>
      <w:marTop w:val="0"/>
      <w:marBottom w:val="0"/>
      <w:divBdr>
        <w:top w:val="none" w:sz="0" w:space="0" w:color="auto"/>
        <w:left w:val="none" w:sz="0" w:space="0" w:color="auto"/>
        <w:bottom w:val="none" w:sz="0" w:space="0" w:color="auto"/>
        <w:right w:val="none" w:sz="0" w:space="0" w:color="auto"/>
      </w:divBdr>
    </w:div>
    <w:div w:id="1747796875">
      <w:bodyDiv w:val="1"/>
      <w:marLeft w:val="0"/>
      <w:marRight w:val="0"/>
      <w:marTop w:val="0"/>
      <w:marBottom w:val="0"/>
      <w:divBdr>
        <w:top w:val="none" w:sz="0" w:space="0" w:color="auto"/>
        <w:left w:val="none" w:sz="0" w:space="0" w:color="auto"/>
        <w:bottom w:val="none" w:sz="0" w:space="0" w:color="auto"/>
        <w:right w:val="none" w:sz="0" w:space="0" w:color="auto"/>
      </w:divBdr>
    </w:div>
    <w:div w:id="176476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02/9783527684479" TargetMode="External"/><Relationship Id="rId39" Type="http://schemas.openxmlformats.org/officeDocument/2006/relationships/hyperlink" Target="https://doi.org/10.1016/j.pmatsci.2023.101186" TargetMode="External"/><Relationship Id="rId21" Type="http://schemas.openxmlformats.org/officeDocument/2006/relationships/hyperlink" Target="https://doi.org/10.1007/978-3-642-38557-3" TargetMode="External"/><Relationship Id="rId34" Type="http://schemas.openxmlformats.org/officeDocument/2006/relationships/hyperlink" Target="https://doi.org/10.1007/s40090-015-0040-1" TargetMode="External"/><Relationship Id="rId42" Type="http://schemas.openxmlformats.org/officeDocument/2006/relationships/hyperlink" Target="https://www.nature.com/articles/s41598-023-38420-2" TargetMode="External"/><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doi.org/10.4314/jasem.v20i1.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16/j.tca.2011.03.034" TargetMode="External"/><Relationship Id="rId32" Type="http://schemas.openxmlformats.org/officeDocument/2006/relationships/hyperlink" Target="https://doi.org/10.1016/j.jcis.2010.05.027" TargetMode="External"/><Relationship Id="rId37" Type="http://schemas.openxmlformats.org/officeDocument/2006/relationships/hyperlink" Target="https://doi.org/10.1371/journal.pone.0289069" TargetMode="External"/><Relationship Id="rId40" Type="http://schemas.openxmlformats.org/officeDocument/2006/relationships/hyperlink" Target="https://www.nature.com/articles/s41598-023-38420-2"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155/2012/380217" TargetMode="External"/><Relationship Id="rId28" Type="http://schemas.openxmlformats.org/officeDocument/2006/relationships/hyperlink" Target="https://doi.org/10.1108/03699420710718751" TargetMode="External"/><Relationship Id="rId36" Type="http://schemas.openxmlformats.org/officeDocument/2006/relationships/hyperlink" Target="https://doi.org/10.1016/j.mtcomm.2024.107232" TargetMode="External"/><Relationship Id="rId10" Type="http://schemas.openxmlformats.org/officeDocument/2006/relationships/image" Target="media/image3.jpeg"/><Relationship Id="rId19" Type="http://schemas.openxmlformats.org/officeDocument/2006/relationships/hyperlink" Target="https://doi.org/10.1039/B509097K" TargetMode="External"/><Relationship Id="rId31" Type="http://schemas.openxmlformats.org/officeDocument/2006/relationships/hyperlink" Target="https://doi.org/10.1002/9780470027318.a5606"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matlet.2007.04.079" TargetMode="External"/><Relationship Id="rId27" Type="http://schemas.openxmlformats.org/officeDocument/2006/relationships/hyperlink" Target="http://dx.doi.org/10.1590/S0104-66322011000100011" TargetMode="External"/><Relationship Id="rId30" Type="http://schemas.openxmlformats.org/officeDocument/2006/relationships/hyperlink" Target="https://doi.org/10.1002/0470011149" TargetMode="External"/><Relationship Id="rId35" Type="http://schemas.openxmlformats.org/officeDocument/2006/relationships/hyperlink" Target="https://en.wikipedia.org/wiki/Thermogravimetric_analysis?utm_source=chatgpt.com" TargetMode="External"/><Relationship Id="rId43" Type="http://schemas.openxmlformats.org/officeDocument/2006/relationships/header" Target="header1.xml"/><Relationship Id="rId8" Type="http://schemas.openxmlformats.org/officeDocument/2006/relationships/package" Target="embeddings/Microsoft_Word_Document.docx"/><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mtcomm.2024.107232" TargetMode="External"/><Relationship Id="rId33" Type="http://schemas.openxmlformats.org/officeDocument/2006/relationships/hyperlink" Target="https://doi.org/10.1007/s13726-013-0146-2%2038" TargetMode="External"/><Relationship Id="rId38" Type="http://schemas.openxmlformats.org/officeDocument/2006/relationships/hyperlink" Target="https://doi.org/10.3390/ma15155392" TargetMode="External"/><Relationship Id="rId46" Type="http://schemas.openxmlformats.org/officeDocument/2006/relationships/fontTable" Target="fontTable.xml"/><Relationship Id="rId20" Type="http://schemas.openxmlformats.org/officeDocument/2006/relationships/hyperlink" Target="https://doi.org/10.1007/BF02695813" TargetMode="External"/><Relationship Id="rId41" Type="http://schemas.openxmlformats.org/officeDocument/2006/relationships/hyperlink" Target="https://www.nature.com/articles/s41598-023-384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4160</Words>
  <Characters>23717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6</cp:revision>
  <dcterms:created xsi:type="dcterms:W3CDTF">2025-09-06T16:36:00Z</dcterms:created>
  <dcterms:modified xsi:type="dcterms:W3CDTF">2025-09-09T10:00:00Z</dcterms:modified>
</cp:coreProperties>
</file>