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2247" w:rsidRDefault="001A2247">
      <w:pPr>
        <w:spacing w:line="480" w:lineRule="auto"/>
      </w:pPr>
    </w:p>
    <w:p w:rsidR="001A2247" w:rsidRDefault="001A2247">
      <w:pPr>
        <w:spacing w:line="480" w:lineRule="auto"/>
        <w:rPr>
          <w:rFonts w:ascii="Arial" w:hAnsi="Arial" w:cs="Arial"/>
          <w:b/>
          <w:color w:val="000000" w:themeColor="text1"/>
          <w:sz w:val="36"/>
          <w:szCs w:val="36"/>
        </w:rPr>
      </w:pPr>
    </w:p>
    <w:p w:rsidR="001A2247" w:rsidRDefault="00905E84">
      <w:pPr>
        <w:rPr>
          <w:rFonts w:ascii="Arial" w:eastAsia="Times New Roman" w:hAnsi="Arial" w:cs="Arial"/>
          <w:b/>
          <w:color w:val="000000" w:themeColor="text1"/>
          <w:sz w:val="36"/>
          <w:szCs w:val="36"/>
          <w:lang w:val="en-IN" w:eastAsia="en-IN"/>
        </w:rPr>
      </w:pPr>
      <w:r>
        <w:rPr>
          <w:rFonts w:ascii="Arial" w:hAnsi="Arial" w:cs="Arial"/>
          <w:b/>
          <w:color w:val="000000" w:themeColor="text1"/>
          <w:sz w:val="36"/>
          <w:szCs w:val="36"/>
        </w:rPr>
        <w:t xml:space="preserve">Dynamic changes </w:t>
      </w:r>
      <w:r>
        <w:rPr>
          <w:rStyle w:val="15"/>
          <w:rFonts w:ascii="Arial" w:eastAsia="Arial Unicode MS" w:hAnsi="Arial" w:cs="Arial"/>
          <w:b/>
          <w:bCs/>
          <w:color w:val="000000" w:themeColor="text1"/>
          <w:sz w:val="36"/>
          <w:szCs w:val="36"/>
        </w:rPr>
        <w:t xml:space="preserve">in Forest Cover within Notified Forest Areas of </w:t>
      </w:r>
      <w:proofErr w:type="spellStart"/>
      <w:r>
        <w:rPr>
          <w:rStyle w:val="15"/>
          <w:rFonts w:ascii="Arial" w:eastAsia="Arial Unicode MS" w:hAnsi="Arial" w:cs="Arial"/>
          <w:b/>
          <w:bCs/>
          <w:color w:val="000000" w:themeColor="text1"/>
          <w:sz w:val="36"/>
          <w:szCs w:val="36"/>
        </w:rPr>
        <w:t>Goalpara</w:t>
      </w:r>
      <w:proofErr w:type="spellEnd"/>
      <w:r>
        <w:rPr>
          <w:rStyle w:val="15"/>
          <w:rFonts w:ascii="Arial" w:eastAsia="Arial Unicode MS" w:hAnsi="Arial" w:cs="Arial"/>
          <w:b/>
          <w:bCs/>
          <w:color w:val="000000" w:themeColor="text1"/>
          <w:sz w:val="36"/>
          <w:szCs w:val="36"/>
        </w:rPr>
        <w:t xml:space="preserve"> </w:t>
      </w:r>
      <w:proofErr w:type="spellStart"/>
      <w:r>
        <w:rPr>
          <w:rStyle w:val="15"/>
          <w:rFonts w:ascii="Arial" w:eastAsia="Arial Unicode MS" w:hAnsi="Arial" w:cs="Arial"/>
          <w:b/>
          <w:bCs/>
          <w:color w:val="000000" w:themeColor="text1"/>
          <w:sz w:val="36"/>
          <w:szCs w:val="36"/>
        </w:rPr>
        <w:t>Sadar</w:t>
      </w:r>
      <w:proofErr w:type="spellEnd"/>
      <w:r>
        <w:rPr>
          <w:rStyle w:val="15"/>
          <w:rFonts w:ascii="Arial" w:eastAsia="Arial Unicode MS" w:hAnsi="Arial" w:cs="Arial"/>
          <w:b/>
          <w:bCs/>
          <w:color w:val="000000" w:themeColor="text1"/>
          <w:sz w:val="36"/>
          <w:szCs w:val="36"/>
        </w:rPr>
        <w:t xml:space="preserve"> Range, Assam (1993–2023) with a 2033 Projection</w:t>
      </w:r>
    </w:p>
    <w:p w:rsidR="001A2247" w:rsidRDefault="001A2247">
      <w:pPr>
        <w:spacing w:line="480" w:lineRule="auto"/>
        <w:rPr>
          <w:rFonts w:ascii="Arial" w:hAnsi="Arial" w:cs="Arial"/>
          <w:b/>
          <w:color w:val="29863D"/>
          <w:sz w:val="24"/>
          <w:szCs w:val="24"/>
        </w:rPr>
      </w:pPr>
    </w:p>
    <w:p w:rsidR="001A2247" w:rsidRDefault="001A2247">
      <w:pPr>
        <w:spacing w:line="480" w:lineRule="auto"/>
        <w:jc w:val="center"/>
        <w:rPr>
          <w:rFonts w:ascii="Times New Roman" w:hAnsi="Times New Roman" w:cs="Times New Roman"/>
        </w:rPr>
      </w:pPr>
    </w:p>
    <w:p w:rsidR="001A2247" w:rsidRDefault="00905E84">
      <w:pPr>
        <w:spacing w:line="480" w:lineRule="auto"/>
        <w:rPr>
          <w:rFonts w:ascii="Times New Roman" w:hAnsi="Times New Roman" w:cs="Times New Roman"/>
          <w:b/>
          <w:bCs/>
          <w:sz w:val="24"/>
          <w:szCs w:val="24"/>
        </w:rPr>
      </w:pPr>
      <w:r>
        <w:rPr>
          <w:rFonts w:ascii="Arial" w:hAnsi="Arial" w:cs="Arial"/>
          <w:b/>
          <w:bCs/>
          <w:sz w:val="22"/>
          <w:szCs w:val="22"/>
        </w:rPr>
        <w:t>ABSTRACT</w:t>
      </w:r>
      <w:r>
        <w:rPr>
          <w:rFonts w:ascii="Times New Roman" w:hAnsi="Times New Roman" w:cs="Times New Roman"/>
          <w:b/>
          <w:bCs/>
          <w:sz w:val="24"/>
          <w:szCs w:val="24"/>
        </w:rPr>
        <w:t>:</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assessment of changes in forest cover is critical to the sustainable management of forest resources, particularly in notified forest areas (NFAs). These habitats provide vital habitat for several terrestrial creatures, including the huge Asian elephant that lives in the study area. In recent decades, several forest-related issues have arisen in the </w:t>
      </w:r>
      <w:proofErr w:type="spellStart"/>
      <w:r>
        <w:rPr>
          <w:rFonts w:ascii="Arial" w:hAnsi="Arial" w:cs="Arial"/>
          <w:sz w:val="20"/>
          <w:szCs w:val="20"/>
        </w:rPr>
        <w:t>Goalpara</w:t>
      </w:r>
      <w:proofErr w:type="spellEnd"/>
      <w:r>
        <w:rPr>
          <w:rFonts w:ascii="Arial" w:hAnsi="Arial" w:cs="Arial"/>
          <w:sz w:val="20"/>
          <w:szCs w:val="20"/>
        </w:rPr>
        <w:t xml:space="preserve">, including encroachment, agricultural land expansion, and confrontations between humans and elephants. </w:t>
      </w:r>
    </w:p>
    <w:p w:rsidR="001A2247" w:rsidRDefault="00905E84">
      <w:pPr>
        <w:pStyle w:val="NormalWeb"/>
        <w:spacing w:line="480" w:lineRule="auto"/>
        <w:ind w:firstLine="720"/>
        <w:jc w:val="both"/>
        <w:rPr>
          <w:rFonts w:ascii="Arial" w:hAnsi="Arial" w:cs="Arial"/>
          <w:sz w:val="20"/>
          <w:szCs w:val="20"/>
        </w:rPr>
      </w:pPr>
      <w:r>
        <w:rPr>
          <w:rFonts w:ascii="Arial" w:hAnsi="Arial" w:cs="Arial"/>
          <w:sz w:val="20"/>
          <w:szCs w:val="20"/>
        </w:rPr>
        <w:t xml:space="preserve">To better understand the dynamics of forest cover alterations and their underlying causes, land use and land cover (LULC) pattern analysis has been carried out using Landsat imagery. Furthermore, GIS software has been used to analyze </w:t>
      </w:r>
      <w:proofErr w:type="spellStart"/>
      <w:r>
        <w:rPr>
          <w:rFonts w:ascii="Arial" w:hAnsi="Arial" w:cs="Arial"/>
          <w:sz w:val="20"/>
          <w:szCs w:val="20"/>
        </w:rPr>
        <w:t>spatio</w:t>
      </w:r>
      <w:proofErr w:type="spellEnd"/>
      <w:r>
        <w:rPr>
          <w:rFonts w:ascii="Arial" w:hAnsi="Arial" w:cs="Arial"/>
          <w:sz w:val="20"/>
          <w:szCs w:val="20"/>
        </w:rPr>
        <w:t xml:space="preserve">-temporal changes in forest cover over a 30-year period, specifically the years 1993, 2003, 2013, and 2023. Additionally, future forest cover mappings (2033) were generated using the QGIS </w:t>
      </w:r>
      <w:proofErr w:type="spellStart"/>
      <w:r>
        <w:rPr>
          <w:rFonts w:ascii="Arial" w:hAnsi="Arial" w:cs="Arial"/>
          <w:sz w:val="20"/>
          <w:szCs w:val="20"/>
        </w:rPr>
        <w:t>Molusce</w:t>
      </w:r>
      <w:proofErr w:type="spellEnd"/>
      <w:r>
        <w:rPr>
          <w:rFonts w:ascii="Arial" w:hAnsi="Arial" w:cs="Arial"/>
          <w:sz w:val="20"/>
          <w:szCs w:val="20"/>
        </w:rPr>
        <w:t xml:space="preserve"> Plugin. </w:t>
      </w:r>
    </w:p>
    <w:p w:rsidR="001A2247" w:rsidRDefault="00905E84">
      <w:pPr>
        <w:pStyle w:val="NormalWeb"/>
        <w:spacing w:line="480" w:lineRule="auto"/>
        <w:ind w:firstLine="720"/>
        <w:jc w:val="both"/>
        <w:rPr>
          <w:rFonts w:ascii="Arial" w:hAnsi="Arial" w:cs="Arial"/>
          <w:sz w:val="20"/>
          <w:szCs w:val="20"/>
        </w:rPr>
      </w:pPr>
      <w:r>
        <w:rPr>
          <w:rFonts w:ascii="Arial" w:hAnsi="Arial" w:cs="Arial"/>
          <w:sz w:val="20"/>
          <w:szCs w:val="20"/>
        </w:rPr>
        <w:t xml:space="preserve">The key findings of this study indicate that the total forest cover area of the range has been determined as 6663.74 ha (66.52%) in 1993, 6991.09 ha (69.79%) in 2003, 6308.69 ha (62.98%) in 2013, 5955.96 ha (59.45%) in 2023, and is projected to reach 4662.41 ha (53.55%) in 2033. The significant alterations in land use and land cover (LULC) classes include a decrease in Dense Forest (DF) by 1176.9 ha (-11.7%), an overall decrease in Open Forest (OF) by 497.2 ha (-5%), together with an increase in built-up area (BU) by 1977.7 ha (19.7%) and Agricultural Plantation (AP) by 458.1 ha (4.6%), but Moderate Forest (MF) increase of 238.9 ha (2.4%). The average accuracy of the whole classified result found as overall accuracy~89.75, Kappa statistics~0.84. The decline in DF and OF can usually be attributed to changes in the </w:t>
      </w:r>
      <w:r>
        <w:rPr>
          <w:rFonts w:ascii="Arial" w:hAnsi="Arial" w:cs="Arial"/>
          <w:sz w:val="20"/>
          <w:szCs w:val="20"/>
        </w:rPr>
        <w:lastRenderedPageBreak/>
        <w:t xml:space="preserve">area, particularly the increase in non-forest regions. These areas, typically located near forest edges, are rapidly diminishing due to encroachment by Built-up area and to minimizing the effect, it is </w:t>
      </w:r>
      <w:proofErr w:type="gramStart"/>
      <w:r>
        <w:rPr>
          <w:rFonts w:ascii="Arial" w:hAnsi="Arial" w:cs="Arial"/>
          <w:sz w:val="20"/>
          <w:szCs w:val="20"/>
        </w:rPr>
        <w:t>require</w:t>
      </w:r>
      <w:proofErr w:type="gramEnd"/>
      <w:r>
        <w:rPr>
          <w:rFonts w:ascii="Arial" w:hAnsi="Arial" w:cs="Arial"/>
          <w:sz w:val="20"/>
          <w:szCs w:val="20"/>
        </w:rPr>
        <w:t xml:space="preserve"> strictly protected boundary demarcation.</w:t>
      </w:r>
    </w:p>
    <w:p w:rsidR="001A2247" w:rsidRDefault="00905E84">
      <w:pPr>
        <w:pStyle w:val="NormalWeb"/>
        <w:rPr>
          <w:rFonts w:ascii="Arial" w:hAnsi="Arial" w:cs="Arial"/>
          <w:i/>
          <w:color w:val="000000" w:themeColor="text1"/>
          <w:sz w:val="20"/>
          <w:szCs w:val="20"/>
          <w:lang w:val="en-IN" w:eastAsia="en-IN"/>
        </w:rPr>
      </w:pPr>
      <w:r>
        <w:rPr>
          <w:rFonts w:ascii="Arial" w:hAnsi="Arial" w:cs="Arial"/>
          <w:b/>
          <w:i/>
        </w:rPr>
        <w:t>Keywords</w:t>
      </w:r>
      <w:r>
        <w:rPr>
          <w:rFonts w:ascii="Arial" w:hAnsi="Arial" w:cs="Arial"/>
          <w:i/>
          <w:color w:val="000000" w:themeColor="text1"/>
          <w:sz w:val="20"/>
          <w:szCs w:val="20"/>
        </w:rPr>
        <w:t xml:space="preserve">: </w:t>
      </w:r>
      <w:r>
        <w:rPr>
          <w:rStyle w:val="15"/>
          <w:rFonts w:ascii="Arial" w:hAnsi="Arial" w:cs="Arial"/>
          <w:i/>
          <w:color w:val="000000" w:themeColor="text1"/>
          <w:sz w:val="20"/>
          <w:szCs w:val="20"/>
          <w:u w:val="none"/>
        </w:rPr>
        <w:t xml:space="preserve">Forest cover dynamic, NFAs, satellite data and LULC, </w:t>
      </w:r>
      <w:proofErr w:type="spellStart"/>
      <w:r>
        <w:rPr>
          <w:rStyle w:val="15"/>
          <w:rFonts w:ascii="Arial" w:hAnsi="Arial" w:cs="Arial"/>
          <w:i/>
          <w:color w:val="000000" w:themeColor="text1"/>
          <w:sz w:val="20"/>
          <w:szCs w:val="20"/>
          <w:u w:val="none"/>
        </w:rPr>
        <w:t>Goalpara</w:t>
      </w:r>
      <w:proofErr w:type="spellEnd"/>
      <w:r>
        <w:rPr>
          <w:rStyle w:val="15"/>
          <w:rFonts w:ascii="Arial" w:hAnsi="Arial" w:cs="Arial"/>
          <w:i/>
          <w:color w:val="000000" w:themeColor="text1"/>
          <w:sz w:val="20"/>
          <w:szCs w:val="20"/>
          <w:u w:val="none"/>
        </w:rPr>
        <w:t xml:space="preserve"> forest range</w:t>
      </w:r>
    </w:p>
    <w:p w:rsidR="001A2247" w:rsidRDefault="001A2247">
      <w:pPr>
        <w:spacing w:line="480" w:lineRule="auto"/>
        <w:jc w:val="both"/>
        <w:rPr>
          <w:rFonts w:ascii="Arial" w:eastAsia="Calibri" w:hAnsi="Arial" w:cs="Arial"/>
          <w:b/>
          <w:szCs w:val="22"/>
        </w:rPr>
      </w:pPr>
    </w:p>
    <w:p w:rsidR="001A2247" w:rsidRDefault="00905E84">
      <w:pPr>
        <w:pStyle w:val="ListParagraph"/>
        <w:numPr>
          <w:ilvl w:val="0"/>
          <w:numId w:val="1"/>
        </w:numPr>
        <w:spacing w:line="480" w:lineRule="auto"/>
        <w:jc w:val="both"/>
        <w:rPr>
          <w:rFonts w:ascii="Arial" w:eastAsia="Calibri" w:hAnsi="Arial" w:cs="Arial"/>
          <w:b/>
          <w:sz w:val="22"/>
          <w:szCs w:val="22"/>
        </w:rPr>
      </w:pPr>
      <w:r>
        <w:rPr>
          <w:rFonts w:ascii="Arial" w:eastAsia="Calibri" w:hAnsi="Arial" w:cs="Arial"/>
          <w:b/>
          <w:sz w:val="22"/>
          <w:szCs w:val="22"/>
        </w:rPr>
        <w:t xml:space="preserve">INTRODUCTION: </w:t>
      </w:r>
    </w:p>
    <w:p w:rsidR="001A2247" w:rsidRDefault="00905E84">
      <w:pPr>
        <w:pStyle w:val="NormalWeb"/>
        <w:spacing w:line="480" w:lineRule="auto"/>
        <w:ind w:firstLine="360"/>
        <w:jc w:val="both"/>
        <w:rPr>
          <w:rFonts w:ascii="Arial" w:hAnsi="Arial" w:cs="Arial"/>
          <w:sz w:val="20"/>
          <w:szCs w:val="20"/>
          <w:lang w:val="en-IN" w:eastAsia="en-IN"/>
        </w:rPr>
      </w:pPr>
      <w:r>
        <w:rPr>
          <w:rFonts w:ascii="Arial" w:hAnsi="Arial" w:cs="Arial"/>
          <w:sz w:val="20"/>
          <w:szCs w:val="20"/>
        </w:rPr>
        <w:t>The forest is recognized as an essential component of the global terrestrial ecosystem, encompassing around 31% of the Earth's land surface (FAO, 2010; Xia, H., et al., 2023). Forest cover is recognized as a vital indicator of environmental conditions (Keenan, RJ, et al., 2015), providing numerous benefits to human beings, such as fresh water and the regulation of water flow (</w:t>
      </w:r>
      <w:proofErr w:type="spellStart"/>
      <w:r>
        <w:rPr>
          <w:rFonts w:ascii="Arial" w:hAnsi="Arial" w:cs="Arial"/>
          <w:sz w:val="20"/>
          <w:szCs w:val="20"/>
        </w:rPr>
        <w:t>Ssentongo</w:t>
      </w:r>
      <w:proofErr w:type="spellEnd"/>
      <w:r>
        <w:rPr>
          <w:rFonts w:ascii="Arial" w:hAnsi="Arial" w:cs="Arial"/>
          <w:sz w:val="20"/>
          <w:szCs w:val="20"/>
        </w:rPr>
        <w:t xml:space="preserve"> A.A. et al., 2017). Forests provide unparalleled species richness and diversity compared to any other terrestrial environment (</w:t>
      </w:r>
      <w:proofErr w:type="spellStart"/>
      <w:r>
        <w:rPr>
          <w:rFonts w:ascii="Arial" w:hAnsi="Arial" w:cs="Arial"/>
          <w:sz w:val="20"/>
          <w:szCs w:val="20"/>
        </w:rPr>
        <w:t>Medhi</w:t>
      </w:r>
      <w:proofErr w:type="spellEnd"/>
      <w:r>
        <w:rPr>
          <w:rFonts w:ascii="Arial" w:hAnsi="Arial" w:cs="Arial"/>
          <w:sz w:val="20"/>
          <w:szCs w:val="20"/>
        </w:rPr>
        <w:t xml:space="preserve"> and Kar, 2016). Forests are an indispensable component of our environment; they preserve environmental and ecological balance through energy exchange, carbon cycling, and climate change (Yuan et al., 2020), ensuring that ecosystems remain balanced on both regional and global scales among humans, plants, animals, and other abiotic components (Liu et al., 2020). The global forest cover serves as a crucial indicator of the planet's health, playing a vital role in sustaining life on Earth (Pan, Y., et al., 2011; www.worldwildlife.org).</w:t>
      </w:r>
    </w:p>
    <w:p w:rsidR="001A2247" w:rsidRDefault="00905E84">
      <w:pPr>
        <w:pStyle w:val="NormalWeb"/>
        <w:spacing w:line="480" w:lineRule="auto"/>
        <w:ind w:firstLine="360"/>
        <w:jc w:val="both"/>
        <w:rPr>
          <w:rFonts w:ascii="Arial" w:hAnsi="Arial" w:cs="Arial"/>
          <w:sz w:val="20"/>
          <w:szCs w:val="20"/>
        </w:rPr>
      </w:pPr>
      <w:r>
        <w:rPr>
          <w:rFonts w:ascii="Arial" w:hAnsi="Arial" w:cs="Arial"/>
          <w:sz w:val="20"/>
          <w:szCs w:val="20"/>
        </w:rPr>
        <w:t xml:space="preserve">Monitoring of forest cover on both global and regional levels has facilitated the identification of suitable locations for the establishment of protected areas aimed at biodiversity conservation, where biodiversity is significantly under-protected (Myers et al., 2000; Ghosh-Harihar et al., 2019). This is because protected areas serve as the only shelter for numerous species that inhabit underneath them. The India State of Forest Report (ISFR, 2019) reveals an increase in forest cover by 3,97,600 ha from 2017 to 2019. However, in contrast, the northeastern region of India, including Assam, Mizoram, Nagaland, and Manipur, has faced a loss of 3,87,700 ha of forest cover from 2013 to 2023. The total recorded forest area in Assam is reported to be 26,83,200 ha, which constitutes 34.21% of the total geographical area, which is a combined area of 17,864 ha that has been identified as Reserved Forest, while 8,968 ha was categorized </w:t>
      </w:r>
      <w:r>
        <w:rPr>
          <w:rFonts w:ascii="Arial" w:hAnsi="Arial" w:cs="Arial"/>
          <w:sz w:val="20"/>
          <w:szCs w:val="20"/>
        </w:rPr>
        <w:lastRenderedPageBreak/>
        <w:t xml:space="preserve">as Unclassed Forest (ISFR, 2019). The </w:t>
      </w:r>
      <w:proofErr w:type="spellStart"/>
      <w:r>
        <w:rPr>
          <w:rFonts w:ascii="Arial" w:hAnsi="Arial" w:cs="Arial"/>
          <w:sz w:val="20"/>
          <w:szCs w:val="20"/>
        </w:rPr>
        <w:t>Goalpara</w:t>
      </w:r>
      <w:proofErr w:type="spellEnd"/>
      <w:r>
        <w:rPr>
          <w:rFonts w:ascii="Arial" w:hAnsi="Arial" w:cs="Arial"/>
          <w:sz w:val="20"/>
          <w:szCs w:val="20"/>
        </w:rPr>
        <w:t xml:space="preserve"> district spans a recorded forest area of 36,430.83 ha, which is split into 103 No’s, in which there are 56 reserved forests (RF) and 47 protected reserved forests (PRF). The notified forest areas include 5,278.64 ha of reserved forest and 2,743.50 ha of protected reserved forest, with reports indicating that these areas have already undergone human encroachment (Pathak, Bhaskar, et al., 2025). Nonetheless, earlier investigations indicate that the district is experiencing a decline in forest cover at a rate of 0.64% annually (Deka, </w:t>
      </w:r>
      <w:proofErr w:type="spellStart"/>
      <w:r>
        <w:rPr>
          <w:rFonts w:ascii="Arial" w:hAnsi="Arial" w:cs="Arial"/>
          <w:sz w:val="20"/>
          <w:szCs w:val="20"/>
        </w:rPr>
        <w:t>Sangeta</w:t>
      </w:r>
      <w:proofErr w:type="spellEnd"/>
      <w:r>
        <w:rPr>
          <w:rFonts w:ascii="Arial" w:hAnsi="Arial" w:cs="Arial"/>
          <w:sz w:val="20"/>
          <w:szCs w:val="20"/>
        </w:rPr>
        <w:t xml:space="preserve">, et al., 2019). The decrease in forest area was significant, dropping from 38,900 ha in 1999 (21.33%) to 33,700 ha in 2011 (18.48%). (Rabha K. </w:t>
      </w:r>
      <w:proofErr w:type="spellStart"/>
      <w:r>
        <w:rPr>
          <w:rFonts w:ascii="Arial" w:hAnsi="Arial" w:cs="Arial"/>
          <w:sz w:val="20"/>
          <w:szCs w:val="20"/>
        </w:rPr>
        <w:t>Bipul</w:t>
      </w:r>
      <w:proofErr w:type="spellEnd"/>
      <w:r>
        <w:rPr>
          <w:rFonts w:ascii="Arial" w:hAnsi="Arial" w:cs="Arial"/>
          <w:sz w:val="20"/>
          <w:szCs w:val="20"/>
        </w:rPr>
        <w:t>, 2016).</w:t>
      </w:r>
    </w:p>
    <w:p w:rsidR="001A2247" w:rsidRDefault="00905E84">
      <w:pPr>
        <w:spacing w:line="480" w:lineRule="auto"/>
        <w:ind w:firstLine="360"/>
        <w:jc w:val="both"/>
        <w:rPr>
          <w:rFonts w:ascii="Arial" w:eastAsia="Times New Roman" w:hAnsi="Arial" w:cs="Arial"/>
          <w:lang w:val="en-IN" w:eastAsia="en-IN"/>
        </w:rPr>
      </w:pPr>
      <w:r>
        <w:rPr>
          <w:rFonts w:ascii="Arial" w:hAnsi="Arial" w:cs="Arial"/>
        </w:rPr>
        <w:t xml:space="preserve">Despite the growing recognition of the importance of forest ecosystems, global deforestation rates have remained disturbingly elevated in recent decades (FAO, 2010). Even so, just like as a result of illegal cutting, overgrazing, clearing land for agricultural expansion, and wildfires, the world's forests continue to diminish annually, leading to a reduction in overall forest cover area (FRA, 2020). A comprehensive assessment possesses significant importance as resources change across different locations and times due to human activities, which leads to deteriorating forest ecosystems and ecological stability. These LULC pattern changes and high rate of deforestation are the major driver of forest cover change in the forest boundary or edge, these ultimately led to HEC causalities rising near to the protected fringe boundary </w:t>
      </w:r>
      <w:proofErr w:type="gramStart"/>
      <w:r>
        <w:rPr>
          <w:rFonts w:ascii="Arial" w:hAnsi="Arial" w:cs="Arial"/>
        </w:rPr>
        <w:t>specially  in</w:t>
      </w:r>
      <w:proofErr w:type="gramEnd"/>
      <w:r>
        <w:rPr>
          <w:rFonts w:ascii="Arial" w:hAnsi="Arial" w:cs="Arial"/>
        </w:rPr>
        <w:t xml:space="preserve"> Northeast Indian states (</w:t>
      </w:r>
      <w:proofErr w:type="spellStart"/>
      <w:r>
        <w:rPr>
          <w:rFonts w:ascii="Arial" w:eastAsia="Times New Roman" w:hAnsi="Arial" w:cs="Arial"/>
          <w:lang w:val="en-IN" w:eastAsia="en-IN"/>
        </w:rPr>
        <w:t>Nad</w:t>
      </w:r>
      <w:proofErr w:type="spellEnd"/>
      <w:r>
        <w:rPr>
          <w:rFonts w:ascii="Arial" w:eastAsia="Times New Roman" w:hAnsi="Arial" w:cs="Arial"/>
          <w:lang w:val="en-IN" w:eastAsia="en-IN"/>
        </w:rPr>
        <w:t xml:space="preserve">, C., Roy., et al., 2021; </w:t>
      </w:r>
      <w:r>
        <w:rPr>
          <w:rFonts w:ascii="Arial" w:hAnsi="Arial" w:cs="Arial"/>
          <w:color w:val="222222"/>
          <w:shd w:val="clear" w:color="auto" w:fill="FFFFFF"/>
        </w:rPr>
        <w:t>Abebe, G., et al., 2022</w:t>
      </w:r>
      <w:r>
        <w:rPr>
          <w:rFonts w:ascii="Arial" w:hAnsi="Arial" w:cs="Arial"/>
        </w:rPr>
        <w:t xml:space="preserve">). Beside this </w:t>
      </w:r>
      <w:r>
        <w:rPr>
          <w:rFonts w:ascii="Arial" w:eastAsia="Times New Roman" w:hAnsi="Arial" w:cs="Arial"/>
          <w:lang w:val="en-IN" w:eastAsia="en-IN"/>
        </w:rPr>
        <w:t>population density, the ratio of forests to people, and the average temperature were all important factors in forest loss (</w:t>
      </w:r>
      <w:r>
        <w:rPr>
          <w:rFonts w:eastAsia="Times New Roman"/>
          <w:sz w:val="22"/>
          <w:szCs w:val="22"/>
          <w:lang w:val="en-IN" w:eastAsia="en-IN"/>
        </w:rPr>
        <w:t>Mahapatra, S., et al.,2025</w:t>
      </w:r>
      <w:r>
        <w:rPr>
          <w:rFonts w:ascii="Arial" w:eastAsia="Times New Roman" w:hAnsi="Arial" w:cs="Arial"/>
          <w:lang w:val="en-IN" w:eastAsia="en-IN"/>
        </w:rPr>
        <w:t>).</w:t>
      </w:r>
    </w:p>
    <w:p w:rsidR="001A2247" w:rsidRDefault="00905E84">
      <w:pPr>
        <w:pStyle w:val="NormalWeb"/>
        <w:spacing w:line="480" w:lineRule="auto"/>
        <w:ind w:firstLine="360"/>
        <w:jc w:val="both"/>
        <w:rPr>
          <w:rFonts w:ascii="Arial" w:hAnsi="Arial" w:cs="Arial"/>
          <w:sz w:val="20"/>
          <w:szCs w:val="20"/>
        </w:rPr>
      </w:pPr>
      <w:r>
        <w:rPr>
          <w:rFonts w:ascii="Arial" w:hAnsi="Arial" w:cs="Arial"/>
          <w:sz w:val="20"/>
          <w:szCs w:val="20"/>
        </w:rPr>
        <w:t xml:space="preserve">Remote sensing serves as a powerful method for evaluating </w:t>
      </w:r>
      <w:proofErr w:type="spellStart"/>
      <w:r>
        <w:rPr>
          <w:rFonts w:ascii="Arial" w:hAnsi="Arial" w:cs="Arial"/>
          <w:sz w:val="20"/>
          <w:szCs w:val="20"/>
        </w:rPr>
        <w:t>spatio</w:t>
      </w:r>
      <w:proofErr w:type="spellEnd"/>
      <w:r>
        <w:rPr>
          <w:rFonts w:ascii="Arial" w:hAnsi="Arial" w:cs="Arial"/>
          <w:sz w:val="20"/>
          <w:szCs w:val="20"/>
        </w:rPr>
        <w:t>-temporal patterns in land cover and forest cover changes (</w:t>
      </w:r>
      <w:proofErr w:type="spellStart"/>
      <w:r>
        <w:rPr>
          <w:rFonts w:ascii="Arial" w:hAnsi="Arial" w:cs="Arial"/>
          <w:sz w:val="20"/>
          <w:szCs w:val="20"/>
        </w:rPr>
        <w:t>Mahato</w:t>
      </w:r>
      <w:proofErr w:type="spellEnd"/>
      <w:r>
        <w:rPr>
          <w:rFonts w:ascii="Arial" w:hAnsi="Arial" w:cs="Arial"/>
          <w:sz w:val="20"/>
          <w:szCs w:val="20"/>
        </w:rPr>
        <w:t>, R., et al., 2021). This procedure provides extensive information regarding land cover usage across local, regional, and global scales, while aerial photographs over time can be costly and not readily accessible to all (Baumann et al., 2012).</w:t>
      </w:r>
    </w:p>
    <w:p w:rsidR="001A2247" w:rsidRDefault="001A2247">
      <w:pPr>
        <w:spacing w:line="480" w:lineRule="auto"/>
        <w:jc w:val="both"/>
        <w:rPr>
          <w:rFonts w:ascii="Arial" w:eastAsia="Times New Roman" w:hAnsi="Arial" w:cs="Arial"/>
          <w:color w:val="000000" w:themeColor="text1"/>
          <w:lang w:eastAsia="en-IN"/>
        </w:rPr>
      </w:pPr>
    </w:p>
    <w:p w:rsidR="001A2247" w:rsidRDefault="00905E84">
      <w:pPr>
        <w:pStyle w:val="ListParagraph"/>
        <w:numPr>
          <w:ilvl w:val="0"/>
          <w:numId w:val="1"/>
        </w:numPr>
        <w:spacing w:line="480" w:lineRule="auto"/>
        <w:jc w:val="both"/>
        <w:rPr>
          <w:rFonts w:ascii="Arial" w:hAnsi="Arial" w:cs="Arial"/>
          <w:b/>
          <w:bCs/>
          <w:sz w:val="22"/>
          <w:szCs w:val="22"/>
        </w:rPr>
      </w:pPr>
      <w:r>
        <w:rPr>
          <w:rFonts w:ascii="Arial" w:hAnsi="Arial" w:cs="Arial"/>
          <w:b/>
          <w:bCs/>
          <w:sz w:val="22"/>
          <w:szCs w:val="22"/>
        </w:rPr>
        <w:t>OBJECTIVE:</w:t>
      </w:r>
    </w:p>
    <w:p w:rsidR="001A2247" w:rsidRDefault="00905E84">
      <w:pPr>
        <w:spacing w:line="480" w:lineRule="auto"/>
        <w:jc w:val="both"/>
        <w:rPr>
          <w:rFonts w:ascii="Arial" w:hAnsi="Arial" w:cs="Arial"/>
          <w:b/>
          <w:bCs/>
        </w:rPr>
      </w:pPr>
      <w:r>
        <w:rPr>
          <w:rFonts w:ascii="Arial" w:hAnsi="Arial" w:cs="Arial"/>
        </w:rPr>
        <w:lastRenderedPageBreak/>
        <w:t>The major objectives of present study are:</w:t>
      </w:r>
    </w:p>
    <w:p w:rsidR="001A2247" w:rsidRDefault="00905E84">
      <w:pPr>
        <w:pStyle w:val="NormalWeb"/>
        <w:numPr>
          <w:ilvl w:val="0"/>
          <w:numId w:val="2"/>
        </w:numPr>
        <w:spacing w:line="480" w:lineRule="auto"/>
        <w:jc w:val="both"/>
        <w:rPr>
          <w:rFonts w:ascii="Arial" w:hAnsi="Arial" w:cs="Arial"/>
          <w:sz w:val="20"/>
          <w:szCs w:val="20"/>
          <w:lang w:val="en-IN" w:eastAsia="en-IN"/>
        </w:rPr>
      </w:pPr>
      <w:r>
        <w:rPr>
          <w:rFonts w:ascii="Arial" w:hAnsi="Arial" w:cs="Arial"/>
          <w:sz w:val="20"/>
          <w:szCs w:val="20"/>
        </w:rPr>
        <w:t xml:space="preserve">To assess the </w:t>
      </w:r>
      <w:proofErr w:type="spellStart"/>
      <w:r>
        <w:rPr>
          <w:rFonts w:ascii="Arial" w:hAnsi="Arial" w:cs="Arial"/>
          <w:sz w:val="20"/>
          <w:szCs w:val="20"/>
        </w:rPr>
        <w:t>spatio</w:t>
      </w:r>
      <w:proofErr w:type="spellEnd"/>
      <w:r>
        <w:rPr>
          <w:rFonts w:ascii="Arial" w:hAnsi="Arial" w:cs="Arial"/>
          <w:sz w:val="20"/>
          <w:szCs w:val="20"/>
        </w:rPr>
        <w:t>-temporal analysis of forest cover change in the study area and</w:t>
      </w:r>
    </w:p>
    <w:p w:rsidR="001A2247" w:rsidRDefault="00905E84">
      <w:pPr>
        <w:pStyle w:val="NormalWeb"/>
        <w:numPr>
          <w:ilvl w:val="0"/>
          <w:numId w:val="2"/>
        </w:numPr>
        <w:spacing w:line="480" w:lineRule="auto"/>
        <w:jc w:val="both"/>
        <w:rPr>
          <w:rFonts w:ascii="Arial" w:hAnsi="Arial" w:cs="Arial"/>
          <w:sz w:val="20"/>
          <w:szCs w:val="20"/>
          <w:lang w:val="en-IN" w:eastAsia="en-IN"/>
        </w:rPr>
      </w:pPr>
      <w:r>
        <w:rPr>
          <w:rFonts w:ascii="Arial" w:hAnsi="Arial" w:cs="Arial"/>
          <w:sz w:val="20"/>
          <w:szCs w:val="20"/>
        </w:rPr>
        <w:t xml:space="preserve">To quantify the land use and land cover change as well as the forest cover area within the National Forest Areas (RF/PRF’s) under the </w:t>
      </w:r>
      <w:proofErr w:type="spellStart"/>
      <w:r>
        <w:rPr>
          <w:rFonts w:ascii="Arial" w:hAnsi="Arial" w:cs="Arial"/>
          <w:sz w:val="20"/>
          <w:szCs w:val="20"/>
        </w:rPr>
        <w:t>Goalpara</w:t>
      </w:r>
      <w:proofErr w:type="spellEnd"/>
      <w:r>
        <w:rPr>
          <w:rFonts w:ascii="Arial" w:hAnsi="Arial" w:cs="Arial"/>
          <w:sz w:val="20"/>
          <w:szCs w:val="20"/>
        </w:rPr>
        <w:t xml:space="preserve"> forest range</w:t>
      </w:r>
    </w:p>
    <w:p w:rsidR="001A2247" w:rsidRDefault="00905E84">
      <w:pPr>
        <w:spacing w:line="480" w:lineRule="auto"/>
        <w:jc w:val="both"/>
        <w:rPr>
          <w:rFonts w:ascii="Arial" w:eastAsia="Calibri" w:hAnsi="Arial" w:cs="Arial"/>
          <w:b/>
          <w:sz w:val="22"/>
          <w:szCs w:val="22"/>
          <w:lang w:eastAsia="en-US"/>
        </w:rPr>
      </w:pPr>
      <w:r>
        <w:rPr>
          <w:rFonts w:ascii="Arial" w:eastAsia="Calibri" w:hAnsi="Arial" w:cs="Arial"/>
          <w:b/>
          <w:sz w:val="22"/>
          <w:szCs w:val="22"/>
          <w:lang w:eastAsia="en-US"/>
        </w:rPr>
        <w:t xml:space="preserve">3. DATABASE AND METHODOLOGY: </w:t>
      </w:r>
    </w:p>
    <w:p w:rsidR="001A2247" w:rsidRDefault="00905E84">
      <w:pPr>
        <w:spacing w:line="480" w:lineRule="auto"/>
        <w:jc w:val="both"/>
        <w:rPr>
          <w:rFonts w:ascii="Arial" w:eastAsia="Calibri" w:hAnsi="Arial" w:cs="Arial"/>
          <w:b/>
          <w:sz w:val="22"/>
          <w:szCs w:val="22"/>
        </w:rPr>
      </w:pPr>
      <w:r>
        <w:rPr>
          <w:rFonts w:ascii="Arial" w:eastAsia="Calibri" w:hAnsi="Arial" w:cs="Arial"/>
          <w:b/>
          <w:sz w:val="22"/>
          <w:szCs w:val="22"/>
        </w:rPr>
        <w:t>3.1 STUDY REGION:</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w:t>
      </w:r>
      <w:proofErr w:type="spellStart"/>
      <w:r>
        <w:rPr>
          <w:rFonts w:ascii="Arial" w:hAnsi="Arial" w:cs="Arial"/>
          <w:sz w:val="20"/>
          <w:szCs w:val="20"/>
        </w:rPr>
        <w:t>Goalpara</w:t>
      </w:r>
      <w:proofErr w:type="spellEnd"/>
      <w:r>
        <w:rPr>
          <w:rFonts w:ascii="Arial" w:hAnsi="Arial" w:cs="Arial"/>
          <w:sz w:val="20"/>
          <w:szCs w:val="20"/>
        </w:rPr>
        <w:t xml:space="preserve"> forest division consists of four forest ranges: </w:t>
      </w:r>
      <w:proofErr w:type="spellStart"/>
      <w:r>
        <w:rPr>
          <w:rFonts w:ascii="Arial" w:hAnsi="Arial" w:cs="Arial"/>
          <w:sz w:val="20"/>
          <w:szCs w:val="20"/>
        </w:rPr>
        <w:t>Rangjuli</w:t>
      </w:r>
      <w:proofErr w:type="spellEnd"/>
      <w:r>
        <w:rPr>
          <w:rFonts w:ascii="Arial" w:hAnsi="Arial" w:cs="Arial"/>
          <w:sz w:val="20"/>
          <w:szCs w:val="20"/>
        </w:rPr>
        <w:t xml:space="preserve">, </w:t>
      </w:r>
      <w:proofErr w:type="spellStart"/>
      <w:r>
        <w:rPr>
          <w:rFonts w:ascii="Arial" w:hAnsi="Arial" w:cs="Arial"/>
          <w:sz w:val="20"/>
          <w:szCs w:val="20"/>
        </w:rPr>
        <w:t>Krishnai</w:t>
      </w:r>
      <w:proofErr w:type="spellEnd"/>
      <w:r>
        <w:rPr>
          <w:rFonts w:ascii="Arial" w:hAnsi="Arial" w:cs="Arial"/>
          <w:sz w:val="20"/>
          <w:szCs w:val="20"/>
        </w:rPr>
        <w:t xml:space="preserve"> Central, </w:t>
      </w:r>
      <w:proofErr w:type="spellStart"/>
      <w:r>
        <w:rPr>
          <w:rFonts w:ascii="Arial" w:hAnsi="Arial" w:cs="Arial"/>
          <w:sz w:val="20"/>
          <w:szCs w:val="20"/>
        </w:rPr>
        <w:t>Goalpara</w:t>
      </w:r>
      <w:proofErr w:type="spellEnd"/>
      <w:r>
        <w:rPr>
          <w:rFonts w:ascii="Arial" w:hAnsi="Arial" w:cs="Arial"/>
          <w:sz w:val="20"/>
          <w:szCs w:val="20"/>
        </w:rPr>
        <w:t xml:space="preserve"> </w:t>
      </w:r>
      <w:proofErr w:type="spellStart"/>
      <w:r>
        <w:rPr>
          <w:rFonts w:ascii="Arial" w:hAnsi="Arial" w:cs="Arial"/>
          <w:sz w:val="20"/>
          <w:szCs w:val="20"/>
        </w:rPr>
        <w:t>Sadar</w:t>
      </w:r>
      <w:proofErr w:type="spellEnd"/>
      <w:r>
        <w:rPr>
          <w:rFonts w:ascii="Arial" w:hAnsi="Arial" w:cs="Arial"/>
          <w:sz w:val="20"/>
          <w:szCs w:val="20"/>
        </w:rPr>
        <w:t xml:space="preserve">, and </w:t>
      </w:r>
      <w:proofErr w:type="spellStart"/>
      <w:r>
        <w:rPr>
          <w:rFonts w:ascii="Arial" w:hAnsi="Arial" w:cs="Arial"/>
          <w:sz w:val="20"/>
          <w:szCs w:val="20"/>
        </w:rPr>
        <w:t>Lakhipur</w:t>
      </w:r>
      <w:proofErr w:type="spellEnd"/>
      <w:r>
        <w:rPr>
          <w:rFonts w:ascii="Arial" w:hAnsi="Arial" w:cs="Arial"/>
          <w:sz w:val="20"/>
          <w:szCs w:val="20"/>
        </w:rPr>
        <w:t xml:space="preserve"> Forest Range. It encompasses a total of 103 </w:t>
      </w:r>
      <w:proofErr w:type="gramStart"/>
      <w:r>
        <w:rPr>
          <w:rFonts w:ascii="Arial" w:hAnsi="Arial" w:cs="Arial"/>
          <w:sz w:val="20"/>
          <w:szCs w:val="20"/>
        </w:rPr>
        <w:t>no’s</w:t>
      </w:r>
      <w:proofErr w:type="gramEnd"/>
      <w:r>
        <w:rPr>
          <w:rFonts w:ascii="Arial" w:hAnsi="Arial" w:cs="Arial"/>
          <w:sz w:val="20"/>
          <w:szCs w:val="20"/>
        </w:rPr>
        <w:t xml:space="preserve"> of notified forest areas (NFAs) and is situated in the western part of Assam. The </w:t>
      </w:r>
      <w:proofErr w:type="spellStart"/>
      <w:r>
        <w:rPr>
          <w:rFonts w:ascii="Arial" w:hAnsi="Arial" w:cs="Arial"/>
          <w:sz w:val="20"/>
          <w:szCs w:val="20"/>
        </w:rPr>
        <w:t>Goalpara</w:t>
      </w:r>
      <w:proofErr w:type="spellEnd"/>
      <w:r>
        <w:rPr>
          <w:rFonts w:ascii="Arial" w:hAnsi="Arial" w:cs="Arial"/>
          <w:sz w:val="20"/>
          <w:szCs w:val="20"/>
        </w:rPr>
        <w:t xml:space="preserve"> </w:t>
      </w:r>
      <w:proofErr w:type="spellStart"/>
      <w:r>
        <w:rPr>
          <w:rFonts w:ascii="Arial" w:hAnsi="Arial" w:cs="Arial"/>
          <w:sz w:val="20"/>
          <w:szCs w:val="20"/>
        </w:rPr>
        <w:t>Sadar</w:t>
      </w:r>
      <w:proofErr w:type="spellEnd"/>
      <w:r>
        <w:rPr>
          <w:rFonts w:ascii="Arial" w:hAnsi="Arial" w:cs="Arial"/>
          <w:sz w:val="20"/>
          <w:szCs w:val="20"/>
        </w:rPr>
        <w:t xml:space="preserve"> Range, also known as the </w:t>
      </w:r>
      <w:proofErr w:type="spellStart"/>
      <w:r>
        <w:rPr>
          <w:rFonts w:ascii="Arial" w:hAnsi="Arial" w:cs="Arial"/>
          <w:sz w:val="20"/>
          <w:szCs w:val="20"/>
        </w:rPr>
        <w:t>Goalpara</w:t>
      </w:r>
      <w:proofErr w:type="spellEnd"/>
      <w:r>
        <w:rPr>
          <w:rFonts w:ascii="Arial" w:hAnsi="Arial" w:cs="Arial"/>
          <w:sz w:val="20"/>
          <w:szCs w:val="20"/>
        </w:rPr>
        <w:t xml:space="preserve"> Range, is situated in the northwestern part of the district, close to </w:t>
      </w:r>
      <w:proofErr w:type="spellStart"/>
      <w:r>
        <w:rPr>
          <w:rFonts w:ascii="Arial" w:hAnsi="Arial" w:cs="Arial"/>
          <w:sz w:val="20"/>
          <w:szCs w:val="20"/>
        </w:rPr>
        <w:t>Goalpara</w:t>
      </w:r>
      <w:proofErr w:type="spellEnd"/>
      <w:r>
        <w:rPr>
          <w:rFonts w:ascii="Arial" w:hAnsi="Arial" w:cs="Arial"/>
          <w:sz w:val="20"/>
          <w:szCs w:val="20"/>
        </w:rPr>
        <w:t xml:space="preserve"> town, which serves as the district's administrative headquarters. It is bordered to the east by the </w:t>
      </w:r>
      <w:proofErr w:type="spellStart"/>
      <w:r>
        <w:rPr>
          <w:rFonts w:ascii="Arial" w:hAnsi="Arial" w:cs="Arial"/>
          <w:sz w:val="20"/>
          <w:szCs w:val="20"/>
        </w:rPr>
        <w:t>Krishnai</w:t>
      </w:r>
      <w:proofErr w:type="spellEnd"/>
      <w:r>
        <w:rPr>
          <w:rFonts w:ascii="Arial" w:hAnsi="Arial" w:cs="Arial"/>
          <w:sz w:val="20"/>
          <w:szCs w:val="20"/>
        </w:rPr>
        <w:t xml:space="preserve"> forest range, while the </w:t>
      </w:r>
      <w:proofErr w:type="spellStart"/>
      <w:r>
        <w:rPr>
          <w:rFonts w:ascii="Arial" w:hAnsi="Arial" w:cs="Arial"/>
          <w:sz w:val="20"/>
          <w:szCs w:val="20"/>
        </w:rPr>
        <w:t>Dhubri</w:t>
      </w:r>
      <w:proofErr w:type="spellEnd"/>
      <w:r>
        <w:rPr>
          <w:rFonts w:ascii="Arial" w:hAnsi="Arial" w:cs="Arial"/>
          <w:sz w:val="20"/>
          <w:szCs w:val="20"/>
        </w:rPr>
        <w:t xml:space="preserve"> and </w:t>
      </w:r>
      <w:proofErr w:type="spellStart"/>
      <w:r>
        <w:rPr>
          <w:rFonts w:ascii="Arial" w:hAnsi="Arial" w:cs="Arial"/>
          <w:sz w:val="20"/>
          <w:szCs w:val="20"/>
        </w:rPr>
        <w:t>Bongaigaon</w:t>
      </w:r>
      <w:proofErr w:type="spellEnd"/>
      <w:r>
        <w:rPr>
          <w:rFonts w:ascii="Arial" w:hAnsi="Arial" w:cs="Arial"/>
          <w:sz w:val="20"/>
          <w:szCs w:val="20"/>
        </w:rPr>
        <w:t xml:space="preserve"> districts and the Brahmaputra River lie to the west. To the south, it is adjacent to the </w:t>
      </w:r>
      <w:proofErr w:type="spellStart"/>
      <w:r>
        <w:rPr>
          <w:rFonts w:ascii="Arial" w:hAnsi="Arial" w:cs="Arial"/>
          <w:sz w:val="20"/>
          <w:szCs w:val="20"/>
        </w:rPr>
        <w:t>Lakhipur</w:t>
      </w:r>
      <w:proofErr w:type="spellEnd"/>
      <w:r>
        <w:rPr>
          <w:rFonts w:ascii="Arial" w:hAnsi="Arial" w:cs="Arial"/>
          <w:sz w:val="20"/>
          <w:szCs w:val="20"/>
        </w:rPr>
        <w:t xml:space="preserve"> forest range, and to the north and west, it is bordered by the Brahmaputra River. The range is situated between the latitudes of 26°02'42'' N and 26°12'6'' N and the longitudes of 90°22'47'' E to 90°45'50'' E, encompassing a total geographical extent of 37148.31 ha. The study area consists of 18 NFAs, which include ten (10) RFs and eight (08) PRFs (DFO, </w:t>
      </w:r>
      <w:proofErr w:type="spellStart"/>
      <w:r>
        <w:rPr>
          <w:rFonts w:ascii="Arial" w:hAnsi="Arial" w:cs="Arial"/>
          <w:sz w:val="20"/>
          <w:szCs w:val="20"/>
        </w:rPr>
        <w:t>Goalpara</w:t>
      </w:r>
      <w:proofErr w:type="spellEnd"/>
      <w:r>
        <w:rPr>
          <w:rFonts w:ascii="Arial" w:hAnsi="Arial" w:cs="Arial"/>
          <w:sz w:val="20"/>
          <w:szCs w:val="20"/>
        </w:rPr>
        <w:t xml:space="preserve">, 2023), encompassing a total geographical area of 10,017 ha, representing 5.49% of the district's total geographical area. The largest NFAs include </w:t>
      </w:r>
      <w:proofErr w:type="spellStart"/>
      <w:r>
        <w:rPr>
          <w:rFonts w:ascii="Arial" w:hAnsi="Arial" w:cs="Arial"/>
          <w:sz w:val="20"/>
          <w:szCs w:val="20"/>
        </w:rPr>
        <w:t>Rakshini</w:t>
      </w:r>
      <w:proofErr w:type="spellEnd"/>
      <w:r>
        <w:rPr>
          <w:rFonts w:ascii="Arial" w:hAnsi="Arial" w:cs="Arial"/>
          <w:sz w:val="20"/>
          <w:szCs w:val="20"/>
        </w:rPr>
        <w:t xml:space="preserve"> PRF at 2589.63 ha, followed by </w:t>
      </w:r>
      <w:proofErr w:type="spellStart"/>
      <w:r>
        <w:rPr>
          <w:rFonts w:ascii="Arial" w:hAnsi="Arial" w:cs="Arial"/>
          <w:sz w:val="20"/>
          <w:szCs w:val="20"/>
        </w:rPr>
        <w:t>Dohikata</w:t>
      </w:r>
      <w:proofErr w:type="spellEnd"/>
      <w:r>
        <w:rPr>
          <w:rFonts w:ascii="Arial" w:hAnsi="Arial" w:cs="Arial"/>
          <w:sz w:val="20"/>
          <w:szCs w:val="20"/>
        </w:rPr>
        <w:t xml:space="preserve"> RF at 1362.49 ha, </w:t>
      </w:r>
      <w:proofErr w:type="spellStart"/>
      <w:r>
        <w:rPr>
          <w:rFonts w:ascii="Arial" w:hAnsi="Arial" w:cs="Arial"/>
          <w:sz w:val="20"/>
          <w:szCs w:val="20"/>
        </w:rPr>
        <w:t>Bagulamari</w:t>
      </w:r>
      <w:proofErr w:type="spellEnd"/>
      <w:r>
        <w:rPr>
          <w:rFonts w:ascii="Arial" w:hAnsi="Arial" w:cs="Arial"/>
          <w:sz w:val="20"/>
          <w:szCs w:val="20"/>
        </w:rPr>
        <w:t xml:space="preserve"> PRF at 1220.76 ha, and </w:t>
      </w:r>
      <w:proofErr w:type="spellStart"/>
      <w:r>
        <w:rPr>
          <w:rFonts w:ascii="Arial" w:hAnsi="Arial" w:cs="Arial"/>
          <w:sz w:val="20"/>
          <w:szCs w:val="20"/>
        </w:rPr>
        <w:t>Nolonga</w:t>
      </w:r>
      <w:proofErr w:type="spellEnd"/>
      <w:r>
        <w:rPr>
          <w:rFonts w:ascii="Arial" w:hAnsi="Arial" w:cs="Arial"/>
          <w:sz w:val="20"/>
          <w:szCs w:val="20"/>
        </w:rPr>
        <w:t xml:space="preserve"> RF at 1055.87 ha, as illustrated in table 3/fig 1.</w:t>
      </w:r>
    </w:p>
    <w:p w:rsidR="001A2247" w:rsidRDefault="001A2247">
      <w:pPr>
        <w:spacing w:line="480" w:lineRule="auto"/>
        <w:ind w:firstLine="720"/>
        <w:jc w:val="center"/>
        <w:rPr>
          <w:rFonts w:ascii="Arial" w:eastAsia="Times New Roman" w:hAnsi="Arial" w:cs="Arial"/>
          <w:color w:val="000000" w:themeColor="text1"/>
          <w:lang w:val="en-IN" w:eastAsia="en-IN"/>
        </w:rPr>
      </w:pPr>
    </w:p>
    <w:p w:rsidR="001A2247" w:rsidRDefault="00905E84">
      <w:pPr>
        <w:spacing w:line="480" w:lineRule="auto"/>
        <w:ind w:firstLine="720"/>
        <w:jc w:val="center"/>
        <w:rPr>
          <w:rFonts w:ascii="Arial" w:eastAsia="Times New Roman" w:hAnsi="Arial" w:cs="Arial"/>
          <w:color w:val="000000" w:themeColor="text1"/>
          <w:lang w:eastAsia="en-IN"/>
        </w:rPr>
      </w:pPr>
      <w:r>
        <w:rPr>
          <w:rFonts w:ascii="Arial" w:eastAsia="Times New Roman" w:hAnsi="Arial" w:cs="Arial"/>
          <w:noProof/>
          <w:color w:val="000000" w:themeColor="text1"/>
          <w:lang w:val="en-IN" w:eastAsia="en-IN"/>
        </w:rPr>
        <w:lastRenderedPageBreak/>
        <w:drawing>
          <wp:inline distT="0" distB="0" distL="0" distR="0">
            <wp:extent cx="4895850" cy="4895850"/>
            <wp:effectExtent l="0" t="0" r="0" b="0"/>
            <wp:docPr id="24" name="Picture 24" descr="C:\Users\Alinda\Desktop\baideu\GO_su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linda\Desktop\baideu\GO_sutudy.jpg"/>
                    <pic:cNvPicPr>
                      <a:picLocks noChangeAspect="1" noChangeArrowheads="1"/>
                    </pic:cNvPicPr>
                  </pic:nvPicPr>
                  <pic:blipFill>
                    <a:blip r:embed="rId9" cstate="print">
                      <a:extLst>
                        <a:ext uri="{28A0092B-C50C-407E-A947-70E740481C1C}">
                          <a14:useLocalDpi xmlns:a14="http://schemas.microsoft.com/office/drawing/2010/main" val="0"/>
                        </a:ext>
                      </a:extLst>
                    </a:blip>
                    <a:srcRect l="3131" t="1022" r="4035" b="27241"/>
                    <a:stretch>
                      <a:fillRect/>
                    </a:stretch>
                  </pic:blipFill>
                  <pic:spPr>
                    <a:xfrm>
                      <a:off x="0" y="0"/>
                      <a:ext cx="4896446" cy="4896446"/>
                    </a:xfrm>
                    <a:prstGeom prst="rect">
                      <a:avLst/>
                    </a:prstGeom>
                    <a:noFill/>
                    <a:ln>
                      <a:noFill/>
                    </a:ln>
                  </pic:spPr>
                </pic:pic>
              </a:graphicData>
            </a:graphic>
          </wp:inline>
        </w:drawing>
      </w:r>
    </w:p>
    <w:p w:rsidR="001A2247" w:rsidRDefault="00905E84">
      <w:pPr>
        <w:spacing w:line="480" w:lineRule="auto"/>
        <w:jc w:val="both"/>
        <w:rPr>
          <w:rFonts w:ascii="Arial" w:eastAsia="Times New Roman" w:hAnsi="Arial" w:cs="Arial"/>
          <w:lang w:val="en-IN" w:eastAsia="en-IN"/>
        </w:rPr>
      </w:pPr>
      <w:r>
        <w:rPr>
          <w:rFonts w:ascii="Arial" w:hAnsi="Arial" w:cs="Arial"/>
          <w:b/>
          <w:bCs/>
        </w:rPr>
        <w:t>Figure 1:</w:t>
      </w:r>
      <w:r>
        <w:rPr>
          <w:rFonts w:ascii="Arial" w:hAnsi="Arial" w:cs="Arial"/>
        </w:rPr>
        <w:t xml:space="preserve"> </w:t>
      </w:r>
      <w:r>
        <w:rPr>
          <w:rFonts w:ascii="Arial" w:eastAsia="Times New Roman" w:hAnsi="Arial" w:cs="Arial"/>
          <w:lang w:val="en-IN" w:eastAsia="en-IN"/>
        </w:rPr>
        <w:t xml:space="preserve">Depicting the location map of the </w:t>
      </w:r>
      <w:proofErr w:type="spellStart"/>
      <w:r>
        <w:rPr>
          <w:rFonts w:ascii="Arial" w:eastAsia="Times New Roman" w:hAnsi="Arial" w:cs="Arial"/>
          <w:lang w:val="en-IN" w:eastAsia="en-IN"/>
        </w:rPr>
        <w:t>Goalpara</w:t>
      </w:r>
      <w:proofErr w:type="spellEnd"/>
      <w:r>
        <w:rPr>
          <w:rFonts w:ascii="Arial" w:eastAsia="Times New Roman" w:hAnsi="Arial" w:cs="Arial"/>
          <w:lang w:val="en-IN" w:eastAsia="en-IN"/>
        </w:rPr>
        <w:t xml:space="preserve"> forest range along with the corresponding NFAs (RF/PRF’s), located in </w:t>
      </w:r>
      <w:proofErr w:type="spellStart"/>
      <w:r>
        <w:rPr>
          <w:rFonts w:ascii="Arial" w:eastAsia="Times New Roman" w:hAnsi="Arial" w:cs="Arial"/>
          <w:lang w:val="en-IN" w:eastAsia="en-IN"/>
        </w:rPr>
        <w:t>Goalpara</w:t>
      </w:r>
      <w:proofErr w:type="spellEnd"/>
      <w:r>
        <w:rPr>
          <w:rFonts w:ascii="Arial" w:eastAsia="Times New Roman" w:hAnsi="Arial" w:cs="Arial"/>
          <w:lang w:val="en-IN" w:eastAsia="en-IN"/>
        </w:rPr>
        <w:t>, Assam.</w:t>
      </w:r>
    </w:p>
    <w:p w:rsidR="001A2247" w:rsidRDefault="001A2247">
      <w:pPr>
        <w:spacing w:line="480" w:lineRule="auto"/>
        <w:jc w:val="center"/>
      </w:pPr>
    </w:p>
    <w:p w:rsidR="001A2247" w:rsidRDefault="00905E84">
      <w:pPr>
        <w:spacing w:line="480" w:lineRule="auto"/>
        <w:ind w:firstLine="450"/>
        <w:jc w:val="both"/>
        <w:rPr>
          <w:rFonts w:ascii="Arial" w:eastAsia="Calibri" w:hAnsi="Arial" w:cs="Arial"/>
          <w:b/>
          <w:sz w:val="22"/>
          <w:szCs w:val="22"/>
          <w:lang w:eastAsia="en-US"/>
        </w:rPr>
      </w:pPr>
      <w:r>
        <w:rPr>
          <w:rFonts w:ascii="Arial" w:eastAsia="Calibri" w:hAnsi="Arial" w:cs="Arial"/>
          <w:b/>
          <w:sz w:val="22"/>
          <w:szCs w:val="22"/>
          <w:lang w:eastAsia="en-US"/>
        </w:rPr>
        <w:t>3.2 SATELLITE DATA:</w:t>
      </w:r>
    </w:p>
    <w:p w:rsidR="001A2247" w:rsidRDefault="00905E84">
      <w:pPr>
        <w:pStyle w:val="NormalWeb"/>
        <w:spacing w:line="480" w:lineRule="auto"/>
        <w:ind w:firstLine="450"/>
        <w:jc w:val="both"/>
        <w:rPr>
          <w:rFonts w:ascii="Arial" w:hAnsi="Arial" w:cs="Arial"/>
          <w:sz w:val="20"/>
          <w:szCs w:val="20"/>
        </w:rPr>
      </w:pPr>
      <w:r>
        <w:rPr>
          <w:rFonts w:ascii="Arial" w:hAnsi="Arial" w:cs="Arial"/>
          <w:sz w:val="20"/>
          <w:szCs w:val="20"/>
        </w:rPr>
        <w:t xml:space="preserve">The thorough quantitative evaluation relies on satellite data and field research. The satellite data were obtained from USGS Earth Explorer (https://earthexplorer.usgs.gov/). Utilizing data regularities and consistency, Landsat satellite imagery was employed to evaluate </w:t>
      </w:r>
      <w:proofErr w:type="spellStart"/>
      <w:r>
        <w:rPr>
          <w:rFonts w:ascii="Arial" w:hAnsi="Arial" w:cs="Arial"/>
          <w:sz w:val="20"/>
          <w:szCs w:val="20"/>
        </w:rPr>
        <w:t>spatio</w:t>
      </w:r>
      <w:proofErr w:type="spellEnd"/>
      <w:r>
        <w:rPr>
          <w:rFonts w:ascii="Arial" w:hAnsi="Arial" w:cs="Arial"/>
          <w:sz w:val="20"/>
          <w:szCs w:val="20"/>
        </w:rPr>
        <w:t xml:space="preserve">-temporal changes in forest cover and land use/land cover for the years 1993 (January), 2003 (January), 2013 (December), and 2023 (January) (figure 2). Additionally, the imagery underwent preprocessing, including radiometric correction, mosaicking, and </w:t>
      </w:r>
      <w:proofErr w:type="spellStart"/>
      <w:r>
        <w:rPr>
          <w:rFonts w:ascii="Arial" w:hAnsi="Arial" w:cs="Arial"/>
          <w:sz w:val="20"/>
          <w:szCs w:val="20"/>
        </w:rPr>
        <w:t>subsetting</w:t>
      </w:r>
      <w:proofErr w:type="spellEnd"/>
      <w:r>
        <w:rPr>
          <w:rFonts w:ascii="Arial" w:hAnsi="Arial" w:cs="Arial"/>
          <w:sz w:val="20"/>
          <w:szCs w:val="20"/>
        </w:rPr>
        <w:t xml:space="preserve">, utilizing </w:t>
      </w:r>
      <w:proofErr w:type="spellStart"/>
      <w:r>
        <w:rPr>
          <w:rFonts w:ascii="Arial" w:hAnsi="Arial" w:cs="Arial"/>
          <w:sz w:val="20"/>
          <w:szCs w:val="20"/>
        </w:rPr>
        <w:t>Erdas</w:t>
      </w:r>
      <w:proofErr w:type="spellEnd"/>
      <w:r>
        <w:rPr>
          <w:rFonts w:ascii="Arial" w:hAnsi="Arial" w:cs="Arial"/>
          <w:sz w:val="20"/>
          <w:szCs w:val="20"/>
        </w:rPr>
        <w:t xml:space="preserve"> Imagine 2015 software.</w:t>
      </w:r>
    </w:p>
    <w:p w:rsidR="001A2247" w:rsidRDefault="001A2247">
      <w:pPr>
        <w:pStyle w:val="NormalWeb"/>
        <w:spacing w:line="480" w:lineRule="auto"/>
        <w:jc w:val="both"/>
        <w:rPr>
          <w:rFonts w:ascii="Arial" w:hAnsi="Arial" w:cs="Arial"/>
          <w:sz w:val="20"/>
          <w:szCs w:val="20"/>
          <w:lang w:val="en-IN" w:eastAsia="en-IN"/>
        </w:rPr>
      </w:pPr>
    </w:p>
    <w:p w:rsidR="001A2247" w:rsidRDefault="00905E84">
      <w:pPr>
        <w:spacing w:line="480" w:lineRule="auto"/>
        <w:jc w:val="both"/>
        <w:rPr>
          <w:rFonts w:ascii="Arial" w:eastAsia="Times New Roman" w:hAnsi="Arial" w:cs="Arial"/>
          <w:lang w:val="en-IN" w:eastAsia="en-IN"/>
        </w:rPr>
      </w:pPr>
      <w:r>
        <w:rPr>
          <w:rFonts w:ascii="Arial" w:eastAsia="Times New Roman" w:hAnsi="Arial" w:cs="Arial"/>
          <w:b/>
          <w:sz w:val="22"/>
          <w:szCs w:val="22"/>
          <w:lang w:val="en-IN" w:eastAsia="en-IN"/>
        </w:rPr>
        <w:lastRenderedPageBreak/>
        <w:t xml:space="preserve">3.3 </w:t>
      </w:r>
      <w:r>
        <w:rPr>
          <w:rFonts w:ascii="Arial" w:eastAsia="Calibri" w:hAnsi="Arial" w:cs="Arial"/>
          <w:b/>
          <w:bCs/>
          <w:sz w:val="22"/>
          <w:szCs w:val="22"/>
        </w:rPr>
        <w:t>LAND USE-LANDCOVER (LULC) CLASSIFICATION:</w:t>
      </w:r>
    </w:p>
    <w:p w:rsidR="001A2247" w:rsidRDefault="00905E84">
      <w:pPr>
        <w:pStyle w:val="NormalWeb"/>
        <w:spacing w:line="480" w:lineRule="auto"/>
        <w:ind w:firstLine="450"/>
        <w:jc w:val="both"/>
        <w:rPr>
          <w:rFonts w:ascii="Arial" w:hAnsi="Arial" w:cs="Arial"/>
          <w:sz w:val="20"/>
          <w:szCs w:val="20"/>
          <w:lang w:val="en-IN" w:eastAsia="en-IN"/>
        </w:rPr>
      </w:pPr>
      <w:r>
        <w:rPr>
          <w:rFonts w:ascii="Arial" w:hAnsi="Arial" w:cs="Arial"/>
          <w:sz w:val="20"/>
          <w:szCs w:val="20"/>
        </w:rPr>
        <w:t>LULC was prepared using a supervised classification algorithm, which is one of the most commonly utilized methods for image classification (</w:t>
      </w:r>
      <w:proofErr w:type="spellStart"/>
      <w:r>
        <w:rPr>
          <w:rFonts w:ascii="Arial" w:hAnsi="Arial" w:cs="Arial"/>
          <w:sz w:val="20"/>
          <w:szCs w:val="20"/>
        </w:rPr>
        <w:t>Garedew</w:t>
      </w:r>
      <w:proofErr w:type="spellEnd"/>
      <w:r>
        <w:rPr>
          <w:rFonts w:ascii="Arial" w:hAnsi="Arial" w:cs="Arial"/>
          <w:sz w:val="20"/>
          <w:szCs w:val="20"/>
        </w:rPr>
        <w:t xml:space="preserve">, E., et al., 2009; </w:t>
      </w:r>
      <w:proofErr w:type="spellStart"/>
      <w:r>
        <w:rPr>
          <w:rFonts w:ascii="Arial" w:hAnsi="Arial" w:cs="Arial"/>
          <w:sz w:val="20"/>
          <w:szCs w:val="20"/>
        </w:rPr>
        <w:t>Munsi</w:t>
      </w:r>
      <w:proofErr w:type="spellEnd"/>
      <w:r>
        <w:rPr>
          <w:rFonts w:ascii="Arial" w:hAnsi="Arial" w:cs="Arial"/>
          <w:sz w:val="20"/>
          <w:szCs w:val="20"/>
        </w:rPr>
        <w:t>, et al., 2010). The LULC classification utilized eight distinct classes: water bodies (WB), low-lying area (LL), barren land (BL), built-up area (BU), cropland (CL), agricultural plantation (AP), dense forest (DF), moderate forest (MF), and open forest (OF).</w:t>
      </w:r>
    </w:p>
    <w:p w:rsidR="001A2247" w:rsidRDefault="00905E84">
      <w:pPr>
        <w:spacing w:line="480" w:lineRule="auto"/>
        <w:rPr>
          <w:rFonts w:ascii="Arial" w:eastAsia="Calibri" w:hAnsi="Arial" w:cs="Arial"/>
          <w:szCs w:val="22"/>
        </w:rPr>
      </w:pPr>
      <w:r>
        <w:rPr>
          <w:rFonts w:ascii="Arial" w:eastAsia="Calibri" w:hAnsi="Arial" w:cs="Arial"/>
          <w:noProof/>
          <w:szCs w:val="22"/>
          <w:lang w:val="en-IN" w:eastAsia="en-IN"/>
        </w:rPr>
        <mc:AlternateContent>
          <mc:Choice Requires="wpg">
            <w:drawing>
              <wp:anchor distT="0" distB="0" distL="114300" distR="114300" simplePos="0" relativeHeight="251662336" behindDoc="0" locked="0" layoutInCell="1" allowOverlap="1">
                <wp:simplePos x="0" y="0"/>
                <wp:positionH relativeFrom="column">
                  <wp:posOffset>406400</wp:posOffset>
                </wp:positionH>
                <wp:positionV relativeFrom="paragraph">
                  <wp:posOffset>167640</wp:posOffset>
                </wp:positionV>
                <wp:extent cx="4775200" cy="2825750"/>
                <wp:effectExtent l="0" t="0" r="25400" b="12700"/>
                <wp:wrapNone/>
                <wp:docPr id="23" name="Group 23"/>
                <wp:cNvGraphicFramePr/>
                <a:graphic xmlns:a="http://schemas.openxmlformats.org/drawingml/2006/main">
                  <a:graphicData uri="http://schemas.microsoft.com/office/word/2010/wordprocessingGroup">
                    <wpg:wgp>
                      <wpg:cNvGrpSpPr/>
                      <wpg:grpSpPr>
                        <a:xfrm>
                          <a:off x="0" y="0"/>
                          <a:ext cx="4775200" cy="2825750"/>
                          <a:chOff x="0" y="0"/>
                          <a:chExt cx="4775200" cy="2825750"/>
                        </a:xfrm>
                      </wpg:grpSpPr>
                      <wpg:grpSp>
                        <wpg:cNvPr id="8" name="Group 8"/>
                        <wpg:cNvGrpSpPr/>
                        <wpg:grpSpPr>
                          <a:xfrm>
                            <a:off x="0" y="0"/>
                            <a:ext cx="4775200" cy="2825750"/>
                            <a:chOff x="0" y="0"/>
                            <a:chExt cx="5501180" cy="3393987"/>
                          </a:xfrm>
                        </wpg:grpSpPr>
                        <wpg:grpSp>
                          <wpg:cNvPr id="18" name="Group 18"/>
                          <wpg:cNvGrpSpPr/>
                          <wpg:grpSpPr>
                            <a:xfrm>
                              <a:off x="0" y="0"/>
                              <a:ext cx="4855210" cy="3393987"/>
                              <a:chOff x="0" y="0"/>
                              <a:chExt cx="4855210" cy="3393987"/>
                            </a:xfrm>
                          </wpg:grpSpPr>
                          <wpg:grpSp>
                            <wpg:cNvPr id="4" name="Group 4"/>
                            <wpg:cNvGrpSpPr/>
                            <wpg:grpSpPr>
                              <a:xfrm>
                                <a:off x="0" y="0"/>
                                <a:ext cx="4855210" cy="2771775"/>
                                <a:chOff x="7635" y="60273"/>
                                <a:chExt cx="5488" cy="4521"/>
                              </a:xfrm>
                            </wpg:grpSpPr>
                            <wpg:grpSp>
                              <wpg:cNvPr id="9" name="Group 9"/>
                              <wpg:cNvGrpSpPr/>
                              <wpg:grpSpPr>
                                <a:xfrm>
                                  <a:off x="7635" y="60273"/>
                                  <a:ext cx="5488" cy="4304"/>
                                  <a:chOff x="0" y="-19794"/>
                                  <a:chExt cx="5472892" cy="2014993"/>
                                </a:xfrm>
                              </wpg:grpSpPr>
                              <wps:wsp>
                                <wps:cNvPr id="10" name="Rounded Rectangle 10"/>
                                <wps:cNvSpPr/>
                                <wps:spPr>
                                  <a:xfrm>
                                    <a:off x="82172" y="-19794"/>
                                    <a:ext cx="1417466" cy="981034"/>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Data Acquisition Landsat series (1993, 2003, 2013, 2023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Rounded Rectangle 11"/>
                                <wps:cNvSpPr/>
                                <wps:spPr>
                                  <a:xfrm>
                                    <a:off x="1790865" y="61031"/>
                                    <a:ext cx="1663982" cy="705981"/>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Layer stacking, subset &amp;</w:t>
                                      </w:r>
                                    </w:p>
                                    <w:p w:rsidR="001A2247" w:rsidRDefault="00905E84">
                                      <w:pPr>
                                        <w:jc w:val="center"/>
                                        <w:rPr>
                                          <w:rFonts w:ascii="Arial" w:hAnsi="Arial" w:cs="Arial"/>
                                        </w:rPr>
                                      </w:pPr>
                                      <w:r>
                                        <w:rPr>
                                          <w:rFonts w:ascii="Arial" w:hAnsi="Arial" w:cs="Arial"/>
                                        </w:rPr>
                                        <w:t>Geometric correction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Rounded Rectangle 12"/>
                                <wps:cNvSpPr/>
                                <wps:spPr>
                                  <a:xfrm>
                                    <a:off x="3627649" y="54433"/>
                                    <a:ext cx="1773947" cy="71216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Data processing</w:t>
                                      </w:r>
                                    </w:p>
                                    <w:p w:rsidR="001A2247" w:rsidRDefault="00905E84">
                                      <w:pPr>
                                        <w:jc w:val="center"/>
                                        <w:rPr>
                                          <w:rFonts w:ascii="Arial" w:hAnsi="Arial" w:cs="Arial"/>
                                        </w:rPr>
                                      </w:pPr>
                                      <w:r>
                                        <w:rPr>
                                          <w:rFonts w:ascii="Arial" w:hAnsi="Arial" w:cs="Arial"/>
                                        </w:rPr>
                                        <w:t>Supervised classification</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Right Arrow 13"/>
                                <wps:cNvSpPr/>
                                <wps:spPr>
                                  <a:xfrm flipV="1">
                                    <a:off x="1476686" y="441906"/>
                                    <a:ext cx="320413" cy="45616"/>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Right Arrow 14"/>
                                <wps:cNvSpPr/>
                                <wps:spPr>
                                  <a:xfrm>
                                    <a:off x="3459863" y="449580"/>
                                    <a:ext cx="183093" cy="51158"/>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Down Arrow 15"/>
                                <wps:cNvSpPr/>
                                <wps:spPr>
                                  <a:xfrm>
                                    <a:off x="4602480" y="777240"/>
                                    <a:ext cx="50915" cy="410011"/>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Left Arrow 16"/>
                                <wps:cNvSpPr/>
                                <wps:spPr>
                                  <a:xfrm>
                                    <a:off x="3398520" y="1470660"/>
                                    <a:ext cx="609600" cy="4572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Rounded Rectangle 17"/>
                                <wps:cNvSpPr/>
                                <wps:spPr>
                                  <a:xfrm>
                                    <a:off x="1676568" y="1112300"/>
                                    <a:ext cx="1754851" cy="882899"/>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 xml:space="preserve">LULC map preparation, forest cover map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Rounded Rectangle 19"/>
                                <wps:cNvSpPr/>
                                <wps:spPr>
                                  <a:xfrm>
                                    <a:off x="3853622" y="1192581"/>
                                    <a:ext cx="1619270" cy="50680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Accuracy Assessment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Rounded Rectangle 20"/>
                                <wps:cNvSpPr/>
                                <wps:spPr>
                                  <a:xfrm>
                                    <a:off x="0" y="1219200"/>
                                    <a:ext cx="1402080" cy="5486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LULC data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Left Arrow 21"/>
                                <wps:cNvSpPr/>
                                <wps:spPr>
                                  <a:xfrm>
                                    <a:off x="1402080" y="1516170"/>
                                    <a:ext cx="342900" cy="35110"/>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2" name="Rectangles 6"/>
                              <wps:cNvSpPr/>
                              <wps:spPr>
                                <a:xfrm>
                                  <a:off x="8184" y="64290"/>
                                  <a:ext cx="4788" cy="504"/>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rsidR="001A2247" w:rsidRDefault="001A224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5" name="Rounded Rectangle 5"/>
                            <wps:cNvSpPr/>
                            <wps:spPr>
                              <a:xfrm>
                                <a:off x="1487270" y="2806861"/>
                                <a:ext cx="1568287" cy="58712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rPr>
                                  </w:pPr>
                                  <w:r>
                                    <w:rPr>
                                      <w:rFonts w:ascii="Arial" w:hAnsi="Arial" w:cs="Arial"/>
                                    </w:rPr>
                                    <w:t>Forest cover (2033 predictive)</w:t>
                                  </w:r>
                                </w:p>
                                <w:p w:rsidR="001A2247" w:rsidRDefault="001A2247">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Down Arrow 7"/>
                            <wps:cNvSpPr/>
                            <wps:spPr>
                              <a:xfrm>
                                <a:off x="2257064" y="2639028"/>
                                <a:ext cx="74021" cy="166478"/>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 name="Rectangle 1"/>
                          <wps:cNvSpPr/>
                          <wps:spPr>
                            <a:xfrm>
                              <a:off x="3313265" y="2448247"/>
                              <a:ext cx="2187915" cy="838963"/>
                            </a:xfrm>
                            <a:prstGeom prst="rect">
                              <a:avLst/>
                            </a:prstGeom>
                          </wps:spPr>
                          <wps:style>
                            <a:lnRef idx="2">
                              <a:schemeClr val="accent6"/>
                            </a:lnRef>
                            <a:fillRef idx="1">
                              <a:schemeClr val="lt1"/>
                            </a:fillRef>
                            <a:effectRef idx="0">
                              <a:schemeClr val="accent6"/>
                            </a:effectRef>
                            <a:fontRef idx="minor">
                              <a:schemeClr val="dk1"/>
                            </a:fontRef>
                          </wps:style>
                          <wps:txbx>
                            <w:txbxContent>
                              <w:p w:rsidR="001A2247" w:rsidRDefault="00905E84">
                                <w:pPr>
                                  <w:jc w:val="center"/>
                                  <w:rPr>
                                    <w:rFonts w:ascii="Arial" w:hAnsi="Arial" w:cs="Aria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Pr>
                                    <w:rFonts w:ascii="Arial" w:hAnsi="Arial" w:cs="Arial"/>
                                  </w:rPr>
                                  <w:t xml:space="preserve">Variables (Slope, Elevation, </w:t>
                                </w:r>
                                <w:proofErr w:type="spellStart"/>
                                <w:r>
                                  <w:rPr>
                                    <w:rFonts w:ascii="Arial" w:hAnsi="Arial" w:cs="Arial"/>
                                  </w:rPr>
                                  <w:t>DfRo</w:t>
                                </w:r>
                                <w:proofErr w:type="spellEnd"/>
                                <w:r>
                                  <w:rPr>
                                    <w:rFonts w:ascii="Arial" w:hAnsi="Arial" w:cs="Arial"/>
                                  </w:rPr>
                                  <w:t xml:space="preserve">, </w:t>
                                </w:r>
                                <w:proofErr w:type="spellStart"/>
                                <w:r>
                                  <w:rPr>
                                    <w:rFonts w:ascii="Arial" w:hAnsi="Arial" w:cs="Arial"/>
                                  </w:rPr>
                                  <w:t>DfTo</w:t>
                                </w:r>
                                <w:proofErr w:type="spellEnd"/>
                                <w:r>
                                  <w:rPr>
                                    <w:rFonts w:ascii="Arial" w:hAnsi="Arial" w:cs="Arial"/>
                                  </w:rPr>
                                  <w:t xml:space="preserve">, </w:t>
                                </w:r>
                                <w:proofErr w:type="spellStart"/>
                                <w:r>
                                  <w:rPr>
                                    <w:rFonts w:ascii="Arial" w:hAnsi="Arial" w:cs="Arial"/>
                                  </w:rPr>
                                  <w:t>DfWa</w:t>
                                </w:r>
                                <w:proofErr w:type="spellEnd"/>
                                <w:r>
                                  <w:rPr>
                                    <w:rFonts w:ascii="Arial" w:hAnsi="Arial" w:cs="Arial"/>
                                  </w:rPr>
                                  <w:t xml:space="preserve">, </w:t>
                                </w:r>
                                <w:proofErr w:type="spellStart"/>
                                <w:r>
                                  <w:rPr>
                                    <w:rFonts w:ascii="Arial" w:hAnsi="Arial" w:cs="Arial"/>
                                  </w:rPr>
                                  <w:t>DfBu</w:t>
                                </w:r>
                                <w:proofErr w:type="spellEnd"/>
                                <w:r>
                                  <w:rPr>
                                    <w:rFonts w:ascii="Arial" w:hAnsi="Arial" w:cs="Arial"/>
                                  </w:rPr>
                                  <w:t xml:space="preserve">, AND </w:t>
                                </w:r>
                                <w:proofErr w:type="spellStart"/>
                                <w:r>
                                  <w:rPr>
                                    <w:rFonts w:ascii="Arial" w:hAnsi="Arial" w:cs="Arial"/>
                                  </w:rPr>
                                  <w:t>DfFa</w:t>
                                </w:r>
                                <w:proofErr w:type="spellEnd"/>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2" name="Left Arrow 2"/>
                        <wps:cNvSpPr/>
                        <wps:spPr>
                          <a:xfrm flipV="1">
                            <a:off x="2032000" y="2254250"/>
                            <a:ext cx="844550" cy="45719"/>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w:pict>
              <v:group id="_x0000_s1026" o:spid="_x0000_s1026" o:spt="203" style="position:absolute;left:0pt;margin-left:32pt;margin-top:13.2pt;height:222.5pt;width:376pt;z-index:251662336;mso-width-relative:page;mso-height-relative:page;" coordsize="4775200,2825750" o:gfxdata="UEsDBAoAAAAAAIdO4kAAAAAAAAAAAAAAAAAEAAAAZHJzL1BLAwQUAAAACACHTuJAsfEqcdoAAAAJ&#10;AQAADwAAAGRycy9kb3ducmV2LnhtbE2PwU7DMBBE70j8g7VI3KjjEkIV4lSoAk4VEi1S1ds23iZR&#10;YzuK3aT9e5YTHGdnNfOmWF5sJ0YaQuudBjVLQJCrvGldreF7+/6wABEiOoOdd6ThSgGW5e1Ngbnx&#10;k/uicRNrwSEu5KihibHPpQxVQxbDzPfk2Dv6wWJkOdTSDDhxuO3kPEkyabF13NBgT6uGqtPmbDV8&#10;TDi9Pqq3cX06rq777dPnbq1I6/s7lbyAiHSJf8/wi8/oUDLTwZ+dCaLTkKU8JWqYZykI9hcq48NB&#10;Q/qsUpBlIf8vKH8AUEsDBBQAAAAIAIdO4kBS8hNKtQYAANY6AAAOAAAAZHJzL2Uyb0RvYy54bWzt&#10;W1tvnDgUfl9p/wPivR1sjA2jTqqo2VQrRduq3cszYWAGCTBrSCbdX9/PxjBMkkkm2W0uWvIwwRh8&#10;OfZ3zneOD+/eX5WFc5mqJpfVwiVvPddJq0Qu82q1cP/4/fRN6DpNG1fLuJBVunC/pY37/ujnn95t&#10;6nlK5VoWy1Q5aKRq5pt64a7btp7PZk2yTsu4eSvrtEJlJlUZtyiq1Wyp4g1aL4sZ9Tw+20i1rJVM&#10;0qbB3ZOu0rUtqkMalFmWJ+mJTC7KtGq7VlVaxC2m1KzzunGPzGizLE3aT1nWpK1TLFzMtDW/6ATX&#10;5/p3dvQunq9UXK/zxA4hPmQI1+ZUxnmFToemTuI2di5UfqOpMk+UbGTWvk1kOesmYiSCWRDvmmw+&#10;KnlRm7ms5ptVPQgdC3VN6o9uNvnt8rNy8uXCpb7rVHGJFTfdOihDOJt6NcczH1X9tf6s7I1VV9Lz&#10;vcpUqf9jJs6VEeu3QazpVeskuMmECLDyrpOgjoY0EIEVfLLG6tx4L1n/cs+bs77jmR7fMJyh8GMl&#10;BYCMBRU+v5yCwCMktBL2/ciPQqFH9bxyItcEhfJ/taPCIKDk5nzj+b07as+bzysptruj2A+RExWC&#10;AIm67ZGcBPcD1wEwuUeFgbyu7AEYsBCLqHHLIPDn31LRrqCiRwjqtgn3mmo0Xd8zqzCSFLYb5PCG&#10;RCIaqrZyEjSMqFVxHmFRZGS5d1vBdjZbhd78O4X+dR3XqbETjVbWVqFrfHR66ou8qJbp0vkCcxhX&#10;qyJ1UGegaJ4fNHszb6Dkb1HrISUCk7s2/V5qhBHBOO8mH4XE8418hrnH81o17cdUlo6+WLgwa9VS&#10;D8aYzPjyrGk7ZdU/p4fQyCJfnuZFYQpqdf6hUM5lDDt+av7sZtx5rKicDTgNFcbaxGAnGVgBBlbW&#10;sHBNtXKduFiB9iStMn3vvN2MOxHe8QnrlejOY3qQJ3Gz7gZjqvRY4nmZt2BGRV4u3NDTf3aIRQVN&#10;vKl76eqr9ur8yi7AuVx+w4op2XGTpk5Oc/RwFjft51iBjGAZQdfaT/jJCon5SXvlOmup/rntvn4e&#10;Wwq1rrMBucHc/76IVeo6xa8VNltEGEOzrSmwQFAU1LjmfFxTXZQfJOROQAzrxFzq59uiv8yULP8C&#10;qzvWvaIqrhL03UnZFj60HekCL0zS42PzGBhQHbdn1dc60Y1rEVby+KKVWW72gxZUJx0rP0BGM5Kn&#10;wA7muhc7Rg/qYQBr92OHiMgLudWxwIZ5O54P4OEc1tpqDuEFwI/dNj216kExgQeqaQLPKwAPdvNe&#10;8FC9uw8Gj8+p4AxWH6YnYMy3BGUAjxB+BC1tGIoglPBeY0/g0eR/sjxSvTbLM7jhX/LVunWOlZIb&#10;h1hn/C6b42RFXv/ZW1LrkBMmOA/BzTSFZyTyeMdVegT51GNo3FJ8Tkz1HcxNj8kM6X9L3Sa+9hL5&#10;2uBB76DGOtJ3oUazTosVn4F9cYDBYCUKEFAxvL7HCgl9D26dwUpASGDCGRNW7nBzJqy8RKzAF+no&#10;2YncVL2BMXGhg3kZQ7SI6YAjoCKEoPAmd6ASeBFBNyZwRDwEJ3X1fqgsMZDJqkxRgJcWBQBv6pBy&#10;lmYDFTMU6WCkIBof4vTDIAVkzOP8GlS4F/H+cKQLxdwJlQIjmaAyQeWlQQVO+F6f3zjlByMGTjwP&#10;OI4dYFsIIdTvAqmjkJlAnD5AhE6blzBE4N2cA+w3L1O8eYo3QwO/5HjzcLB1y1mNPeU61IsJA0TN&#10;utMaQiIadAHlEXw47gotD8An8HjYxQQm+FiOOgXNXl3QTPOrfdYHdSBUB1sfy9QoMHLD7jCPen2W&#10;BUwQ77yeCTgTcFR/6PnKos10OOcceTi4+RDEkB4Wmq8FhBPYFry/NTg+o1Hv4fgInJnq/aiZPJwp&#10;bPawsNk2C/CJ0gM0vbL2pk+paZyHxQVCEiJmDchwjY5dwDDRZ10FXRbSfrCoe7JoKqlTaAwcH5wc&#10;M3p3ynkxGSvPlfPy5Bt8CBHfdEceFigmLBTG2cBOp/A0Qm6My9Y4ELj6FNmqnTcS4hD/viPIKXls&#10;Sh570c78EAobna88LARGkSPv8c4+UOSHedScNW5RI8C5bACMcA57YSn4nrSX6XxlolQvnFINjsgo&#10;SflBbojvE5/aPEvKWEi77N0tZigJxXAqGfphhKN+EKPHcyuT+jtlKE8ZysjfHmcoPzlbG7yRsRN/&#10;P3huTRijHlLCtLeuCRsNGO2/1eqzYELG8LlRx9dwXknuOXuZvPnJ9DzC9OBzR6Oa7aeZ+nvKcdnA&#10;bfs56tF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sfEqcdoAAAAJAQAADwAAAAAAAAABACAAAAAi&#10;AAAAZHJzL2Rvd25yZXYueG1sUEsBAhQAFAAAAAgAh07iQFLyE0q1BgAA1joAAA4AAAAAAAAAAQAg&#10;AAAAKQEAAGRycy9lMm9Eb2MueG1sUEsFBgAAAAAGAAYAWQEAAFAKAAAAAA==&#10;">
                <o:lock v:ext="edit" aspectratio="f"/>
                <v:group id="_x0000_s1026" o:spid="_x0000_s1026" o:spt="203" style="position:absolute;left:0;top:0;height:2825750;width:4775200;" coordsize="5501180,3393987"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group id="_x0000_s1026" o:spid="_x0000_s1026" o:spt="203" style="position:absolute;left:0;top:0;height:3393987;width:4855210;" coordsize="4855210,3393987"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2771775;width:4855210;" coordorigin="7635,60273" coordsize="5488,452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7635;top:60273;height:4304;width:5488;" coordorigin="0,-19794" coordsize="5472892,2014993"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roundrect id="_x0000_s1026" o:spid="_x0000_s1026" o:spt="2" style="position:absolute;left:82172;top:-19794;height:981034;width:1417466;v-text-anchor:middle;" fillcolor="#FFFFFF [3201]" filled="t" stroked="t" coordsize="21600,21600" arcsize="0.166666666666667" o:gfxdata="UEsDBAoAAAAAAIdO4kAAAAAAAAAAAAAAAAAEAAAAZHJzL1BLAwQUAAAACACHTuJAAyKzIr0AAADb&#10;AAAADwAAAGRycy9kb3ducmV2LnhtbEWPT4sCMQzF78J+h5IFb9pR0dVZq4cFwYMg6nrwFqZxOuw0&#10;nZ3Wf9/eHARvCe/lvV/my7uv1ZXaWAU2MOhnoIiLYCsuDfweVr0pqJiQLdaBycCDIiwXH5055jbc&#10;eEfXfSqVhHDM0YBLqcm1joUjj7EfGmLRzqH1mGRtS21bvEm4r/UwyybaY8XS4LChH0fF3/7iDUzc&#10;atiM/qc81ruvx2xzTLw9WWO6n4PsG1Sie3qbX9drK/hCL7/IAHr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IrMivQAA&#10;ANsAAAAPAAAAAAAAAAEAIAAAACIAAABkcnMvZG93bnJldi54bWxQSwECFAAUAAAACACHTuJAMy8F&#10;njsAAAA5AAAAEAAAAAAAAAABACAAAAAMAQAAZHJzL3NoYXBleG1sLnhtbFBLBQYAAAAABgAGAFsB&#10;AAC2AwAAAAA=&#10;">
                          <v:fill on="t" focussize="0,0"/>
                          <v:stroke weight="1pt" color="#70AD47 [3209]" miterlimit="8" joinstyle="miter"/>
                          <v:imagedata o:title=""/>
                          <o:lock v:ext="edit" aspectratio="f"/>
                          <v:textbox>
                            <w:txbxContent>
                              <w:p w14:paraId="7BDE2A6D">
                                <w:pPr>
                                  <w:jc w:val="center"/>
                                  <w:rPr>
                                    <w:rFonts w:ascii="Arial" w:hAnsi="Arial" w:cs="Arial"/>
                                  </w:rPr>
                                </w:pPr>
                                <w:r>
                                  <w:rPr>
                                    <w:rFonts w:ascii="Arial" w:hAnsi="Arial" w:cs="Arial"/>
                                  </w:rPr>
                                  <w:t>Data Acquisition Landsat series (1993, 2003, 2013, 2023</w:t>
                                </w:r>
                              </w:p>
                            </w:txbxContent>
                          </v:textbox>
                        </v:roundrect>
                        <v:roundrect id="_x0000_s1026" o:spid="_x0000_s1026" o:spt="2" style="position:absolute;left:1790865;top:61031;height:705981;width:1663982;v-text-anchor:middle;" fillcolor="#FFFFFF [3201]" filled="t" stroked="t" coordsize="21600,21600" arcsize="0.166666666666667" o:gfxdata="UEsDBAoAAAAAAIdO4kAAAAAAAAAAAAAAAAAEAAAAZHJzL1BLAwQUAAAACACHTuJAbG4WubkAAADb&#10;AAAADwAAAGRycy9kb3ducmV2LnhtbEVPy6rCMBDdC/5DGMGdplV8VaOLC4ILQfReF+6GZmyKzaQ2&#10;uT7+3giCuzmc5yxWD1uJGzW+dKwg7ScgiHOnSy4U/P2ue1MQPiBrrByTgid5WC3brQVm2t15T7dD&#10;KEQMYZ+hAhNCnUnpc0MWfd/VxJE7u8ZiiLAppG7wHsNtJQdJMpYWS44NBmv6MZRfDv9WwdisB/Xw&#10;OuWR3E+es+0x8O6klep20mQOItAjfMUf90bH+Sm8f4kHyO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uFrm5AAAA2wAA&#10;AA8AAAAAAAAAAQAgAAAAIgAAAGRycy9kb3ducmV2LnhtbFBLAQIUABQAAAAIAIdO4kAzLwWeOwAA&#10;ADkAAAAQAAAAAAAAAAEAIAAAAAgBAABkcnMvc2hhcGV4bWwueG1sUEsFBgAAAAAGAAYAWwEAALID&#10;AAAAAA==&#10;">
                          <v:fill on="t" focussize="0,0"/>
                          <v:stroke weight="1pt" color="#70AD47 [3209]" miterlimit="8" joinstyle="miter"/>
                          <v:imagedata o:title=""/>
                          <o:lock v:ext="edit" aspectratio="f"/>
                          <v:textbox>
                            <w:txbxContent>
                              <w:p w14:paraId="6C1622E4">
                                <w:pPr>
                                  <w:jc w:val="center"/>
                                  <w:rPr>
                                    <w:rFonts w:ascii="Arial" w:hAnsi="Arial" w:cs="Arial"/>
                                  </w:rPr>
                                </w:pPr>
                                <w:r>
                                  <w:rPr>
                                    <w:rFonts w:ascii="Arial" w:hAnsi="Arial" w:cs="Arial"/>
                                  </w:rPr>
                                  <w:t>Layer stacking, subset &amp;</w:t>
                                </w:r>
                              </w:p>
                              <w:p w14:paraId="284567BC">
                                <w:pPr>
                                  <w:jc w:val="center"/>
                                  <w:rPr>
                                    <w:rFonts w:ascii="Arial" w:hAnsi="Arial" w:cs="Arial"/>
                                  </w:rPr>
                                </w:pPr>
                                <w:r>
                                  <w:rPr>
                                    <w:rFonts w:ascii="Arial" w:hAnsi="Arial" w:cs="Arial"/>
                                  </w:rPr>
                                  <w:t>Geometric correction</w:t>
                                </w:r>
                              </w:p>
                            </w:txbxContent>
                          </v:textbox>
                        </v:roundrect>
                        <v:roundrect id="_x0000_s1026" o:spid="_x0000_s1026" o:spt="2" style="position:absolute;left:3627649;top:54433;height:712167;width:1773947;v-text-anchor:middle;" fillcolor="#FFFFFF [3201]" filled="t" stroked="t" coordsize="21600,21600" arcsize="0.166666666666667" o:gfxdata="UEsDBAoAAAAAAIdO4kAAAAAAAAAAAAAAAAAEAAAAZHJzL1BLAwQUAAAACACHTuJAnLyIzrsAAADb&#10;AAAADwAAAGRycy9kb3ducmV2LnhtbEVPS2vCQBC+C/6HZYTedGNKfURXDwWhh4LE1oO3ITtmg9nZ&#10;mN3G5N+7hUJv8/E9Z7vvbS06an3lWMF8loAgLpyuuFTw/XWYrkD4gKyxdkwKBvKw341HW8y0e3BO&#10;3SmUIoawz1CBCaHJpPSFIYt+5hriyF1dazFE2JZSt/iI4baWaZIspMWKY4PBht4NFbfTj1WwMIe0&#10;eb2v+E3my2H9eQ58vGilXibzZAMiUB/+xX/uDx3np/D7SzxA7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LyIzrsAAADb&#10;AAAADwAAAAAAAAABACAAAAAiAAAAZHJzL2Rvd25yZXYueG1sUEsBAhQAFAAAAAgAh07iQDMvBZ47&#10;AAAAOQAAABAAAAAAAAAAAQAgAAAACgEAAGRycy9zaGFwZXhtbC54bWxQSwUGAAAAAAYABgBbAQAA&#10;tAMAAAAA&#10;">
                          <v:fill on="t" focussize="0,0"/>
                          <v:stroke weight="1pt" color="#70AD47 [3209]" miterlimit="8" joinstyle="miter"/>
                          <v:imagedata o:title=""/>
                          <o:lock v:ext="edit" aspectratio="f"/>
                          <v:textbox>
                            <w:txbxContent>
                              <w:p w14:paraId="430D2CE8">
                                <w:pPr>
                                  <w:jc w:val="center"/>
                                  <w:rPr>
                                    <w:rFonts w:ascii="Arial" w:hAnsi="Arial" w:cs="Arial"/>
                                  </w:rPr>
                                </w:pPr>
                                <w:r>
                                  <w:rPr>
                                    <w:rFonts w:ascii="Arial" w:hAnsi="Arial" w:cs="Arial"/>
                                  </w:rPr>
                                  <w:t>Data processing</w:t>
                                </w:r>
                              </w:p>
                              <w:p w14:paraId="6B809579">
                                <w:pPr>
                                  <w:jc w:val="center"/>
                                  <w:rPr>
                                    <w:rFonts w:ascii="Arial" w:hAnsi="Arial" w:cs="Arial"/>
                                  </w:rPr>
                                </w:pPr>
                                <w:r>
                                  <w:rPr>
                                    <w:rFonts w:ascii="Arial" w:hAnsi="Arial" w:cs="Arial"/>
                                  </w:rPr>
                                  <w:t>Supervised classification</w:t>
                                </w:r>
                              </w:p>
                            </w:txbxContent>
                          </v:textbox>
                        </v:roundrect>
                        <v:shape id="_x0000_s1026" o:spid="_x0000_s1026" o:spt="13" type="#_x0000_t13" style="position:absolute;left:1476686;top:441906;flip:y;height:45616;width:320413;v-text-anchor:middle;" fillcolor="#FFFFFF [3201]" filled="t" stroked="t" coordsize="21600,21600" o:gfxdata="UEsDBAoAAAAAAIdO4kAAAAAAAAAAAAAAAAAEAAAAZHJzL1BLAwQUAAAACACHTuJAPCHO6rwAAADb&#10;AAAADwAAAGRycy9kb3ducmV2LnhtbEVPS2sCMRC+C/6HMEJvbqKClNXoQSttwUu1Po7jZtxdu5ks&#10;m+jqv28KQm/z8T1nOr/bStyo8aVjDYNEgSDOnCk51/C9XfVfQfiAbLByTBoe5GE+63ammBrX8hfd&#10;NiEXMYR9ihqKEOpUSp8VZNEnriaO3Nk1FkOETS5Ng20Mt5UcKjWWFkuODQXWtCgo+9lcrYbP/WO9&#10;e78q0x6Xtn5bnC6jw2Gr9UtvoCYgAt3Dv/jp/jBx/gj+fokH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hzuq8AAAA&#10;2wAAAA8AAAAAAAAAAQAgAAAAIgAAAGRycy9kb3ducmV2LnhtbFBLAQIUABQAAAAIAIdO4kAzLwWe&#10;OwAAADkAAAAQAAAAAAAAAAEAIAAAAAsBAABkcnMvc2hhcGV4bWwueG1sUEsFBgAAAAAGAAYAWwEA&#10;ALUDAAAAAA==&#10;" adj="20063,5400">
                          <v:fill on="t" focussize="0,0"/>
                          <v:stroke weight="1pt" color="#70AD47 [3209]" miterlimit="8" joinstyle="miter"/>
                          <v:imagedata o:title=""/>
                          <o:lock v:ext="edit" aspectratio="f"/>
                        </v:shape>
                        <v:shape id="_x0000_s1026" o:spid="_x0000_s1026" o:spt="13" type="#_x0000_t13" style="position:absolute;left:3459863;top:449580;height:51158;width:183093;v-text-anchor:middle;" fillcolor="#FFFFFF [3201]" filled="t" stroked="t" coordsize="21600,21600" o:gfxdata="UEsDBAoAAAAAAIdO4kAAAAAAAAAAAAAAAAAEAAAAZHJzL1BLAwQUAAAACACHTuJAYJeUC7sAAADb&#10;AAAADwAAAGRycy9kb3ducmV2LnhtbEVPzWrCQBC+F/oOyxS8NbuREkrMKo0iFXqQRh9gyE6TkOxs&#10;yK4a394tFHqbj+93is1sB3GlyXeONaSJAkFcO9Nxo+F82r++g/AB2eDgmDTcycNm/fxUYG7cjb/p&#10;WoVGxBD2OWpoQxhzKX3dkkWfuJE4cj9ushginBppJrzFcDvIpVKZtNhxbGhxpG1LdV9drIay/DyG&#10;fl9WadUf1dfH7uKzHWm9eEnVCkSgOfyL/9wHE+e/we8v8Q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eUC7sAAADb&#10;AAAADwAAAAAAAAABACAAAAAiAAAAZHJzL2Rvd25yZXYueG1sUEsBAhQAFAAAAAgAh07iQDMvBZ47&#10;AAAAOQAAABAAAAAAAAAAAQAgAAAACgEAAGRycy9zaGFwZXhtbC54bWxQSwUGAAAAAAYABgBbAQAA&#10;tAMAAAAA&#10;" adj="18583,5400">
                          <v:fill on="t" focussize="0,0"/>
                          <v:stroke weight="1pt" color="#70AD47 [3209]" miterlimit="8" joinstyle="miter"/>
                          <v:imagedata o:title=""/>
                          <o:lock v:ext="edit" aspectratio="f"/>
                        </v:shape>
                        <v:shape id="_x0000_s1026" o:spid="_x0000_s1026" o:spt="67" type="#_x0000_t67" style="position:absolute;left:4602480;top:777240;height:410011;width:50915;v-text-anchor:middle;" fillcolor="#FFFFFF [3201]" filled="t" stroked="t" coordsize="21600,21600" o:gfxdata="UEsDBAoAAAAAAIdO4kAAAAAAAAAAAAAAAAAEAAAAZHJzL1BLAwQUAAAACACHTuJAvYonI7sAAADb&#10;AAAADwAAAGRycy9kb3ducmV2LnhtbEVPTWsCMRC9C/0PYYTeNLFF265GEaFQPAhaPfQ2bKabxc1k&#10;2cR19dcbQfA2j/c5s0XnKtFSE0rPGkZDBYI496bkQsP+93vwCSJEZIOVZ9JwoQCL+UtvhpnxZ95S&#10;u4uFSCEcMtRgY6wzKUNuyWEY+po4cf++cRgTbAppGjyncFfJN6Um0mHJqcFiTStL+XF3chrareHl&#10;X7t8X9tj93VYb1T3cVVav/ZHagoiUhef4of7x6T5Y7j/kg6Q8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YonI7sAAADb&#10;AAAADwAAAAAAAAABACAAAAAiAAAAZHJzL2Rvd25yZXYueG1sUEsBAhQAFAAAAAgAh07iQDMvBZ47&#10;AAAAOQAAABAAAAAAAAAAAQAgAAAACgEAAGRycy9zaGFwZXhtbC54bWxQSwUGAAAAAAYABgBbAQAA&#10;tAMAAAAA&#10;" adj="20259,5400">
                          <v:fill on="t" focussize="0,0"/>
                          <v:stroke weight="1pt" color="#70AD47 [3209]" miterlimit="8" joinstyle="miter"/>
                          <v:imagedata o:title=""/>
                          <o:lock v:ext="edit" aspectratio="f"/>
                        </v:shape>
                        <v:shape id="_x0000_s1026" o:spid="_x0000_s1026" o:spt="66" type="#_x0000_t66" style="position:absolute;left:3398520;top:1470660;height:45720;width:609600;v-text-anchor:middle;" fillcolor="#FFFFFF [3201]" filled="t" stroked="t" coordsize="21600,21600" o:gfxdata="UEsDBAoAAAAAAIdO4kAAAAAAAAAAAAAAAAAEAAAAZHJzL1BLAwQUAAAACACHTuJA7w7SqbwAAADb&#10;AAAADwAAAGRycy9kb3ducmV2LnhtbEVPS2vCQBC+C/0PyxS86caiUVI3HsRCW2jBB56H7HQTkp2N&#10;2W18/PpuQfA2H99zlquLbURPna8cK5iMExDEhdMVGwWH/dtoAcIHZI2NY1JwJQ+r/GmwxEy7M2+p&#10;3wUjYgj7DBWUIbSZlL4oyaIfu5Y4cj+usxgi7IzUHZ5juG3kS5Kk0mLFsaHEltYlFfXu1yqYafP1&#10;8Tn/ntZ4O560Sa+bql8rNXyeJK8gAl3CQ3x3v+s4P4X/X+IB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O0qm8AAAA&#10;2wAAAA8AAAAAAAAAAQAgAAAAIgAAAGRycy9kb3ducmV2LnhtbFBLAQIUABQAAAAIAIdO4kAzLwWe&#10;OwAAADkAAAAQAAAAAAAAAAEAIAAAAAsBAABkcnMvc2hhcGV4bWwueG1sUEsFBgAAAAAGAAYAWwEA&#10;ALUDAAAAAA==&#10;" adj="810,5400">
                          <v:fill on="t" focussize="0,0"/>
                          <v:stroke weight="1pt" color="#70AD47 [3209]" miterlimit="8" joinstyle="miter"/>
                          <v:imagedata o:title=""/>
                          <o:lock v:ext="edit" aspectratio="f"/>
                        </v:shape>
                        <v:roundrect id="_x0000_s1026" o:spid="_x0000_s1026" o:spt="2" style="position:absolute;left:1676568;top:1112300;height:882899;width:1754851;v-text-anchor:middle;" fillcolor="#FFFFFF [3201]" filled="t" stroked="t" coordsize="21600,21600" arcsize="0.166666666666667" o:gfxdata="UEsDBAoAAAAAAIdO4kAAAAAAAAAAAAAAAAAEAAAAZHJzL1BLAwQUAAAACACHTuJAjMsrVrsAAADb&#10;AAAADwAAAGRycy9kb3ducmV2LnhtbEVPS4vCMBC+C/6HMAveNLWyPqqxhwXBgyDq7sHb0IxN2WZS&#10;m6y2/94sLOxtPr7nbPLO1uJBra8cK5hOEhDEhdMVlwo+L7vxEoQPyBprx6SgJw/5djjYYKbdk0/0&#10;OIdSxBD2GSowITSZlL4wZNFPXEMcuZtrLYYI21LqFp8x3NYyTZK5tFhxbDDY0Ieh4vv8YxXMzS5t&#10;Zvclv8vTol8dvgIfr1qp0ds0WYMI1IV/8Z97r+P8Bfz+E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rVrsAAADb&#10;AAAADwAAAAAAAAABACAAAAAiAAAAZHJzL2Rvd25yZXYueG1sUEsBAhQAFAAAAAgAh07iQDMvBZ47&#10;AAAAOQAAABAAAAAAAAAAAQAgAAAACgEAAGRycy9zaGFwZXhtbC54bWxQSwUGAAAAAAYABgBbAQAA&#10;tAMAAAAA&#10;">
                          <v:fill on="t" focussize="0,0"/>
                          <v:stroke weight="1pt" color="#70AD47 [3209]" miterlimit="8" joinstyle="miter"/>
                          <v:imagedata o:title=""/>
                          <o:lock v:ext="edit" aspectratio="f"/>
                          <v:textbox>
                            <w:txbxContent>
                              <w:p w14:paraId="12A9CCFF">
                                <w:pPr>
                                  <w:jc w:val="center"/>
                                  <w:rPr>
                                    <w:rFonts w:ascii="Arial" w:hAnsi="Arial" w:cs="Arial"/>
                                  </w:rPr>
                                </w:pPr>
                                <w:r>
                                  <w:rPr>
                                    <w:rFonts w:ascii="Arial" w:hAnsi="Arial" w:cs="Arial"/>
                                  </w:rPr>
                                  <w:t xml:space="preserve">LULC map preparation, forest cover map </w:t>
                                </w:r>
                              </w:p>
                            </w:txbxContent>
                          </v:textbox>
                        </v:roundrect>
                        <v:roundrect id="_x0000_s1026" o:spid="_x0000_s1026" o:spt="2" style="position:absolute;left:3853622;top:1192581;height:506806;width:1619270;v-text-anchor:middle;" fillcolor="#FFFFFF [3201]" filled="t" stroked="t" coordsize="21600,21600" arcsize="0.166666666666667" o:gfxdata="UEsDBAoAAAAAAIdO4kAAAAAAAAAAAAAAAAAEAAAAZHJzL1BLAwQUAAAACACHTuJAkhgav7sAAADb&#10;AAAADwAAAGRycy9kb3ducmV2LnhtbEVPTYvCMBC9C/6HMAveNLWyrlZjDwuCB0HU9eBtaMambDOp&#10;TVbbf28WFvY2j/c567yztXhQ6yvHCqaTBARx4XTFpYKv83a8AOEDssbaMSnoyUO+GQ7WmGn35CM9&#10;TqEUMYR9hgpMCE0mpS8MWfQT1xBH7uZaiyHCtpS6xWcMt7VMk2QuLVYcGww29Gmo+D79WAVzs02b&#10;2X3B7/L40S/3l8CHq1Zq9DZNViACdeFf/Ofe6Th/Cb+/xAP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gav7sAAADb&#10;AAAADwAAAAAAAAABACAAAAAiAAAAZHJzL2Rvd25yZXYueG1sUEsBAhQAFAAAAAgAh07iQDMvBZ47&#10;AAAAOQAAABAAAAAAAAAAAQAgAAAACgEAAGRycy9zaGFwZXhtbC54bWxQSwUGAAAAAAYABgBbAQAA&#10;tAMAAAAA&#10;">
                          <v:fill on="t" focussize="0,0"/>
                          <v:stroke weight="1pt" color="#70AD47 [3209]" miterlimit="8" joinstyle="miter"/>
                          <v:imagedata o:title=""/>
                          <o:lock v:ext="edit" aspectratio="f"/>
                          <v:textbox>
                            <w:txbxContent>
                              <w:p w14:paraId="42C07221">
                                <w:pPr>
                                  <w:jc w:val="center"/>
                                  <w:rPr>
                                    <w:rFonts w:ascii="Arial" w:hAnsi="Arial" w:cs="Arial"/>
                                  </w:rPr>
                                </w:pPr>
                                <w:r>
                                  <w:rPr>
                                    <w:rFonts w:ascii="Arial" w:hAnsi="Arial" w:cs="Arial"/>
                                  </w:rPr>
                                  <w:t>Accuracy Assessment</w:t>
                                </w:r>
                              </w:p>
                            </w:txbxContent>
                          </v:textbox>
                        </v:roundrect>
                        <v:roundrect id="_x0000_s1026" o:spid="_x0000_s1026" o:spt="2" style="position:absolute;left:0;top:1219200;height:548640;width:1402080;v-text-anchor:middle;" fillcolor="#FFFFFF [3201]" filled="t" stroked="t" coordsize="21600,21600" arcsize="0.166666666666667" o:gfxdata="UEsDBAoAAAAAAIdO4kAAAAAAAAAAAAAAAAAEAAAAZHJzL1BLAwQUAAAACACHTuJAzU55n7kAAADb&#10;AAAADwAAAGRycy9kb3ducmV2LnhtbEVPyarCMBTdC/5DuMLb2dQ+nKrRhSC8hSBOC3eX5toUm5va&#10;5Dn8vVkILg9nni+fthZ3an3lWMEgSUEQF05XXCo4Htb9CQgfkDXWjknBizwsF93OHHPtHryj+z6U&#10;Ioawz1GBCaHJpfSFIYs+cQ1x5C6utRgibEupW3zEcFvLLE1H0mLFscFgQytDxXX/bxWMzDprfm8T&#10;Hsrd+DXdnAJvz1qpn94gnYEI9Axf8cf9pxVkcX38En+AX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1OeZ+5AAAA2wAA&#10;AA8AAAAAAAAAAQAgAAAAIgAAAGRycy9kb3ducmV2LnhtbFBLAQIUABQAAAAIAIdO4kAzLwWeOwAA&#10;ADkAAAAQAAAAAAAAAAEAIAAAAAgBAABkcnMvc2hhcGV4bWwueG1sUEsFBgAAAAAGAAYAWwEAALID&#10;AAAAAA==&#10;">
                          <v:fill on="t" focussize="0,0"/>
                          <v:stroke weight="1pt" color="#70AD47 [3209]" miterlimit="8" joinstyle="miter"/>
                          <v:imagedata o:title=""/>
                          <o:lock v:ext="edit" aspectratio="f"/>
                          <v:textbox>
                            <w:txbxContent>
                              <w:p w14:paraId="1FAFBBB3">
                                <w:pPr>
                                  <w:jc w:val="center"/>
                                  <w:rPr>
                                    <w:rFonts w:ascii="Arial" w:hAnsi="Arial" w:cs="Arial"/>
                                  </w:rPr>
                                </w:pPr>
                                <w:r>
                                  <w:rPr>
                                    <w:rFonts w:ascii="Arial" w:hAnsi="Arial" w:cs="Arial"/>
                                  </w:rPr>
                                  <w:t>LULC data Analysis</w:t>
                                </w:r>
                              </w:p>
                            </w:txbxContent>
                          </v:textbox>
                        </v:roundrect>
                        <v:shape id="_x0000_s1026" o:spid="_x0000_s1026" o:spt="66" type="#_x0000_t66" style="position:absolute;left:1402080;top:1516170;height:35110;width:342900;v-text-anchor:middle;" fillcolor="#FFFFFF [3201]" filled="t" stroked="t" coordsize="21600,21600" o:gfxdata="UEsDBAoAAAAAAIdO4kAAAAAAAAAAAAAAAAAEAAAAZHJzL1BLAwQUAAAACACHTuJAVszHf7sAAADb&#10;AAAADwAAAGRycy9kb3ducmV2LnhtbEWPQYvCMBSE7wv+h/AEb2tShUWq0YMg7k3sFrw+mmdbbV5q&#10;k7Xtv98sCB6HmfmG2ewG24gndb52rCGZKxDEhTM1lxryn8PnCoQPyAYbx6RhJA+77eRjg6lxPZ/p&#10;mYVSRAj7FDVUIbSplL6oyKKfu5Y4elfXWQxRdqU0HfYRbhu5UOpLWqw5LlTY0r6i4p79Wg17m9+G&#10;+2N5GdSpvo2qGY95n2k9myZqDSLQEN7hV/vbaFgk8P8l/g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zHf7sAAADb&#10;AAAADwAAAAAAAAABACAAAAAiAAAAZHJzL2Rvd25yZXYueG1sUEsBAhQAFAAAAAgAh07iQDMvBZ47&#10;AAAAOQAAABAAAAAAAAAAAQAgAAAACgEAAGRycy9zaGFwZXhtbC54bWxQSwUGAAAAAAYABgBbAQAA&#10;tAMAAAAA&#10;" adj="1105,5400">
                          <v:fill on="t" focussize="0,0"/>
                          <v:stroke weight="1pt" color="#70AD47 [3209]" miterlimit="8" joinstyle="miter"/>
                          <v:imagedata o:title=""/>
                          <o:lock v:ext="edit" aspectratio="f"/>
                        </v:shape>
                      </v:group>
                      <v:rect id="Rectangles 6" o:spid="_x0000_s1026" o:spt="1" style="position:absolute;left:8184;top:64290;height:504;width:4788;v-text-anchor:middle;" filled="f" stroked="f" coordsize="21600,21600" o:gfxdata="UEsDBAoAAAAAAIdO4kAAAAAAAAAAAAAAAAAEAAAAZHJzL1BLAwQUAAAACACHTuJAUhW2NrsAAADb&#10;AAAADwAAAGRycy9kb3ducmV2LnhtbEWPQYvCMBSE7wv+h/AEb2tqDyLVKKwgKh4Wdff+TJ5t2eal&#10;JLHVf28WBI/DzHzDLFZ324iOfKgdK5iMMxDE2pmaSwU/583nDESIyAYbx6TgQQFWy8HHAgvjej5S&#10;d4qlSBAOBSqoYmwLKYOuyGIYu5Y4eVfnLcYkfSmNxz7BbSPzLJtKizWnhQpbWlek/043q+DXXb96&#10;qy+87x7f9W178FrPDkqNhpNsDiLSPb7Dr/bOKMhz+P+Sf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hW2NrsAAADb&#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7B401253">
                              <w:pPr>
                                <w:jc w:val="center"/>
                                <w:rPr>
                                  <w:rFonts w:ascii="Arial" w:hAnsi="Arial" w:cs="Arial"/>
                                </w:rPr>
                              </w:pPr>
                            </w:p>
                          </w:txbxContent>
                        </v:textbox>
                      </v:rect>
                    </v:group>
                    <v:roundrect id="_x0000_s1026" o:spid="_x0000_s1026" o:spt="2" style="position:absolute;left:1487270;top:2806861;height:587126;width:1568287;v-text-anchor:middle;" fillcolor="#FFFFFF [3201]" filled="t" stroked="t" coordsize="21600,21600" arcsize="0.166666666666667" o:gfxdata="UEsDBAoAAAAAAIdO4kAAAAAAAAAAAAAAAAAEAAAAZHJzL1BLAwQUAAAACACHTuJAn/NegbsAAADa&#10;AAAADwAAAGRycy9kb3ducmV2LnhtbEWPS6vCMBSE9xf8D+EI7m5TFV/V6EIQXAjia+Hu0BybYnNS&#10;m/j690a4cJfDzHzDzBYvW4kHNb50rKCbpCCIc6dLLhQcD6vfMQgfkDVWjknBmzws5q2fGWbaPXlH&#10;j30oRISwz1CBCaHOpPS5IYs+cTVx9C6usRiibAqpG3xGuK1kL02H0mLJccFgTUtD+XV/twqGZtWr&#10;+7cxD+Ru9J5sToG3Z61Up91NpyACvcJ/+K+91goG8L0Sb4Cc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egbsAAADa&#10;AAAADwAAAAAAAAABACAAAAAiAAAAZHJzL2Rvd25yZXYueG1sUEsBAhQAFAAAAAgAh07iQDMvBZ47&#10;AAAAOQAAABAAAAAAAAAAAQAgAAAACgEAAGRycy9zaGFwZXhtbC54bWxQSwUGAAAAAAYABgBbAQAA&#10;tAMAAAAA&#10;">
                      <v:fill on="t" focussize="0,0"/>
                      <v:stroke weight="1pt" color="#70AD47 [3209]" miterlimit="8" joinstyle="miter"/>
                      <v:imagedata o:title=""/>
                      <o:lock v:ext="edit" aspectratio="f"/>
                      <v:textbox>
                        <w:txbxContent>
                          <w:p w14:paraId="36F2B073">
                            <w:pPr>
                              <w:jc w:val="center"/>
                              <w:rPr>
                                <w:rFonts w:ascii="Arial" w:hAnsi="Arial" w:cs="Arial"/>
                              </w:rPr>
                            </w:pPr>
                            <w:r>
                              <w:rPr>
                                <w:rFonts w:ascii="Arial" w:hAnsi="Arial" w:cs="Arial"/>
                              </w:rPr>
                              <w:t>Forest cover (2033 predictive)</w:t>
                            </w:r>
                          </w:p>
                          <w:p w14:paraId="1767FC67">
                            <w:pPr>
                              <w:jc w:val="center"/>
                              <w:rPr>
                                <w:rFonts w:ascii="Arial" w:hAnsi="Arial" w:cs="Arial"/>
                              </w:rPr>
                            </w:pPr>
                          </w:p>
                        </w:txbxContent>
                      </v:textbox>
                    </v:roundrect>
                    <v:shape id="_x0000_s1026" o:spid="_x0000_s1026" o:spt="67" type="#_x0000_t67" style="position:absolute;left:2257064;top:2639028;height:166478;width:74021;v-text-anchor:middle;" fillcolor="#FFFFFF [3201]" filled="t" stroked="t" coordsize="21600,21600" o:gfxdata="UEsDBAoAAAAAAIdO4kAAAAAAAAAAAAAAAAAEAAAAZHJzL1BLAwQUAAAACACHTuJAD4iFi74AAADa&#10;AAAADwAAAGRycy9kb3ducmV2LnhtbEWPQWvCQBSE70L/w/IK3sxGC7FJXaVaRBEsNC20x0f2NQlm&#10;34bsqml/vSsIHoeZ+YaZLXrTiBN1rrasYBzFIIgLq2suFXx9rkfPIJxH1thYJgV/5GAxfxjMMNP2&#10;zB90yn0pAoRdhgoq79tMSldUZNBFtiUO3q/tDPogu1LqDs8Bbho5ieNEGqw5LFTY0qqi4pAfjQLe&#10;66cdvr81P/+H5ev3JknNdpkqNXwcxy8gPPX+Hr61t1rBFK5Xwg2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iFi74A&#10;AADaAAAADwAAAAAAAAABACAAAAAiAAAAZHJzL2Rvd25yZXYueG1sUEsBAhQAFAAAAAgAh07iQDMv&#10;BZ47AAAAOQAAABAAAAAAAAAAAQAgAAAADQEAAGRycy9zaGFwZXhtbC54bWxQSwUGAAAAAAYABgBb&#10;AQAAtwMAAAAA&#10;" adj="16799,5400">
                      <v:fill on="t" focussize="0,0"/>
                      <v:stroke weight="1pt" color="#70AD47 [3209]" miterlimit="8" joinstyle="miter"/>
                      <v:imagedata o:title=""/>
                      <o:lock v:ext="edit" aspectratio="f"/>
                    </v:shape>
                  </v:group>
                  <v:rect id="Rectangle 1" o:spid="_x0000_s1026" o:spt="1" style="position:absolute;left:3313265;top:2448247;height:838963;width:2187915;v-text-anchor:middle;" fillcolor="#FFFFFF [3201]" filled="t" stroked="t" coordsize="21600,21600" o:gfxdata="UEsDBAoAAAAAAIdO4kAAAAAAAAAAAAAAAAAEAAAAZHJzL1BLAwQUAAAACACHTuJAmUXM+LkAAADa&#10;AAAADwAAAGRycy9kb3ducmV2LnhtbEVPTYvCMBC9L/gfwgje1lRlZa1GD4LiHlRaxfPQjG21mdQm&#10;WvffbwRhT8Pjfc5s8TSVeFDjSssKBv0IBHFmdcm5guNh9fkNwnlkjZVlUvBLDhbzzscMY21bTuiR&#10;+lyEEHYxKii8r2MpXVaQQde3NXHgzrYx6ANscqkbbEO4qeQwisbSYMmhocCalgVl1/RuFCTH7W3y&#10;9ZMMW7kfbc+XnTlpWivV6w6iKQhPT/8vfrs3OsyH1yuv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FzPi5AAAA2gAA&#10;AA8AAAAAAAAAAQAgAAAAIgAAAGRycy9kb3ducmV2LnhtbFBLAQIUABQAAAAIAIdO4kAzLwWeOwAA&#10;ADkAAAAQAAAAAAAAAAEAIAAAAAgBAABkcnMvc2hhcGV4bWwueG1sUEsFBgAAAAAGAAYAWwEAALID&#10;AAAAAA==&#10;">
                    <v:fill on="t" focussize="0,0"/>
                    <v:stroke weight="1pt" color="#70AD47 [3209]" miterlimit="8" joinstyle="miter"/>
                    <v:imagedata o:title=""/>
                    <o:lock v:ext="edit" aspectratio="f"/>
                    <v:textbox>
                      <w:txbxContent>
                        <w:p w14:paraId="57B19E9C">
                          <w:pPr>
                            <w:jc w:val="center"/>
                            <w:rPr>
                              <w:rFonts w:ascii="Arial" w:hAnsi="Arial" w:cs="Arial"/>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Pr>
                              <w:rFonts w:ascii="Arial" w:hAnsi="Arial" w:cs="Arial"/>
                            </w:rPr>
                            <w:t>Variables (S</w:t>
                          </w:r>
                          <w:r>
                            <w:rPr>
                              <w:rFonts w:hint="default" w:ascii="Arial" w:hAnsi="Arial" w:cs="Arial"/>
                              <w:lang w:val="en-US"/>
                            </w:rPr>
                            <w:t>lope,</w:t>
                          </w:r>
                          <w:r>
                            <w:rPr>
                              <w:rFonts w:ascii="Arial" w:hAnsi="Arial" w:cs="Arial"/>
                            </w:rPr>
                            <w:t xml:space="preserve"> E</w:t>
                          </w:r>
                          <w:r>
                            <w:rPr>
                              <w:rFonts w:hint="default" w:ascii="Arial" w:hAnsi="Arial" w:cs="Arial"/>
                              <w:lang w:val="en-US"/>
                            </w:rPr>
                            <w:t>levation</w:t>
                          </w:r>
                          <w:r>
                            <w:rPr>
                              <w:rFonts w:ascii="Arial" w:hAnsi="Arial" w:cs="Arial"/>
                            </w:rPr>
                            <w:t>, D</w:t>
                          </w:r>
                          <w:r>
                            <w:rPr>
                              <w:rFonts w:hint="default" w:ascii="Arial" w:hAnsi="Arial" w:cs="Arial"/>
                              <w:lang w:val="en-US"/>
                            </w:rPr>
                            <w:t>f</w:t>
                          </w:r>
                          <w:r>
                            <w:rPr>
                              <w:rFonts w:ascii="Arial" w:hAnsi="Arial" w:cs="Arial"/>
                            </w:rPr>
                            <w:t>R</w:t>
                          </w:r>
                          <w:r>
                            <w:rPr>
                              <w:rFonts w:hint="default" w:ascii="Arial" w:hAnsi="Arial" w:cs="Arial"/>
                              <w:lang w:val="en-US"/>
                            </w:rPr>
                            <w:t>o</w:t>
                          </w:r>
                          <w:r>
                            <w:rPr>
                              <w:rFonts w:ascii="Arial" w:hAnsi="Arial" w:cs="Arial"/>
                            </w:rPr>
                            <w:t>, D</w:t>
                          </w:r>
                          <w:r>
                            <w:rPr>
                              <w:rFonts w:hint="default" w:ascii="Arial" w:hAnsi="Arial" w:cs="Arial"/>
                              <w:lang w:val="en-US"/>
                            </w:rPr>
                            <w:t>f</w:t>
                          </w:r>
                          <w:r>
                            <w:rPr>
                              <w:rFonts w:ascii="Arial" w:hAnsi="Arial" w:cs="Arial"/>
                            </w:rPr>
                            <w:t>T</w:t>
                          </w:r>
                          <w:r>
                            <w:rPr>
                              <w:rFonts w:hint="default" w:ascii="Arial" w:hAnsi="Arial" w:cs="Arial"/>
                              <w:lang w:val="en-US"/>
                            </w:rPr>
                            <w:t>o</w:t>
                          </w:r>
                          <w:r>
                            <w:rPr>
                              <w:rFonts w:ascii="Arial" w:hAnsi="Arial" w:cs="Arial"/>
                            </w:rPr>
                            <w:t>, D</w:t>
                          </w:r>
                          <w:r>
                            <w:rPr>
                              <w:rFonts w:hint="default" w:ascii="Arial" w:hAnsi="Arial" w:cs="Arial"/>
                              <w:lang w:val="en-US"/>
                            </w:rPr>
                            <w:t>f</w:t>
                          </w:r>
                          <w:r>
                            <w:rPr>
                              <w:rFonts w:ascii="Arial" w:hAnsi="Arial" w:cs="Arial"/>
                            </w:rPr>
                            <w:t>W</w:t>
                          </w:r>
                          <w:r>
                            <w:rPr>
                              <w:rFonts w:hint="default" w:ascii="Arial" w:hAnsi="Arial" w:cs="Arial"/>
                              <w:lang w:val="en-US"/>
                            </w:rPr>
                            <w:t>a</w:t>
                          </w:r>
                          <w:r>
                            <w:rPr>
                              <w:rFonts w:ascii="Arial" w:hAnsi="Arial" w:cs="Arial"/>
                            </w:rPr>
                            <w:t xml:space="preserve">, </w:t>
                          </w:r>
                          <w:r>
                            <w:rPr>
                              <w:rFonts w:hint="default" w:ascii="Arial" w:hAnsi="Arial" w:cs="Arial"/>
                              <w:lang w:val="en-US"/>
                            </w:rPr>
                            <w:t>Df</w:t>
                          </w:r>
                          <w:r>
                            <w:rPr>
                              <w:rFonts w:ascii="Arial" w:hAnsi="Arial" w:cs="Arial"/>
                            </w:rPr>
                            <w:t>B</w:t>
                          </w:r>
                          <w:r>
                            <w:rPr>
                              <w:rFonts w:hint="default" w:ascii="Arial" w:hAnsi="Arial" w:cs="Arial"/>
                              <w:lang w:val="en-US"/>
                            </w:rPr>
                            <w:t>u</w:t>
                          </w:r>
                          <w:r>
                            <w:rPr>
                              <w:rFonts w:ascii="Arial" w:hAnsi="Arial" w:cs="Arial"/>
                            </w:rPr>
                            <w:t>, AND D</w:t>
                          </w:r>
                          <w:r>
                            <w:rPr>
                              <w:rFonts w:hint="default" w:ascii="Arial" w:hAnsi="Arial" w:cs="Arial"/>
                              <w:lang w:val="en-US"/>
                            </w:rPr>
                            <w:t>fFa</w:t>
                          </w:r>
                          <w:r>
                            <w:rPr>
                              <w:rFonts w:ascii="Arial" w:hAnsi="Arial" w:cs="Arial"/>
                            </w:rPr>
                            <w:t>)</w:t>
                          </w:r>
                        </w:p>
                      </w:txbxContent>
                    </v:textbox>
                  </v:rect>
                </v:group>
                <v:shape id="_x0000_s1026" o:spid="_x0000_s1026" o:spt="66" type="#_x0000_t66" style="position:absolute;left:2032000;top:2254250;flip:y;height:45719;width:844550;v-text-anchor:middle;" fillcolor="#FFFFFF [3201]" filled="t" stroked="t" coordsize="21600,21600" o:gfxdata="UEsDBAoAAAAAAIdO4kAAAAAAAAAAAAAAAAAEAAAAZHJzL1BLAwQUAAAACACHTuJAMTcKRrYAAADa&#10;AAAADwAAAGRycy9kb3ducmV2LnhtbEWPzQrCMBCE74LvEFbwpmk9iFSjiCB4tep9bdY22GxqE+vP&#10;0xtB8DjMzDfMYvW0teio9caxgnScgCAunDZcKjgetqMZCB+QNdaOScGLPKyW/d4CM+0evKcuD6WI&#10;EPYZKqhCaDIpfVGRRT92DXH0Lq61GKJsS6lbfES4reUkSabSouG4UGFDm4qKa363Cq41bi8yP63P&#10;+9TszNsVt+7olRoO0mQOItAz/MO/9k4rmMD3SrwBcvk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E3Cka2AAAA2gAAAA8A&#10;AAAAAAAAAQAgAAAAIgAAAGRycy9kb3ducmV2LnhtbFBLAQIUABQAAAAIAIdO4kAzLwWeOwAAADkA&#10;AAAQAAAAAAAAAAEAIAAAAAUBAABkcnMvc2hhcGV4bWwueG1sUEsFBgAAAAAGAAYAWwEAAK8DAAAA&#10;AA==&#10;" adj="584,5400">
                  <v:fill on="t" focussize="0,0"/>
                  <v:stroke weight="1pt" color="#70AD47 [3209]" miterlimit="8" joinstyle="miter"/>
                  <v:imagedata o:title=""/>
                  <o:lock v:ext="edit" aspectratio="f"/>
                </v:shape>
              </v:group>
            </w:pict>
          </mc:Fallback>
        </mc:AlternateContent>
      </w: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1A2247">
      <w:pPr>
        <w:spacing w:line="480" w:lineRule="auto"/>
        <w:rPr>
          <w:rFonts w:ascii="Arial" w:eastAsia="Calibri" w:hAnsi="Arial" w:cs="Arial"/>
          <w:szCs w:val="22"/>
        </w:rPr>
      </w:pPr>
    </w:p>
    <w:p w:rsidR="001A2247" w:rsidRDefault="00905E84">
      <w:pPr>
        <w:spacing w:line="480" w:lineRule="auto"/>
        <w:rPr>
          <w:rFonts w:ascii="Arial" w:eastAsia="Calibri" w:hAnsi="Arial" w:cs="Arial"/>
          <w:b/>
          <w:bCs/>
          <w:sz w:val="22"/>
          <w:szCs w:val="22"/>
        </w:rPr>
      </w:pPr>
      <w:r>
        <w:rPr>
          <w:noProof/>
          <w:lang w:val="en-IN" w:eastAsia="en-IN"/>
        </w:rPr>
        <mc:AlternateContent>
          <mc:Choice Requires="wps">
            <w:drawing>
              <wp:anchor distT="0" distB="0" distL="114300" distR="114300" simplePos="0" relativeHeight="251659264" behindDoc="0" locked="0" layoutInCell="1" allowOverlap="1">
                <wp:simplePos x="0" y="0"/>
                <wp:positionH relativeFrom="column">
                  <wp:posOffset>1214120</wp:posOffset>
                </wp:positionH>
                <wp:positionV relativeFrom="paragraph">
                  <wp:posOffset>20320</wp:posOffset>
                </wp:positionV>
                <wp:extent cx="3759200" cy="2730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59200" cy="273050"/>
                        </a:xfrm>
                        <a:prstGeom prst="rect">
                          <a:avLst/>
                        </a:prstGeom>
                        <a:solidFill>
                          <a:prstClr val="white"/>
                        </a:solidFill>
                        <a:ln>
                          <a:noFill/>
                        </a:ln>
                      </wps:spPr>
                      <wps:txbx>
                        <w:txbxContent>
                          <w:p w:rsidR="001A2247" w:rsidRDefault="00905E84">
                            <w:pPr>
                              <w:pStyle w:val="Caption"/>
                              <w:spacing w:line="480" w:lineRule="auto"/>
                              <w:jc w:val="both"/>
                              <w:rPr>
                                <w:color w:val="000000" w:themeColor="text1"/>
                              </w:rPr>
                            </w:pPr>
                            <w:r>
                              <w:rPr>
                                <w:b/>
                                <w:bCs/>
                              </w:rPr>
                              <w:t xml:space="preserve">Figure </w:t>
                            </w:r>
                            <w:r>
                              <w:rPr>
                                <w:b/>
                                <w:bCs/>
                              </w:rPr>
                              <w:fldChar w:fldCharType="begin"/>
                            </w:r>
                            <w:r>
                              <w:rPr>
                                <w:b/>
                                <w:bCs/>
                              </w:rPr>
                              <w:instrText xml:space="preserve"> SEQ Figure \* ARABIC </w:instrText>
                            </w:r>
                            <w:r>
                              <w:rPr>
                                <w:b/>
                                <w:bCs/>
                              </w:rPr>
                              <w:fldChar w:fldCharType="separate"/>
                            </w:r>
                            <w:r>
                              <w:rPr>
                                <w:b/>
                                <w:bCs/>
                              </w:rPr>
                              <w:t>2</w:t>
                            </w:r>
                            <w:r>
                              <w:rPr>
                                <w:b/>
                                <w:bCs/>
                              </w:rPr>
                              <w:fldChar w:fldCharType="end"/>
                            </w:r>
                            <w:r>
                              <w:rPr>
                                <w:b/>
                                <w:bCs/>
                              </w:rPr>
                              <w:t>:</w:t>
                            </w:r>
                            <w:r>
                              <w:t xml:space="preserve"> </w:t>
                            </w:r>
                            <w:r>
                              <w:rPr>
                                <w:color w:val="000000" w:themeColor="text1"/>
                              </w:rPr>
                              <w:t>Flow chart of methodology</w:t>
                            </w:r>
                          </w:p>
                          <w:p w:rsidR="001A2247" w:rsidRDefault="001A2247"/>
                          <w:p w:rsidR="001A2247" w:rsidRDefault="001A2247">
                            <w:pPr>
                              <w:pStyle w:val="Caption"/>
                              <w:rPr>
                                <w:sz w:val="24"/>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xmlns:wpsCustomData="http://www.wps.cn/officeDocument/2013/wpsCustomData">
            <w:pict>
              <v:shape id="_x0000_s1026" o:spid="_x0000_s1026" o:spt="202" type="#_x0000_t202" style="position:absolute;left:0pt;margin-left:95.6pt;margin-top:1.6pt;height:21.5pt;width:296pt;mso-wrap-distance-bottom:0pt;mso-wrap-distance-left:9pt;mso-wrap-distance-right:9pt;mso-wrap-distance-top:0pt;z-index:251659264;mso-width-relative:page;mso-height-relative:page;" fillcolor="#FFFFFF" filled="t" stroked="f" coordsize="21600,21600" o:gfxdata="UEsDBAoAAAAAAIdO4kAAAAAAAAAAAAAAAAAEAAAAZHJzL1BLAwQUAAAACACHTuJAI7QTmNcAAAAI&#10;AQAADwAAAGRycy9kb3ducmV2LnhtbE2PQU/DMAyF70j8h8hIXNCWtqCylaaT2OAGh41p56wxbUXj&#10;VEm6bv8e7wQn++k9PX8uV2fbixP60DlSkM4TEEi1Mx01CvZf77MFiBA1Gd07QgUXDLCqbm9KXRg3&#10;0RZPu9gILqFQaAVtjEMhZahbtDrM3YDE3rfzVkeWvpHG64nLbS+zJMml1R3xhVYPuG6x/tmNVkG+&#10;8eO0pfXDZv/2oT+HJju8Xg5K3d+lyQuIiOf4F4YrPqNDxUxHN5IJome9TDOOKnjkwf7z4rocFTzl&#10;GciqlP8fqH4BUEsDBBQAAAAIAIdO4kC9TCFqLwIAAHQEAAAOAAAAZHJzL2Uyb0RvYy54bWytVE1v&#10;2zAMvQ/YfxB0X5wPdN2COEWWIMOAYi2QDjsrshQLkERNYmJnv36UHadbt0MPu8gUST3qPVJe3LXO&#10;spOKyYAv+WQ05kx5CZXxh5J/e9q++8BZQuErYcGrkp9V4nfLt28WTZirKdRgKxUZgfg0b0LJa8Qw&#10;L4oka+VEGkFQnoIaohNI23goqigaQne2mI7H74sGYhUiSJUSeTd9kF8Q42sAQWsj1Qbk0SmPPWpU&#10;ViBRSrUJiS+722qtJD5onRQyW3Jiit1KRcje57VYLsT8EEWojbxcQbzmCi84OWE8Fb1CbQQKdozm&#10;LyhnZIQEGkcSXNET6RQhFpPxC212tQiq40JSp3AVPf0/WPn19BiZqUo+48wLRw1/Ui2yT9CyWVan&#10;CWlOSbtAadiSm2Zm8CdyZtKtji5/iQ6jOGl7vmqbwSQ5Z7c3H6n9nEmKTW9n45tO/OL5dIgJPytw&#10;LBslj9S7TlJxuk9IN6HUISUXS2BNtTXW5k0OrG1kJ0F9bmqDKt+RTvyRZX3O9ZBP9eHsKTLFnkq2&#10;sN23F957qM5EO0I/NinIraFC9yLho4g0J0SHXhI+0KItNCWHi8VZDfHnv/w5n9pHUc4amruSpx9H&#10;ERVn9ounxhIkDkYcjP1g+KNbA1Gc0BsNsjPpQEQ7mDqC+04PbJWrUEh4SbVKjoO5xn766YFKtVp1&#10;STSKQeC93wWZoXuRVkcEbTrhsyy9Fhe1aBg7dS8PJ0/77/su6/lnsf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I7QTmNcAAAAIAQAADwAAAAAAAAABACAAAAAiAAAAZHJzL2Rvd25yZXYueG1sUEsB&#10;AhQAFAAAAAgAh07iQL1MIWovAgAAdAQAAA4AAAAAAAAAAQAgAAAAJgEAAGRycy9lMm9Eb2MueG1s&#10;UEsFBgAAAAAGAAYAWQEAAMcFAAAAAA==&#10;">
                <v:fill on="t" focussize="0,0"/>
                <v:stroke on="f"/>
                <v:imagedata o:title=""/>
                <o:lock v:ext="edit" aspectratio="f"/>
                <v:textbox inset="0mm,0mm,0mm,0mm">
                  <w:txbxContent>
                    <w:p w14:paraId="6D5BBC69">
                      <w:pPr>
                        <w:pStyle w:val="5"/>
                        <w:spacing w:line="480" w:lineRule="auto"/>
                        <w:jc w:val="both"/>
                        <w:rPr>
                          <w:color w:val="000000" w:themeColor="text1"/>
                          <w14:textFill>
                            <w14:solidFill>
                              <w14:schemeClr w14:val="tx1"/>
                            </w14:solidFill>
                          </w14:textFill>
                        </w:rPr>
                      </w:pPr>
                      <w:r>
                        <w:rPr>
                          <w:b/>
                          <w:bCs/>
                        </w:rPr>
                        <w:t xml:space="preserve">Figure </w:t>
                      </w:r>
                      <w:r>
                        <w:rPr>
                          <w:b/>
                          <w:bCs/>
                        </w:rPr>
                        <w:fldChar w:fldCharType="begin"/>
                      </w:r>
                      <w:r>
                        <w:rPr>
                          <w:b/>
                          <w:bCs/>
                        </w:rPr>
                        <w:instrText xml:space="preserve"> SEQ Figure \* ARABIC </w:instrText>
                      </w:r>
                      <w:r>
                        <w:rPr>
                          <w:b/>
                          <w:bCs/>
                        </w:rPr>
                        <w:fldChar w:fldCharType="separate"/>
                      </w:r>
                      <w:r>
                        <w:rPr>
                          <w:b/>
                          <w:bCs/>
                        </w:rPr>
                        <w:t>2</w:t>
                      </w:r>
                      <w:r>
                        <w:rPr>
                          <w:b/>
                          <w:bCs/>
                        </w:rPr>
                        <w:fldChar w:fldCharType="end"/>
                      </w:r>
                      <w:r>
                        <w:rPr>
                          <w:b/>
                          <w:bCs/>
                        </w:rPr>
                        <w:t>:</w:t>
                      </w:r>
                      <w:r>
                        <w:t xml:space="preserve"> </w:t>
                      </w:r>
                      <w:r>
                        <w:rPr>
                          <w:color w:val="000000" w:themeColor="text1"/>
                          <w14:textFill>
                            <w14:solidFill>
                              <w14:schemeClr w14:val="tx1"/>
                            </w14:solidFill>
                          </w14:textFill>
                        </w:rPr>
                        <w:t>Flow chart of methodology</w:t>
                      </w:r>
                    </w:p>
                    <w:p w14:paraId="7357F59D"/>
                    <w:p w14:paraId="1076706A">
                      <w:pPr>
                        <w:pStyle w:val="5"/>
                        <w:rPr>
                          <w:sz w:val="24"/>
                        </w:rPr>
                      </w:pPr>
                    </w:p>
                  </w:txbxContent>
                </v:textbox>
                <w10:wrap type="square"/>
              </v:shape>
            </w:pict>
          </mc:Fallback>
        </mc:AlternateContent>
      </w:r>
    </w:p>
    <w:p w:rsidR="001A2247" w:rsidRDefault="00905E84">
      <w:pPr>
        <w:pStyle w:val="ListParagraph"/>
        <w:numPr>
          <w:ilvl w:val="1"/>
          <w:numId w:val="3"/>
        </w:numPr>
        <w:spacing w:line="480" w:lineRule="auto"/>
        <w:rPr>
          <w:rFonts w:ascii="Arial" w:eastAsia="Calibri" w:hAnsi="Arial" w:cs="Arial"/>
          <w:b/>
          <w:bCs/>
          <w:sz w:val="22"/>
          <w:szCs w:val="22"/>
        </w:rPr>
      </w:pPr>
      <w:r>
        <w:rPr>
          <w:rFonts w:ascii="Arial" w:eastAsia="Calibri" w:hAnsi="Arial" w:cs="Arial"/>
          <w:b/>
          <w:bCs/>
          <w:sz w:val="22"/>
          <w:szCs w:val="22"/>
        </w:rPr>
        <w:t>FOREST COVER CHANGE ANALYSIS:</w:t>
      </w:r>
    </w:p>
    <w:p w:rsidR="001A2247" w:rsidRDefault="00905E84">
      <w:pPr>
        <w:spacing w:line="480" w:lineRule="auto"/>
        <w:ind w:firstLine="720"/>
        <w:jc w:val="both"/>
        <w:rPr>
          <w:rFonts w:ascii="Arial" w:hAnsi="Arial" w:cs="Arial"/>
          <w:sz w:val="22"/>
          <w:szCs w:val="22"/>
        </w:rPr>
      </w:pPr>
      <w:r>
        <w:rPr>
          <w:rFonts w:ascii="Arial" w:hAnsi="Arial" w:cs="Arial"/>
        </w:rPr>
        <w:t xml:space="preserve">To assess changes in forest cover, forest categories were derived from land use and land cover classifications, which include AP, DF, MF, and OF. Additionally, to illustrate changes in forest areas within the boundaries of the NFAs, union geoprocessing tools were utilized in ArcGIS software v-10.3 </w:t>
      </w:r>
      <w:r>
        <w:rPr>
          <w:rFonts w:ascii="Arial" w:hAnsi="Arial" w:cs="Arial"/>
          <w:sz w:val="22"/>
          <w:szCs w:val="22"/>
        </w:rPr>
        <w:t>(https://desktop.arcgis.com).</w:t>
      </w:r>
    </w:p>
    <w:p w:rsidR="001A2247" w:rsidRDefault="00905E84">
      <w:pPr>
        <w:numPr>
          <w:ilvl w:val="1"/>
          <w:numId w:val="3"/>
        </w:numPr>
        <w:spacing w:line="480" w:lineRule="auto"/>
        <w:jc w:val="both"/>
        <w:rPr>
          <w:rFonts w:ascii="Arial" w:hAnsi="Arial" w:cs="Arial"/>
          <w:sz w:val="22"/>
          <w:szCs w:val="22"/>
        </w:rPr>
      </w:pPr>
      <w:r>
        <w:rPr>
          <w:rFonts w:ascii="Arial" w:hAnsi="Arial" w:cs="Arial"/>
          <w:b/>
          <w:bCs/>
          <w:sz w:val="22"/>
          <w:szCs w:val="22"/>
        </w:rPr>
        <w:t>Forest cover Prediction Modelling:</w:t>
      </w:r>
    </w:p>
    <w:p w:rsidR="001A2247" w:rsidRDefault="00905E84">
      <w:pPr>
        <w:spacing w:line="480" w:lineRule="auto"/>
        <w:ind w:firstLine="720"/>
        <w:jc w:val="both"/>
        <w:rPr>
          <w:rFonts w:ascii="Arial" w:hAnsi="Arial" w:cs="Arial"/>
        </w:rPr>
      </w:pPr>
      <w:r>
        <w:rPr>
          <w:rFonts w:ascii="Arial" w:eastAsia="SimSun" w:hAnsi="Arial" w:cs="Arial"/>
          <w:lang w:bidi="ar"/>
        </w:rPr>
        <w:t>We did predictive modeling for the year 2033. Based on seven major geo-environmental variables: slope, elevation, distance from roads (</w:t>
      </w:r>
      <w:proofErr w:type="spellStart"/>
      <w:r>
        <w:rPr>
          <w:rFonts w:ascii="Arial" w:eastAsia="SimSun" w:hAnsi="Arial" w:cs="Arial"/>
          <w:lang w:bidi="ar"/>
        </w:rPr>
        <w:t>DfRo</w:t>
      </w:r>
      <w:proofErr w:type="spellEnd"/>
      <w:r>
        <w:rPr>
          <w:rFonts w:ascii="Arial" w:eastAsia="SimSun" w:hAnsi="Arial" w:cs="Arial"/>
          <w:lang w:bidi="ar"/>
        </w:rPr>
        <w:t>), distance from town (</w:t>
      </w:r>
      <w:proofErr w:type="spellStart"/>
      <w:r>
        <w:rPr>
          <w:rFonts w:ascii="Arial" w:eastAsia="SimSun" w:hAnsi="Arial" w:cs="Arial"/>
          <w:lang w:bidi="ar"/>
        </w:rPr>
        <w:t>DfTo</w:t>
      </w:r>
      <w:proofErr w:type="spellEnd"/>
      <w:r>
        <w:rPr>
          <w:rFonts w:ascii="Arial" w:eastAsia="SimSun" w:hAnsi="Arial" w:cs="Arial"/>
          <w:lang w:bidi="ar"/>
        </w:rPr>
        <w:t>), distance from water bodies (</w:t>
      </w:r>
      <w:proofErr w:type="spellStart"/>
      <w:r>
        <w:rPr>
          <w:rFonts w:ascii="Arial" w:eastAsia="SimSun" w:hAnsi="Arial" w:cs="Arial"/>
          <w:lang w:bidi="ar"/>
        </w:rPr>
        <w:t>DfWa</w:t>
      </w:r>
      <w:proofErr w:type="spellEnd"/>
      <w:r>
        <w:rPr>
          <w:rFonts w:ascii="Arial" w:eastAsia="SimSun" w:hAnsi="Arial" w:cs="Arial"/>
          <w:lang w:bidi="ar"/>
        </w:rPr>
        <w:t>), distance from built-up area (</w:t>
      </w:r>
      <w:proofErr w:type="spellStart"/>
      <w:r>
        <w:rPr>
          <w:rFonts w:ascii="Arial" w:eastAsia="SimSun" w:hAnsi="Arial" w:cs="Arial"/>
          <w:lang w:bidi="ar"/>
        </w:rPr>
        <w:t>DfBu</w:t>
      </w:r>
      <w:proofErr w:type="spellEnd"/>
      <w:r>
        <w:rPr>
          <w:rFonts w:ascii="Arial" w:eastAsia="SimSun" w:hAnsi="Arial" w:cs="Arial"/>
          <w:lang w:bidi="ar"/>
        </w:rPr>
        <w:t>), and distance from forest administration (</w:t>
      </w:r>
      <w:proofErr w:type="spellStart"/>
      <w:r>
        <w:rPr>
          <w:rFonts w:ascii="Arial" w:eastAsia="SimSun" w:hAnsi="Arial" w:cs="Arial"/>
          <w:lang w:bidi="ar"/>
        </w:rPr>
        <w:t>DfFa</w:t>
      </w:r>
      <w:proofErr w:type="spellEnd"/>
      <w:r>
        <w:rPr>
          <w:rFonts w:ascii="Arial" w:eastAsia="SimSun" w:hAnsi="Arial" w:cs="Arial"/>
          <w:lang w:bidi="ar"/>
        </w:rPr>
        <w:t xml:space="preserve">). The most frequent way to use predictive modeling, Artificial Neural Network (ANN) with Cellular Automation Simulation (CA), was done using the </w:t>
      </w:r>
      <w:proofErr w:type="spellStart"/>
      <w:r>
        <w:rPr>
          <w:rFonts w:ascii="Arial" w:eastAsia="SimSun" w:hAnsi="Arial" w:cs="Arial"/>
          <w:lang w:bidi="ar"/>
        </w:rPr>
        <w:t>Molusce</w:t>
      </w:r>
      <w:proofErr w:type="spellEnd"/>
      <w:r>
        <w:rPr>
          <w:rFonts w:ascii="Arial" w:eastAsia="SimSun" w:hAnsi="Arial" w:cs="Arial"/>
          <w:lang w:bidi="ar"/>
        </w:rPr>
        <w:t xml:space="preserve"> </w:t>
      </w:r>
      <w:r>
        <w:rPr>
          <w:rFonts w:ascii="Arial" w:eastAsia="SimSun" w:hAnsi="Arial" w:cs="Arial"/>
          <w:lang w:bidi="ar"/>
        </w:rPr>
        <w:lastRenderedPageBreak/>
        <w:t>plugin in QGIS Software (v. 3.44.1). For the transitional potential modeling, 1000 random samples were taken, using 10 hidden layers, a learning rate of 0.004, and 400 iterations.</w:t>
      </w:r>
    </w:p>
    <w:p w:rsidR="001A2247" w:rsidRDefault="001A2247">
      <w:pPr>
        <w:spacing w:line="480" w:lineRule="auto"/>
        <w:jc w:val="both"/>
        <w:rPr>
          <w:rFonts w:ascii="Arial" w:eastAsia="Times New Roman" w:hAnsi="Arial" w:cs="Arial"/>
          <w:color w:val="000000" w:themeColor="text1"/>
          <w:lang w:eastAsia="en-IN"/>
        </w:rPr>
      </w:pPr>
    </w:p>
    <w:p w:rsidR="001A2247" w:rsidRDefault="00905E84">
      <w:pPr>
        <w:spacing w:line="480" w:lineRule="auto"/>
        <w:rPr>
          <w:rFonts w:ascii="Arial" w:eastAsia="Calibri" w:hAnsi="Arial" w:cs="Arial"/>
          <w:b/>
          <w:bCs/>
          <w:sz w:val="22"/>
          <w:szCs w:val="22"/>
        </w:rPr>
      </w:pPr>
      <w:r>
        <w:rPr>
          <w:rFonts w:ascii="Arial" w:eastAsia="Calibri" w:hAnsi="Arial" w:cs="Arial"/>
          <w:b/>
          <w:bCs/>
          <w:sz w:val="22"/>
          <w:szCs w:val="22"/>
        </w:rPr>
        <w:t>4. RESULT AND DISCUSSION:</w:t>
      </w:r>
    </w:p>
    <w:p w:rsidR="001A2247" w:rsidRDefault="00905E84">
      <w:pPr>
        <w:spacing w:line="480" w:lineRule="auto"/>
        <w:rPr>
          <w:rFonts w:ascii="Arial" w:hAnsi="Arial" w:cs="Arial"/>
          <w:b/>
          <w:sz w:val="22"/>
          <w:szCs w:val="22"/>
        </w:rPr>
      </w:pPr>
      <w:r>
        <w:rPr>
          <w:rFonts w:ascii="Arial" w:hAnsi="Arial" w:cs="Arial"/>
          <w:b/>
          <w:sz w:val="22"/>
          <w:szCs w:val="22"/>
        </w:rPr>
        <w:t>4.1. Forest Cover Analysis:</w:t>
      </w:r>
    </w:p>
    <w:p w:rsidR="001A2247" w:rsidRDefault="00905E84">
      <w:pPr>
        <w:spacing w:line="480" w:lineRule="auto"/>
        <w:rPr>
          <w:rFonts w:ascii="Times New Roman" w:hAnsi="Times New Roman" w:cs="Times New Roman"/>
          <w:b/>
          <w:u w:val="single"/>
        </w:rPr>
      </w:pPr>
      <w:r>
        <w:rPr>
          <w:rFonts w:ascii="Times New Roman" w:hAnsi="Times New Roman" w:cs="Times New Roman"/>
          <w:b/>
          <w:u w:val="single"/>
        </w:rPr>
        <w:t xml:space="preserve">4.1.1. Overall Forest Cover Change in </w:t>
      </w:r>
      <w:proofErr w:type="spellStart"/>
      <w:r>
        <w:rPr>
          <w:rFonts w:ascii="Times New Roman" w:hAnsi="Times New Roman" w:cs="Times New Roman"/>
          <w:b/>
          <w:u w:val="single"/>
        </w:rPr>
        <w:t>Goalpara</w:t>
      </w:r>
      <w:proofErr w:type="spellEnd"/>
      <w:r>
        <w:rPr>
          <w:rFonts w:ascii="Times New Roman" w:hAnsi="Times New Roman" w:cs="Times New Roman"/>
          <w:b/>
          <w:u w:val="single"/>
        </w:rPr>
        <w:t xml:space="preserve"> forest range:</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total forest cover in the </w:t>
      </w:r>
      <w:proofErr w:type="spellStart"/>
      <w:r>
        <w:rPr>
          <w:rFonts w:ascii="Arial" w:hAnsi="Arial" w:cs="Arial"/>
          <w:sz w:val="20"/>
          <w:szCs w:val="20"/>
        </w:rPr>
        <w:t>Goalpara</w:t>
      </w:r>
      <w:proofErr w:type="spellEnd"/>
      <w:r>
        <w:rPr>
          <w:rFonts w:ascii="Arial" w:hAnsi="Arial" w:cs="Arial"/>
          <w:sz w:val="20"/>
          <w:szCs w:val="20"/>
        </w:rPr>
        <w:t xml:space="preserve"> forest range has been recorded as 36.65% (13,615.7 ha) in 1993, 37.22% (13,825.15 ha) in 2003, 36.38% (13,513.34 ha) in 2013, 35.35% (13,130.9 ha) in 2023, and 31.46% (11,686.86 ha) in 2033 (table 1). We conducted an analysis of decadal variations in the forest cover area to assess the intensity of changes in forest cover across different periods. During the period from 1993 to 2003, there was an increase in forest cover of 209.34 hectares (+0.56). However, thereafter this period of time, forest cover has been on a continuous decline, with a decrease of 311.81 ha (-0.84%) from 2003 to 2013 and an additional decrease of 382.42 ha (-1.03%) from 2013 to 2023. The predictive estimation for the period of 2023-2033 indicates a significant declining rate of -3.89% (1444.05 ha). Moreover, it has been noted that from 1993 to 2023, the study area has experienced a loss of approximately 484.87 ha (-1.31%). It has been observed that forest cover outside the NFAs has increased, which was caused by the rise in agricultural plantations in the Char area and the expansion of rubber plantations in local villages (figure 3).</w:t>
      </w:r>
    </w:p>
    <w:p w:rsidR="001A2247" w:rsidRDefault="00905E84">
      <w:pPr>
        <w:pStyle w:val="Caption"/>
        <w:keepNext/>
      </w:pPr>
      <w:r>
        <w:rPr>
          <w:b/>
          <w:bCs/>
        </w:rPr>
        <w:t xml:space="preserve">Table </w:t>
      </w:r>
      <w:r>
        <w:rPr>
          <w:b/>
          <w:bCs/>
        </w:rPr>
        <w:fldChar w:fldCharType="begin"/>
      </w:r>
      <w:r>
        <w:rPr>
          <w:b/>
          <w:bCs/>
        </w:rPr>
        <w:instrText xml:space="preserve"> SEQ Table \* ARABIC </w:instrText>
      </w:r>
      <w:r>
        <w:rPr>
          <w:b/>
          <w:bCs/>
        </w:rPr>
        <w:fldChar w:fldCharType="separate"/>
      </w:r>
      <w:r>
        <w:rPr>
          <w:b/>
          <w:bCs/>
        </w:rPr>
        <w:t>1</w:t>
      </w:r>
      <w:r>
        <w:rPr>
          <w:b/>
          <w:bCs/>
        </w:rPr>
        <w:fldChar w:fldCharType="end"/>
      </w:r>
      <w:r>
        <w:rPr>
          <w:b/>
          <w:bCs/>
        </w:rPr>
        <w:t>:</w:t>
      </w:r>
      <w:r>
        <w:t xml:space="preserve"> Forest cover and Non-forest area of </w:t>
      </w:r>
      <w:proofErr w:type="spellStart"/>
      <w:r>
        <w:t>Goalpara</w:t>
      </w:r>
      <w:proofErr w:type="spellEnd"/>
      <w:r>
        <w:t xml:space="preserve"> forest range, </w:t>
      </w:r>
      <w:proofErr w:type="spellStart"/>
      <w:r>
        <w:t>Goalpara</w:t>
      </w:r>
      <w:proofErr w:type="spellEnd"/>
    </w:p>
    <w:tbl>
      <w:tblPr>
        <w:tblW w:w="4950" w:type="pct"/>
        <w:jc w:val="center"/>
        <w:tblLayout w:type="fixed"/>
        <w:tblLook w:val="04A0" w:firstRow="1" w:lastRow="0" w:firstColumn="1" w:lastColumn="0" w:noHBand="0" w:noVBand="1"/>
      </w:tblPr>
      <w:tblGrid>
        <w:gridCol w:w="796"/>
        <w:gridCol w:w="926"/>
        <w:gridCol w:w="665"/>
        <w:gridCol w:w="911"/>
        <w:gridCol w:w="581"/>
        <w:gridCol w:w="827"/>
        <w:gridCol w:w="575"/>
        <w:gridCol w:w="826"/>
        <w:gridCol w:w="575"/>
        <w:gridCol w:w="874"/>
        <w:gridCol w:w="657"/>
      </w:tblGrid>
      <w:tr w:rsidR="001A2247">
        <w:trPr>
          <w:trHeight w:val="215"/>
          <w:jc w:val="center"/>
        </w:trPr>
        <w:tc>
          <w:tcPr>
            <w:tcW w:w="484" w:type="pct"/>
            <w:tcBorders>
              <w:top w:val="single" w:sz="4" w:space="0" w:color="auto"/>
              <w:left w:val="single" w:sz="4" w:space="0" w:color="auto"/>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Year</w:t>
            </w:r>
          </w:p>
        </w:tc>
        <w:tc>
          <w:tcPr>
            <w:tcW w:w="967"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1993</w:t>
            </w:r>
          </w:p>
        </w:tc>
        <w:tc>
          <w:tcPr>
            <w:tcW w:w="907"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2003</w:t>
            </w:r>
          </w:p>
        </w:tc>
        <w:tc>
          <w:tcPr>
            <w:tcW w:w="853"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2013</w:t>
            </w:r>
          </w:p>
        </w:tc>
        <w:tc>
          <w:tcPr>
            <w:tcW w:w="853"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2023</w:t>
            </w:r>
          </w:p>
        </w:tc>
        <w:tc>
          <w:tcPr>
            <w:tcW w:w="932"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2033(Predictive)</w:t>
            </w:r>
          </w:p>
        </w:tc>
      </w:tr>
      <w:tr w:rsidR="001A2247">
        <w:trPr>
          <w:trHeight w:val="215"/>
          <w:jc w:val="center"/>
        </w:trPr>
        <w:tc>
          <w:tcPr>
            <w:tcW w:w="484" w:type="pct"/>
            <w:tcBorders>
              <w:top w:val="nil"/>
              <w:left w:val="single" w:sz="4" w:space="0" w:color="auto"/>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Change</w:t>
            </w:r>
          </w:p>
        </w:tc>
        <w:tc>
          <w:tcPr>
            <w:tcW w:w="563"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404"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554"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352"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532"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400" w:type="pct"/>
            <w:tcBorders>
              <w:top w:val="nil"/>
              <w:left w:val="nil"/>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r>
      <w:tr w:rsidR="001A2247">
        <w:trPr>
          <w:trHeight w:val="417"/>
          <w:jc w:val="center"/>
        </w:trPr>
        <w:tc>
          <w:tcPr>
            <w:tcW w:w="484" w:type="pct"/>
            <w:tcBorders>
              <w:top w:val="nil"/>
              <w:left w:val="single" w:sz="4" w:space="0" w:color="auto"/>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Forest Cover</w:t>
            </w:r>
          </w:p>
        </w:tc>
        <w:tc>
          <w:tcPr>
            <w:tcW w:w="56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13615.79</w:t>
            </w:r>
          </w:p>
        </w:tc>
        <w:tc>
          <w:tcPr>
            <w:tcW w:w="40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36.65</w:t>
            </w:r>
          </w:p>
        </w:tc>
        <w:tc>
          <w:tcPr>
            <w:tcW w:w="55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13825.15</w:t>
            </w:r>
          </w:p>
        </w:tc>
        <w:tc>
          <w:tcPr>
            <w:tcW w:w="35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37.22</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13513.34</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36.38</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13130.91</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35.35</w:t>
            </w:r>
          </w:p>
        </w:tc>
        <w:tc>
          <w:tcPr>
            <w:tcW w:w="53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11686.86</w:t>
            </w:r>
          </w:p>
        </w:tc>
        <w:tc>
          <w:tcPr>
            <w:tcW w:w="40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31.46</w:t>
            </w:r>
          </w:p>
        </w:tc>
      </w:tr>
      <w:tr w:rsidR="001A2247">
        <w:trPr>
          <w:trHeight w:val="417"/>
          <w:jc w:val="center"/>
        </w:trPr>
        <w:tc>
          <w:tcPr>
            <w:tcW w:w="484" w:type="pct"/>
            <w:tcBorders>
              <w:top w:val="nil"/>
              <w:left w:val="single" w:sz="4" w:space="0" w:color="auto"/>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xml:space="preserve">Non-Forest </w:t>
            </w:r>
          </w:p>
        </w:tc>
        <w:tc>
          <w:tcPr>
            <w:tcW w:w="56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23532.53</w:t>
            </w:r>
          </w:p>
        </w:tc>
        <w:tc>
          <w:tcPr>
            <w:tcW w:w="40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63.35</w:t>
            </w:r>
          </w:p>
        </w:tc>
        <w:tc>
          <w:tcPr>
            <w:tcW w:w="55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23306.69</w:t>
            </w:r>
          </w:p>
        </w:tc>
        <w:tc>
          <w:tcPr>
            <w:tcW w:w="35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62.74</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23680.35</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63.75</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24017.53</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64.65</w:t>
            </w:r>
          </w:p>
        </w:tc>
        <w:tc>
          <w:tcPr>
            <w:tcW w:w="53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25507.42</w:t>
            </w:r>
          </w:p>
        </w:tc>
        <w:tc>
          <w:tcPr>
            <w:tcW w:w="40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68.66</w:t>
            </w:r>
          </w:p>
        </w:tc>
      </w:tr>
      <w:tr w:rsidR="001A2247">
        <w:trPr>
          <w:trHeight w:val="417"/>
          <w:jc w:val="center"/>
        </w:trPr>
        <w:tc>
          <w:tcPr>
            <w:tcW w:w="484" w:type="pct"/>
            <w:tcBorders>
              <w:top w:val="nil"/>
              <w:left w:val="single" w:sz="4" w:space="0" w:color="auto"/>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xml:space="preserve">Session </w:t>
            </w:r>
          </w:p>
        </w:tc>
        <w:tc>
          <w:tcPr>
            <w:tcW w:w="967"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1993-2003</w:t>
            </w:r>
          </w:p>
        </w:tc>
        <w:tc>
          <w:tcPr>
            <w:tcW w:w="907"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2003-2013</w:t>
            </w:r>
          </w:p>
        </w:tc>
        <w:tc>
          <w:tcPr>
            <w:tcW w:w="853"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2013-2023</w:t>
            </w:r>
          </w:p>
        </w:tc>
        <w:tc>
          <w:tcPr>
            <w:tcW w:w="853"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1993-2023</w:t>
            </w:r>
          </w:p>
        </w:tc>
        <w:tc>
          <w:tcPr>
            <w:tcW w:w="932" w:type="pct"/>
            <w:gridSpan w:val="2"/>
            <w:tcBorders>
              <w:top w:val="single" w:sz="4" w:space="0" w:color="auto"/>
              <w:left w:val="nil"/>
              <w:bottom w:val="single" w:sz="4" w:space="0" w:color="auto"/>
              <w:right w:val="single" w:sz="4" w:space="0" w:color="auto"/>
            </w:tcBorders>
            <w:noWrap/>
            <w:vAlign w:val="bottom"/>
          </w:tcPr>
          <w:p w:rsidR="001A2247" w:rsidRDefault="00905E84">
            <w:pPr>
              <w:spacing w:line="276" w:lineRule="auto"/>
              <w:jc w:val="cente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2023-2033(Predictive)</w:t>
            </w:r>
          </w:p>
        </w:tc>
      </w:tr>
      <w:tr w:rsidR="001A2247">
        <w:trPr>
          <w:trHeight w:val="429"/>
          <w:jc w:val="center"/>
        </w:trPr>
        <w:tc>
          <w:tcPr>
            <w:tcW w:w="484" w:type="pct"/>
            <w:tcBorders>
              <w:top w:val="nil"/>
              <w:left w:val="single" w:sz="4" w:space="0" w:color="auto"/>
              <w:bottom w:val="single" w:sz="4" w:space="0" w:color="auto"/>
              <w:right w:val="single" w:sz="4" w:space="0" w:color="auto"/>
            </w:tcBorders>
            <w:noWrap/>
            <w:vAlign w:val="bottom"/>
          </w:tcPr>
          <w:p w:rsidR="001A2247" w:rsidRDefault="00905E84">
            <w:pPr>
              <w:spacing w:line="276" w:lineRule="auto"/>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Forest Cover</w:t>
            </w:r>
          </w:p>
        </w:tc>
        <w:tc>
          <w:tcPr>
            <w:tcW w:w="56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209.36</w:t>
            </w:r>
          </w:p>
        </w:tc>
        <w:tc>
          <w:tcPr>
            <w:tcW w:w="40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0.56</w:t>
            </w:r>
          </w:p>
        </w:tc>
        <w:tc>
          <w:tcPr>
            <w:tcW w:w="554"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-311.81</w:t>
            </w:r>
          </w:p>
        </w:tc>
        <w:tc>
          <w:tcPr>
            <w:tcW w:w="35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-0.84</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-382.42</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-1.03</w:t>
            </w:r>
          </w:p>
        </w:tc>
        <w:tc>
          <w:tcPr>
            <w:tcW w:w="503"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-484.87</w:t>
            </w:r>
          </w:p>
        </w:tc>
        <w:tc>
          <w:tcPr>
            <w:tcW w:w="35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-1.31</w:t>
            </w:r>
          </w:p>
        </w:tc>
        <w:tc>
          <w:tcPr>
            <w:tcW w:w="532"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-1444.05</w:t>
            </w:r>
          </w:p>
        </w:tc>
        <w:tc>
          <w:tcPr>
            <w:tcW w:w="400" w:type="pct"/>
            <w:tcBorders>
              <w:top w:val="nil"/>
              <w:left w:val="nil"/>
              <w:bottom w:val="single" w:sz="4" w:space="0" w:color="auto"/>
              <w:right w:val="single" w:sz="4" w:space="0" w:color="auto"/>
            </w:tcBorders>
            <w:noWrap/>
            <w:vAlign w:val="bottom"/>
          </w:tcPr>
          <w:p w:rsidR="001A2247" w:rsidRDefault="00905E84">
            <w:pPr>
              <w:spacing w:line="276"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-3.89</w:t>
            </w:r>
          </w:p>
        </w:tc>
      </w:tr>
    </w:tbl>
    <w:p w:rsidR="001A2247" w:rsidRDefault="001A2247">
      <w:pPr>
        <w:spacing w:line="480" w:lineRule="auto"/>
        <w:rPr>
          <w:rFonts w:ascii="Times New Roman" w:hAnsi="Times New Roman" w:cs="Times New Roman"/>
          <w:b/>
          <w:u w:val="single"/>
          <w:lang w:val="en-IN" w:eastAsia="en-IN"/>
        </w:rPr>
      </w:pPr>
    </w:p>
    <w:p w:rsidR="001A2247" w:rsidRDefault="001A2247">
      <w:pPr>
        <w:keepNext/>
        <w:spacing w:line="480" w:lineRule="auto"/>
        <w:jc w:val="center"/>
        <w:rPr>
          <w:lang w:val="en-IN" w:eastAsia="en-IN"/>
        </w:rPr>
      </w:pPr>
    </w:p>
    <w:p w:rsidR="001A2247" w:rsidRDefault="00905E84">
      <w:pPr>
        <w:keepNext/>
        <w:spacing w:line="480" w:lineRule="auto"/>
        <w:jc w:val="center"/>
      </w:pPr>
      <w:r>
        <w:rPr>
          <w:noProof/>
          <w:lang w:val="en-IN" w:eastAsia="en-IN"/>
        </w:rPr>
        <w:drawing>
          <wp:inline distT="0" distB="0" distL="0" distR="0">
            <wp:extent cx="5245100" cy="5689600"/>
            <wp:effectExtent l="0" t="0" r="0" b="6350"/>
            <wp:docPr id="25" name="Picture 25" descr="C:\Users\Alinda\Desktop\baideu\GOAL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linda\Desktop\baideu\GOALPARA.jpg"/>
                    <pic:cNvPicPr>
                      <a:picLocks noChangeAspect="1" noChangeArrowheads="1"/>
                    </pic:cNvPicPr>
                  </pic:nvPicPr>
                  <pic:blipFill>
                    <a:blip r:embed="rId10" cstate="print">
                      <a:extLst>
                        <a:ext uri="{28A0092B-C50C-407E-A947-70E740481C1C}">
                          <a14:useLocalDpi xmlns:a14="http://schemas.microsoft.com/office/drawing/2010/main" val="0"/>
                        </a:ext>
                      </a:extLst>
                    </a:blip>
                    <a:srcRect l="-120" r="662" b="16633"/>
                    <a:stretch>
                      <a:fillRect/>
                    </a:stretch>
                  </pic:blipFill>
                  <pic:spPr>
                    <a:xfrm>
                      <a:off x="0" y="0"/>
                      <a:ext cx="5245732" cy="5690285"/>
                    </a:xfrm>
                    <a:prstGeom prst="rect">
                      <a:avLst/>
                    </a:prstGeom>
                    <a:noFill/>
                    <a:ln>
                      <a:noFill/>
                    </a:ln>
                  </pic:spPr>
                </pic:pic>
              </a:graphicData>
            </a:graphic>
          </wp:inline>
        </w:drawing>
      </w:r>
    </w:p>
    <w:p w:rsidR="001A2247" w:rsidRDefault="001A2247">
      <w:pPr>
        <w:jc w:val="both"/>
        <w:rPr>
          <w:rFonts w:ascii="Arial" w:hAnsi="Arial" w:cs="Arial"/>
        </w:rPr>
      </w:pPr>
    </w:p>
    <w:p w:rsidR="001A2247" w:rsidRDefault="00905E84">
      <w:pPr>
        <w:spacing w:line="276" w:lineRule="auto"/>
        <w:rPr>
          <w:rFonts w:ascii="Arial" w:eastAsia="Times New Roman" w:hAnsi="Arial" w:cs="Arial"/>
          <w:color w:val="000000"/>
          <w:lang w:val="en-IN" w:eastAsia="en-IN"/>
        </w:rPr>
      </w:pPr>
      <w:r>
        <w:rPr>
          <w:rFonts w:ascii="Arial" w:hAnsi="Arial" w:cs="Arial"/>
          <w:b/>
        </w:rPr>
        <w:t xml:space="preserve">Figure </w:t>
      </w:r>
      <w:r>
        <w:rPr>
          <w:rFonts w:ascii="Arial" w:hAnsi="Arial" w:cs="Arial"/>
          <w:b/>
          <w:bCs/>
        </w:rPr>
        <w:t>3:</w:t>
      </w:r>
      <w:r>
        <w:rPr>
          <w:rFonts w:ascii="Arial" w:hAnsi="Arial" w:cs="Arial"/>
        </w:rPr>
        <w:t xml:space="preserve"> </w:t>
      </w:r>
      <w:r>
        <w:rPr>
          <w:rFonts w:ascii="Arial" w:eastAsia="Times New Roman" w:hAnsi="Arial" w:cs="Arial"/>
          <w:lang w:val="en-IN" w:eastAsia="en-IN"/>
        </w:rPr>
        <w:t xml:space="preserve">forest cover map of the </w:t>
      </w:r>
      <w:proofErr w:type="spellStart"/>
      <w:r>
        <w:rPr>
          <w:rFonts w:ascii="Arial" w:eastAsia="Times New Roman" w:hAnsi="Arial" w:cs="Arial"/>
          <w:lang w:val="en-IN" w:eastAsia="en-IN"/>
        </w:rPr>
        <w:t>Goalpara</w:t>
      </w:r>
      <w:proofErr w:type="spellEnd"/>
      <w:r>
        <w:rPr>
          <w:rFonts w:ascii="Arial" w:eastAsia="Times New Roman" w:hAnsi="Arial" w:cs="Arial"/>
          <w:lang w:val="en-IN" w:eastAsia="en-IN"/>
        </w:rPr>
        <w:t xml:space="preserve"> forest area boundary </w:t>
      </w:r>
      <w:r>
        <w:rPr>
          <w:rFonts w:ascii="Arial" w:eastAsia="Times New Roman" w:hAnsi="Arial" w:cs="Arial"/>
          <w:color w:val="000000"/>
          <w:lang w:val="en-IN" w:eastAsia="en-IN"/>
        </w:rPr>
        <w:t>36.65%</w:t>
      </w:r>
      <w:r>
        <w:rPr>
          <w:rFonts w:ascii="Arial" w:hAnsi="Arial" w:cs="Arial"/>
        </w:rPr>
        <w:t>→</w:t>
      </w:r>
      <w:r>
        <w:rPr>
          <w:rFonts w:ascii="Arial" w:eastAsia="Times New Roman" w:hAnsi="Arial" w:cs="Arial"/>
          <w:color w:val="000000"/>
          <w:lang w:val="en-IN" w:eastAsia="en-IN"/>
        </w:rPr>
        <w:t>35.35</w:t>
      </w:r>
      <w:r>
        <w:rPr>
          <w:rFonts w:ascii="Arial" w:hAnsi="Arial" w:cs="Arial"/>
        </w:rPr>
        <w:t xml:space="preserve"> (1993-2023), and projected </w:t>
      </w:r>
      <w:r>
        <w:rPr>
          <w:rFonts w:ascii="Arial" w:eastAsia="Times New Roman" w:hAnsi="Arial" w:cs="Arial"/>
          <w:color w:val="000000"/>
          <w:lang w:val="en-IN" w:eastAsia="en-IN"/>
        </w:rPr>
        <w:t>31.46</w:t>
      </w:r>
      <w:r>
        <w:rPr>
          <w:rFonts w:ascii="Arial" w:eastAsia="Times New Roman" w:hAnsi="Arial" w:cs="Arial"/>
          <w:color w:val="000000"/>
          <w:lang w:eastAsia="en-IN"/>
        </w:rPr>
        <w:t xml:space="preserve">% </w:t>
      </w:r>
      <w:proofErr w:type="gramStart"/>
      <w:r>
        <w:rPr>
          <w:rFonts w:ascii="Arial" w:eastAsia="Times New Roman" w:hAnsi="Arial" w:cs="Arial"/>
          <w:color w:val="000000"/>
          <w:lang w:eastAsia="en-IN"/>
        </w:rPr>
        <w:t xml:space="preserve">in  </w:t>
      </w:r>
      <w:r>
        <w:rPr>
          <w:rFonts w:ascii="Arial" w:hAnsi="Arial" w:cs="Arial"/>
        </w:rPr>
        <w:t>2033</w:t>
      </w:r>
      <w:proofErr w:type="gramEnd"/>
    </w:p>
    <w:p w:rsidR="001A2247" w:rsidRDefault="001A2247">
      <w:pPr>
        <w:spacing w:line="480" w:lineRule="auto"/>
        <w:rPr>
          <w:rFonts w:ascii="Times New Roman" w:hAnsi="Times New Roman" w:cs="Times New Roman"/>
          <w:b/>
          <w:u w:val="single"/>
        </w:rPr>
      </w:pPr>
    </w:p>
    <w:p w:rsidR="001A2247" w:rsidRDefault="00905E84">
      <w:pPr>
        <w:spacing w:line="480" w:lineRule="auto"/>
        <w:rPr>
          <w:rFonts w:ascii="Times New Roman" w:hAnsi="Times New Roman" w:cs="Times New Roman"/>
          <w:b/>
          <w:u w:val="single"/>
        </w:rPr>
      </w:pPr>
      <w:r>
        <w:rPr>
          <w:rFonts w:ascii="Times New Roman" w:hAnsi="Times New Roman" w:cs="Times New Roman"/>
          <w:b/>
          <w:u w:val="single"/>
        </w:rPr>
        <w:t xml:space="preserve">4.1.2. Forest Cover Change within NFAs in </w:t>
      </w:r>
      <w:proofErr w:type="spellStart"/>
      <w:r>
        <w:rPr>
          <w:rFonts w:ascii="Times New Roman" w:hAnsi="Times New Roman" w:cs="Times New Roman"/>
          <w:b/>
          <w:u w:val="single"/>
        </w:rPr>
        <w:t>Goalpara</w:t>
      </w:r>
      <w:proofErr w:type="spellEnd"/>
      <w:r>
        <w:rPr>
          <w:rFonts w:ascii="Times New Roman" w:hAnsi="Times New Roman" w:cs="Times New Roman"/>
          <w:b/>
          <w:u w:val="single"/>
        </w:rPr>
        <w:t xml:space="preserve"> forest range:</w:t>
      </w:r>
    </w:p>
    <w:p w:rsidR="001A2247" w:rsidRDefault="00905E84">
      <w:pPr>
        <w:spacing w:line="480" w:lineRule="auto"/>
        <w:ind w:firstLine="720"/>
        <w:jc w:val="both"/>
        <w:rPr>
          <w:rFonts w:ascii="Arial" w:hAnsi="Arial" w:cs="Arial"/>
        </w:rPr>
      </w:pPr>
      <w:r>
        <w:rPr>
          <w:rFonts w:ascii="Arial" w:hAnsi="Arial" w:cs="Arial"/>
        </w:rPr>
        <w:t xml:space="preserve">The forest cover within NFAs has experienced significant changes over the 30-year period from 1993 to 2023, as illustrated in figure 5 and table 2. During this time period, the area of forest cover has consistently decreased, while the non-forest area has increased. The total forest cover area of the range was recorded as 6663.74 ha (66.52%) in 1993, 6991.09 ha (69.79%) in 2003, 6308.69 ha (62.98%) in 2013, 5955.96 ha (59.45%) in 2023, and is projected to be 4662.41 ha (53.55%) in 2033. The most significant decrease in forest cover recorded </w:t>
      </w:r>
      <w:r>
        <w:rPr>
          <w:rFonts w:ascii="Arial" w:hAnsi="Arial" w:cs="Arial"/>
        </w:rPr>
        <w:lastRenderedPageBreak/>
        <w:t>between 2003 and 2013 was 682.39 ha (-6.81%), followed by a reduction of 352.74 ha (-3.52%) from 2013 to 2023. In contrast, a positive change of 327.35 ha (3.27%) was observed during the period from 1993 to 2003. There has been a total forest cover loss of 707.78 ha (-7.07%) in the study area from 1993 to 2023, resulting in an annual forest loss of 23.59 ha (-0.25%). The predictive modelling results for 2033 indicate a continuous decline in forest area, amounting to 5,363.32 ha (53.55%), alongside a loss of 591 ha (-5.91%) from previous decades. Consequently, the non-forest area has expanded from 3353.88 ha (33.48%) in 1993 to 4062.39 ha (40.55%) in 2023.</w:t>
      </w:r>
    </w:p>
    <w:p w:rsidR="001A2247" w:rsidRDefault="00905E84">
      <w:pPr>
        <w:rPr>
          <w:rFonts w:ascii="Arial" w:eastAsia="SimSun" w:hAnsi="Arial" w:cs="Arial"/>
          <w:lang w:val="en-IN" w:eastAsia="en-IN"/>
        </w:rPr>
      </w:pPr>
      <w:r>
        <w:rPr>
          <w:rFonts w:ascii="Arial" w:hAnsi="Arial" w:cs="Arial"/>
          <w:b/>
          <w:bCs/>
        </w:rPr>
        <w:t xml:space="preserve">Table </w:t>
      </w:r>
      <w:r>
        <w:rPr>
          <w:rFonts w:ascii="Arial" w:hAnsi="Arial" w:cs="Arial"/>
          <w:b/>
          <w:bCs/>
        </w:rPr>
        <w:fldChar w:fldCharType="begin"/>
      </w:r>
      <w:r>
        <w:rPr>
          <w:rFonts w:ascii="Arial" w:hAnsi="Arial" w:cs="Arial"/>
          <w:b/>
          <w:bCs/>
        </w:rPr>
        <w:instrText xml:space="preserve"> SEQ Table \* ARABIC </w:instrText>
      </w:r>
      <w:r>
        <w:rPr>
          <w:rFonts w:ascii="Arial" w:hAnsi="Arial" w:cs="Arial"/>
          <w:b/>
          <w:bCs/>
        </w:rPr>
        <w:fldChar w:fldCharType="separate"/>
      </w:r>
      <w:r>
        <w:rPr>
          <w:rFonts w:ascii="Arial" w:hAnsi="Arial" w:cs="Arial"/>
          <w:b/>
          <w:bCs/>
        </w:rPr>
        <w:t>2</w:t>
      </w:r>
      <w:r>
        <w:rPr>
          <w:rFonts w:ascii="Arial" w:hAnsi="Arial" w:cs="Arial"/>
          <w:b/>
          <w:bCs/>
        </w:rPr>
        <w:fldChar w:fldCharType="end"/>
      </w:r>
      <w:r>
        <w:rPr>
          <w:rFonts w:ascii="Arial" w:hAnsi="Arial" w:cs="Arial"/>
          <w:b/>
          <w:bCs/>
        </w:rPr>
        <w:t>:</w:t>
      </w:r>
      <w:r>
        <w:rPr>
          <w:rFonts w:ascii="Arial" w:hAnsi="Arial" w:cs="Arial"/>
        </w:rPr>
        <w:t xml:space="preserve"> Forest cover and non-forest cover area of NFAs under </w:t>
      </w:r>
      <w:proofErr w:type="spellStart"/>
      <w:r>
        <w:rPr>
          <w:rFonts w:ascii="Arial" w:hAnsi="Arial" w:cs="Arial"/>
        </w:rPr>
        <w:t>Goalpara</w:t>
      </w:r>
      <w:proofErr w:type="spellEnd"/>
      <w:r>
        <w:rPr>
          <w:rFonts w:ascii="Arial" w:hAnsi="Arial" w:cs="Arial"/>
        </w:rPr>
        <w:t xml:space="preserve"> range</w:t>
      </w:r>
    </w:p>
    <w:p w:rsidR="001A2247" w:rsidRDefault="001A2247">
      <w:pPr>
        <w:pStyle w:val="Caption"/>
        <w:keepNext/>
      </w:pPr>
    </w:p>
    <w:tbl>
      <w:tblPr>
        <w:tblStyle w:val="GridTable1Light1"/>
        <w:tblW w:w="8457" w:type="dxa"/>
        <w:tblLook w:val="04A0" w:firstRow="1" w:lastRow="0" w:firstColumn="1" w:lastColumn="0" w:noHBand="0" w:noVBand="1"/>
      </w:tblPr>
      <w:tblGrid>
        <w:gridCol w:w="1092"/>
        <w:gridCol w:w="795"/>
        <w:gridCol w:w="631"/>
        <w:gridCol w:w="825"/>
        <w:gridCol w:w="632"/>
        <w:gridCol w:w="825"/>
        <w:gridCol w:w="632"/>
        <w:gridCol w:w="825"/>
        <w:gridCol w:w="644"/>
        <w:gridCol w:w="825"/>
        <w:gridCol w:w="746"/>
      </w:tblGrid>
      <w:tr w:rsidR="001A2247" w:rsidTr="001A224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Year</w:t>
            </w:r>
          </w:p>
        </w:tc>
        <w:tc>
          <w:tcPr>
            <w:tcW w:w="1411" w:type="dxa"/>
            <w:gridSpan w:val="2"/>
            <w:noWrap/>
          </w:tcPr>
          <w:p w:rsidR="001A2247" w:rsidRDefault="00905E8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1993</w:t>
            </w:r>
          </w:p>
        </w:tc>
        <w:tc>
          <w:tcPr>
            <w:tcW w:w="1457" w:type="dxa"/>
            <w:gridSpan w:val="2"/>
            <w:noWrap/>
          </w:tcPr>
          <w:p w:rsidR="001A2247" w:rsidRDefault="00905E8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2003</w:t>
            </w:r>
          </w:p>
        </w:tc>
        <w:tc>
          <w:tcPr>
            <w:tcW w:w="1457" w:type="dxa"/>
            <w:gridSpan w:val="2"/>
            <w:noWrap/>
          </w:tcPr>
          <w:p w:rsidR="001A2247" w:rsidRDefault="00905E8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2013</w:t>
            </w:r>
          </w:p>
        </w:tc>
        <w:tc>
          <w:tcPr>
            <w:tcW w:w="1469" w:type="dxa"/>
            <w:gridSpan w:val="2"/>
            <w:noWrap/>
          </w:tcPr>
          <w:p w:rsidR="001A2247" w:rsidRDefault="00905E8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2023</w:t>
            </w:r>
          </w:p>
        </w:tc>
        <w:tc>
          <w:tcPr>
            <w:tcW w:w="1571" w:type="dxa"/>
            <w:gridSpan w:val="2"/>
            <w:noWrap/>
          </w:tcPr>
          <w:p w:rsidR="001A2247" w:rsidRDefault="00905E8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2033</w:t>
            </w:r>
          </w:p>
        </w:tc>
      </w:tr>
      <w:tr w:rsidR="001A2247" w:rsidTr="001A2247">
        <w:trPr>
          <w:trHeight w:val="248"/>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Area</w:t>
            </w:r>
          </w:p>
        </w:tc>
        <w:tc>
          <w:tcPr>
            <w:tcW w:w="780"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1"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2"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2"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44"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746"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r>
      <w:tr w:rsidR="001A2247" w:rsidTr="001A2247">
        <w:trPr>
          <w:trHeight w:val="41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Forest cover</w:t>
            </w:r>
          </w:p>
        </w:tc>
        <w:tc>
          <w:tcPr>
            <w:tcW w:w="780"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6663.74</w:t>
            </w:r>
          </w:p>
        </w:tc>
        <w:tc>
          <w:tcPr>
            <w:tcW w:w="631"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66.52</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6991.09</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69.79</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6308.69</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62.98</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5955.96</w:t>
            </w:r>
          </w:p>
        </w:tc>
        <w:tc>
          <w:tcPr>
            <w:tcW w:w="644"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59.45</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5364.32</w:t>
            </w:r>
          </w:p>
        </w:tc>
        <w:tc>
          <w:tcPr>
            <w:tcW w:w="746"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53.55</w:t>
            </w:r>
          </w:p>
        </w:tc>
      </w:tr>
      <w:tr w:rsidR="001A2247" w:rsidTr="001A2247">
        <w:trPr>
          <w:trHeight w:val="9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Non-Forest</w:t>
            </w:r>
          </w:p>
        </w:tc>
        <w:tc>
          <w:tcPr>
            <w:tcW w:w="780"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3353.88</w:t>
            </w:r>
          </w:p>
        </w:tc>
        <w:tc>
          <w:tcPr>
            <w:tcW w:w="631"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33.48</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3026.52</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30.21</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3717.45</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37.11</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4062.39</w:t>
            </w:r>
          </w:p>
        </w:tc>
        <w:tc>
          <w:tcPr>
            <w:tcW w:w="644"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40.55</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4662.41</w:t>
            </w:r>
          </w:p>
        </w:tc>
        <w:tc>
          <w:tcPr>
            <w:tcW w:w="746"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46.54</w:t>
            </w:r>
          </w:p>
        </w:tc>
      </w:tr>
      <w:tr w:rsidR="001A2247" w:rsidTr="001A2247">
        <w:trPr>
          <w:trHeight w:val="21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 xml:space="preserve">Session </w:t>
            </w:r>
          </w:p>
        </w:tc>
        <w:tc>
          <w:tcPr>
            <w:tcW w:w="1411" w:type="dxa"/>
            <w:gridSpan w:val="2"/>
            <w:noWrap/>
          </w:tcPr>
          <w:p w:rsidR="001A2247" w:rsidRDefault="00905E8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1993-2003</w:t>
            </w:r>
          </w:p>
        </w:tc>
        <w:tc>
          <w:tcPr>
            <w:tcW w:w="1457" w:type="dxa"/>
            <w:gridSpan w:val="2"/>
            <w:noWrap/>
          </w:tcPr>
          <w:p w:rsidR="001A2247" w:rsidRDefault="00905E8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2003-13</w:t>
            </w:r>
          </w:p>
        </w:tc>
        <w:tc>
          <w:tcPr>
            <w:tcW w:w="1457" w:type="dxa"/>
            <w:gridSpan w:val="2"/>
            <w:noWrap/>
          </w:tcPr>
          <w:p w:rsidR="001A2247" w:rsidRDefault="00905E8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2013-23</w:t>
            </w:r>
          </w:p>
        </w:tc>
        <w:tc>
          <w:tcPr>
            <w:tcW w:w="1469" w:type="dxa"/>
            <w:gridSpan w:val="2"/>
            <w:noWrap/>
          </w:tcPr>
          <w:p w:rsidR="001A2247" w:rsidRDefault="00905E8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1993-23</w:t>
            </w:r>
          </w:p>
        </w:tc>
        <w:tc>
          <w:tcPr>
            <w:tcW w:w="1571" w:type="dxa"/>
            <w:gridSpan w:val="2"/>
            <w:noWrap/>
          </w:tcPr>
          <w:p w:rsidR="001A2247" w:rsidRDefault="00905E84">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2023-33</w:t>
            </w:r>
          </w:p>
        </w:tc>
      </w:tr>
      <w:tr w:rsidR="001A2247" w:rsidTr="001A2247">
        <w:trPr>
          <w:trHeight w:val="21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Change</w:t>
            </w:r>
          </w:p>
        </w:tc>
        <w:tc>
          <w:tcPr>
            <w:tcW w:w="780"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1"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2"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32"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644"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c>
          <w:tcPr>
            <w:tcW w:w="825"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ha</w:t>
            </w:r>
          </w:p>
        </w:tc>
        <w:tc>
          <w:tcPr>
            <w:tcW w:w="746" w:type="dxa"/>
            <w:noWrap/>
          </w:tcPr>
          <w:p w:rsidR="001A2247" w:rsidRDefault="00905E84">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w:t>
            </w:r>
          </w:p>
        </w:tc>
      </w:tr>
      <w:tr w:rsidR="001A2247" w:rsidTr="001A2247">
        <w:trPr>
          <w:trHeight w:val="41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Forest cover</w:t>
            </w:r>
          </w:p>
        </w:tc>
        <w:tc>
          <w:tcPr>
            <w:tcW w:w="780"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327.35</w:t>
            </w:r>
          </w:p>
        </w:tc>
        <w:tc>
          <w:tcPr>
            <w:tcW w:w="631"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3.27</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-682.39</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-6.81</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-352.74</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-3.52</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-1299.41</w:t>
            </w:r>
          </w:p>
        </w:tc>
        <w:tc>
          <w:tcPr>
            <w:tcW w:w="644"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-12.97</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-944.37</w:t>
            </w:r>
          </w:p>
        </w:tc>
        <w:tc>
          <w:tcPr>
            <w:tcW w:w="746"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-5.91</w:t>
            </w:r>
          </w:p>
        </w:tc>
      </w:tr>
      <w:tr w:rsidR="001A2247" w:rsidTr="001A2247">
        <w:trPr>
          <w:trHeight w:val="420"/>
        </w:trPr>
        <w:tc>
          <w:tcPr>
            <w:cnfStyle w:val="001000000000" w:firstRow="0" w:lastRow="0" w:firstColumn="1" w:lastColumn="0" w:oddVBand="0" w:evenVBand="0" w:oddHBand="0" w:evenHBand="0" w:firstRowFirstColumn="0" w:firstRowLastColumn="0" w:lastRowFirstColumn="0" w:lastRowLastColumn="0"/>
            <w:tcW w:w="1092" w:type="dxa"/>
            <w:noWrap/>
          </w:tcPr>
          <w:p w:rsidR="001A2247" w:rsidRDefault="00905E84">
            <w:pPr>
              <w:spacing w:line="276" w:lineRule="auto"/>
              <w:rPr>
                <w:rFonts w:ascii="Arial" w:eastAsia="Times New Roman" w:hAnsi="Arial" w:cs="Arial"/>
                <w:b w:val="0"/>
                <w:bCs w:val="0"/>
                <w:color w:val="000000"/>
                <w:sz w:val="16"/>
                <w:szCs w:val="16"/>
                <w:lang w:val="en-IN" w:eastAsia="en-IN"/>
              </w:rPr>
            </w:pPr>
            <w:r>
              <w:rPr>
                <w:rFonts w:ascii="Arial" w:eastAsia="Times New Roman" w:hAnsi="Arial" w:cs="Arial"/>
                <w:color w:val="000000"/>
                <w:sz w:val="16"/>
                <w:szCs w:val="16"/>
                <w:lang w:val="en-IN" w:eastAsia="en-IN"/>
              </w:rPr>
              <w:t>Non- Forest</w:t>
            </w:r>
          </w:p>
        </w:tc>
        <w:tc>
          <w:tcPr>
            <w:tcW w:w="780"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-327.36</w:t>
            </w:r>
          </w:p>
        </w:tc>
        <w:tc>
          <w:tcPr>
            <w:tcW w:w="631"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-3.27</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690.93</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6.90</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344.93</w:t>
            </w:r>
          </w:p>
        </w:tc>
        <w:tc>
          <w:tcPr>
            <w:tcW w:w="632"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3.44</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708.51</w:t>
            </w:r>
          </w:p>
        </w:tc>
        <w:tc>
          <w:tcPr>
            <w:tcW w:w="644"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7.07</w:t>
            </w:r>
          </w:p>
        </w:tc>
        <w:tc>
          <w:tcPr>
            <w:tcW w:w="825"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600.02</w:t>
            </w:r>
          </w:p>
        </w:tc>
        <w:tc>
          <w:tcPr>
            <w:tcW w:w="746" w:type="dxa"/>
            <w:noWrap/>
          </w:tcPr>
          <w:p w:rsidR="001A2247" w:rsidRDefault="00905E84">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5.99</w:t>
            </w:r>
          </w:p>
        </w:tc>
      </w:tr>
    </w:tbl>
    <w:p w:rsidR="001A2247" w:rsidRDefault="001A2247">
      <w:pPr>
        <w:spacing w:line="480" w:lineRule="auto"/>
        <w:rPr>
          <w:rFonts w:ascii="Times New Roman" w:hAnsi="Times New Roman" w:cs="Times New Roman"/>
          <w:sz w:val="24"/>
          <w:szCs w:val="24"/>
        </w:rPr>
      </w:pPr>
    </w:p>
    <w:p w:rsidR="001A2247" w:rsidRDefault="00905E84">
      <w:pPr>
        <w:keepNext/>
        <w:spacing w:line="480" w:lineRule="auto"/>
        <w:jc w:val="center"/>
      </w:pPr>
      <w:r>
        <w:rPr>
          <w:noProof/>
          <w:lang w:val="en-IN" w:eastAsia="en-IN"/>
        </w:rPr>
        <w:drawing>
          <wp:inline distT="0" distB="0" distL="0" distR="0">
            <wp:extent cx="5541010" cy="2016760"/>
            <wp:effectExtent l="0" t="0" r="8890" b="2540"/>
            <wp:docPr id="1089938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38167" name="Picture 1"/>
                    <pic:cNvPicPr>
                      <a:picLocks noChangeAspect="1"/>
                    </pic:cNvPicPr>
                  </pic:nvPicPr>
                  <pic:blipFill>
                    <a:blip r:embed="rId11"/>
                    <a:stretch>
                      <a:fillRect/>
                    </a:stretch>
                  </pic:blipFill>
                  <pic:spPr>
                    <a:xfrm>
                      <a:off x="0" y="0"/>
                      <a:ext cx="5541010" cy="2016760"/>
                    </a:xfrm>
                    <a:prstGeom prst="rect">
                      <a:avLst/>
                    </a:prstGeom>
                  </pic:spPr>
                </pic:pic>
              </a:graphicData>
            </a:graphic>
          </wp:inline>
        </w:drawing>
      </w:r>
    </w:p>
    <w:p w:rsidR="001A2247" w:rsidRDefault="00905E84">
      <w:pPr>
        <w:pStyle w:val="Caption"/>
        <w:jc w:val="center"/>
        <w:rPr>
          <w:rFonts w:ascii="Times New Roman" w:hAnsi="Times New Roman" w:cs="Times New Roman"/>
          <w:sz w:val="24"/>
          <w:szCs w:val="24"/>
        </w:rPr>
      </w:pPr>
      <w:r>
        <w:rPr>
          <w:b/>
          <w:bCs/>
        </w:rPr>
        <w:t>Figure 4:</w:t>
      </w:r>
      <w:r>
        <w:t xml:space="preserve"> Illustrating Forest and Non-forest area NFAs under </w:t>
      </w:r>
      <w:proofErr w:type="spellStart"/>
      <w:r>
        <w:t>Goalpara</w:t>
      </w:r>
      <w:proofErr w:type="spellEnd"/>
      <w:r>
        <w:t xml:space="preserve"> range</w:t>
      </w:r>
    </w:p>
    <w:p w:rsidR="001A2247" w:rsidRDefault="001A2247">
      <w:pPr>
        <w:spacing w:line="480" w:lineRule="auto"/>
        <w:rPr>
          <w:rFonts w:ascii="Times New Roman" w:hAnsi="Times New Roman" w:cs="Times New Roman"/>
          <w:sz w:val="24"/>
          <w:szCs w:val="24"/>
        </w:rPr>
      </w:pPr>
    </w:p>
    <w:p w:rsidR="001A2247" w:rsidRDefault="001A2247">
      <w:pPr>
        <w:keepNext/>
        <w:spacing w:line="480" w:lineRule="auto"/>
        <w:jc w:val="center"/>
      </w:pPr>
    </w:p>
    <w:p w:rsidR="001A2247" w:rsidRDefault="001A2247">
      <w:pPr>
        <w:keepNext/>
        <w:spacing w:line="480" w:lineRule="auto"/>
        <w:jc w:val="center"/>
        <w:rPr>
          <w:rFonts w:ascii="Arial" w:hAnsi="Arial" w:cs="Arial"/>
        </w:rPr>
      </w:pPr>
    </w:p>
    <w:p w:rsidR="001A2247" w:rsidRDefault="00905E84">
      <w:pPr>
        <w:keepNext/>
        <w:spacing w:line="480" w:lineRule="auto"/>
        <w:jc w:val="center"/>
        <w:rPr>
          <w:rFonts w:ascii="Arial" w:hAnsi="Arial" w:cs="Arial"/>
        </w:rPr>
      </w:pPr>
      <w:r>
        <w:rPr>
          <w:rFonts w:ascii="Arial" w:hAnsi="Arial" w:cs="Arial"/>
          <w:noProof/>
        </w:rPr>
        <w:drawing>
          <wp:inline distT="0" distB="0" distL="114300" distR="114300">
            <wp:extent cx="5271770" cy="5601970"/>
            <wp:effectExtent l="0" t="0" r="0" b="0"/>
            <wp:docPr id="26" name="Picture 26" descr="GOALPARA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OALPARARANGE"/>
                    <pic:cNvPicPr>
                      <a:picLocks noChangeAspect="1"/>
                    </pic:cNvPicPr>
                  </pic:nvPicPr>
                  <pic:blipFill>
                    <a:blip r:embed="rId12"/>
                    <a:srcRect l="615" t="1257" r="-651" b="16601"/>
                    <a:stretch>
                      <a:fillRect/>
                    </a:stretch>
                  </pic:blipFill>
                  <pic:spPr>
                    <a:xfrm>
                      <a:off x="0" y="0"/>
                      <a:ext cx="5271770" cy="5601970"/>
                    </a:xfrm>
                    <a:prstGeom prst="rect">
                      <a:avLst/>
                    </a:prstGeom>
                  </pic:spPr>
                </pic:pic>
              </a:graphicData>
            </a:graphic>
          </wp:inline>
        </w:drawing>
      </w:r>
    </w:p>
    <w:p w:rsidR="001A2247" w:rsidRDefault="00905E84">
      <w:pPr>
        <w:pStyle w:val="NormalWeb"/>
        <w:spacing w:line="480" w:lineRule="auto"/>
        <w:ind w:left="100" w:hangingChars="50" w:hanging="100"/>
        <w:jc w:val="both"/>
        <w:rPr>
          <w:rFonts w:ascii="Arial" w:hAnsi="Arial" w:cs="Arial"/>
          <w:sz w:val="20"/>
          <w:szCs w:val="20"/>
        </w:rPr>
      </w:pPr>
      <w:r>
        <w:rPr>
          <w:rFonts w:ascii="Arial" w:hAnsi="Arial" w:cs="Arial"/>
          <w:b/>
          <w:bCs/>
          <w:sz w:val="20"/>
          <w:szCs w:val="20"/>
        </w:rPr>
        <w:t>Figure 5:</w:t>
      </w:r>
      <w:r>
        <w:rPr>
          <w:rFonts w:ascii="Arial" w:hAnsi="Arial" w:cs="Arial"/>
          <w:sz w:val="20"/>
          <w:szCs w:val="20"/>
        </w:rPr>
        <w:t xml:space="preserve"> Illustrating Forest cover and major forest loss NFAs sites under </w:t>
      </w:r>
      <w:proofErr w:type="spellStart"/>
      <w:r>
        <w:rPr>
          <w:rFonts w:ascii="Arial" w:hAnsi="Arial" w:cs="Arial"/>
          <w:sz w:val="20"/>
          <w:szCs w:val="20"/>
        </w:rPr>
        <w:t>Goalpara</w:t>
      </w:r>
      <w:proofErr w:type="spellEnd"/>
      <w:r>
        <w:rPr>
          <w:rFonts w:ascii="Arial" w:hAnsi="Arial" w:cs="Arial"/>
          <w:sz w:val="20"/>
          <w:szCs w:val="20"/>
        </w:rPr>
        <w:t xml:space="preserve"> Range-</w:t>
      </w:r>
      <w:r>
        <w:rPr>
          <w:rFonts w:ascii="Arial" w:eastAsia="Times New Roman" w:hAnsi="Arial" w:cs="Arial"/>
          <w:color w:val="000000"/>
          <w:sz w:val="20"/>
          <w:szCs w:val="20"/>
          <w:lang w:val="en-IN" w:eastAsia="en-IN"/>
        </w:rPr>
        <w:t>66.52</w:t>
      </w:r>
      <w:r>
        <w:rPr>
          <w:rFonts w:ascii="Arial" w:eastAsia="Times New Roman" w:hAnsi="Arial" w:cs="Arial"/>
          <w:color w:val="000000"/>
          <w:sz w:val="20"/>
          <w:szCs w:val="20"/>
          <w:lang w:eastAsia="en-IN"/>
        </w:rPr>
        <w:t>%</w:t>
      </w:r>
      <w:r>
        <w:rPr>
          <w:rFonts w:ascii="Arial" w:hAnsi="Arial" w:cs="Arial"/>
          <w:sz w:val="20"/>
          <w:szCs w:val="20"/>
        </w:rPr>
        <w:t>→</w:t>
      </w:r>
      <w:r>
        <w:rPr>
          <w:rFonts w:ascii="Arial" w:eastAsia="Times New Roman" w:hAnsi="Arial" w:cs="Arial"/>
          <w:color w:val="000000"/>
          <w:sz w:val="20"/>
          <w:szCs w:val="20"/>
          <w:lang w:val="en-IN" w:eastAsia="en-IN"/>
        </w:rPr>
        <w:t>59.45</w:t>
      </w:r>
      <w:proofErr w:type="gramStart"/>
      <w:r>
        <w:rPr>
          <w:rFonts w:ascii="Arial" w:eastAsia="Times New Roman" w:hAnsi="Arial" w:cs="Arial"/>
          <w:color w:val="000000"/>
          <w:sz w:val="20"/>
          <w:szCs w:val="20"/>
          <w:lang w:eastAsia="en-IN"/>
        </w:rPr>
        <w:t>%(</w:t>
      </w:r>
      <w:proofErr w:type="gramEnd"/>
      <w:r>
        <w:rPr>
          <w:rFonts w:ascii="Arial" w:eastAsia="Times New Roman" w:hAnsi="Arial" w:cs="Arial"/>
          <w:color w:val="000000"/>
          <w:sz w:val="20"/>
          <w:szCs w:val="20"/>
          <w:lang w:eastAsia="en-IN"/>
        </w:rPr>
        <w:t xml:space="preserve">1993-2023), projected </w:t>
      </w:r>
      <w:r>
        <w:rPr>
          <w:rFonts w:ascii="Arial" w:eastAsia="Times New Roman" w:hAnsi="Arial" w:cs="Arial"/>
          <w:color w:val="000000"/>
          <w:sz w:val="20"/>
          <w:szCs w:val="20"/>
          <w:lang w:val="en-IN" w:eastAsia="en-IN"/>
        </w:rPr>
        <w:t>59.45</w:t>
      </w:r>
      <w:r>
        <w:rPr>
          <w:rFonts w:ascii="Arial" w:eastAsia="Times New Roman" w:hAnsi="Arial" w:cs="Arial"/>
          <w:color w:val="000000"/>
          <w:sz w:val="20"/>
          <w:szCs w:val="20"/>
          <w:lang w:eastAsia="en-IN"/>
        </w:rPr>
        <w:t>% in 2033</w:t>
      </w:r>
    </w:p>
    <w:p w:rsidR="001A2247" w:rsidRDefault="00905E84">
      <w:pPr>
        <w:pStyle w:val="NormalWeb"/>
        <w:spacing w:line="480" w:lineRule="auto"/>
        <w:jc w:val="both"/>
        <w:rPr>
          <w:b/>
          <w:sz w:val="22"/>
          <w:szCs w:val="22"/>
          <w:u w:val="single"/>
        </w:rPr>
      </w:pPr>
      <w:r>
        <w:rPr>
          <w:b/>
          <w:sz w:val="22"/>
          <w:szCs w:val="22"/>
        </w:rPr>
        <w:t>4.1.3</w:t>
      </w:r>
      <w:r>
        <w:rPr>
          <w:b/>
          <w:sz w:val="22"/>
          <w:szCs w:val="22"/>
          <w:u w:val="single"/>
        </w:rPr>
        <w:t>. FOREST COVER CHANGE IN NFAs IN GOALPARA FOREST RANGE:</w:t>
      </w:r>
    </w:p>
    <w:p w:rsidR="001A2247" w:rsidRDefault="00905E84">
      <w:pPr>
        <w:spacing w:line="480" w:lineRule="auto"/>
        <w:ind w:firstLine="720"/>
        <w:jc w:val="both"/>
        <w:rPr>
          <w:rFonts w:ascii="Arial" w:eastAsia="Times New Roman" w:hAnsi="Arial" w:cs="Arial"/>
          <w:lang w:val="en-IN" w:eastAsia="en-IN"/>
        </w:rPr>
      </w:pPr>
      <w:r>
        <w:rPr>
          <w:rFonts w:ascii="Arial" w:eastAsia="Times New Roman" w:hAnsi="Arial" w:cs="Arial"/>
          <w:lang w:val="en-IN" w:eastAsia="en-IN"/>
        </w:rPr>
        <w:t>The distribution of changes in forest cover within the boundaries of the NFA</w:t>
      </w:r>
      <w:r>
        <w:rPr>
          <w:rFonts w:ascii="Arial" w:eastAsia="Times New Roman" w:hAnsi="Arial" w:cs="Arial"/>
          <w:lang w:eastAsia="en-IN"/>
        </w:rPr>
        <w:t>s</w:t>
      </w:r>
      <w:r>
        <w:rPr>
          <w:rFonts w:ascii="Arial" w:eastAsia="Times New Roman" w:hAnsi="Arial" w:cs="Arial"/>
          <w:lang w:val="en-IN" w:eastAsia="en-IN"/>
        </w:rPr>
        <w:t xml:space="preserve"> in the study area has been found to be highly dynamic. Observations indicate that the forest area varies both spatially and temporally over different time periods (table 4). The analysis reveals significant alterations in forest cover.</w:t>
      </w:r>
    </w:p>
    <w:p w:rsidR="001A2247" w:rsidRDefault="00905E84">
      <w:pPr>
        <w:spacing w:line="480" w:lineRule="auto"/>
        <w:jc w:val="both"/>
        <w:rPr>
          <w:rFonts w:ascii="Arial" w:eastAsia="Times New Roman" w:hAnsi="Arial" w:cs="Arial"/>
          <w:b/>
          <w:color w:val="000000"/>
          <w:u w:val="single"/>
          <w:lang w:val="en-IN" w:eastAsia="en-IN"/>
        </w:rPr>
      </w:pPr>
      <w:r>
        <w:rPr>
          <w:rFonts w:ascii="Arial" w:eastAsia="Times New Roman" w:hAnsi="Arial" w:cs="Arial"/>
          <w:b/>
          <w:color w:val="000000"/>
          <w:u w:val="single"/>
          <w:lang w:val="en-IN" w:eastAsia="en-IN"/>
        </w:rPr>
        <w:lastRenderedPageBreak/>
        <w:t>Forest cover changes within NFA’s 1993-2003:</w:t>
      </w:r>
    </w:p>
    <w:p w:rsidR="001A2247" w:rsidRDefault="00905E84">
      <w:pPr>
        <w:spacing w:line="480" w:lineRule="auto"/>
        <w:ind w:firstLine="720"/>
        <w:jc w:val="both"/>
        <w:rPr>
          <w:rFonts w:ascii="Arial" w:eastAsia="SimSun" w:hAnsi="Arial" w:cs="Arial"/>
          <w:lang w:val="en-IN" w:eastAsia="en-IN"/>
        </w:rPr>
      </w:pPr>
      <w:r>
        <w:rPr>
          <w:rFonts w:ascii="Arial" w:hAnsi="Arial" w:cs="Arial"/>
        </w:rPr>
        <w:t xml:space="preserve">Throughout this time period, the overall forest area has increased by 273.6 hectares (1.55%). While spatially some areas of the NFA have experienced significant forest loss, such as </w:t>
      </w:r>
      <w:proofErr w:type="spellStart"/>
      <w:r>
        <w:rPr>
          <w:rFonts w:ascii="Arial" w:hAnsi="Arial" w:cs="Arial"/>
        </w:rPr>
        <w:t>Segunbahi</w:t>
      </w:r>
      <w:proofErr w:type="spellEnd"/>
      <w:r>
        <w:rPr>
          <w:rFonts w:ascii="Arial" w:hAnsi="Arial" w:cs="Arial"/>
        </w:rPr>
        <w:t xml:space="preserve"> RF with a decrease of 55 ha (-23%), </w:t>
      </w:r>
      <w:proofErr w:type="spellStart"/>
      <w:r>
        <w:rPr>
          <w:rFonts w:ascii="Arial" w:hAnsi="Arial" w:cs="Arial"/>
        </w:rPr>
        <w:t>Bagulamari</w:t>
      </w:r>
      <w:proofErr w:type="spellEnd"/>
      <w:r>
        <w:rPr>
          <w:rFonts w:ascii="Arial" w:hAnsi="Arial" w:cs="Arial"/>
        </w:rPr>
        <w:t xml:space="preserve"> PRF losing 145 ha (-11%), and </w:t>
      </w:r>
      <w:proofErr w:type="spellStart"/>
      <w:r>
        <w:rPr>
          <w:rFonts w:ascii="Arial" w:hAnsi="Arial" w:cs="Arial"/>
        </w:rPr>
        <w:t>Kumrikhutamari</w:t>
      </w:r>
      <w:proofErr w:type="spellEnd"/>
      <w:r>
        <w:rPr>
          <w:rFonts w:ascii="Arial" w:hAnsi="Arial" w:cs="Arial"/>
        </w:rPr>
        <w:t xml:space="preserve"> PRF down by 58 ha (-9.5%), there are also instances of forest area gains in other NFAs. Notably, </w:t>
      </w:r>
      <w:proofErr w:type="spellStart"/>
      <w:r>
        <w:rPr>
          <w:rFonts w:ascii="Arial" w:hAnsi="Arial" w:cs="Arial"/>
        </w:rPr>
        <w:t>Dewlee</w:t>
      </w:r>
      <w:proofErr w:type="spellEnd"/>
      <w:r>
        <w:rPr>
          <w:rFonts w:ascii="Arial" w:hAnsi="Arial" w:cs="Arial"/>
        </w:rPr>
        <w:t xml:space="preserve"> PRF has increased by 4.6 ha (17.9%), </w:t>
      </w:r>
      <w:proofErr w:type="spellStart"/>
      <w:r>
        <w:rPr>
          <w:rFonts w:ascii="Arial" w:hAnsi="Arial" w:cs="Arial"/>
        </w:rPr>
        <w:t>Rakhapa</w:t>
      </w:r>
      <w:proofErr w:type="spellEnd"/>
      <w:r>
        <w:rPr>
          <w:rFonts w:ascii="Arial" w:hAnsi="Arial" w:cs="Arial"/>
        </w:rPr>
        <w:t xml:space="preserve"> RF has gained 31.7 ha (+15.9%), </w:t>
      </w:r>
      <w:proofErr w:type="spellStart"/>
      <w:r>
        <w:rPr>
          <w:rFonts w:ascii="Arial" w:hAnsi="Arial" w:cs="Arial"/>
        </w:rPr>
        <w:t>Matia</w:t>
      </w:r>
      <w:proofErr w:type="spellEnd"/>
      <w:r>
        <w:rPr>
          <w:rFonts w:ascii="Arial" w:hAnsi="Arial" w:cs="Arial"/>
        </w:rPr>
        <w:t xml:space="preserve"> RF has expanded by 130.9 ha (+15.4%), and </w:t>
      </w:r>
      <w:proofErr w:type="spellStart"/>
      <w:r>
        <w:rPr>
          <w:rFonts w:ascii="Arial" w:hAnsi="Arial" w:cs="Arial"/>
        </w:rPr>
        <w:t>Rendu</w:t>
      </w:r>
      <w:proofErr w:type="spellEnd"/>
      <w:r>
        <w:rPr>
          <w:rFonts w:ascii="Arial" w:hAnsi="Arial" w:cs="Arial"/>
        </w:rPr>
        <w:t xml:space="preserve"> RF has grown by 27 ha (+14.4%).</w:t>
      </w:r>
    </w:p>
    <w:p w:rsidR="001A2247" w:rsidRDefault="00905E84">
      <w:pPr>
        <w:spacing w:line="480" w:lineRule="auto"/>
        <w:jc w:val="both"/>
        <w:rPr>
          <w:rFonts w:ascii="Arial" w:eastAsia="Times New Roman" w:hAnsi="Arial" w:cs="Arial"/>
          <w:color w:val="000000"/>
          <w:u w:val="single"/>
          <w:lang w:val="en-IN" w:eastAsia="en-IN"/>
        </w:rPr>
      </w:pPr>
      <w:r>
        <w:rPr>
          <w:rFonts w:ascii="Arial" w:eastAsia="Times New Roman" w:hAnsi="Arial" w:cs="Arial"/>
          <w:b/>
          <w:color w:val="000000"/>
          <w:u w:val="single"/>
          <w:lang w:val="en-IN" w:eastAsia="en-IN"/>
        </w:rPr>
        <w:t>Forest cover changes within NFA’s 2003-2013:</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Overall forest area in NFAs in the time interval has been observed to decrease by a total of 679.2 ha (-6.2%) as compared to the previous year (2003). The major losses of forest cover within forest area boundaries are </w:t>
      </w:r>
      <w:proofErr w:type="spellStart"/>
      <w:r>
        <w:rPr>
          <w:rFonts w:ascii="Arial" w:hAnsi="Arial" w:cs="Arial"/>
          <w:sz w:val="20"/>
          <w:szCs w:val="20"/>
        </w:rPr>
        <w:t>Deghdhowa</w:t>
      </w:r>
      <w:proofErr w:type="spellEnd"/>
      <w:r>
        <w:rPr>
          <w:rFonts w:ascii="Arial" w:hAnsi="Arial" w:cs="Arial"/>
          <w:sz w:val="20"/>
          <w:szCs w:val="20"/>
        </w:rPr>
        <w:t xml:space="preserve"> PRF 10.8 ha (-34.3%), </w:t>
      </w:r>
      <w:proofErr w:type="spellStart"/>
      <w:r>
        <w:rPr>
          <w:rFonts w:ascii="Arial" w:hAnsi="Arial" w:cs="Arial"/>
          <w:sz w:val="20"/>
          <w:szCs w:val="20"/>
        </w:rPr>
        <w:t>Ganbina</w:t>
      </w:r>
      <w:proofErr w:type="spellEnd"/>
      <w:r>
        <w:rPr>
          <w:rFonts w:ascii="Arial" w:hAnsi="Arial" w:cs="Arial"/>
          <w:sz w:val="20"/>
          <w:szCs w:val="20"/>
        </w:rPr>
        <w:t xml:space="preserve"> RF 41 ha (32.1%), </w:t>
      </w:r>
      <w:proofErr w:type="spellStart"/>
      <w:r>
        <w:rPr>
          <w:rFonts w:ascii="Arial" w:hAnsi="Arial" w:cs="Arial"/>
          <w:sz w:val="20"/>
          <w:szCs w:val="20"/>
        </w:rPr>
        <w:t>Dewlee</w:t>
      </w:r>
      <w:proofErr w:type="spellEnd"/>
      <w:r>
        <w:rPr>
          <w:rFonts w:ascii="Arial" w:hAnsi="Arial" w:cs="Arial"/>
          <w:sz w:val="20"/>
          <w:szCs w:val="20"/>
        </w:rPr>
        <w:t xml:space="preserve"> RF 39 ha (-16%), and </w:t>
      </w:r>
      <w:proofErr w:type="spellStart"/>
      <w:r>
        <w:rPr>
          <w:rFonts w:ascii="Arial" w:hAnsi="Arial" w:cs="Arial"/>
          <w:sz w:val="20"/>
          <w:szCs w:val="20"/>
        </w:rPr>
        <w:t>Bugulamari</w:t>
      </w:r>
      <w:proofErr w:type="spellEnd"/>
      <w:r>
        <w:rPr>
          <w:rFonts w:ascii="Arial" w:hAnsi="Arial" w:cs="Arial"/>
          <w:sz w:val="20"/>
          <w:szCs w:val="20"/>
        </w:rPr>
        <w:t xml:space="preserve"> PRF 143.4 ha (-11%), respectively, while forest cover gains are found only in </w:t>
      </w:r>
      <w:proofErr w:type="spellStart"/>
      <w:r>
        <w:rPr>
          <w:rFonts w:ascii="Arial" w:hAnsi="Arial" w:cs="Arial"/>
          <w:sz w:val="20"/>
          <w:szCs w:val="20"/>
        </w:rPr>
        <w:t>Rendu</w:t>
      </w:r>
      <w:proofErr w:type="spellEnd"/>
      <w:r>
        <w:rPr>
          <w:rFonts w:ascii="Arial" w:hAnsi="Arial" w:cs="Arial"/>
          <w:sz w:val="20"/>
          <w:szCs w:val="20"/>
        </w:rPr>
        <w:t xml:space="preserve"> RF 38.2 ha (+20.4%), </w:t>
      </w:r>
      <w:proofErr w:type="spellStart"/>
      <w:r>
        <w:rPr>
          <w:rFonts w:ascii="Arial" w:hAnsi="Arial" w:cs="Arial"/>
          <w:sz w:val="20"/>
          <w:szCs w:val="20"/>
        </w:rPr>
        <w:t>Segunbhahi</w:t>
      </w:r>
      <w:proofErr w:type="spellEnd"/>
      <w:r>
        <w:rPr>
          <w:rFonts w:ascii="Arial" w:hAnsi="Arial" w:cs="Arial"/>
          <w:sz w:val="20"/>
          <w:szCs w:val="20"/>
        </w:rPr>
        <w:t xml:space="preserve"> RF 9.6 ha (4%), and </w:t>
      </w:r>
      <w:proofErr w:type="spellStart"/>
      <w:r>
        <w:rPr>
          <w:rFonts w:ascii="Arial" w:hAnsi="Arial" w:cs="Arial"/>
          <w:sz w:val="20"/>
          <w:szCs w:val="20"/>
        </w:rPr>
        <w:t>Nolonga</w:t>
      </w:r>
      <w:proofErr w:type="spellEnd"/>
      <w:r>
        <w:rPr>
          <w:rFonts w:ascii="Arial" w:hAnsi="Arial" w:cs="Arial"/>
          <w:sz w:val="20"/>
          <w:szCs w:val="20"/>
        </w:rPr>
        <w:t xml:space="preserve"> RF 37.2 ha (3.5%).</w:t>
      </w:r>
    </w:p>
    <w:p w:rsidR="001A2247" w:rsidRDefault="00905E84">
      <w:pPr>
        <w:spacing w:line="480" w:lineRule="auto"/>
        <w:jc w:val="both"/>
        <w:rPr>
          <w:rFonts w:ascii="Arial" w:eastAsia="Times New Roman" w:hAnsi="Arial" w:cs="Arial"/>
          <w:b/>
          <w:color w:val="000000"/>
          <w:u w:val="single"/>
          <w:lang w:val="en-IN" w:eastAsia="en-IN"/>
        </w:rPr>
      </w:pPr>
      <w:r>
        <w:rPr>
          <w:rFonts w:ascii="Arial" w:eastAsia="Times New Roman" w:hAnsi="Arial" w:cs="Arial"/>
          <w:b/>
          <w:color w:val="000000"/>
          <w:u w:val="single"/>
          <w:lang w:val="en-IN" w:eastAsia="en-IN"/>
        </w:rPr>
        <w:t>Forest cover changes within NFA’s 2013-2023:</w:t>
      </w:r>
    </w:p>
    <w:p w:rsidR="001A2247" w:rsidRDefault="00905E84">
      <w:pPr>
        <w:spacing w:line="480" w:lineRule="auto"/>
        <w:ind w:firstLine="720"/>
        <w:jc w:val="both"/>
        <w:rPr>
          <w:rFonts w:ascii="Arial" w:eastAsia="Times New Roman" w:hAnsi="Arial" w:cs="Arial"/>
          <w:lang w:val="en-IN" w:eastAsia="en-IN"/>
        </w:rPr>
      </w:pPr>
      <w:r>
        <w:rPr>
          <w:rFonts w:ascii="Arial" w:eastAsia="Times New Roman" w:hAnsi="Arial" w:cs="Arial"/>
          <w:lang w:val="en-IN" w:eastAsia="en-IN"/>
        </w:rPr>
        <w:t xml:space="preserve">During this time period, it is evident that the forest area has decreased by 80 hectares, representing a decline of 3.4% compared to previous years. Significant alterations in forest area have been observed in </w:t>
      </w:r>
      <w:proofErr w:type="spellStart"/>
      <w:r>
        <w:rPr>
          <w:rFonts w:ascii="Arial" w:eastAsia="Times New Roman" w:hAnsi="Arial" w:cs="Arial"/>
          <w:lang w:val="en-IN" w:eastAsia="en-IN"/>
        </w:rPr>
        <w:t>Rendu</w:t>
      </w:r>
      <w:proofErr w:type="spellEnd"/>
      <w:r>
        <w:rPr>
          <w:rFonts w:ascii="Arial" w:eastAsia="Times New Roman" w:hAnsi="Arial" w:cs="Arial"/>
          <w:lang w:val="en-IN" w:eastAsia="en-IN"/>
        </w:rPr>
        <w:t xml:space="preserve"> RF 35ha (-18.9%), </w:t>
      </w:r>
      <w:proofErr w:type="spellStart"/>
      <w:r>
        <w:rPr>
          <w:rFonts w:ascii="Arial" w:eastAsia="Times New Roman" w:hAnsi="Arial" w:cs="Arial"/>
          <w:lang w:val="en-IN" w:eastAsia="en-IN"/>
        </w:rPr>
        <w:t>Kharmuza</w:t>
      </w:r>
      <w:proofErr w:type="spellEnd"/>
      <w:r>
        <w:rPr>
          <w:rFonts w:ascii="Arial" w:eastAsia="Times New Roman" w:hAnsi="Arial" w:cs="Arial"/>
          <w:lang w:val="en-IN" w:eastAsia="en-IN"/>
        </w:rPr>
        <w:t xml:space="preserve"> PRF 2ha (-12%), Additional </w:t>
      </w:r>
      <w:proofErr w:type="spellStart"/>
      <w:r>
        <w:rPr>
          <w:rFonts w:ascii="Arial" w:eastAsia="Times New Roman" w:hAnsi="Arial" w:cs="Arial"/>
          <w:lang w:val="en-IN" w:eastAsia="en-IN"/>
        </w:rPr>
        <w:t>Matia</w:t>
      </w:r>
      <w:proofErr w:type="spellEnd"/>
      <w:r>
        <w:rPr>
          <w:rFonts w:ascii="Arial" w:eastAsia="Times New Roman" w:hAnsi="Arial" w:cs="Arial"/>
          <w:lang w:val="en-IN" w:eastAsia="en-IN"/>
        </w:rPr>
        <w:t xml:space="preserve"> 3.7ha (-13.3%), and </w:t>
      </w:r>
      <w:proofErr w:type="spellStart"/>
      <w:r>
        <w:rPr>
          <w:rFonts w:ascii="Arial" w:eastAsia="Times New Roman" w:hAnsi="Arial" w:cs="Arial"/>
          <w:lang w:val="en-IN" w:eastAsia="en-IN"/>
        </w:rPr>
        <w:t>Buglamari</w:t>
      </w:r>
      <w:proofErr w:type="spellEnd"/>
      <w:r>
        <w:rPr>
          <w:rFonts w:ascii="Arial" w:eastAsia="Times New Roman" w:hAnsi="Arial" w:cs="Arial"/>
          <w:lang w:val="en-IN" w:eastAsia="en-IN"/>
        </w:rPr>
        <w:t xml:space="preserve"> PRF 126 ha (-10.4%). Conversely, forest area increases have been noted in </w:t>
      </w:r>
      <w:proofErr w:type="spellStart"/>
      <w:r>
        <w:rPr>
          <w:rFonts w:ascii="Arial" w:eastAsia="Times New Roman" w:hAnsi="Arial" w:cs="Arial"/>
          <w:lang w:val="en-IN" w:eastAsia="en-IN"/>
        </w:rPr>
        <w:t>Deghdhowa</w:t>
      </w:r>
      <w:proofErr w:type="spellEnd"/>
      <w:r>
        <w:rPr>
          <w:rFonts w:ascii="Arial" w:eastAsia="Times New Roman" w:hAnsi="Arial" w:cs="Arial"/>
          <w:lang w:val="en-IN" w:eastAsia="en-IN"/>
        </w:rPr>
        <w:t xml:space="preserve"> PRF 6.1ha (19.4%), </w:t>
      </w:r>
      <w:proofErr w:type="spellStart"/>
      <w:r>
        <w:rPr>
          <w:rFonts w:ascii="Arial" w:eastAsia="Times New Roman" w:hAnsi="Arial" w:cs="Arial"/>
          <w:lang w:val="en-IN" w:eastAsia="en-IN"/>
        </w:rPr>
        <w:t>Delwee</w:t>
      </w:r>
      <w:proofErr w:type="spellEnd"/>
      <w:r>
        <w:rPr>
          <w:rFonts w:ascii="Arial" w:eastAsia="Times New Roman" w:hAnsi="Arial" w:cs="Arial"/>
          <w:lang w:val="en-IN" w:eastAsia="en-IN"/>
        </w:rPr>
        <w:t xml:space="preserve"> 31ha (13%), and </w:t>
      </w:r>
      <w:proofErr w:type="spellStart"/>
      <w:r>
        <w:rPr>
          <w:rFonts w:ascii="Arial" w:eastAsia="Times New Roman" w:hAnsi="Arial" w:cs="Arial"/>
          <w:lang w:val="en-IN" w:eastAsia="en-IN"/>
        </w:rPr>
        <w:t>Kumrikhutamari</w:t>
      </w:r>
      <w:proofErr w:type="spellEnd"/>
      <w:r>
        <w:rPr>
          <w:rFonts w:ascii="Arial" w:eastAsia="Times New Roman" w:hAnsi="Arial" w:cs="Arial"/>
          <w:lang w:val="en-IN" w:eastAsia="en-IN"/>
        </w:rPr>
        <w:t xml:space="preserve"> PRF 65.6 ha (+10.7%).</w:t>
      </w:r>
    </w:p>
    <w:p w:rsidR="001A2247" w:rsidRDefault="00905E84">
      <w:pPr>
        <w:spacing w:line="480" w:lineRule="auto"/>
        <w:ind w:firstLine="720"/>
        <w:jc w:val="both"/>
        <w:rPr>
          <w:rFonts w:ascii="Arial" w:eastAsia="Times New Roman" w:hAnsi="Arial" w:cs="Arial"/>
          <w:color w:val="000000"/>
          <w:lang w:val="en-IN" w:eastAsia="en-IN"/>
        </w:rPr>
      </w:pPr>
      <w:r>
        <w:rPr>
          <w:rFonts w:ascii="Arial" w:eastAsia="Times New Roman" w:hAnsi="Arial" w:cs="Arial"/>
          <w:color w:val="000000"/>
          <w:lang w:val="en-IN" w:eastAsia="en-IN"/>
        </w:rPr>
        <w:t xml:space="preserve"> </w:t>
      </w:r>
    </w:p>
    <w:p w:rsidR="001A2247" w:rsidRDefault="00905E84">
      <w:pPr>
        <w:spacing w:line="480" w:lineRule="auto"/>
        <w:jc w:val="both"/>
        <w:rPr>
          <w:rFonts w:ascii="Arial" w:eastAsia="Times New Roman" w:hAnsi="Arial" w:cs="Arial"/>
          <w:b/>
          <w:color w:val="000000"/>
          <w:u w:val="single"/>
          <w:lang w:val="en-IN" w:eastAsia="en-IN"/>
        </w:rPr>
      </w:pPr>
      <w:r>
        <w:rPr>
          <w:rFonts w:ascii="Arial" w:eastAsia="Times New Roman" w:hAnsi="Arial" w:cs="Arial"/>
          <w:b/>
          <w:color w:val="000000"/>
          <w:u w:val="single"/>
          <w:lang w:val="en-IN" w:eastAsia="en-IN"/>
        </w:rPr>
        <w:t>Forest cover changes within NFAs 2023-2033(Predictive):</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predictive mapping for the year 2033 indicates that forest area will decrease by up to 4973.1 ha (53%), reflecting a loss of 974.1 ha (-6.3%) compared to 2023. Within the NFA’s </w:t>
      </w:r>
      <w:proofErr w:type="spellStart"/>
      <w:r>
        <w:rPr>
          <w:rFonts w:ascii="Arial" w:hAnsi="Arial" w:cs="Arial"/>
          <w:sz w:val="20"/>
          <w:szCs w:val="20"/>
        </w:rPr>
        <w:t>Rendu</w:t>
      </w:r>
      <w:proofErr w:type="spellEnd"/>
      <w:r>
        <w:rPr>
          <w:rFonts w:ascii="Arial" w:hAnsi="Arial" w:cs="Arial"/>
          <w:sz w:val="20"/>
          <w:szCs w:val="20"/>
        </w:rPr>
        <w:t xml:space="preserve"> RF, there is a significant decrease of 20.8% over an area of 39.1 ha, while </w:t>
      </w:r>
      <w:proofErr w:type="spellStart"/>
      <w:r>
        <w:rPr>
          <w:rFonts w:ascii="Arial" w:hAnsi="Arial" w:cs="Arial"/>
          <w:sz w:val="20"/>
          <w:szCs w:val="20"/>
        </w:rPr>
        <w:t>Dewlee</w:t>
      </w:r>
      <w:proofErr w:type="spellEnd"/>
      <w:r>
        <w:rPr>
          <w:rFonts w:ascii="Arial" w:hAnsi="Arial" w:cs="Arial"/>
          <w:sz w:val="20"/>
          <w:szCs w:val="20"/>
        </w:rPr>
        <w:t xml:space="preserve"> RF has seen a reduction of 20.1% across 49 ha. </w:t>
      </w:r>
      <w:proofErr w:type="spellStart"/>
      <w:r>
        <w:rPr>
          <w:rFonts w:ascii="Arial" w:hAnsi="Arial" w:cs="Arial"/>
          <w:sz w:val="20"/>
          <w:szCs w:val="20"/>
        </w:rPr>
        <w:t>Segunbahi</w:t>
      </w:r>
      <w:proofErr w:type="spellEnd"/>
      <w:r>
        <w:rPr>
          <w:rFonts w:ascii="Arial" w:hAnsi="Arial" w:cs="Arial"/>
          <w:sz w:val="20"/>
          <w:szCs w:val="20"/>
        </w:rPr>
        <w:t xml:space="preserve"> RF follows with a decline of 20% over </w:t>
      </w:r>
      <w:r>
        <w:rPr>
          <w:rFonts w:ascii="Arial" w:hAnsi="Arial" w:cs="Arial"/>
          <w:sz w:val="20"/>
          <w:szCs w:val="20"/>
        </w:rPr>
        <w:lastRenderedPageBreak/>
        <w:t xml:space="preserve">48.2 ha. In contrast, Additional </w:t>
      </w:r>
      <w:proofErr w:type="spellStart"/>
      <w:r>
        <w:rPr>
          <w:rFonts w:ascii="Arial" w:hAnsi="Arial" w:cs="Arial"/>
          <w:sz w:val="20"/>
          <w:szCs w:val="20"/>
        </w:rPr>
        <w:t>Matia</w:t>
      </w:r>
      <w:proofErr w:type="spellEnd"/>
      <w:r>
        <w:rPr>
          <w:rFonts w:ascii="Arial" w:hAnsi="Arial" w:cs="Arial"/>
          <w:sz w:val="20"/>
          <w:szCs w:val="20"/>
        </w:rPr>
        <w:t xml:space="preserve"> has experienced an increase of 3.8 ha, representing a growth of 13.7%, which is the only area showing a positive change of 3.8 ha (+13.7%). </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assessment indicates a decline in forest cover area over the past three decades, resulting in a total loss of -1299.41 ha (-12.97%). The most significant amount of forest decline was observed between 2003 and 2013, with a rate of -6.2%. This trend is projected to persist, with an anticipated decline of -6.3% per decade through 2033. It has been observed that among the NFAs, six have already lost more than 50% of their forest cover since 1993, while seven others have experienced a loss of 30-50% in forest cover, and ten NFAs have lost less than 30% of their forest cover. The rate of forest cover loss in the </w:t>
      </w:r>
      <w:proofErr w:type="spellStart"/>
      <w:r>
        <w:rPr>
          <w:rFonts w:ascii="Arial" w:hAnsi="Arial" w:cs="Arial"/>
          <w:sz w:val="20"/>
          <w:szCs w:val="20"/>
        </w:rPr>
        <w:t>Goalpara</w:t>
      </w:r>
      <w:proofErr w:type="spellEnd"/>
      <w:r>
        <w:rPr>
          <w:rFonts w:ascii="Arial" w:hAnsi="Arial" w:cs="Arial"/>
          <w:sz w:val="20"/>
          <w:szCs w:val="20"/>
        </w:rPr>
        <w:t xml:space="preserve"> forest range exhibits spatial variation based on location. This is attributed to changes in land use and land cover patterns, which directly influence forest cover changes within specific forest boundaries, as illustrated in figure 7.</w:t>
      </w:r>
    </w:p>
    <w:p w:rsidR="001A2247" w:rsidRDefault="00905E84">
      <w:pPr>
        <w:pStyle w:val="Caption"/>
        <w:keepNext/>
      </w:pPr>
      <w:r>
        <w:rPr>
          <w:b/>
          <w:bCs/>
        </w:rPr>
        <w:t xml:space="preserve">Table 3: </w:t>
      </w:r>
      <w:r>
        <w:t xml:space="preserve">Forest cover change area in specific NFA’s area under </w:t>
      </w:r>
      <w:proofErr w:type="spellStart"/>
      <w:r>
        <w:t>Goalpara</w:t>
      </w:r>
      <w:proofErr w:type="spellEnd"/>
      <w:r>
        <w:t xml:space="preserve"> forest range</w:t>
      </w:r>
    </w:p>
    <w:tbl>
      <w:tblPr>
        <w:tblW w:w="5078" w:type="pct"/>
        <w:tblLayout w:type="fixed"/>
        <w:tblLook w:val="04A0" w:firstRow="1" w:lastRow="0" w:firstColumn="1" w:lastColumn="0" w:noHBand="0" w:noVBand="1"/>
      </w:tblPr>
      <w:tblGrid>
        <w:gridCol w:w="1154"/>
        <w:gridCol w:w="749"/>
        <w:gridCol w:w="869"/>
        <w:gridCol w:w="565"/>
        <w:gridCol w:w="694"/>
        <w:gridCol w:w="568"/>
        <w:gridCol w:w="696"/>
        <w:gridCol w:w="559"/>
        <w:gridCol w:w="704"/>
        <w:gridCol w:w="558"/>
        <w:gridCol w:w="743"/>
        <w:gridCol w:w="566"/>
      </w:tblGrid>
      <w:tr w:rsidR="001A2247">
        <w:trPr>
          <w:trHeight w:val="273"/>
        </w:trPr>
        <w:tc>
          <w:tcPr>
            <w:tcW w:w="684" w:type="pct"/>
            <w:vMerge w:val="restart"/>
            <w:tcBorders>
              <w:top w:val="single" w:sz="4" w:space="0" w:color="auto"/>
              <w:left w:val="single" w:sz="4" w:space="0" w:color="auto"/>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Name of the RF/PRF's</w:t>
            </w:r>
          </w:p>
        </w:tc>
        <w:tc>
          <w:tcPr>
            <w:tcW w:w="444" w:type="pct"/>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Year</w:t>
            </w:r>
          </w:p>
        </w:tc>
        <w:tc>
          <w:tcPr>
            <w:tcW w:w="850" w:type="pct"/>
            <w:gridSpan w:val="2"/>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1993</w:t>
            </w:r>
          </w:p>
        </w:tc>
        <w:tc>
          <w:tcPr>
            <w:tcW w:w="748" w:type="pct"/>
            <w:gridSpan w:val="2"/>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2003</w:t>
            </w:r>
          </w:p>
        </w:tc>
        <w:tc>
          <w:tcPr>
            <w:tcW w:w="745" w:type="pct"/>
            <w:gridSpan w:val="2"/>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2013</w:t>
            </w:r>
          </w:p>
        </w:tc>
        <w:tc>
          <w:tcPr>
            <w:tcW w:w="749" w:type="pct"/>
            <w:gridSpan w:val="2"/>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2023</w:t>
            </w:r>
          </w:p>
        </w:tc>
        <w:tc>
          <w:tcPr>
            <w:tcW w:w="777" w:type="pct"/>
            <w:gridSpan w:val="2"/>
            <w:tcBorders>
              <w:top w:val="single" w:sz="4" w:space="0" w:color="auto"/>
              <w:left w:val="nil"/>
              <w:bottom w:val="single" w:sz="4" w:space="0" w:color="auto"/>
              <w:right w:val="single" w:sz="4" w:space="0" w:color="auto"/>
            </w:tcBorders>
            <w:noWrap/>
            <w:vAlign w:val="center"/>
          </w:tcPr>
          <w:p w:rsidR="001A2247" w:rsidRDefault="00905E84">
            <w:pPr>
              <w:spacing w:line="480" w:lineRule="auto"/>
              <w:jc w:val="cente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2033</w:t>
            </w:r>
          </w:p>
        </w:tc>
      </w:tr>
      <w:tr w:rsidR="001A2247">
        <w:trPr>
          <w:trHeight w:val="1048"/>
        </w:trPr>
        <w:tc>
          <w:tcPr>
            <w:tcW w:w="684" w:type="pct"/>
            <w:vMerge/>
            <w:tcBorders>
              <w:top w:val="single" w:sz="4" w:space="0" w:color="auto"/>
              <w:left w:val="single" w:sz="4" w:space="0" w:color="auto"/>
              <w:bottom w:val="single" w:sz="4" w:space="0" w:color="auto"/>
              <w:right w:val="single" w:sz="4" w:space="0" w:color="auto"/>
            </w:tcBorders>
            <w:vAlign w:val="center"/>
          </w:tcPr>
          <w:p w:rsidR="001A2247" w:rsidRDefault="001A2247">
            <w:pPr>
              <w:spacing w:line="480" w:lineRule="auto"/>
              <w:rPr>
                <w:rFonts w:ascii="Arial" w:eastAsia="Times New Roman" w:hAnsi="Arial" w:cs="Arial"/>
                <w:b/>
                <w:color w:val="000000"/>
                <w:sz w:val="16"/>
                <w:szCs w:val="16"/>
                <w:lang w:val="en-IN" w:eastAsia="en-IN"/>
              </w:rPr>
            </w:pP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Total Area</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Forest cover</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Forest cover</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Forest cover</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Forest cover</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Forest cover</w:t>
            </w:r>
          </w:p>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Addl_Matia</w:t>
            </w:r>
            <w:proofErr w:type="spellEnd"/>
            <w:r>
              <w:rPr>
                <w:rFonts w:ascii="Arial" w:eastAsia="Times New Roman" w:hAnsi="Arial" w:cs="Arial"/>
                <w:b/>
                <w:color w:val="000000"/>
                <w:sz w:val="16"/>
                <w:szCs w:val="16"/>
                <w:lang w:val="en-IN" w:eastAsia="en-IN"/>
              </w:rPr>
              <w:t xml:space="preserve">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27.7</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17.4</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62.6</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17.3</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62.4</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12.1</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43.5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10.4</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37.3</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14.2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51.1</w:t>
            </w:r>
          </w:p>
        </w:tc>
      </w:tr>
      <w:tr w:rsidR="001A2247">
        <w:trPr>
          <w:trHeight w:val="702"/>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Bagulamari</w:t>
            </w:r>
            <w:proofErr w:type="spellEnd"/>
            <w:r>
              <w:rPr>
                <w:rFonts w:ascii="Arial" w:eastAsia="Times New Roman" w:hAnsi="Arial" w:cs="Arial"/>
                <w:b/>
                <w:color w:val="000000"/>
                <w:sz w:val="16"/>
                <w:szCs w:val="16"/>
                <w:lang w:val="en-IN" w:eastAsia="en-IN"/>
              </w:rPr>
              <w:t xml:space="preserve"> PRF</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1220.8</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918.6</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75.2</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772.8</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63.3</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629.4</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51.6</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503.0</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41.2</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423.8</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34.7</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Darni</w:t>
            </w:r>
            <w:proofErr w:type="spellEnd"/>
            <w:r>
              <w:rPr>
                <w:rFonts w:ascii="Arial" w:eastAsia="Times New Roman" w:hAnsi="Arial" w:cs="Arial"/>
                <w:b/>
                <w:color w:val="000000"/>
                <w:sz w:val="16"/>
                <w:szCs w:val="16"/>
                <w:lang w:val="en-IN" w:eastAsia="en-IN"/>
              </w:rPr>
              <w:t xml:space="preserve"> PRF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199.7</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33.4</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16.7</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42.7</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21.4</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132.3</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66.2</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131.0</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65.6</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108.6</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themeColor="text1"/>
                <w:sz w:val="16"/>
                <w:szCs w:val="16"/>
                <w:lang w:val="en-IN" w:eastAsia="en-IN"/>
              </w:rPr>
              <w:t>54.4</w:t>
            </w:r>
          </w:p>
        </w:tc>
      </w:tr>
      <w:tr w:rsidR="001A2247">
        <w:trPr>
          <w:trHeight w:val="702"/>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Deghdhowa</w:t>
            </w:r>
            <w:proofErr w:type="spellEnd"/>
            <w:r>
              <w:rPr>
                <w:rFonts w:ascii="Arial" w:eastAsia="Times New Roman" w:hAnsi="Arial" w:cs="Arial"/>
                <w:b/>
                <w:color w:val="000000"/>
                <w:sz w:val="16"/>
                <w:szCs w:val="16"/>
                <w:lang w:val="en-IN" w:eastAsia="en-IN"/>
              </w:rPr>
              <w:t xml:space="preserve"> PRF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31.4</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19.0</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60.5</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18.1</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57.7</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7.4</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23.4</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13.4</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42.8</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12.9</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41.1</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Dewlee</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245.0</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220.3</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89.9</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233.7</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95.4</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194.0</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79.2</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225.9</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92.2</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176.6</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72.1</w:t>
            </w:r>
          </w:p>
        </w:tc>
      </w:tr>
      <w:tr w:rsidR="001A2247">
        <w:trPr>
          <w:trHeight w:val="14"/>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Dewlee_addn</w:t>
            </w:r>
            <w:proofErr w:type="spellEnd"/>
            <w:r>
              <w:rPr>
                <w:rFonts w:ascii="Arial" w:eastAsia="Times New Roman" w:hAnsi="Arial" w:cs="Arial"/>
                <w:b/>
                <w:color w:val="000000"/>
                <w:sz w:val="16"/>
                <w:szCs w:val="16"/>
                <w:lang w:val="en-IN" w:eastAsia="en-IN"/>
              </w:rPr>
              <w:t xml:space="preserve"> PRF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25.6</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16.2</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63.4</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20.8</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81.2</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18.8</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73.2</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18.2</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71.1</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51.5</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Dohikata</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1362.5</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1053.6</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77.3</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972.3</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71.4</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838.2</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61.5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830.9</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61.0</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683.5</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50.2</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 xml:space="preserve">Dwarka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185.4</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138.9</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74.9</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160.0</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86.3</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141.7</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76.4</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151.4</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81.7</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150.0</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80.9</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Ganbina</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128.3</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115.3</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89.9</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122.7</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95.6</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81.5</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63.5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91.9</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71.6</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74.9</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58.4</w:t>
            </w:r>
          </w:p>
        </w:tc>
      </w:tr>
      <w:tr w:rsidR="001A2247">
        <w:trPr>
          <w:trHeight w:val="14"/>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Kharmauza</w:t>
            </w:r>
            <w:proofErr w:type="spellEnd"/>
            <w:r>
              <w:rPr>
                <w:rFonts w:ascii="Arial" w:eastAsia="Times New Roman" w:hAnsi="Arial" w:cs="Arial"/>
                <w:b/>
                <w:color w:val="000000"/>
                <w:sz w:val="16"/>
                <w:szCs w:val="16"/>
                <w:lang w:val="en-IN" w:eastAsia="en-IN"/>
              </w:rPr>
              <w:t xml:space="preserve"> PRF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16.8</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5.5</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33.0</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37.0</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5.3</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19.5</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11.0</w:t>
            </w:r>
          </w:p>
        </w:tc>
      </w:tr>
      <w:tr w:rsidR="001A2247">
        <w:trPr>
          <w:trHeight w:val="702"/>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lastRenderedPageBreak/>
              <w:t>Kumrikhutamari</w:t>
            </w:r>
            <w:proofErr w:type="spellEnd"/>
            <w:r>
              <w:rPr>
                <w:rFonts w:ascii="Arial" w:eastAsia="Times New Roman" w:hAnsi="Arial" w:cs="Arial"/>
                <w:b/>
                <w:color w:val="000000"/>
                <w:sz w:val="16"/>
                <w:szCs w:val="16"/>
                <w:lang w:val="en-IN" w:eastAsia="en-IN"/>
              </w:rPr>
              <w:t xml:space="preserve"> PRF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611.4</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508.7</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83.2</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450.5</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73.7</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363.8</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429.4</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70.2</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362.4</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59.3</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Matia</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850.1</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439.5</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51.7</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570.4</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67.1</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479.7</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56.4</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515.7</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60.7</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431.4</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50.8</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Nolonga</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1055.9</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918.7</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87.0</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899.0</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85.1</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936.1</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88.7</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960.4</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91.0</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801.2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75.9</w:t>
            </w:r>
          </w:p>
        </w:tc>
      </w:tr>
      <w:tr w:rsidR="001A2247">
        <w:trPr>
          <w:trHeight w:val="702"/>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Pancharatna</w:t>
            </w:r>
            <w:proofErr w:type="spellEnd"/>
            <w:r>
              <w:rPr>
                <w:rFonts w:ascii="Arial" w:eastAsia="Times New Roman" w:hAnsi="Arial" w:cs="Arial"/>
                <w:b/>
                <w:color w:val="000000"/>
                <w:sz w:val="16"/>
                <w:szCs w:val="16"/>
                <w:lang w:val="en-IN" w:eastAsia="en-IN"/>
              </w:rPr>
              <w:t xml:space="preserve"> RF</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838.8</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820.6</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97.8</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820.0</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97.8</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706.6</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84.2</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709.8</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84.6</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678.1</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80.8</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Rakhapa</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199.1</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136.5</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68.6</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168.2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84.5</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170.3</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85.5</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174.2</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87.5</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154.2</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77.5</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Rakshini</w:t>
            </w:r>
            <w:proofErr w:type="spellEnd"/>
            <w:r>
              <w:rPr>
                <w:rFonts w:ascii="Arial" w:eastAsia="Times New Roman" w:hAnsi="Arial" w:cs="Arial"/>
                <w:b/>
                <w:color w:val="000000"/>
                <w:sz w:val="16"/>
                <w:szCs w:val="16"/>
                <w:lang w:val="en-IN" w:eastAsia="en-IN"/>
              </w:rPr>
              <w:t xml:space="preserve"> PRF</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2589.6</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1337.0</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51.6</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1198.7</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46.3</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1010.1</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39.0</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915.7</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35.4</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710.8</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27.4</w:t>
            </w:r>
          </w:p>
        </w:tc>
      </w:tr>
      <w:tr w:rsidR="001A2247">
        <w:trPr>
          <w:trHeight w:val="35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Rendu</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187.6</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62.8</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33.5</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89.8</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47.9</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128.0</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68.2</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92.5</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49.3</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53.5</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28.5</w:t>
            </w:r>
          </w:p>
        </w:tc>
      </w:tr>
      <w:tr w:rsidR="001A2247">
        <w:trPr>
          <w:trHeight w:val="702"/>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proofErr w:type="spellStart"/>
            <w:r>
              <w:rPr>
                <w:rFonts w:ascii="Arial" w:eastAsia="Times New Roman" w:hAnsi="Arial" w:cs="Arial"/>
                <w:b/>
                <w:color w:val="000000"/>
                <w:sz w:val="16"/>
                <w:szCs w:val="16"/>
                <w:lang w:val="en-IN" w:eastAsia="en-IN"/>
              </w:rPr>
              <w:t>Segunbahi</w:t>
            </w:r>
            <w:proofErr w:type="spellEnd"/>
            <w:r>
              <w:rPr>
                <w:rFonts w:ascii="Arial" w:eastAsia="Times New Roman" w:hAnsi="Arial" w:cs="Arial"/>
                <w:b/>
                <w:color w:val="000000"/>
                <w:sz w:val="16"/>
                <w:szCs w:val="16"/>
                <w:lang w:val="en-IN" w:eastAsia="en-IN"/>
              </w:rPr>
              <w:t xml:space="preserve"> RF </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241.3</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216.4</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89.7</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160.9</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66.7</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170.5</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70.7</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170.2</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70.5</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122.0</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50.6</w:t>
            </w:r>
          </w:p>
        </w:tc>
      </w:tr>
      <w:tr w:rsidR="001A2247">
        <w:trPr>
          <w:trHeight w:val="365"/>
        </w:trPr>
        <w:tc>
          <w:tcPr>
            <w:tcW w:w="684" w:type="pct"/>
            <w:tcBorders>
              <w:top w:val="nil"/>
              <w:left w:val="single" w:sz="4" w:space="0" w:color="auto"/>
              <w:bottom w:val="single" w:sz="4" w:space="0" w:color="auto"/>
              <w:right w:val="single" w:sz="4" w:space="0" w:color="auto"/>
            </w:tcBorders>
            <w:noWrap/>
            <w:vAlign w:val="center"/>
          </w:tcPr>
          <w:p w:rsidR="001A2247" w:rsidRDefault="00905E84">
            <w:pPr>
              <w:spacing w:line="480" w:lineRule="auto"/>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Total Area</w:t>
            </w:r>
          </w:p>
        </w:tc>
        <w:tc>
          <w:tcPr>
            <w:tcW w:w="44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10017</w:t>
            </w:r>
          </w:p>
        </w:tc>
        <w:tc>
          <w:tcPr>
            <w:tcW w:w="515"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6978.4</w:t>
            </w:r>
          </w:p>
        </w:tc>
        <w:tc>
          <w:tcPr>
            <w:tcW w:w="334"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67.0</w:t>
            </w:r>
          </w:p>
        </w:tc>
        <w:tc>
          <w:tcPr>
            <w:tcW w:w="41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6706</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68.9</w:t>
            </w:r>
          </w:p>
        </w:tc>
        <w:tc>
          <w:tcPr>
            <w:tcW w:w="413"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6025.6</w:t>
            </w:r>
          </w:p>
        </w:tc>
        <w:tc>
          <w:tcPr>
            <w:tcW w:w="332"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62.4</w:t>
            </w:r>
          </w:p>
        </w:tc>
        <w:tc>
          <w:tcPr>
            <w:tcW w:w="418"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5965.3</w:t>
            </w:r>
          </w:p>
        </w:tc>
        <w:tc>
          <w:tcPr>
            <w:tcW w:w="330"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59.4</w:t>
            </w:r>
          </w:p>
        </w:tc>
        <w:tc>
          <w:tcPr>
            <w:tcW w:w="441"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4973.1</w:t>
            </w:r>
          </w:p>
        </w:tc>
        <w:tc>
          <w:tcPr>
            <w:tcW w:w="336" w:type="pct"/>
            <w:tcBorders>
              <w:top w:val="nil"/>
              <w:left w:val="nil"/>
              <w:bottom w:val="single" w:sz="4" w:space="0" w:color="auto"/>
              <w:right w:val="single" w:sz="4" w:space="0" w:color="auto"/>
            </w:tcBorders>
            <w:noWrap/>
            <w:vAlign w:val="center"/>
          </w:tcPr>
          <w:p w:rsidR="001A2247" w:rsidRDefault="00905E84">
            <w:pPr>
              <w:spacing w:line="480" w:lineRule="auto"/>
              <w:jc w:val="right"/>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53.1</w:t>
            </w:r>
          </w:p>
        </w:tc>
      </w:tr>
    </w:tbl>
    <w:p w:rsidR="001A2247" w:rsidRDefault="001A2247">
      <w:pPr>
        <w:spacing w:line="480" w:lineRule="auto"/>
        <w:jc w:val="both"/>
        <w:rPr>
          <w:rFonts w:ascii="Arial" w:hAnsi="Arial" w:cs="Arial"/>
          <w:b/>
          <w:sz w:val="22"/>
          <w:szCs w:val="22"/>
        </w:rPr>
      </w:pPr>
    </w:p>
    <w:p w:rsidR="001A2247" w:rsidRDefault="00905E84">
      <w:pPr>
        <w:spacing w:line="480" w:lineRule="auto"/>
        <w:jc w:val="both"/>
        <w:rPr>
          <w:rFonts w:ascii="Arial" w:hAnsi="Arial" w:cs="Arial"/>
          <w:b/>
          <w:sz w:val="22"/>
          <w:szCs w:val="22"/>
        </w:rPr>
      </w:pPr>
      <w:r>
        <w:rPr>
          <w:rFonts w:ascii="Arial" w:hAnsi="Arial" w:cs="Arial"/>
          <w:b/>
          <w:sz w:val="22"/>
          <w:szCs w:val="22"/>
        </w:rPr>
        <w:t>4.2 LULC change analysis:</w:t>
      </w:r>
    </w:p>
    <w:p w:rsidR="001A2247" w:rsidRDefault="00905E84">
      <w:pPr>
        <w:spacing w:line="480" w:lineRule="auto"/>
        <w:jc w:val="both"/>
        <w:rPr>
          <w:rFonts w:ascii="Arial" w:hAnsi="Arial" w:cs="Arial"/>
          <w:b/>
        </w:rPr>
      </w:pPr>
      <w:r>
        <w:rPr>
          <w:rFonts w:ascii="Arial" w:hAnsi="Arial" w:cs="Arial"/>
        </w:rPr>
        <w:tab/>
      </w:r>
      <w:r>
        <w:rPr>
          <w:rFonts w:ascii="Arial" w:hAnsi="Arial" w:cs="Arial"/>
          <w:b/>
          <w:u w:val="single"/>
        </w:rPr>
        <w:t>4.2.1 LULC change trend analysis within NFAs</w:t>
      </w:r>
      <w:r>
        <w:rPr>
          <w:rFonts w:ascii="Arial" w:hAnsi="Arial" w:cs="Arial"/>
          <w:b/>
        </w:rPr>
        <w:t>:</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patterns of land use and land cover significantly influence the transformation of forested areas. The </w:t>
      </w:r>
      <w:proofErr w:type="spellStart"/>
      <w:r>
        <w:rPr>
          <w:rFonts w:ascii="Arial" w:hAnsi="Arial" w:cs="Arial"/>
          <w:sz w:val="20"/>
          <w:szCs w:val="20"/>
        </w:rPr>
        <w:t>Goalpara</w:t>
      </w:r>
      <w:proofErr w:type="spellEnd"/>
      <w:r>
        <w:rPr>
          <w:rFonts w:ascii="Arial" w:hAnsi="Arial" w:cs="Arial"/>
          <w:sz w:val="20"/>
          <w:szCs w:val="20"/>
        </w:rPr>
        <w:t xml:space="preserve"> district exhibits a highly dynamic pattern of land use and land cover change over time, influenced by demographic shifts and the expansion of urban areas. The dynamic changes in land use and land cover within forested areas have resulted in forest degradation, as illustrated in figures 6-7 and table 4. Various land use and land cover types have been identified in the NFAs areas, with the primary cause of forest cover loss being the expansion of built-up areas. In the LULC category, agricultural plantation, dense forest, moderate forest, and open forest are classified as forest land, whereas BL, BU, LL, WB, and CL are categorized as non-forest land. The forest categories are highly dynamic, as illustrated in Figure 6 and Table 4. The analysis of LULC change over time in the study area is presented as follows:</w:t>
      </w:r>
    </w:p>
    <w:p w:rsidR="001A2247" w:rsidRDefault="00905E84">
      <w:pPr>
        <w:spacing w:line="480" w:lineRule="auto"/>
        <w:rPr>
          <w:rFonts w:ascii="Arial" w:hAnsi="Arial" w:cs="Arial"/>
          <w:b/>
          <w:u w:val="single"/>
        </w:rPr>
      </w:pPr>
      <w:r>
        <w:rPr>
          <w:rFonts w:ascii="Arial" w:hAnsi="Arial" w:cs="Arial"/>
          <w:b/>
          <w:u w:val="single"/>
        </w:rPr>
        <w:t>Changes of LULC during 1993-2003:</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During this time, important changes in land use and land cover patterns were distinctly categorized into forest types (i.e., DF, MF, OF, and AP) and non-forest types (i.e., BU, LL, WB, </w:t>
      </w:r>
      <w:r>
        <w:rPr>
          <w:rFonts w:ascii="Arial" w:hAnsi="Arial" w:cs="Arial"/>
          <w:sz w:val="20"/>
          <w:szCs w:val="20"/>
        </w:rPr>
        <w:lastRenderedPageBreak/>
        <w:t>CL, and BL). Significant increases have been observed in the areas of DF at 325.7 ha (3.3%), BU at 609.3 ha (6.1%), and BL at 316.3 ha (3.2%). Conversely, there have been decreases in the classes of CL at 524 ha (-5.2%), OF at 215.3 ha (-2.1%), LL at 256.7 ha (-2.6%), and AP at 211.4 ha (-2.1%).</w:t>
      </w:r>
    </w:p>
    <w:p w:rsidR="001A2247" w:rsidRDefault="00905E84">
      <w:pPr>
        <w:spacing w:line="480" w:lineRule="auto"/>
        <w:jc w:val="both"/>
        <w:rPr>
          <w:rFonts w:ascii="Arial" w:hAnsi="Arial" w:cs="Arial"/>
          <w:b/>
          <w:u w:val="single"/>
        </w:rPr>
      </w:pPr>
      <w:r>
        <w:rPr>
          <w:rFonts w:ascii="Arial" w:hAnsi="Arial" w:cs="Arial"/>
          <w:b/>
          <w:u w:val="single"/>
        </w:rPr>
        <w:t>Changes of LULC during 2003-2013:</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land use and land cover pattern </w:t>
      </w:r>
      <w:proofErr w:type="gramStart"/>
      <w:r>
        <w:rPr>
          <w:rFonts w:ascii="Arial" w:hAnsi="Arial" w:cs="Arial"/>
          <w:sz w:val="20"/>
          <w:szCs w:val="20"/>
        </w:rPr>
        <w:t>is</w:t>
      </w:r>
      <w:proofErr w:type="gramEnd"/>
      <w:r>
        <w:rPr>
          <w:rFonts w:ascii="Arial" w:hAnsi="Arial" w:cs="Arial"/>
          <w:sz w:val="20"/>
          <w:szCs w:val="20"/>
        </w:rPr>
        <w:t xml:space="preserve"> distinctly categorized into forest types, including DF, MF, OF, and AP, as well as non-forest types, which comprise BU, LL, WB, CL, and BL. Significant increases have been identified in the following areas: OF 524.4 ha (3.3%), BU 889.6 ha (8.9%), AP 332.9 ha (3.3%), and CL 203.2 ha (2%). Conversely, decreases were observed in the classes of DF 1019.9 ha (-10.2%), BL 711.6 ha (-7.1%), MF 165.9 ha (-1.7%), OF 215.3 ha (-2.1%), and LL 256.7 ha (-2.6%).</w:t>
      </w:r>
    </w:p>
    <w:p w:rsidR="001A2247" w:rsidRDefault="00905E84">
      <w:pPr>
        <w:spacing w:line="480" w:lineRule="auto"/>
        <w:jc w:val="both"/>
        <w:rPr>
          <w:rFonts w:ascii="Arial" w:hAnsi="Arial" w:cs="Arial"/>
          <w:b/>
          <w:u w:val="single"/>
        </w:rPr>
      </w:pPr>
      <w:r>
        <w:rPr>
          <w:rFonts w:ascii="Arial" w:hAnsi="Arial" w:cs="Arial"/>
          <w:b/>
          <w:u w:val="single"/>
        </w:rPr>
        <w:t>Changes of LULC during 2013-2023:</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The land use and land cover pattern </w:t>
      </w:r>
      <w:proofErr w:type="gramStart"/>
      <w:r>
        <w:rPr>
          <w:rFonts w:ascii="Arial" w:hAnsi="Arial" w:cs="Arial"/>
          <w:sz w:val="20"/>
          <w:szCs w:val="20"/>
        </w:rPr>
        <w:t>is</w:t>
      </w:r>
      <w:proofErr w:type="gramEnd"/>
      <w:r>
        <w:rPr>
          <w:rFonts w:ascii="Arial" w:hAnsi="Arial" w:cs="Arial"/>
          <w:sz w:val="20"/>
          <w:szCs w:val="20"/>
        </w:rPr>
        <w:t xml:space="preserve"> distinctly categorized into forest types (including DF, MF, OF, and AP) and non-forest types (such as BU, LL, WB, CL, and BL). Significant increases have been observed in the following areas: OF 524.4 ha (3.3%), BU 478.9 ha (4.8%), MF 453.6 ha (4.5%), AP 336.7 ha (3.4%), LL 305.7 ha (3.1%), and CL 203.2 ha (2%). Conversely, decreases were noted in the classes of DF 482.6 ha (-4.8%), MF 453.6 ha (4.5%), and OF 804.6 ha (-8.0%).</w:t>
      </w:r>
    </w:p>
    <w:p w:rsidR="001A2247" w:rsidRDefault="00905E84">
      <w:pPr>
        <w:spacing w:line="480" w:lineRule="auto"/>
        <w:jc w:val="both"/>
        <w:rPr>
          <w:rFonts w:ascii="Arial" w:hAnsi="Arial" w:cs="Arial"/>
          <w:b/>
          <w:u w:val="single"/>
        </w:rPr>
      </w:pPr>
      <w:r>
        <w:rPr>
          <w:rFonts w:ascii="Arial" w:hAnsi="Arial" w:cs="Arial"/>
          <w:b/>
          <w:u w:val="single"/>
        </w:rPr>
        <w:t>Changes of LULC during 1993-2023:</w:t>
      </w:r>
    </w:p>
    <w:p w:rsidR="001A2247" w:rsidRDefault="00905E84">
      <w:pPr>
        <w:pStyle w:val="NormalWeb"/>
        <w:spacing w:line="480" w:lineRule="auto"/>
        <w:ind w:firstLine="720"/>
        <w:jc w:val="both"/>
        <w:rPr>
          <w:rFonts w:ascii="Arial" w:hAnsi="Arial" w:cs="Arial"/>
          <w:sz w:val="20"/>
          <w:szCs w:val="20"/>
          <w:lang w:val="en-IN" w:eastAsia="en-IN"/>
        </w:rPr>
      </w:pPr>
      <w:r>
        <w:rPr>
          <w:rFonts w:ascii="Arial" w:hAnsi="Arial" w:cs="Arial"/>
          <w:sz w:val="20"/>
          <w:szCs w:val="20"/>
        </w:rPr>
        <w:t xml:space="preserve">Throughout the extensive 30-year period from 1993 to 2023, the forest cover category exhibited a decline in OF by 806.2 ha (-5.0%) and in DF by 482.6 ha (-11.7%). Conversely, the AP experienced an increase of 336.7 ha (4.6%), while MF rose by 453.6 ha (2.4%). On the other hand, BU alone has experienced a constant increase in the non-forest category, expanding by 478.9 ha (19.7%). In contrast, other non-forest lands are exhibiting a decline, such as BL with a decrease of 4.9% and CL with a decrease of 5.4%, among others. The alterations in the forest category of land use and land cover classes indicate a significant decline in dense forest areas, typically located near the forest edge, primarily due to </w:t>
      </w:r>
      <w:r>
        <w:rPr>
          <w:rFonts w:ascii="Arial" w:hAnsi="Arial" w:cs="Arial"/>
          <w:sz w:val="20"/>
          <w:szCs w:val="20"/>
        </w:rPr>
        <w:lastRenderedPageBreak/>
        <w:t>encroachment by human settlements (Figure 6). It has also been observed that the core areas of NFA have been declining, while MF areas have seen a slight increase. This trend indicates a transition from core forest land to forest degradation. The area of agricultural land has been on the rise due to the conversion of isolated hills and fragmented forest land into various monoculture activities, including rubber plantations and banana cultivation.</w:t>
      </w:r>
    </w:p>
    <w:p w:rsidR="001A2247" w:rsidRDefault="00905E84">
      <w:pPr>
        <w:pStyle w:val="Caption"/>
        <w:keepNext/>
      </w:pPr>
      <w:r>
        <w:rPr>
          <w:b/>
          <w:bCs/>
        </w:rPr>
        <w:t xml:space="preserve">Table 4: </w:t>
      </w:r>
      <w:r>
        <w:t xml:space="preserve">LULC change within the NFAs under </w:t>
      </w:r>
      <w:proofErr w:type="spellStart"/>
      <w:r>
        <w:t>Goalpara</w:t>
      </w:r>
      <w:proofErr w:type="spellEnd"/>
      <w:r>
        <w:t xml:space="preserve"> forest range from 1993-2023</w:t>
      </w:r>
    </w:p>
    <w:tbl>
      <w:tblPr>
        <w:tblW w:w="9458" w:type="dxa"/>
        <w:jc w:val="center"/>
        <w:tblLook w:val="04A0" w:firstRow="1" w:lastRow="0" w:firstColumn="1" w:lastColumn="0" w:noHBand="0" w:noVBand="1"/>
      </w:tblPr>
      <w:tblGrid>
        <w:gridCol w:w="643"/>
        <w:gridCol w:w="706"/>
        <w:gridCol w:w="528"/>
        <w:gridCol w:w="706"/>
        <w:gridCol w:w="528"/>
        <w:gridCol w:w="706"/>
        <w:gridCol w:w="528"/>
        <w:gridCol w:w="706"/>
        <w:gridCol w:w="528"/>
        <w:gridCol w:w="617"/>
        <w:gridCol w:w="439"/>
        <w:gridCol w:w="706"/>
        <w:gridCol w:w="528"/>
        <w:gridCol w:w="617"/>
        <w:gridCol w:w="439"/>
        <w:gridCol w:w="617"/>
        <w:gridCol w:w="528"/>
      </w:tblGrid>
      <w:tr w:rsidR="001A2247">
        <w:trPr>
          <w:trHeight w:val="183"/>
          <w:jc w:val="center"/>
        </w:trPr>
        <w:tc>
          <w:tcPr>
            <w:tcW w:w="604" w:type="dxa"/>
            <w:vMerge w:val="restart"/>
            <w:tcBorders>
              <w:top w:val="single" w:sz="4" w:space="0" w:color="auto"/>
              <w:left w:val="single" w:sz="4" w:space="0" w:color="auto"/>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Class</w:t>
            </w:r>
          </w:p>
        </w:tc>
        <w:tc>
          <w:tcPr>
            <w:tcW w:w="1159"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1993</w:t>
            </w:r>
          </w:p>
        </w:tc>
        <w:tc>
          <w:tcPr>
            <w:tcW w:w="1159"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2003</w:t>
            </w:r>
          </w:p>
        </w:tc>
        <w:tc>
          <w:tcPr>
            <w:tcW w:w="1159"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2013</w:t>
            </w:r>
          </w:p>
        </w:tc>
        <w:tc>
          <w:tcPr>
            <w:tcW w:w="1159"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2023</w:t>
            </w:r>
          </w:p>
        </w:tc>
        <w:tc>
          <w:tcPr>
            <w:tcW w:w="992"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1993-2003</w:t>
            </w:r>
          </w:p>
        </w:tc>
        <w:tc>
          <w:tcPr>
            <w:tcW w:w="1159"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2003-2013</w:t>
            </w:r>
          </w:p>
        </w:tc>
        <w:tc>
          <w:tcPr>
            <w:tcW w:w="992"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2013-2023</w:t>
            </w:r>
          </w:p>
        </w:tc>
        <w:tc>
          <w:tcPr>
            <w:tcW w:w="1075" w:type="dxa"/>
            <w:gridSpan w:val="2"/>
            <w:tcBorders>
              <w:top w:val="single" w:sz="4" w:space="0" w:color="auto"/>
              <w:left w:val="nil"/>
              <w:bottom w:val="single" w:sz="4" w:space="0" w:color="auto"/>
              <w:right w:val="single" w:sz="4" w:space="0" w:color="auto"/>
            </w:tcBorders>
            <w:noWrap/>
          </w:tcPr>
          <w:p w:rsidR="001A2247" w:rsidRDefault="00905E84">
            <w:pPr>
              <w:jc w:val="cente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1993-2023</w:t>
            </w:r>
          </w:p>
        </w:tc>
      </w:tr>
      <w:tr w:rsidR="001A2247">
        <w:trPr>
          <w:trHeight w:val="183"/>
          <w:jc w:val="center"/>
        </w:trPr>
        <w:tc>
          <w:tcPr>
            <w:tcW w:w="604" w:type="dxa"/>
            <w:vMerge/>
            <w:tcBorders>
              <w:top w:val="single" w:sz="4" w:space="0" w:color="auto"/>
              <w:left w:val="single" w:sz="4" w:space="0" w:color="auto"/>
              <w:bottom w:val="single" w:sz="4" w:space="0" w:color="auto"/>
              <w:right w:val="single" w:sz="4" w:space="0" w:color="auto"/>
            </w:tcBorders>
          </w:tcPr>
          <w:p w:rsidR="001A2247" w:rsidRDefault="001A2247">
            <w:pPr>
              <w:rPr>
                <w:rFonts w:ascii="Arial" w:eastAsia="Times New Roman" w:hAnsi="Arial" w:cs="Arial"/>
                <w:b/>
                <w:bCs/>
                <w:color w:val="000000"/>
                <w:sz w:val="16"/>
                <w:szCs w:val="16"/>
                <w:lang w:val="en-IN" w:eastAsia="en-IN"/>
              </w:rPr>
            </w:pP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b/>
                <w:color w:val="000000"/>
                <w:sz w:val="16"/>
                <w:szCs w:val="16"/>
                <w:lang w:val="en-IN" w:eastAsia="en-IN"/>
              </w:rPr>
            </w:pPr>
            <w:r>
              <w:rPr>
                <w:rFonts w:ascii="Arial" w:eastAsia="Times New Roman" w:hAnsi="Arial" w:cs="Arial"/>
                <w:b/>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1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13"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ha</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AP</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449.2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4.5</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237.8</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2.4</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570.7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907.4</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9.1</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-211.4</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332.9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336.7</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3.4</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336.7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4.6</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BL</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1215.0</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12.1</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1531.2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15.3</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819.7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8.2</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727.0</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316.3</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-711.6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-7.1</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-92.7</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-0.9</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-92.7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-4.9</w:t>
            </w:r>
          </w:p>
        </w:tc>
      </w:tr>
      <w:tr w:rsidR="001A2247">
        <w:trPr>
          <w:trHeight w:val="183"/>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BU</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368.8</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978.1</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9.8</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1867.7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18.6</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2346.6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23.4</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609.3</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6.1</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889.6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8.9</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478.9</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478.9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19.7</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CL</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791.3</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7.9</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267.3</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470.4</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254.6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-524.0</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-5.2</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203.2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2.0</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-215.9</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-215.9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-5.4</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DF</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1965.2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19.6</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2290.9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22.9</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1270.9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788.3</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7.9</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325.7</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3.3</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-1019.9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-10.2</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-482.6</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-482.6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-11.7</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LL</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737.2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7.4</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480.5</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426.6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4.3</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732.3</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7.3</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-256.7</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-2.6</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-53.9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-0.5</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305.7</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305.7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0.0</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MF</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1550.8</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15.5</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1502.0</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15.0</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1336.1</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13.3</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1789.7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17.9</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-48.8</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-0.5</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-165.9</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-1.7</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453.6</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4.5</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453.6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2.4</w:t>
            </w:r>
          </w:p>
        </w:tc>
      </w:tr>
      <w:tr w:rsidR="001A2247">
        <w:trPr>
          <w:trHeight w:val="356"/>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OF</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2889.0</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28.8</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2673.7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26.7</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3198.0</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31.9</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2391.8</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23.9</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-215.3</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-2.1</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524.4</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5.2</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-806.2</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-806.2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w:t>
            </w:r>
          </w:p>
        </w:tc>
      </w:tr>
      <w:tr w:rsidR="001A2247">
        <w:trPr>
          <w:trHeight w:val="183"/>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b/>
                <w:bCs/>
                <w:color w:val="000000"/>
                <w:sz w:val="16"/>
                <w:szCs w:val="16"/>
                <w:lang w:val="en-IN" w:eastAsia="en-IN"/>
              </w:rPr>
            </w:pPr>
            <w:r>
              <w:rPr>
                <w:rFonts w:ascii="Arial" w:eastAsia="Times New Roman" w:hAnsi="Arial" w:cs="Arial"/>
                <w:b/>
                <w:bCs/>
                <w:color w:val="000000"/>
                <w:sz w:val="16"/>
                <w:szCs w:val="16"/>
                <w:lang w:val="en-IN" w:eastAsia="en-IN"/>
              </w:rPr>
              <w:t>WB</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50.3</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0.5</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55.6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0.6</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56.8</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0.6</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79.4</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0.8</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5.4</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0.1</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1.2</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0.0</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22.6</w:t>
            </w:r>
          </w:p>
        </w:tc>
        <w:tc>
          <w:tcPr>
            <w:tcW w:w="41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0.2</w:t>
            </w:r>
          </w:p>
        </w:tc>
        <w:tc>
          <w:tcPr>
            <w:tcW w:w="579"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22.6</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0.3</w:t>
            </w:r>
          </w:p>
        </w:tc>
      </w:tr>
      <w:tr w:rsidR="001A2247">
        <w:trPr>
          <w:trHeight w:val="231"/>
          <w:jc w:val="center"/>
        </w:trPr>
        <w:tc>
          <w:tcPr>
            <w:tcW w:w="604" w:type="dxa"/>
            <w:tcBorders>
              <w:top w:val="nil"/>
              <w:left w:val="single" w:sz="4" w:space="0" w:color="auto"/>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xml:space="preserve">Total </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10017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eastAsia="en-IN"/>
              </w:rPr>
            </w:pPr>
            <w:r>
              <w:rPr>
                <w:rFonts w:ascii="Arial" w:eastAsia="Times New Roman" w:hAnsi="Arial" w:cs="Arial"/>
                <w:color w:val="000000"/>
                <w:sz w:val="16"/>
                <w:szCs w:val="16"/>
                <w:lang w:val="en-IN" w:eastAsia="en-IN"/>
              </w:rPr>
              <w:t>100</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10017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eastAsia="en-IN"/>
              </w:rPr>
            </w:pPr>
            <w:r>
              <w:rPr>
                <w:rFonts w:ascii="Arial" w:eastAsia="Times New Roman" w:hAnsi="Arial" w:cs="Arial"/>
                <w:color w:val="000000"/>
                <w:sz w:val="16"/>
                <w:szCs w:val="16"/>
                <w:lang w:val="en-IN" w:eastAsia="en-IN"/>
              </w:rPr>
              <w:t>100</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10017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w:t>
            </w:r>
          </w:p>
        </w:tc>
        <w:tc>
          <w:tcPr>
            <w:tcW w:w="663"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10017</w:t>
            </w:r>
          </w:p>
        </w:tc>
        <w:tc>
          <w:tcPr>
            <w:tcW w:w="496" w:type="dxa"/>
            <w:tcBorders>
              <w:top w:val="nil"/>
              <w:left w:val="nil"/>
              <w:bottom w:val="single" w:sz="4" w:space="0" w:color="auto"/>
              <w:right w:val="single" w:sz="4" w:space="0" w:color="auto"/>
            </w:tcBorders>
            <w:noWrap/>
          </w:tcPr>
          <w:p w:rsidR="001A2247" w:rsidRDefault="00905E84">
            <w:pPr>
              <w:jc w:val="right"/>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100</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413"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663"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413"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579"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c>
          <w:tcPr>
            <w:tcW w:w="496" w:type="dxa"/>
            <w:tcBorders>
              <w:top w:val="nil"/>
              <w:left w:val="nil"/>
              <w:bottom w:val="single" w:sz="4" w:space="0" w:color="auto"/>
              <w:right w:val="single" w:sz="4" w:space="0" w:color="auto"/>
            </w:tcBorders>
            <w:noWrap/>
          </w:tcPr>
          <w:p w:rsidR="001A2247" w:rsidRDefault="00905E84">
            <w:pPr>
              <w:rPr>
                <w:rFonts w:ascii="Arial" w:eastAsia="Times New Roman" w:hAnsi="Arial" w:cs="Arial"/>
                <w:color w:val="000000"/>
                <w:sz w:val="16"/>
                <w:szCs w:val="16"/>
                <w:lang w:val="en-IN" w:eastAsia="en-IN"/>
              </w:rPr>
            </w:pPr>
            <w:r>
              <w:rPr>
                <w:rFonts w:ascii="Arial" w:eastAsia="Times New Roman" w:hAnsi="Arial" w:cs="Arial"/>
                <w:color w:val="000000"/>
                <w:sz w:val="16"/>
                <w:szCs w:val="16"/>
                <w:lang w:val="en-IN" w:eastAsia="en-IN"/>
              </w:rPr>
              <w:t> </w:t>
            </w:r>
          </w:p>
        </w:tc>
      </w:tr>
    </w:tbl>
    <w:p w:rsidR="001A2247" w:rsidRDefault="001A2247">
      <w:pPr>
        <w:spacing w:line="480" w:lineRule="auto"/>
      </w:pPr>
    </w:p>
    <w:p w:rsidR="001A2247" w:rsidRDefault="001A2247">
      <w:pPr>
        <w:pStyle w:val="Caption"/>
        <w:keepNext/>
      </w:pPr>
    </w:p>
    <w:p w:rsidR="001A2247" w:rsidRDefault="00905E84">
      <w:pPr>
        <w:keepNext/>
        <w:spacing w:line="480" w:lineRule="auto"/>
        <w:jc w:val="center"/>
      </w:pPr>
      <w:r>
        <w:rPr>
          <w:noProof/>
          <w:lang w:val="en-IN" w:eastAsia="en-IN"/>
        </w:rPr>
        <w:drawing>
          <wp:inline distT="0" distB="0" distL="0" distR="0">
            <wp:extent cx="5574665" cy="3391535"/>
            <wp:effectExtent l="0" t="0" r="635" b="12065"/>
            <wp:docPr id="1158896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6914" name="Picture 1"/>
                    <pic:cNvPicPr>
                      <a:picLocks noChangeAspect="1"/>
                    </pic:cNvPicPr>
                  </pic:nvPicPr>
                  <pic:blipFill>
                    <a:blip r:embed="rId13"/>
                    <a:stretch>
                      <a:fillRect/>
                    </a:stretch>
                  </pic:blipFill>
                  <pic:spPr>
                    <a:xfrm>
                      <a:off x="0" y="0"/>
                      <a:ext cx="5574665" cy="3391535"/>
                    </a:xfrm>
                    <a:prstGeom prst="rect">
                      <a:avLst/>
                    </a:prstGeom>
                  </pic:spPr>
                </pic:pic>
              </a:graphicData>
            </a:graphic>
          </wp:inline>
        </w:drawing>
      </w:r>
    </w:p>
    <w:p w:rsidR="001A2247" w:rsidRDefault="00905E84">
      <w:pPr>
        <w:pStyle w:val="Caption"/>
      </w:pPr>
      <w:r>
        <w:rPr>
          <w:b/>
          <w:bCs/>
        </w:rPr>
        <w:t>Figure 6:</w:t>
      </w:r>
      <w:r>
        <w:t xml:space="preserve"> Showing the LULC change map of within NFAs under </w:t>
      </w:r>
      <w:proofErr w:type="spellStart"/>
      <w:r>
        <w:t>Goalpara</w:t>
      </w:r>
      <w:proofErr w:type="spellEnd"/>
      <w:r>
        <w:t xml:space="preserve"> forest range- BU </w:t>
      </w:r>
      <w:r>
        <w:rPr>
          <w:rFonts w:eastAsia="Times New Roman"/>
          <w:color w:val="000000"/>
          <w:lang w:val="en-IN" w:eastAsia="en-IN"/>
        </w:rPr>
        <w:t>9.8</w:t>
      </w:r>
      <w:r>
        <w:rPr>
          <w:rFonts w:eastAsia="Times New Roman"/>
          <w:color w:val="000000"/>
          <w:lang w:eastAsia="en-IN"/>
        </w:rPr>
        <w:t>%</w:t>
      </w:r>
      <w:r>
        <w:t xml:space="preserve">→ </w:t>
      </w:r>
      <w:r>
        <w:rPr>
          <w:rFonts w:eastAsia="Times New Roman"/>
          <w:color w:val="000000"/>
          <w:lang w:val="en-IN" w:eastAsia="en-IN"/>
        </w:rPr>
        <w:t>23.4</w:t>
      </w:r>
      <w:r>
        <w:rPr>
          <w:rFonts w:eastAsia="Times New Roman"/>
          <w:color w:val="000000"/>
          <w:lang w:eastAsia="en-IN"/>
        </w:rPr>
        <w:t xml:space="preserve">%, DF </w:t>
      </w:r>
      <w:r>
        <w:rPr>
          <w:rFonts w:eastAsia="Times New Roman"/>
          <w:color w:val="000000"/>
          <w:lang w:val="en-IN" w:eastAsia="en-IN"/>
        </w:rPr>
        <w:t>19.6</w:t>
      </w:r>
      <w:r>
        <w:rPr>
          <w:rFonts w:eastAsia="Times New Roman"/>
          <w:color w:val="000000"/>
          <w:lang w:eastAsia="en-IN"/>
        </w:rPr>
        <w:t>%</w:t>
      </w:r>
      <w:r>
        <w:t>→</w:t>
      </w:r>
      <w:r>
        <w:rPr>
          <w:rFonts w:eastAsia="Times New Roman"/>
          <w:color w:val="000000"/>
          <w:lang w:val="en-IN" w:eastAsia="en-IN"/>
        </w:rPr>
        <w:t>3.3</w:t>
      </w:r>
      <w:r>
        <w:rPr>
          <w:rFonts w:eastAsia="Times New Roman"/>
          <w:color w:val="000000"/>
          <w:lang w:eastAsia="en-IN"/>
        </w:rPr>
        <w:t>(1993-2023)</w:t>
      </w:r>
    </w:p>
    <w:p w:rsidR="001A2247" w:rsidRDefault="001A2247">
      <w:pPr>
        <w:spacing w:line="480" w:lineRule="auto"/>
      </w:pPr>
    </w:p>
    <w:p w:rsidR="001A2247" w:rsidRDefault="00905E84">
      <w:pPr>
        <w:keepNext/>
        <w:spacing w:line="480" w:lineRule="auto"/>
        <w:jc w:val="center"/>
      </w:pPr>
      <w:r>
        <w:rPr>
          <w:noProof/>
          <w:lang w:val="en-IN" w:eastAsia="en-IN"/>
        </w:rPr>
        <w:lastRenderedPageBreak/>
        <w:drawing>
          <wp:inline distT="0" distB="0" distL="0" distR="0">
            <wp:extent cx="5274310" cy="2352040"/>
            <wp:effectExtent l="0" t="0" r="2540" b="0"/>
            <wp:docPr id="108804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42196" name="Picture 1"/>
                    <pic:cNvPicPr>
                      <a:picLocks noChangeAspect="1"/>
                    </pic:cNvPicPr>
                  </pic:nvPicPr>
                  <pic:blipFill>
                    <a:blip r:embed="rId14"/>
                    <a:stretch>
                      <a:fillRect/>
                    </a:stretch>
                  </pic:blipFill>
                  <pic:spPr>
                    <a:xfrm>
                      <a:off x="0" y="0"/>
                      <a:ext cx="5274310" cy="2352040"/>
                    </a:xfrm>
                    <a:prstGeom prst="rect">
                      <a:avLst/>
                    </a:prstGeom>
                  </pic:spPr>
                </pic:pic>
              </a:graphicData>
            </a:graphic>
          </wp:inline>
        </w:drawing>
      </w:r>
    </w:p>
    <w:p w:rsidR="001A2247" w:rsidRDefault="00905E84">
      <w:pPr>
        <w:pStyle w:val="Caption"/>
        <w:jc w:val="center"/>
      </w:pPr>
      <w:r>
        <w:rPr>
          <w:b/>
          <w:bCs/>
        </w:rPr>
        <w:t xml:space="preserve">Figure 7: </w:t>
      </w:r>
      <w:r>
        <w:t xml:space="preserve">LULC area of NFAs of in under </w:t>
      </w:r>
      <w:proofErr w:type="spellStart"/>
      <w:r>
        <w:t>Goalpara</w:t>
      </w:r>
      <w:proofErr w:type="spellEnd"/>
      <w:r>
        <w:t xml:space="preserve"> forest range</w:t>
      </w:r>
    </w:p>
    <w:p w:rsidR="001A2247" w:rsidRDefault="001A2247">
      <w:pPr>
        <w:spacing w:line="480" w:lineRule="auto"/>
        <w:rPr>
          <w:b/>
          <w:u w:val="single"/>
        </w:rPr>
      </w:pPr>
    </w:p>
    <w:p w:rsidR="001A2247" w:rsidRDefault="00905E84">
      <w:pPr>
        <w:spacing w:line="480" w:lineRule="auto"/>
        <w:rPr>
          <w:b/>
          <w:u w:val="single"/>
        </w:rPr>
      </w:pPr>
      <w:r>
        <w:rPr>
          <w:b/>
          <w:u w:val="single"/>
        </w:rPr>
        <w:t>4.2.2. Accuracy assessment:</w:t>
      </w:r>
    </w:p>
    <w:p w:rsidR="001A2247" w:rsidRDefault="00905E84">
      <w:pPr>
        <w:tabs>
          <w:tab w:val="left" w:pos="1470"/>
        </w:tabs>
        <w:spacing w:line="480" w:lineRule="auto"/>
        <w:jc w:val="both"/>
        <w:rPr>
          <w:rFonts w:ascii="Arial" w:hAnsi="Arial" w:cs="Arial"/>
          <w:bCs/>
        </w:rPr>
      </w:pPr>
      <w:r>
        <w:rPr>
          <w:rFonts w:ascii="Times New Roman" w:hAnsi="Times New Roman" w:cs="Times New Roman"/>
          <w:bCs/>
          <w:sz w:val="24"/>
          <w:szCs w:val="24"/>
        </w:rPr>
        <w:tab/>
      </w:r>
      <w:r>
        <w:rPr>
          <w:rFonts w:ascii="Arial" w:hAnsi="Arial" w:cs="Arial"/>
          <w:bCs/>
        </w:rPr>
        <w:t xml:space="preserve">Accuracy assessment performed post-classification for validation of classified image. In table </w:t>
      </w:r>
      <w:r w:rsidR="00BD1D7D">
        <w:rPr>
          <w:rFonts w:ascii="Arial" w:hAnsi="Arial" w:cs="Arial"/>
          <w:bCs/>
        </w:rPr>
        <w:t>5</w:t>
      </w:r>
      <w:r>
        <w:rPr>
          <w:rFonts w:ascii="Arial" w:hAnsi="Arial" w:cs="Arial"/>
          <w:bCs/>
        </w:rPr>
        <w:t xml:space="preserve"> shown the whole accuracy table of four different time periods (i.e. 1993, 2003, 2013, and 2023). Based on User Accuracy (UA), Producer Accuracy (PA), Omission Accuracy (OA), and Commission Accuracy (CA) accuracy the overall accuracy and kappa coefficient have been calculated (table 5). The overall accuracy and Kappa coefficient </w:t>
      </w:r>
      <w:proofErr w:type="gramStart"/>
      <w:r>
        <w:rPr>
          <w:rFonts w:ascii="Arial" w:hAnsi="Arial" w:cs="Arial"/>
          <w:bCs/>
        </w:rPr>
        <w:t>was</w:t>
      </w:r>
      <w:proofErr w:type="gramEnd"/>
      <w:r>
        <w:rPr>
          <w:rFonts w:ascii="Arial" w:hAnsi="Arial" w:cs="Arial"/>
          <w:bCs/>
        </w:rPr>
        <w:t xml:space="preserve"> found 88.4%, 0.84 in 1993, 95%, 0.84 in 2003, 88.4%, 0.85, in 2013 and its 88.4%, 0.84 in 2023 respectively. The highest overall accuracy was found 95% in the year 2013 and maximum value of Kappa Coefficient(</w:t>
      </w:r>
      <w:proofErr w:type="gramStart"/>
      <w:r>
        <w:rPr>
          <w:rFonts w:ascii="Times New Roman" w:hAnsi="Times New Roman" w:cs="Times New Roman"/>
          <w:sz w:val="24"/>
          <w:szCs w:val="24"/>
        </w:rPr>
        <w:t>κ)</w:t>
      </w:r>
      <w:r>
        <w:rPr>
          <w:rFonts w:ascii="Arial" w:hAnsi="Arial" w:cs="Arial"/>
          <w:bCs/>
        </w:rPr>
        <w:t xml:space="preserve">  value</w:t>
      </w:r>
      <w:proofErr w:type="gramEnd"/>
      <w:r>
        <w:rPr>
          <w:rFonts w:ascii="Arial" w:hAnsi="Arial" w:cs="Arial"/>
          <w:bCs/>
        </w:rPr>
        <w:t xml:space="preserve"> found 0.85 in the 2023. The average overall accuracy of whole classified LULC is found 89.75%.</w:t>
      </w:r>
    </w:p>
    <w:p w:rsidR="001A2247" w:rsidRDefault="00905E84">
      <w:pPr>
        <w:pStyle w:val="Caption"/>
        <w:keepNext/>
      </w:pPr>
      <w:r>
        <w:rPr>
          <w:b/>
          <w:bCs/>
        </w:rPr>
        <w:t>Table 5:</w:t>
      </w:r>
      <w:r>
        <w:t xml:space="preserve"> Validation of LULC result </w:t>
      </w:r>
    </w:p>
    <w:tbl>
      <w:tblPr>
        <w:tblStyle w:val="TableGridLight1"/>
        <w:tblW w:w="5489" w:type="pct"/>
        <w:jc w:val="center"/>
        <w:tblLayout w:type="fixed"/>
        <w:tblLook w:val="04A0" w:firstRow="1" w:lastRow="0" w:firstColumn="1" w:lastColumn="0" w:noHBand="0" w:noVBand="1"/>
      </w:tblPr>
      <w:tblGrid>
        <w:gridCol w:w="645"/>
        <w:gridCol w:w="498"/>
        <w:gridCol w:w="11"/>
        <w:gridCol w:w="515"/>
        <w:gridCol w:w="497"/>
        <w:gridCol w:w="551"/>
        <w:gridCol w:w="582"/>
        <w:gridCol w:w="511"/>
        <w:gridCol w:w="553"/>
        <w:gridCol w:w="537"/>
        <w:gridCol w:w="553"/>
        <w:gridCol w:w="497"/>
        <w:gridCol w:w="497"/>
        <w:gridCol w:w="522"/>
        <w:gridCol w:w="497"/>
        <w:gridCol w:w="511"/>
        <w:gridCol w:w="568"/>
        <w:gridCol w:w="551"/>
      </w:tblGrid>
      <w:tr w:rsidR="001A2247">
        <w:trPr>
          <w:trHeight w:val="129"/>
          <w:jc w:val="center"/>
        </w:trPr>
        <w:tc>
          <w:tcPr>
            <w:tcW w:w="354" w:type="pct"/>
            <w:vMerge w:val="restart"/>
            <w:tcBorders>
              <w:top w:val="single" w:sz="8" w:space="0" w:color="4F81BD"/>
              <w:left w:val="single" w:sz="8" w:space="0" w:color="4F81BD"/>
              <w:bottom w:val="single" w:sz="8" w:space="0" w:color="4F81BD"/>
              <w:right w:val="dotted" w:sz="8" w:space="0" w:color="auto"/>
            </w:tcBorders>
            <w:shd w:val="clear" w:color="auto" w:fill="4F81BD"/>
            <w:noWrap/>
            <w:vAlign w:val="center"/>
          </w:tcPr>
          <w:p w:rsidR="001A2247" w:rsidRDefault="00905E84">
            <w:pPr>
              <w:jc w:val="both"/>
              <w:rPr>
                <w:rFonts w:ascii="Times New Roman" w:eastAsia="Times New Roman" w:hAnsi="Times New Roman" w:cs="Times New Roman"/>
                <w:b/>
                <w:color w:val="FFFFFF"/>
                <w:sz w:val="16"/>
                <w:szCs w:val="16"/>
                <w:lang w:eastAsia="en-IN"/>
              </w:rPr>
            </w:pPr>
            <w:r>
              <w:rPr>
                <w:rFonts w:ascii="Times New Roman" w:eastAsia="Times New Roman" w:hAnsi="Times New Roman" w:cs="Times New Roman"/>
                <w:b/>
                <w:color w:val="FFFFFF"/>
                <w:sz w:val="16"/>
                <w:szCs w:val="16"/>
                <w:lang w:eastAsia="en-IN"/>
              </w:rPr>
              <w:t>Class</w:t>
            </w:r>
          </w:p>
        </w:tc>
        <w:tc>
          <w:tcPr>
            <w:tcW w:w="1137" w:type="pct"/>
            <w:gridSpan w:val="5"/>
            <w:tcBorders>
              <w:top w:val="single" w:sz="8" w:space="0" w:color="4F81BD"/>
              <w:left w:val="dotted" w:sz="8" w:space="0" w:color="auto"/>
              <w:bottom w:val="single" w:sz="8" w:space="0" w:color="4F81BD"/>
              <w:right w:val="dotted" w:sz="8" w:space="0" w:color="auto"/>
            </w:tcBorders>
            <w:shd w:val="clear" w:color="auto" w:fill="4F81BD"/>
            <w:noWrap/>
            <w:vAlign w:val="center"/>
          </w:tcPr>
          <w:p w:rsidR="001A2247" w:rsidRDefault="00905E84">
            <w:pPr>
              <w:jc w:val="both"/>
              <w:rPr>
                <w:rFonts w:ascii="Times New Roman" w:eastAsia="Times New Roman" w:hAnsi="Times New Roman" w:cs="Times New Roman"/>
                <w:b/>
                <w:color w:val="FFFFFF"/>
                <w:sz w:val="16"/>
                <w:szCs w:val="16"/>
                <w:lang w:eastAsia="en-IN"/>
              </w:rPr>
            </w:pPr>
            <w:r>
              <w:rPr>
                <w:rFonts w:ascii="Times New Roman" w:eastAsia="Times New Roman" w:hAnsi="Times New Roman" w:cs="Times New Roman"/>
                <w:b/>
                <w:color w:val="FFFFFF"/>
                <w:sz w:val="16"/>
                <w:szCs w:val="16"/>
                <w:lang w:eastAsia="en-IN"/>
              </w:rPr>
              <w:t>1993</w:t>
            </w:r>
          </w:p>
        </w:tc>
        <w:tc>
          <w:tcPr>
            <w:tcW w:w="1200" w:type="pct"/>
            <w:gridSpan w:val="4"/>
            <w:tcBorders>
              <w:top w:val="single" w:sz="8" w:space="0" w:color="4F81BD"/>
              <w:left w:val="dotted" w:sz="8" w:space="0" w:color="auto"/>
              <w:bottom w:val="single" w:sz="8" w:space="0" w:color="4F81BD"/>
              <w:right w:val="dotted" w:sz="8" w:space="0" w:color="auto"/>
            </w:tcBorders>
            <w:shd w:val="clear" w:color="auto" w:fill="4F81BD"/>
            <w:noWrap/>
            <w:vAlign w:val="center"/>
          </w:tcPr>
          <w:p w:rsidR="001A2247" w:rsidRDefault="00905E84">
            <w:pPr>
              <w:jc w:val="both"/>
              <w:rPr>
                <w:rFonts w:ascii="Times New Roman" w:eastAsia="Times New Roman" w:hAnsi="Times New Roman" w:cs="Times New Roman"/>
                <w:b/>
                <w:color w:val="FFFFFF"/>
                <w:sz w:val="16"/>
                <w:szCs w:val="16"/>
                <w:lang w:eastAsia="en-IN"/>
              </w:rPr>
            </w:pPr>
            <w:r>
              <w:rPr>
                <w:rFonts w:ascii="Times New Roman" w:eastAsia="Times New Roman" w:hAnsi="Times New Roman" w:cs="Times New Roman"/>
                <w:b/>
                <w:color w:val="FFFFFF"/>
                <w:sz w:val="16"/>
                <w:szCs w:val="16"/>
                <w:lang w:eastAsia="en-IN"/>
              </w:rPr>
              <w:t>2003</w:t>
            </w:r>
          </w:p>
        </w:tc>
        <w:tc>
          <w:tcPr>
            <w:tcW w:w="1137" w:type="pct"/>
            <w:gridSpan w:val="4"/>
            <w:tcBorders>
              <w:top w:val="single" w:sz="8" w:space="0" w:color="4F81BD"/>
              <w:left w:val="dotted" w:sz="8" w:space="0" w:color="auto"/>
              <w:bottom w:val="single" w:sz="8" w:space="0" w:color="4F81BD"/>
              <w:right w:val="dotted" w:sz="8" w:space="0" w:color="auto"/>
            </w:tcBorders>
            <w:shd w:val="clear" w:color="auto" w:fill="4F81BD"/>
            <w:noWrap/>
            <w:vAlign w:val="center"/>
          </w:tcPr>
          <w:p w:rsidR="001A2247" w:rsidRDefault="00905E84">
            <w:pPr>
              <w:jc w:val="both"/>
              <w:rPr>
                <w:rFonts w:ascii="Times New Roman" w:eastAsia="Times New Roman" w:hAnsi="Times New Roman" w:cs="Times New Roman"/>
                <w:b/>
                <w:color w:val="FFFFFF"/>
                <w:sz w:val="16"/>
                <w:szCs w:val="16"/>
                <w:lang w:eastAsia="en-IN"/>
              </w:rPr>
            </w:pPr>
            <w:r>
              <w:rPr>
                <w:rFonts w:ascii="Times New Roman" w:eastAsia="Times New Roman" w:hAnsi="Times New Roman" w:cs="Times New Roman"/>
                <w:b/>
                <w:color w:val="FFFFFF"/>
                <w:sz w:val="16"/>
                <w:szCs w:val="16"/>
                <w:lang w:eastAsia="en-IN"/>
              </w:rPr>
              <w:t>2013</w:t>
            </w:r>
          </w:p>
        </w:tc>
        <w:tc>
          <w:tcPr>
            <w:tcW w:w="1169" w:type="pct"/>
            <w:gridSpan w:val="4"/>
            <w:tcBorders>
              <w:top w:val="single" w:sz="8" w:space="0" w:color="4F81BD"/>
              <w:left w:val="dotted" w:sz="8" w:space="0" w:color="auto"/>
              <w:bottom w:val="single" w:sz="8" w:space="0" w:color="4F81BD"/>
              <w:right w:val="single" w:sz="8" w:space="0" w:color="4F81BD"/>
            </w:tcBorders>
            <w:shd w:val="clear" w:color="auto" w:fill="4F81BD"/>
            <w:noWrap/>
            <w:vAlign w:val="center"/>
          </w:tcPr>
          <w:p w:rsidR="001A2247" w:rsidRDefault="00905E84">
            <w:pPr>
              <w:jc w:val="both"/>
              <w:rPr>
                <w:rFonts w:ascii="Times New Roman" w:eastAsia="Times New Roman" w:hAnsi="Times New Roman" w:cs="Times New Roman"/>
                <w:b/>
                <w:color w:val="FFFFFF"/>
                <w:sz w:val="16"/>
                <w:szCs w:val="16"/>
                <w:lang w:eastAsia="en-IN"/>
              </w:rPr>
            </w:pPr>
            <w:r>
              <w:rPr>
                <w:rFonts w:ascii="Times New Roman" w:eastAsia="Times New Roman" w:hAnsi="Times New Roman" w:cs="Times New Roman"/>
                <w:b/>
                <w:color w:val="FFFFFF"/>
                <w:sz w:val="16"/>
                <w:szCs w:val="16"/>
                <w:lang w:eastAsia="en-IN"/>
              </w:rPr>
              <w:t>2023</w:t>
            </w:r>
          </w:p>
        </w:tc>
      </w:tr>
      <w:tr w:rsidR="001A2247">
        <w:trPr>
          <w:trHeight w:val="246"/>
          <w:jc w:val="center"/>
        </w:trPr>
        <w:tc>
          <w:tcPr>
            <w:tcW w:w="354" w:type="pct"/>
            <w:vMerge/>
            <w:tcBorders>
              <w:top w:val="single" w:sz="8" w:space="0" w:color="4F81BD"/>
              <w:left w:val="single" w:sz="8" w:space="0" w:color="4F81BD"/>
              <w:bottom w:val="single" w:sz="8" w:space="0" w:color="4F81BD"/>
              <w:right w:val="dotted" w:sz="8" w:space="0" w:color="auto"/>
            </w:tcBorders>
            <w:shd w:val="clear" w:color="auto" w:fill="FFFFFF"/>
            <w:vAlign w:val="center"/>
          </w:tcPr>
          <w:p w:rsidR="001A2247" w:rsidRDefault="001A2247">
            <w:pPr>
              <w:jc w:val="both"/>
              <w:rPr>
                <w:rFonts w:ascii="Times New Roman" w:eastAsia="Times New Roman" w:hAnsi="Times New Roman" w:cs="Times New Roman"/>
                <w:b/>
                <w:color w:val="000000"/>
                <w:sz w:val="16"/>
                <w:szCs w:val="16"/>
                <w:lang w:eastAsia="en-IN"/>
              </w:rPr>
            </w:pP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UA%</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PA%</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OA%</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CA%</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UA%</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PA%</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OA%</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CA%</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UA%</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PA%</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OA%</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CA%</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UA%</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PA%</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OA%</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CA%</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CL</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96.4</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91.6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3.5</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3.66</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82.5</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77.2</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18.7</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17.4</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90.6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95.7</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4.23</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93.3</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89.7</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10.2</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7.14</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BU</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91.7</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97.8</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8.2</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8.98</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93.3</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83.3</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6.67</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6.67</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79.3</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92</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20.6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80</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48</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52</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20</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BU</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87.2</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95.7</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12.7</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14.6</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90.4</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100</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0</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2.21</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88.6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92.8</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7.14</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11.3</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95.9</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95.1</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4.88</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4.1</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LL</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95.6</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81.4</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4.54</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79.0</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40</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20.9</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20.9</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100</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4.35</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0</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65</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83.8</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16.1</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35</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AP</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62.5</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29.4</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37.5</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60</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62.5</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87.5</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33.3</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37.5</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83.3</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33.3</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66.6</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16.6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80.8</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100</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0</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19.1</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DF</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75</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42.8</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25</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33.3</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84.8</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66.6</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9.46</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15.1</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68</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94.</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2.4</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32</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95.4</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70</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30</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4.55</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MF</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66.6</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66.6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33.3</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50</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90.7</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87.5</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14.2</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9.3</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100</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97.6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4.35</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0</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85.7</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96</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14.2</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OF</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58.6</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77.2</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41.3</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70.5</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94.8</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81.2</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11.2</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5.17</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95.6</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4.35</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4.35</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81.2</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81.2</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18.</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18.7</w:t>
            </w:r>
          </w:p>
        </w:tc>
      </w:tr>
      <w:tr w:rsidR="001A2247">
        <w:trPr>
          <w:trHeight w:val="246"/>
          <w:jc w:val="center"/>
        </w:trPr>
        <w:tc>
          <w:tcPr>
            <w:tcW w:w="354"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WB</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80</w:t>
            </w:r>
          </w:p>
        </w:tc>
        <w:tc>
          <w:tcPr>
            <w:tcW w:w="289" w:type="pct"/>
            <w:gridSpan w:val="2"/>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50</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20</w:t>
            </w:r>
          </w:p>
        </w:tc>
        <w:tc>
          <w:tcPr>
            <w:tcW w:w="301" w:type="pct"/>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25</w:t>
            </w:r>
          </w:p>
        </w:tc>
        <w:tc>
          <w:tcPr>
            <w:tcW w:w="320" w:type="pct"/>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75</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75</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76.9</w:t>
            </w:r>
          </w:p>
        </w:tc>
        <w:tc>
          <w:tcPr>
            <w:tcW w:w="29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25</w:t>
            </w:r>
          </w:p>
        </w:tc>
        <w:tc>
          <w:tcPr>
            <w:tcW w:w="304"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75</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62.5</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37.5</w:t>
            </w:r>
          </w:p>
        </w:tc>
        <w:tc>
          <w:tcPr>
            <w:tcW w:w="286"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25</w:t>
            </w:r>
          </w:p>
        </w:tc>
        <w:tc>
          <w:tcPr>
            <w:tcW w:w="273"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90.9</w:t>
            </w:r>
          </w:p>
        </w:tc>
        <w:tc>
          <w:tcPr>
            <w:tcW w:w="281"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71.4</w:t>
            </w:r>
          </w:p>
        </w:tc>
        <w:tc>
          <w:tcPr>
            <w:tcW w:w="31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28.5</w:t>
            </w:r>
          </w:p>
        </w:tc>
        <w:tc>
          <w:tcPr>
            <w:tcW w:w="302" w:type="pct"/>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color w:val="000000"/>
                <w:sz w:val="16"/>
                <w:szCs w:val="16"/>
                <w:lang w:eastAsia="en-IN"/>
              </w:rPr>
            </w:pPr>
            <w:r>
              <w:rPr>
                <w:rFonts w:ascii="Times New Roman" w:eastAsia="Times New Roman" w:hAnsi="Times New Roman" w:cs="Times New Roman"/>
                <w:color w:val="000000"/>
                <w:sz w:val="16"/>
                <w:szCs w:val="16"/>
                <w:lang w:eastAsia="en-IN"/>
              </w:rPr>
              <w:t>9.09</w:t>
            </w:r>
          </w:p>
        </w:tc>
      </w:tr>
      <w:tr w:rsidR="001A2247">
        <w:trPr>
          <w:trHeight w:val="129"/>
          <w:jc w:val="center"/>
        </w:trPr>
        <w:tc>
          <w:tcPr>
            <w:tcW w:w="633" w:type="pct"/>
            <w:gridSpan w:val="3"/>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proofErr w:type="gramStart"/>
            <w:r>
              <w:rPr>
                <w:rFonts w:ascii="Times New Roman" w:eastAsia="Times New Roman" w:hAnsi="Times New Roman" w:cs="Times New Roman"/>
                <w:b/>
                <w:color w:val="000000"/>
                <w:sz w:val="16"/>
                <w:szCs w:val="16"/>
                <w:lang w:eastAsia="en-IN"/>
              </w:rPr>
              <w:t>Overall  Accuracy</w:t>
            </w:r>
            <w:proofErr w:type="gramEnd"/>
          </w:p>
        </w:tc>
        <w:tc>
          <w:tcPr>
            <w:tcW w:w="859" w:type="pct"/>
            <w:gridSpan w:val="3"/>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88.4</w:t>
            </w:r>
          </w:p>
        </w:tc>
        <w:tc>
          <w:tcPr>
            <w:tcW w:w="1200" w:type="pct"/>
            <w:gridSpan w:val="4"/>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87.2</w:t>
            </w:r>
          </w:p>
        </w:tc>
        <w:tc>
          <w:tcPr>
            <w:tcW w:w="1137" w:type="pct"/>
            <w:gridSpan w:val="4"/>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95</w:t>
            </w:r>
          </w:p>
        </w:tc>
        <w:tc>
          <w:tcPr>
            <w:tcW w:w="1169" w:type="pct"/>
            <w:gridSpan w:val="4"/>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88.4</w:t>
            </w:r>
          </w:p>
        </w:tc>
      </w:tr>
      <w:tr w:rsidR="001A2247">
        <w:trPr>
          <w:trHeight w:val="259"/>
          <w:jc w:val="center"/>
        </w:trPr>
        <w:tc>
          <w:tcPr>
            <w:tcW w:w="633" w:type="pct"/>
            <w:gridSpan w:val="3"/>
            <w:tcBorders>
              <w:top w:val="single" w:sz="8" w:space="0" w:color="4F81BD"/>
              <w:left w:val="single" w:sz="8" w:space="0" w:color="4F81BD"/>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Kappa Statistics</w:t>
            </w:r>
          </w:p>
        </w:tc>
        <w:tc>
          <w:tcPr>
            <w:tcW w:w="859" w:type="pct"/>
            <w:gridSpan w:val="3"/>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0.84</w:t>
            </w:r>
          </w:p>
        </w:tc>
        <w:tc>
          <w:tcPr>
            <w:tcW w:w="1200" w:type="pct"/>
            <w:gridSpan w:val="4"/>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0.84</w:t>
            </w:r>
          </w:p>
        </w:tc>
        <w:tc>
          <w:tcPr>
            <w:tcW w:w="1137" w:type="pct"/>
            <w:gridSpan w:val="4"/>
            <w:tcBorders>
              <w:top w:val="single" w:sz="8" w:space="0" w:color="4F81BD"/>
              <w:left w:val="dotted" w:sz="8" w:space="0" w:color="auto"/>
              <w:bottom w:val="single" w:sz="8" w:space="0" w:color="4F81BD"/>
              <w:right w:val="dotted" w:sz="8" w:space="0" w:color="auto"/>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0.84</w:t>
            </w:r>
          </w:p>
        </w:tc>
        <w:tc>
          <w:tcPr>
            <w:tcW w:w="1169" w:type="pct"/>
            <w:gridSpan w:val="4"/>
            <w:tcBorders>
              <w:top w:val="single" w:sz="8" w:space="0" w:color="4F81BD"/>
              <w:left w:val="dotted" w:sz="8" w:space="0" w:color="auto"/>
              <w:bottom w:val="single" w:sz="8" w:space="0" w:color="4F81BD"/>
              <w:right w:val="single" w:sz="8" w:space="0" w:color="4F81BD"/>
            </w:tcBorders>
            <w:shd w:val="clear" w:color="auto" w:fill="FFFFFF"/>
            <w:noWrap/>
            <w:vAlign w:val="center"/>
          </w:tcPr>
          <w:p w:rsidR="001A2247" w:rsidRDefault="00905E84">
            <w:pPr>
              <w:jc w:val="both"/>
              <w:rPr>
                <w:rFonts w:ascii="Times New Roman" w:eastAsia="Times New Roman" w:hAnsi="Times New Roman" w:cs="Times New Roman"/>
                <w:b/>
                <w:color w:val="000000"/>
                <w:sz w:val="16"/>
                <w:szCs w:val="16"/>
                <w:lang w:eastAsia="en-IN"/>
              </w:rPr>
            </w:pPr>
            <w:r>
              <w:rPr>
                <w:rFonts w:ascii="Times New Roman" w:eastAsia="Times New Roman" w:hAnsi="Times New Roman" w:cs="Times New Roman"/>
                <w:b/>
                <w:color w:val="000000"/>
                <w:sz w:val="16"/>
                <w:szCs w:val="16"/>
                <w:lang w:eastAsia="en-IN"/>
              </w:rPr>
              <w:t>0.85</w:t>
            </w:r>
          </w:p>
        </w:tc>
      </w:tr>
    </w:tbl>
    <w:p w:rsidR="001A2247" w:rsidRDefault="001A2247">
      <w:pPr>
        <w:spacing w:line="480" w:lineRule="auto"/>
        <w:rPr>
          <w:b/>
        </w:rPr>
      </w:pPr>
    </w:p>
    <w:p w:rsidR="001A2247" w:rsidRDefault="00905E84">
      <w:pPr>
        <w:spacing w:line="480" w:lineRule="auto"/>
        <w:rPr>
          <w:rFonts w:ascii="Arial" w:hAnsi="Arial" w:cs="Arial"/>
          <w:b/>
        </w:rPr>
      </w:pPr>
      <w:r>
        <w:rPr>
          <w:rFonts w:ascii="Arial" w:hAnsi="Arial" w:cs="Arial"/>
          <w:b/>
        </w:rPr>
        <w:lastRenderedPageBreak/>
        <w:t>5. Conclusion:</w:t>
      </w:r>
    </w:p>
    <w:p w:rsidR="001A2247" w:rsidRDefault="00905E84">
      <w:pPr>
        <w:spacing w:line="480" w:lineRule="auto"/>
        <w:ind w:firstLine="720"/>
        <w:jc w:val="both"/>
        <w:rPr>
          <w:rFonts w:ascii="Arial" w:eastAsia="Times New Roman" w:hAnsi="Arial" w:cs="Arial"/>
          <w:lang w:val="en-IN" w:eastAsia="en-IN"/>
        </w:rPr>
      </w:pPr>
      <w:r>
        <w:rPr>
          <w:rFonts w:ascii="Arial" w:eastAsia="Times New Roman" w:hAnsi="Arial" w:cs="Arial"/>
          <w:lang w:val="en-IN" w:eastAsia="en-IN"/>
        </w:rPr>
        <w:t>Forest cover exhibits significant dynamism, undergoing changes over time alongside alterations in land use and land cover within the landscape. The current micro-level assessment indicates a decline in forest cover areas within NFAs, attributed to factors such as population growth, urban expansion, and the increase in agricultural land. The study area reveals that small isolated forest lands of NFAs are being encroached upon by human settlements, and this trend is likely to persist unless effective measures are implemented. Consequently, issues such as forest fragmentation, deforestation, and human-elephant conflict are expected to escalate.</w:t>
      </w:r>
    </w:p>
    <w:p w:rsidR="001A2247" w:rsidRDefault="001A2247">
      <w:pPr>
        <w:spacing w:line="480" w:lineRule="auto"/>
        <w:ind w:firstLine="720"/>
        <w:jc w:val="both"/>
        <w:rPr>
          <w:rFonts w:ascii="Arial" w:eastAsia="Times New Roman" w:hAnsi="Arial" w:cs="Arial"/>
          <w:lang w:val="en-IN" w:eastAsia="en-IN"/>
        </w:rPr>
      </w:pPr>
    </w:p>
    <w:p w:rsidR="001A2247" w:rsidRDefault="00905E84">
      <w:pPr>
        <w:spacing w:line="480" w:lineRule="auto"/>
        <w:rPr>
          <w:rFonts w:ascii="Arial" w:hAnsi="Arial" w:cs="Arial"/>
          <w:color w:val="000000" w:themeColor="text1"/>
          <w:sz w:val="22"/>
          <w:szCs w:val="22"/>
        </w:rPr>
      </w:pPr>
      <w:r>
        <w:rPr>
          <w:rFonts w:ascii="Arial" w:hAnsi="Arial" w:cs="Arial"/>
          <w:color w:val="000000" w:themeColor="text1"/>
          <w:sz w:val="22"/>
          <w:szCs w:val="22"/>
        </w:rPr>
        <w:t>Disclaimer (Artificial intelligence)</w:t>
      </w:r>
    </w:p>
    <w:p w:rsidR="001A2247" w:rsidRDefault="00905E84">
      <w:pPr>
        <w:spacing w:line="480" w:lineRule="auto"/>
        <w:rPr>
          <w:rFonts w:ascii="Arial" w:hAnsi="Arial" w:cs="Arial"/>
          <w:color w:val="000000" w:themeColor="text1"/>
          <w:sz w:val="22"/>
          <w:szCs w:val="22"/>
        </w:rPr>
      </w:pPr>
      <w:r>
        <w:rPr>
          <w:rFonts w:ascii="Arial" w:hAnsi="Arial" w:cs="Arial"/>
          <w:color w:val="000000" w:themeColor="text1"/>
          <w:sz w:val="22"/>
          <w:szCs w:val="22"/>
        </w:rPr>
        <w:t>Author(s) hereby declare that NO generative AI technologies such as Large Language Models (</w:t>
      </w:r>
      <w:proofErr w:type="spellStart"/>
      <w:r>
        <w:rPr>
          <w:rFonts w:ascii="Arial" w:hAnsi="Arial" w:cs="Arial"/>
          <w:color w:val="000000" w:themeColor="text1"/>
          <w:sz w:val="22"/>
          <w:szCs w:val="22"/>
        </w:rPr>
        <w:t>ChatGPT</w:t>
      </w:r>
      <w:proofErr w:type="spellEnd"/>
      <w:r>
        <w:rPr>
          <w:rFonts w:ascii="Arial" w:hAnsi="Arial" w:cs="Arial"/>
          <w:color w:val="000000" w:themeColor="text1"/>
          <w:sz w:val="22"/>
          <w:szCs w:val="22"/>
        </w:rPr>
        <w:t xml:space="preserve">, COPILOT, etc.) and text-to-image generators have been used during the writing or editing of this manuscript. </w:t>
      </w:r>
    </w:p>
    <w:p w:rsidR="001A2247" w:rsidRDefault="001A2247">
      <w:pPr>
        <w:spacing w:line="480" w:lineRule="auto"/>
      </w:pPr>
    </w:p>
    <w:p w:rsidR="001A2247" w:rsidRDefault="001A2247">
      <w:pPr>
        <w:spacing w:line="480" w:lineRule="auto"/>
        <w:jc w:val="both"/>
        <w:rPr>
          <w:rFonts w:ascii="Times New Roman" w:eastAsia="SimSun" w:hAnsi="Times New Roman"/>
          <w:b/>
          <w:bCs/>
          <w:sz w:val="24"/>
          <w:szCs w:val="24"/>
        </w:rPr>
      </w:pPr>
    </w:p>
    <w:p w:rsidR="001A2247" w:rsidRDefault="001A2247">
      <w:pPr>
        <w:spacing w:line="480" w:lineRule="auto"/>
      </w:pPr>
    </w:p>
    <w:p w:rsidR="001A2247" w:rsidRDefault="00905E84">
      <w:pPr>
        <w:spacing w:line="480" w:lineRule="auto"/>
        <w:jc w:val="both"/>
        <w:rPr>
          <w:rFonts w:ascii="Times New Roman" w:eastAsia="Calibri" w:hAnsi="Times New Roman"/>
          <w:b/>
          <w:sz w:val="24"/>
          <w:szCs w:val="24"/>
        </w:rPr>
      </w:pPr>
      <w:r>
        <w:rPr>
          <w:rFonts w:ascii="Times New Roman" w:eastAsia="Calibri" w:hAnsi="Times New Roman"/>
          <w:b/>
          <w:sz w:val="24"/>
          <w:szCs w:val="24"/>
        </w:rPr>
        <w:t xml:space="preserve">References: </w:t>
      </w:r>
    </w:p>
    <w:p w:rsidR="001A2247" w:rsidRDefault="00905E84">
      <w:pPr>
        <w:pStyle w:val="NormalWeb"/>
        <w:numPr>
          <w:ilvl w:val="0"/>
          <w:numId w:val="4"/>
        </w:numPr>
        <w:spacing w:beforeAutospacing="0" w:afterAutospacing="0" w:line="480" w:lineRule="auto"/>
        <w:jc w:val="both"/>
        <w:rPr>
          <w:rFonts w:ascii="Arial" w:eastAsia="Times New Roman" w:hAnsi="Arial" w:cs="Arial"/>
          <w:sz w:val="20"/>
          <w:szCs w:val="20"/>
          <w:lang w:val="en-IN" w:eastAsia="en-IN"/>
        </w:rPr>
      </w:pPr>
      <w:r>
        <w:rPr>
          <w:rFonts w:ascii="Arial" w:eastAsia="Times New Roman" w:hAnsi="Arial" w:cs="Arial"/>
          <w:sz w:val="20"/>
          <w:szCs w:val="20"/>
          <w:lang w:val="en-IN" w:eastAsia="en-IN"/>
        </w:rPr>
        <w:t xml:space="preserve">Xia, H., Li, H., &amp; </w:t>
      </w:r>
      <w:proofErr w:type="spellStart"/>
      <w:r>
        <w:rPr>
          <w:rFonts w:ascii="Arial" w:eastAsia="Times New Roman" w:hAnsi="Arial" w:cs="Arial"/>
          <w:sz w:val="20"/>
          <w:szCs w:val="20"/>
          <w:lang w:val="en-IN" w:eastAsia="en-IN"/>
        </w:rPr>
        <w:t>Prishchepov</w:t>
      </w:r>
      <w:proofErr w:type="spellEnd"/>
      <w:r>
        <w:rPr>
          <w:rFonts w:ascii="Arial" w:eastAsia="Times New Roman" w:hAnsi="Arial" w:cs="Arial"/>
          <w:sz w:val="20"/>
          <w:szCs w:val="20"/>
          <w:lang w:val="en-IN" w:eastAsia="en-IN"/>
        </w:rPr>
        <w:t xml:space="preserve">, A. V. (2023). Assessing forest conservation outcomes of a nature reserve in a subtropical forest ecosystem: effectiveness, </w:t>
      </w:r>
      <w:proofErr w:type="spellStart"/>
      <w:r>
        <w:rPr>
          <w:rFonts w:ascii="Arial" w:eastAsia="Times New Roman" w:hAnsi="Arial" w:cs="Arial"/>
          <w:sz w:val="20"/>
          <w:szCs w:val="20"/>
          <w:lang w:val="en-IN" w:eastAsia="en-IN"/>
        </w:rPr>
        <w:t>spillover</w:t>
      </w:r>
      <w:proofErr w:type="spellEnd"/>
      <w:r>
        <w:rPr>
          <w:rFonts w:ascii="Arial" w:eastAsia="Times New Roman" w:hAnsi="Arial" w:cs="Arial"/>
          <w:sz w:val="20"/>
          <w:szCs w:val="20"/>
          <w:lang w:val="en-IN" w:eastAsia="en-IN"/>
        </w:rPr>
        <w:t xml:space="preserve"> effects, and insights for spatial conservation prioritization. </w:t>
      </w:r>
      <w:r>
        <w:rPr>
          <w:rFonts w:ascii="Arial" w:eastAsia="Times New Roman" w:hAnsi="Arial" w:cs="Arial"/>
          <w:i/>
          <w:iCs/>
          <w:sz w:val="20"/>
          <w:szCs w:val="20"/>
          <w:lang w:val="en-IN" w:eastAsia="en-IN"/>
        </w:rPr>
        <w:t>Biological Conservation</w:t>
      </w:r>
      <w:r>
        <w:rPr>
          <w:rFonts w:ascii="Arial" w:eastAsia="Times New Roman" w:hAnsi="Arial" w:cs="Arial"/>
          <w:sz w:val="20"/>
          <w:szCs w:val="20"/>
          <w:lang w:val="en-IN" w:eastAsia="en-IN"/>
        </w:rPr>
        <w:t xml:space="preserve">, </w:t>
      </w:r>
      <w:r>
        <w:rPr>
          <w:rFonts w:ascii="Arial" w:eastAsia="Times New Roman" w:hAnsi="Arial" w:cs="Arial"/>
          <w:i/>
          <w:iCs/>
          <w:sz w:val="20"/>
          <w:szCs w:val="20"/>
          <w:lang w:val="en-IN" w:eastAsia="en-IN"/>
        </w:rPr>
        <w:t>285</w:t>
      </w:r>
      <w:r>
        <w:rPr>
          <w:rFonts w:ascii="Arial" w:eastAsia="Times New Roman" w:hAnsi="Arial" w:cs="Arial"/>
          <w:sz w:val="20"/>
          <w:szCs w:val="20"/>
          <w:lang w:val="en-IN" w:eastAsia="en-IN"/>
        </w:rPr>
        <w:t xml:space="preserve">, 110254. </w:t>
      </w:r>
      <w:hyperlink r:id="rId15" w:history="1">
        <w:r>
          <w:rPr>
            <w:rStyle w:val="Hyperlink"/>
            <w:rFonts w:ascii="Arial" w:eastAsia="Times New Roman" w:hAnsi="Arial" w:cs="Arial"/>
            <w:sz w:val="20"/>
            <w:szCs w:val="20"/>
            <w:lang w:val="en-IN" w:eastAsia="en-IN"/>
          </w:rPr>
          <w:t>https://doi.org/10.1016/j.biocon.2023.110254</w:t>
        </w:r>
      </w:hyperlink>
    </w:p>
    <w:p w:rsidR="001A2247" w:rsidRDefault="00905E84">
      <w:pPr>
        <w:pStyle w:val="NormalWeb"/>
        <w:numPr>
          <w:ilvl w:val="0"/>
          <w:numId w:val="4"/>
        </w:numPr>
        <w:spacing w:beforeAutospacing="0" w:afterAutospacing="0" w:line="480" w:lineRule="auto"/>
        <w:jc w:val="both"/>
        <w:rPr>
          <w:rStyle w:val="15"/>
          <w:rFonts w:ascii="Arial" w:eastAsia="Times New Roman" w:hAnsi="Arial" w:cs="Arial"/>
          <w:color w:val="auto"/>
          <w:sz w:val="20"/>
          <w:szCs w:val="20"/>
          <w:u w:val="none"/>
          <w:lang w:val="en-IN" w:eastAsia="en-IN"/>
        </w:rPr>
      </w:pPr>
      <w:r>
        <w:rPr>
          <w:rFonts w:ascii="Arial" w:eastAsia="Calibri" w:hAnsi="Arial" w:cs="Arial"/>
          <w:color w:val="000000" w:themeColor="text1"/>
          <w:sz w:val="20"/>
          <w:szCs w:val="20"/>
        </w:rPr>
        <w:t xml:space="preserve">Keenan </w:t>
      </w:r>
      <w:proofErr w:type="spellStart"/>
      <w:proofErr w:type="gramStart"/>
      <w:r>
        <w:rPr>
          <w:rFonts w:ascii="Arial" w:eastAsia="Calibri" w:hAnsi="Arial" w:cs="Arial"/>
          <w:color w:val="000000" w:themeColor="text1"/>
          <w:sz w:val="20"/>
          <w:szCs w:val="20"/>
        </w:rPr>
        <w:t>RJ,Reams</w:t>
      </w:r>
      <w:proofErr w:type="spellEnd"/>
      <w:proofErr w:type="gramEnd"/>
      <w:r>
        <w:rPr>
          <w:rFonts w:ascii="Arial" w:eastAsia="Calibri" w:hAnsi="Arial" w:cs="Arial"/>
          <w:color w:val="000000" w:themeColor="text1"/>
          <w:sz w:val="20"/>
          <w:szCs w:val="20"/>
        </w:rPr>
        <w:t xml:space="preserve"> GA, </w:t>
      </w:r>
      <w:proofErr w:type="spellStart"/>
      <w:r>
        <w:rPr>
          <w:rFonts w:ascii="Arial" w:eastAsia="Calibri" w:hAnsi="Arial" w:cs="Arial"/>
          <w:color w:val="000000" w:themeColor="text1"/>
          <w:sz w:val="20"/>
          <w:szCs w:val="20"/>
        </w:rPr>
        <w:t>AchardF</w:t>
      </w:r>
      <w:proofErr w:type="spellEnd"/>
      <w:r>
        <w:rPr>
          <w:rFonts w:ascii="Arial" w:eastAsia="Calibri" w:hAnsi="Arial" w:cs="Arial"/>
          <w:color w:val="000000" w:themeColor="text1"/>
          <w:sz w:val="20"/>
          <w:szCs w:val="20"/>
        </w:rPr>
        <w:t xml:space="preserve">, </w:t>
      </w:r>
      <w:proofErr w:type="spellStart"/>
      <w:r>
        <w:rPr>
          <w:rFonts w:ascii="Arial" w:eastAsia="Calibri" w:hAnsi="Arial" w:cs="Arial"/>
          <w:color w:val="000000" w:themeColor="text1"/>
          <w:sz w:val="20"/>
          <w:szCs w:val="20"/>
        </w:rPr>
        <w:t>deFreitasJV</w:t>
      </w:r>
      <w:proofErr w:type="spellEnd"/>
      <w:r>
        <w:rPr>
          <w:rFonts w:ascii="Arial" w:eastAsia="Calibri" w:hAnsi="Arial" w:cs="Arial"/>
          <w:color w:val="000000" w:themeColor="text1"/>
          <w:sz w:val="20"/>
          <w:szCs w:val="20"/>
        </w:rPr>
        <w:t xml:space="preserve">, </w:t>
      </w:r>
      <w:proofErr w:type="spellStart"/>
      <w:r>
        <w:rPr>
          <w:rFonts w:ascii="Arial" w:eastAsia="Calibri" w:hAnsi="Arial" w:cs="Arial"/>
          <w:color w:val="000000" w:themeColor="text1"/>
          <w:sz w:val="20"/>
          <w:szCs w:val="20"/>
        </w:rPr>
        <w:t>GraingerA</w:t>
      </w:r>
      <w:proofErr w:type="spellEnd"/>
      <w:r>
        <w:rPr>
          <w:rFonts w:ascii="Arial" w:eastAsia="Calibri" w:hAnsi="Arial" w:cs="Arial"/>
          <w:color w:val="000000" w:themeColor="text1"/>
          <w:sz w:val="20"/>
          <w:szCs w:val="20"/>
        </w:rPr>
        <w:t xml:space="preserve">, Lindquist E. Dynamics of global forest area: Results from the FAO Global Forest Resources Assessment 2015.For </w:t>
      </w:r>
      <w:proofErr w:type="spellStart"/>
      <w:r>
        <w:rPr>
          <w:rFonts w:ascii="Arial" w:eastAsia="Calibri" w:hAnsi="Arial" w:cs="Arial"/>
          <w:color w:val="000000" w:themeColor="text1"/>
          <w:sz w:val="20"/>
          <w:szCs w:val="20"/>
        </w:rPr>
        <w:t>Ecol</w:t>
      </w:r>
      <w:proofErr w:type="spellEnd"/>
      <w:r>
        <w:rPr>
          <w:rFonts w:ascii="Arial" w:eastAsia="Calibri" w:hAnsi="Arial" w:cs="Arial"/>
          <w:color w:val="000000" w:themeColor="text1"/>
          <w:sz w:val="20"/>
          <w:szCs w:val="20"/>
        </w:rPr>
        <w:t xml:space="preserve"> Manage.2015; 352:9–20. </w:t>
      </w:r>
      <w:hyperlink r:id="rId16" w:history="1">
        <w:r>
          <w:rPr>
            <w:rStyle w:val="15"/>
            <w:rFonts w:ascii="Arial" w:eastAsia="Calibri" w:hAnsi="Arial" w:cs="Arial"/>
            <w:color w:val="000000" w:themeColor="text1"/>
            <w:sz w:val="20"/>
            <w:szCs w:val="20"/>
          </w:rPr>
          <w:t>https://doi.org/10.1016/j.foreco.2015.06.014</w:t>
        </w:r>
      </w:hyperlink>
    </w:p>
    <w:p w:rsidR="001A2247" w:rsidRDefault="001A2247">
      <w:pPr>
        <w:pStyle w:val="ListParagraph"/>
        <w:spacing w:line="480" w:lineRule="auto"/>
        <w:jc w:val="both"/>
        <w:rPr>
          <w:rFonts w:ascii="Arial" w:eastAsia="Calibri" w:hAnsi="Arial" w:cs="Arial"/>
          <w:color w:val="000000" w:themeColor="text1"/>
        </w:rPr>
      </w:pPr>
    </w:p>
    <w:p w:rsidR="001A2247" w:rsidRDefault="00905E84">
      <w:pPr>
        <w:pStyle w:val="ListParagraph"/>
        <w:numPr>
          <w:ilvl w:val="0"/>
          <w:numId w:val="4"/>
        </w:numPr>
        <w:spacing w:before="100" w:beforeAutospacing="1" w:line="480" w:lineRule="auto"/>
        <w:jc w:val="both"/>
        <w:rPr>
          <w:rStyle w:val="15"/>
          <w:rFonts w:ascii="Arial" w:eastAsia="Calibri" w:hAnsi="Arial" w:cs="Arial"/>
          <w:color w:val="000000" w:themeColor="text1"/>
          <w:u w:val="none"/>
        </w:rPr>
      </w:pPr>
      <w:r>
        <w:rPr>
          <w:rFonts w:ascii="Arial" w:eastAsia="Calibri" w:hAnsi="Arial" w:cs="Arial"/>
          <w:color w:val="000000" w:themeColor="text1"/>
        </w:rPr>
        <w:t>A.</w:t>
      </w:r>
      <w:proofErr w:type="gramStart"/>
      <w:r>
        <w:rPr>
          <w:rFonts w:ascii="Arial" w:eastAsia="Calibri" w:hAnsi="Arial" w:cs="Arial"/>
          <w:color w:val="000000" w:themeColor="text1"/>
        </w:rPr>
        <w:t>A.Ssentongo</w:t>
      </w:r>
      <w:proofErr w:type="gramEnd"/>
      <w:r>
        <w:rPr>
          <w:rFonts w:ascii="Arial" w:eastAsia="Calibri" w:hAnsi="Arial" w:cs="Arial"/>
          <w:color w:val="000000" w:themeColor="text1"/>
        </w:rPr>
        <w:t xml:space="preserve">1, D. </w:t>
      </w:r>
      <w:proofErr w:type="spellStart"/>
      <w:r>
        <w:rPr>
          <w:rFonts w:ascii="Arial" w:eastAsia="Calibri" w:hAnsi="Arial" w:cs="Arial"/>
          <w:color w:val="000000" w:themeColor="text1"/>
        </w:rPr>
        <w:t>Darkey</w:t>
      </w:r>
      <w:proofErr w:type="spellEnd"/>
      <w:r>
        <w:rPr>
          <w:rFonts w:ascii="Arial" w:eastAsia="Calibri" w:hAnsi="Arial" w:cs="Arial"/>
          <w:color w:val="000000" w:themeColor="text1"/>
        </w:rPr>
        <w:t xml:space="preserve">, and </w:t>
      </w:r>
      <w:proofErr w:type="spellStart"/>
      <w:r>
        <w:rPr>
          <w:rFonts w:ascii="Arial" w:eastAsia="Calibri" w:hAnsi="Arial" w:cs="Arial"/>
          <w:color w:val="000000" w:themeColor="text1"/>
        </w:rPr>
        <w:t>J.Mutyaba</w:t>
      </w:r>
      <w:proofErr w:type="spellEnd"/>
      <w:r>
        <w:rPr>
          <w:rFonts w:ascii="Arial" w:eastAsia="Calibri" w:hAnsi="Arial" w:cs="Arial"/>
          <w:color w:val="000000" w:themeColor="text1"/>
        </w:rPr>
        <w:t xml:space="preserve">, </w:t>
      </w:r>
      <w:r>
        <w:rPr>
          <w:rFonts w:ascii="Arial" w:eastAsia="Calibri" w:hAnsi="Arial" w:cs="Arial"/>
          <w:bCs/>
          <w:color w:val="000000" w:themeColor="text1"/>
        </w:rPr>
        <w:t xml:space="preserve">Detecting Forest Cover and Ecosystem Service Change Using Integrated Approach of Remotely Sensed Derived Indices in the Central Districts of Uganda, </w:t>
      </w:r>
      <w:r>
        <w:rPr>
          <w:rFonts w:ascii="Arial" w:eastAsia="Calibri" w:hAnsi="Arial" w:cs="Arial"/>
          <w:i/>
          <w:iCs/>
          <w:color w:val="000000" w:themeColor="text1"/>
        </w:rPr>
        <w:t xml:space="preserve">South African Journal of Geomatics, Vol. 7. No. 1, AARSE 2017 Special Edition, January 2017, DOI: </w:t>
      </w:r>
      <w:hyperlink r:id="rId17" w:history="1">
        <w:r>
          <w:rPr>
            <w:rStyle w:val="15"/>
            <w:rFonts w:ascii="Arial" w:eastAsia="Calibri" w:hAnsi="Arial" w:cs="Arial"/>
            <w:i/>
            <w:iCs/>
            <w:color w:val="000000" w:themeColor="text1"/>
          </w:rPr>
          <w:t>http://dx.doi.org/10.4314/sajg.v7i1.4</w:t>
        </w:r>
      </w:hyperlink>
    </w:p>
    <w:p w:rsidR="001A2247" w:rsidRDefault="001A2247">
      <w:pPr>
        <w:pStyle w:val="ListParagraph"/>
        <w:spacing w:line="480" w:lineRule="auto"/>
        <w:jc w:val="both"/>
        <w:rPr>
          <w:rFonts w:ascii="Arial" w:hAnsi="Arial" w:cs="Arial"/>
        </w:rPr>
      </w:pPr>
    </w:p>
    <w:p w:rsidR="001A2247" w:rsidRDefault="00905E84">
      <w:pPr>
        <w:pStyle w:val="ListParagraph"/>
        <w:numPr>
          <w:ilvl w:val="0"/>
          <w:numId w:val="4"/>
        </w:numPr>
        <w:spacing w:before="100" w:beforeAutospacing="1" w:line="480" w:lineRule="auto"/>
        <w:jc w:val="both"/>
        <w:rPr>
          <w:rFonts w:ascii="Arial" w:hAnsi="Arial" w:cs="Arial"/>
          <w:color w:val="000000" w:themeColor="text1"/>
        </w:rPr>
      </w:pPr>
      <w:proofErr w:type="spellStart"/>
      <w:r>
        <w:rPr>
          <w:rFonts w:ascii="Arial" w:hAnsi="Arial" w:cs="Arial"/>
        </w:rPr>
        <w:t>Medhi</w:t>
      </w:r>
      <w:proofErr w:type="spellEnd"/>
      <w:r>
        <w:rPr>
          <w:rFonts w:ascii="Arial" w:hAnsi="Arial" w:cs="Arial"/>
        </w:rPr>
        <w:t xml:space="preserve"> and Kar., 2016, Depletion of Forest Cover and Encroachment in </w:t>
      </w:r>
      <w:proofErr w:type="spellStart"/>
      <w:r>
        <w:rPr>
          <w:rFonts w:ascii="Arial" w:hAnsi="Arial" w:cs="Arial"/>
        </w:rPr>
        <w:t>Gonbina</w:t>
      </w:r>
      <w:proofErr w:type="spellEnd"/>
      <w:r>
        <w:rPr>
          <w:rFonts w:ascii="Arial" w:hAnsi="Arial" w:cs="Arial"/>
        </w:rPr>
        <w:t xml:space="preserve"> Reserved Forest in the </w:t>
      </w:r>
      <w:proofErr w:type="spellStart"/>
      <w:r>
        <w:rPr>
          <w:rFonts w:ascii="Arial" w:hAnsi="Arial" w:cs="Arial"/>
        </w:rPr>
        <w:t>Goalpara</w:t>
      </w:r>
      <w:proofErr w:type="spellEnd"/>
      <w:r>
        <w:rPr>
          <w:rFonts w:ascii="Arial" w:hAnsi="Arial" w:cs="Arial"/>
        </w:rPr>
        <w:t xml:space="preserve"> District of Assam, India, Space and Culture, India </w:t>
      </w:r>
      <w:proofErr w:type="gramStart"/>
      <w:r>
        <w:rPr>
          <w:rFonts w:ascii="Arial" w:hAnsi="Arial" w:cs="Arial"/>
        </w:rPr>
        <w:t>2016,  DOI</w:t>
      </w:r>
      <w:proofErr w:type="gramEnd"/>
      <w:r>
        <w:rPr>
          <w:rFonts w:ascii="Arial" w:hAnsi="Arial" w:cs="Arial"/>
        </w:rPr>
        <w:t xml:space="preserve">: 10.20896/saci.v4i1.187b </w:t>
      </w:r>
    </w:p>
    <w:p w:rsidR="001A2247" w:rsidRDefault="001A2247">
      <w:pPr>
        <w:pStyle w:val="ListParagraph"/>
        <w:spacing w:line="480" w:lineRule="auto"/>
        <w:jc w:val="both"/>
        <w:rPr>
          <w:rFonts w:ascii="Arial" w:eastAsia="SimSun" w:hAnsi="Arial" w:cs="Arial"/>
          <w:color w:val="000000" w:themeColor="text1"/>
        </w:rPr>
      </w:pPr>
    </w:p>
    <w:p w:rsidR="001A2247" w:rsidRDefault="00905E84">
      <w:pPr>
        <w:pStyle w:val="EndnoteText"/>
        <w:numPr>
          <w:ilvl w:val="0"/>
          <w:numId w:val="4"/>
        </w:numPr>
        <w:spacing w:line="480" w:lineRule="auto"/>
        <w:jc w:val="both"/>
        <w:rPr>
          <w:rFonts w:ascii="Arial" w:hAnsi="Arial" w:cs="Arial"/>
        </w:rPr>
      </w:pPr>
      <w:r>
        <w:rPr>
          <w:rFonts w:ascii="Arial" w:eastAsia="SimSun" w:hAnsi="Arial" w:cs="Arial"/>
          <w:color w:val="000000" w:themeColor="text1"/>
        </w:rPr>
        <w:t>Hossain, A. K. M. A., &amp;</w:t>
      </w:r>
      <w:proofErr w:type="spellStart"/>
      <w:r>
        <w:rPr>
          <w:rFonts w:ascii="Arial" w:eastAsia="SimSun" w:hAnsi="Arial" w:cs="Arial"/>
          <w:color w:val="000000" w:themeColor="text1"/>
        </w:rPr>
        <w:t>Easson</w:t>
      </w:r>
      <w:proofErr w:type="spellEnd"/>
      <w:r>
        <w:rPr>
          <w:rFonts w:ascii="Arial" w:eastAsia="SimSun" w:hAnsi="Arial" w:cs="Arial"/>
          <w:color w:val="000000" w:themeColor="text1"/>
        </w:rPr>
        <w:t xml:space="preserve">, G. (2015). Potential Impacts of the Growth of a Mega City in Southeast Asia, a Case Study on the City of Dhaka, Bangladesh. In W.-Y. Chen, T. Suzuki, &amp; M. Lackner (Eds.), Handbook of Climate Change Mitigation and Adaptation (pp. 1–24). Springer New York. </w:t>
      </w:r>
      <w:proofErr w:type="spellStart"/>
      <w:r>
        <w:rPr>
          <w:rFonts w:ascii="Arial" w:eastAsia="SimSun" w:hAnsi="Arial" w:cs="Arial"/>
          <w:color w:val="000000" w:themeColor="text1"/>
        </w:rPr>
        <w:t>doi</w:t>
      </w:r>
      <w:proofErr w:type="spellEnd"/>
      <w:r>
        <w:rPr>
          <w:rFonts w:ascii="Arial" w:eastAsia="SimSun" w:hAnsi="Arial" w:cs="Arial"/>
          <w:color w:val="000000" w:themeColor="text1"/>
        </w:rPr>
        <w:t xml:space="preserve">: </w:t>
      </w:r>
      <w:hyperlink r:id="rId18" w:history="1">
        <w:r>
          <w:rPr>
            <w:rStyle w:val="Hyperlink"/>
            <w:rFonts w:ascii="Arial" w:eastAsia="SimSun" w:hAnsi="Arial" w:cs="Arial"/>
          </w:rPr>
          <w:t>https://doi.org/10.1007/978-1-4614-6431-0_68-1</w:t>
        </w:r>
      </w:hyperlink>
      <w:r>
        <w:rPr>
          <w:rFonts w:ascii="Arial" w:eastAsia="SimSun" w:hAnsi="Arial" w:cs="Arial"/>
          <w:color w:val="000000" w:themeColor="text1"/>
        </w:rPr>
        <w:t>.</w:t>
      </w:r>
    </w:p>
    <w:p w:rsidR="001A2247" w:rsidRDefault="00905E84">
      <w:pPr>
        <w:pStyle w:val="ListParagraph"/>
        <w:numPr>
          <w:ilvl w:val="0"/>
          <w:numId w:val="4"/>
        </w:numPr>
        <w:spacing w:before="100" w:beforeAutospacing="1" w:line="480" w:lineRule="auto"/>
        <w:jc w:val="both"/>
        <w:rPr>
          <w:rFonts w:ascii="Arial" w:hAnsi="Arial" w:cs="Arial"/>
          <w:color w:val="000000" w:themeColor="text1"/>
        </w:rPr>
      </w:pPr>
      <w:r>
        <w:rPr>
          <w:rFonts w:ascii="Arial" w:eastAsia="Times New Roman" w:hAnsi="Arial" w:cs="Arial"/>
          <w:lang w:val="en-IN" w:eastAsia="en-IN"/>
        </w:rPr>
        <w:t xml:space="preserve">Liu, X., Liang, S., Ma, H., Li, B., Zhang, Y., Li, Y., He, T., Zhang, G., Xu, J., </w:t>
      </w:r>
      <w:proofErr w:type="spellStart"/>
      <w:r>
        <w:rPr>
          <w:rFonts w:ascii="Arial" w:eastAsia="Times New Roman" w:hAnsi="Arial" w:cs="Arial"/>
          <w:lang w:val="en-IN" w:eastAsia="en-IN"/>
        </w:rPr>
        <w:t>Xiong</w:t>
      </w:r>
      <w:proofErr w:type="spellEnd"/>
      <w:r>
        <w:rPr>
          <w:rFonts w:ascii="Arial" w:eastAsia="Times New Roman" w:hAnsi="Arial" w:cs="Arial"/>
          <w:lang w:val="en-IN" w:eastAsia="en-IN"/>
        </w:rPr>
        <w:t xml:space="preserve">, C., Ma, R., Wu, W., &amp; Teng, J. (2024). Landsat-observed changes in forest cover and attribution analysis over Northern China from 1996‒2020. </w:t>
      </w:r>
      <w:proofErr w:type="spellStart"/>
      <w:r>
        <w:rPr>
          <w:rFonts w:ascii="Arial" w:eastAsia="Times New Roman" w:hAnsi="Arial" w:cs="Arial"/>
          <w:i/>
          <w:iCs/>
          <w:lang w:val="en-IN" w:eastAsia="en-IN"/>
        </w:rPr>
        <w:t>GIScience</w:t>
      </w:r>
      <w:proofErr w:type="spellEnd"/>
      <w:r>
        <w:rPr>
          <w:rFonts w:ascii="Arial" w:eastAsia="Times New Roman" w:hAnsi="Arial" w:cs="Arial"/>
          <w:i/>
          <w:iCs/>
          <w:lang w:val="en-IN" w:eastAsia="en-IN"/>
        </w:rPr>
        <w:t xml:space="preserve"> &amp; Remote Sensing</w:t>
      </w:r>
      <w:r>
        <w:rPr>
          <w:rFonts w:ascii="Arial" w:eastAsia="Times New Roman" w:hAnsi="Arial" w:cs="Arial"/>
          <w:lang w:val="en-IN" w:eastAsia="en-IN"/>
        </w:rPr>
        <w:t xml:space="preserve">, </w:t>
      </w:r>
      <w:r>
        <w:rPr>
          <w:rFonts w:ascii="Arial" w:eastAsia="Times New Roman" w:hAnsi="Arial" w:cs="Arial"/>
          <w:i/>
          <w:iCs/>
          <w:lang w:val="en-IN" w:eastAsia="en-IN"/>
        </w:rPr>
        <w:t>61</w:t>
      </w:r>
      <w:r>
        <w:rPr>
          <w:rFonts w:ascii="Arial" w:eastAsia="Times New Roman" w:hAnsi="Arial" w:cs="Arial"/>
          <w:lang w:val="en-IN" w:eastAsia="en-IN"/>
        </w:rPr>
        <w:t xml:space="preserve">(1). </w:t>
      </w:r>
      <w:hyperlink r:id="rId19" w:history="1">
        <w:r>
          <w:rPr>
            <w:rStyle w:val="Hyperlink"/>
            <w:rFonts w:ascii="Arial" w:eastAsia="Times New Roman" w:hAnsi="Arial" w:cs="Arial"/>
            <w:lang w:val="en-IN" w:eastAsia="en-IN"/>
          </w:rPr>
          <w:t>https://doi.org/10.1080/15481603.2023.2300214</w:t>
        </w:r>
      </w:hyperlink>
    </w:p>
    <w:p w:rsidR="001A2247" w:rsidRDefault="001A2247">
      <w:pPr>
        <w:pStyle w:val="ListParagraph"/>
        <w:spacing w:line="480" w:lineRule="auto"/>
        <w:jc w:val="both"/>
        <w:rPr>
          <w:rFonts w:ascii="Arial" w:hAnsi="Arial" w:cs="Arial"/>
          <w:color w:val="1B1B1B"/>
          <w:shd w:val="clear" w:color="auto" w:fill="FFFFFF"/>
        </w:rPr>
      </w:pPr>
    </w:p>
    <w:p w:rsidR="001A2247" w:rsidRDefault="00905E84">
      <w:pPr>
        <w:pStyle w:val="NormalWeb"/>
        <w:numPr>
          <w:ilvl w:val="0"/>
          <w:numId w:val="4"/>
        </w:numPr>
        <w:spacing w:beforeAutospacing="0" w:afterAutospacing="0" w:line="480" w:lineRule="auto"/>
        <w:jc w:val="both"/>
        <w:rPr>
          <w:rFonts w:ascii="Arial" w:eastAsia="Times New Roman" w:hAnsi="Arial" w:cs="Arial"/>
          <w:sz w:val="20"/>
          <w:szCs w:val="20"/>
          <w:lang w:val="en-IN" w:eastAsia="en-IN"/>
        </w:rPr>
      </w:pPr>
      <w:r>
        <w:rPr>
          <w:rFonts w:ascii="Arial" w:hAnsi="Arial" w:cs="Arial"/>
          <w:color w:val="1B1B1B"/>
          <w:sz w:val="20"/>
          <w:szCs w:val="20"/>
          <w:shd w:val="clear" w:color="auto" w:fill="FFFFFF"/>
        </w:rPr>
        <w:t xml:space="preserve">Pan, </w:t>
      </w:r>
      <w:proofErr w:type="spellStart"/>
      <w:r>
        <w:rPr>
          <w:rFonts w:ascii="Arial" w:hAnsi="Arial" w:cs="Arial"/>
          <w:color w:val="1B1B1B"/>
          <w:sz w:val="20"/>
          <w:szCs w:val="20"/>
          <w:shd w:val="clear" w:color="auto" w:fill="FFFFFF"/>
        </w:rPr>
        <w:t>Yude</w:t>
      </w:r>
      <w:proofErr w:type="spellEnd"/>
      <w:r>
        <w:rPr>
          <w:rFonts w:ascii="Arial" w:hAnsi="Arial" w:cs="Arial"/>
          <w:color w:val="1B1B1B"/>
          <w:sz w:val="20"/>
          <w:szCs w:val="20"/>
          <w:shd w:val="clear" w:color="auto" w:fill="FFFFFF"/>
        </w:rPr>
        <w:t xml:space="preserve">; </w:t>
      </w:r>
      <w:proofErr w:type="spellStart"/>
      <w:r>
        <w:rPr>
          <w:rFonts w:ascii="Arial" w:hAnsi="Arial" w:cs="Arial"/>
          <w:color w:val="1B1B1B"/>
          <w:sz w:val="20"/>
          <w:szCs w:val="20"/>
          <w:shd w:val="clear" w:color="auto" w:fill="FFFFFF"/>
        </w:rPr>
        <w:t>Birdsey</w:t>
      </w:r>
      <w:proofErr w:type="spellEnd"/>
      <w:r>
        <w:rPr>
          <w:rFonts w:ascii="Arial" w:hAnsi="Arial" w:cs="Arial"/>
          <w:color w:val="1B1B1B"/>
          <w:sz w:val="20"/>
          <w:szCs w:val="20"/>
          <w:shd w:val="clear" w:color="auto" w:fill="FFFFFF"/>
        </w:rPr>
        <w:t xml:space="preserve">, Richard A.; Fang, </w:t>
      </w:r>
      <w:proofErr w:type="spellStart"/>
      <w:r>
        <w:rPr>
          <w:rFonts w:ascii="Arial" w:hAnsi="Arial" w:cs="Arial"/>
          <w:color w:val="1B1B1B"/>
          <w:sz w:val="20"/>
          <w:szCs w:val="20"/>
          <w:shd w:val="clear" w:color="auto" w:fill="FFFFFF"/>
        </w:rPr>
        <w:t>Jingyun</w:t>
      </w:r>
      <w:proofErr w:type="spellEnd"/>
      <w:r>
        <w:rPr>
          <w:rFonts w:ascii="Arial" w:hAnsi="Arial" w:cs="Arial"/>
          <w:color w:val="1B1B1B"/>
          <w:sz w:val="20"/>
          <w:szCs w:val="20"/>
          <w:shd w:val="clear" w:color="auto" w:fill="FFFFFF"/>
        </w:rPr>
        <w:t xml:space="preserve">; Houghton, Richard; Kauppi, </w:t>
      </w:r>
      <w:proofErr w:type="spellStart"/>
      <w:r>
        <w:rPr>
          <w:rFonts w:ascii="Arial" w:hAnsi="Arial" w:cs="Arial"/>
          <w:color w:val="1B1B1B"/>
          <w:sz w:val="20"/>
          <w:szCs w:val="20"/>
          <w:shd w:val="clear" w:color="auto" w:fill="FFFFFF"/>
        </w:rPr>
        <w:t>Pekka</w:t>
      </w:r>
      <w:proofErr w:type="spellEnd"/>
      <w:r>
        <w:rPr>
          <w:rFonts w:ascii="Arial" w:hAnsi="Arial" w:cs="Arial"/>
          <w:color w:val="1B1B1B"/>
          <w:sz w:val="20"/>
          <w:szCs w:val="20"/>
          <w:shd w:val="clear" w:color="auto" w:fill="FFFFFF"/>
        </w:rPr>
        <w:t xml:space="preserve"> E.; </w:t>
      </w:r>
      <w:proofErr w:type="spellStart"/>
      <w:r>
        <w:rPr>
          <w:rFonts w:ascii="Arial" w:hAnsi="Arial" w:cs="Arial"/>
          <w:color w:val="1B1B1B"/>
          <w:sz w:val="20"/>
          <w:szCs w:val="20"/>
          <w:shd w:val="clear" w:color="auto" w:fill="FFFFFF"/>
        </w:rPr>
        <w:t>Kurz</w:t>
      </w:r>
      <w:proofErr w:type="spellEnd"/>
      <w:r>
        <w:rPr>
          <w:rFonts w:ascii="Arial" w:hAnsi="Arial" w:cs="Arial"/>
          <w:color w:val="1B1B1B"/>
          <w:sz w:val="20"/>
          <w:szCs w:val="20"/>
          <w:shd w:val="clear" w:color="auto" w:fill="FFFFFF"/>
        </w:rPr>
        <w:t xml:space="preserve">, Werner A.; Phillips, Oliver L.; </w:t>
      </w:r>
      <w:proofErr w:type="spellStart"/>
      <w:r>
        <w:rPr>
          <w:rFonts w:ascii="Arial" w:hAnsi="Arial" w:cs="Arial"/>
          <w:color w:val="1B1B1B"/>
          <w:sz w:val="20"/>
          <w:szCs w:val="20"/>
          <w:shd w:val="clear" w:color="auto" w:fill="FFFFFF"/>
        </w:rPr>
        <w:t>Shvidenko</w:t>
      </w:r>
      <w:proofErr w:type="spellEnd"/>
      <w:r>
        <w:rPr>
          <w:rFonts w:ascii="Arial" w:hAnsi="Arial" w:cs="Arial"/>
          <w:color w:val="1B1B1B"/>
          <w:sz w:val="20"/>
          <w:szCs w:val="20"/>
          <w:shd w:val="clear" w:color="auto" w:fill="FFFFFF"/>
        </w:rPr>
        <w:t xml:space="preserve">, Anatoly; Lewis, Simon L.; </w:t>
      </w:r>
      <w:proofErr w:type="spellStart"/>
      <w:r>
        <w:rPr>
          <w:rFonts w:ascii="Arial" w:hAnsi="Arial" w:cs="Arial"/>
          <w:color w:val="1B1B1B"/>
          <w:sz w:val="20"/>
          <w:szCs w:val="20"/>
          <w:shd w:val="clear" w:color="auto" w:fill="FFFFFF"/>
        </w:rPr>
        <w:t>Canadell</w:t>
      </w:r>
      <w:proofErr w:type="spellEnd"/>
      <w:r>
        <w:rPr>
          <w:rFonts w:ascii="Arial" w:hAnsi="Arial" w:cs="Arial"/>
          <w:color w:val="1B1B1B"/>
          <w:sz w:val="20"/>
          <w:szCs w:val="20"/>
          <w:shd w:val="clear" w:color="auto" w:fill="FFFFFF"/>
        </w:rPr>
        <w:t xml:space="preserve">, </w:t>
      </w:r>
      <w:proofErr w:type="spellStart"/>
      <w:r>
        <w:rPr>
          <w:rFonts w:ascii="Arial" w:hAnsi="Arial" w:cs="Arial"/>
          <w:color w:val="1B1B1B"/>
          <w:sz w:val="20"/>
          <w:szCs w:val="20"/>
          <w:shd w:val="clear" w:color="auto" w:fill="FFFFFF"/>
        </w:rPr>
        <w:t>Josep</w:t>
      </w:r>
      <w:proofErr w:type="spellEnd"/>
      <w:r>
        <w:rPr>
          <w:rFonts w:ascii="Arial" w:hAnsi="Arial" w:cs="Arial"/>
          <w:color w:val="1B1B1B"/>
          <w:sz w:val="20"/>
          <w:szCs w:val="20"/>
          <w:shd w:val="clear" w:color="auto" w:fill="FFFFFF"/>
        </w:rPr>
        <w:t xml:space="preserve"> G.; </w:t>
      </w:r>
      <w:proofErr w:type="spellStart"/>
      <w:r>
        <w:rPr>
          <w:rFonts w:ascii="Arial" w:hAnsi="Arial" w:cs="Arial"/>
          <w:color w:val="1B1B1B"/>
          <w:sz w:val="20"/>
          <w:szCs w:val="20"/>
          <w:shd w:val="clear" w:color="auto" w:fill="FFFFFF"/>
        </w:rPr>
        <w:t>Ciais</w:t>
      </w:r>
      <w:proofErr w:type="spellEnd"/>
      <w:r>
        <w:rPr>
          <w:rFonts w:ascii="Arial" w:hAnsi="Arial" w:cs="Arial"/>
          <w:color w:val="1B1B1B"/>
          <w:sz w:val="20"/>
          <w:szCs w:val="20"/>
          <w:shd w:val="clear" w:color="auto" w:fill="FFFFFF"/>
        </w:rPr>
        <w:t xml:space="preserve">, Philippe; Jackson, Robert B.; </w:t>
      </w:r>
      <w:proofErr w:type="spellStart"/>
      <w:r>
        <w:rPr>
          <w:rFonts w:ascii="Arial" w:hAnsi="Arial" w:cs="Arial"/>
          <w:color w:val="1B1B1B"/>
          <w:sz w:val="20"/>
          <w:szCs w:val="20"/>
          <w:shd w:val="clear" w:color="auto" w:fill="FFFFFF"/>
        </w:rPr>
        <w:t>Pacala</w:t>
      </w:r>
      <w:proofErr w:type="spellEnd"/>
      <w:r>
        <w:rPr>
          <w:rFonts w:ascii="Arial" w:hAnsi="Arial" w:cs="Arial"/>
          <w:color w:val="1B1B1B"/>
          <w:sz w:val="20"/>
          <w:szCs w:val="20"/>
          <w:shd w:val="clear" w:color="auto" w:fill="FFFFFF"/>
        </w:rPr>
        <w:t xml:space="preserve">, Stephen W.; McGuire, A. David; Piao, </w:t>
      </w:r>
      <w:proofErr w:type="spellStart"/>
      <w:r>
        <w:rPr>
          <w:rFonts w:ascii="Arial" w:hAnsi="Arial" w:cs="Arial"/>
          <w:color w:val="1B1B1B"/>
          <w:sz w:val="20"/>
          <w:szCs w:val="20"/>
          <w:shd w:val="clear" w:color="auto" w:fill="FFFFFF"/>
        </w:rPr>
        <w:t>Shilong</w:t>
      </w:r>
      <w:proofErr w:type="spellEnd"/>
      <w:r>
        <w:rPr>
          <w:rFonts w:ascii="Arial" w:hAnsi="Arial" w:cs="Arial"/>
          <w:color w:val="1B1B1B"/>
          <w:sz w:val="20"/>
          <w:szCs w:val="20"/>
          <w:shd w:val="clear" w:color="auto" w:fill="FFFFFF"/>
        </w:rPr>
        <w:t xml:space="preserve">; </w:t>
      </w:r>
      <w:proofErr w:type="spellStart"/>
      <w:r>
        <w:rPr>
          <w:rFonts w:ascii="Arial" w:hAnsi="Arial" w:cs="Arial"/>
          <w:color w:val="1B1B1B"/>
          <w:sz w:val="20"/>
          <w:szCs w:val="20"/>
          <w:shd w:val="clear" w:color="auto" w:fill="FFFFFF"/>
        </w:rPr>
        <w:t>Rautiainen</w:t>
      </w:r>
      <w:proofErr w:type="spellEnd"/>
      <w:r>
        <w:rPr>
          <w:rFonts w:ascii="Arial" w:hAnsi="Arial" w:cs="Arial"/>
          <w:color w:val="1B1B1B"/>
          <w:sz w:val="20"/>
          <w:szCs w:val="20"/>
          <w:shd w:val="clear" w:color="auto" w:fill="FFFFFF"/>
        </w:rPr>
        <w:t xml:space="preserve">, </w:t>
      </w:r>
      <w:proofErr w:type="spellStart"/>
      <w:r>
        <w:rPr>
          <w:rFonts w:ascii="Arial" w:hAnsi="Arial" w:cs="Arial"/>
          <w:color w:val="1B1B1B"/>
          <w:sz w:val="20"/>
          <w:szCs w:val="20"/>
          <w:shd w:val="clear" w:color="auto" w:fill="FFFFFF"/>
        </w:rPr>
        <w:t>Aapo</w:t>
      </w:r>
      <w:proofErr w:type="spellEnd"/>
      <w:r>
        <w:rPr>
          <w:rFonts w:ascii="Arial" w:hAnsi="Arial" w:cs="Arial"/>
          <w:color w:val="1B1B1B"/>
          <w:sz w:val="20"/>
          <w:szCs w:val="20"/>
          <w:shd w:val="clear" w:color="auto" w:fill="FFFFFF"/>
        </w:rPr>
        <w:t xml:space="preserve">; </w:t>
      </w:r>
      <w:proofErr w:type="spellStart"/>
      <w:r>
        <w:rPr>
          <w:rFonts w:ascii="Arial" w:hAnsi="Arial" w:cs="Arial"/>
          <w:color w:val="1B1B1B"/>
          <w:sz w:val="20"/>
          <w:szCs w:val="20"/>
          <w:shd w:val="clear" w:color="auto" w:fill="FFFFFF"/>
        </w:rPr>
        <w:t>Sitch</w:t>
      </w:r>
      <w:proofErr w:type="spellEnd"/>
      <w:r>
        <w:rPr>
          <w:rFonts w:ascii="Arial" w:hAnsi="Arial" w:cs="Arial"/>
          <w:color w:val="1B1B1B"/>
          <w:sz w:val="20"/>
          <w:szCs w:val="20"/>
          <w:shd w:val="clear" w:color="auto" w:fill="FFFFFF"/>
        </w:rPr>
        <w:t xml:space="preserve">, Stephen; Hayes, Daniel. 2011. A large and persistent carbon sink in the world's forests. Science. 333: 988-993. </w:t>
      </w:r>
    </w:p>
    <w:p w:rsidR="001A2247" w:rsidRDefault="001A2247">
      <w:pPr>
        <w:pStyle w:val="ListParagraph"/>
        <w:spacing w:line="480" w:lineRule="auto"/>
        <w:jc w:val="both"/>
        <w:rPr>
          <w:rFonts w:ascii="Arial" w:hAnsi="Arial" w:cs="Arial"/>
        </w:rPr>
      </w:pPr>
    </w:p>
    <w:p w:rsidR="001A2247" w:rsidRDefault="0081306D">
      <w:pPr>
        <w:pStyle w:val="EndnoteText"/>
        <w:numPr>
          <w:ilvl w:val="0"/>
          <w:numId w:val="4"/>
        </w:numPr>
        <w:spacing w:line="480" w:lineRule="auto"/>
        <w:jc w:val="both"/>
        <w:rPr>
          <w:rFonts w:ascii="Arial" w:hAnsi="Arial" w:cs="Arial"/>
        </w:rPr>
      </w:pPr>
      <w:hyperlink r:id="rId20" w:history="1">
        <w:r w:rsidR="00905E84">
          <w:rPr>
            <w:rStyle w:val="Hyperlink"/>
            <w:rFonts w:ascii="Arial" w:hAnsi="Arial" w:cs="Arial"/>
          </w:rPr>
          <w:t>https://www.worldwildlife.org</w:t>
        </w:r>
      </w:hyperlink>
      <w:r w:rsidR="00905E84">
        <w:rPr>
          <w:rFonts w:ascii="Arial" w:hAnsi="Arial" w:cs="Arial"/>
        </w:rPr>
        <w:t xml:space="preserve"> accessed 27 August, 2025</w:t>
      </w:r>
    </w:p>
    <w:p w:rsidR="001A2247" w:rsidRDefault="00905E84">
      <w:pPr>
        <w:pStyle w:val="EndnoteText"/>
        <w:numPr>
          <w:ilvl w:val="0"/>
          <w:numId w:val="4"/>
        </w:numPr>
        <w:spacing w:line="480" w:lineRule="auto"/>
        <w:jc w:val="both"/>
        <w:rPr>
          <w:rFonts w:ascii="Arial" w:hAnsi="Arial" w:cs="Arial"/>
        </w:rPr>
      </w:pPr>
      <w:r>
        <w:rPr>
          <w:rFonts w:ascii="Arial" w:hAnsi="Arial" w:cs="Arial"/>
          <w:color w:val="222222"/>
        </w:rPr>
        <w:t>Myers, N., Mittermeier, R., Mittermeier, C. </w:t>
      </w:r>
      <w:r>
        <w:rPr>
          <w:rFonts w:ascii="Arial" w:hAnsi="Arial" w:cs="Arial"/>
          <w:i/>
          <w:iCs/>
          <w:color w:val="222222"/>
        </w:rPr>
        <w:t>et al.</w:t>
      </w:r>
      <w:r>
        <w:rPr>
          <w:rFonts w:ascii="Arial" w:hAnsi="Arial" w:cs="Arial"/>
          <w:color w:val="222222"/>
        </w:rPr>
        <w:t> Biodiversity hotspots for conservation priorities. </w:t>
      </w:r>
      <w:r>
        <w:rPr>
          <w:rFonts w:ascii="Arial" w:hAnsi="Arial" w:cs="Arial"/>
          <w:i/>
          <w:iCs/>
          <w:color w:val="222222"/>
        </w:rPr>
        <w:t>Nature</w:t>
      </w:r>
      <w:r>
        <w:rPr>
          <w:rFonts w:ascii="Arial" w:hAnsi="Arial" w:cs="Arial"/>
          <w:color w:val="222222"/>
        </w:rPr>
        <w:t> </w:t>
      </w:r>
      <w:r>
        <w:rPr>
          <w:rFonts w:ascii="Arial" w:hAnsi="Arial" w:cs="Arial"/>
          <w:b/>
          <w:bCs/>
          <w:color w:val="222222"/>
        </w:rPr>
        <w:t>403</w:t>
      </w:r>
      <w:r>
        <w:rPr>
          <w:rFonts w:ascii="Arial" w:hAnsi="Arial" w:cs="Arial"/>
          <w:color w:val="222222"/>
        </w:rPr>
        <w:t xml:space="preserve">, 853–858 (2000). </w:t>
      </w:r>
      <w:hyperlink r:id="rId21" w:history="1">
        <w:r>
          <w:rPr>
            <w:rStyle w:val="Hyperlink"/>
            <w:rFonts w:ascii="Arial" w:hAnsi="Arial" w:cs="Arial"/>
          </w:rPr>
          <w:t>https://doi.org/10.1038/35002501</w:t>
        </w:r>
      </w:hyperlink>
      <w:r>
        <w:rPr>
          <w:rFonts w:ascii="Arial" w:hAnsi="Arial" w:cs="Arial"/>
          <w:color w:val="222222"/>
        </w:rPr>
        <w:t xml:space="preserve"> </w:t>
      </w:r>
    </w:p>
    <w:p w:rsidR="001A2247" w:rsidRDefault="00905E84">
      <w:pPr>
        <w:pStyle w:val="c-bibliographic-informationcitation"/>
        <w:numPr>
          <w:ilvl w:val="0"/>
          <w:numId w:val="4"/>
        </w:numPr>
        <w:shd w:val="clear" w:color="auto" w:fill="FFFFFF"/>
        <w:spacing w:before="0" w:beforeAutospacing="0" w:after="240" w:afterAutospacing="0" w:line="480" w:lineRule="auto"/>
        <w:jc w:val="both"/>
        <w:rPr>
          <w:rFonts w:ascii="Arial" w:hAnsi="Arial" w:cs="Arial"/>
          <w:color w:val="222222"/>
          <w:sz w:val="20"/>
          <w:szCs w:val="20"/>
        </w:rPr>
      </w:pPr>
      <w:r>
        <w:rPr>
          <w:rFonts w:ascii="Arial" w:hAnsi="Arial" w:cs="Arial"/>
          <w:sz w:val="20"/>
          <w:szCs w:val="20"/>
        </w:rPr>
        <w:t xml:space="preserve">Ghosh-Harihar, M., An, R., </w:t>
      </w:r>
      <w:proofErr w:type="spellStart"/>
      <w:r>
        <w:rPr>
          <w:rFonts w:ascii="Arial" w:hAnsi="Arial" w:cs="Arial"/>
          <w:sz w:val="20"/>
          <w:szCs w:val="20"/>
        </w:rPr>
        <w:t>Athreya</w:t>
      </w:r>
      <w:proofErr w:type="spellEnd"/>
      <w:r>
        <w:rPr>
          <w:rFonts w:ascii="Arial" w:hAnsi="Arial" w:cs="Arial"/>
          <w:sz w:val="20"/>
          <w:szCs w:val="20"/>
        </w:rPr>
        <w:t xml:space="preserve">, R., </w:t>
      </w:r>
      <w:proofErr w:type="spellStart"/>
      <w:r>
        <w:rPr>
          <w:rFonts w:ascii="Arial" w:hAnsi="Arial" w:cs="Arial"/>
          <w:sz w:val="20"/>
          <w:szCs w:val="20"/>
        </w:rPr>
        <w:t>Borthakur</w:t>
      </w:r>
      <w:proofErr w:type="spellEnd"/>
      <w:r>
        <w:rPr>
          <w:rFonts w:ascii="Arial" w:hAnsi="Arial" w:cs="Arial"/>
          <w:sz w:val="20"/>
          <w:szCs w:val="20"/>
        </w:rPr>
        <w:t xml:space="preserve">, U., </w:t>
      </w:r>
      <w:proofErr w:type="spellStart"/>
      <w:r>
        <w:rPr>
          <w:rFonts w:ascii="Arial" w:hAnsi="Arial" w:cs="Arial"/>
          <w:sz w:val="20"/>
          <w:szCs w:val="20"/>
        </w:rPr>
        <w:t>Chanchani</w:t>
      </w:r>
      <w:proofErr w:type="spellEnd"/>
      <w:r>
        <w:rPr>
          <w:rFonts w:ascii="Arial" w:hAnsi="Arial" w:cs="Arial"/>
          <w:sz w:val="20"/>
          <w:szCs w:val="20"/>
        </w:rPr>
        <w:t xml:space="preserve">, P., </w:t>
      </w:r>
      <w:proofErr w:type="spellStart"/>
      <w:r>
        <w:rPr>
          <w:rFonts w:ascii="Arial" w:hAnsi="Arial" w:cs="Arial"/>
          <w:sz w:val="20"/>
          <w:szCs w:val="20"/>
        </w:rPr>
        <w:t>Chetry</w:t>
      </w:r>
      <w:proofErr w:type="spellEnd"/>
      <w:r>
        <w:rPr>
          <w:rFonts w:ascii="Arial" w:hAnsi="Arial" w:cs="Arial"/>
          <w:sz w:val="20"/>
          <w:szCs w:val="20"/>
        </w:rPr>
        <w:t xml:space="preserve">, D., Datta, A., Harihar, A., </w:t>
      </w:r>
      <w:proofErr w:type="spellStart"/>
      <w:r>
        <w:rPr>
          <w:rFonts w:ascii="Arial" w:hAnsi="Arial" w:cs="Arial"/>
          <w:sz w:val="20"/>
          <w:szCs w:val="20"/>
        </w:rPr>
        <w:t>Karanth</w:t>
      </w:r>
      <w:proofErr w:type="spellEnd"/>
      <w:r>
        <w:rPr>
          <w:rFonts w:ascii="Arial" w:hAnsi="Arial" w:cs="Arial"/>
          <w:sz w:val="20"/>
          <w:szCs w:val="20"/>
        </w:rPr>
        <w:t xml:space="preserve">, K. K., Mariyam, D., Mohan, D., </w:t>
      </w:r>
      <w:proofErr w:type="spellStart"/>
      <w:r>
        <w:rPr>
          <w:rFonts w:ascii="Arial" w:hAnsi="Arial" w:cs="Arial"/>
          <w:sz w:val="20"/>
          <w:szCs w:val="20"/>
        </w:rPr>
        <w:t>Onial</w:t>
      </w:r>
      <w:proofErr w:type="spellEnd"/>
      <w:r>
        <w:rPr>
          <w:rFonts w:ascii="Arial" w:hAnsi="Arial" w:cs="Arial"/>
          <w:sz w:val="20"/>
          <w:szCs w:val="20"/>
        </w:rPr>
        <w:t xml:space="preserve">, M., Ramakrishnan, U., Robin, V., Saxena, A., Shahabuddin, G., </w:t>
      </w:r>
      <w:proofErr w:type="spellStart"/>
      <w:r>
        <w:rPr>
          <w:rFonts w:ascii="Arial" w:hAnsi="Arial" w:cs="Arial"/>
          <w:sz w:val="20"/>
          <w:szCs w:val="20"/>
        </w:rPr>
        <w:t>Thatte</w:t>
      </w:r>
      <w:proofErr w:type="spellEnd"/>
      <w:r>
        <w:rPr>
          <w:rFonts w:ascii="Arial" w:hAnsi="Arial" w:cs="Arial"/>
          <w:sz w:val="20"/>
          <w:szCs w:val="20"/>
        </w:rPr>
        <w:t xml:space="preserve">, P., Vijay, V., Wacker, K., . . . Price, T. D. (2019). Protected areas and biodiversity conservation in India. </w:t>
      </w:r>
      <w:r>
        <w:rPr>
          <w:rFonts w:ascii="Arial" w:hAnsi="Arial" w:cs="Arial"/>
          <w:i/>
          <w:iCs/>
          <w:sz w:val="20"/>
          <w:szCs w:val="20"/>
        </w:rPr>
        <w:t>Biological Conservation</w:t>
      </w:r>
      <w:r>
        <w:rPr>
          <w:rFonts w:ascii="Arial" w:hAnsi="Arial" w:cs="Arial"/>
          <w:sz w:val="20"/>
          <w:szCs w:val="20"/>
        </w:rPr>
        <w:t xml:space="preserve">, </w:t>
      </w:r>
      <w:r>
        <w:rPr>
          <w:rFonts w:ascii="Arial" w:hAnsi="Arial" w:cs="Arial"/>
          <w:i/>
          <w:iCs/>
          <w:sz w:val="20"/>
          <w:szCs w:val="20"/>
        </w:rPr>
        <w:t>237</w:t>
      </w:r>
      <w:r>
        <w:rPr>
          <w:rFonts w:ascii="Arial" w:hAnsi="Arial" w:cs="Arial"/>
          <w:sz w:val="20"/>
          <w:szCs w:val="20"/>
        </w:rPr>
        <w:t xml:space="preserve">, 114–124. </w:t>
      </w:r>
      <w:hyperlink r:id="rId22" w:history="1">
        <w:r>
          <w:rPr>
            <w:rStyle w:val="Hyperlink"/>
            <w:rFonts w:ascii="Arial" w:hAnsi="Arial" w:cs="Arial"/>
            <w:sz w:val="20"/>
            <w:szCs w:val="20"/>
          </w:rPr>
          <w:t>https://doi.org/10.1016/j.biocon.2019.06.024</w:t>
        </w:r>
      </w:hyperlink>
    </w:p>
    <w:p w:rsidR="001A2247" w:rsidRDefault="001A2247">
      <w:pPr>
        <w:pStyle w:val="ListParagraph"/>
        <w:spacing w:line="480" w:lineRule="auto"/>
        <w:jc w:val="both"/>
        <w:rPr>
          <w:rFonts w:ascii="Arial" w:hAnsi="Arial" w:cs="Arial"/>
          <w:color w:val="222222"/>
          <w:shd w:val="clear" w:color="auto" w:fill="FFFFFF"/>
        </w:rPr>
      </w:pPr>
    </w:p>
    <w:p w:rsidR="001A2247" w:rsidRDefault="00905E84">
      <w:pPr>
        <w:pStyle w:val="NormalWeb"/>
        <w:numPr>
          <w:ilvl w:val="0"/>
          <w:numId w:val="4"/>
        </w:numPr>
        <w:spacing w:beforeAutospacing="0" w:afterAutospacing="0" w:line="480" w:lineRule="auto"/>
        <w:jc w:val="both"/>
        <w:rPr>
          <w:rFonts w:ascii="Arial" w:eastAsia="Times New Roman" w:hAnsi="Arial" w:cs="Arial"/>
          <w:sz w:val="20"/>
          <w:szCs w:val="20"/>
          <w:lang w:val="en-IN" w:eastAsia="en-IN"/>
        </w:rPr>
      </w:pPr>
      <w:r>
        <w:rPr>
          <w:rFonts w:ascii="Arial" w:hAnsi="Arial" w:cs="Arial"/>
          <w:color w:val="222222"/>
          <w:sz w:val="20"/>
          <w:szCs w:val="20"/>
          <w:shd w:val="clear" w:color="auto" w:fill="FFFFFF"/>
        </w:rPr>
        <w:lastRenderedPageBreak/>
        <w:t xml:space="preserve">FSI – 2019. State of forest report, Assam. Forest Survey of India, Ministry of Environment and Forests, Dehradun, pp. 23–33 </w:t>
      </w:r>
    </w:p>
    <w:p w:rsidR="001A2247" w:rsidRDefault="001A2247">
      <w:pPr>
        <w:pStyle w:val="ListParagraph"/>
        <w:spacing w:line="480" w:lineRule="auto"/>
        <w:jc w:val="both"/>
        <w:rPr>
          <w:rFonts w:ascii="Arial" w:eastAsia="Times New Roman" w:hAnsi="Arial" w:cs="Arial"/>
          <w:bCs/>
          <w:lang w:val="en-IN" w:eastAsia="en-IN"/>
        </w:rPr>
      </w:pPr>
    </w:p>
    <w:p w:rsidR="001A2247" w:rsidRDefault="00905E84">
      <w:pPr>
        <w:pStyle w:val="EndnoteText"/>
        <w:numPr>
          <w:ilvl w:val="0"/>
          <w:numId w:val="4"/>
        </w:numPr>
        <w:spacing w:line="480" w:lineRule="auto"/>
        <w:jc w:val="both"/>
        <w:rPr>
          <w:rFonts w:ascii="Arial" w:hAnsi="Arial" w:cs="Arial"/>
        </w:rPr>
      </w:pPr>
      <w:r>
        <w:rPr>
          <w:rFonts w:ascii="Arial" w:eastAsia="Times New Roman" w:hAnsi="Arial" w:cs="Arial"/>
          <w:bCs/>
          <w:lang w:val="en-IN" w:eastAsia="en-IN"/>
        </w:rPr>
        <w:t>Pathak</w:t>
      </w:r>
      <w:r>
        <w:rPr>
          <w:rFonts w:ascii="Arial" w:eastAsia="Times New Roman" w:hAnsi="Arial" w:cs="Arial"/>
          <w:lang w:val="en-IN" w:eastAsia="en-IN"/>
        </w:rPr>
        <w:t>,</w:t>
      </w:r>
      <w:r>
        <w:rPr>
          <w:rFonts w:ascii="Arial" w:hAnsi="Arial" w:cs="Arial"/>
        </w:rPr>
        <w:t xml:space="preserve"> </w:t>
      </w:r>
      <w:r>
        <w:rPr>
          <w:rFonts w:ascii="Arial" w:eastAsia="Times New Roman" w:hAnsi="Arial" w:cs="Arial"/>
          <w:bCs/>
          <w:lang w:val="en-IN" w:eastAsia="en-IN"/>
        </w:rPr>
        <w:t xml:space="preserve">Bhaskar., </w:t>
      </w:r>
      <w:proofErr w:type="spellStart"/>
      <w:r>
        <w:rPr>
          <w:rFonts w:ascii="Arial" w:eastAsia="Times New Roman" w:hAnsi="Arial" w:cs="Arial"/>
          <w:bCs/>
          <w:lang w:val="en-IN" w:eastAsia="en-IN"/>
        </w:rPr>
        <w:t>Kalita</w:t>
      </w:r>
      <w:proofErr w:type="spellEnd"/>
      <w:r>
        <w:rPr>
          <w:rFonts w:ascii="Arial" w:eastAsia="Times New Roman" w:hAnsi="Arial" w:cs="Arial"/>
          <w:bCs/>
          <w:lang w:val="en-IN" w:eastAsia="en-IN"/>
        </w:rPr>
        <w:t xml:space="preserve"> Chandra </w:t>
      </w:r>
      <w:proofErr w:type="spellStart"/>
      <w:r>
        <w:rPr>
          <w:rFonts w:ascii="Arial" w:eastAsia="Times New Roman" w:hAnsi="Arial" w:cs="Arial"/>
          <w:bCs/>
          <w:lang w:val="en-IN" w:eastAsia="en-IN"/>
        </w:rPr>
        <w:t>Jogen</w:t>
      </w:r>
      <w:proofErr w:type="spellEnd"/>
      <w:r>
        <w:rPr>
          <w:rFonts w:ascii="Arial" w:eastAsia="Times New Roman" w:hAnsi="Arial" w:cs="Arial"/>
          <w:bCs/>
          <w:lang w:val="en-IN" w:eastAsia="en-IN"/>
        </w:rPr>
        <w:t xml:space="preserve">., </w:t>
      </w:r>
      <w:proofErr w:type="spellStart"/>
      <w:r>
        <w:rPr>
          <w:rFonts w:ascii="Arial" w:eastAsia="Times New Roman" w:hAnsi="Arial" w:cs="Arial"/>
          <w:bCs/>
          <w:lang w:val="en-IN" w:eastAsia="en-IN"/>
        </w:rPr>
        <w:t>Bhuyan</w:t>
      </w:r>
      <w:proofErr w:type="spellEnd"/>
      <w:r>
        <w:rPr>
          <w:rFonts w:ascii="Arial" w:eastAsia="Times New Roman" w:hAnsi="Arial" w:cs="Arial"/>
          <w:bCs/>
          <w:lang w:val="en-IN" w:eastAsia="en-IN"/>
        </w:rPr>
        <w:t xml:space="preserve">., Robin., </w:t>
      </w:r>
      <w:proofErr w:type="gramStart"/>
      <w:r>
        <w:rPr>
          <w:rFonts w:ascii="Arial" w:eastAsia="Times New Roman" w:hAnsi="Arial" w:cs="Arial"/>
          <w:bCs/>
          <w:lang w:val="en-IN" w:eastAsia="en-IN"/>
        </w:rPr>
        <w:t xml:space="preserve">2025, </w:t>
      </w:r>
      <w:r>
        <w:rPr>
          <w:rFonts w:ascii="Arial" w:eastAsia="Times New Roman" w:hAnsi="Arial" w:cs="Arial"/>
          <w:b/>
          <w:bCs/>
          <w:lang w:val="en-IN" w:eastAsia="en-IN"/>
        </w:rPr>
        <w:t xml:space="preserve"> </w:t>
      </w:r>
      <w:r>
        <w:rPr>
          <w:rFonts w:ascii="Arial" w:hAnsi="Arial" w:cs="Arial"/>
        </w:rPr>
        <w:t>Studies</w:t>
      </w:r>
      <w:proofErr w:type="gramEnd"/>
      <w:r>
        <w:rPr>
          <w:rFonts w:ascii="Arial" w:hAnsi="Arial" w:cs="Arial"/>
        </w:rPr>
        <w:t xml:space="preserve"> on the Anthropogenic impact on leafy vegetables of forest coverage area of </w:t>
      </w:r>
      <w:proofErr w:type="spellStart"/>
      <w:r>
        <w:rPr>
          <w:rFonts w:ascii="Arial" w:hAnsi="Arial" w:cs="Arial"/>
        </w:rPr>
        <w:t>Goalpara</w:t>
      </w:r>
      <w:proofErr w:type="spellEnd"/>
      <w:r>
        <w:rPr>
          <w:rFonts w:ascii="Arial" w:hAnsi="Arial" w:cs="Arial"/>
        </w:rPr>
        <w:t xml:space="preserve"> district, Assam, India. (2025). </w:t>
      </w:r>
      <w:r>
        <w:rPr>
          <w:rFonts w:ascii="Arial" w:hAnsi="Arial" w:cs="Arial"/>
          <w:i/>
          <w:iCs/>
        </w:rPr>
        <w:t>International Journal of Environmental Sciences</w:t>
      </w:r>
      <w:r>
        <w:rPr>
          <w:rFonts w:ascii="Arial" w:hAnsi="Arial" w:cs="Arial"/>
        </w:rPr>
        <w:t>, </w:t>
      </w:r>
      <w:r>
        <w:rPr>
          <w:rFonts w:ascii="Arial" w:hAnsi="Arial" w:cs="Arial"/>
          <w:i/>
          <w:iCs/>
        </w:rPr>
        <w:t>11</w:t>
      </w:r>
      <w:r>
        <w:rPr>
          <w:rFonts w:ascii="Arial" w:hAnsi="Arial" w:cs="Arial"/>
        </w:rPr>
        <w:t>(5s), 443-457. </w:t>
      </w:r>
      <w:hyperlink r:id="rId23" w:history="1">
        <w:r>
          <w:rPr>
            <w:rStyle w:val="Hyperlink"/>
            <w:rFonts w:ascii="Arial" w:hAnsi="Arial" w:cs="Arial"/>
            <w:color w:val="4B7D92"/>
          </w:rPr>
          <w:t>https://doi.org/10.64252/x9x1dw85</w:t>
        </w:r>
      </w:hyperlink>
      <w:r>
        <w:rPr>
          <w:rFonts w:ascii="Arial" w:hAnsi="Arial" w:cs="Arial"/>
        </w:rPr>
        <w:t xml:space="preserve"> </w:t>
      </w:r>
    </w:p>
    <w:p w:rsidR="001A2247" w:rsidRDefault="001A2247">
      <w:pPr>
        <w:pStyle w:val="ListParagraph"/>
        <w:spacing w:line="480" w:lineRule="auto"/>
        <w:jc w:val="both"/>
        <w:rPr>
          <w:rFonts w:ascii="Arial" w:hAnsi="Arial" w:cs="Arial"/>
        </w:rPr>
      </w:pPr>
    </w:p>
    <w:p w:rsidR="001A2247" w:rsidRDefault="00905E84">
      <w:pPr>
        <w:pStyle w:val="ListParagraph"/>
        <w:numPr>
          <w:ilvl w:val="0"/>
          <w:numId w:val="4"/>
        </w:numPr>
        <w:spacing w:before="100" w:beforeAutospacing="1" w:line="480" w:lineRule="auto"/>
        <w:jc w:val="both"/>
        <w:rPr>
          <w:rFonts w:ascii="Arial" w:eastAsia="Times New Roman" w:hAnsi="Arial" w:cs="Arial"/>
          <w:color w:val="000000" w:themeColor="text1"/>
        </w:rPr>
      </w:pPr>
      <w:r>
        <w:rPr>
          <w:rFonts w:ascii="Arial" w:hAnsi="Arial" w:cs="Arial"/>
          <w:color w:val="000000" w:themeColor="text1"/>
        </w:rPr>
        <w:t xml:space="preserve">Deka, </w:t>
      </w:r>
      <w:proofErr w:type="spellStart"/>
      <w:r>
        <w:rPr>
          <w:rFonts w:ascii="Arial" w:hAnsi="Arial" w:cs="Arial"/>
          <w:color w:val="000000" w:themeColor="text1"/>
        </w:rPr>
        <w:t>Sangeta</w:t>
      </w:r>
      <w:proofErr w:type="spellEnd"/>
      <w:r>
        <w:rPr>
          <w:rFonts w:ascii="Arial" w:hAnsi="Arial" w:cs="Arial"/>
          <w:color w:val="000000" w:themeColor="text1"/>
        </w:rPr>
        <w:t xml:space="preserve">, et al., 2019, Land Use Dynamics on Ecosystem Service Value Implications of Land Use Dynamics on Ecosystem Service Value: A Case Study from </w:t>
      </w:r>
      <w:proofErr w:type="spellStart"/>
      <w:r>
        <w:rPr>
          <w:rFonts w:ascii="Arial" w:hAnsi="Arial" w:cs="Arial"/>
          <w:color w:val="000000" w:themeColor="text1"/>
        </w:rPr>
        <w:t>Goalpara</w:t>
      </w:r>
      <w:proofErr w:type="spellEnd"/>
      <w:r>
        <w:rPr>
          <w:rFonts w:ascii="Arial" w:hAnsi="Arial" w:cs="Arial"/>
          <w:color w:val="000000" w:themeColor="text1"/>
        </w:rPr>
        <w:t xml:space="preserve"> District of Assam, Northeast India, International Journal of Plant And Environment </w:t>
      </w:r>
      <w:proofErr w:type="gramStart"/>
      <w:r>
        <w:rPr>
          <w:rFonts w:ascii="Arial" w:hAnsi="Arial" w:cs="Arial"/>
          <w:color w:val="000000" w:themeColor="text1"/>
        </w:rPr>
        <w:t>VL  -</w:t>
      </w:r>
      <w:proofErr w:type="gramEnd"/>
      <w:r>
        <w:rPr>
          <w:rFonts w:ascii="Arial" w:hAnsi="Arial" w:cs="Arial"/>
          <w:color w:val="000000" w:themeColor="text1"/>
        </w:rPr>
        <w:t xml:space="preserve"> 5, Doi  - 10.18811/ijpen.v5i04.7</w:t>
      </w:r>
    </w:p>
    <w:p w:rsidR="001A2247" w:rsidRDefault="001A2247">
      <w:pPr>
        <w:pStyle w:val="ListParagraph"/>
        <w:spacing w:line="480" w:lineRule="auto"/>
        <w:jc w:val="both"/>
        <w:rPr>
          <w:rFonts w:ascii="Arial" w:eastAsia="Times New Roman" w:hAnsi="Arial" w:cs="Arial"/>
          <w:color w:val="000000" w:themeColor="text1"/>
        </w:rPr>
      </w:pPr>
    </w:p>
    <w:p w:rsidR="001A2247" w:rsidRDefault="00905E84">
      <w:pPr>
        <w:numPr>
          <w:ilvl w:val="0"/>
          <w:numId w:val="4"/>
        </w:numPr>
        <w:spacing w:before="100" w:beforeAutospacing="1" w:line="480" w:lineRule="auto"/>
        <w:jc w:val="both"/>
        <w:rPr>
          <w:rFonts w:ascii="Arial" w:hAnsi="Arial" w:cs="Arial"/>
          <w:color w:val="000000" w:themeColor="text1"/>
        </w:rPr>
      </w:pPr>
      <w:r>
        <w:rPr>
          <w:rFonts w:ascii="Arial" w:eastAsia="SimSun" w:hAnsi="Arial" w:cs="Arial"/>
          <w:color w:val="000000" w:themeColor="text1"/>
        </w:rPr>
        <w:t xml:space="preserve">Rabha, K. </w:t>
      </w:r>
      <w:proofErr w:type="spellStart"/>
      <w:r>
        <w:rPr>
          <w:rFonts w:ascii="Arial" w:eastAsia="SimSun" w:hAnsi="Arial" w:cs="Arial"/>
          <w:color w:val="000000" w:themeColor="text1"/>
        </w:rPr>
        <w:t>Bipul</w:t>
      </w:r>
      <w:proofErr w:type="spellEnd"/>
      <w:r>
        <w:rPr>
          <w:rFonts w:ascii="Arial" w:eastAsia="SimSun" w:hAnsi="Arial" w:cs="Arial"/>
          <w:color w:val="000000" w:themeColor="text1"/>
        </w:rPr>
        <w:t xml:space="preserve">, Actual Picture of JFM System: Field Study from </w:t>
      </w:r>
      <w:proofErr w:type="spellStart"/>
      <w:proofErr w:type="gramStart"/>
      <w:r>
        <w:rPr>
          <w:rFonts w:ascii="Arial" w:eastAsia="SimSun" w:hAnsi="Arial" w:cs="Arial"/>
          <w:color w:val="000000" w:themeColor="text1"/>
        </w:rPr>
        <w:t>Goalpara</w:t>
      </w:r>
      <w:proofErr w:type="spellEnd"/>
      <w:r>
        <w:rPr>
          <w:rFonts w:ascii="Arial" w:eastAsia="SimSun" w:hAnsi="Arial" w:cs="Arial"/>
          <w:color w:val="000000" w:themeColor="text1"/>
        </w:rPr>
        <w:t xml:space="preserve">  District</w:t>
      </w:r>
      <w:proofErr w:type="gramEnd"/>
      <w:r>
        <w:rPr>
          <w:rFonts w:ascii="Arial" w:eastAsia="SimSun" w:hAnsi="Arial" w:cs="Arial"/>
          <w:color w:val="000000" w:themeColor="text1"/>
        </w:rPr>
        <w:t xml:space="preserve"> of Assam, International Journal of Research in Humanities and Social Studies, Volume 3, Issue 7, July 2016, PP 1-6  ISSN 2394-6288 (Print) &amp; ISSN 2394-6296 (Online)</w:t>
      </w:r>
    </w:p>
    <w:p w:rsidR="001A2247" w:rsidRDefault="00905E84">
      <w:pPr>
        <w:pStyle w:val="ListParagraph"/>
        <w:numPr>
          <w:ilvl w:val="0"/>
          <w:numId w:val="4"/>
        </w:numPr>
        <w:spacing w:before="100" w:beforeAutospacing="1" w:line="480" w:lineRule="auto"/>
        <w:jc w:val="both"/>
        <w:rPr>
          <w:rFonts w:ascii="Arial" w:eastAsia="Times New Roman" w:hAnsi="Arial" w:cs="Arial"/>
          <w:color w:val="000000" w:themeColor="text1"/>
        </w:rPr>
      </w:pPr>
      <w:r>
        <w:rPr>
          <w:rFonts w:ascii="Arial" w:eastAsia="Calibri" w:hAnsi="Arial" w:cs="Arial"/>
          <w:color w:val="000000" w:themeColor="text1"/>
        </w:rPr>
        <w:t xml:space="preserve">FAO (2010), Global forest resource assessment 2010. Rome: Food and Agriculture </w:t>
      </w:r>
      <w:proofErr w:type="spellStart"/>
      <w:r>
        <w:rPr>
          <w:rFonts w:ascii="Arial" w:eastAsia="Calibri" w:hAnsi="Arial" w:cs="Arial"/>
          <w:color w:val="000000" w:themeColor="text1"/>
        </w:rPr>
        <w:t>Organisation</w:t>
      </w:r>
      <w:proofErr w:type="spellEnd"/>
      <w:r>
        <w:rPr>
          <w:rFonts w:ascii="Arial" w:eastAsia="Calibri" w:hAnsi="Arial" w:cs="Arial"/>
          <w:color w:val="000000" w:themeColor="text1"/>
        </w:rPr>
        <w:t xml:space="preserve"> of the United Nations.</w:t>
      </w:r>
    </w:p>
    <w:p w:rsidR="001A2247" w:rsidRDefault="0081306D">
      <w:pPr>
        <w:pStyle w:val="ListParagraph"/>
        <w:numPr>
          <w:ilvl w:val="0"/>
          <w:numId w:val="4"/>
        </w:numPr>
        <w:shd w:val="clear" w:color="auto" w:fill="FFFFFF"/>
        <w:spacing w:before="100" w:beforeAutospacing="1" w:after="100" w:afterAutospacing="1" w:line="480" w:lineRule="auto"/>
        <w:jc w:val="both"/>
        <w:rPr>
          <w:rFonts w:ascii="Arial" w:eastAsia="Times New Roman" w:hAnsi="Arial" w:cs="Arial"/>
          <w:lang w:val="en-IN" w:eastAsia="en-IN"/>
        </w:rPr>
      </w:pPr>
      <w:hyperlink r:id="rId24" w:history="1">
        <w:r w:rsidR="00905E84">
          <w:rPr>
            <w:rStyle w:val="Hyperlink"/>
            <w:rFonts w:ascii="Arial" w:hAnsi="Arial" w:cs="Arial"/>
          </w:rPr>
          <w:t>https://www.fao.org/interactive/forest-resources-assessment/2020/en/</w:t>
        </w:r>
      </w:hyperlink>
      <w:r w:rsidR="00905E84">
        <w:rPr>
          <w:rFonts w:ascii="Arial" w:hAnsi="Arial" w:cs="Arial"/>
        </w:rPr>
        <w:t xml:space="preserve"> </w:t>
      </w:r>
    </w:p>
    <w:p w:rsidR="001A2247" w:rsidRDefault="00905E84">
      <w:pPr>
        <w:pStyle w:val="EndnoteText"/>
        <w:numPr>
          <w:ilvl w:val="0"/>
          <w:numId w:val="4"/>
        </w:numPr>
        <w:spacing w:line="480" w:lineRule="auto"/>
        <w:jc w:val="both"/>
      </w:pPr>
      <w:r>
        <w:rPr>
          <w:rFonts w:ascii="Arial" w:hAnsi="Arial" w:cs="Arial"/>
          <w:color w:val="222222"/>
          <w:sz w:val="22"/>
          <w:szCs w:val="22"/>
          <w:shd w:val="clear" w:color="auto" w:fill="FFFFFF"/>
        </w:rPr>
        <w:t xml:space="preserve">Abebe, G., Getachew, D. &amp; </w:t>
      </w:r>
      <w:proofErr w:type="spellStart"/>
      <w:r>
        <w:rPr>
          <w:rFonts w:ascii="Arial" w:hAnsi="Arial" w:cs="Arial"/>
          <w:color w:val="222222"/>
          <w:sz w:val="22"/>
          <w:szCs w:val="22"/>
          <w:shd w:val="clear" w:color="auto" w:fill="FFFFFF"/>
        </w:rPr>
        <w:t>Ewunetu</w:t>
      </w:r>
      <w:proofErr w:type="spellEnd"/>
      <w:r>
        <w:rPr>
          <w:rFonts w:ascii="Arial" w:hAnsi="Arial" w:cs="Arial"/>
          <w:color w:val="222222"/>
          <w:sz w:val="22"/>
          <w:szCs w:val="22"/>
          <w:shd w:val="clear" w:color="auto" w:fill="FFFFFF"/>
        </w:rPr>
        <w:t xml:space="preserve">, A. </w:t>
      </w:r>
      <w:proofErr w:type="spellStart"/>
      <w:r>
        <w:rPr>
          <w:rFonts w:ascii="Arial" w:hAnsi="Arial" w:cs="Arial"/>
          <w:color w:val="222222"/>
          <w:sz w:val="22"/>
          <w:szCs w:val="22"/>
          <w:shd w:val="clear" w:color="auto" w:fill="FFFFFF"/>
        </w:rPr>
        <w:t>Analysing</w:t>
      </w:r>
      <w:proofErr w:type="spellEnd"/>
      <w:r>
        <w:rPr>
          <w:rFonts w:ascii="Arial" w:hAnsi="Arial" w:cs="Arial"/>
          <w:color w:val="222222"/>
          <w:sz w:val="22"/>
          <w:szCs w:val="22"/>
          <w:shd w:val="clear" w:color="auto" w:fill="FFFFFF"/>
        </w:rPr>
        <w:t xml:space="preserve"> land use/land cover changes and its dynamics using remote sensing and GIS in </w:t>
      </w:r>
      <w:proofErr w:type="spellStart"/>
      <w:r>
        <w:rPr>
          <w:rFonts w:ascii="Arial" w:hAnsi="Arial" w:cs="Arial"/>
          <w:color w:val="222222"/>
          <w:sz w:val="22"/>
          <w:szCs w:val="22"/>
          <w:shd w:val="clear" w:color="auto" w:fill="FFFFFF"/>
        </w:rPr>
        <w:t>Gubalafito</w:t>
      </w:r>
      <w:proofErr w:type="spellEnd"/>
      <w:r>
        <w:rPr>
          <w:rFonts w:ascii="Arial" w:hAnsi="Arial" w:cs="Arial"/>
          <w:color w:val="222222"/>
          <w:sz w:val="22"/>
          <w:szCs w:val="22"/>
          <w:shd w:val="clear" w:color="auto" w:fill="FFFFFF"/>
        </w:rPr>
        <w:t xml:space="preserve"> district, Northeastern Ethiopia. </w:t>
      </w:r>
      <w:r>
        <w:rPr>
          <w:rFonts w:ascii="Arial" w:hAnsi="Arial" w:cs="Arial"/>
          <w:i/>
          <w:iCs/>
          <w:color w:val="222222"/>
          <w:sz w:val="22"/>
          <w:szCs w:val="22"/>
          <w:shd w:val="clear" w:color="auto" w:fill="FFFFFF"/>
        </w:rPr>
        <w:t>SN Appl. Sci.</w:t>
      </w:r>
      <w:r>
        <w:rPr>
          <w:rFonts w:ascii="Arial" w:hAnsi="Arial" w:cs="Arial"/>
          <w:color w:val="222222"/>
          <w:sz w:val="22"/>
          <w:szCs w:val="22"/>
          <w:shd w:val="clear" w:color="auto" w:fill="FFFFFF"/>
        </w:rPr>
        <w:t> </w:t>
      </w:r>
      <w:r>
        <w:rPr>
          <w:rFonts w:ascii="Arial" w:hAnsi="Arial" w:cs="Arial"/>
          <w:b/>
          <w:bCs/>
          <w:color w:val="222222"/>
          <w:sz w:val="22"/>
          <w:szCs w:val="22"/>
          <w:shd w:val="clear" w:color="auto" w:fill="FFFFFF"/>
        </w:rPr>
        <w:t>4</w:t>
      </w:r>
      <w:r>
        <w:rPr>
          <w:rFonts w:ascii="Arial" w:hAnsi="Arial" w:cs="Arial"/>
          <w:color w:val="222222"/>
          <w:sz w:val="22"/>
          <w:szCs w:val="22"/>
          <w:shd w:val="clear" w:color="auto" w:fill="FFFFFF"/>
        </w:rPr>
        <w:t>, 30 (2022). https://doi.org/10.1007/s42452-021-04915-8</w:t>
      </w:r>
    </w:p>
    <w:p w:rsidR="001A2247" w:rsidRDefault="00905E84">
      <w:pPr>
        <w:pStyle w:val="ListParagraph"/>
        <w:numPr>
          <w:ilvl w:val="0"/>
          <w:numId w:val="4"/>
        </w:numPr>
        <w:shd w:val="clear" w:color="auto" w:fill="FFFFFF"/>
        <w:spacing w:before="100" w:beforeAutospacing="1" w:after="100" w:afterAutospacing="1" w:line="480" w:lineRule="auto"/>
        <w:jc w:val="both"/>
        <w:rPr>
          <w:rFonts w:ascii="Arial" w:eastAsia="Times New Roman" w:hAnsi="Arial" w:cs="Arial"/>
          <w:lang w:val="en-IN" w:eastAsia="en-IN"/>
        </w:rPr>
      </w:pPr>
      <w:proofErr w:type="spellStart"/>
      <w:r>
        <w:rPr>
          <w:rFonts w:eastAsia="Times New Roman"/>
          <w:lang w:val="en-IN" w:eastAsia="en-IN"/>
        </w:rPr>
        <w:t>Nad</w:t>
      </w:r>
      <w:proofErr w:type="spellEnd"/>
      <w:r>
        <w:rPr>
          <w:rFonts w:eastAsia="Times New Roman"/>
          <w:lang w:val="en-IN" w:eastAsia="en-IN"/>
        </w:rPr>
        <w:t xml:space="preserve">, C., Roy, R., &amp; Roy, T. B. (2021). “Human elephant conflict in changing land use land-cover scenario in and adjoining region of </w:t>
      </w:r>
      <w:proofErr w:type="spellStart"/>
      <w:r>
        <w:rPr>
          <w:rFonts w:eastAsia="Times New Roman"/>
          <w:lang w:val="en-IN" w:eastAsia="en-IN"/>
        </w:rPr>
        <w:t>Buxa</w:t>
      </w:r>
      <w:proofErr w:type="spellEnd"/>
      <w:r>
        <w:rPr>
          <w:rFonts w:eastAsia="Times New Roman"/>
          <w:lang w:val="en-IN" w:eastAsia="en-IN"/>
        </w:rPr>
        <w:t xml:space="preserve"> tiger reserve, India.” </w:t>
      </w:r>
      <w:r>
        <w:rPr>
          <w:rFonts w:eastAsia="Times New Roman"/>
          <w:i/>
          <w:iCs/>
          <w:lang w:val="en-IN" w:eastAsia="en-IN"/>
        </w:rPr>
        <w:t>Environmental Challenges</w:t>
      </w:r>
      <w:r>
        <w:rPr>
          <w:rFonts w:eastAsia="Times New Roman"/>
          <w:lang w:val="en-IN" w:eastAsia="en-IN"/>
        </w:rPr>
        <w:t xml:space="preserve">, </w:t>
      </w:r>
      <w:r>
        <w:rPr>
          <w:rFonts w:eastAsia="Times New Roman"/>
          <w:i/>
          <w:iCs/>
          <w:lang w:val="en-IN" w:eastAsia="en-IN"/>
        </w:rPr>
        <w:t>7</w:t>
      </w:r>
      <w:r>
        <w:rPr>
          <w:rFonts w:eastAsia="Times New Roman"/>
          <w:lang w:val="en-IN" w:eastAsia="en-IN"/>
        </w:rPr>
        <w:t xml:space="preserve">, 100384. </w:t>
      </w:r>
      <w:hyperlink r:id="rId25" w:history="1">
        <w:r>
          <w:rPr>
            <w:rStyle w:val="Hyperlink"/>
            <w:rFonts w:eastAsia="Times New Roman"/>
            <w:lang w:val="en-IN" w:eastAsia="en-IN"/>
          </w:rPr>
          <w:t>https://doi.org/10.1016/j.envc.2021.100384</w:t>
        </w:r>
      </w:hyperlink>
    </w:p>
    <w:p w:rsidR="001A2247" w:rsidRDefault="00905E84">
      <w:pPr>
        <w:pStyle w:val="EndnoteText"/>
        <w:numPr>
          <w:ilvl w:val="0"/>
          <w:numId w:val="4"/>
        </w:numPr>
        <w:spacing w:line="480" w:lineRule="auto"/>
        <w:jc w:val="both"/>
        <w:rPr>
          <w:rFonts w:ascii="Arial" w:hAnsi="Arial" w:cs="Arial"/>
        </w:rPr>
      </w:pPr>
      <w:proofErr w:type="spellStart"/>
      <w:r>
        <w:rPr>
          <w:rFonts w:ascii="Arial" w:hAnsi="Arial" w:cs="Arial"/>
          <w:color w:val="222222"/>
          <w:shd w:val="clear" w:color="auto" w:fill="FFFFFF"/>
        </w:rPr>
        <w:t>Mahato</w:t>
      </w:r>
      <w:proofErr w:type="spellEnd"/>
      <w:r>
        <w:rPr>
          <w:rFonts w:ascii="Arial" w:hAnsi="Arial" w:cs="Arial"/>
          <w:color w:val="222222"/>
          <w:shd w:val="clear" w:color="auto" w:fill="FFFFFF"/>
        </w:rPr>
        <w:t xml:space="preserve">, R., </w:t>
      </w:r>
      <w:proofErr w:type="spellStart"/>
      <w:r>
        <w:rPr>
          <w:rFonts w:ascii="Arial" w:hAnsi="Arial" w:cs="Arial"/>
          <w:color w:val="222222"/>
          <w:shd w:val="clear" w:color="auto" w:fill="FFFFFF"/>
        </w:rPr>
        <w:t>Nimasow</w:t>
      </w:r>
      <w:proofErr w:type="spellEnd"/>
      <w:r>
        <w:rPr>
          <w:rFonts w:ascii="Arial" w:hAnsi="Arial" w:cs="Arial"/>
          <w:color w:val="222222"/>
          <w:shd w:val="clear" w:color="auto" w:fill="FFFFFF"/>
        </w:rPr>
        <w:t xml:space="preserve">, G., </w:t>
      </w:r>
      <w:proofErr w:type="spellStart"/>
      <w:r>
        <w:rPr>
          <w:rFonts w:ascii="Arial" w:hAnsi="Arial" w:cs="Arial"/>
          <w:color w:val="222222"/>
          <w:shd w:val="clear" w:color="auto" w:fill="FFFFFF"/>
        </w:rPr>
        <w:t>Nimasow</w:t>
      </w:r>
      <w:proofErr w:type="spellEnd"/>
      <w:r>
        <w:rPr>
          <w:rFonts w:ascii="Arial" w:hAnsi="Arial" w:cs="Arial"/>
          <w:color w:val="222222"/>
          <w:shd w:val="clear" w:color="auto" w:fill="FFFFFF"/>
        </w:rPr>
        <w:t>, O.D. </w:t>
      </w:r>
      <w:r>
        <w:rPr>
          <w:rFonts w:ascii="Arial" w:hAnsi="Arial" w:cs="Arial"/>
          <w:i/>
          <w:iCs/>
          <w:color w:val="222222"/>
          <w:shd w:val="clear" w:color="auto" w:fill="FFFFFF"/>
        </w:rPr>
        <w:t>et al.</w:t>
      </w:r>
      <w:r>
        <w:rPr>
          <w:rFonts w:ascii="Arial" w:hAnsi="Arial" w:cs="Arial"/>
          <w:color w:val="222222"/>
          <w:shd w:val="clear" w:color="auto" w:fill="FFFFFF"/>
        </w:rPr>
        <w:t xml:space="preserve"> Assessing the tropical forest cover change in northern parts of </w:t>
      </w:r>
      <w:proofErr w:type="spellStart"/>
      <w:r>
        <w:rPr>
          <w:rFonts w:ascii="Arial" w:hAnsi="Arial" w:cs="Arial"/>
          <w:color w:val="222222"/>
          <w:shd w:val="clear" w:color="auto" w:fill="FFFFFF"/>
        </w:rPr>
        <w:t>Sonitpur</w:t>
      </w:r>
      <w:proofErr w:type="spellEnd"/>
      <w:r>
        <w:rPr>
          <w:rFonts w:ascii="Arial" w:hAnsi="Arial" w:cs="Arial"/>
          <w:color w:val="222222"/>
          <w:shd w:val="clear" w:color="auto" w:fill="FFFFFF"/>
        </w:rPr>
        <w:t xml:space="preserve"> and </w:t>
      </w:r>
      <w:proofErr w:type="spellStart"/>
      <w:r>
        <w:rPr>
          <w:rFonts w:ascii="Arial" w:hAnsi="Arial" w:cs="Arial"/>
          <w:color w:val="222222"/>
          <w:shd w:val="clear" w:color="auto" w:fill="FFFFFF"/>
        </w:rPr>
        <w:t>Udalguri</w:t>
      </w:r>
      <w:proofErr w:type="spellEnd"/>
      <w:r>
        <w:rPr>
          <w:rFonts w:ascii="Arial" w:hAnsi="Arial" w:cs="Arial"/>
          <w:color w:val="222222"/>
          <w:shd w:val="clear" w:color="auto" w:fill="FFFFFF"/>
        </w:rPr>
        <w:t xml:space="preserve"> District of Assam, India. </w:t>
      </w:r>
      <w:r>
        <w:rPr>
          <w:rFonts w:ascii="Arial" w:hAnsi="Arial" w:cs="Arial"/>
          <w:i/>
          <w:iCs/>
          <w:color w:val="222222"/>
          <w:shd w:val="clear" w:color="auto" w:fill="FFFFFF"/>
        </w:rPr>
        <w:t>Sci Rep</w:t>
      </w:r>
      <w:r>
        <w:rPr>
          <w:rFonts w:ascii="Arial" w:hAnsi="Arial" w:cs="Arial"/>
          <w:color w:val="222222"/>
          <w:shd w:val="clear" w:color="auto" w:fill="FFFFFF"/>
        </w:rPr>
        <w:t> </w:t>
      </w:r>
      <w:r>
        <w:rPr>
          <w:rFonts w:ascii="Arial" w:hAnsi="Arial" w:cs="Arial"/>
          <w:b/>
          <w:bCs/>
          <w:color w:val="222222"/>
          <w:shd w:val="clear" w:color="auto" w:fill="FFFFFF"/>
        </w:rPr>
        <w:t>11</w:t>
      </w:r>
      <w:r>
        <w:rPr>
          <w:rFonts w:ascii="Arial" w:hAnsi="Arial" w:cs="Arial"/>
          <w:color w:val="222222"/>
          <w:shd w:val="clear" w:color="auto" w:fill="FFFFFF"/>
        </w:rPr>
        <w:t xml:space="preserve">, 11170 (2021). </w:t>
      </w:r>
      <w:hyperlink r:id="rId26" w:history="1">
        <w:r>
          <w:rPr>
            <w:rStyle w:val="Hyperlink"/>
            <w:rFonts w:ascii="Arial" w:hAnsi="Arial" w:cs="Arial"/>
            <w:shd w:val="clear" w:color="auto" w:fill="FFFFFF"/>
          </w:rPr>
          <w:t>https://doi.org/10.1038/s41598-021-90595-8</w:t>
        </w:r>
      </w:hyperlink>
      <w:r>
        <w:rPr>
          <w:rFonts w:ascii="Arial" w:hAnsi="Arial" w:cs="Arial"/>
          <w:color w:val="222222"/>
          <w:shd w:val="clear" w:color="auto" w:fill="FFFFFF"/>
        </w:rPr>
        <w:t xml:space="preserve"> </w:t>
      </w:r>
    </w:p>
    <w:p w:rsidR="001A2247" w:rsidRDefault="00905E84">
      <w:pPr>
        <w:pStyle w:val="ListParagraph"/>
        <w:numPr>
          <w:ilvl w:val="0"/>
          <w:numId w:val="4"/>
        </w:numPr>
        <w:spacing w:before="100" w:beforeAutospacing="1" w:line="480" w:lineRule="auto"/>
        <w:jc w:val="both"/>
        <w:rPr>
          <w:rFonts w:ascii="Arial" w:eastAsia="Calibri" w:hAnsi="Arial" w:cs="Arial"/>
          <w:color w:val="000000" w:themeColor="text1"/>
        </w:rPr>
      </w:pPr>
      <w:r>
        <w:rPr>
          <w:rFonts w:ascii="Arial" w:eastAsia="Calibri" w:hAnsi="Arial" w:cs="Arial"/>
          <w:color w:val="000000" w:themeColor="text1"/>
        </w:rPr>
        <w:lastRenderedPageBreak/>
        <w:t xml:space="preserve">Baumann, M., </w:t>
      </w:r>
      <w:proofErr w:type="spellStart"/>
      <w:r>
        <w:rPr>
          <w:rFonts w:ascii="Arial" w:eastAsia="Calibri" w:hAnsi="Arial" w:cs="Arial"/>
          <w:color w:val="000000" w:themeColor="text1"/>
        </w:rPr>
        <w:t>Ozdogan</w:t>
      </w:r>
      <w:proofErr w:type="spellEnd"/>
      <w:r>
        <w:rPr>
          <w:rFonts w:ascii="Arial" w:eastAsia="Calibri" w:hAnsi="Arial" w:cs="Arial"/>
          <w:color w:val="000000" w:themeColor="text1"/>
        </w:rPr>
        <w:t xml:space="preserve">, M., Wolter, P., </w:t>
      </w:r>
      <w:proofErr w:type="spellStart"/>
      <w:r>
        <w:rPr>
          <w:rFonts w:ascii="Arial" w:eastAsia="Calibri" w:hAnsi="Arial" w:cs="Arial"/>
          <w:color w:val="000000" w:themeColor="text1"/>
        </w:rPr>
        <w:t>Krylov</w:t>
      </w:r>
      <w:proofErr w:type="spellEnd"/>
      <w:r>
        <w:rPr>
          <w:rFonts w:ascii="Arial" w:eastAsia="Calibri" w:hAnsi="Arial" w:cs="Arial"/>
          <w:color w:val="000000" w:themeColor="text1"/>
        </w:rPr>
        <w:t xml:space="preserve">, A., </w:t>
      </w:r>
      <w:proofErr w:type="spellStart"/>
      <w:r>
        <w:rPr>
          <w:rFonts w:ascii="Arial" w:eastAsia="Calibri" w:hAnsi="Arial" w:cs="Arial"/>
          <w:color w:val="000000" w:themeColor="text1"/>
        </w:rPr>
        <w:t>Vladimirova</w:t>
      </w:r>
      <w:proofErr w:type="spellEnd"/>
      <w:r>
        <w:rPr>
          <w:rFonts w:ascii="Arial" w:eastAsia="Calibri" w:hAnsi="Arial" w:cs="Arial"/>
          <w:color w:val="000000" w:themeColor="text1"/>
        </w:rPr>
        <w:t>, N., &amp;</w:t>
      </w:r>
      <w:proofErr w:type="spellStart"/>
      <w:r>
        <w:rPr>
          <w:rFonts w:ascii="Arial" w:eastAsia="Calibri" w:hAnsi="Arial" w:cs="Arial"/>
          <w:color w:val="000000" w:themeColor="text1"/>
        </w:rPr>
        <w:t>Radeloff</w:t>
      </w:r>
      <w:proofErr w:type="spellEnd"/>
      <w:r>
        <w:rPr>
          <w:rFonts w:ascii="Arial" w:eastAsia="Calibri" w:hAnsi="Arial" w:cs="Arial"/>
          <w:color w:val="000000" w:themeColor="text1"/>
        </w:rPr>
        <w:t xml:space="preserve">, V. (2014). Landsat remote sensing of forest windfall disturbance. Remote Sensing of Environment, 143, 171-179. </w:t>
      </w:r>
      <w:hyperlink r:id="rId27" w:history="1">
        <w:r>
          <w:rPr>
            <w:rStyle w:val="15"/>
            <w:rFonts w:ascii="Arial" w:eastAsia="Calibri" w:hAnsi="Arial" w:cs="Arial"/>
            <w:color w:val="000000" w:themeColor="text1"/>
          </w:rPr>
          <w:t>http://dx.doi.org/10.1016/j.rse.2013.12.020</w:t>
        </w:r>
      </w:hyperlink>
    </w:p>
    <w:p w:rsidR="001A2247" w:rsidRDefault="001A2247">
      <w:pPr>
        <w:pStyle w:val="EndnoteText"/>
        <w:spacing w:line="480" w:lineRule="auto"/>
        <w:jc w:val="both"/>
        <w:rPr>
          <w:rFonts w:ascii="Arial" w:hAnsi="Arial" w:cs="Arial"/>
        </w:rPr>
      </w:pPr>
    </w:p>
    <w:p w:rsidR="001A2247" w:rsidRDefault="00905E84">
      <w:pPr>
        <w:pStyle w:val="EndnoteText"/>
        <w:numPr>
          <w:ilvl w:val="0"/>
          <w:numId w:val="4"/>
        </w:numPr>
        <w:spacing w:line="480" w:lineRule="auto"/>
        <w:jc w:val="both"/>
        <w:rPr>
          <w:rFonts w:ascii="Arial" w:hAnsi="Arial" w:cs="Arial"/>
        </w:rPr>
      </w:pPr>
      <w:proofErr w:type="spellStart"/>
      <w:r>
        <w:rPr>
          <w:rFonts w:ascii="Arial" w:hAnsi="Arial" w:cs="Arial"/>
          <w:color w:val="222222"/>
          <w:shd w:val="clear" w:color="auto" w:fill="FFFFFF"/>
        </w:rPr>
        <w:t>Garedew</w:t>
      </w:r>
      <w:proofErr w:type="spellEnd"/>
      <w:r>
        <w:rPr>
          <w:rFonts w:ascii="Arial" w:hAnsi="Arial" w:cs="Arial"/>
          <w:color w:val="222222"/>
          <w:shd w:val="clear" w:color="auto" w:fill="FFFFFF"/>
        </w:rPr>
        <w:t xml:space="preserve">, E., </w:t>
      </w:r>
      <w:proofErr w:type="spellStart"/>
      <w:r>
        <w:rPr>
          <w:rFonts w:ascii="Arial" w:hAnsi="Arial" w:cs="Arial"/>
          <w:color w:val="222222"/>
          <w:shd w:val="clear" w:color="auto" w:fill="FFFFFF"/>
        </w:rPr>
        <w:t>Sandewall</w:t>
      </w:r>
      <w:proofErr w:type="spellEnd"/>
      <w:r>
        <w:rPr>
          <w:rFonts w:ascii="Arial" w:hAnsi="Arial" w:cs="Arial"/>
          <w:color w:val="222222"/>
          <w:shd w:val="clear" w:color="auto" w:fill="FFFFFF"/>
        </w:rPr>
        <w:t xml:space="preserve">, M., </w:t>
      </w:r>
      <w:proofErr w:type="spellStart"/>
      <w:r>
        <w:rPr>
          <w:rFonts w:ascii="Arial" w:hAnsi="Arial" w:cs="Arial"/>
          <w:color w:val="222222"/>
          <w:shd w:val="clear" w:color="auto" w:fill="FFFFFF"/>
        </w:rPr>
        <w:t>Söderberg</w:t>
      </w:r>
      <w:proofErr w:type="spellEnd"/>
      <w:r>
        <w:rPr>
          <w:rFonts w:ascii="Arial" w:hAnsi="Arial" w:cs="Arial"/>
          <w:color w:val="222222"/>
          <w:shd w:val="clear" w:color="auto" w:fill="FFFFFF"/>
        </w:rPr>
        <w:t>, U., &amp; Campbell, B. M. (2009). Land-use and land-cover dynamics in the central rift valley of Ethiopia. </w:t>
      </w:r>
      <w:r>
        <w:rPr>
          <w:rFonts w:ascii="Arial" w:hAnsi="Arial" w:cs="Arial"/>
          <w:i/>
          <w:iCs/>
          <w:color w:val="222222"/>
          <w:shd w:val="clear" w:color="auto" w:fill="FFFFFF"/>
        </w:rPr>
        <w:t>Environmental management</w:t>
      </w:r>
      <w:r>
        <w:rPr>
          <w:rFonts w:ascii="Arial" w:hAnsi="Arial" w:cs="Arial"/>
          <w:color w:val="222222"/>
          <w:shd w:val="clear" w:color="auto" w:fill="FFFFFF"/>
        </w:rPr>
        <w:t>, </w:t>
      </w:r>
      <w:r>
        <w:rPr>
          <w:rFonts w:ascii="Arial" w:hAnsi="Arial" w:cs="Arial"/>
          <w:i/>
          <w:iCs/>
          <w:color w:val="222222"/>
          <w:shd w:val="clear" w:color="auto" w:fill="FFFFFF"/>
        </w:rPr>
        <w:t>44</w:t>
      </w:r>
      <w:r>
        <w:rPr>
          <w:rFonts w:ascii="Arial" w:hAnsi="Arial" w:cs="Arial"/>
          <w:color w:val="222222"/>
          <w:shd w:val="clear" w:color="auto" w:fill="FFFFFF"/>
        </w:rPr>
        <w:t>(4), 683-694.</w:t>
      </w:r>
    </w:p>
    <w:p w:rsidR="001A2247" w:rsidRDefault="00905E84">
      <w:pPr>
        <w:pStyle w:val="EndnoteText"/>
        <w:numPr>
          <w:ilvl w:val="0"/>
          <w:numId w:val="4"/>
        </w:numPr>
        <w:spacing w:line="480" w:lineRule="auto"/>
        <w:jc w:val="both"/>
        <w:rPr>
          <w:rFonts w:ascii="Arial" w:hAnsi="Arial" w:cs="Arial"/>
        </w:rPr>
      </w:pPr>
      <w:proofErr w:type="spellStart"/>
      <w:r>
        <w:rPr>
          <w:rFonts w:ascii="Arial" w:eastAsia="Times New Roman" w:hAnsi="Arial" w:cs="Arial"/>
          <w:color w:val="222222"/>
          <w:lang w:val="en-IN" w:eastAsia="en-IN"/>
        </w:rPr>
        <w:t>Munsi</w:t>
      </w:r>
      <w:proofErr w:type="spellEnd"/>
      <w:r>
        <w:rPr>
          <w:rFonts w:ascii="Arial" w:eastAsia="Times New Roman" w:hAnsi="Arial" w:cs="Arial"/>
          <w:color w:val="222222"/>
          <w:lang w:val="en-IN" w:eastAsia="en-IN"/>
        </w:rPr>
        <w:t xml:space="preserve">, M., </w:t>
      </w:r>
      <w:proofErr w:type="spellStart"/>
      <w:r>
        <w:rPr>
          <w:rFonts w:ascii="Arial" w:eastAsia="Times New Roman" w:hAnsi="Arial" w:cs="Arial"/>
          <w:color w:val="222222"/>
          <w:lang w:val="en-IN" w:eastAsia="en-IN"/>
        </w:rPr>
        <w:t>Malaviya</w:t>
      </w:r>
      <w:proofErr w:type="spellEnd"/>
      <w:r>
        <w:rPr>
          <w:rFonts w:ascii="Arial" w:eastAsia="Times New Roman" w:hAnsi="Arial" w:cs="Arial"/>
          <w:color w:val="222222"/>
          <w:lang w:val="en-IN" w:eastAsia="en-IN"/>
        </w:rPr>
        <w:t xml:space="preserve">, S., </w:t>
      </w:r>
      <w:proofErr w:type="spellStart"/>
      <w:r>
        <w:rPr>
          <w:rFonts w:ascii="Arial" w:eastAsia="Times New Roman" w:hAnsi="Arial" w:cs="Arial"/>
          <w:color w:val="222222"/>
          <w:lang w:val="en-IN" w:eastAsia="en-IN"/>
        </w:rPr>
        <w:t>Oinam</w:t>
      </w:r>
      <w:proofErr w:type="spellEnd"/>
      <w:r>
        <w:rPr>
          <w:rFonts w:ascii="Arial" w:eastAsia="Times New Roman" w:hAnsi="Arial" w:cs="Arial"/>
          <w:color w:val="222222"/>
          <w:lang w:val="en-IN" w:eastAsia="en-IN"/>
        </w:rPr>
        <w:t>, G., &amp; Joshi, P. K. (2010). A landscape approach for quantifying land-use and land-cover change (1976–2006) in middle Himalaya. </w:t>
      </w:r>
      <w:r>
        <w:rPr>
          <w:rFonts w:ascii="Arial" w:eastAsia="Times New Roman" w:hAnsi="Arial" w:cs="Arial"/>
          <w:i/>
          <w:iCs/>
          <w:color w:val="222222"/>
          <w:lang w:val="en-IN" w:eastAsia="en-IN"/>
        </w:rPr>
        <w:t>Regional Environmental Change</w:t>
      </w:r>
      <w:r>
        <w:rPr>
          <w:rFonts w:ascii="Arial" w:eastAsia="Times New Roman" w:hAnsi="Arial" w:cs="Arial"/>
          <w:color w:val="222222"/>
          <w:lang w:val="en-IN" w:eastAsia="en-IN"/>
        </w:rPr>
        <w:t>, </w:t>
      </w:r>
      <w:r>
        <w:rPr>
          <w:rFonts w:ascii="Arial" w:eastAsia="Times New Roman" w:hAnsi="Arial" w:cs="Arial"/>
          <w:i/>
          <w:iCs/>
          <w:color w:val="222222"/>
          <w:lang w:val="en-IN" w:eastAsia="en-IN"/>
        </w:rPr>
        <w:t>10</w:t>
      </w:r>
      <w:r>
        <w:rPr>
          <w:rFonts w:ascii="Arial" w:eastAsia="Times New Roman" w:hAnsi="Arial" w:cs="Arial"/>
          <w:color w:val="222222"/>
          <w:lang w:val="en-IN" w:eastAsia="en-IN"/>
        </w:rPr>
        <w:t>(2), 145-155.</w:t>
      </w:r>
    </w:p>
    <w:p w:rsidR="001A2247" w:rsidRDefault="0081306D">
      <w:pPr>
        <w:pStyle w:val="ListParagraph"/>
        <w:numPr>
          <w:ilvl w:val="0"/>
          <w:numId w:val="4"/>
        </w:numPr>
        <w:spacing w:line="480" w:lineRule="auto"/>
        <w:jc w:val="both"/>
        <w:rPr>
          <w:rFonts w:ascii="Arial" w:hAnsi="Arial" w:cs="Arial"/>
        </w:rPr>
      </w:pPr>
      <w:hyperlink r:id="rId28" w:history="1">
        <w:r w:rsidR="00905E84">
          <w:rPr>
            <w:rStyle w:val="Hyperlink"/>
            <w:rFonts w:ascii="Arial" w:hAnsi="Arial" w:cs="Arial"/>
          </w:rPr>
          <w:t>https://desktop.arcgis.com/en/arcmap/latest/tools/analysis-toolbox/union.htm</w:t>
        </w:r>
      </w:hyperlink>
    </w:p>
    <w:p w:rsidR="001A2247" w:rsidRDefault="001A2247">
      <w:pPr>
        <w:spacing w:line="480" w:lineRule="auto"/>
        <w:jc w:val="both"/>
        <w:rPr>
          <w:rStyle w:val="15"/>
          <w:rFonts w:eastAsia="Calibri" w:cstheme="minorBidi"/>
          <w:b/>
          <w:color w:val="auto"/>
          <w:sz w:val="24"/>
          <w:szCs w:val="24"/>
          <w:u w:val="none"/>
        </w:rPr>
      </w:pPr>
      <w:bookmarkStart w:id="0" w:name="_GoBack"/>
      <w:bookmarkEnd w:id="0"/>
    </w:p>
    <w:sectPr w:rsidR="001A2247">
      <w:headerReference w:type="even" r:id="rId29"/>
      <w:headerReference w:type="default" r:id="rId30"/>
      <w:headerReference w:type="first" r:id="rId31"/>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06D" w:rsidRDefault="0081306D">
      <w:r>
        <w:separator/>
      </w:r>
    </w:p>
  </w:endnote>
  <w:endnote w:type="continuationSeparator" w:id="0">
    <w:p w:rsidR="0081306D" w:rsidRDefault="0081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06D" w:rsidRDefault="0081306D">
      <w:r>
        <w:separator/>
      </w:r>
    </w:p>
  </w:footnote>
  <w:footnote w:type="continuationSeparator" w:id="0">
    <w:p w:rsidR="0081306D" w:rsidRDefault="00813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247" w:rsidRDefault="0081306D">
    <w:pPr>
      <w:pStyle w:val="Header"/>
    </w:pPr>
    <w:r>
      <w:pict w14:anchorId="1AA6FD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2" o:spid="_x0000_s2050" type="#_x0000_t136" style="position:absolute;margin-left:0;margin-top:0;width:493.05pt;height:92.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247" w:rsidRDefault="0081306D">
    <w:pPr>
      <w:pStyle w:val="Header"/>
    </w:pPr>
    <w:r>
      <w:pict w14:anchorId="1135F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3" o:spid="_x0000_s2051" type="#_x0000_t136" style="position:absolute;margin-left:0;margin-top:0;width:493.05pt;height:92.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247" w:rsidRDefault="0081306D">
    <w:pPr>
      <w:pStyle w:val="Header"/>
    </w:pPr>
    <w:r>
      <w:pict w14:anchorId="22772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719921" o:spid="_x0000_s2049" type="#_x0000_t136" style="position:absolute;margin-left:0;margin-top:0;width:493.05pt;height:92.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A1E41B"/>
    <w:multiLevelType w:val="multilevel"/>
    <w:tmpl w:val="F3A1E41B"/>
    <w:lvl w:ilvl="0">
      <w:start w:val="1"/>
      <w:numFmt w:val="decimal"/>
      <w:suff w:val="space"/>
      <w:lvlText w:val="%1."/>
      <w:lvlJc w:val="left"/>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2AED071E"/>
    <w:multiLevelType w:val="multilevel"/>
    <w:tmpl w:val="2AED071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AB013CD"/>
    <w:multiLevelType w:val="multilevel"/>
    <w:tmpl w:val="4AB013CD"/>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5835251F"/>
    <w:multiLevelType w:val="multilevel"/>
    <w:tmpl w:val="5835251F"/>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F4"/>
    <w:rsid w:val="00013F68"/>
    <w:rsid w:val="00015B55"/>
    <w:rsid w:val="000274AD"/>
    <w:rsid w:val="00036421"/>
    <w:rsid w:val="0003642A"/>
    <w:rsid w:val="00042506"/>
    <w:rsid w:val="000566AD"/>
    <w:rsid w:val="0006532C"/>
    <w:rsid w:val="00066F85"/>
    <w:rsid w:val="000A6AF1"/>
    <w:rsid w:val="000A7DC6"/>
    <w:rsid w:val="000C1132"/>
    <w:rsid w:val="000E79DF"/>
    <w:rsid w:val="000F4468"/>
    <w:rsid w:val="00102972"/>
    <w:rsid w:val="0010439A"/>
    <w:rsid w:val="00104660"/>
    <w:rsid w:val="00114E9A"/>
    <w:rsid w:val="0014316A"/>
    <w:rsid w:val="00166BFE"/>
    <w:rsid w:val="001A2247"/>
    <w:rsid w:val="001A32AF"/>
    <w:rsid w:val="001B42F6"/>
    <w:rsid w:val="001C2C62"/>
    <w:rsid w:val="001F1C2E"/>
    <w:rsid w:val="00201B58"/>
    <w:rsid w:val="002150C8"/>
    <w:rsid w:val="00217696"/>
    <w:rsid w:val="00225222"/>
    <w:rsid w:val="00226A0C"/>
    <w:rsid w:val="002328F8"/>
    <w:rsid w:val="002339B6"/>
    <w:rsid w:val="002356EA"/>
    <w:rsid w:val="00236F10"/>
    <w:rsid w:val="002413F1"/>
    <w:rsid w:val="00243C24"/>
    <w:rsid w:val="00246B48"/>
    <w:rsid w:val="0025215C"/>
    <w:rsid w:val="00266029"/>
    <w:rsid w:val="0027001E"/>
    <w:rsid w:val="00271093"/>
    <w:rsid w:val="00276EE2"/>
    <w:rsid w:val="00290EC7"/>
    <w:rsid w:val="00293117"/>
    <w:rsid w:val="002A1CBB"/>
    <w:rsid w:val="002A2542"/>
    <w:rsid w:val="002A2B8B"/>
    <w:rsid w:val="002A79A3"/>
    <w:rsid w:val="002C611C"/>
    <w:rsid w:val="002E3D97"/>
    <w:rsid w:val="002F1D7E"/>
    <w:rsid w:val="003109DB"/>
    <w:rsid w:val="00320831"/>
    <w:rsid w:val="003233FB"/>
    <w:rsid w:val="00324CBA"/>
    <w:rsid w:val="00325A45"/>
    <w:rsid w:val="00353840"/>
    <w:rsid w:val="00354A01"/>
    <w:rsid w:val="00364E79"/>
    <w:rsid w:val="003A6CE9"/>
    <w:rsid w:val="003B05F2"/>
    <w:rsid w:val="003C076D"/>
    <w:rsid w:val="003C2D7F"/>
    <w:rsid w:val="003D4B96"/>
    <w:rsid w:val="003E3664"/>
    <w:rsid w:val="003F68D9"/>
    <w:rsid w:val="00420B7E"/>
    <w:rsid w:val="00425D47"/>
    <w:rsid w:val="00437653"/>
    <w:rsid w:val="00445DD2"/>
    <w:rsid w:val="0047614A"/>
    <w:rsid w:val="00480B04"/>
    <w:rsid w:val="00487A87"/>
    <w:rsid w:val="004A1494"/>
    <w:rsid w:val="004A5A8C"/>
    <w:rsid w:val="004B6A50"/>
    <w:rsid w:val="004C52D1"/>
    <w:rsid w:val="004C6142"/>
    <w:rsid w:val="004C7584"/>
    <w:rsid w:val="004D0C5B"/>
    <w:rsid w:val="004D429F"/>
    <w:rsid w:val="004E0254"/>
    <w:rsid w:val="00513405"/>
    <w:rsid w:val="00515625"/>
    <w:rsid w:val="00516E67"/>
    <w:rsid w:val="00527DC2"/>
    <w:rsid w:val="00535181"/>
    <w:rsid w:val="00543037"/>
    <w:rsid w:val="0054667C"/>
    <w:rsid w:val="00551B89"/>
    <w:rsid w:val="00561A14"/>
    <w:rsid w:val="00582B9C"/>
    <w:rsid w:val="00596DFF"/>
    <w:rsid w:val="005A2A75"/>
    <w:rsid w:val="005B7E92"/>
    <w:rsid w:val="005C2F13"/>
    <w:rsid w:val="005C71B1"/>
    <w:rsid w:val="005C7A95"/>
    <w:rsid w:val="005D206E"/>
    <w:rsid w:val="005D2680"/>
    <w:rsid w:val="005D5BFF"/>
    <w:rsid w:val="005E167D"/>
    <w:rsid w:val="00605823"/>
    <w:rsid w:val="006069F4"/>
    <w:rsid w:val="006128BA"/>
    <w:rsid w:val="00620BAE"/>
    <w:rsid w:val="00637E9C"/>
    <w:rsid w:val="00644331"/>
    <w:rsid w:val="0066188C"/>
    <w:rsid w:val="0066666A"/>
    <w:rsid w:val="0069077F"/>
    <w:rsid w:val="006974FB"/>
    <w:rsid w:val="006A07F8"/>
    <w:rsid w:val="006E0F54"/>
    <w:rsid w:val="006F5A24"/>
    <w:rsid w:val="00710D7E"/>
    <w:rsid w:val="00716918"/>
    <w:rsid w:val="00720528"/>
    <w:rsid w:val="0072252E"/>
    <w:rsid w:val="00733283"/>
    <w:rsid w:val="0074240D"/>
    <w:rsid w:val="007507EF"/>
    <w:rsid w:val="007662B6"/>
    <w:rsid w:val="00771BFF"/>
    <w:rsid w:val="007723AE"/>
    <w:rsid w:val="00781341"/>
    <w:rsid w:val="0079685B"/>
    <w:rsid w:val="007A203D"/>
    <w:rsid w:val="007A23B2"/>
    <w:rsid w:val="007A4538"/>
    <w:rsid w:val="007B3AAE"/>
    <w:rsid w:val="007C2B4D"/>
    <w:rsid w:val="007C56A9"/>
    <w:rsid w:val="007D36CE"/>
    <w:rsid w:val="007D4880"/>
    <w:rsid w:val="007F276E"/>
    <w:rsid w:val="00806646"/>
    <w:rsid w:val="0080757E"/>
    <w:rsid w:val="0081306D"/>
    <w:rsid w:val="0082033B"/>
    <w:rsid w:val="008324E1"/>
    <w:rsid w:val="0084173A"/>
    <w:rsid w:val="00864AD4"/>
    <w:rsid w:val="00866F19"/>
    <w:rsid w:val="008740D1"/>
    <w:rsid w:val="00876F01"/>
    <w:rsid w:val="00881A1D"/>
    <w:rsid w:val="008849D6"/>
    <w:rsid w:val="0088617D"/>
    <w:rsid w:val="00887A75"/>
    <w:rsid w:val="008958E3"/>
    <w:rsid w:val="0089680D"/>
    <w:rsid w:val="008A0828"/>
    <w:rsid w:val="008A1531"/>
    <w:rsid w:val="008A2C6B"/>
    <w:rsid w:val="008B1AE8"/>
    <w:rsid w:val="008D568D"/>
    <w:rsid w:val="008E6703"/>
    <w:rsid w:val="008E73CF"/>
    <w:rsid w:val="008F6D3C"/>
    <w:rsid w:val="00905E84"/>
    <w:rsid w:val="00912610"/>
    <w:rsid w:val="009156F0"/>
    <w:rsid w:val="00915889"/>
    <w:rsid w:val="00916F1E"/>
    <w:rsid w:val="009358B0"/>
    <w:rsid w:val="009415D1"/>
    <w:rsid w:val="0094722E"/>
    <w:rsid w:val="00967F73"/>
    <w:rsid w:val="0098426B"/>
    <w:rsid w:val="0099023B"/>
    <w:rsid w:val="009B5BC3"/>
    <w:rsid w:val="009B7D8F"/>
    <w:rsid w:val="009C412D"/>
    <w:rsid w:val="009C4D01"/>
    <w:rsid w:val="009D2312"/>
    <w:rsid w:val="009E6B5A"/>
    <w:rsid w:val="009F33DC"/>
    <w:rsid w:val="009F44F3"/>
    <w:rsid w:val="009F580B"/>
    <w:rsid w:val="009F72D4"/>
    <w:rsid w:val="00A0149D"/>
    <w:rsid w:val="00A074E6"/>
    <w:rsid w:val="00A135F2"/>
    <w:rsid w:val="00A31C0B"/>
    <w:rsid w:val="00A33E49"/>
    <w:rsid w:val="00A437D5"/>
    <w:rsid w:val="00A4634B"/>
    <w:rsid w:val="00A65C6F"/>
    <w:rsid w:val="00A743CC"/>
    <w:rsid w:val="00A76FB9"/>
    <w:rsid w:val="00A77863"/>
    <w:rsid w:val="00A825FA"/>
    <w:rsid w:val="00A82E8A"/>
    <w:rsid w:val="00A877D8"/>
    <w:rsid w:val="00A87DB1"/>
    <w:rsid w:val="00A90F1A"/>
    <w:rsid w:val="00AC33BF"/>
    <w:rsid w:val="00AC5D35"/>
    <w:rsid w:val="00AF2308"/>
    <w:rsid w:val="00AF4353"/>
    <w:rsid w:val="00AF7F61"/>
    <w:rsid w:val="00B06A9D"/>
    <w:rsid w:val="00B158C6"/>
    <w:rsid w:val="00B33EA9"/>
    <w:rsid w:val="00B37E7C"/>
    <w:rsid w:val="00B41F55"/>
    <w:rsid w:val="00B70F31"/>
    <w:rsid w:val="00B81CF9"/>
    <w:rsid w:val="00BA2DCA"/>
    <w:rsid w:val="00BA748A"/>
    <w:rsid w:val="00BB0E74"/>
    <w:rsid w:val="00BC60ED"/>
    <w:rsid w:val="00BD1D7D"/>
    <w:rsid w:val="00BE662E"/>
    <w:rsid w:val="00C31CE6"/>
    <w:rsid w:val="00C327A6"/>
    <w:rsid w:val="00C32E1B"/>
    <w:rsid w:val="00C3397E"/>
    <w:rsid w:val="00C35942"/>
    <w:rsid w:val="00C36FC0"/>
    <w:rsid w:val="00C372CD"/>
    <w:rsid w:val="00C44A81"/>
    <w:rsid w:val="00C45F4F"/>
    <w:rsid w:val="00C51D81"/>
    <w:rsid w:val="00C52909"/>
    <w:rsid w:val="00C52F69"/>
    <w:rsid w:val="00C5381B"/>
    <w:rsid w:val="00C547CE"/>
    <w:rsid w:val="00C56DC3"/>
    <w:rsid w:val="00C61B76"/>
    <w:rsid w:val="00C67F06"/>
    <w:rsid w:val="00C85818"/>
    <w:rsid w:val="00C87A1E"/>
    <w:rsid w:val="00CB6A03"/>
    <w:rsid w:val="00CB6F74"/>
    <w:rsid w:val="00CC18B2"/>
    <w:rsid w:val="00CD1065"/>
    <w:rsid w:val="00CD488F"/>
    <w:rsid w:val="00CF522D"/>
    <w:rsid w:val="00D07E01"/>
    <w:rsid w:val="00D12DE2"/>
    <w:rsid w:val="00D1619E"/>
    <w:rsid w:val="00D21558"/>
    <w:rsid w:val="00D24D17"/>
    <w:rsid w:val="00D44F98"/>
    <w:rsid w:val="00D53860"/>
    <w:rsid w:val="00D62001"/>
    <w:rsid w:val="00D77032"/>
    <w:rsid w:val="00D85360"/>
    <w:rsid w:val="00D858EC"/>
    <w:rsid w:val="00D871A8"/>
    <w:rsid w:val="00D94E67"/>
    <w:rsid w:val="00DA19BD"/>
    <w:rsid w:val="00DA62C2"/>
    <w:rsid w:val="00DB0C86"/>
    <w:rsid w:val="00DD2881"/>
    <w:rsid w:val="00DD7307"/>
    <w:rsid w:val="00DE7485"/>
    <w:rsid w:val="00DE74D4"/>
    <w:rsid w:val="00DF3D68"/>
    <w:rsid w:val="00DF46A9"/>
    <w:rsid w:val="00E10847"/>
    <w:rsid w:val="00E10CAB"/>
    <w:rsid w:val="00E10FB2"/>
    <w:rsid w:val="00E14D94"/>
    <w:rsid w:val="00E24D3D"/>
    <w:rsid w:val="00E4403D"/>
    <w:rsid w:val="00E554A9"/>
    <w:rsid w:val="00E63D87"/>
    <w:rsid w:val="00E701C3"/>
    <w:rsid w:val="00E708FC"/>
    <w:rsid w:val="00E8223D"/>
    <w:rsid w:val="00E85FF5"/>
    <w:rsid w:val="00E921DB"/>
    <w:rsid w:val="00E95234"/>
    <w:rsid w:val="00EA3B7B"/>
    <w:rsid w:val="00EA3C34"/>
    <w:rsid w:val="00EB639D"/>
    <w:rsid w:val="00ED0AFF"/>
    <w:rsid w:val="00EF0AD7"/>
    <w:rsid w:val="00EF34A4"/>
    <w:rsid w:val="00F00F6E"/>
    <w:rsid w:val="00F31550"/>
    <w:rsid w:val="00F41BE5"/>
    <w:rsid w:val="00F51ADE"/>
    <w:rsid w:val="00F54930"/>
    <w:rsid w:val="00F73D63"/>
    <w:rsid w:val="00F91B02"/>
    <w:rsid w:val="00FA3F9D"/>
    <w:rsid w:val="00FB447D"/>
    <w:rsid w:val="00FC28E4"/>
    <w:rsid w:val="00FE478B"/>
    <w:rsid w:val="00FE71A7"/>
    <w:rsid w:val="0A276587"/>
    <w:rsid w:val="25C11E64"/>
    <w:rsid w:val="3B3D5750"/>
    <w:rsid w:val="3B425826"/>
    <w:rsid w:val="6B467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95D2A3E"/>
  <w15:docId w15:val="{23A3314E-FC19-49CD-8A0F-54CC771CD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unhideWhenUsed="1" w:qFormat="1"/>
    <w:lsdException w:name="footnote reference" w:qFormat="1"/>
    <w:lsdException w:name="annotation reference" w:qFormat="1"/>
    <w:lsdException w:name="endnote reference" w:qFormat="1"/>
    <w:lsdException w:name="endnote text"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paragraph" w:styleId="Caption">
    <w:name w:val="caption"/>
    <w:basedOn w:val="Normal"/>
    <w:next w:val="Normal"/>
    <w:unhideWhenUsed/>
    <w:qFormat/>
    <w:rPr>
      <w:rFonts w:ascii="Arial" w:eastAsia="SimHei" w:hAnsi="Arial" w:cs="Arial"/>
    </w:rPr>
  </w:style>
  <w:style w:type="character" w:styleId="CommentReference">
    <w:name w:val="annotation reference"/>
    <w:basedOn w:val="DefaultParagraphFont"/>
    <w:qFormat/>
    <w:rPr>
      <w:sz w:val="16"/>
      <w:szCs w:val="16"/>
    </w:rPr>
  </w:style>
  <w:style w:type="paragraph" w:styleId="CommentText">
    <w:name w:val="annotation text"/>
    <w:basedOn w:val="Normal"/>
    <w:link w:val="CommentTextChar"/>
    <w:qFormat/>
  </w:style>
  <w:style w:type="paragraph" w:styleId="CommentSubject">
    <w:name w:val="annotation subject"/>
    <w:basedOn w:val="CommentText"/>
    <w:next w:val="CommentText"/>
    <w:link w:val="CommentSubjectChar"/>
    <w:qFormat/>
    <w:rPr>
      <w:b/>
      <w:bCs/>
    </w:rPr>
  </w:style>
  <w:style w:type="character" w:styleId="EndnoteReference">
    <w:name w:val="endnote reference"/>
    <w:basedOn w:val="DefaultParagraphFont"/>
    <w:qFormat/>
    <w:rPr>
      <w:vertAlign w:val="superscript"/>
    </w:rPr>
  </w:style>
  <w:style w:type="paragraph" w:styleId="EndnoteText">
    <w:name w:val="endnote text"/>
    <w:basedOn w:val="Normal"/>
    <w:link w:val="EndnoteTextChar"/>
    <w:qFormat/>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qFormat/>
    <w:rPr>
      <w:vertAlign w:val="superscript"/>
    </w:rPr>
  </w:style>
  <w:style w:type="paragraph" w:styleId="FootnoteText">
    <w:name w:val="footnote text"/>
    <w:basedOn w:val="Normal"/>
    <w:link w:val="FootnoteTextChar"/>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uiPriority w:val="99"/>
    <w:qFormat/>
    <w:pPr>
      <w:spacing w:beforeAutospacing="1" w:afterAutospacing="1"/>
    </w:pPr>
    <w:rPr>
      <w:sz w:val="24"/>
      <w:szCs w:val="24"/>
      <w:lang w:val="en-US" w:eastAsia="zh-C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knHead">
    <w:name w:val="Ackn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jc w:val="both"/>
    </w:pPr>
  </w:style>
  <w:style w:type="paragraph" w:styleId="ListParagraph">
    <w:name w:val="List Paragraph"/>
    <w:basedOn w:val="Normal"/>
    <w:uiPriority w:val="99"/>
    <w:qFormat/>
    <w:pPr>
      <w:ind w:left="720"/>
      <w:contextualSpacing/>
    </w:pPr>
  </w:style>
  <w:style w:type="character" w:customStyle="1" w:styleId="15">
    <w:name w:val="15"/>
    <w:basedOn w:val="DefaultParagraphFont"/>
    <w:qFormat/>
    <w:rPr>
      <w:rFonts w:ascii="Times New Roman" w:hAnsi="Times New Roman" w:cs="Times New Roman" w:hint="default"/>
      <w:color w:val="0563C1"/>
      <w:u w:val="single"/>
    </w:rPr>
  </w:style>
  <w:style w:type="character" w:customStyle="1" w:styleId="EndnoteTextChar">
    <w:name w:val="Endnote Text Char"/>
    <w:basedOn w:val="DefaultParagraphFont"/>
    <w:link w:val="EndnoteText"/>
    <w:qFormat/>
    <w:rPr>
      <w:rFonts w:asciiTheme="minorHAnsi" w:eastAsiaTheme="minorEastAsia" w:hAnsiTheme="minorHAnsi" w:cstheme="minorBidi"/>
      <w:lang w:val="en-US"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rl">
    <w:name w:val="url"/>
    <w:basedOn w:val="DefaultParagraphFont"/>
    <w:qFormat/>
  </w:style>
  <w:style w:type="paragraph" w:customStyle="1" w:styleId="c-bibliographic-informationcitation">
    <w:name w:val="c-bibliographic-information__citation"/>
    <w:basedOn w:val="Normal"/>
    <w:qFormat/>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name">
    <w:name w:val="name"/>
    <w:basedOn w:val="DefaultParagraphFont"/>
    <w:qFormat/>
  </w:style>
  <w:style w:type="character" w:customStyle="1" w:styleId="usergroup">
    <w:name w:val="usergroup"/>
    <w:basedOn w:val="DefaultParagraphFont"/>
    <w:qFormat/>
  </w:style>
  <w:style w:type="character" w:customStyle="1" w:styleId="FootnoteTextChar">
    <w:name w:val="Footnote Text Char"/>
    <w:basedOn w:val="DefaultParagraphFont"/>
    <w:link w:val="FootnoteText"/>
    <w:qFormat/>
    <w:rPr>
      <w:rFonts w:asciiTheme="minorHAnsi" w:eastAsiaTheme="minorEastAsia" w:hAnsiTheme="minorHAnsi" w:cstheme="minorBidi"/>
      <w:lang w:val="en-US" w:eastAsia="zh-CN"/>
    </w:rPr>
  </w:style>
  <w:style w:type="character" w:customStyle="1" w:styleId="HeaderChar">
    <w:name w:val="Header Char"/>
    <w:basedOn w:val="DefaultParagraphFont"/>
    <w:link w:val="Header"/>
    <w:qFormat/>
    <w:rPr>
      <w:rFonts w:asciiTheme="minorHAnsi" w:eastAsiaTheme="minorEastAsia" w:hAnsiTheme="minorHAnsi" w:cstheme="minorBidi"/>
      <w:lang w:val="en-US" w:eastAsia="zh-CN"/>
    </w:rPr>
  </w:style>
  <w:style w:type="character" w:customStyle="1" w:styleId="FooterChar">
    <w:name w:val="Footer Char"/>
    <w:basedOn w:val="DefaultParagraphFont"/>
    <w:link w:val="Footer"/>
    <w:qFormat/>
    <w:rPr>
      <w:rFonts w:asciiTheme="minorHAnsi" w:eastAsiaTheme="minorEastAsia" w:hAnsiTheme="minorHAnsi" w:cstheme="minorBidi"/>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lang w:val="en-US" w:eastAsia="zh-CN"/>
    </w:rPr>
  </w:style>
  <w:style w:type="character" w:customStyle="1" w:styleId="BalloonTextChar">
    <w:name w:val="Balloon Text Char"/>
    <w:basedOn w:val="DefaultParagraphFont"/>
    <w:link w:val="BalloonText"/>
    <w:qFormat/>
    <w:rPr>
      <w:rFonts w:ascii="Segoe UI" w:eastAsiaTheme="minorEastAsia"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07/978-1-4614-6431-0_68-1" TargetMode="External"/><Relationship Id="rId26" Type="http://schemas.openxmlformats.org/officeDocument/2006/relationships/hyperlink" Target="https://doi.org/10.1038/s41598-021-90595-8" TargetMode="External"/><Relationship Id="rId3" Type="http://schemas.openxmlformats.org/officeDocument/2006/relationships/numbering" Target="numbering.xml"/><Relationship Id="rId21" Type="http://schemas.openxmlformats.org/officeDocument/2006/relationships/hyperlink" Target="https://doi.org/10.1038/3500250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dx.doi.org/10.4314/sajg.v7i1.4" TargetMode="External"/><Relationship Id="rId25" Type="http://schemas.openxmlformats.org/officeDocument/2006/relationships/hyperlink" Target="https://doi.org/10.1016/j.envc.2021.100384"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016/j.foreco.2015.06.014" TargetMode="External"/><Relationship Id="rId20" Type="http://schemas.openxmlformats.org/officeDocument/2006/relationships/hyperlink" Target="https://www.worldwildlife.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fao.org/interactive/forest-resources-assessment/2020/en/"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oi.org/10.1016/j.biocon.2023.110254" TargetMode="External"/><Relationship Id="rId23" Type="http://schemas.openxmlformats.org/officeDocument/2006/relationships/hyperlink" Target="https://doi.org/10.64252/x9x1dw85" TargetMode="External"/><Relationship Id="rId28" Type="http://schemas.openxmlformats.org/officeDocument/2006/relationships/hyperlink" Target="https://desktop.arcgis.com/en/arcmap/latest/tools/analysis-toolbox/union.htm" TargetMode="External"/><Relationship Id="rId10" Type="http://schemas.openxmlformats.org/officeDocument/2006/relationships/image" Target="media/image2.jpeg"/><Relationship Id="rId19" Type="http://schemas.openxmlformats.org/officeDocument/2006/relationships/hyperlink" Target="https://doi.org/10.1080/15481603.2023.2300214" TargetMode="Externa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1016/j.biocon.2019.06.024" TargetMode="External"/><Relationship Id="rId27" Type="http://schemas.openxmlformats.org/officeDocument/2006/relationships/hyperlink" Target="http://dx.doi.org/10.1016/j.rse.2013.12.020" TargetMode="External"/><Relationship Id="rId30" Type="http://schemas.openxmlformats.org/officeDocument/2006/relationships/header" Target="header2.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03BE15-C57A-4D3B-8DCE-DB3E61229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4958</Words>
  <Characters>28265</Characters>
  <Application>Microsoft Office Word</Application>
  <DocSecurity>0</DocSecurity>
  <Lines>235</Lines>
  <Paragraphs>66</Paragraphs>
  <ScaleCrop>false</ScaleCrop>
  <Company/>
  <LinksUpToDate>false</LinksUpToDate>
  <CharactersWithSpaces>33157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Alinda</dc:creator>
  <cp:lastModifiedBy>SDI 1186</cp:lastModifiedBy>
  <cp:revision>19</cp:revision>
  <dcterms:created xsi:type="dcterms:W3CDTF">2025-09-20T09:17:00Z</dcterms:created>
  <dcterms:modified xsi:type="dcterms:W3CDTF">2025-09-25T05:46:00Z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E3ED5E0F86A04CE080B09037DB8157E4_13</vt:lpwstr>
  </property>
</Properties>
</file>