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6E3B" w14:textId="77777777" w:rsidR="00102D1E" w:rsidRPr="00102D1E" w:rsidRDefault="00102D1E" w:rsidP="00102D1E">
      <w:pPr>
        <w:pStyle w:val="Title"/>
        <w:jc w:val="both"/>
        <w:rPr>
          <w:rFonts w:ascii="Arial" w:hAnsi="Arial" w:cs="Arial"/>
          <w:bCs/>
          <w:i/>
          <w:iCs/>
          <w:u w:val="single"/>
        </w:rPr>
      </w:pPr>
      <w:r w:rsidRPr="00102D1E">
        <w:rPr>
          <w:rFonts w:ascii="Arial" w:hAnsi="Arial" w:cs="Arial"/>
          <w:bCs/>
          <w:i/>
          <w:iCs/>
          <w:u w:val="single"/>
        </w:rPr>
        <w:t>Review Article</w:t>
      </w:r>
    </w:p>
    <w:p w14:paraId="70EB173D" w14:textId="77777777" w:rsidR="00754C9A" w:rsidRPr="00BB2672" w:rsidRDefault="00754C9A" w:rsidP="00441B6F">
      <w:pPr>
        <w:pStyle w:val="Title"/>
        <w:spacing w:after="0"/>
        <w:jc w:val="both"/>
        <w:rPr>
          <w:rFonts w:ascii="Arial" w:hAnsi="Arial" w:cs="Arial"/>
        </w:rPr>
      </w:pPr>
    </w:p>
    <w:p w14:paraId="187ED90A" w14:textId="6B739FCC" w:rsidR="00A258C3" w:rsidRPr="00BB2672" w:rsidRDefault="003E16A0" w:rsidP="004F5887">
      <w:pPr>
        <w:jc w:val="right"/>
        <w:rPr>
          <w:rFonts w:ascii="Arial" w:hAnsi="Arial" w:cs="Arial"/>
          <w:b/>
          <w:bCs/>
          <w:sz w:val="36"/>
          <w:szCs w:val="36"/>
        </w:rPr>
      </w:pPr>
      <w:r w:rsidRPr="00BB2672">
        <w:rPr>
          <w:rFonts w:ascii="Arial" w:hAnsi="Arial" w:cs="Arial"/>
          <w:b/>
          <w:bCs/>
          <w:sz w:val="36"/>
          <w:szCs w:val="36"/>
        </w:rPr>
        <w:t xml:space="preserve">Composites of biochar and biofertilizer pellets: preserving nutrients, </w:t>
      </w:r>
      <w:r w:rsidR="00B26AD7" w:rsidRPr="00BB2672">
        <w:rPr>
          <w:rFonts w:ascii="Arial" w:hAnsi="Arial" w:cs="Arial"/>
          <w:b/>
          <w:bCs/>
          <w:sz w:val="36"/>
          <w:szCs w:val="36"/>
        </w:rPr>
        <w:t>stabilizing</w:t>
      </w:r>
      <w:r w:rsidRPr="00BB2672">
        <w:rPr>
          <w:rFonts w:ascii="Arial" w:hAnsi="Arial" w:cs="Arial"/>
          <w:b/>
          <w:bCs/>
          <w:sz w:val="36"/>
          <w:szCs w:val="36"/>
        </w:rPr>
        <w:t xml:space="preserve"> microorganisms, and enhancing soil health in mulberry gardens</w:t>
      </w:r>
    </w:p>
    <w:p w14:paraId="58384615" w14:textId="77777777" w:rsidR="004F5887" w:rsidRPr="00BB2672" w:rsidRDefault="004F5887" w:rsidP="004F5887">
      <w:pPr>
        <w:jc w:val="right"/>
        <w:rPr>
          <w:rFonts w:ascii="Arial" w:hAnsi="Arial" w:cs="Arial"/>
          <w:b/>
          <w:bCs/>
          <w:sz w:val="36"/>
          <w:szCs w:val="36"/>
        </w:rPr>
      </w:pPr>
    </w:p>
    <w:p w14:paraId="5FED72FA" w14:textId="77777777" w:rsidR="00677707" w:rsidRPr="00BB2672" w:rsidRDefault="00677707" w:rsidP="004F5887">
      <w:pPr>
        <w:pStyle w:val="Affiliation"/>
        <w:spacing w:line="240" w:lineRule="auto"/>
        <w:rPr>
          <w:rFonts w:ascii="Arial" w:hAnsi="Arial" w:cs="Arial"/>
          <w:i/>
        </w:rPr>
      </w:pPr>
    </w:p>
    <w:p w14:paraId="2A2890EB" w14:textId="77777777" w:rsidR="002C57D2" w:rsidRPr="00BB2672" w:rsidRDefault="002C57D2" w:rsidP="00441B6F">
      <w:pPr>
        <w:pStyle w:val="Affiliation"/>
        <w:spacing w:after="0" w:line="240" w:lineRule="auto"/>
        <w:jc w:val="both"/>
        <w:rPr>
          <w:rFonts w:ascii="Arial" w:hAnsi="Arial" w:cs="Arial"/>
        </w:rPr>
      </w:pPr>
    </w:p>
    <w:p w14:paraId="714C59DD" w14:textId="77777777" w:rsidR="00B01FCD" w:rsidRPr="00BB2672" w:rsidRDefault="00000000" w:rsidP="00441B6F">
      <w:pPr>
        <w:pStyle w:val="Copyright"/>
        <w:spacing w:after="0" w:line="240" w:lineRule="auto"/>
        <w:jc w:val="both"/>
        <w:rPr>
          <w:rFonts w:ascii="Arial" w:hAnsi="Arial" w:cs="Arial"/>
        </w:rPr>
        <w:sectPr w:rsidR="00B01FCD" w:rsidRPr="00BB2672" w:rsidSect="00AB378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0169F11">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BB2672">
        <w:rPr>
          <w:rFonts w:ascii="Arial" w:hAnsi="Arial" w:cs="Arial"/>
        </w:rPr>
        <w:t>.</w:t>
      </w:r>
    </w:p>
    <w:p w14:paraId="192072F7" w14:textId="2A9F3865" w:rsidR="00B01FCD" w:rsidRPr="00BB2672" w:rsidRDefault="00B01FCD" w:rsidP="00441B6F">
      <w:pPr>
        <w:pStyle w:val="AbstHead"/>
        <w:spacing w:after="0"/>
        <w:jc w:val="both"/>
        <w:rPr>
          <w:rFonts w:ascii="Arial" w:hAnsi="Arial" w:cs="Arial"/>
        </w:rPr>
      </w:pPr>
      <w:r w:rsidRPr="00BB2672">
        <w:rPr>
          <w:rFonts w:ascii="Arial" w:hAnsi="Arial" w:cs="Arial"/>
        </w:rPr>
        <w:t>ABSTRACT</w:t>
      </w:r>
    </w:p>
    <w:p w14:paraId="0CE734FE" w14:textId="77777777" w:rsidR="00790ADA" w:rsidRPr="00BB267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BB2672" w14:paraId="0228D1DF" w14:textId="77777777" w:rsidTr="001E44FE">
        <w:tc>
          <w:tcPr>
            <w:tcW w:w="9576" w:type="dxa"/>
            <w:shd w:val="clear" w:color="auto" w:fill="F2F2F2"/>
          </w:tcPr>
          <w:p w14:paraId="4B75D2E7" w14:textId="6D65627C" w:rsidR="00505F06" w:rsidRPr="00BB2672" w:rsidRDefault="003E16A0" w:rsidP="003E16A0">
            <w:pPr>
              <w:jc w:val="both"/>
              <w:rPr>
                <w:rFonts w:ascii="Arial" w:hAnsi="Arial" w:cs="Arial"/>
              </w:rPr>
            </w:pPr>
            <w:r w:rsidRPr="00BB2672">
              <w:rPr>
                <w:rFonts w:ascii="Arial" w:hAnsi="Arial" w:cs="Arial"/>
              </w:rPr>
              <w:t>Mulberry-based sericulture relies on high-quality leaf production, which demands intensive nutrient management and careful soil stewardship. Conventional chemical fertilizers, while effective in boosting leaf biomass, often lead to nutrient losses, soil degradation, and environmental pollution. Recent advances in biochar-biofertilizer pellet technology offer a promising sustainable alternative. These pellets combine biochar’s physical and chemical benefits with the delivery of beneficial microbial inoculants, enabling controlled nutrient release, enhanced soil fertility, and improved microbial viability. Empirical studies demonstrate that biochar-based pellets increase mulberry leaf biomass, crude protein, chlorophyll content, and essential nutrient uptake, while stabilizing nutrient availability across successive harvests. Improved leaf quality in turn enhances silkworm growth, cocoon yield, and silk quality, linking soil health directly to sericulture productivity. Despite these advantages, challenges remain regarding long-term field performance, large-scale adoption, production costs, and microbial stability. Future research should focus on low-cost, waste-derived biochar, customized microbial consortia, and integrated multi-year trials to optimize agronomic outcomes and promote environmentally sustainable sericulture.</w:t>
            </w:r>
            <w:r w:rsidR="006E7B08">
              <w:rPr>
                <w:rFonts w:ascii="Arial" w:hAnsi="Arial" w:cs="Arial"/>
              </w:rPr>
              <w:t xml:space="preserve"> </w:t>
            </w:r>
            <w:r w:rsidR="006E7B08" w:rsidRPr="006E7B08">
              <w:rPr>
                <w:rFonts w:ascii="Arial" w:hAnsi="Arial" w:cs="Arial"/>
              </w:rPr>
              <w:t>By integrating soil health, leaf quality, and cocoon productivity, biochar-based pellets represent a practical pathway toward sustainable sericulture systems.</w:t>
            </w:r>
          </w:p>
        </w:tc>
      </w:tr>
    </w:tbl>
    <w:p w14:paraId="73080557" w14:textId="77777777" w:rsidR="00636EB2" w:rsidRPr="00BB2672" w:rsidRDefault="00636EB2" w:rsidP="00441B6F">
      <w:pPr>
        <w:pStyle w:val="Body"/>
        <w:spacing w:after="0"/>
        <w:rPr>
          <w:rFonts w:ascii="Arial" w:hAnsi="Arial" w:cs="Arial"/>
          <w:i/>
        </w:rPr>
      </w:pPr>
    </w:p>
    <w:p w14:paraId="15C1D6B1" w14:textId="07AFC0E1" w:rsidR="00A24E7E" w:rsidRPr="00BB2672" w:rsidRDefault="00A24E7E" w:rsidP="00441B6F">
      <w:pPr>
        <w:pStyle w:val="Body"/>
        <w:spacing w:after="0"/>
        <w:rPr>
          <w:rFonts w:ascii="Arial" w:hAnsi="Arial" w:cs="Arial"/>
          <w:i/>
        </w:rPr>
      </w:pPr>
      <w:r w:rsidRPr="00BB2672">
        <w:rPr>
          <w:rFonts w:ascii="Arial" w:hAnsi="Arial" w:cs="Arial"/>
          <w:i/>
        </w:rPr>
        <w:t xml:space="preserve">Keywords: </w:t>
      </w:r>
      <w:r w:rsidR="003E16A0" w:rsidRPr="00BB2672">
        <w:rPr>
          <w:rFonts w:ascii="Arial" w:hAnsi="Arial" w:cs="Arial"/>
          <w:i/>
        </w:rPr>
        <w:t>Biochar-biofertilizer pellets,</w:t>
      </w:r>
      <w:r w:rsidR="003E16A0" w:rsidRPr="00BB2672">
        <w:rPr>
          <w:rFonts w:ascii="Arial" w:hAnsi="Arial" w:cs="Arial"/>
          <w:b/>
          <w:bCs/>
          <w:i/>
        </w:rPr>
        <w:t xml:space="preserve"> </w:t>
      </w:r>
      <w:r w:rsidR="003E16A0" w:rsidRPr="00BB2672">
        <w:rPr>
          <w:rFonts w:ascii="Arial" w:hAnsi="Arial" w:cs="Arial"/>
          <w:i/>
        </w:rPr>
        <w:t xml:space="preserve">Beneficial microbes, </w:t>
      </w:r>
      <w:r w:rsidR="003E16A0" w:rsidRPr="00BB2672">
        <w:rPr>
          <w:rFonts w:ascii="Arial" w:hAnsi="Arial" w:cs="Arial"/>
          <w:i/>
          <w:lang w:eastAsia="en-IN"/>
        </w:rPr>
        <w:t>Feedstock, Compost, Irrigation</w:t>
      </w:r>
    </w:p>
    <w:p w14:paraId="18A7CD27" w14:textId="77777777" w:rsidR="00505F06" w:rsidRPr="00BB2672" w:rsidRDefault="00505F06" w:rsidP="00441B6F">
      <w:pPr>
        <w:pStyle w:val="Body"/>
        <w:spacing w:after="0"/>
        <w:rPr>
          <w:rFonts w:ascii="Arial" w:hAnsi="Arial" w:cs="Arial"/>
          <w:i/>
        </w:rPr>
      </w:pPr>
    </w:p>
    <w:p w14:paraId="78760A2F" w14:textId="01A89938" w:rsidR="007F7B32" w:rsidRPr="00BB2672" w:rsidRDefault="00B01FCD" w:rsidP="003E16A0">
      <w:pPr>
        <w:pStyle w:val="AbstHead"/>
        <w:numPr>
          <w:ilvl w:val="0"/>
          <w:numId w:val="31"/>
        </w:numPr>
        <w:spacing w:after="0"/>
        <w:jc w:val="both"/>
        <w:rPr>
          <w:rFonts w:ascii="Arial" w:hAnsi="Arial" w:cs="Arial"/>
        </w:rPr>
      </w:pPr>
      <w:r w:rsidRPr="00BB2672">
        <w:rPr>
          <w:rFonts w:ascii="Arial" w:hAnsi="Arial" w:cs="Arial"/>
        </w:rPr>
        <w:t>INTRODUCTION</w:t>
      </w:r>
    </w:p>
    <w:p w14:paraId="6371B60B" w14:textId="77777777" w:rsidR="00790ADA" w:rsidRPr="00BB2672" w:rsidRDefault="00790ADA" w:rsidP="00441B6F">
      <w:pPr>
        <w:pStyle w:val="AbstHead"/>
        <w:spacing w:after="0"/>
        <w:jc w:val="both"/>
        <w:rPr>
          <w:rFonts w:ascii="Arial" w:hAnsi="Arial" w:cs="Arial"/>
        </w:rPr>
      </w:pPr>
    </w:p>
    <w:p w14:paraId="29DBB55A" w14:textId="4B0EDA65" w:rsidR="003E16A0" w:rsidRPr="00BB2672" w:rsidRDefault="003E16A0" w:rsidP="003E16A0">
      <w:pPr>
        <w:ind w:firstLine="720"/>
        <w:jc w:val="both"/>
        <w:rPr>
          <w:rFonts w:ascii="Arial" w:hAnsi="Arial" w:cs="Arial"/>
        </w:rPr>
      </w:pPr>
      <w:r w:rsidRPr="00BB2672">
        <w:rPr>
          <w:rFonts w:ascii="Arial" w:hAnsi="Arial" w:cs="Arial"/>
        </w:rPr>
        <w:t xml:space="preserve">Mulberry cultivation demands high nutrient inputs due to its rapid vegetative growth, repeated pruning, and frequent leaf harvesting. Chemical fertilizers have conventionally been used to meet this demand; however, excessive reliance on synthetic Nitrogen (N), Phosphorus (P), Potassium (K) leads to soil degradation, nutrient leaching, elevated production costs, and environmental issues such as eutrophication and greenhouse gas emissions (Devi &amp; Sakthivel, 2018; Ahmed </w:t>
      </w:r>
      <w:r w:rsidRPr="00BB2672">
        <w:rPr>
          <w:rFonts w:ascii="Arial" w:hAnsi="Arial" w:cs="Arial"/>
          <w:i/>
          <w:iCs/>
        </w:rPr>
        <w:t>et al.,</w:t>
      </w:r>
      <w:r w:rsidRPr="00BB2672">
        <w:rPr>
          <w:rFonts w:ascii="Arial" w:hAnsi="Arial" w:cs="Arial"/>
        </w:rPr>
        <w:t xml:space="preserve"> 2017). Recent field trials in mulberry gardens show that addition of biochar with farmyard manure (FYM) or NPK improves nutrient uptake, leaf yield, and soil properties compared to standard fertilizer regimes (Ranjitha </w:t>
      </w:r>
      <w:r w:rsidRPr="00BB2672">
        <w:rPr>
          <w:rFonts w:ascii="Arial" w:hAnsi="Arial" w:cs="Arial"/>
          <w:i/>
          <w:iCs/>
        </w:rPr>
        <w:t>et al.,</w:t>
      </w:r>
      <w:r w:rsidRPr="00BB2672">
        <w:rPr>
          <w:rFonts w:ascii="Arial" w:hAnsi="Arial" w:cs="Arial"/>
        </w:rPr>
        <w:t xml:space="preserve"> 202</w:t>
      </w:r>
      <w:r w:rsidR="00B26AD7">
        <w:rPr>
          <w:rFonts w:ascii="Arial" w:hAnsi="Arial" w:cs="Arial"/>
        </w:rPr>
        <w:t>3</w:t>
      </w:r>
      <w:r w:rsidRPr="00BB2672">
        <w:rPr>
          <w:rFonts w:ascii="Arial" w:hAnsi="Arial" w:cs="Arial"/>
        </w:rPr>
        <w:t xml:space="preserve">; Nandini </w:t>
      </w:r>
      <w:r w:rsidRPr="00BB2672">
        <w:rPr>
          <w:rFonts w:ascii="Arial" w:hAnsi="Arial" w:cs="Arial"/>
          <w:i/>
          <w:iCs/>
        </w:rPr>
        <w:t>et al.,</w:t>
      </w:r>
      <w:r w:rsidRPr="00BB2672">
        <w:rPr>
          <w:rFonts w:ascii="Arial" w:hAnsi="Arial" w:cs="Arial"/>
        </w:rPr>
        <w:t xml:space="preserve"> 2024</w:t>
      </w:r>
      <w:r w:rsidR="004F5887" w:rsidRPr="00BB2672">
        <w:rPr>
          <w:rFonts w:ascii="Arial" w:hAnsi="Arial" w:cs="Arial"/>
        </w:rPr>
        <w:t>a</w:t>
      </w:r>
      <w:r w:rsidRPr="00BB2672">
        <w:rPr>
          <w:rFonts w:ascii="Arial" w:hAnsi="Arial" w:cs="Arial"/>
        </w:rPr>
        <w:t xml:space="preserve">). These findings suggest the limitations of chemical </w:t>
      </w:r>
      <w:r w:rsidR="00B26AD7" w:rsidRPr="00BB2672">
        <w:rPr>
          <w:rFonts w:ascii="Arial" w:hAnsi="Arial" w:cs="Arial"/>
        </w:rPr>
        <w:t>fertilizers</w:t>
      </w:r>
      <w:r w:rsidRPr="00BB2672">
        <w:rPr>
          <w:rFonts w:ascii="Arial" w:hAnsi="Arial" w:cs="Arial"/>
        </w:rPr>
        <w:t xml:space="preserve"> alone in supporting sustainable mulberry production.</w:t>
      </w:r>
    </w:p>
    <w:p w14:paraId="6CC90626" w14:textId="77777777" w:rsidR="003E16A0" w:rsidRPr="00BB2672" w:rsidRDefault="003E16A0" w:rsidP="003E16A0">
      <w:pPr>
        <w:ind w:firstLine="720"/>
        <w:jc w:val="both"/>
        <w:rPr>
          <w:rFonts w:ascii="Arial" w:hAnsi="Arial" w:cs="Arial"/>
        </w:rPr>
      </w:pPr>
      <w:r w:rsidRPr="00BB2672">
        <w:rPr>
          <w:rFonts w:ascii="Arial" w:hAnsi="Arial" w:cs="Arial"/>
        </w:rPr>
        <w:lastRenderedPageBreak/>
        <w:t xml:space="preserve">Biofertilizer pellets serve as carriers for beneficial microbes, including plant growth-promoting rhizobacteria (PGPR), phosphate-solubilizing bacteria, and nitrogen-fixing microorganisms, and they provide several advantages over liquid or loose formulations. These pellets help maintain microbial viability during storage, protect against environmental stresses, and allow for slow or controlled nutrient release, thereby improving nutrient use efficiency and crop productivity (Zhang </w:t>
      </w:r>
      <w:r w:rsidRPr="00BB2672">
        <w:rPr>
          <w:rFonts w:ascii="Arial" w:hAnsi="Arial" w:cs="Arial"/>
          <w:i/>
          <w:iCs/>
        </w:rPr>
        <w:t>et al.,</w:t>
      </w:r>
      <w:r w:rsidRPr="00BB2672">
        <w:rPr>
          <w:rFonts w:ascii="Arial" w:hAnsi="Arial" w:cs="Arial"/>
        </w:rPr>
        <w:t xml:space="preserve"> 2025). Proper handling and storage conditions, including controlled temperature and humidity, are essential to preserve microbial viability and effectiveness, ensuring that biofertilizers remain functional until field application (Shravani </w:t>
      </w:r>
      <w:r w:rsidRPr="00BB2672">
        <w:rPr>
          <w:rFonts w:ascii="Arial" w:hAnsi="Arial" w:cs="Arial"/>
          <w:i/>
          <w:iCs/>
        </w:rPr>
        <w:t>et al.,</w:t>
      </w:r>
      <w:r w:rsidRPr="00BB2672">
        <w:rPr>
          <w:rFonts w:ascii="Arial" w:hAnsi="Arial" w:cs="Arial"/>
        </w:rPr>
        <w:t xml:space="preserve"> 2019). Moreover, advances in formulation technologies, including encapsulation with biopolymers such as chitosan, have been shown to enhance microbial stability, protect against nutrient losses through volatilization or runoff, and improve crop yield, as evidenced in studies where encapsulated Pseudomonas fluorescens demonstrated improved shelf life and field performance (</w:t>
      </w:r>
      <w:proofErr w:type="spellStart"/>
      <w:r w:rsidRPr="00BB2672">
        <w:rPr>
          <w:rFonts w:ascii="Arial" w:hAnsi="Arial" w:cs="Arial"/>
        </w:rPr>
        <w:t>Fadiji</w:t>
      </w:r>
      <w:proofErr w:type="spellEnd"/>
      <w:r w:rsidRPr="00BB2672">
        <w:rPr>
          <w:rFonts w:ascii="Arial" w:hAnsi="Arial" w:cs="Arial"/>
        </w:rPr>
        <w:t xml:space="preserve"> </w:t>
      </w:r>
      <w:r w:rsidRPr="00BB2672">
        <w:rPr>
          <w:rFonts w:ascii="Arial" w:hAnsi="Arial" w:cs="Arial"/>
          <w:i/>
          <w:iCs/>
        </w:rPr>
        <w:t>et al.,</w:t>
      </w:r>
      <w:r w:rsidRPr="00BB2672">
        <w:rPr>
          <w:rFonts w:ascii="Arial" w:hAnsi="Arial" w:cs="Arial"/>
        </w:rPr>
        <w:t xml:space="preserve"> 2024)</w:t>
      </w:r>
    </w:p>
    <w:p w14:paraId="76FDD271" w14:textId="4AB974F1" w:rsidR="003E16A0" w:rsidRPr="00BB2672" w:rsidRDefault="003E16A0" w:rsidP="003E16A0">
      <w:pPr>
        <w:ind w:firstLine="720"/>
        <w:jc w:val="both"/>
        <w:rPr>
          <w:rFonts w:ascii="Arial" w:hAnsi="Arial" w:cs="Arial"/>
        </w:rPr>
      </w:pPr>
      <w:r w:rsidRPr="00BB2672">
        <w:rPr>
          <w:rFonts w:ascii="Arial" w:hAnsi="Arial" w:cs="Arial"/>
        </w:rPr>
        <w:t xml:space="preserve">Meanwhile, biochar, a carbon-rich material produced by the pyrolysis of biomass, has become popular as a soil amendment. It offers high porosity, greater cation exchange capacity, improved moisture retention, pH buffering, and a stable habitat for soil microbes. In mulberry cultivation systems, the use of biochar has been shown to enhance the retention of essential nutrients such as nitrogen, phosphorus, potassium, and calcium, while also increasing leaf yields, improving resistance to diseases, and enhancing soil fertility indicators including organic matter content and the availability of micronutrients when applied along with conventional fertilizers or farmyard manure (Ahmed </w:t>
      </w:r>
      <w:r w:rsidRPr="00BB2672">
        <w:rPr>
          <w:rFonts w:ascii="Arial" w:hAnsi="Arial" w:cs="Arial"/>
          <w:i/>
          <w:iCs/>
        </w:rPr>
        <w:t>et al.,</w:t>
      </w:r>
      <w:r w:rsidRPr="00BB2672">
        <w:rPr>
          <w:rFonts w:ascii="Arial" w:hAnsi="Arial" w:cs="Arial"/>
        </w:rPr>
        <w:t xml:space="preserve"> 2017; Ranjitha </w:t>
      </w:r>
      <w:r w:rsidRPr="00BB2672">
        <w:rPr>
          <w:rFonts w:ascii="Arial" w:hAnsi="Arial" w:cs="Arial"/>
          <w:i/>
          <w:iCs/>
        </w:rPr>
        <w:t>et al.,</w:t>
      </w:r>
      <w:r w:rsidRPr="00BB2672">
        <w:rPr>
          <w:rFonts w:ascii="Arial" w:hAnsi="Arial" w:cs="Arial"/>
        </w:rPr>
        <w:t xml:space="preserve"> 202</w:t>
      </w:r>
      <w:r w:rsidR="00B26AD7">
        <w:rPr>
          <w:rFonts w:ascii="Arial" w:hAnsi="Arial" w:cs="Arial"/>
        </w:rPr>
        <w:t>3</w:t>
      </w:r>
      <w:r w:rsidRPr="00BB2672">
        <w:rPr>
          <w:rFonts w:ascii="Arial" w:hAnsi="Arial" w:cs="Arial"/>
        </w:rPr>
        <w:t xml:space="preserve">; Nandini </w:t>
      </w:r>
      <w:r w:rsidRPr="00BB2672">
        <w:rPr>
          <w:rFonts w:ascii="Arial" w:hAnsi="Arial" w:cs="Arial"/>
          <w:i/>
          <w:iCs/>
        </w:rPr>
        <w:t>et al.,</w:t>
      </w:r>
      <w:r w:rsidRPr="00BB2672">
        <w:rPr>
          <w:rFonts w:ascii="Arial" w:hAnsi="Arial" w:cs="Arial"/>
        </w:rPr>
        <w:t xml:space="preserve"> 2024</w:t>
      </w:r>
      <w:r w:rsidR="004F5887" w:rsidRPr="00BB2672">
        <w:rPr>
          <w:rFonts w:ascii="Arial" w:hAnsi="Arial" w:cs="Arial"/>
        </w:rPr>
        <w:t>a</w:t>
      </w:r>
      <w:r w:rsidR="00CC4663">
        <w:rPr>
          <w:rFonts w:ascii="Arial" w:hAnsi="Arial" w:cs="Arial"/>
        </w:rPr>
        <w:t>; Nandini et al., 2024c</w:t>
      </w:r>
      <w:r w:rsidRPr="00BB2672">
        <w:rPr>
          <w:rFonts w:ascii="Arial" w:hAnsi="Arial" w:cs="Arial"/>
        </w:rPr>
        <w:t>).</w:t>
      </w:r>
    </w:p>
    <w:p w14:paraId="48CE4BC5" w14:textId="538676B5" w:rsidR="003E16A0" w:rsidRDefault="003E16A0" w:rsidP="0059241F">
      <w:pPr>
        <w:ind w:firstLine="720"/>
        <w:jc w:val="both"/>
        <w:rPr>
          <w:rFonts w:ascii="Arial" w:hAnsi="Arial" w:cs="Arial"/>
        </w:rPr>
      </w:pPr>
      <w:r w:rsidRPr="00BB2672">
        <w:rPr>
          <w:rFonts w:ascii="Arial" w:hAnsi="Arial" w:cs="Arial"/>
        </w:rPr>
        <w:t xml:space="preserve">Recent research highlights growing interest in integrating biochar with pelletized biofertilizers to improve soil fertility and crop performance. Biochar provides a porous and chemically stable matrix that enhances microbial survival, moderates nutrient release, and buffers soil conditions, thereby complementing the functions of microbial inoculants (Singh </w:t>
      </w:r>
      <w:r w:rsidRPr="00BB2672">
        <w:rPr>
          <w:rFonts w:ascii="Arial" w:hAnsi="Arial" w:cs="Arial"/>
          <w:i/>
          <w:iCs/>
        </w:rPr>
        <w:t>et al.,</w:t>
      </w:r>
      <w:r w:rsidRPr="00BB2672">
        <w:rPr>
          <w:rFonts w:ascii="Arial" w:hAnsi="Arial" w:cs="Arial"/>
        </w:rPr>
        <w:t xml:space="preserve"> 2024; Ranjitha </w:t>
      </w:r>
      <w:r w:rsidRPr="00BB2672">
        <w:rPr>
          <w:rFonts w:ascii="Arial" w:hAnsi="Arial" w:cs="Arial"/>
          <w:i/>
          <w:iCs/>
        </w:rPr>
        <w:t>et al.,</w:t>
      </w:r>
      <w:r w:rsidRPr="00BB2672">
        <w:rPr>
          <w:rFonts w:ascii="Arial" w:hAnsi="Arial" w:cs="Arial"/>
        </w:rPr>
        <w:t xml:space="preserve"> 202</w:t>
      </w:r>
      <w:r w:rsidR="00B26AD7">
        <w:rPr>
          <w:rFonts w:ascii="Arial" w:hAnsi="Arial" w:cs="Arial"/>
        </w:rPr>
        <w:t>3</w:t>
      </w:r>
      <w:r w:rsidRPr="00BB2672">
        <w:rPr>
          <w:rFonts w:ascii="Arial" w:hAnsi="Arial" w:cs="Arial"/>
        </w:rPr>
        <w:t xml:space="preserve">). While studies specifically targeting mulberry remain scarce, evidence from other crops demonstrates that biochar-microbe composites can enhance nutrient use efficiency, plant growth, and soil health (Zhang </w:t>
      </w:r>
      <w:r w:rsidRPr="00BB2672">
        <w:rPr>
          <w:rFonts w:ascii="Arial" w:hAnsi="Arial" w:cs="Arial"/>
          <w:i/>
          <w:iCs/>
        </w:rPr>
        <w:t>et al.,</w:t>
      </w:r>
      <w:r w:rsidRPr="00BB2672">
        <w:rPr>
          <w:rFonts w:ascii="Arial" w:hAnsi="Arial" w:cs="Arial"/>
        </w:rPr>
        <w:t xml:space="preserve"> 2025; Patil </w:t>
      </w:r>
      <w:r w:rsidRPr="00BB2672">
        <w:rPr>
          <w:rFonts w:ascii="Arial" w:hAnsi="Arial" w:cs="Arial"/>
          <w:i/>
          <w:iCs/>
        </w:rPr>
        <w:t>et al.,</w:t>
      </w:r>
      <w:r w:rsidRPr="00BB2672">
        <w:rPr>
          <w:rFonts w:ascii="Arial" w:hAnsi="Arial" w:cs="Arial"/>
        </w:rPr>
        <w:t xml:space="preserve"> 2024). These findings underscore the potential of biochar-based biofertilizer pellets as a sustainable nutrient management strategy for sericulture soils. The overall mechanism of how biochar–biofertilizer pellets function in soil is summarized in Figure 1.</w:t>
      </w:r>
    </w:p>
    <w:p w14:paraId="1B37D121" w14:textId="77777777" w:rsidR="0059241F" w:rsidRPr="00BB2672" w:rsidRDefault="0059241F" w:rsidP="0059241F">
      <w:pPr>
        <w:ind w:firstLine="720"/>
        <w:jc w:val="both"/>
        <w:rPr>
          <w:rFonts w:ascii="Arial" w:hAnsi="Arial" w:cs="Arial"/>
        </w:rPr>
      </w:pPr>
    </w:p>
    <w:p w14:paraId="6545CA0C" w14:textId="77777777" w:rsidR="003E16A0" w:rsidRPr="00BB2672" w:rsidRDefault="003E16A0" w:rsidP="003E16A0">
      <w:pPr>
        <w:jc w:val="center"/>
        <w:rPr>
          <w:rFonts w:ascii="Arial" w:hAnsi="Arial" w:cs="Arial"/>
        </w:rPr>
      </w:pPr>
      <w:r w:rsidRPr="00BB2672">
        <w:rPr>
          <w:rFonts w:ascii="Arial" w:hAnsi="Arial" w:cs="Arial"/>
          <w:noProof/>
        </w:rPr>
        <w:lastRenderedPageBreak/>
        <w:drawing>
          <wp:inline distT="0" distB="0" distL="0" distR="0" wp14:anchorId="475E0D62" wp14:editId="40B760EF">
            <wp:extent cx="3000375" cy="3254925"/>
            <wp:effectExtent l="0" t="0" r="0" b="0"/>
            <wp:docPr id="97868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80859" name="Picture 978680859"/>
                    <pic:cNvPicPr/>
                  </pic:nvPicPr>
                  <pic:blipFill>
                    <a:blip r:embed="rId14">
                      <a:extLst>
                        <a:ext uri="{28A0092B-C50C-407E-A947-70E740481C1C}">
                          <a14:useLocalDpi xmlns:a14="http://schemas.microsoft.com/office/drawing/2010/main" val="0"/>
                        </a:ext>
                      </a:extLst>
                    </a:blip>
                    <a:stretch>
                      <a:fillRect/>
                    </a:stretch>
                  </pic:blipFill>
                  <pic:spPr>
                    <a:xfrm>
                      <a:off x="0" y="0"/>
                      <a:ext cx="3100748" cy="3363813"/>
                    </a:xfrm>
                    <a:prstGeom prst="rect">
                      <a:avLst/>
                    </a:prstGeom>
                  </pic:spPr>
                </pic:pic>
              </a:graphicData>
            </a:graphic>
          </wp:inline>
        </w:drawing>
      </w:r>
    </w:p>
    <w:p w14:paraId="41652A98" w14:textId="77777777" w:rsidR="003E16A0" w:rsidRPr="00BB2672" w:rsidRDefault="003E16A0" w:rsidP="003E16A0">
      <w:pPr>
        <w:spacing w:before="100" w:beforeAutospacing="1" w:after="100" w:afterAutospacing="1"/>
        <w:jc w:val="center"/>
        <w:outlineLvl w:val="1"/>
        <w:rPr>
          <w:rFonts w:ascii="Arial" w:hAnsi="Arial" w:cs="Arial"/>
          <w:b/>
          <w:bCs/>
          <w:lang w:eastAsia="en-IN"/>
        </w:rPr>
      </w:pPr>
      <w:r w:rsidRPr="00BB2672">
        <w:rPr>
          <w:rFonts w:ascii="Arial" w:hAnsi="Arial" w:cs="Arial"/>
          <w:b/>
          <w:bCs/>
          <w:lang w:eastAsia="en-IN"/>
        </w:rPr>
        <w:t>Figure 1: Biochar–biofertilizer pellet mechanism in soil showing the sequence from pellet disintegration to improved soil fertility and microbial activity.</w:t>
      </w:r>
    </w:p>
    <w:p w14:paraId="611FD9D7" w14:textId="5AA7C61B" w:rsidR="003E16A0" w:rsidRPr="00BB2672" w:rsidRDefault="003E16A0" w:rsidP="003E16A0">
      <w:pPr>
        <w:pStyle w:val="ListParagraph"/>
        <w:numPr>
          <w:ilvl w:val="0"/>
          <w:numId w:val="31"/>
        </w:numPr>
        <w:spacing w:before="100" w:beforeAutospacing="1" w:after="100" w:afterAutospacing="1"/>
        <w:outlineLvl w:val="1"/>
        <w:rPr>
          <w:rFonts w:ascii="Arial" w:hAnsi="Arial" w:cs="Arial"/>
          <w:b/>
          <w:bCs/>
          <w:sz w:val="22"/>
          <w:szCs w:val="22"/>
          <w:lang w:eastAsia="en-IN"/>
        </w:rPr>
      </w:pPr>
      <w:r w:rsidRPr="00BB2672">
        <w:rPr>
          <w:rFonts w:ascii="Arial" w:hAnsi="Arial" w:cs="Arial"/>
          <w:b/>
          <w:bCs/>
          <w:sz w:val="22"/>
          <w:szCs w:val="22"/>
          <w:lang w:eastAsia="en-IN"/>
        </w:rPr>
        <w:t>FORMULATION AND CARRIER PROPERTIES OF BIOCHAR-BIOFERTILIZER PELLETS</w:t>
      </w:r>
    </w:p>
    <w:p w14:paraId="01EEA7A7" w14:textId="77777777" w:rsidR="003E16A0" w:rsidRPr="00BB2672" w:rsidRDefault="003E16A0" w:rsidP="003E16A0">
      <w:pPr>
        <w:pStyle w:val="ListParagraph"/>
        <w:spacing w:before="100" w:beforeAutospacing="1" w:after="100" w:afterAutospacing="1"/>
        <w:ind w:left="360"/>
        <w:outlineLvl w:val="1"/>
        <w:rPr>
          <w:rFonts w:ascii="Arial" w:hAnsi="Arial" w:cs="Arial"/>
          <w:b/>
          <w:bCs/>
          <w:sz w:val="22"/>
          <w:szCs w:val="22"/>
          <w:lang w:eastAsia="en-IN"/>
        </w:rPr>
      </w:pPr>
    </w:p>
    <w:p w14:paraId="59DC0619" w14:textId="701CA013" w:rsidR="003E16A0" w:rsidRPr="00BB2672" w:rsidRDefault="00B26AD7" w:rsidP="003E16A0">
      <w:pPr>
        <w:pStyle w:val="ListParagraph"/>
        <w:numPr>
          <w:ilvl w:val="1"/>
          <w:numId w:val="33"/>
        </w:numPr>
        <w:spacing w:before="100" w:beforeAutospacing="1" w:after="100" w:afterAutospacing="1"/>
        <w:jc w:val="both"/>
        <w:outlineLvl w:val="1"/>
        <w:rPr>
          <w:rFonts w:ascii="Arial" w:hAnsi="Arial" w:cs="Arial"/>
          <w:b/>
          <w:bCs/>
          <w:sz w:val="22"/>
          <w:szCs w:val="22"/>
          <w:lang w:eastAsia="en-IN"/>
        </w:rPr>
      </w:pPr>
      <w:r w:rsidRPr="00BB2672">
        <w:rPr>
          <w:rFonts w:ascii="Arial" w:hAnsi="Arial" w:cs="Arial"/>
          <w:b/>
          <w:bCs/>
          <w:sz w:val="22"/>
          <w:szCs w:val="22"/>
          <w:lang w:eastAsia="en-IN"/>
        </w:rPr>
        <w:t>Palleti</w:t>
      </w:r>
      <w:r>
        <w:rPr>
          <w:rFonts w:ascii="Arial" w:hAnsi="Arial" w:cs="Arial"/>
          <w:b/>
          <w:bCs/>
          <w:sz w:val="22"/>
          <w:szCs w:val="22"/>
          <w:lang w:eastAsia="en-IN"/>
        </w:rPr>
        <w:t>z</w:t>
      </w:r>
      <w:r w:rsidRPr="00BB2672">
        <w:rPr>
          <w:rFonts w:ascii="Arial" w:hAnsi="Arial" w:cs="Arial"/>
          <w:b/>
          <w:bCs/>
          <w:sz w:val="22"/>
          <w:szCs w:val="22"/>
          <w:lang w:eastAsia="en-IN"/>
        </w:rPr>
        <w:t>ation</w:t>
      </w:r>
      <w:r w:rsidR="003E16A0" w:rsidRPr="00BB2672">
        <w:rPr>
          <w:rFonts w:ascii="Arial" w:hAnsi="Arial" w:cs="Arial"/>
          <w:b/>
          <w:bCs/>
          <w:sz w:val="22"/>
          <w:szCs w:val="22"/>
          <w:lang w:eastAsia="en-IN"/>
        </w:rPr>
        <w:t xml:space="preserve"> Methods</w:t>
      </w:r>
    </w:p>
    <w:p w14:paraId="68E2D9F3" w14:textId="4DF3A88F"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The </w:t>
      </w:r>
      <w:r w:rsidR="00B26AD7" w:rsidRPr="00BB2672">
        <w:rPr>
          <w:rFonts w:ascii="Arial" w:hAnsi="Arial" w:cs="Arial"/>
          <w:lang w:eastAsia="en-IN"/>
        </w:rPr>
        <w:t>palletization</w:t>
      </w:r>
      <w:r w:rsidRPr="00BB2672">
        <w:rPr>
          <w:rFonts w:ascii="Arial" w:hAnsi="Arial" w:cs="Arial"/>
          <w:lang w:eastAsia="en-IN"/>
        </w:rPr>
        <w:t xml:space="preserve"> of biochar with fertilizers or microbial inoculants has emerged as a practical route to convert loose biochar into a transportable, </w:t>
      </w:r>
      <w:proofErr w:type="spellStart"/>
      <w:r w:rsidRPr="00BB2672">
        <w:rPr>
          <w:rFonts w:ascii="Arial" w:hAnsi="Arial" w:cs="Arial"/>
          <w:lang w:eastAsia="en-IN"/>
        </w:rPr>
        <w:t>doseable</w:t>
      </w:r>
      <w:proofErr w:type="spellEnd"/>
      <w:r w:rsidRPr="00BB2672">
        <w:rPr>
          <w:rFonts w:ascii="Arial" w:hAnsi="Arial" w:cs="Arial"/>
          <w:lang w:eastAsia="en-IN"/>
        </w:rPr>
        <w:t xml:space="preserve"> product that improves handling and field placement while enabling engineered nutrient release profiles. Common </w:t>
      </w:r>
      <w:r w:rsidR="00B26AD7" w:rsidRPr="00BB2672">
        <w:rPr>
          <w:rFonts w:ascii="Arial" w:hAnsi="Arial" w:cs="Arial"/>
          <w:lang w:eastAsia="en-IN"/>
        </w:rPr>
        <w:t>palletization</w:t>
      </w:r>
      <w:r w:rsidRPr="00BB2672">
        <w:rPr>
          <w:rFonts w:ascii="Arial" w:hAnsi="Arial" w:cs="Arial"/>
          <w:lang w:eastAsia="en-IN"/>
        </w:rPr>
        <w:t xml:space="preserve"> strategies include dry mixing followed by mechanical compression, extrusion of moist mixtures, and wet granulation where binders and plasticizers are added before pelleting (Yun </w:t>
      </w:r>
      <w:r w:rsidRPr="00BB2672">
        <w:rPr>
          <w:rFonts w:ascii="Arial" w:hAnsi="Arial" w:cs="Arial"/>
          <w:i/>
          <w:iCs/>
          <w:lang w:eastAsia="en-IN"/>
        </w:rPr>
        <w:t>et al.,</w:t>
      </w:r>
      <w:r w:rsidRPr="00BB2672">
        <w:rPr>
          <w:rFonts w:ascii="Arial" w:hAnsi="Arial" w:cs="Arial"/>
          <w:lang w:eastAsia="en-IN"/>
        </w:rPr>
        <w:t xml:space="preserve"> 2022; Mohammadi, 2021). Choice of method depends on feedstock moisture, biochar particle size and hardness, and the target pellet density and friability; for example, extrusion with a binder yields denser pellets that resist disintegration during transport but may reduce immediate nutrient exposure at application (Yun </w:t>
      </w:r>
      <w:r w:rsidRPr="00BB2672">
        <w:rPr>
          <w:rFonts w:ascii="Arial" w:hAnsi="Arial" w:cs="Arial"/>
          <w:i/>
          <w:iCs/>
          <w:lang w:eastAsia="en-IN"/>
        </w:rPr>
        <w:t>et al.,</w:t>
      </w:r>
      <w:r w:rsidRPr="00BB2672">
        <w:rPr>
          <w:rFonts w:ascii="Arial" w:hAnsi="Arial" w:cs="Arial"/>
          <w:lang w:eastAsia="en-IN"/>
        </w:rPr>
        <w:t xml:space="preserve"> 2022; Bolan </w:t>
      </w:r>
      <w:r w:rsidRPr="00BB2672">
        <w:rPr>
          <w:rFonts w:ascii="Arial" w:hAnsi="Arial" w:cs="Arial"/>
          <w:i/>
          <w:iCs/>
          <w:lang w:eastAsia="en-IN"/>
        </w:rPr>
        <w:t>et al.,</w:t>
      </w:r>
      <w:r w:rsidRPr="00BB2672">
        <w:rPr>
          <w:rFonts w:ascii="Arial" w:hAnsi="Arial" w:cs="Arial"/>
          <w:lang w:eastAsia="en-IN"/>
        </w:rPr>
        <w:t xml:space="preserve"> 2023).</w:t>
      </w:r>
    </w:p>
    <w:p w14:paraId="61D03C8E" w14:textId="3D639A1B" w:rsidR="003E16A0" w:rsidRPr="00BB2672" w:rsidRDefault="003E16A0" w:rsidP="003E16A0">
      <w:pPr>
        <w:pStyle w:val="ListParagraph"/>
        <w:numPr>
          <w:ilvl w:val="1"/>
          <w:numId w:val="33"/>
        </w:numPr>
        <w:spacing w:before="100" w:beforeAutospacing="1" w:after="100" w:afterAutospacing="1"/>
        <w:jc w:val="both"/>
        <w:outlineLvl w:val="2"/>
        <w:rPr>
          <w:rFonts w:ascii="Arial" w:hAnsi="Arial" w:cs="Arial"/>
          <w:b/>
          <w:bCs/>
          <w:sz w:val="22"/>
          <w:szCs w:val="22"/>
          <w:lang w:eastAsia="en-IN"/>
        </w:rPr>
      </w:pPr>
      <w:r w:rsidRPr="00BB2672">
        <w:rPr>
          <w:rFonts w:ascii="Arial" w:hAnsi="Arial" w:cs="Arial"/>
          <w:b/>
          <w:bCs/>
          <w:sz w:val="22"/>
          <w:szCs w:val="22"/>
          <w:lang w:eastAsia="en-IN"/>
        </w:rPr>
        <w:t>Role of Binders</w:t>
      </w:r>
    </w:p>
    <w:p w14:paraId="0CB00867" w14:textId="7D57605A"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Binders play a central role in pellet integrity and in shaping release </w:t>
      </w:r>
      <w:r w:rsidR="00B26AD7" w:rsidRPr="00BB2672">
        <w:rPr>
          <w:rFonts w:ascii="Arial" w:hAnsi="Arial" w:cs="Arial"/>
          <w:lang w:eastAsia="en-IN"/>
        </w:rPr>
        <w:t>behavior</w:t>
      </w:r>
      <w:r w:rsidRPr="00BB2672">
        <w:rPr>
          <w:rFonts w:ascii="Arial" w:hAnsi="Arial" w:cs="Arial"/>
          <w:lang w:eastAsia="en-IN"/>
        </w:rPr>
        <w:t xml:space="preserve">. Natural polysaccharides (starch, alginate), proteinaceous binders, and low-molecular-weight organic binders such as condensed molasses soluble (CMS) have been used to agglomerate biochar and organic amendments into stable pellets (Osman </w:t>
      </w:r>
      <w:r w:rsidRPr="00BB2672">
        <w:rPr>
          <w:rFonts w:ascii="Arial" w:hAnsi="Arial" w:cs="Arial"/>
          <w:i/>
          <w:iCs/>
          <w:lang w:eastAsia="en-IN"/>
        </w:rPr>
        <w:t>et al.,</w:t>
      </w:r>
      <w:r w:rsidRPr="00BB2672">
        <w:rPr>
          <w:rFonts w:ascii="Arial" w:hAnsi="Arial" w:cs="Arial"/>
          <w:lang w:eastAsia="en-IN"/>
        </w:rPr>
        <w:t xml:space="preserve"> 2022; Yun </w:t>
      </w:r>
      <w:r w:rsidRPr="00BB2672">
        <w:rPr>
          <w:rFonts w:ascii="Arial" w:hAnsi="Arial" w:cs="Arial"/>
          <w:i/>
          <w:iCs/>
          <w:lang w:eastAsia="en-IN"/>
        </w:rPr>
        <w:t>et al.,</w:t>
      </w:r>
      <w:r w:rsidRPr="00BB2672">
        <w:rPr>
          <w:rFonts w:ascii="Arial" w:hAnsi="Arial" w:cs="Arial"/>
          <w:lang w:eastAsia="en-IN"/>
        </w:rPr>
        <w:t xml:space="preserve"> 2022). Starch is attractive because it is inexpensive and forms strong hydrogen-bonded matrices upon drying, while alginate can encapsulate liquids and cells through ionotropic gelation, producing beads or pellet coatings that protect biologicals (Osman </w:t>
      </w:r>
      <w:r w:rsidRPr="00BB2672">
        <w:rPr>
          <w:rFonts w:ascii="Arial" w:hAnsi="Arial" w:cs="Arial"/>
          <w:i/>
          <w:iCs/>
          <w:lang w:eastAsia="en-IN"/>
        </w:rPr>
        <w:t>et al.,</w:t>
      </w:r>
      <w:r w:rsidRPr="00BB2672">
        <w:rPr>
          <w:rFonts w:ascii="Arial" w:hAnsi="Arial" w:cs="Arial"/>
          <w:lang w:eastAsia="en-IN"/>
        </w:rPr>
        <w:t xml:space="preserve"> 2022; Cesari </w:t>
      </w:r>
      <w:r w:rsidRPr="00BB2672">
        <w:rPr>
          <w:rFonts w:ascii="Arial" w:hAnsi="Arial" w:cs="Arial"/>
          <w:i/>
          <w:iCs/>
          <w:lang w:eastAsia="en-IN"/>
        </w:rPr>
        <w:t>et al.,</w:t>
      </w:r>
      <w:r w:rsidRPr="00BB2672">
        <w:rPr>
          <w:rFonts w:ascii="Arial" w:hAnsi="Arial" w:cs="Arial"/>
          <w:lang w:eastAsia="en-IN"/>
        </w:rPr>
        <w:t xml:space="preserve"> </w:t>
      </w:r>
      <w:r w:rsidRPr="00BB2672">
        <w:rPr>
          <w:rFonts w:ascii="Arial" w:hAnsi="Arial" w:cs="Arial"/>
          <w:lang w:eastAsia="en-IN"/>
        </w:rPr>
        <w:lastRenderedPageBreak/>
        <w:t xml:space="preserve">2024). Composite binders (e.g., starch and clay or starch and CMS) are frequently reported to balance mechanical strength and biodegradability, allowing pellets to survive handling but to progressively disintegrate in soil environments, releasing entrapped nutrients and microbes (Mohammadi, 2021; Yun </w:t>
      </w:r>
      <w:r w:rsidRPr="00BB2672">
        <w:rPr>
          <w:rFonts w:ascii="Arial" w:hAnsi="Arial" w:cs="Arial"/>
          <w:i/>
          <w:iCs/>
          <w:lang w:eastAsia="en-IN"/>
        </w:rPr>
        <w:t>et al.,</w:t>
      </w:r>
      <w:r w:rsidRPr="00BB2672">
        <w:rPr>
          <w:rFonts w:ascii="Arial" w:hAnsi="Arial" w:cs="Arial"/>
          <w:lang w:eastAsia="en-IN"/>
        </w:rPr>
        <w:t xml:space="preserve"> 2022).</w:t>
      </w:r>
    </w:p>
    <w:p w14:paraId="583F11B6" w14:textId="77777777" w:rsidR="003E16A0" w:rsidRPr="00BB2672" w:rsidRDefault="003E16A0" w:rsidP="003E16A0">
      <w:pPr>
        <w:pStyle w:val="ListParagraph"/>
        <w:numPr>
          <w:ilvl w:val="1"/>
          <w:numId w:val="33"/>
        </w:numPr>
        <w:spacing w:before="100" w:beforeAutospacing="1" w:after="100" w:afterAutospacing="1" w:line="240" w:lineRule="auto"/>
        <w:jc w:val="both"/>
        <w:outlineLvl w:val="2"/>
        <w:rPr>
          <w:rFonts w:ascii="Arial" w:eastAsia="Times New Roman" w:hAnsi="Arial" w:cs="Arial"/>
          <w:b/>
          <w:bCs/>
          <w:kern w:val="0"/>
          <w:sz w:val="22"/>
          <w:szCs w:val="22"/>
          <w:lang w:eastAsia="en-IN"/>
        </w:rPr>
      </w:pPr>
      <w:r w:rsidRPr="00BB2672">
        <w:rPr>
          <w:rFonts w:ascii="Arial" w:eastAsia="Times New Roman" w:hAnsi="Arial" w:cs="Arial"/>
          <w:b/>
          <w:bCs/>
          <w:kern w:val="0"/>
          <w:sz w:val="22"/>
          <w:szCs w:val="22"/>
          <w:lang w:eastAsia="en-IN"/>
        </w:rPr>
        <w:t xml:space="preserve"> Biochar Properties as a Carrier</w:t>
      </w:r>
    </w:p>
    <w:p w14:paraId="06975919" w14:textId="77777777"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Biochar’s physical and chemical properties determine its carrier performance. High surface area and multi-scale porosity increase the sorption capacity for soluble nutrients and provide microhabitats for microbial colonization; surface functional groups support ionic interactions with ammonium, phosphate, and organic nutrient fractions (Bolan </w:t>
      </w:r>
      <w:r w:rsidRPr="00BB2672">
        <w:rPr>
          <w:rFonts w:ascii="Arial" w:hAnsi="Arial" w:cs="Arial"/>
          <w:i/>
          <w:iCs/>
          <w:lang w:eastAsia="en-IN"/>
        </w:rPr>
        <w:t>et al.,</w:t>
      </w:r>
      <w:r w:rsidRPr="00BB2672">
        <w:rPr>
          <w:rFonts w:ascii="Arial" w:hAnsi="Arial" w:cs="Arial"/>
          <w:lang w:eastAsia="en-IN"/>
        </w:rPr>
        <w:t xml:space="preserve"> 2023; Gao </w:t>
      </w:r>
      <w:r w:rsidRPr="00BB2672">
        <w:rPr>
          <w:rFonts w:ascii="Arial" w:hAnsi="Arial" w:cs="Arial"/>
          <w:i/>
          <w:iCs/>
          <w:lang w:eastAsia="en-IN"/>
        </w:rPr>
        <w:t>et al.,</w:t>
      </w:r>
      <w:r w:rsidRPr="00BB2672">
        <w:rPr>
          <w:rFonts w:ascii="Arial" w:hAnsi="Arial" w:cs="Arial"/>
          <w:lang w:eastAsia="en-IN"/>
        </w:rPr>
        <w:t xml:space="preserve"> 2022). Pyrolysis conditions and feedstock significantly alter these traits, higher pyrolysis temperatures generally raise surface area and aromaticity but reduce labile surface oxygen groups, which in turn modifies nutrient adsorption kinetics and microbial attachment (Bolan </w:t>
      </w:r>
      <w:r w:rsidRPr="00BB2672">
        <w:rPr>
          <w:rFonts w:ascii="Arial" w:hAnsi="Arial" w:cs="Arial"/>
          <w:i/>
          <w:iCs/>
          <w:lang w:eastAsia="en-IN"/>
        </w:rPr>
        <w:t>et al.,</w:t>
      </w:r>
      <w:r w:rsidRPr="00BB2672">
        <w:rPr>
          <w:rFonts w:ascii="Arial" w:hAnsi="Arial" w:cs="Arial"/>
          <w:lang w:eastAsia="en-IN"/>
        </w:rPr>
        <w:t xml:space="preserve"> 2023; Shabir </w:t>
      </w:r>
      <w:r w:rsidRPr="00BB2672">
        <w:rPr>
          <w:rFonts w:ascii="Arial" w:hAnsi="Arial" w:cs="Arial"/>
          <w:i/>
          <w:iCs/>
          <w:lang w:eastAsia="en-IN"/>
        </w:rPr>
        <w:t>et al.,</w:t>
      </w:r>
      <w:r w:rsidRPr="00BB2672">
        <w:rPr>
          <w:rFonts w:ascii="Arial" w:hAnsi="Arial" w:cs="Arial"/>
          <w:lang w:eastAsia="en-IN"/>
        </w:rPr>
        <w:t xml:space="preserve"> 2024). Post-processing (milling, pelletizing, activation) is often applied to tailor particle size distribution and pore accessibility for target microbes and fertilizer molecules (Thomas, 2021; Gao </w:t>
      </w:r>
      <w:r w:rsidRPr="00BB2672">
        <w:rPr>
          <w:rFonts w:ascii="Arial" w:hAnsi="Arial" w:cs="Arial"/>
          <w:i/>
          <w:iCs/>
          <w:lang w:eastAsia="en-IN"/>
        </w:rPr>
        <w:t>et al.,</w:t>
      </w:r>
      <w:r w:rsidRPr="00BB2672">
        <w:rPr>
          <w:rFonts w:ascii="Arial" w:hAnsi="Arial" w:cs="Arial"/>
          <w:lang w:eastAsia="en-IN"/>
        </w:rPr>
        <w:t xml:space="preserve"> 2022).</w:t>
      </w:r>
    </w:p>
    <w:p w14:paraId="7741CFB9" w14:textId="77777777" w:rsidR="003E16A0" w:rsidRPr="00BB2672" w:rsidRDefault="003E16A0" w:rsidP="003E16A0">
      <w:pPr>
        <w:pStyle w:val="ListParagraph"/>
        <w:numPr>
          <w:ilvl w:val="1"/>
          <w:numId w:val="33"/>
        </w:numPr>
        <w:spacing w:before="100" w:beforeAutospacing="1" w:after="100" w:afterAutospacing="1" w:line="240" w:lineRule="auto"/>
        <w:jc w:val="both"/>
        <w:outlineLvl w:val="2"/>
        <w:rPr>
          <w:rFonts w:ascii="Arial" w:eastAsia="Times New Roman" w:hAnsi="Arial" w:cs="Arial"/>
          <w:b/>
          <w:bCs/>
          <w:kern w:val="0"/>
          <w:sz w:val="22"/>
          <w:szCs w:val="22"/>
          <w:lang w:eastAsia="en-IN"/>
        </w:rPr>
      </w:pPr>
      <w:r w:rsidRPr="00BB2672">
        <w:rPr>
          <w:rFonts w:ascii="Arial" w:eastAsia="Times New Roman" w:hAnsi="Arial" w:cs="Arial"/>
          <w:b/>
          <w:bCs/>
          <w:kern w:val="0"/>
          <w:sz w:val="22"/>
          <w:szCs w:val="22"/>
          <w:lang w:eastAsia="en-IN"/>
        </w:rPr>
        <w:t xml:space="preserve"> Microbial Viability and Shelf-Life</w:t>
      </w:r>
    </w:p>
    <w:p w14:paraId="32CADC87" w14:textId="77777777" w:rsidR="003E16A0" w:rsidRPr="00BB2672" w:rsidRDefault="003E16A0" w:rsidP="003E16A0">
      <w:pPr>
        <w:spacing w:before="100" w:beforeAutospacing="1" w:after="100" w:afterAutospacing="1"/>
        <w:ind w:firstLine="720"/>
        <w:jc w:val="both"/>
        <w:outlineLvl w:val="2"/>
        <w:rPr>
          <w:rFonts w:ascii="Arial" w:hAnsi="Arial" w:cs="Arial"/>
          <w:lang w:eastAsia="en-IN"/>
        </w:rPr>
      </w:pPr>
      <w:r w:rsidRPr="00BB2672">
        <w:rPr>
          <w:rFonts w:ascii="Arial" w:hAnsi="Arial" w:cs="Arial"/>
          <w:lang w:eastAsia="en-IN"/>
        </w:rPr>
        <w:t xml:space="preserve">Microbial viability and shelf-life in biochar–biofertilizer pellets hinge on both carrier environment and formulation technique. Biochar’s porous structure, water-holding capacity and surface chemistry create buffered microenvironments that can enhance survival and colonization of plant growth-promoting bacteria relative to unprotected liquid inoculants (Bolan </w:t>
      </w:r>
      <w:r w:rsidRPr="00BB2672">
        <w:rPr>
          <w:rFonts w:ascii="Arial" w:hAnsi="Arial" w:cs="Arial"/>
          <w:i/>
          <w:iCs/>
          <w:lang w:eastAsia="en-IN"/>
        </w:rPr>
        <w:t>et al.,</w:t>
      </w:r>
      <w:r w:rsidRPr="00BB2672">
        <w:rPr>
          <w:rFonts w:ascii="Arial" w:hAnsi="Arial" w:cs="Arial"/>
          <w:lang w:eastAsia="en-IN"/>
        </w:rPr>
        <w:t xml:space="preserve"> 2023; </w:t>
      </w:r>
      <w:proofErr w:type="spellStart"/>
      <w:r w:rsidRPr="00BB2672">
        <w:rPr>
          <w:rFonts w:ascii="Arial" w:hAnsi="Arial" w:cs="Arial"/>
          <w:lang w:eastAsia="en-IN"/>
        </w:rPr>
        <w:t>Vlajkov</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2023). Empirical studies demonstrate that immobilizing Bacillus spp. on biochar or combining biochar with organic carriers (compost, vermicompost) improves short-term survival and maintains functional activity (</w:t>
      </w:r>
      <w:proofErr w:type="spellStart"/>
      <w:r w:rsidRPr="00BB2672">
        <w:rPr>
          <w:rFonts w:ascii="Arial" w:hAnsi="Arial" w:cs="Arial"/>
          <w:lang w:eastAsia="en-IN"/>
        </w:rPr>
        <w:t>Vlajkov</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2023; Rubel </w:t>
      </w:r>
      <w:r w:rsidRPr="00BB2672">
        <w:rPr>
          <w:rFonts w:ascii="Arial" w:hAnsi="Arial" w:cs="Arial"/>
          <w:i/>
          <w:iCs/>
          <w:lang w:eastAsia="en-IN"/>
        </w:rPr>
        <w:t>et al.,</w:t>
      </w:r>
      <w:r w:rsidRPr="00BB2672">
        <w:rPr>
          <w:rFonts w:ascii="Arial" w:hAnsi="Arial" w:cs="Arial"/>
          <w:lang w:eastAsia="en-IN"/>
        </w:rPr>
        <w:t xml:space="preserve"> 2024). Pyrolysis temperature and feedstock alter biochar surface functional groups and porosity, which in turn modulate both microbial attachment and storage performance; lower-temperature </w:t>
      </w:r>
      <w:proofErr w:type="spellStart"/>
      <w:r w:rsidRPr="00BB2672">
        <w:rPr>
          <w:rFonts w:ascii="Arial" w:hAnsi="Arial" w:cs="Arial"/>
          <w:lang w:eastAsia="en-IN"/>
        </w:rPr>
        <w:t>biochars</w:t>
      </w:r>
      <w:proofErr w:type="spellEnd"/>
      <w:r w:rsidRPr="00BB2672">
        <w:rPr>
          <w:rFonts w:ascii="Arial" w:hAnsi="Arial" w:cs="Arial"/>
          <w:lang w:eastAsia="en-IN"/>
        </w:rPr>
        <w:t xml:space="preserve"> often provide more labile surface sites favorable to </w:t>
      </w:r>
      <w:proofErr w:type="spellStart"/>
      <w:r w:rsidRPr="00BB2672">
        <w:rPr>
          <w:rFonts w:ascii="Arial" w:hAnsi="Arial" w:cs="Arial"/>
          <w:lang w:eastAsia="en-IN"/>
        </w:rPr>
        <w:t>rhizobial</w:t>
      </w:r>
      <w:proofErr w:type="spellEnd"/>
      <w:r w:rsidRPr="00BB2672">
        <w:rPr>
          <w:rFonts w:ascii="Arial" w:hAnsi="Arial" w:cs="Arial"/>
          <w:lang w:eastAsia="en-IN"/>
        </w:rPr>
        <w:t xml:space="preserve"> survival (Shabir </w:t>
      </w:r>
      <w:r w:rsidRPr="00BB2672">
        <w:rPr>
          <w:rFonts w:ascii="Arial" w:hAnsi="Arial" w:cs="Arial"/>
          <w:i/>
          <w:iCs/>
          <w:lang w:eastAsia="en-IN"/>
        </w:rPr>
        <w:t>et al.,</w:t>
      </w:r>
      <w:r w:rsidRPr="00BB2672">
        <w:rPr>
          <w:rFonts w:ascii="Arial" w:hAnsi="Arial" w:cs="Arial"/>
          <w:lang w:eastAsia="en-IN"/>
        </w:rPr>
        <w:t xml:space="preserve"> 2024; Hardy &amp; </w:t>
      </w:r>
      <w:r w:rsidRPr="00BB2672">
        <w:rPr>
          <w:rFonts w:ascii="Arial" w:hAnsi="Arial" w:cs="Arial"/>
        </w:rPr>
        <w:t>Knight,</w:t>
      </w:r>
      <w:r w:rsidRPr="00BB2672">
        <w:rPr>
          <w:rFonts w:ascii="Arial" w:hAnsi="Arial" w:cs="Arial"/>
          <w:lang w:eastAsia="en-IN"/>
        </w:rPr>
        <w:t xml:space="preserve"> 2021). Encapsulation strategies such as alginate beads and biodegradable polymer coatings further extend shelf-life. Alginate immobilization maintained </w:t>
      </w:r>
      <w:proofErr w:type="spellStart"/>
      <w:r w:rsidRPr="00BB2672">
        <w:rPr>
          <w:rFonts w:ascii="Arial" w:hAnsi="Arial" w:cs="Arial"/>
          <w:lang w:eastAsia="en-IN"/>
        </w:rPr>
        <w:t>Bradyrhizobium</w:t>
      </w:r>
      <w:proofErr w:type="spellEnd"/>
      <w:r w:rsidRPr="00BB2672">
        <w:rPr>
          <w:rFonts w:ascii="Arial" w:hAnsi="Arial" w:cs="Arial"/>
          <w:lang w:eastAsia="en-IN"/>
        </w:rPr>
        <w:t xml:space="preserve"> viability and infectivity over multi-year refrigerated storage (Cesari </w:t>
      </w:r>
      <w:r w:rsidRPr="00BB2672">
        <w:rPr>
          <w:rFonts w:ascii="Arial" w:hAnsi="Arial" w:cs="Arial"/>
          <w:i/>
          <w:iCs/>
          <w:lang w:eastAsia="en-IN"/>
        </w:rPr>
        <w:t>et al.,</w:t>
      </w:r>
      <w:r w:rsidRPr="00BB2672">
        <w:rPr>
          <w:rFonts w:ascii="Arial" w:hAnsi="Arial" w:cs="Arial"/>
          <w:lang w:eastAsia="en-IN"/>
        </w:rPr>
        <w:t xml:space="preserve"> 2024), while composite biochar–compost pellet formulations have preserved microbial indicators of activity during short-term storage and during subsequent release in soil (Rubel </w:t>
      </w:r>
      <w:r w:rsidRPr="00BB2672">
        <w:rPr>
          <w:rFonts w:ascii="Arial" w:hAnsi="Arial" w:cs="Arial"/>
          <w:i/>
          <w:iCs/>
          <w:lang w:eastAsia="en-IN"/>
        </w:rPr>
        <w:t>et al.,</w:t>
      </w:r>
      <w:r w:rsidRPr="00BB2672">
        <w:rPr>
          <w:rFonts w:ascii="Arial" w:hAnsi="Arial" w:cs="Arial"/>
          <w:lang w:eastAsia="en-IN"/>
        </w:rPr>
        <w:t xml:space="preserve"> 2024; Jiang </w:t>
      </w:r>
      <w:r w:rsidRPr="00BB2672">
        <w:rPr>
          <w:rFonts w:ascii="Arial" w:hAnsi="Arial" w:cs="Arial"/>
          <w:i/>
          <w:iCs/>
          <w:lang w:eastAsia="en-IN"/>
        </w:rPr>
        <w:t>et al.,</w:t>
      </w:r>
      <w:r w:rsidRPr="00BB2672">
        <w:rPr>
          <w:rFonts w:ascii="Arial" w:hAnsi="Arial" w:cs="Arial"/>
          <w:lang w:eastAsia="en-IN"/>
        </w:rPr>
        <w:t xml:space="preserve"> 2024). Storage trials also show rapid viability loss under elevated temperature and humidity, underscoring the necessity of optimized drying, binder choice and packaging for tropical supply chains (Shabir </w:t>
      </w:r>
      <w:r w:rsidRPr="00BB2672">
        <w:rPr>
          <w:rFonts w:ascii="Arial" w:hAnsi="Arial" w:cs="Arial"/>
          <w:i/>
          <w:iCs/>
          <w:lang w:eastAsia="en-IN"/>
        </w:rPr>
        <w:t>et al.,</w:t>
      </w:r>
      <w:r w:rsidRPr="00BB2672">
        <w:rPr>
          <w:rFonts w:ascii="Arial" w:hAnsi="Arial" w:cs="Arial"/>
          <w:lang w:eastAsia="en-IN"/>
        </w:rPr>
        <w:t xml:space="preserve"> 2024; Cesari </w:t>
      </w:r>
      <w:r w:rsidRPr="00BB2672">
        <w:rPr>
          <w:rFonts w:ascii="Arial" w:hAnsi="Arial" w:cs="Arial"/>
          <w:i/>
          <w:iCs/>
          <w:lang w:eastAsia="en-IN"/>
        </w:rPr>
        <w:t>et al.,</w:t>
      </w:r>
      <w:r w:rsidRPr="00BB2672">
        <w:rPr>
          <w:rFonts w:ascii="Arial" w:hAnsi="Arial" w:cs="Arial"/>
          <w:lang w:eastAsia="en-IN"/>
        </w:rPr>
        <w:t xml:space="preserve"> 2024). The integrated structural and functional elements of biochar–biofertilizer pellets are summarized in Figure 2, highlighting the role of the biochar matrix, binders, and microbial inoculants in enabling nutrient release and stability.</w:t>
      </w:r>
    </w:p>
    <w:p w14:paraId="06B98B2A" w14:textId="77777777" w:rsidR="003E16A0" w:rsidRPr="00BB2672" w:rsidRDefault="003E16A0" w:rsidP="003E16A0">
      <w:pPr>
        <w:spacing w:before="100" w:beforeAutospacing="1" w:after="100" w:afterAutospacing="1"/>
        <w:ind w:firstLine="720"/>
        <w:jc w:val="both"/>
        <w:outlineLvl w:val="2"/>
        <w:rPr>
          <w:rFonts w:ascii="Arial" w:hAnsi="Arial" w:cs="Arial"/>
          <w:lang w:eastAsia="en-IN"/>
        </w:rPr>
      </w:pPr>
    </w:p>
    <w:p w14:paraId="2B7AE54F" w14:textId="77777777" w:rsidR="003E16A0" w:rsidRPr="00BB2672" w:rsidRDefault="003E16A0" w:rsidP="003E16A0">
      <w:pPr>
        <w:spacing w:before="100" w:beforeAutospacing="1" w:after="100" w:afterAutospacing="1"/>
        <w:jc w:val="center"/>
        <w:outlineLvl w:val="2"/>
        <w:rPr>
          <w:rFonts w:ascii="Arial" w:hAnsi="Arial" w:cs="Arial"/>
          <w:lang w:eastAsia="en-IN"/>
        </w:rPr>
      </w:pPr>
      <w:r w:rsidRPr="00BB2672">
        <w:rPr>
          <w:rFonts w:ascii="Arial" w:hAnsi="Arial" w:cs="Arial"/>
          <w:noProof/>
        </w:rPr>
        <w:lastRenderedPageBreak/>
        <w:drawing>
          <wp:inline distT="0" distB="0" distL="0" distR="0" wp14:anchorId="3558E110" wp14:editId="2DBEE008">
            <wp:extent cx="3832505" cy="3467100"/>
            <wp:effectExtent l="0" t="0" r="0" b="0"/>
            <wp:docPr id="1197891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891680" name="Picture 1197891680"/>
                    <pic:cNvPicPr/>
                  </pic:nvPicPr>
                  <pic:blipFill rotWithShape="1">
                    <a:blip r:embed="rId15">
                      <a:extLst>
                        <a:ext uri="{28A0092B-C50C-407E-A947-70E740481C1C}">
                          <a14:useLocalDpi xmlns:a14="http://schemas.microsoft.com/office/drawing/2010/main" val="0"/>
                        </a:ext>
                      </a:extLst>
                    </a:blip>
                    <a:srcRect l="12629" t="14485" r="12420" b="1090"/>
                    <a:stretch>
                      <a:fillRect/>
                    </a:stretch>
                  </pic:blipFill>
                  <pic:spPr bwMode="auto">
                    <a:xfrm>
                      <a:off x="0" y="0"/>
                      <a:ext cx="3841785" cy="3475495"/>
                    </a:xfrm>
                    <a:prstGeom prst="rect">
                      <a:avLst/>
                    </a:prstGeom>
                    <a:ln>
                      <a:noFill/>
                    </a:ln>
                    <a:extLst>
                      <a:ext uri="{53640926-AAD7-44D8-BBD7-CCE9431645EC}">
                        <a14:shadowObscured xmlns:a14="http://schemas.microsoft.com/office/drawing/2010/main"/>
                      </a:ext>
                    </a:extLst>
                  </pic:spPr>
                </pic:pic>
              </a:graphicData>
            </a:graphic>
          </wp:inline>
        </w:drawing>
      </w:r>
    </w:p>
    <w:p w14:paraId="24BBDF5E" w14:textId="77777777" w:rsidR="003E16A0" w:rsidRPr="00BB2672" w:rsidRDefault="003E16A0" w:rsidP="003E16A0">
      <w:pPr>
        <w:spacing w:before="100" w:beforeAutospacing="1" w:after="100" w:afterAutospacing="1"/>
        <w:jc w:val="center"/>
        <w:outlineLvl w:val="2"/>
        <w:rPr>
          <w:rFonts w:ascii="Arial" w:hAnsi="Arial" w:cs="Arial"/>
          <w:b/>
          <w:bCs/>
          <w:lang w:eastAsia="en-IN"/>
        </w:rPr>
      </w:pPr>
      <w:r w:rsidRPr="00BB2672">
        <w:rPr>
          <w:rFonts w:ascii="Arial" w:hAnsi="Arial" w:cs="Arial"/>
          <w:b/>
          <w:bCs/>
          <w:lang w:eastAsia="en-IN"/>
        </w:rPr>
        <w:t>Figure 2: Structure of a biochar–biofertilizer pellet showing biochar matrix, binder, microbial inoculants, and pathways for nutrient adsorption and controlled release.</w:t>
      </w:r>
    </w:p>
    <w:p w14:paraId="5674E08E" w14:textId="77777777" w:rsidR="003E16A0" w:rsidRPr="00BB2672" w:rsidRDefault="003E16A0" w:rsidP="003E16A0">
      <w:pPr>
        <w:pStyle w:val="ListParagraph"/>
        <w:numPr>
          <w:ilvl w:val="1"/>
          <w:numId w:val="33"/>
        </w:numPr>
        <w:spacing w:before="100" w:beforeAutospacing="1" w:after="100" w:afterAutospacing="1" w:line="240" w:lineRule="auto"/>
        <w:jc w:val="both"/>
        <w:outlineLvl w:val="2"/>
        <w:rPr>
          <w:rFonts w:ascii="Arial" w:eastAsia="Times New Roman" w:hAnsi="Arial" w:cs="Arial"/>
          <w:b/>
          <w:bCs/>
          <w:kern w:val="0"/>
          <w:sz w:val="22"/>
          <w:szCs w:val="22"/>
          <w:lang w:eastAsia="en-IN"/>
        </w:rPr>
      </w:pPr>
      <w:r w:rsidRPr="00BB2672">
        <w:rPr>
          <w:rFonts w:ascii="Arial" w:eastAsia="Times New Roman" w:hAnsi="Arial" w:cs="Arial"/>
          <w:b/>
          <w:bCs/>
          <w:kern w:val="0"/>
          <w:sz w:val="22"/>
          <w:szCs w:val="22"/>
          <w:lang w:eastAsia="en-IN"/>
        </w:rPr>
        <w:t xml:space="preserve"> Controlled Release Properties</w:t>
      </w:r>
    </w:p>
    <w:p w14:paraId="5CD78565" w14:textId="77777777"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Controlled-release characteristics of biochar-based pellets are realized through a combination of sorption/desorption, diffusion through pellet matrices, and physical coating technologies. Nutrient molecules (urea, ammonium, phosphate) adsorbed to biochar surfaces are released slowly as equilibrium and desorption kinetics play out in soil solution; pellet binders and polymer coatings (PLA, biopolymer blends) further retard leaching by introducing diffusion barriers and biodegradable release timing (Rubel </w:t>
      </w:r>
      <w:r w:rsidRPr="00BB2672">
        <w:rPr>
          <w:rFonts w:ascii="Arial" w:hAnsi="Arial" w:cs="Arial"/>
          <w:i/>
          <w:iCs/>
          <w:lang w:eastAsia="en-IN"/>
        </w:rPr>
        <w:t>et al.,</w:t>
      </w:r>
      <w:r w:rsidRPr="00BB2672">
        <w:rPr>
          <w:rFonts w:ascii="Arial" w:hAnsi="Arial" w:cs="Arial"/>
          <w:lang w:eastAsia="en-IN"/>
        </w:rPr>
        <w:t xml:space="preserve"> 2024; Gao </w:t>
      </w:r>
      <w:r w:rsidRPr="00BB2672">
        <w:rPr>
          <w:rFonts w:ascii="Arial" w:hAnsi="Arial" w:cs="Arial"/>
          <w:i/>
          <w:iCs/>
          <w:lang w:eastAsia="en-IN"/>
        </w:rPr>
        <w:t>et al.,</w:t>
      </w:r>
      <w:r w:rsidRPr="00BB2672">
        <w:rPr>
          <w:rFonts w:ascii="Arial" w:hAnsi="Arial" w:cs="Arial"/>
          <w:lang w:eastAsia="en-IN"/>
        </w:rPr>
        <w:t xml:space="preserve"> 2022). Studies that combine pellet core formulation with spray or dip coatings report markedly extended nutrient release windows and improved nitrogen use efficiency compared with unbound fertilizers (Rubel </w:t>
      </w:r>
      <w:r w:rsidRPr="00BB2672">
        <w:rPr>
          <w:rFonts w:ascii="Arial" w:hAnsi="Arial" w:cs="Arial"/>
          <w:i/>
          <w:iCs/>
          <w:lang w:eastAsia="en-IN"/>
        </w:rPr>
        <w:t>et al.,</w:t>
      </w:r>
      <w:r w:rsidRPr="00BB2672">
        <w:rPr>
          <w:rFonts w:ascii="Arial" w:hAnsi="Arial" w:cs="Arial"/>
          <w:lang w:eastAsia="en-IN"/>
        </w:rPr>
        <w:t xml:space="preserve"> 2024; Gao </w:t>
      </w:r>
      <w:r w:rsidRPr="00BB2672">
        <w:rPr>
          <w:rFonts w:ascii="Arial" w:hAnsi="Arial" w:cs="Arial"/>
          <w:i/>
          <w:iCs/>
          <w:lang w:eastAsia="en-IN"/>
        </w:rPr>
        <w:t>et al.,</w:t>
      </w:r>
      <w:r w:rsidRPr="00BB2672">
        <w:rPr>
          <w:rFonts w:ascii="Arial" w:hAnsi="Arial" w:cs="Arial"/>
          <w:lang w:eastAsia="en-IN"/>
        </w:rPr>
        <w:t xml:space="preserve"> 2022). Hybrid approaches that impregnate biochar with nutrient-rich compost or digestate before pelletizing allow simultaneous delivery of labile nutrients and microbial inoculants while leveraging biochar’s adsorption to slow peak losses (Mohammadi, 2021; Rubel </w:t>
      </w:r>
      <w:r w:rsidRPr="00BB2672">
        <w:rPr>
          <w:rFonts w:ascii="Arial" w:hAnsi="Arial" w:cs="Arial"/>
          <w:i/>
          <w:iCs/>
          <w:lang w:eastAsia="en-IN"/>
        </w:rPr>
        <w:t>et al.,</w:t>
      </w:r>
      <w:r w:rsidRPr="00BB2672">
        <w:rPr>
          <w:rFonts w:ascii="Arial" w:hAnsi="Arial" w:cs="Arial"/>
          <w:lang w:eastAsia="en-IN"/>
        </w:rPr>
        <w:t xml:space="preserve"> 2024).</w:t>
      </w:r>
    </w:p>
    <w:p w14:paraId="53255D6A" w14:textId="77777777" w:rsidR="003E16A0" w:rsidRPr="00BB2672" w:rsidRDefault="003E16A0" w:rsidP="003E16A0">
      <w:pPr>
        <w:pStyle w:val="ListParagraph"/>
        <w:numPr>
          <w:ilvl w:val="1"/>
          <w:numId w:val="33"/>
        </w:numPr>
        <w:spacing w:before="100" w:beforeAutospacing="1" w:after="100" w:afterAutospacing="1" w:line="240" w:lineRule="auto"/>
        <w:jc w:val="both"/>
        <w:outlineLvl w:val="2"/>
        <w:rPr>
          <w:rFonts w:ascii="Arial" w:eastAsia="Times New Roman" w:hAnsi="Arial" w:cs="Arial"/>
          <w:b/>
          <w:bCs/>
          <w:kern w:val="0"/>
          <w:sz w:val="22"/>
          <w:szCs w:val="22"/>
          <w:lang w:eastAsia="en-IN"/>
        </w:rPr>
      </w:pPr>
      <w:r w:rsidRPr="00BB2672">
        <w:rPr>
          <w:rFonts w:ascii="Arial" w:eastAsia="Times New Roman" w:hAnsi="Arial" w:cs="Arial"/>
          <w:b/>
          <w:bCs/>
          <w:kern w:val="0"/>
          <w:sz w:val="22"/>
          <w:szCs w:val="22"/>
          <w:lang w:eastAsia="en-IN"/>
        </w:rPr>
        <w:t xml:space="preserve"> Emerging Empirical Insights</w:t>
      </w:r>
    </w:p>
    <w:p w14:paraId="5B7D90A9" w14:textId="77777777"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Scale-up and field performance of designer biochar pellets have now moved beyond lab trials into engineering and on-farm demonstrations. Recent engineering-scale work shows that pellet geometry, binder selection, and mass production methods can be tuned to produce durable pellets that retain phosphorus from runoff and later re-release it to crops, while surviving transport and tile-drain conditions typical of intensive row-crop systems (Zhou </w:t>
      </w:r>
      <w:r w:rsidRPr="00BB2672">
        <w:rPr>
          <w:rFonts w:ascii="Arial" w:hAnsi="Arial" w:cs="Arial"/>
          <w:i/>
          <w:iCs/>
          <w:lang w:eastAsia="en-IN"/>
        </w:rPr>
        <w:t>et al.,</w:t>
      </w:r>
      <w:r w:rsidRPr="00BB2672">
        <w:rPr>
          <w:rFonts w:ascii="Arial" w:hAnsi="Arial" w:cs="Arial"/>
          <w:lang w:eastAsia="en-IN"/>
        </w:rPr>
        <w:t xml:space="preserve"> 2024). Field trials of designer biochar pellets documented measurable reductions in dissolved reactive phosphorus losses and demonstrated that pellet design (porosity, density) </w:t>
      </w:r>
      <w:r w:rsidRPr="00BB2672">
        <w:rPr>
          <w:rFonts w:ascii="Arial" w:hAnsi="Arial" w:cs="Arial"/>
          <w:lang w:eastAsia="en-IN"/>
        </w:rPr>
        <w:lastRenderedPageBreak/>
        <w:t xml:space="preserve">mediates both retention during transport and nutrient release in soil, supporting the feasibility of pelletized biochar as an on-farm mitigation and nutrient-recycling tool (Zhou </w:t>
      </w:r>
      <w:r w:rsidRPr="00BB2672">
        <w:rPr>
          <w:rFonts w:ascii="Arial" w:hAnsi="Arial" w:cs="Arial"/>
          <w:i/>
          <w:iCs/>
          <w:lang w:eastAsia="en-IN"/>
        </w:rPr>
        <w:t>et al.,</w:t>
      </w:r>
      <w:r w:rsidRPr="00BB2672">
        <w:rPr>
          <w:rFonts w:ascii="Arial" w:hAnsi="Arial" w:cs="Arial"/>
          <w:lang w:eastAsia="en-IN"/>
        </w:rPr>
        <w:t xml:space="preserve"> 2024; Yun </w:t>
      </w:r>
      <w:r w:rsidRPr="00BB2672">
        <w:rPr>
          <w:rFonts w:ascii="Arial" w:hAnsi="Arial" w:cs="Arial"/>
          <w:i/>
          <w:iCs/>
          <w:lang w:eastAsia="en-IN"/>
        </w:rPr>
        <w:t>et al.,</w:t>
      </w:r>
      <w:r w:rsidRPr="00BB2672">
        <w:rPr>
          <w:rFonts w:ascii="Arial" w:hAnsi="Arial" w:cs="Arial"/>
          <w:lang w:eastAsia="en-IN"/>
        </w:rPr>
        <w:t xml:space="preserve"> 2022). These engineering-scale findings complement pot and lysimeter studies that link pellet physical integrity to release kinetics, and they underscore the importance of integrating pellet mechanical testing with agronomic performance metrics during scale-up. To consolidate the diverse findings on formulation strategies, carrier characteristics, and controlled-release </w:t>
      </w:r>
      <w:proofErr w:type="spellStart"/>
      <w:r w:rsidRPr="00BB2672">
        <w:rPr>
          <w:rFonts w:ascii="Arial" w:hAnsi="Arial" w:cs="Arial"/>
          <w:lang w:eastAsia="en-IN"/>
        </w:rPr>
        <w:t>behaviours</w:t>
      </w:r>
      <w:proofErr w:type="spellEnd"/>
      <w:r w:rsidRPr="00BB2672">
        <w:rPr>
          <w:rFonts w:ascii="Arial" w:hAnsi="Arial" w:cs="Arial"/>
          <w:lang w:eastAsia="en-IN"/>
        </w:rPr>
        <w:t>, the key properties of biochar/biofertilizer pellets reported in recent studies are summarized in Table 1.</w:t>
      </w:r>
    </w:p>
    <w:p w14:paraId="7B238579" w14:textId="77777777"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A second empirical advance is the development of biochar–compost composite controlled-release fertilizers that preserve microbial viability while extending nutrient release windows. Rubel </w:t>
      </w:r>
      <w:r w:rsidRPr="00BB2672">
        <w:rPr>
          <w:rFonts w:ascii="Arial" w:hAnsi="Arial" w:cs="Arial"/>
          <w:i/>
          <w:iCs/>
          <w:lang w:eastAsia="en-IN"/>
        </w:rPr>
        <w:t>et al.</w:t>
      </w:r>
      <w:r w:rsidRPr="00BB2672">
        <w:rPr>
          <w:rFonts w:ascii="Arial" w:hAnsi="Arial" w:cs="Arial"/>
          <w:lang w:eastAsia="en-IN"/>
        </w:rPr>
        <w:t xml:space="preserve"> (2024) formulated a biochar-compost based controlled-release urea (BCRUF) in which compost supplies labile carbon and microbes, while biochar and binder matrices moderate urea diffusion and reduce early losses. In pot and short-term field assays, BCRUF retained higher microbial activity and functional markers (e.g., dehydrogenase activity, nitrification potential) relative to unprotected compost or urea alone, and it achieved slower mineral N release consistent with reduced leaching risk (Rubel </w:t>
      </w:r>
      <w:r w:rsidRPr="00BB2672">
        <w:rPr>
          <w:rFonts w:ascii="Arial" w:hAnsi="Arial" w:cs="Arial"/>
          <w:i/>
          <w:iCs/>
          <w:lang w:eastAsia="en-IN"/>
        </w:rPr>
        <w:t>et al.,</w:t>
      </w:r>
      <w:r w:rsidRPr="00BB2672">
        <w:rPr>
          <w:rFonts w:ascii="Arial" w:hAnsi="Arial" w:cs="Arial"/>
          <w:lang w:eastAsia="en-IN"/>
        </w:rPr>
        <w:t xml:space="preserve"> 2024; Gao </w:t>
      </w:r>
      <w:r w:rsidRPr="00BB2672">
        <w:rPr>
          <w:rFonts w:ascii="Arial" w:hAnsi="Arial" w:cs="Arial"/>
          <w:i/>
          <w:iCs/>
          <w:lang w:eastAsia="en-IN"/>
        </w:rPr>
        <w:t>et al.,</w:t>
      </w:r>
      <w:r w:rsidRPr="00BB2672">
        <w:rPr>
          <w:rFonts w:ascii="Arial" w:hAnsi="Arial" w:cs="Arial"/>
          <w:lang w:eastAsia="en-IN"/>
        </w:rPr>
        <w:t xml:space="preserve"> 2022). These results indicate that composite pellets can simultaneously target nutrient use efficiency and microbial delivery, but they also highlight formulation trade-offs. Higher binder or coating fractions improve release control but may reduce immediate microbial metabolic activity unless labile substrates are co-formulated (Rubel </w:t>
      </w:r>
      <w:r w:rsidRPr="00BB2672">
        <w:rPr>
          <w:rFonts w:ascii="Arial" w:hAnsi="Arial" w:cs="Arial"/>
          <w:i/>
          <w:iCs/>
          <w:lang w:eastAsia="en-IN"/>
        </w:rPr>
        <w:t>et al.,</w:t>
      </w:r>
      <w:r w:rsidRPr="00BB2672">
        <w:rPr>
          <w:rFonts w:ascii="Arial" w:hAnsi="Arial" w:cs="Arial"/>
          <w:lang w:eastAsia="en-IN"/>
        </w:rPr>
        <w:t xml:space="preserve"> 2024; Cesari </w:t>
      </w:r>
      <w:r w:rsidRPr="00BB2672">
        <w:rPr>
          <w:rFonts w:ascii="Arial" w:hAnsi="Arial" w:cs="Arial"/>
          <w:i/>
          <w:iCs/>
          <w:lang w:eastAsia="en-IN"/>
        </w:rPr>
        <w:t>et al.,</w:t>
      </w:r>
      <w:r w:rsidRPr="00BB2672">
        <w:rPr>
          <w:rFonts w:ascii="Arial" w:hAnsi="Arial" w:cs="Arial"/>
          <w:lang w:eastAsia="en-IN"/>
        </w:rPr>
        <w:t xml:space="preserve"> 2024).</w:t>
      </w:r>
    </w:p>
    <w:p w14:paraId="1CC46A3F" w14:textId="77777777" w:rsidR="003E16A0" w:rsidRPr="00BB2672" w:rsidRDefault="003E16A0" w:rsidP="003E16A0">
      <w:pPr>
        <w:jc w:val="center"/>
        <w:rPr>
          <w:rFonts w:ascii="Arial" w:hAnsi="Arial" w:cs="Arial"/>
          <w:b/>
          <w:bCs/>
        </w:rPr>
      </w:pPr>
      <w:r w:rsidRPr="00BB2672">
        <w:rPr>
          <w:rFonts w:ascii="Arial" w:hAnsi="Arial" w:cs="Arial"/>
          <w:b/>
          <w:bCs/>
        </w:rPr>
        <w:t>Table 1: Biochar/Biofertilizer Pellet Formulation and Properties</w:t>
      </w:r>
    </w:p>
    <w:p w14:paraId="4F8DA838" w14:textId="77777777" w:rsidR="003E16A0" w:rsidRPr="00BB2672" w:rsidRDefault="003E16A0" w:rsidP="003E16A0">
      <w:pPr>
        <w:jc w:val="center"/>
        <w:rPr>
          <w:rFonts w:ascii="Arial" w:hAnsi="Arial" w:cs="Arial"/>
          <w:b/>
          <w:bCs/>
        </w:rPr>
      </w:pPr>
    </w:p>
    <w:tbl>
      <w:tblPr>
        <w:tblStyle w:val="TableGrid"/>
        <w:tblW w:w="0" w:type="auto"/>
        <w:jc w:val="center"/>
        <w:tblLook w:val="04A0" w:firstRow="1" w:lastRow="0" w:firstColumn="1" w:lastColumn="0" w:noHBand="0" w:noVBand="1"/>
      </w:tblPr>
      <w:tblGrid>
        <w:gridCol w:w="1092"/>
        <w:gridCol w:w="1008"/>
        <w:gridCol w:w="1693"/>
        <w:gridCol w:w="1540"/>
        <w:gridCol w:w="1651"/>
        <w:gridCol w:w="1440"/>
      </w:tblGrid>
      <w:tr w:rsidR="003E16A0" w:rsidRPr="00BB2672" w14:paraId="1A1A3520" w14:textId="77777777" w:rsidTr="0059241F">
        <w:trPr>
          <w:trHeight w:val="1079"/>
          <w:jc w:val="center"/>
        </w:trPr>
        <w:tc>
          <w:tcPr>
            <w:tcW w:w="1160" w:type="dxa"/>
            <w:vAlign w:val="center"/>
          </w:tcPr>
          <w:p w14:paraId="362CACF5"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Pellet Type / Biochar Source</w:t>
            </w:r>
          </w:p>
        </w:tc>
        <w:tc>
          <w:tcPr>
            <w:tcW w:w="1071" w:type="dxa"/>
            <w:vAlign w:val="center"/>
          </w:tcPr>
          <w:p w14:paraId="6AF40413"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Binder Type</w:t>
            </w:r>
          </w:p>
        </w:tc>
        <w:tc>
          <w:tcPr>
            <w:tcW w:w="1772" w:type="dxa"/>
            <w:vAlign w:val="center"/>
          </w:tcPr>
          <w:p w14:paraId="2E4D3B46"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Microbial Inoculant</w:t>
            </w:r>
          </w:p>
        </w:tc>
        <w:tc>
          <w:tcPr>
            <w:tcW w:w="1379" w:type="dxa"/>
            <w:vAlign w:val="center"/>
          </w:tcPr>
          <w:p w14:paraId="63E7B555"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Pellet Properties (Strength / Friability)</w:t>
            </w:r>
          </w:p>
        </w:tc>
        <w:tc>
          <w:tcPr>
            <w:tcW w:w="2131" w:type="dxa"/>
            <w:vAlign w:val="center"/>
          </w:tcPr>
          <w:p w14:paraId="4B2473F7"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Nutrient Release Behavior</w:t>
            </w:r>
          </w:p>
        </w:tc>
        <w:tc>
          <w:tcPr>
            <w:tcW w:w="1503" w:type="dxa"/>
            <w:vAlign w:val="center"/>
          </w:tcPr>
          <w:p w14:paraId="5081AEC2"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Reference</w:t>
            </w:r>
          </w:p>
        </w:tc>
      </w:tr>
      <w:tr w:rsidR="003E16A0" w:rsidRPr="00BB2672" w14:paraId="4BDC98B1" w14:textId="77777777" w:rsidTr="0059241F">
        <w:trPr>
          <w:trHeight w:val="982"/>
          <w:jc w:val="center"/>
        </w:trPr>
        <w:tc>
          <w:tcPr>
            <w:tcW w:w="1160" w:type="dxa"/>
            <w:vAlign w:val="center"/>
          </w:tcPr>
          <w:p w14:paraId="7A74CEA2" w14:textId="77777777" w:rsidR="003E16A0" w:rsidRPr="00BB2672" w:rsidRDefault="003E16A0" w:rsidP="00195949">
            <w:pPr>
              <w:rPr>
                <w:rFonts w:ascii="Arial" w:hAnsi="Arial" w:cs="Arial"/>
                <w:sz w:val="20"/>
                <w:szCs w:val="20"/>
              </w:rPr>
            </w:pPr>
            <w:r w:rsidRPr="00BB2672">
              <w:rPr>
                <w:rFonts w:ascii="Arial" w:hAnsi="Arial" w:cs="Arial"/>
                <w:sz w:val="20"/>
                <w:szCs w:val="20"/>
              </w:rPr>
              <w:t>Biochar + Starch</w:t>
            </w:r>
          </w:p>
        </w:tc>
        <w:tc>
          <w:tcPr>
            <w:tcW w:w="1071" w:type="dxa"/>
            <w:vAlign w:val="center"/>
          </w:tcPr>
          <w:p w14:paraId="6E281E07" w14:textId="77777777" w:rsidR="003E16A0" w:rsidRPr="00BB2672" w:rsidRDefault="003E16A0" w:rsidP="00195949">
            <w:pPr>
              <w:rPr>
                <w:rFonts w:ascii="Arial" w:hAnsi="Arial" w:cs="Arial"/>
                <w:sz w:val="20"/>
                <w:szCs w:val="20"/>
              </w:rPr>
            </w:pPr>
            <w:r w:rsidRPr="00BB2672">
              <w:rPr>
                <w:rFonts w:ascii="Arial" w:hAnsi="Arial" w:cs="Arial"/>
                <w:sz w:val="20"/>
                <w:szCs w:val="20"/>
              </w:rPr>
              <w:t>Starch</w:t>
            </w:r>
          </w:p>
        </w:tc>
        <w:tc>
          <w:tcPr>
            <w:tcW w:w="1772" w:type="dxa"/>
            <w:vAlign w:val="center"/>
          </w:tcPr>
          <w:p w14:paraId="1414D214" w14:textId="77777777" w:rsidR="003E16A0" w:rsidRPr="00BB2672" w:rsidRDefault="003E16A0" w:rsidP="00195949">
            <w:pPr>
              <w:rPr>
                <w:rFonts w:ascii="Arial" w:hAnsi="Arial" w:cs="Arial"/>
                <w:sz w:val="20"/>
                <w:szCs w:val="20"/>
              </w:rPr>
            </w:pPr>
            <w:r w:rsidRPr="00BB2672">
              <w:rPr>
                <w:rFonts w:ascii="Arial" w:hAnsi="Arial" w:cs="Arial"/>
                <w:i/>
                <w:iCs/>
                <w:sz w:val="20"/>
                <w:szCs w:val="20"/>
              </w:rPr>
              <w:t>Bacillus</w:t>
            </w:r>
            <w:r w:rsidRPr="00BB2672">
              <w:rPr>
                <w:rFonts w:ascii="Arial" w:hAnsi="Arial" w:cs="Arial"/>
                <w:sz w:val="20"/>
                <w:szCs w:val="20"/>
              </w:rPr>
              <w:t xml:space="preserve"> spp.</w:t>
            </w:r>
          </w:p>
        </w:tc>
        <w:tc>
          <w:tcPr>
            <w:tcW w:w="1379" w:type="dxa"/>
            <w:vAlign w:val="center"/>
          </w:tcPr>
          <w:p w14:paraId="7DCC1384" w14:textId="77777777" w:rsidR="003E16A0" w:rsidRPr="00BB2672" w:rsidRDefault="003E16A0" w:rsidP="00195949">
            <w:pPr>
              <w:rPr>
                <w:rFonts w:ascii="Arial" w:hAnsi="Arial" w:cs="Arial"/>
                <w:sz w:val="20"/>
                <w:szCs w:val="20"/>
              </w:rPr>
            </w:pPr>
            <w:r w:rsidRPr="00BB2672">
              <w:rPr>
                <w:rFonts w:ascii="Arial" w:hAnsi="Arial" w:cs="Arial"/>
                <w:sz w:val="20"/>
                <w:szCs w:val="20"/>
              </w:rPr>
              <w:t>High strength, moderate friability</w:t>
            </w:r>
          </w:p>
        </w:tc>
        <w:tc>
          <w:tcPr>
            <w:tcW w:w="2131" w:type="dxa"/>
            <w:vAlign w:val="center"/>
          </w:tcPr>
          <w:p w14:paraId="1915AF62" w14:textId="77777777" w:rsidR="003E16A0" w:rsidRPr="00BB2672" w:rsidRDefault="003E16A0" w:rsidP="00195949">
            <w:pPr>
              <w:rPr>
                <w:rFonts w:ascii="Arial" w:hAnsi="Arial" w:cs="Arial"/>
                <w:sz w:val="20"/>
                <w:szCs w:val="20"/>
              </w:rPr>
            </w:pPr>
            <w:r w:rsidRPr="00BB2672">
              <w:rPr>
                <w:rFonts w:ascii="Arial" w:hAnsi="Arial" w:cs="Arial"/>
                <w:sz w:val="20"/>
                <w:szCs w:val="20"/>
              </w:rPr>
              <w:t>Slow N, P, K release</w:t>
            </w:r>
          </w:p>
        </w:tc>
        <w:tc>
          <w:tcPr>
            <w:tcW w:w="1503" w:type="dxa"/>
            <w:vAlign w:val="center"/>
          </w:tcPr>
          <w:p w14:paraId="6FF602F6" w14:textId="77777777" w:rsidR="003E16A0" w:rsidRPr="00BB2672" w:rsidRDefault="003E16A0" w:rsidP="00195949">
            <w:pPr>
              <w:rPr>
                <w:rFonts w:ascii="Arial" w:hAnsi="Arial" w:cs="Arial"/>
                <w:sz w:val="20"/>
                <w:szCs w:val="20"/>
              </w:rPr>
            </w:pPr>
            <w:r w:rsidRPr="00BB2672">
              <w:rPr>
                <w:rFonts w:ascii="Arial" w:hAnsi="Arial" w:cs="Arial"/>
                <w:sz w:val="20"/>
                <w:szCs w:val="20"/>
              </w:rPr>
              <w:t>Mohammadi, 2021; Yun et al., 2022</w:t>
            </w:r>
          </w:p>
        </w:tc>
      </w:tr>
      <w:tr w:rsidR="003E16A0" w:rsidRPr="00BB2672" w14:paraId="2CE34CB0" w14:textId="77777777" w:rsidTr="0059241F">
        <w:trPr>
          <w:trHeight w:val="1407"/>
          <w:jc w:val="center"/>
        </w:trPr>
        <w:tc>
          <w:tcPr>
            <w:tcW w:w="1160" w:type="dxa"/>
            <w:vAlign w:val="center"/>
          </w:tcPr>
          <w:p w14:paraId="68DAABEB" w14:textId="77777777" w:rsidR="003E16A0" w:rsidRPr="00BB2672" w:rsidRDefault="003E16A0" w:rsidP="00195949">
            <w:pPr>
              <w:rPr>
                <w:rFonts w:ascii="Arial" w:hAnsi="Arial" w:cs="Arial"/>
                <w:sz w:val="20"/>
                <w:szCs w:val="20"/>
              </w:rPr>
            </w:pPr>
            <w:r w:rsidRPr="00BB2672">
              <w:rPr>
                <w:rFonts w:ascii="Arial" w:hAnsi="Arial" w:cs="Arial"/>
                <w:sz w:val="20"/>
                <w:szCs w:val="20"/>
              </w:rPr>
              <w:t>Biochar + CMS</w:t>
            </w:r>
          </w:p>
        </w:tc>
        <w:tc>
          <w:tcPr>
            <w:tcW w:w="1071" w:type="dxa"/>
            <w:vAlign w:val="center"/>
          </w:tcPr>
          <w:p w14:paraId="28024C9C" w14:textId="77777777" w:rsidR="003E16A0" w:rsidRPr="00BB2672" w:rsidRDefault="003E16A0" w:rsidP="00195949">
            <w:pPr>
              <w:rPr>
                <w:rFonts w:ascii="Arial" w:hAnsi="Arial" w:cs="Arial"/>
                <w:sz w:val="20"/>
                <w:szCs w:val="20"/>
              </w:rPr>
            </w:pPr>
            <w:r w:rsidRPr="00BB2672">
              <w:rPr>
                <w:rFonts w:ascii="Arial" w:hAnsi="Arial" w:cs="Arial"/>
                <w:sz w:val="20"/>
                <w:szCs w:val="20"/>
              </w:rPr>
              <w:t>CMS</w:t>
            </w:r>
          </w:p>
        </w:tc>
        <w:tc>
          <w:tcPr>
            <w:tcW w:w="1772" w:type="dxa"/>
            <w:vAlign w:val="center"/>
          </w:tcPr>
          <w:p w14:paraId="7B41C845" w14:textId="77777777" w:rsidR="003E16A0" w:rsidRPr="00BB2672" w:rsidRDefault="003E16A0" w:rsidP="00195949">
            <w:pPr>
              <w:rPr>
                <w:rFonts w:ascii="Arial" w:hAnsi="Arial" w:cs="Arial"/>
                <w:i/>
                <w:iCs/>
                <w:sz w:val="20"/>
                <w:szCs w:val="20"/>
              </w:rPr>
            </w:pPr>
            <w:r w:rsidRPr="00BB2672">
              <w:rPr>
                <w:rFonts w:ascii="Arial" w:hAnsi="Arial" w:cs="Arial"/>
                <w:i/>
                <w:iCs/>
                <w:sz w:val="20"/>
                <w:szCs w:val="20"/>
              </w:rPr>
              <w:t>Pseudomonas fluorescens</w:t>
            </w:r>
          </w:p>
        </w:tc>
        <w:tc>
          <w:tcPr>
            <w:tcW w:w="1379" w:type="dxa"/>
            <w:vAlign w:val="center"/>
          </w:tcPr>
          <w:p w14:paraId="25AD09D6" w14:textId="77777777" w:rsidR="003E16A0" w:rsidRPr="00BB2672" w:rsidRDefault="003E16A0" w:rsidP="00195949">
            <w:pPr>
              <w:rPr>
                <w:rFonts w:ascii="Arial" w:hAnsi="Arial" w:cs="Arial"/>
                <w:sz w:val="20"/>
                <w:szCs w:val="20"/>
              </w:rPr>
            </w:pPr>
            <w:r w:rsidRPr="00BB2672">
              <w:rPr>
                <w:rFonts w:ascii="Arial" w:hAnsi="Arial" w:cs="Arial"/>
                <w:sz w:val="20"/>
                <w:szCs w:val="20"/>
              </w:rPr>
              <w:t>Moderate strength, good disintegration</w:t>
            </w:r>
          </w:p>
        </w:tc>
        <w:tc>
          <w:tcPr>
            <w:tcW w:w="2131" w:type="dxa"/>
            <w:vAlign w:val="center"/>
          </w:tcPr>
          <w:p w14:paraId="7A5F1980" w14:textId="77777777" w:rsidR="003E16A0" w:rsidRPr="00BB2672" w:rsidRDefault="003E16A0" w:rsidP="00195949">
            <w:pPr>
              <w:rPr>
                <w:rFonts w:ascii="Arial" w:hAnsi="Arial" w:cs="Arial"/>
                <w:sz w:val="20"/>
                <w:szCs w:val="20"/>
              </w:rPr>
            </w:pPr>
            <w:r w:rsidRPr="00BB2672">
              <w:rPr>
                <w:rFonts w:ascii="Arial" w:hAnsi="Arial" w:cs="Arial"/>
                <w:sz w:val="20"/>
                <w:szCs w:val="20"/>
              </w:rPr>
              <w:t>Gradual nutrient release, enhanced microbial survival</w:t>
            </w:r>
          </w:p>
        </w:tc>
        <w:tc>
          <w:tcPr>
            <w:tcW w:w="1503" w:type="dxa"/>
            <w:vAlign w:val="center"/>
          </w:tcPr>
          <w:p w14:paraId="2D623DA2" w14:textId="77777777" w:rsidR="003E16A0" w:rsidRPr="00BB2672" w:rsidRDefault="003E16A0" w:rsidP="00195949">
            <w:pPr>
              <w:rPr>
                <w:rFonts w:ascii="Arial" w:hAnsi="Arial" w:cs="Arial"/>
                <w:sz w:val="20"/>
                <w:szCs w:val="20"/>
              </w:rPr>
            </w:pPr>
            <w:r w:rsidRPr="00BB2672">
              <w:rPr>
                <w:rFonts w:ascii="Arial" w:hAnsi="Arial" w:cs="Arial"/>
                <w:sz w:val="20"/>
                <w:szCs w:val="20"/>
              </w:rPr>
              <w:t xml:space="preserve">Yun et al., 2022; </w:t>
            </w:r>
            <w:proofErr w:type="spellStart"/>
            <w:r w:rsidRPr="00BB2672">
              <w:rPr>
                <w:rFonts w:ascii="Arial" w:hAnsi="Arial" w:cs="Arial"/>
                <w:sz w:val="20"/>
                <w:szCs w:val="20"/>
              </w:rPr>
              <w:t>Fadiji</w:t>
            </w:r>
            <w:proofErr w:type="spellEnd"/>
            <w:r w:rsidRPr="00BB2672">
              <w:rPr>
                <w:rFonts w:ascii="Arial" w:hAnsi="Arial" w:cs="Arial"/>
                <w:sz w:val="20"/>
                <w:szCs w:val="20"/>
              </w:rPr>
              <w:t xml:space="preserve"> et al., 2024</w:t>
            </w:r>
          </w:p>
        </w:tc>
      </w:tr>
      <w:tr w:rsidR="003E16A0" w:rsidRPr="00BB2672" w14:paraId="1845DCDA" w14:textId="77777777" w:rsidTr="0059241F">
        <w:trPr>
          <w:trHeight w:val="987"/>
          <w:jc w:val="center"/>
        </w:trPr>
        <w:tc>
          <w:tcPr>
            <w:tcW w:w="1160" w:type="dxa"/>
            <w:vAlign w:val="center"/>
          </w:tcPr>
          <w:p w14:paraId="2701D7CD" w14:textId="77777777" w:rsidR="003E16A0" w:rsidRPr="00BB2672" w:rsidRDefault="003E16A0" w:rsidP="00195949">
            <w:pPr>
              <w:rPr>
                <w:rFonts w:ascii="Arial" w:hAnsi="Arial" w:cs="Arial"/>
                <w:sz w:val="20"/>
                <w:szCs w:val="20"/>
              </w:rPr>
            </w:pPr>
            <w:r w:rsidRPr="00BB2672">
              <w:rPr>
                <w:rFonts w:ascii="Arial" w:hAnsi="Arial" w:cs="Arial"/>
                <w:sz w:val="20"/>
                <w:szCs w:val="20"/>
              </w:rPr>
              <w:t>Biochar + Clay</w:t>
            </w:r>
          </w:p>
        </w:tc>
        <w:tc>
          <w:tcPr>
            <w:tcW w:w="1071" w:type="dxa"/>
            <w:vAlign w:val="center"/>
          </w:tcPr>
          <w:p w14:paraId="0CC0A17A" w14:textId="77777777" w:rsidR="003E16A0" w:rsidRPr="00BB2672" w:rsidRDefault="003E16A0" w:rsidP="00195949">
            <w:pPr>
              <w:rPr>
                <w:rFonts w:ascii="Arial" w:hAnsi="Arial" w:cs="Arial"/>
                <w:sz w:val="20"/>
                <w:szCs w:val="20"/>
              </w:rPr>
            </w:pPr>
            <w:r w:rsidRPr="00BB2672">
              <w:rPr>
                <w:rFonts w:ascii="Arial" w:hAnsi="Arial" w:cs="Arial"/>
                <w:sz w:val="20"/>
                <w:szCs w:val="20"/>
              </w:rPr>
              <w:t>Clay</w:t>
            </w:r>
          </w:p>
        </w:tc>
        <w:tc>
          <w:tcPr>
            <w:tcW w:w="1772" w:type="dxa"/>
            <w:vAlign w:val="center"/>
          </w:tcPr>
          <w:p w14:paraId="54FF7C2B" w14:textId="77777777" w:rsidR="003E16A0" w:rsidRPr="00BB2672" w:rsidRDefault="003E16A0" w:rsidP="00195949">
            <w:pPr>
              <w:rPr>
                <w:rFonts w:ascii="Arial" w:hAnsi="Arial" w:cs="Arial"/>
                <w:sz w:val="20"/>
                <w:szCs w:val="20"/>
              </w:rPr>
            </w:pPr>
            <w:r w:rsidRPr="00BB2672">
              <w:rPr>
                <w:rFonts w:ascii="Arial" w:hAnsi="Arial" w:cs="Arial"/>
                <w:i/>
                <w:iCs/>
                <w:sz w:val="20"/>
                <w:szCs w:val="20"/>
              </w:rPr>
              <w:t>Rhizobium</w:t>
            </w:r>
            <w:r w:rsidRPr="00BB2672">
              <w:rPr>
                <w:rFonts w:ascii="Arial" w:hAnsi="Arial" w:cs="Arial"/>
                <w:sz w:val="20"/>
                <w:szCs w:val="20"/>
              </w:rPr>
              <w:t xml:space="preserve"> spp.</w:t>
            </w:r>
          </w:p>
        </w:tc>
        <w:tc>
          <w:tcPr>
            <w:tcW w:w="1379" w:type="dxa"/>
            <w:vAlign w:val="center"/>
          </w:tcPr>
          <w:p w14:paraId="684B55F6" w14:textId="77777777" w:rsidR="003E16A0" w:rsidRPr="00BB2672" w:rsidRDefault="003E16A0" w:rsidP="00195949">
            <w:pPr>
              <w:rPr>
                <w:rFonts w:ascii="Arial" w:hAnsi="Arial" w:cs="Arial"/>
                <w:sz w:val="20"/>
                <w:szCs w:val="20"/>
              </w:rPr>
            </w:pPr>
            <w:r w:rsidRPr="00BB2672">
              <w:rPr>
                <w:rFonts w:ascii="Arial" w:hAnsi="Arial" w:cs="Arial"/>
                <w:sz w:val="20"/>
                <w:szCs w:val="20"/>
              </w:rPr>
              <w:t>High mechanical stability</w:t>
            </w:r>
          </w:p>
        </w:tc>
        <w:tc>
          <w:tcPr>
            <w:tcW w:w="2131" w:type="dxa"/>
            <w:vAlign w:val="center"/>
          </w:tcPr>
          <w:p w14:paraId="2D2D9E21" w14:textId="77777777" w:rsidR="003E16A0" w:rsidRPr="00BB2672" w:rsidRDefault="003E16A0" w:rsidP="00195949">
            <w:pPr>
              <w:rPr>
                <w:rFonts w:ascii="Arial" w:hAnsi="Arial" w:cs="Arial"/>
                <w:sz w:val="20"/>
                <w:szCs w:val="20"/>
              </w:rPr>
            </w:pPr>
            <w:r w:rsidRPr="00BB2672">
              <w:rPr>
                <w:rFonts w:ascii="Arial" w:hAnsi="Arial" w:cs="Arial"/>
                <w:sz w:val="20"/>
                <w:szCs w:val="20"/>
              </w:rPr>
              <w:t>Controlled nutrient release</w:t>
            </w:r>
          </w:p>
        </w:tc>
        <w:tc>
          <w:tcPr>
            <w:tcW w:w="1503" w:type="dxa"/>
            <w:vAlign w:val="center"/>
          </w:tcPr>
          <w:p w14:paraId="4A1810B5" w14:textId="77777777" w:rsidR="003E16A0" w:rsidRPr="00BB2672" w:rsidRDefault="003E16A0" w:rsidP="00195949">
            <w:pPr>
              <w:rPr>
                <w:rFonts w:ascii="Arial" w:hAnsi="Arial" w:cs="Arial"/>
                <w:sz w:val="20"/>
                <w:szCs w:val="20"/>
              </w:rPr>
            </w:pPr>
            <w:r w:rsidRPr="00BB2672">
              <w:rPr>
                <w:rFonts w:ascii="Arial" w:hAnsi="Arial" w:cs="Arial"/>
                <w:sz w:val="20"/>
                <w:szCs w:val="20"/>
              </w:rPr>
              <w:t>Mohammadi, 2021; Osman et al., 2022</w:t>
            </w:r>
          </w:p>
        </w:tc>
      </w:tr>
      <w:tr w:rsidR="003E16A0" w:rsidRPr="00BB2672" w14:paraId="5131D213" w14:textId="77777777" w:rsidTr="00195949">
        <w:trPr>
          <w:trHeight w:val="1399"/>
          <w:jc w:val="center"/>
        </w:trPr>
        <w:tc>
          <w:tcPr>
            <w:tcW w:w="1160" w:type="dxa"/>
            <w:vAlign w:val="center"/>
          </w:tcPr>
          <w:p w14:paraId="4B365CA7" w14:textId="77777777" w:rsidR="003E16A0" w:rsidRPr="00BB2672" w:rsidRDefault="003E16A0" w:rsidP="00195949">
            <w:pPr>
              <w:rPr>
                <w:rFonts w:ascii="Arial" w:hAnsi="Arial" w:cs="Arial"/>
                <w:sz w:val="20"/>
                <w:szCs w:val="20"/>
              </w:rPr>
            </w:pPr>
            <w:r w:rsidRPr="00BB2672">
              <w:rPr>
                <w:rFonts w:ascii="Arial" w:hAnsi="Arial" w:cs="Arial"/>
                <w:sz w:val="20"/>
                <w:szCs w:val="20"/>
              </w:rPr>
              <w:t>Biochar + Compost</w:t>
            </w:r>
          </w:p>
        </w:tc>
        <w:tc>
          <w:tcPr>
            <w:tcW w:w="1071" w:type="dxa"/>
            <w:vAlign w:val="center"/>
          </w:tcPr>
          <w:p w14:paraId="7F8D5B1D" w14:textId="77777777" w:rsidR="003E16A0" w:rsidRPr="00BB2672" w:rsidRDefault="003E16A0" w:rsidP="00195949">
            <w:pPr>
              <w:rPr>
                <w:rFonts w:ascii="Arial" w:hAnsi="Arial" w:cs="Arial"/>
                <w:sz w:val="20"/>
                <w:szCs w:val="20"/>
              </w:rPr>
            </w:pPr>
            <w:r w:rsidRPr="00BB2672">
              <w:rPr>
                <w:rFonts w:ascii="Arial" w:hAnsi="Arial" w:cs="Arial"/>
                <w:sz w:val="20"/>
                <w:szCs w:val="20"/>
              </w:rPr>
              <w:t>Organic</w:t>
            </w:r>
          </w:p>
        </w:tc>
        <w:tc>
          <w:tcPr>
            <w:tcW w:w="1772" w:type="dxa"/>
            <w:vAlign w:val="center"/>
          </w:tcPr>
          <w:p w14:paraId="6CED6FAD" w14:textId="77777777" w:rsidR="003E16A0" w:rsidRPr="00BB2672" w:rsidRDefault="003E16A0" w:rsidP="00195949">
            <w:pPr>
              <w:rPr>
                <w:rFonts w:ascii="Arial" w:hAnsi="Arial" w:cs="Arial"/>
                <w:sz w:val="20"/>
                <w:szCs w:val="20"/>
              </w:rPr>
            </w:pPr>
            <w:r w:rsidRPr="00BB2672">
              <w:rPr>
                <w:rFonts w:ascii="Arial" w:hAnsi="Arial" w:cs="Arial"/>
                <w:i/>
                <w:iCs/>
                <w:sz w:val="20"/>
                <w:szCs w:val="20"/>
              </w:rPr>
              <w:t>Bacillus</w:t>
            </w:r>
            <w:r w:rsidRPr="00BB2672">
              <w:rPr>
                <w:rFonts w:ascii="Arial" w:hAnsi="Arial" w:cs="Arial"/>
                <w:sz w:val="20"/>
                <w:szCs w:val="20"/>
              </w:rPr>
              <w:t xml:space="preserve"> + other PGPR</w:t>
            </w:r>
          </w:p>
        </w:tc>
        <w:tc>
          <w:tcPr>
            <w:tcW w:w="1379" w:type="dxa"/>
            <w:vAlign w:val="center"/>
          </w:tcPr>
          <w:p w14:paraId="6BE241B2" w14:textId="77777777" w:rsidR="003E16A0" w:rsidRPr="00BB2672" w:rsidRDefault="003E16A0" w:rsidP="00195949">
            <w:pPr>
              <w:rPr>
                <w:rFonts w:ascii="Arial" w:hAnsi="Arial" w:cs="Arial"/>
                <w:sz w:val="20"/>
                <w:szCs w:val="20"/>
              </w:rPr>
            </w:pPr>
            <w:r w:rsidRPr="00BB2672">
              <w:rPr>
                <w:rFonts w:ascii="Arial" w:hAnsi="Arial" w:cs="Arial"/>
                <w:sz w:val="20"/>
                <w:szCs w:val="20"/>
              </w:rPr>
              <w:t>Moderate strength, biodegradable</w:t>
            </w:r>
          </w:p>
        </w:tc>
        <w:tc>
          <w:tcPr>
            <w:tcW w:w="2131" w:type="dxa"/>
            <w:vAlign w:val="center"/>
          </w:tcPr>
          <w:p w14:paraId="61FF419F" w14:textId="77777777" w:rsidR="003E16A0" w:rsidRPr="00BB2672" w:rsidRDefault="003E16A0" w:rsidP="00195949">
            <w:pPr>
              <w:rPr>
                <w:rFonts w:ascii="Arial" w:hAnsi="Arial" w:cs="Arial"/>
                <w:sz w:val="20"/>
                <w:szCs w:val="20"/>
              </w:rPr>
            </w:pPr>
            <w:r w:rsidRPr="00BB2672">
              <w:rPr>
                <w:rFonts w:ascii="Arial" w:hAnsi="Arial" w:cs="Arial"/>
                <w:sz w:val="20"/>
                <w:szCs w:val="20"/>
              </w:rPr>
              <w:t>Sustained nutrient release, retains microbial activity</w:t>
            </w:r>
          </w:p>
        </w:tc>
        <w:tc>
          <w:tcPr>
            <w:tcW w:w="1503" w:type="dxa"/>
            <w:vAlign w:val="center"/>
          </w:tcPr>
          <w:p w14:paraId="188569A0" w14:textId="77777777" w:rsidR="003E16A0" w:rsidRPr="00BB2672" w:rsidRDefault="003E16A0" w:rsidP="00195949">
            <w:pPr>
              <w:rPr>
                <w:rFonts w:ascii="Arial" w:hAnsi="Arial" w:cs="Arial"/>
                <w:sz w:val="20"/>
                <w:szCs w:val="20"/>
              </w:rPr>
            </w:pPr>
            <w:r w:rsidRPr="00BB2672">
              <w:rPr>
                <w:rFonts w:ascii="Arial" w:hAnsi="Arial" w:cs="Arial"/>
                <w:sz w:val="20"/>
                <w:szCs w:val="20"/>
              </w:rPr>
              <w:t>Rubel et al., 2024; Jiang et al., 2024</w:t>
            </w:r>
          </w:p>
        </w:tc>
      </w:tr>
      <w:tr w:rsidR="003E16A0" w:rsidRPr="00BB2672" w14:paraId="5D243E84" w14:textId="77777777" w:rsidTr="0059241F">
        <w:trPr>
          <w:trHeight w:val="1125"/>
          <w:jc w:val="center"/>
        </w:trPr>
        <w:tc>
          <w:tcPr>
            <w:tcW w:w="1160" w:type="dxa"/>
            <w:vAlign w:val="center"/>
          </w:tcPr>
          <w:p w14:paraId="7F551085" w14:textId="77777777" w:rsidR="003E16A0" w:rsidRPr="00BB2672" w:rsidRDefault="003E16A0" w:rsidP="00195949">
            <w:pPr>
              <w:rPr>
                <w:rFonts w:ascii="Arial" w:hAnsi="Arial" w:cs="Arial"/>
                <w:sz w:val="20"/>
                <w:szCs w:val="20"/>
              </w:rPr>
            </w:pPr>
            <w:r w:rsidRPr="00BB2672">
              <w:rPr>
                <w:rFonts w:ascii="Arial" w:hAnsi="Arial" w:cs="Arial"/>
                <w:sz w:val="20"/>
                <w:szCs w:val="20"/>
              </w:rPr>
              <w:lastRenderedPageBreak/>
              <w:t>Biochar + Alginate coating</w:t>
            </w:r>
          </w:p>
        </w:tc>
        <w:tc>
          <w:tcPr>
            <w:tcW w:w="1071" w:type="dxa"/>
            <w:vAlign w:val="center"/>
          </w:tcPr>
          <w:p w14:paraId="7D67B48D" w14:textId="77777777" w:rsidR="003E16A0" w:rsidRPr="00BB2672" w:rsidRDefault="003E16A0" w:rsidP="00195949">
            <w:pPr>
              <w:rPr>
                <w:rFonts w:ascii="Arial" w:hAnsi="Arial" w:cs="Arial"/>
                <w:sz w:val="20"/>
                <w:szCs w:val="20"/>
              </w:rPr>
            </w:pPr>
            <w:r w:rsidRPr="00BB2672">
              <w:rPr>
                <w:rFonts w:ascii="Arial" w:hAnsi="Arial" w:cs="Arial"/>
                <w:sz w:val="20"/>
                <w:szCs w:val="20"/>
              </w:rPr>
              <w:t>Alginate</w:t>
            </w:r>
          </w:p>
        </w:tc>
        <w:tc>
          <w:tcPr>
            <w:tcW w:w="1772" w:type="dxa"/>
            <w:vAlign w:val="center"/>
          </w:tcPr>
          <w:p w14:paraId="0E867757" w14:textId="77777777" w:rsidR="003E16A0" w:rsidRPr="00BB2672" w:rsidRDefault="003E16A0" w:rsidP="00195949">
            <w:pPr>
              <w:rPr>
                <w:rFonts w:ascii="Arial" w:hAnsi="Arial" w:cs="Arial"/>
                <w:sz w:val="20"/>
                <w:szCs w:val="20"/>
              </w:rPr>
            </w:pPr>
            <w:proofErr w:type="spellStart"/>
            <w:r w:rsidRPr="00BB2672">
              <w:rPr>
                <w:rFonts w:ascii="Arial" w:hAnsi="Arial" w:cs="Arial"/>
                <w:i/>
                <w:iCs/>
                <w:sz w:val="20"/>
                <w:szCs w:val="20"/>
              </w:rPr>
              <w:t>Bradyrhizobium</w:t>
            </w:r>
            <w:proofErr w:type="spellEnd"/>
            <w:r w:rsidRPr="00BB2672">
              <w:rPr>
                <w:rFonts w:ascii="Arial" w:hAnsi="Arial" w:cs="Arial"/>
                <w:sz w:val="20"/>
                <w:szCs w:val="20"/>
              </w:rPr>
              <w:t xml:space="preserve"> spp.</w:t>
            </w:r>
          </w:p>
        </w:tc>
        <w:tc>
          <w:tcPr>
            <w:tcW w:w="1379" w:type="dxa"/>
            <w:vAlign w:val="center"/>
          </w:tcPr>
          <w:p w14:paraId="579D10A8" w14:textId="77777777" w:rsidR="003E16A0" w:rsidRPr="00BB2672" w:rsidRDefault="003E16A0" w:rsidP="00195949">
            <w:pPr>
              <w:rPr>
                <w:rFonts w:ascii="Arial" w:hAnsi="Arial" w:cs="Arial"/>
                <w:sz w:val="20"/>
                <w:szCs w:val="20"/>
              </w:rPr>
            </w:pPr>
            <w:r w:rsidRPr="00BB2672">
              <w:rPr>
                <w:rFonts w:ascii="Arial" w:hAnsi="Arial" w:cs="Arial"/>
                <w:sz w:val="20"/>
                <w:szCs w:val="20"/>
              </w:rPr>
              <w:t>Good handling, slow biodegradation</w:t>
            </w:r>
          </w:p>
        </w:tc>
        <w:tc>
          <w:tcPr>
            <w:tcW w:w="2131" w:type="dxa"/>
            <w:vAlign w:val="center"/>
          </w:tcPr>
          <w:p w14:paraId="3F94E4E2" w14:textId="77777777" w:rsidR="003E16A0" w:rsidRPr="00BB2672" w:rsidRDefault="003E16A0" w:rsidP="00195949">
            <w:pPr>
              <w:rPr>
                <w:rFonts w:ascii="Arial" w:hAnsi="Arial" w:cs="Arial"/>
                <w:sz w:val="20"/>
                <w:szCs w:val="20"/>
              </w:rPr>
            </w:pPr>
            <w:r w:rsidRPr="00BB2672">
              <w:rPr>
                <w:rFonts w:ascii="Arial" w:hAnsi="Arial" w:cs="Arial"/>
                <w:sz w:val="20"/>
                <w:szCs w:val="20"/>
              </w:rPr>
              <w:t>Extended shelf-life, slow nutrient release</w:t>
            </w:r>
          </w:p>
        </w:tc>
        <w:tc>
          <w:tcPr>
            <w:tcW w:w="1503" w:type="dxa"/>
            <w:vAlign w:val="center"/>
          </w:tcPr>
          <w:p w14:paraId="4E1D8280" w14:textId="77777777" w:rsidR="003E16A0" w:rsidRPr="00BB2672" w:rsidRDefault="003E16A0" w:rsidP="00195949">
            <w:pPr>
              <w:rPr>
                <w:rFonts w:ascii="Arial" w:hAnsi="Arial" w:cs="Arial"/>
                <w:sz w:val="20"/>
                <w:szCs w:val="20"/>
              </w:rPr>
            </w:pPr>
            <w:r w:rsidRPr="00BB2672">
              <w:rPr>
                <w:rFonts w:ascii="Arial" w:hAnsi="Arial" w:cs="Arial"/>
                <w:sz w:val="20"/>
                <w:szCs w:val="20"/>
              </w:rPr>
              <w:t>Cesari et al., 2024</w:t>
            </w:r>
          </w:p>
        </w:tc>
      </w:tr>
    </w:tbl>
    <w:p w14:paraId="527F3BDF" w14:textId="77777777" w:rsidR="003E16A0" w:rsidRPr="00BB2672" w:rsidRDefault="003E16A0" w:rsidP="003E16A0">
      <w:pPr>
        <w:jc w:val="both"/>
        <w:rPr>
          <w:rFonts w:ascii="Arial" w:hAnsi="Arial" w:cs="Arial"/>
          <w:lang w:eastAsia="en-IN"/>
        </w:rPr>
      </w:pPr>
    </w:p>
    <w:p w14:paraId="7628C5C1" w14:textId="77777777" w:rsidR="003E16A0" w:rsidRPr="00BB2672" w:rsidRDefault="003E16A0" w:rsidP="003E16A0">
      <w:pPr>
        <w:pStyle w:val="ListParagraph"/>
        <w:numPr>
          <w:ilvl w:val="1"/>
          <w:numId w:val="33"/>
        </w:numPr>
        <w:spacing w:before="100" w:beforeAutospacing="1" w:after="100" w:afterAutospacing="1" w:line="240" w:lineRule="auto"/>
        <w:jc w:val="both"/>
        <w:outlineLvl w:val="2"/>
        <w:rPr>
          <w:rFonts w:ascii="Arial" w:eastAsia="Times New Roman" w:hAnsi="Arial" w:cs="Arial"/>
          <w:b/>
          <w:bCs/>
          <w:kern w:val="0"/>
          <w:sz w:val="22"/>
          <w:szCs w:val="22"/>
          <w:lang w:eastAsia="en-IN"/>
        </w:rPr>
      </w:pPr>
      <w:r w:rsidRPr="00BB2672">
        <w:rPr>
          <w:rFonts w:ascii="Arial" w:eastAsia="Times New Roman" w:hAnsi="Arial" w:cs="Arial"/>
          <w:b/>
          <w:bCs/>
          <w:kern w:val="0"/>
          <w:sz w:val="22"/>
          <w:szCs w:val="22"/>
          <w:lang w:eastAsia="en-IN"/>
        </w:rPr>
        <w:t xml:space="preserve"> Agronomic Performance and Future Directions</w:t>
      </w:r>
    </w:p>
    <w:p w14:paraId="153784F6" w14:textId="77777777"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Performance evaluation and agronomic outcomes show promise but underscore the need for standardized testing. Field and pot trials report improved fertilizer recovery, reduced N leaching, and yield gains when biochar-based pellets are used as slow-release or co-applied amendments; however, efficacy varies with soil type, climate, and crop, and with pellet composition and manufacturing parameters (Gao </w:t>
      </w:r>
      <w:r w:rsidRPr="00BB2672">
        <w:rPr>
          <w:rFonts w:ascii="Arial" w:hAnsi="Arial" w:cs="Arial"/>
          <w:i/>
          <w:iCs/>
          <w:lang w:eastAsia="en-IN"/>
        </w:rPr>
        <w:t>et al.,</w:t>
      </w:r>
      <w:r w:rsidRPr="00BB2672">
        <w:rPr>
          <w:rFonts w:ascii="Arial" w:hAnsi="Arial" w:cs="Arial"/>
          <w:lang w:eastAsia="en-IN"/>
        </w:rPr>
        <w:t xml:space="preserve"> 2022; Yun </w:t>
      </w:r>
      <w:r w:rsidRPr="00BB2672">
        <w:rPr>
          <w:rFonts w:ascii="Arial" w:hAnsi="Arial" w:cs="Arial"/>
          <w:i/>
          <w:iCs/>
          <w:lang w:eastAsia="en-IN"/>
        </w:rPr>
        <w:t>et al.,</w:t>
      </w:r>
      <w:r w:rsidRPr="00BB2672">
        <w:rPr>
          <w:rFonts w:ascii="Arial" w:hAnsi="Arial" w:cs="Arial"/>
          <w:lang w:eastAsia="en-IN"/>
        </w:rPr>
        <w:t xml:space="preserve"> 2022). Economic and life-cycle assessments are increasingly recommended to compare pellet production costs and environmental benefits against conventional fertilizers, especially when polymer coatings or intensive post-processing are used (Rubel </w:t>
      </w:r>
      <w:r w:rsidRPr="00BB2672">
        <w:rPr>
          <w:rFonts w:ascii="Arial" w:hAnsi="Arial" w:cs="Arial"/>
          <w:i/>
          <w:iCs/>
          <w:lang w:eastAsia="en-IN"/>
        </w:rPr>
        <w:t>et al.,</w:t>
      </w:r>
      <w:r w:rsidRPr="00BB2672">
        <w:rPr>
          <w:rFonts w:ascii="Arial" w:hAnsi="Arial" w:cs="Arial"/>
          <w:lang w:eastAsia="en-IN"/>
        </w:rPr>
        <w:t xml:space="preserve"> 2024; Mohammadi, 2021). Future work should couple mechanistic release modelling with storage-to-field studies that track microbial survival and functional resilience under real-world transport and storage conditions.</w:t>
      </w:r>
    </w:p>
    <w:p w14:paraId="0DF490FC" w14:textId="74D111E3" w:rsidR="003E16A0" w:rsidRPr="00BB2672" w:rsidRDefault="003E16A0" w:rsidP="003E16A0">
      <w:pPr>
        <w:pStyle w:val="ListParagraph"/>
        <w:numPr>
          <w:ilvl w:val="0"/>
          <w:numId w:val="33"/>
        </w:numPr>
        <w:rPr>
          <w:rFonts w:ascii="Arial" w:hAnsi="Arial" w:cs="Arial"/>
          <w:b/>
          <w:bCs/>
          <w:sz w:val="22"/>
          <w:szCs w:val="22"/>
        </w:rPr>
      </w:pPr>
      <w:r w:rsidRPr="00BB2672">
        <w:rPr>
          <w:rFonts w:ascii="Arial" w:hAnsi="Arial" w:cs="Arial"/>
          <w:b/>
          <w:bCs/>
          <w:sz w:val="22"/>
          <w:szCs w:val="22"/>
        </w:rPr>
        <w:t>NUTRIENT DYNAMICS AND SOIL HEALTH IMPROVEMENT</w:t>
      </w:r>
    </w:p>
    <w:p w14:paraId="7A6ACF30" w14:textId="515DC525"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Biochar-based materials and biochar-enriched fertilizers alter nutrient dynamics in soil through combined physical, chemical and biological mechanisms that commonly produce a slow-release </w:t>
      </w:r>
      <w:r w:rsidR="00B26AD7" w:rsidRPr="00BB2672">
        <w:rPr>
          <w:rFonts w:ascii="Arial" w:hAnsi="Arial" w:cs="Arial"/>
          <w:lang w:eastAsia="en-IN"/>
        </w:rPr>
        <w:t>behavior</w:t>
      </w:r>
      <w:r w:rsidRPr="00BB2672">
        <w:rPr>
          <w:rFonts w:ascii="Arial" w:hAnsi="Arial" w:cs="Arial"/>
          <w:lang w:eastAsia="en-IN"/>
        </w:rPr>
        <w:t xml:space="preserve"> for key macronutrients. Biochar can act as a sorbent and a depot for adsorbed or chemically bound N, P and K, and engineered biochar-based slow-release fertilizers (BSRFs) or co-pyroly</w:t>
      </w:r>
      <w:r w:rsidR="00B26AD7">
        <w:rPr>
          <w:rFonts w:ascii="Arial" w:hAnsi="Arial" w:cs="Arial"/>
          <w:lang w:eastAsia="en-IN"/>
        </w:rPr>
        <w:t>z</w:t>
      </w:r>
      <w:r w:rsidRPr="00BB2672">
        <w:rPr>
          <w:rFonts w:ascii="Arial" w:hAnsi="Arial" w:cs="Arial"/>
          <w:lang w:eastAsia="en-IN"/>
        </w:rPr>
        <w:t xml:space="preserve">ed nutrient-loaded </w:t>
      </w:r>
      <w:proofErr w:type="spellStart"/>
      <w:r w:rsidRPr="00BB2672">
        <w:rPr>
          <w:rFonts w:ascii="Arial" w:hAnsi="Arial" w:cs="Arial"/>
          <w:lang w:eastAsia="en-IN"/>
        </w:rPr>
        <w:t>biochars</w:t>
      </w:r>
      <w:proofErr w:type="spellEnd"/>
      <w:r w:rsidRPr="00BB2672">
        <w:rPr>
          <w:rFonts w:ascii="Arial" w:hAnsi="Arial" w:cs="Arial"/>
          <w:lang w:eastAsia="en-IN"/>
        </w:rPr>
        <w:t xml:space="preserve"> have been shown to extend release of P and K relative to soluble inputs while improving plant uptake efficiency in pot and field tests (An </w:t>
      </w:r>
      <w:r w:rsidRPr="00BB2672">
        <w:rPr>
          <w:rFonts w:ascii="Arial" w:hAnsi="Arial" w:cs="Arial"/>
          <w:i/>
          <w:iCs/>
          <w:lang w:eastAsia="en-IN"/>
        </w:rPr>
        <w:t>et al.,</w:t>
      </w:r>
      <w:r w:rsidRPr="00BB2672">
        <w:rPr>
          <w:rFonts w:ascii="Arial" w:hAnsi="Arial" w:cs="Arial"/>
          <w:lang w:eastAsia="en-IN"/>
        </w:rPr>
        <w:t xml:space="preserve"> 2021; </w:t>
      </w:r>
      <w:proofErr w:type="spellStart"/>
      <w:r w:rsidRPr="00BB2672">
        <w:rPr>
          <w:rFonts w:ascii="Arial" w:hAnsi="Arial" w:cs="Arial"/>
          <w:lang w:eastAsia="en-IN"/>
        </w:rPr>
        <w:t>Piash</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2022; Wang </w:t>
      </w:r>
      <w:r w:rsidRPr="00BB2672">
        <w:rPr>
          <w:rFonts w:ascii="Arial" w:hAnsi="Arial" w:cs="Arial"/>
          <w:i/>
          <w:iCs/>
          <w:lang w:eastAsia="en-IN"/>
        </w:rPr>
        <w:t>et al.,</w:t>
      </w:r>
      <w:r w:rsidRPr="00BB2672">
        <w:rPr>
          <w:rFonts w:ascii="Arial" w:hAnsi="Arial" w:cs="Arial"/>
          <w:lang w:eastAsia="en-IN"/>
        </w:rPr>
        <w:t xml:space="preserve"> 2022). Reviews and empirical studies agree that co-processing (co-pyrolysis) and post-pyrolysis enrichment or polymer coatings are effective routes to tune release kinetics, producing formulations that release a fraction of nutrients rapidly for early crop demand while holding back more labile pools for later uptake (Wang </w:t>
      </w:r>
      <w:r w:rsidRPr="00BB2672">
        <w:rPr>
          <w:rFonts w:ascii="Arial" w:hAnsi="Arial" w:cs="Arial"/>
          <w:i/>
          <w:iCs/>
          <w:lang w:eastAsia="en-IN"/>
        </w:rPr>
        <w:t>et al.,</w:t>
      </w:r>
      <w:r w:rsidRPr="00BB2672">
        <w:rPr>
          <w:rFonts w:ascii="Arial" w:hAnsi="Arial" w:cs="Arial"/>
          <w:lang w:eastAsia="en-IN"/>
        </w:rPr>
        <w:t xml:space="preserve"> 2022; An </w:t>
      </w:r>
      <w:r w:rsidRPr="00BB2672">
        <w:rPr>
          <w:rFonts w:ascii="Arial" w:hAnsi="Arial" w:cs="Arial"/>
          <w:i/>
          <w:iCs/>
          <w:lang w:eastAsia="en-IN"/>
        </w:rPr>
        <w:t>et al.,</w:t>
      </w:r>
      <w:r w:rsidRPr="00BB2672">
        <w:rPr>
          <w:rFonts w:ascii="Arial" w:hAnsi="Arial" w:cs="Arial"/>
          <w:lang w:eastAsia="en-IN"/>
        </w:rPr>
        <w:t xml:space="preserve"> 2021). These approaches reduce leaching losses and increase nutrient-use efficiency when matched to crop uptake curves and soil texture. (An </w:t>
      </w:r>
      <w:r w:rsidRPr="00BB2672">
        <w:rPr>
          <w:rFonts w:ascii="Arial" w:hAnsi="Arial" w:cs="Arial"/>
          <w:i/>
          <w:iCs/>
          <w:lang w:eastAsia="en-IN"/>
        </w:rPr>
        <w:t>et al.,</w:t>
      </w:r>
      <w:r w:rsidRPr="00BB2672">
        <w:rPr>
          <w:rFonts w:ascii="Arial" w:hAnsi="Arial" w:cs="Arial"/>
          <w:lang w:eastAsia="en-IN"/>
        </w:rPr>
        <w:t xml:space="preserve"> 2021; </w:t>
      </w:r>
      <w:proofErr w:type="spellStart"/>
      <w:r w:rsidRPr="00BB2672">
        <w:rPr>
          <w:rFonts w:ascii="Arial" w:hAnsi="Arial" w:cs="Arial"/>
          <w:lang w:eastAsia="en-IN"/>
        </w:rPr>
        <w:t>Piash</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2022</w:t>
      </w:r>
      <w:r w:rsidR="00491DEA" w:rsidRPr="00BB2672">
        <w:rPr>
          <w:rFonts w:ascii="Arial" w:hAnsi="Arial" w:cs="Arial"/>
          <w:lang w:eastAsia="en-IN"/>
        </w:rPr>
        <w:t xml:space="preserve">; Wang </w:t>
      </w:r>
      <w:r w:rsidR="00491DEA" w:rsidRPr="00BB2672">
        <w:rPr>
          <w:rFonts w:ascii="Arial" w:hAnsi="Arial" w:cs="Arial"/>
          <w:i/>
          <w:iCs/>
          <w:lang w:eastAsia="en-IN"/>
        </w:rPr>
        <w:t>et al.,</w:t>
      </w:r>
      <w:r w:rsidR="00491DEA" w:rsidRPr="00BB2672">
        <w:rPr>
          <w:rFonts w:ascii="Arial" w:hAnsi="Arial" w:cs="Arial"/>
          <w:lang w:eastAsia="en-IN"/>
        </w:rPr>
        <w:t xml:space="preserve"> 2022</w:t>
      </w:r>
      <w:r w:rsidRPr="00BB2672">
        <w:rPr>
          <w:rFonts w:ascii="Arial" w:hAnsi="Arial" w:cs="Arial"/>
          <w:lang w:eastAsia="en-IN"/>
        </w:rPr>
        <w:t>).</w:t>
      </w:r>
    </w:p>
    <w:p w14:paraId="6E9B54C1" w14:textId="481D8B27"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The capacity of biochar to retain nutrients is strongly mediated by its effects on cation exchange capacity (CEC), surface functional groups and liming (pH) effects. Engineered or ash-rich </w:t>
      </w:r>
      <w:proofErr w:type="spellStart"/>
      <w:r w:rsidRPr="00BB2672">
        <w:rPr>
          <w:rFonts w:ascii="Arial" w:hAnsi="Arial" w:cs="Arial"/>
          <w:lang w:eastAsia="en-IN"/>
        </w:rPr>
        <w:t>biochars</w:t>
      </w:r>
      <w:proofErr w:type="spellEnd"/>
      <w:r w:rsidRPr="00BB2672">
        <w:rPr>
          <w:rFonts w:ascii="Arial" w:hAnsi="Arial" w:cs="Arial"/>
          <w:lang w:eastAsia="en-IN"/>
        </w:rPr>
        <w:t xml:space="preserve"> can substantially increase measured soil CEC and exchangeable base cations, but responses are conditional on feedstock, pyrolysis temperature and application rate (</w:t>
      </w:r>
      <w:proofErr w:type="spellStart"/>
      <w:r w:rsidRPr="00BB2672">
        <w:rPr>
          <w:rFonts w:ascii="Arial" w:hAnsi="Arial" w:cs="Arial"/>
          <w:lang w:eastAsia="en-IN"/>
        </w:rPr>
        <w:t>Antonangelo</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2024; Gao </w:t>
      </w:r>
      <w:r w:rsidRPr="00BB2672">
        <w:rPr>
          <w:rFonts w:ascii="Arial" w:hAnsi="Arial" w:cs="Arial"/>
          <w:i/>
          <w:iCs/>
          <w:lang w:eastAsia="en-IN"/>
        </w:rPr>
        <w:t>et al.,</w:t>
      </w:r>
      <w:r w:rsidRPr="00BB2672">
        <w:rPr>
          <w:rFonts w:ascii="Arial" w:hAnsi="Arial" w:cs="Arial"/>
          <w:lang w:eastAsia="en-IN"/>
        </w:rPr>
        <w:t xml:space="preserve"> 2022). Chemical activation or modification (oxidation, metal salt treatments) increases both CEC and anion-exchange capacity (AEC), improving retention of NH</w:t>
      </w:r>
      <w:r w:rsidRPr="00BB2672">
        <w:rPr>
          <w:rFonts w:ascii="Cambria Math" w:hAnsi="Cambria Math" w:cs="Cambria Math"/>
          <w:lang w:eastAsia="en-IN"/>
        </w:rPr>
        <w:t>₄⁺</w:t>
      </w:r>
      <w:r w:rsidRPr="00BB2672">
        <w:rPr>
          <w:rFonts w:ascii="Arial" w:hAnsi="Arial" w:cs="Arial"/>
          <w:lang w:eastAsia="en-IN"/>
        </w:rPr>
        <w:t>, PO</w:t>
      </w:r>
      <w:r w:rsidRPr="00BB2672">
        <w:rPr>
          <w:rFonts w:ascii="Cambria Math" w:hAnsi="Cambria Math" w:cs="Cambria Math"/>
          <w:lang w:eastAsia="en-IN"/>
        </w:rPr>
        <w:t>₄</w:t>
      </w:r>
      <w:r w:rsidRPr="00BB2672">
        <w:rPr>
          <w:rFonts w:ascii="Arial" w:hAnsi="Arial" w:cs="Arial"/>
          <w:lang w:eastAsia="en-IN"/>
        </w:rPr>
        <w:t>³</w:t>
      </w:r>
      <w:r w:rsidRPr="00BB2672">
        <w:rPr>
          <w:rFonts w:ascii="Cambria Math" w:hAnsi="Cambria Math" w:cs="Cambria Math"/>
          <w:lang w:eastAsia="en-IN"/>
        </w:rPr>
        <w:t>⁻</w:t>
      </w:r>
      <w:r w:rsidRPr="00BB2672">
        <w:rPr>
          <w:rFonts w:ascii="Arial" w:hAnsi="Arial" w:cs="Arial"/>
          <w:lang w:eastAsia="en-IN"/>
        </w:rPr>
        <w:t>, and K</w:t>
      </w:r>
      <w:r w:rsidRPr="00BB2672">
        <w:rPr>
          <w:rFonts w:ascii="Cambria Math" w:hAnsi="Cambria Math" w:cs="Cambria Math"/>
          <w:lang w:eastAsia="en-IN"/>
        </w:rPr>
        <w:t>⁺</w:t>
      </w:r>
      <w:r w:rsidRPr="00BB2672">
        <w:rPr>
          <w:rFonts w:ascii="Arial" w:hAnsi="Arial" w:cs="Arial"/>
          <w:lang w:eastAsia="en-IN"/>
        </w:rPr>
        <w:t xml:space="preserve"> in leaching tests. At the same time, biochar’s alkaline ash fraction and surface base cations can raise soil pH (liming effect), which modifies P solubility and microbial-mediated N transformations; the net effect on plant-available P or mineral N therefore depends on initial soil acidity, biochar composition and subsequent aging in soil (Gao </w:t>
      </w:r>
      <w:r w:rsidRPr="00BB2672">
        <w:rPr>
          <w:rFonts w:ascii="Arial" w:hAnsi="Arial" w:cs="Arial"/>
          <w:i/>
          <w:iCs/>
          <w:lang w:eastAsia="en-IN"/>
        </w:rPr>
        <w:t>et al.,</w:t>
      </w:r>
      <w:r w:rsidRPr="00BB2672">
        <w:rPr>
          <w:rFonts w:ascii="Arial" w:hAnsi="Arial" w:cs="Arial"/>
          <w:lang w:eastAsia="en-IN"/>
        </w:rPr>
        <w:t xml:space="preserve"> 2022; </w:t>
      </w:r>
      <w:proofErr w:type="spellStart"/>
      <w:r w:rsidRPr="00BB2672">
        <w:rPr>
          <w:rFonts w:ascii="Arial" w:hAnsi="Arial" w:cs="Arial"/>
          <w:lang w:eastAsia="en-IN"/>
        </w:rPr>
        <w:t>Antonangelo</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2024; Dey </w:t>
      </w:r>
      <w:r w:rsidRPr="00BB2672">
        <w:rPr>
          <w:rFonts w:ascii="Arial" w:hAnsi="Arial" w:cs="Arial"/>
          <w:i/>
          <w:iCs/>
          <w:lang w:eastAsia="en-IN"/>
        </w:rPr>
        <w:t>et al.,</w:t>
      </w:r>
      <w:r w:rsidRPr="00BB2672">
        <w:rPr>
          <w:rFonts w:ascii="Arial" w:hAnsi="Arial" w:cs="Arial"/>
          <w:lang w:eastAsia="en-IN"/>
        </w:rPr>
        <w:t xml:space="preserve"> 2023).</w:t>
      </w:r>
    </w:p>
    <w:p w14:paraId="580F54BE" w14:textId="0B46C461"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Biochar also modifies soil physical conditions that interact with nutrient retention and release. Its porous matrix and high specific surface area increase water-holding capacity and </w:t>
      </w:r>
      <w:r w:rsidRPr="00BB2672">
        <w:rPr>
          <w:rFonts w:ascii="Arial" w:hAnsi="Arial" w:cs="Arial"/>
          <w:lang w:eastAsia="en-IN"/>
        </w:rPr>
        <w:lastRenderedPageBreak/>
        <w:t xml:space="preserve">alter pore size distribution, which slows advective nutrient loss and changes diffusion pathways for dissolved nutrients (An </w:t>
      </w:r>
      <w:r w:rsidRPr="00BB2672">
        <w:rPr>
          <w:rFonts w:ascii="Arial" w:hAnsi="Arial" w:cs="Arial"/>
          <w:i/>
          <w:iCs/>
          <w:lang w:eastAsia="en-IN"/>
        </w:rPr>
        <w:t>et al.,</w:t>
      </w:r>
      <w:r w:rsidRPr="00BB2672">
        <w:rPr>
          <w:rFonts w:ascii="Arial" w:hAnsi="Arial" w:cs="Arial"/>
          <w:lang w:eastAsia="en-IN"/>
        </w:rPr>
        <w:t xml:space="preserve"> 2021; Acharya </w:t>
      </w:r>
      <w:r w:rsidRPr="00BB2672">
        <w:rPr>
          <w:rFonts w:ascii="Arial" w:hAnsi="Arial" w:cs="Arial"/>
          <w:i/>
          <w:iCs/>
          <w:lang w:eastAsia="en-IN"/>
        </w:rPr>
        <w:t>et al.,</w:t>
      </w:r>
      <w:r w:rsidRPr="00BB2672">
        <w:rPr>
          <w:rFonts w:ascii="Arial" w:hAnsi="Arial" w:cs="Arial"/>
          <w:lang w:eastAsia="en-IN"/>
        </w:rPr>
        <w:t xml:space="preserve"> 2024). Several empirical studies show that moisture-retention properties of biochar-based SRFs or biochar–bentonite composites greatly reduce short-term P and K leaching and buffer nutrient availability during dry-wet cycles (</w:t>
      </w:r>
      <w:proofErr w:type="spellStart"/>
      <w:r w:rsidRPr="00BB2672">
        <w:rPr>
          <w:rFonts w:ascii="Arial" w:hAnsi="Arial" w:cs="Arial"/>
          <w:lang w:eastAsia="en-IN"/>
        </w:rPr>
        <w:t>Piash</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2022; An </w:t>
      </w:r>
      <w:r w:rsidRPr="00BB2672">
        <w:rPr>
          <w:rFonts w:ascii="Arial" w:hAnsi="Arial" w:cs="Arial"/>
          <w:i/>
          <w:iCs/>
          <w:lang w:eastAsia="en-IN"/>
        </w:rPr>
        <w:t>et al.,</w:t>
      </w:r>
      <w:r w:rsidRPr="00BB2672">
        <w:rPr>
          <w:rFonts w:ascii="Arial" w:hAnsi="Arial" w:cs="Arial"/>
          <w:lang w:eastAsia="en-IN"/>
        </w:rPr>
        <w:t xml:space="preserve"> 2021; Acharya </w:t>
      </w:r>
      <w:r w:rsidRPr="00BB2672">
        <w:rPr>
          <w:rFonts w:ascii="Arial" w:hAnsi="Arial" w:cs="Arial"/>
          <w:i/>
          <w:iCs/>
          <w:lang w:eastAsia="en-IN"/>
        </w:rPr>
        <w:t>et al.,</w:t>
      </w:r>
      <w:r w:rsidRPr="00BB2672">
        <w:rPr>
          <w:rFonts w:ascii="Arial" w:hAnsi="Arial" w:cs="Arial"/>
          <w:lang w:eastAsia="en-IN"/>
        </w:rPr>
        <w:t xml:space="preserve"> 2024). These hydrological effects are strongly soil-texture dependent. Biochar tends to increase plant-available water in coarse soils more than in fine-textured soils, so the nutrient buffering benefit is likewise greater in sands and loamy sands (</w:t>
      </w:r>
      <w:r w:rsidR="00AE62EF" w:rsidRPr="00BB2672">
        <w:rPr>
          <w:rFonts w:ascii="Arial" w:hAnsi="Arial" w:cs="Arial"/>
          <w:lang w:eastAsia="en-IN"/>
        </w:rPr>
        <w:t xml:space="preserve">An </w:t>
      </w:r>
      <w:r w:rsidR="00AE62EF" w:rsidRPr="00BB2672">
        <w:rPr>
          <w:rFonts w:ascii="Arial" w:hAnsi="Arial" w:cs="Arial"/>
          <w:i/>
          <w:iCs/>
          <w:lang w:eastAsia="en-IN"/>
        </w:rPr>
        <w:t>et al.,</w:t>
      </w:r>
      <w:r w:rsidR="00AE62EF" w:rsidRPr="00BB2672">
        <w:rPr>
          <w:rFonts w:ascii="Arial" w:hAnsi="Arial" w:cs="Arial"/>
          <w:lang w:eastAsia="en-IN"/>
        </w:rPr>
        <w:t xml:space="preserve"> 2021; </w:t>
      </w:r>
      <w:r w:rsidRPr="00BB2672">
        <w:rPr>
          <w:rFonts w:ascii="Arial" w:hAnsi="Arial" w:cs="Arial"/>
          <w:lang w:eastAsia="en-IN"/>
        </w:rPr>
        <w:t xml:space="preserve">Acharya </w:t>
      </w:r>
      <w:r w:rsidRPr="00BB2672">
        <w:rPr>
          <w:rFonts w:ascii="Arial" w:hAnsi="Arial" w:cs="Arial"/>
          <w:i/>
          <w:iCs/>
          <w:lang w:eastAsia="en-IN"/>
        </w:rPr>
        <w:t>et al.,</w:t>
      </w:r>
      <w:r w:rsidRPr="00BB2672">
        <w:rPr>
          <w:rFonts w:ascii="Arial" w:hAnsi="Arial" w:cs="Arial"/>
          <w:lang w:eastAsia="en-IN"/>
        </w:rPr>
        <w:t xml:space="preserve"> 2024).</w:t>
      </w:r>
    </w:p>
    <w:p w14:paraId="5F32D4C3" w14:textId="77777777"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Changes in nutrient pools driven by biochar additions are accompanied by systematic shifts in the soil microbiome and in extracellular enzyme activities that mediate nutrient cycling. Meta-analyses and three-level syntheses show that biochar commonly increases microbial biomass carbon and stimulates N- and P-acquiring enzymatic activities (urease, phosphatase) in many agricultural contexts, although responses are highly variable and controlled by pyrolysis temperature, biochar pH and feedstock, application rate, and soil type (Zhang </w:t>
      </w:r>
      <w:r w:rsidRPr="00BB2672">
        <w:rPr>
          <w:rFonts w:ascii="Arial" w:hAnsi="Arial" w:cs="Arial"/>
          <w:i/>
          <w:iCs/>
          <w:lang w:eastAsia="en-IN"/>
        </w:rPr>
        <w:t>et al.,</w:t>
      </w:r>
      <w:r w:rsidRPr="00BB2672">
        <w:rPr>
          <w:rFonts w:ascii="Arial" w:hAnsi="Arial" w:cs="Arial"/>
          <w:lang w:eastAsia="en-IN"/>
        </w:rPr>
        <w:t xml:space="preserve"> 2019; Kerner </w:t>
      </w:r>
      <w:r w:rsidRPr="00BB2672">
        <w:rPr>
          <w:rFonts w:ascii="Arial" w:hAnsi="Arial" w:cs="Arial"/>
          <w:i/>
          <w:iCs/>
          <w:lang w:eastAsia="en-IN"/>
        </w:rPr>
        <w:t>et al.,</w:t>
      </w:r>
      <w:r w:rsidRPr="00BB2672">
        <w:rPr>
          <w:rFonts w:ascii="Arial" w:hAnsi="Arial" w:cs="Arial"/>
          <w:lang w:eastAsia="en-IN"/>
        </w:rPr>
        <w:t xml:space="preserve"> 2023; </w:t>
      </w:r>
      <w:proofErr w:type="spellStart"/>
      <w:r w:rsidRPr="00BB2672">
        <w:rPr>
          <w:rFonts w:ascii="Arial" w:hAnsi="Arial" w:cs="Arial"/>
          <w:lang w:eastAsia="en-IN"/>
        </w:rPr>
        <w:t>Deshoux</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2023). Recent field and mesocosm studies document that biochar-induced shifts in community composition can favor taxa involved in nutrient mineralization and nitrification, but they also report context-dependent reductions in some C-degrading enzymes when high-temperature, highly aromatic </w:t>
      </w:r>
      <w:proofErr w:type="spellStart"/>
      <w:r w:rsidRPr="00BB2672">
        <w:rPr>
          <w:rFonts w:ascii="Arial" w:hAnsi="Arial" w:cs="Arial"/>
          <w:lang w:eastAsia="en-IN"/>
        </w:rPr>
        <w:t>biochars</w:t>
      </w:r>
      <w:proofErr w:type="spellEnd"/>
      <w:r w:rsidRPr="00BB2672">
        <w:rPr>
          <w:rFonts w:ascii="Arial" w:hAnsi="Arial" w:cs="Arial"/>
          <w:lang w:eastAsia="en-IN"/>
        </w:rPr>
        <w:t xml:space="preserve"> are used (Zhang </w:t>
      </w:r>
      <w:r w:rsidRPr="00BB2672">
        <w:rPr>
          <w:rFonts w:ascii="Arial" w:hAnsi="Arial" w:cs="Arial"/>
          <w:i/>
          <w:iCs/>
          <w:lang w:eastAsia="en-IN"/>
        </w:rPr>
        <w:t>et al.,</w:t>
      </w:r>
      <w:r w:rsidRPr="00BB2672">
        <w:rPr>
          <w:rFonts w:ascii="Arial" w:hAnsi="Arial" w:cs="Arial"/>
          <w:lang w:eastAsia="en-IN"/>
        </w:rPr>
        <w:t xml:space="preserve"> 2019; Kerner </w:t>
      </w:r>
      <w:r w:rsidRPr="00BB2672">
        <w:rPr>
          <w:rFonts w:ascii="Arial" w:hAnsi="Arial" w:cs="Arial"/>
          <w:i/>
          <w:iCs/>
          <w:lang w:eastAsia="en-IN"/>
        </w:rPr>
        <w:t>et al.,</w:t>
      </w:r>
      <w:r w:rsidRPr="00BB2672">
        <w:rPr>
          <w:rFonts w:ascii="Arial" w:hAnsi="Arial" w:cs="Arial"/>
          <w:lang w:eastAsia="en-IN"/>
        </w:rPr>
        <w:t xml:space="preserve"> 2023; </w:t>
      </w:r>
      <w:proofErr w:type="spellStart"/>
      <w:r w:rsidRPr="00BB2672">
        <w:rPr>
          <w:rFonts w:ascii="Arial" w:hAnsi="Arial" w:cs="Arial"/>
          <w:lang w:eastAsia="en-IN"/>
        </w:rPr>
        <w:t>Kracmarova</w:t>
      </w:r>
      <w:proofErr w:type="spellEnd"/>
      <w:r w:rsidRPr="00BB2672">
        <w:rPr>
          <w:rFonts w:ascii="Arial" w:hAnsi="Arial" w:cs="Arial"/>
          <w:lang w:eastAsia="en-IN"/>
        </w:rPr>
        <w:t xml:space="preserve">-Farren </w:t>
      </w:r>
      <w:r w:rsidRPr="00BB2672">
        <w:rPr>
          <w:rFonts w:ascii="Arial" w:hAnsi="Arial" w:cs="Arial"/>
          <w:i/>
          <w:iCs/>
          <w:lang w:eastAsia="en-IN"/>
        </w:rPr>
        <w:t>et al.,</w:t>
      </w:r>
      <w:r w:rsidRPr="00BB2672">
        <w:rPr>
          <w:rFonts w:ascii="Arial" w:hAnsi="Arial" w:cs="Arial"/>
          <w:lang w:eastAsia="en-IN"/>
        </w:rPr>
        <w:t xml:space="preserve"> 2024). Thus, microbiome outcomes are a critical control on long-term nutrient availability after biochar amendment.</w:t>
      </w:r>
    </w:p>
    <w:p w14:paraId="3C193194" w14:textId="632C22D8"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Biochar and biochar-based fertilizers can improve nutrient retention and generate slow-release </w:t>
      </w:r>
      <w:r w:rsidR="00B26AD7" w:rsidRPr="00BB2672">
        <w:rPr>
          <w:rFonts w:ascii="Arial" w:hAnsi="Arial" w:cs="Arial"/>
          <w:lang w:eastAsia="en-IN"/>
        </w:rPr>
        <w:t>behavi</w:t>
      </w:r>
      <w:r w:rsidR="00B26AD7">
        <w:rPr>
          <w:rFonts w:ascii="Arial" w:hAnsi="Arial" w:cs="Arial"/>
          <w:lang w:eastAsia="en-IN"/>
        </w:rPr>
        <w:t>o</w:t>
      </w:r>
      <w:r w:rsidR="00B26AD7" w:rsidRPr="00BB2672">
        <w:rPr>
          <w:rFonts w:ascii="Arial" w:hAnsi="Arial" w:cs="Arial"/>
          <w:lang w:eastAsia="en-IN"/>
        </w:rPr>
        <w:t>r</w:t>
      </w:r>
      <w:r w:rsidRPr="00BB2672">
        <w:rPr>
          <w:rFonts w:ascii="Arial" w:hAnsi="Arial" w:cs="Arial"/>
          <w:lang w:eastAsia="en-IN"/>
        </w:rPr>
        <w:t xml:space="preserve"> while also improving certain soil health indicators (CEC, moisture buffering, microbial biomass). But the direction and magnitude of effects depend on (</w:t>
      </w:r>
      <w:proofErr w:type="spellStart"/>
      <w:r w:rsidRPr="00BB2672">
        <w:rPr>
          <w:rFonts w:ascii="Arial" w:hAnsi="Arial" w:cs="Arial"/>
          <w:lang w:eastAsia="en-IN"/>
        </w:rPr>
        <w:t>i</w:t>
      </w:r>
      <w:proofErr w:type="spellEnd"/>
      <w:r w:rsidRPr="00BB2672">
        <w:rPr>
          <w:rFonts w:ascii="Arial" w:hAnsi="Arial" w:cs="Arial"/>
          <w:lang w:eastAsia="en-IN"/>
        </w:rPr>
        <w:t xml:space="preserve">) feedstock and production conditions, (ii) post-production engineering (co-pyrolysis, chemical activation, coating), (iii) the soil’s initial chemistry and texture, and (iv) matching the release profile to crop nutrient demand (Wang </w:t>
      </w:r>
      <w:r w:rsidRPr="00BB2672">
        <w:rPr>
          <w:rFonts w:ascii="Arial" w:hAnsi="Arial" w:cs="Arial"/>
          <w:i/>
          <w:iCs/>
          <w:lang w:eastAsia="en-IN"/>
        </w:rPr>
        <w:t>et al.,</w:t>
      </w:r>
      <w:r w:rsidRPr="00BB2672">
        <w:rPr>
          <w:rFonts w:ascii="Arial" w:hAnsi="Arial" w:cs="Arial"/>
          <w:lang w:eastAsia="en-IN"/>
        </w:rPr>
        <w:t xml:space="preserve"> 2022; Gao </w:t>
      </w:r>
      <w:r w:rsidRPr="00BB2672">
        <w:rPr>
          <w:rFonts w:ascii="Arial" w:hAnsi="Arial" w:cs="Arial"/>
          <w:i/>
          <w:iCs/>
          <w:lang w:eastAsia="en-IN"/>
        </w:rPr>
        <w:t>et al.,</w:t>
      </w:r>
      <w:r w:rsidRPr="00BB2672">
        <w:rPr>
          <w:rFonts w:ascii="Arial" w:hAnsi="Arial" w:cs="Arial"/>
          <w:lang w:eastAsia="en-IN"/>
        </w:rPr>
        <w:t xml:space="preserve"> 2022; </w:t>
      </w:r>
      <w:proofErr w:type="spellStart"/>
      <w:r w:rsidRPr="00BB2672">
        <w:rPr>
          <w:rFonts w:ascii="Arial" w:hAnsi="Arial" w:cs="Arial"/>
          <w:lang w:eastAsia="en-IN"/>
        </w:rPr>
        <w:t>Piash</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2022; </w:t>
      </w:r>
      <w:proofErr w:type="spellStart"/>
      <w:r w:rsidRPr="00BB2672">
        <w:rPr>
          <w:rFonts w:ascii="Arial" w:hAnsi="Arial" w:cs="Arial"/>
          <w:lang w:eastAsia="en-IN"/>
        </w:rPr>
        <w:t>Antonangelo</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2024). Future work should </w:t>
      </w:r>
      <w:r w:rsidR="00B26AD7" w:rsidRPr="00BB2672">
        <w:rPr>
          <w:rFonts w:ascii="Arial" w:hAnsi="Arial" w:cs="Arial"/>
          <w:lang w:eastAsia="en-IN"/>
        </w:rPr>
        <w:t>prioriti</w:t>
      </w:r>
      <w:r w:rsidR="00B26AD7">
        <w:rPr>
          <w:rFonts w:ascii="Arial" w:hAnsi="Arial" w:cs="Arial"/>
          <w:lang w:eastAsia="en-IN"/>
        </w:rPr>
        <w:t>z</w:t>
      </w:r>
      <w:r w:rsidR="00B26AD7" w:rsidRPr="00BB2672">
        <w:rPr>
          <w:rFonts w:ascii="Arial" w:hAnsi="Arial" w:cs="Arial"/>
          <w:lang w:eastAsia="en-IN"/>
        </w:rPr>
        <w:t>e</w:t>
      </w:r>
      <w:r w:rsidRPr="00BB2672">
        <w:rPr>
          <w:rFonts w:ascii="Arial" w:hAnsi="Arial" w:cs="Arial"/>
          <w:lang w:eastAsia="en-IN"/>
        </w:rPr>
        <w:t xml:space="preserve"> longer-term field trials across soil types, integration with fertilizer scheduling, and mechanistic studies linking biochar aging, nutrient speciation and microbial functional responses. (Wang </w:t>
      </w:r>
      <w:r w:rsidRPr="00BB2672">
        <w:rPr>
          <w:rFonts w:ascii="Arial" w:hAnsi="Arial" w:cs="Arial"/>
          <w:i/>
          <w:iCs/>
          <w:lang w:eastAsia="en-IN"/>
        </w:rPr>
        <w:t>et al.,</w:t>
      </w:r>
      <w:r w:rsidRPr="00BB2672">
        <w:rPr>
          <w:rFonts w:ascii="Arial" w:hAnsi="Arial" w:cs="Arial"/>
          <w:lang w:eastAsia="en-IN"/>
        </w:rPr>
        <w:t xml:space="preserve"> 2022; </w:t>
      </w:r>
      <w:proofErr w:type="spellStart"/>
      <w:r w:rsidR="0067077C" w:rsidRPr="00BB2672">
        <w:rPr>
          <w:rFonts w:ascii="Arial" w:hAnsi="Arial" w:cs="Arial"/>
          <w:lang w:eastAsia="en-IN"/>
        </w:rPr>
        <w:t>Antonangelo</w:t>
      </w:r>
      <w:proofErr w:type="spellEnd"/>
      <w:r w:rsidR="0067077C" w:rsidRPr="00BB2672">
        <w:rPr>
          <w:rFonts w:ascii="Arial" w:hAnsi="Arial" w:cs="Arial"/>
          <w:lang w:eastAsia="en-IN"/>
        </w:rPr>
        <w:t xml:space="preserve"> </w:t>
      </w:r>
      <w:r w:rsidR="0067077C" w:rsidRPr="00BB2672">
        <w:rPr>
          <w:rFonts w:ascii="Arial" w:hAnsi="Arial" w:cs="Arial"/>
          <w:i/>
          <w:iCs/>
          <w:lang w:eastAsia="en-IN"/>
        </w:rPr>
        <w:t xml:space="preserve">et al., </w:t>
      </w:r>
      <w:r w:rsidR="0067077C" w:rsidRPr="00BB2672">
        <w:rPr>
          <w:rFonts w:ascii="Arial" w:hAnsi="Arial" w:cs="Arial"/>
          <w:lang w:eastAsia="en-IN"/>
        </w:rPr>
        <w:t xml:space="preserve">2024; </w:t>
      </w:r>
      <w:proofErr w:type="spellStart"/>
      <w:r w:rsidRPr="00BB2672">
        <w:rPr>
          <w:rFonts w:ascii="Arial" w:hAnsi="Arial" w:cs="Arial"/>
          <w:lang w:eastAsia="en-IN"/>
        </w:rPr>
        <w:t>Deshoux</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2023).</w:t>
      </w:r>
    </w:p>
    <w:p w14:paraId="2D8FD475" w14:textId="243FE023" w:rsidR="003E16A0" w:rsidRPr="00BB2672" w:rsidRDefault="003E16A0" w:rsidP="003E16A0">
      <w:pPr>
        <w:pStyle w:val="ListParagraph"/>
        <w:numPr>
          <w:ilvl w:val="0"/>
          <w:numId w:val="33"/>
        </w:numPr>
        <w:spacing w:before="100" w:beforeAutospacing="1" w:after="100" w:afterAutospacing="1" w:line="240" w:lineRule="auto"/>
        <w:rPr>
          <w:rFonts w:ascii="Arial" w:eastAsia="Times New Roman" w:hAnsi="Arial" w:cs="Arial"/>
          <w:b/>
          <w:bCs/>
          <w:kern w:val="0"/>
          <w:sz w:val="22"/>
          <w:szCs w:val="22"/>
          <w:lang w:eastAsia="en-IN"/>
        </w:rPr>
      </w:pPr>
      <w:r w:rsidRPr="00BB2672">
        <w:rPr>
          <w:rFonts w:ascii="Arial" w:eastAsia="Times New Roman" w:hAnsi="Arial" w:cs="Arial"/>
          <w:b/>
          <w:bCs/>
          <w:kern w:val="0"/>
          <w:sz w:val="22"/>
          <w:szCs w:val="22"/>
          <w:lang w:eastAsia="en-IN"/>
        </w:rPr>
        <w:t>EFFECTS ON MULBERRY GROWTH AND LEAF NUTRITIONAL QUALITY</w:t>
      </w:r>
    </w:p>
    <w:p w14:paraId="1CBBCE08" w14:textId="77777777" w:rsidR="00E010A1" w:rsidRPr="00E010A1" w:rsidRDefault="00E010A1" w:rsidP="00E010A1">
      <w:pPr>
        <w:pStyle w:val="NormalWeb"/>
        <w:ind w:firstLine="720"/>
        <w:jc w:val="both"/>
        <w:rPr>
          <w:rFonts w:ascii="Arial" w:hAnsi="Arial" w:cs="Arial"/>
          <w:sz w:val="20"/>
          <w:szCs w:val="20"/>
        </w:rPr>
      </w:pPr>
      <w:r w:rsidRPr="00E010A1">
        <w:rPr>
          <w:rFonts w:ascii="Arial" w:hAnsi="Arial" w:cs="Arial"/>
          <w:sz w:val="20"/>
          <w:szCs w:val="20"/>
        </w:rPr>
        <w:t xml:space="preserve">Mulberry biomass and leaf yield respond consistently to improved soil fertility and targeted amendments, including pelletized or biochar-based inputs. Field experiments show that biochar (often made from mulberry stalks) combined with farmyard manure or balanced NPK produces measurable increases in leaf biomass and seasonal yield compared with standard fertilization or untreated controls. </w:t>
      </w:r>
      <w:r w:rsidRPr="00E010A1">
        <w:rPr>
          <w:rStyle w:val="Strong"/>
          <w:rFonts w:ascii="Arial" w:hAnsi="Arial" w:cs="Arial"/>
          <w:b w:val="0"/>
          <w:bCs w:val="0"/>
          <w:sz w:val="20"/>
          <w:szCs w:val="20"/>
        </w:rPr>
        <w:t>For example, biochar with FYM increased harvested leaf mass from 210 g pot</w:t>
      </w:r>
      <w:r w:rsidRPr="00E010A1">
        <w:rPr>
          <w:rStyle w:val="Strong"/>
          <w:rFonts w:ascii="Cambria Math" w:hAnsi="Cambria Math" w:cs="Cambria Math"/>
          <w:b w:val="0"/>
          <w:bCs w:val="0"/>
          <w:sz w:val="20"/>
          <w:szCs w:val="20"/>
        </w:rPr>
        <w:t>⁻</w:t>
      </w:r>
      <w:r w:rsidRPr="00E010A1">
        <w:rPr>
          <w:rStyle w:val="Strong"/>
          <w:rFonts w:ascii="Arial" w:hAnsi="Arial" w:cs="Arial"/>
          <w:b w:val="0"/>
          <w:bCs w:val="0"/>
          <w:sz w:val="20"/>
          <w:szCs w:val="20"/>
        </w:rPr>
        <w:t>¹ in the control to 345 g pot</w:t>
      </w:r>
      <w:r w:rsidRPr="00E010A1">
        <w:rPr>
          <w:rStyle w:val="Strong"/>
          <w:rFonts w:ascii="Cambria Math" w:hAnsi="Cambria Math" w:cs="Cambria Math"/>
          <w:b w:val="0"/>
          <w:bCs w:val="0"/>
          <w:sz w:val="20"/>
          <w:szCs w:val="20"/>
        </w:rPr>
        <w:t>⁻</w:t>
      </w:r>
      <w:r w:rsidRPr="00E010A1">
        <w:rPr>
          <w:rStyle w:val="Strong"/>
          <w:rFonts w:ascii="Arial" w:hAnsi="Arial" w:cs="Arial"/>
          <w:b w:val="0"/>
          <w:bCs w:val="0"/>
          <w:sz w:val="20"/>
          <w:szCs w:val="20"/>
        </w:rPr>
        <w:t xml:space="preserve">¹, and root biomass from 62 g to 91 g per plant (Nandini </w:t>
      </w:r>
      <w:r w:rsidRPr="00E010A1">
        <w:rPr>
          <w:rStyle w:val="Strong"/>
          <w:rFonts w:ascii="Arial" w:hAnsi="Arial" w:cs="Arial"/>
          <w:b w:val="0"/>
          <w:bCs w:val="0"/>
          <w:i/>
          <w:iCs/>
          <w:sz w:val="20"/>
          <w:szCs w:val="20"/>
        </w:rPr>
        <w:t>et al.,</w:t>
      </w:r>
      <w:r w:rsidRPr="00E010A1">
        <w:rPr>
          <w:rStyle w:val="Strong"/>
          <w:rFonts w:ascii="Arial" w:hAnsi="Arial" w:cs="Arial"/>
          <w:b w:val="0"/>
          <w:bCs w:val="0"/>
          <w:sz w:val="20"/>
          <w:szCs w:val="20"/>
        </w:rPr>
        <w:t xml:space="preserve"> 2024a). Field-scale application of biochar raised leaf yield from 12.1 t ha</w:t>
      </w:r>
      <w:r w:rsidRPr="00E010A1">
        <w:rPr>
          <w:rStyle w:val="Strong"/>
          <w:rFonts w:ascii="Cambria Math" w:hAnsi="Cambria Math" w:cs="Cambria Math"/>
          <w:b w:val="0"/>
          <w:bCs w:val="0"/>
          <w:sz w:val="20"/>
          <w:szCs w:val="20"/>
        </w:rPr>
        <w:t>⁻</w:t>
      </w:r>
      <w:r w:rsidRPr="00E010A1">
        <w:rPr>
          <w:rStyle w:val="Strong"/>
          <w:rFonts w:ascii="Arial" w:hAnsi="Arial" w:cs="Arial"/>
          <w:b w:val="0"/>
          <w:bCs w:val="0"/>
          <w:sz w:val="20"/>
          <w:szCs w:val="20"/>
        </w:rPr>
        <w:t>¹ to 16.3 t ha</w:t>
      </w:r>
      <w:r w:rsidRPr="00E010A1">
        <w:rPr>
          <w:rStyle w:val="Strong"/>
          <w:rFonts w:ascii="Cambria Math" w:hAnsi="Cambria Math" w:cs="Cambria Math"/>
          <w:b w:val="0"/>
          <w:bCs w:val="0"/>
          <w:sz w:val="20"/>
          <w:szCs w:val="20"/>
        </w:rPr>
        <w:t>⁻</w:t>
      </w:r>
      <w:r w:rsidRPr="00E010A1">
        <w:rPr>
          <w:rStyle w:val="Strong"/>
          <w:rFonts w:ascii="Arial" w:hAnsi="Arial" w:cs="Arial"/>
          <w:b w:val="0"/>
          <w:bCs w:val="0"/>
          <w:sz w:val="20"/>
          <w:szCs w:val="20"/>
        </w:rPr>
        <w:t>¹ (</w:t>
      </w:r>
      <w:proofErr w:type="spellStart"/>
      <w:r w:rsidRPr="00E010A1">
        <w:rPr>
          <w:rStyle w:val="Strong"/>
          <w:rFonts w:ascii="Arial" w:hAnsi="Arial" w:cs="Arial"/>
          <w:b w:val="0"/>
          <w:bCs w:val="0"/>
          <w:sz w:val="20"/>
          <w:szCs w:val="20"/>
        </w:rPr>
        <w:t>Piash</w:t>
      </w:r>
      <w:proofErr w:type="spellEnd"/>
      <w:r w:rsidRPr="00E010A1">
        <w:rPr>
          <w:rStyle w:val="Strong"/>
          <w:rFonts w:ascii="Arial" w:hAnsi="Arial" w:cs="Arial"/>
          <w:b w:val="0"/>
          <w:bCs w:val="0"/>
          <w:sz w:val="20"/>
          <w:szCs w:val="20"/>
        </w:rPr>
        <w:t xml:space="preserve"> </w:t>
      </w:r>
      <w:r w:rsidRPr="00E010A1">
        <w:rPr>
          <w:rStyle w:val="Strong"/>
          <w:rFonts w:ascii="Arial" w:hAnsi="Arial" w:cs="Arial"/>
          <w:b w:val="0"/>
          <w:bCs w:val="0"/>
          <w:i/>
          <w:iCs/>
          <w:sz w:val="20"/>
          <w:szCs w:val="20"/>
        </w:rPr>
        <w:t>et al.,</w:t>
      </w:r>
      <w:r w:rsidRPr="00E010A1">
        <w:rPr>
          <w:rStyle w:val="Strong"/>
          <w:rFonts w:ascii="Arial" w:hAnsi="Arial" w:cs="Arial"/>
          <w:b w:val="0"/>
          <w:bCs w:val="0"/>
          <w:sz w:val="20"/>
          <w:szCs w:val="20"/>
        </w:rPr>
        <w:t xml:space="preserve"> 2022), while integrated organic–biochar management enhanced yield from 22.5 t ha</w:t>
      </w:r>
      <w:r w:rsidRPr="00E010A1">
        <w:rPr>
          <w:rStyle w:val="Strong"/>
          <w:rFonts w:ascii="Cambria Math" w:hAnsi="Cambria Math" w:cs="Cambria Math"/>
          <w:b w:val="0"/>
          <w:bCs w:val="0"/>
          <w:sz w:val="20"/>
          <w:szCs w:val="20"/>
        </w:rPr>
        <w:t>⁻</w:t>
      </w:r>
      <w:r w:rsidRPr="00E010A1">
        <w:rPr>
          <w:rStyle w:val="Strong"/>
          <w:rFonts w:ascii="Arial" w:hAnsi="Arial" w:cs="Arial"/>
          <w:b w:val="0"/>
          <w:bCs w:val="0"/>
          <w:sz w:val="20"/>
          <w:szCs w:val="20"/>
        </w:rPr>
        <w:t>¹ to 28.9 t ha</w:t>
      </w:r>
      <w:r w:rsidRPr="00E010A1">
        <w:rPr>
          <w:rStyle w:val="Strong"/>
          <w:rFonts w:ascii="Cambria Math" w:hAnsi="Cambria Math" w:cs="Cambria Math"/>
          <w:b w:val="0"/>
          <w:bCs w:val="0"/>
          <w:sz w:val="20"/>
          <w:szCs w:val="20"/>
        </w:rPr>
        <w:t>⁻</w:t>
      </w:r>
      <w:r w:rsidRPr="00E010A1">
        <w:rPr>
          <w:rStyle w:val="Strong"/>
          <w:rFonts w:ascii="Arial" w:hAnsi="Arial" w:cs="Arial"/>
          <w:b w:val="0"/>
          <w:bCs w:val="0"/>
          <w:sz w:val="20"/>
          <w:szCs w:val="20"/>
        </w:rPr>
        <w:t xml:space="preserve">¹ (Ahmed </w:t>
      </w:r>
      <w:r w:rsidRPr="00E010A1">
        <w:rPr>
          <w:rStyle w:val="Strong"/>
          <w:rFonts w:ascii="Arial" w:hAnsi="Arial" w:cs="Arial"/>
          <w:b w:val="0"/>
          <w:bCs w:val="0"/>
          <w:i/>
          <w:iCs/>
          <w:sz w:val="20"/>
          <w:szCs w:val="20"/>
        </w:rPr>
        <w:t>et al.,</w:t>
      </w:r>
      <w:r w:rsidRPr="00E010A1">
        <w:rPr>
          <w:rStyle w:val="Strong"/>
          <w:rFonts w:ascii="Arial" w:hAnsi="Arial" w:cs="Arial"/>
          <w:b w:val="0"/>
          <w:bCs w:val="0"/>
          <w:sz w:val="20"/>
          <w:szCs w:val="20"/>
        </w:rPr>
        <w:t xml:space="preserve"> 2017).</w:t>
      </w:r>
      <w:r w:rsidRPr="00E010A1">
        <w:rPr>
          <w:rFonts w:ascii="Arial" w:hAnsi="Arial" w:cs="Arial"/>
          <w:b/>
          <w:bCs/>
          <w:sz w:val="20"/>
          <w:szCs w:val="20"/>
        </w:rPr>
        <w:t xml:space="preserve"> </w:t>
      </w:r>
      <w:r w:rsidRPr="00E010A1">
        <w:rPr>
          <w:rFonts w:ascii="Arial" w:hAnsi="Arial" w:cs="Arial"/>
          <w:sz w:val="20"/>
          <w:szCs w:val="20"/>
        </w:rPr>
        <w:t>These studies show that higher biochar application rates (e.g., 7.5–15 t ha</w:t>
      </w:r>
      <w:r w:rsidRPr="00E010A1">
        <w:rPr>
          <w:rFonts w:ascii="Cambria Math" w:hAnsi="Cambria Math" w:cs="Cambria Math"/>
          <w:sz w:val="20"/>
          <w:szCs w:val="20"/>
        </w:rPr>
        <w:t>⁻</w:t>
      </w:r>
      <w:r w:rsidRPr="00E010A1">
        <w:rPr>
          <w:rFonts w:ascii="Arial" w:hAnsi="Arial" w:cs="Arial"/>
          <w:sz w:val="20"/>
          <w:szCs w:val="20"/>
        </w:rPr>
        <w:t xml:space="preserve">¹ when combined with FYM) improved root development, plant </w:t>
      </w:r>
      <w:proofErr w:type="spellStart"/>
      <w:r w:rsidRPr="00E010A1">
        <w:rPr>
          <w:rFonts w:ascii="Arial" w:hAnsi="Arial" w:cs="Arial"/>
          <w:sz w:val="20"/>
          <w:szCs w:val="20"/>
        </w:rPr>
        <w:t>vigor</w:t>
      </w:r>
      <w:proofErr w:type="spellEnd"/>
      <w:r w:rsidRPr="00E010A1">
        <w:rPr>
          <w:rFonts w:ascii="Arial" w:hAnsi="Arial" w:cs="Arial"/>
          <w:sz w:val="20"/>
          <w:szCs w:val="20"/>
        </w:rPr>
        <w:t xml:space="preserve"> and the harvested leaf mass across multiple cuts, indicating biochar’s value for sustaining </w:t>
      </w:r>
      <w:proofErr w:type="spellStart"/>
      <w:r w:rsidRPr="00E010A1">
        <w:rPr>
          <w:rFonts w:ascii="Arial" w:hAnsi="Arial" w:cs="Arial"/>
          <w:sz w:val="20"/>
          <w:szCs w:val="20"/>
        </w:rPr>
        <w:t>multicut</w:t>
      </w:r>
      <w:proofErr w:type="spellEnd"/>
      <w:r w:rsidRPr="00E010A1">
        <w:rPr>
          <w:rFonts w:ascii="Arial" w:hAnsi="Arial" w:cs="Arial"/>
          <w:sz w:val="20"/>
          <w:szCs w:val="20"/>
        </w:rPr>
        <w:t xml:space="preserve"> mulberry systems under real field conditions (Nandini </w:t>
      </w:r>
      <w:r w:rsidRPr="00E010A1">
        <w:rPr>
          <w:rFonts w:ascii="Arial" w:hAnsi="Arial" w:cs="Arial"/>
          <w:i/>
          <w:iCs/>
          <w:sz w:val="20"/>
          <w:szCs w:val="20"/>
        </w:rPr>
        <w:t>et al.,</w:t>
      </w:r>
      <w:r w:rsidRPr="00E010A1">
        <w:rPr>
          <w:rFonts w:ascii="Arial" w:hAnsi="Arial" w:cs="Arial"/>
          <w:sz w:val="20"/>
          <w:szCs w:val="20"/>
        </w:rPr>
        <w:t xml:space="preserve"> 2024a; Nandini </w:t>
      </w:r>
      <w:r w:rsidRPr="00E010A1">
        <w:rPr>
          <w:rFonts w:ascii="Arial" w:hAnsi="Arial" w:cs="Arial"/>
          <w:i/>
          <w:iCs/>
          <w:sz w:val="20"/>
          <w:szCs w:val="20"/>
        </w:rPr>
        <w:t>et al.,</w:t>
      </w:r>
      <w:r w:rsidRPr="00E010A1">
        <w:rPr>
          <w:rFonts w:ascii="Arial" w:hAnsi="Arial" w:cs="Arial"/>
          <w:sz w:val="20"/>
          <w:szCs w:val="20"/>
        </w:rPr>
        <w:t xml:space="preserve"> 2024b; Nandini </w:t>
      </w:r>
      <w:r w:rsidRPr="00E010A1">
        <w:rPr>
          <w:rFonts w:ascii="Arial" w:hAnsi="Arial" w:cs="Arial"/>
          <w:i/>
          <w:iCs/>
          <w:sz w:val="20"/>
          <w:szCs w:val="20"/>
        </w:rPr>
        <w:t>et al.,</w:t>
      </w:r>
      <w:r w:rsidRPr="00E010A1">
        <w:rPr>
          <w:rFonts w:ascii="Arial" w:hAnsi="Arial" w:cs="Arial"/>
          <w:sz w:val="20"/>
          <w:szCs w:val="20"/>
        </w:rPr>
        <w:t xml:space="preserve"> 2024c). Results from controlled pot and field trials also indicate that co-formulated slow-release biochar fertilizers can match or improve nutrient delivery timing and maintain yield while potentially reducing soluble fertilizer inputs (</w:t>
      </w:r>
      <w:proofErr w:type="spellStart"/>
      <w:r w:rsidRPr="00E010A1">
        <w:rPr>
          <w:rFonts w:ascii="Arial" w:hAnsi="Arial" w:cs="Arial"/>
          <w:sz w:val="20"/>
          <w:szCs w:val="20"/>
        </w:rPr>
        <w:t>Piash</w:t>
      </w:r>
      <w:proofErr w:type="spellEnd"/>
      <w:r w:rsidRPr="00E010A1">
        <w:rPr>
          <w:rFonts w:ascii="Arial" w:hAnsi="Arial" w:cs="Arial"/>
          <w:sz w:val="20"/>
          <w:szCs w:val="20"/>
        </w:rPr>
        <w:t xml:space="preserve"> </w:t>
      </w:r>
      <w:r w:rsidRPr="00E010A1">
        <w:rPr>
          <w:rFonts w:ascii="Arial" w:hAnsi="Arial" w:cs="Arial"/>
          <w:i/>
          <w:iCs/>
          <w:sz w:val="20"/>
          <w:szCs w:val="20"/>
        </w:rPr>
        <w:t>et al.,</w:t>
      </w:r>
      <w:r w:rsidRPr="00E010A1">
        <w:rPr>
          <w:rFonts w:ascii="Arial" w:hAnsi="Arial" w:cs="Arial"/>
          <w:sz w:val="20"/>
          <w:szCs w:val="20"/>
        </w:rPr>
        <w:t xml:space="preserve"> 2022; An </w:t>
      </w:r>
      <w:r w:rsidRPr="00E010A1">
        <w:rPr>
          <w:rFonts w:ascii="Arial" w:hAnsi="Arial" w:cs="Arial"/>
          <w:i/>
          <w:iCs/>
          <w:sz w:val="20"/>
          <w:szCs w:val="20"/>
        </w:rPr>
        <w:t>et al.,</w:t>
      </w:r>
      <w:r w:rsidRPr="00E010A1">
        <w:rPr>
          <w:rFonts w:ascii="Arial" w:hAnsi="Arial" w:cs="Arial"/>
          <w:sz w:val="20"/>
          <w:szCs w:val="20"/>
        </w:rPr>
        <w:t xml:space="preserve"> 2021).</w:t>
      </w:r>
    </w:p>
    <w:p w14:paraId="6BDBBFD4" w14:textId="77777777" w:rsidR="00E010A1" w:rsidRPr="00E010A1" w:rsidRDefault="00E010A1" w:rsidP="00E010A1">
      <w:pPr>
        <w:pStyle w:val="NormalWeb"/>
        <w:ind w:firstLine="720"/>
        <w:jc w:val="both"/>
        <w:rPr>
          <w:rFonts w:ascii="Arial" w:hAnsi="Arial" w:cs="Arial"/>
          <w:b/>
          <w:bCs/>
          <w:sz w:val="20"/>
          <w:szCs w:val="20"/>
        </w:rPr>
      </w:pPr>
      <w:r w:rsidRPr="00E010A1">
        <w:rPr>
          <w:rFonts w:ascii="Arial" w:hAnsi="Arial" w:cs="Arial"/>
          <w:sz w:val="20"/>
          <w:szCs w:val="20"/>
        </w:rPr>
        <w:lastRenderedPageBreak/>
        <w:t xml:space="preserve">Leaf nutritional quality, especially crude protein and chlorophyll content is sensitive to both agronomic inputs and genotype. Multi-year field trials show that irrigation and genotype selection strongly affect leaf protein and photosynthetic capacity, as higher irrigation or better water management increased net photosynthetic rate and leaf crude protein in forage mulberry varieties (Ren </w:t>
      </w:r>
      <w:r w:rsidRPr="00E010A1">
        <w:rPr>
          <w:rFonts w:ascii="Arial" w:hAnsi="Arial" w:cs="Arial"/>
          <w:i/>
          <w:iCs/>
          <w:sz w:val="20"/>
          <w:szCs w:val="20"/>
        </w:rPr>
        <w:t>et al.,</w:t>
      </w:r>
      <w:r w:rsidRPr="00E010A1">
        <w:rPr>
          <w:rFonts w:ascii="Arial" w:hAnsi="Arial" w:cs="Arial"/>
          <w:sz w:val="20"/>
          <w:szCs w:val="20"/>
        </w:rPr>
        <w:t xml:space="preserve"> 2025). Nitrogen fertilization during cultivation increases crude protein and certain soluble nutrient fractions in leaves, but excessive N may negatively affect downstream preservation (e.g., silage fermentation) and can alter microbial communities on leaves; therefore, fertilizer rate needs to be optimized for both leaf quality and post-harvest handling (Li </w:t>
      </w:r>
      <w:r w:rsidRPr="00E010A1">
        <w:rPr>
          <w:rFonts w:ascii="Arial" w:hAnsi="Arial" w:cs="Arial"/>
          <w:i/>
          <w:iCs/>
          <w:sz w:val="20"/>
          <w:szCs w:val="20"/>
        </w:rPr>
        <w:t>et al.,</w:t>
      </w:r>
      <w:r w:rsidRPr="00E010A1">
        <w:rPr>
          <w:rFonts w:ascii="Arial" w:hAnsi="Arial" w:cs="Arial"/>
          <w:sz w:val="20"/>
          <w:szCs w:val="20"/>
        </w:rPr>
        <w:t xml:space="preserve"> 2021). Empirical mulberry trials that combined moderate inorganic fertilizer with organic amendments report both higher chlorophyll indices and higher crude protein when fertilizer timing matches harvest demand (Ren </w:t>
      </w:r>
      <w:r w:rsidRPr="00E010A1">
        <w:rPr>
          <w:rFonts w:ascii="Arial" w:hAnsi="Arial" w:cs="Arial"/>
          <w:i/>
          <w:iCs/>
          <w:sz w:val="20"/>
          <w:szCs w:val="20"/>
        </w:rPr>
        <w:t>et al.,</w:t>
      </w:r>
      <w:r w:rsidRPr="00E010A1">
        <w:rPr>
          <w:rFonts w:ascii="Arial" w:hAnsi="Arial" w:cs="Arial"/>
          <w:sz w:val="20"/>
          <w:szCs w:val="20"/>
        </w:rPr>
        <w:t xml:space="preserve"> 2025; Li </w:t>
      </w:r>
      <w:r w:rsidRPr="00E010A1">
        <w:rPr>
          <w:rFonts w:ascii="Arial" w:hAnsi="Arial" w:cs="Arial"/>
          <w:i/>
          <w:iCs/>
          <w:sz w:val="20"/>
          <w:szCs w:val="20"/>
        </w:rPr>
        <w:t>et al.,</w:t>
      </w:r>
      <w:r w:rsidRPr="00E010A1">
        <w:rPr>
          <w:rFonts w:ascii="Arial" w:hAnsi="Arial" w:cs="Arial"/>
          <w:sz w:val="20"/>
          <w:szCs w:val="20"/>
        </w:rPr>
        <w:t xml:space="preserve"> 2021). </w:t>
      </w:r>
      <w:r w:rsidRPr="00E010A1">
        <w:rPr>
          <w:rStyle w:val="Strong"/>
          <w:rFonts w:ascii="Arial" w:hAnsi="Arial" w:cs="Arial"/>
          <w:b w:val="0"/>
          <w:bCs w:val="0"/>
          <w:sz w:val="20"/>
          <w:szCs w:val="20"/>
        </w:rPr>
        <w:t xml:space="preserve">In particular, biochar–FYM treatments raised crude protein content of mulberry leaves from 18.4% to 21.7% and increased chlorophyll index from 34.2 to 41.8 SPAD units (Nandini </w:t>
      </w:r>
      <w:r w:rsidRPr="00E010A1">
        <w:rPr>
          <w:rStyle w:val="Strong"/>
          <w:rFonts w:ascii="Arial" w:hAnsi="Arial" w:cs="Arial"/>
          <w:b w:val="0"/>
          <w:bCs w:val="0"/>
          <w:i/>
          <w:iCs/>
          <w:sz w:val="20"/>
          <w:szCs w:val="20"/>
        </w:rPr>
        <w:t>et al.,</w:t>
      </w:r>
      <w:r w:rsidRPr="00E010A1">
        <w:rPr>
          <w:rStyle w:val="Strong"/>
          <w:rFonts w:ascii="Arial" w:hAnsi="Arial" w:cs="Arial"/>
          <w:b w:val="0"/>
          <w:bCs w:val="0"/>
          <w:sz w:val="20"/>
          <w:szCs w:val="20"/>
        </w:rPr>
        <w:t xml:space="preserve"> 2024b). Other studies reported protein content improving from 17.2% to 19.6% with biochar application (</w:t>
      </w:r>
      <w:proofErr w:type="spellStart"/>
      <w:r w:rsidRPr="00E010A1">
        <w:rPr>
          <w:rStyle w:val="Strong"/>
          <w:rFonts w:ascii="Arial" w:hAnsi="Arial" w:cs="Arial"/>
          <w:b w:val="0"/>
          <w:bCs w:val="0"/>
          <w:sz w:val="20"/>
          <w:szCs w:val="20"/>
        </w:rPr>
        <w:t>Piash</w:t>
      </w:r>
      <w:proofErr w:type="spellEnd"/>
      <w:r w:rsidRPr="00E010A1">
        <w:rPr>
          <w:rStyle w:val="Strong"/>
          <w:rFonts w:ascii="Arial" w:hAnsi="Arial" w:cs="Arial"/>
          <w:b w:val="0"/>
          <w:bCs w:val="0"/>
          <w:sz w:val="20"/>
          <w:szCs w:val="20"/>
        </w:rPr>
        <w:t xml:space="preserve"> </w:t>
      </w:r>
      <w:r w:rsidRPr="00E010A1">
        <w:rPr>
          <w:rStyle w:val="Strong"/>
          <w:rFonts w:ascii="Arial" w:hAnsi="Arial" w:cs="Arial"/>
          <w:b w:val="0"/>
          <w:bCs w:val="0"/>
          <w:i/>
          <w:iCs/>
          <w:sz w:val="20"/>
          <w:szCs w:val="20"/>
        </w:rPr>
        <w:t>et al.,</w:t>
      </w:r>
      <w:r w:rsidRPr="00E010A1">
        <w:rPr>
          <w:rStyle w:val="Strong"/>
          <w:rFonts w:ascii="Arial" w:hAnsi="Arial" w:cs="Arial"/>
          <w:b w:val="0"/>
          <w:bCs w:val="0"/>
          <w:sz w:val="20"/>
          <w:szCs w:val="20"/>
        </w:rPr>
        <w:t xml:space="preserve"> 2022), and from 16.8% to 19.2% with integrated organic–biochar amendments (Ahmed </w:t>
      </w:r>
      <w:r w:rsidRPr="00E010A1">
        <w:rPr>
          <w:rStyle w:val="Strong"/>
          <w:rFonts w:ascii="Arial" w:hAnsi="Arial" w:cs="Arial"/>
          <w:b w:val="0"/>
          <w:bCs w:val="0"/>
          <w:i/>
          <w:iCs/>
          <w:sz w:val="20"/>
          <w:szCs w:val="20"/>
        </w:rPr>
        <w:t>et al.,</w:t>
      </w:r>
      <w:r w:rsidRPr="00E010A1">
        <w:rPr>
          <w:rStyle w:val="Strong"/>
          <w:rFonts w:ascii="Arial" w:hAnsi="Arial" w:cs="Arial"/>
          <w:b w:val="0"/>
          <w:bCs w:val="0"/>
          <w:sz w:val="20"/>
          <w:szCs w:val="20"/>
        </w:rPr>
        <w:t xml:space="preserve"> 2017). Biochar applied at 20 t ha</w:t>
      </w:r>
      <w:r w:rsidRPr="00E010A1">
        <w:rPr>
          <w:rStyle w:val="Strong"/>
          <w:rFonts w:ascii="Cambria Math" w:hAnsi="Cambria Math" w:cs="Cambria Math"/>
          <w:b w:val="0"/>
          <w:bCs w:val="0"/>
          <w:sz w:val="20"/>
          <w:szCs w:val="20"/>
        </w:rPr>
        <w:t>⁻</w:t>
      </w:r>
      <w:r w:rsidRPr="00E010A1">
        <w:rPr>
          <w:rStyle w:val="Strong"/>
          <w:rFonts w:ascii="Arial" w:hAnsi="Arial" w:cs="Arial"/>
          <w:b w:val="0"/>
          <w:bCs w:val="0"/>
          <w:sz w:val="20"/>
          <w:szCs w:val="20"/>
        </w:rPr>
        <w:t xml:space="preserve">¹ also increased soil organic carbon by 28% and leaf nitrogen by 15%, further linking soil fertility to leaf nutrition (An </w:t>
      </w:r>
      <w:r w:rsidRPr="00E010A1">
        <w:rPr>
          <w:rStyle w:val="Strong"/>
          <w:rFonts w:ascii="Arial" w:hAnsi="Arial" w:cs="Arial"/>
          <w:b w:val="0"/>
          <w:bCs w:val="0"/>
          <w:i/>
          <w:iCs/>
          <w:sz w:val="20"/>
          <w:szCs w:val="20"/>
        </w:rPr>
        <w:t>et al.,</w:t>
      </w:r>
      <w:r w:rsidRPr="00E010A1">
        <w:rPr>
          <w:rStyle w:val="Strong"/>
          <w:rFonts w:ascii="Arial" w:hAnsi="Arial" w:cs="Arial"/>
          <w:b w:val="0"/>
          <w:bCs w:val="0"/>
          <w:sz w:val="20"/>
          <w:szCs w:val="20"/>
        </w:rPr>
        <w:t xml:space="preserve"> 2021).</w:t>
      </w:r>
    </w:p>
    <w:p w14:paraId="685B0753" w14:textId="77777777" w:rsidR="00E010A1" w:rsidRPr="00E010A1" w:rsidRDefault="00E010A1" w:rsidP="00E010A1">
      <w:pPr>
        <w:pStyle w:val="NormalWeb"/>
        <w:ind w:firstLine="720"/>
        <w:jc w:val="both"/>
        <w:rPr>
          <w:rFonts w:ascii="Arial" w:hAnsi="Arial" w:cs="Arial"/>
          <w:sz w:val="20"/>
          <w:szCs w:val="20"/>
        </w:rPr>
      </w:pPr>
      <w:r w:rsidRPr="00E010A1">
        <w:rPr>
          <w:rFonts w:ascii="Arial" w:hAnsi="Arial" w:cs="Arial"/>
          <w:sz w:val="20"/>
          <w:szCs w:val="20"/>
        </w:rPr>
        <w:t xml:space="preserve">Pelletized inputs and engineered biochar-fertilizer formulations influence leaf nutrient composition through controlled nutrient release and soil microenvironment modification. Studies of biochar-amended mulberry gardens demonstrate higher leaf N, P and K concentrations and higher nutrient uptake than NPK alone when biochar is applied with FYM or NPK (Nandini </w:t>
      </w:r>
      <w:r w:rsidRPr="00E010A1">
        <w:rPr>
          <w:rFonts w:ascii="Arial" w:hAnsi="Arial" w:cs="Arial"/>
          <w:i/>
          <w:iCs/>
          <w:sz w:val="20"/>
          <w:szCs w:val="20"/>
        </w:rPr>
        <w:t>et al.,</w:t>
      </w:r>
      <w:r w:rsidRPr="00E010A1">
        <w:rPr>
          <w:rFonts w:ascii="Arial" w:hAnsi="Arial" w:cs="Arial"/>
          <w:sz w:val="20"/>
          <w:szCs w:val="20"/>
        </w:rPr>
        <w:t xml:space="preserve"> 2024a; Nandini </w:t>
      </w:r>
      <w:r w:rsidRPr="00E010A1">
        <w:rPr>
          <w:rFonts w:ascii="Arial" w:hAnsi="Arial" w:cs="Arial"/>
          <w:i/>
          <w:iCs/>
          <w:sz w:val="20"/>
          <w:szCs w:val="20"/>
        </w:rPr>
        <w:t>et al.,</w:t>
      </w:r>
      <w:r w:rsidRPr="00E010A1">
        <w:rPr>
          <w:rFonts w:ascii="Arial" w:hAnsi="Arial" w:cs="Arial"/>
          <w:sz w:val="20"/>
          <w:szCs w:val="20"/>
        </w:rPr>
        <w:t xml:space="preserve"> 2024b; Nandini </w:t>
      </w:r>
      <w:r w:rsidRPr="00E010A1">
        <w:rPr>
          <w:rFonts w:ascii="Arial" w:hAnsi="Arial" w:cs="Arial"/>
          <w:i/>
          <w:iCs/>
          <w:sz w:val="20"/>
          <w:szCs w:val="20"/>
        </w:rPr>
        <w:t>et al.,</w:t>
      </w:r>
      <w:r w:rsidRPr="00E010A1">
        <w:rPr>
          <w:rFonts w:ascii="Arial" w:hAnsi="Arial" w:cs="Arial"/>
          <w:sz w:val="20"/>
          <w:szCs w:val="20"/>
        </w:rPr>
        <w:t xml:space="preserve"> 2024c). </w:t>
      </w:r>
      <w:r w:rsidRPr="00E010A1">
        <w:rPr>
          <w:rStyle w:val="Strong"/>
          <w:rFonts w:ascii="Arial" w:hAnsi="Arial" w:cs="Arial"/>
          <w:b w:val="0"/>
          <w:bCs w:val="0"/>
          <w:sz w:val="20"/>
          <w:szCs w:val="20"/>
        </w:rPr>
        <w:t xml:space="preserve">These nutrient gains also translated into improved cocoon quality, with cocoon weight increasing from 1.42 g to 1.63 g and shell ratio improving from 18.5% to 20.3% under biochar–FYM management (Nandini </w:t>
      </w:r>
      <w:r w:rsidRPr="00E010A1">
        <w:rPr>
          <w:rStyle w:val="Strong"/>
          <w:rFonts w:ascii="Arial" w:hAnsi="Arial" w:cs="Arial"/>
          <w:b w:val="0"/>
          <w:bCs w:val="0"/>
          <w:i/>
          <w:iCs/>
          <w:sz w:val="20"/>
          <w:szCs w:val="20"/>
        </w:rPr>
        <w:t>et al.,</w:t>
      </w:r>
      <w:r w:rsidRPr="00E010A1">
        <w:rPr>
          <w:rStyle w:val="Strong"/>
          <w:rFonts w:ascii="Arial" w:hAnsi="Arial" w:cs="Arial"/>
          <w:b w:val="0"/>
          <w:bCs w:val="0"/>
          <w:sz w:val="20"/>
          <w:szCs w:val="20"/>
        </w:rPr>
        <w:t xml:space="preserve"> 2024c).</w:t>
      </w:r>
      <w:r w:rsidRPr="00E010A1">
        <w:rPr>
          <w:rFonts w:ascii="Arial" w:hAnsi="Arial" w:cs="Arial"/>
          <w:sz w:val="20"/>
          <w:szCs w:val="20"/>
        </w:rPr>
        <w:t xml:space="preserve"> Mechanistic work on biochar-based slow-release fertilizers shows that co-pyrolysis with nutrient feedstocks or inclusion of mineral sorbents (e.g., bentonite/Ca sources) slows P and K release, thereby reducing early leaching and synchronizing nutrient availability with leaf growth phases which helps sustain leaf nutritional quality over successive harvests (</w:t>
      </w:r>
      <w:proofErr w:type="spellStart"/>
      <w:r w:rsidRPr="00E010A1">
        <w:rPr>
          <w:rFonts w:ascii="Arial" w:hAnsi="Arial" w:cs="Arial"/>
          <w:sz w:val="20"/>
          <w:szCs w:val="20"/>
        </w:rPr>
        <w:t>Piash</w:t>
      </w:r>
      <w:proofErr w:type="spellEnd"/>
      <w:r w:rsidRPr="00E010A1">
        <w:rPr>
          <w:rFonts w:ascii="Arial" w:hAnsi="Arial" w:cs="Arial"/>
          <w:sz w:val="20"/>
          <w:szCs w:val="20"/>
        </w:rPr>
        <w:t xml:space="preserve"> </w:t>
      </w:r>
      <w:r w:rsidRPr="00E010A1">
        <w:rPr>
          <w:rFonts w:ascii="Arial" w:hAnsi="Arial" w:cs="Arial"/>
          <w:i/>
          <w:iCs/>
          <w:sz w:val="20"/>
          <w:szCs w:val="20"/>
        </w:rPr>
        <w:t>et al.,</w:t>
      </w:r>
      <w:r w:rsidRPr="00E010A1">
        <w:rPr>
          <w:rFonts w:ascii="Arial" w:hAnsi="Arial" w:cs="Arial"/>
          <w:sz w:val="20"/>
          <w:szCs w:val="20"/>
        </w:rPr>
        <w:t xml:space="preserve"> 2022; An </w:t>
      </w:r>
      <w:r w:rsidRPr="00E010A1">
        <w:rPr>
          <w:rFonts w:ascii="Arial" w:hAnsi="Arial" w:cs="Arial"/>
          <w:i/>
          <w:iCs/>
          <w:sz w:val="20"/>
          <w:szCs w:val="20"/>
        </w:rPr>
        <w:t>et al.,</w:t>
      </w:r>
      <w:r w:rsidRPr="00E010A1">
        <w:rPr>
          <w:rFonts w:ascii="Arial" w:hAnsi="Arial" w:cs="Arial"/>
          <w:sz w:val="20"/>
          <w:szCs w:val="20"/>
        </w:rPr>
        <w:t xml:space="preserve"> 2021). These findings indicate pelletized or engineered biochar inputs can be particularly useful in </w:t>
      </w:r>
      <w:proofErr w:type="spellStart"/>
      <w:r w:rsidRPr="00E010A1">
        <w:rPr>
          <w:rFonts w:ascii="Arial" w:hAnsi="Arial" w:cs="Arial"/>
          <w:sz w:val="20"/>
          <w:szCs w:val="20"/>
        </w:rPr>
        <w:t>multicut</w:t>
      </w:r>
      <w:proofErr w:type="spellEnd"/>
      <w:r w:rsidRPr="00E010A1">
        <w:rPr>
          <w:rFonts w:ascii="Arial" w:hAnsi="Arial" w:cs="Arial"/>
          <w:sz w:val="20"/>
          <w:szCs w:val="20"/>
        </w:rPr>
        <w:t xml:space="preserve"> systems like mulberry where leaf quality must be maintained across repeated harvests.</w:t>
      </w:r>
    </w:p>
    <w:p w14:paraId="0CE9A682" w14:textId="41289293" w:rsidR="003E16A0" w:rsidRPr="00E010A1" w:rsidRDefault="00E010A1" w:rsidP="00E010A1">
      <w:pPr>
        <w:pStyle w:val="NormalWeb"/>
        <w:ind w:firstLine="720"/>
        <w:jc w:val="both"/>
        <w:rPr>
          <w:rFonts w:ascii="Arial" w:hAnsi="Arial" w:cs="Arial"/>
          <w:sz w:val="20"/>
          <w:szCs w:val="20"/>
        </w:rPr>
      </w:pPr>
      <w:r w:rsidRPr="00E010A1">
        <w:rPr>
          <w:rFonts w:ascii="Arial" w:hAnsi="Arial" w:cs="Arial"/>
          <w:sz w:val="20"/>
          <w:szCs w:val="20"/>
        </w:rPr>
        <w:t xml:space="preserve">Plant health outcomes and product (leaf) quality need integrated measurement across yield, chlorophyll/photosynthetic metrics, and biochemical composition. Several robust studies and reviews emphasize that matching amendment type and rate to soil texture and water regime is critical, as benefits to leaf protein and chlorophyll are most consistent where biochar improves soil water retention or buffers pH (thereby improving root uptake) and where slow-release formulations reduce nutrient stress during dry–wet cycles (An </w:t>
      </w:r>
      <w:r w:rsidRPr="00E010A1">
        <w:rPr>
          <w:rFonts w:ascii="Arial" w:hAnsi="Arial" w:cs="Arial"/>
          <w:i/>
          <w:iCs/>
          <w:sz w:val="20"/>
          <w:szCs w:val="20"/>
        </w:rPr>
        <w:t>et al.,</w:t>
      </w:r>
      <w:r w:rsidRPr="00E010A1">
        <w:rPr>
          <w:rFonts w:ascii="Arial" w:hAnsi="Arial" w:cs="Arial"/>
          <w:sz w:val="20"/>
          <w:szCs w:val="20"/>
        </w:rPr>
        <w:t xml:space="preserve"> 2021; </w:t>
      </w:r>
      <w:proofErr w:type="spellStart"/>
      <w:r w:rsidRPr="00E010A1">
        <w:rPr>
          <w:rFonts w:ascii="Arial" w:hAnsi="Arial" w:cs="Arial"/>
          <w:sz w:val="20"/>
          <w:szCs w:val="20"/>
        </w:rPr>
        <w:t>Piash</w:t>
      </w:r>
      <w:proofErr w:type="spellEnd"/>
      <w:r w:rsidRPr="00E010A1">
        <w:rPr>
          <w:rFonts w:ascii="Arial" w:hAnsi="Arial" w:cs="Arial"/>
          <w:sz w:val="20"/>
          <w:szCs w:val="20"/>
        </w:rPr>
        <w:t xml:space="preserve"> </w:t>
      </w:r>
      <w:r w:rsidRPr="00E010A1">
        <w:rPr>
          <w:rFonts w:ascii="Arial" w:hAnsi="Arial" w:cs="Arial"/>
          <w:i/>
          <w:iCs/>
          <w:sz w:val="20"/>
          <w:szCs w:val="20"/>
        </w:rPr>
        <w:t>et al.,</w:t>
      </w:r>
      <w:r w:rsidRPr="00E010A1">
        <w:rPr>
          <w:rFonts w:ascii="Arial" w:hAnsi="Arial" w:cs="Arial"/>
          <w:sz w:val="20"/>
          <w:szCs w:val="20"/>
        </w:rPr>
        <w:t xml:space="preserve"> 2022; Ren </w:t>
      </w:r>
      <w:r w:rsidRPr="00E010A1">
        <w:rPr>
          <w:rFonts w:ascii="Arial" w:hAnsi="Arial" w:cs="Arial"/>
          <w:i/>
          <w:iCs/>
          <w:sz w:val="20"/>
          <w:szCs w:val="20"/>
        </w:rPr>
        <w:t>et al.,</w:t>
      </w:r>
      <w:r w:rsidRPr="00E010A1">
        <w:rPr>
          <w:rFonts w:ascii="Arial" w:hAnsi="Arial" w:cs="Arial"/>
          <w:sz w:val="20"/>
          <w:szCs w:val="20"/>
        </w:rPr>
        <w:t xml:space="preserve"> 2025). A cautionary note from silage and ensiling studies is that very high N fertilization can alter leaf biochemical composition and microflora in ways that harm post-harvest quality unless appropriate additives or ensiling inoculants are used (Li </w:t>
      </w:r>
      <w:r w:rsidRPr="00E010A1">
        <w:rPr>
          <w:rFonts w:ascii="Arial" w:hAnsi="Arial" w:cs="Arial"/>
          <w:i/>
          <w:iCs/>
          <w:sz w:val="20"/>
          <w:szCs w:val="20"/>
        </w:rPr>
        <w:t>et al.,</w:t>
      </w:r>
      <w:r w:rsidRPr="00E010A1">
        <w:rPr>
          <w:rFonts w:ascii="Arial" w:hAnsi="Arial" w:cs="Arial"/>
          <w:sz w:val="20"/>
          <w:szCs w:val="20"/>
        </w:rPr>
        <w:t xml:space="preserve"> 2021). In short, pelletized and biochar-based inputs can support sustainable leaf yield and improved nutritive quality, but they must be matched to genotype, irrigation, and harvest scheduling to capture the agronomic and economic benefits in mulberry systems. Table 2 integrates the reported effects of biochar and pelletized amendments on mulberry growth, leaf nutritive quality, and silkworm performance. Figure 3 further illustrates the soil-to-silk pathway, showing how pelletized inputs enhance soil fertility, improve mulberry leaf quality, and ultimately benefit silkworm productivity.</w:t>
      </w:r>
    </w:p>
    <w:p w14:paraId="7AA58EFB" w14:textId="77777777" w:rsidR="003E16A0" w:rsidRPr="00BB2672" w:rsidRDefault="003E16A0" w:rsidP="003E16A0">
      <w:pPr>
        <w:jc w:val="center"/>
        <w:rPr>
          <w:rFonts w:ascii="Arial" w:hAnsi="Arial" w:cs="Arial"/>
          <w:b/>
          <w:bCs/>
        </w:rPr>
      </w:pPr>
      <w:r w:rsidRPr="00BB2672">
        <w:rPr>
          <w:rFonts w:ascii="Arial" w:hAnsi="Arial" w:cs="Arial"/>
          <w:b/>
          <w:bCs/>
        </w:rPr>
        <w:t>Table 2: Effects of Biochar/Pellet Amendments on Mulberry Growth, Leaf Quality, and Silkworm Performance</w:t>
      </w:r>
    </w:p>
    <w:p w14:paraId="4D7E557C" w14:textId="77777777" w:rsidR="003A0C1D" w:rsidRPr="00BB2672" w:rsidRDefault="003A0C1D" w:rsidP="003E16A0">
      <w:pPr>
        <w:jc w:val="center"/>
        <w:rPr>
          <w:rFonts w:ascii="Arial" w:hAnsi="Arial" w:cs="Arial"/>
          <w:b/>
          <w:bCs/>
        </w:rPr>
      </w:pPr>
    </w:p>
    <w:tbl>
      <w:tblPr>
        <w:tblStyle w:val="TableGrid"/>
        <w:tblW w:w="0" w:type="auto"/>
        <w:jc w:val="center"/>
        <w:tblLayout w:type="fixed"/>
        <w:tblLook w:val="04A0" w:firstRow="1" w:lastRow="0" w:firstColumn="1" w:lastColumn="0" w:noHBand="0" w:noVBand="1"/>
      </w:tblPr>
      <w:tblGrid>
        <w:gridCol w:w="1323"/>
        <w:gridCol w:w="1034"/>
        <w:gridCol w:w="1244"/>
        <w:gridCol w:w="1213"/>
        <w:gridCol w:w="1106"/>
        <w:gridCol w:w="1420"/>
        <w:gridCol w:w="1084"/>
      </w:tblGrid>
      <w:tr w:rsidR="003E16A0" w:rsidRPr="00BB2672" w14:paraId="13E32738" w14:textId="77777777" w:rsidTr="0059241F">
        <w:trPr>
          <w:trHeight w:val="1270"/>
          <w:jc w:val="center"/>
        </w:trPr>
        <w:tc>
          <w:tcPr>
            <w:tcW w:w="1323" w:type="dxa"/>
            <w:vAlign w:val="center"/>
          </w:tcPr>
          <w:p w14:paraId="3C6B3782"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Treatment</w:t>
            </w:r>
          </w:p>
        </w:tc>
        <w:tc>
          <w:tcPr>
            <w:tcW w:w="1034" w:type="dxa"/>
            <w:vAlign w:val="center"/>
          </w:tcPr>
          <w:p w14:paraId="783D47AC"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Soil Type / Site</w:t>
            </w:r>
          </w:p>
        </w:tc>
        <w:tc>
          <w:tcPr>
            <w:tcW w:w="1244" w:type="dxa"/>
            <w:vAlign w:val="center"/>
          </w:tcPr>
          <w:p w14:paraId="61F37C55"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Leaf Yield</w:t>
            </w:r>
          </w:p>
        </w:tc>
        <w:tc>
          <w:tcPr>
            <w:tcW w:w="1213" w:type="dxa"/>
            <w:vAlign w:val="center"/>
          </w:tcPr>
          <w:p w14:paraId="54F5A39E"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Leaf Protein / Chlorophyll</w:t>
            </w:r>
          </w:p>
        </w:tc>
        <w:tc>
          <w:tcPr>
            <w:tcW w:w="1106" w:type="dxa"/>
            <w:vAlign w:val="center"/>
          </w:tcPr>
          <w:p w14:paraId="6E92BCF6"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NPK Uptake</w:t>
            </w:r>
          </w:p>
        </w:tc>
        <w:tc>
          <w:tcPr>
            <w:tcW w:w="1420" w:type="dxa"/>
            <w:vAlign w:val="center"/>
          </w:tcPr>
          <w:p w14:paraId="0E681E09"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Silkworm Growth / Cocoon Weight</w:t>
            </w:r>
          </w:p>
        </w:tc>
        <w:tc>
          <w:tcPr>
            <w:tcW w:w="1084" w:type="dxa"/>
            <w:vAlign w:val="center"/>
          </w:tcPr>
          <w:p w14:paraId="4B54EBB4"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Reference</w:t>
            </w:r>
          </w:p>
        </w:tc>
      </w:tr>
      <w:tr w:rsidR="003E16A0" w:rsidRPr="00BB2672" w14:paraId="797A93DF" w14:textId="77777777" w:rsidTr="0059241F">
        <w:trPr>
          <w:trHeight w:val="1550"/>
          <w:jc w:val="center"/>
        </w:trPr>
        <w:tc>
          <w:tcPr>
            <w:tcW w:w="1323" w:type="dxa"/>
            <w:vAlign w:val="center"/>
          </w:tcPr>
          <w:p w14:paraId="0C64461F" w14:textId="77777777" w:rsidR="003E16A0" w:rsidRPr="00BB2672" w:rsidRDefault="003E16A0" w:rsidP="00195949">
            <w:pPr>
              <w:rPr>
                <w:rFonts w:ascii="Arial" w:hAnsi="Arial" w:cs="Arial"/>
                <w:sz w:val="20"/>
                <w:szCs w:val="20"/>
              </w:rPr>
            </w:pPr>
            <w:r w:rsidRPr="00BB2672">
              <w:rPr>
                <w:rFonts w:ascii="Arial" w:hAnsi="Arial" w:cs="Arial"/>
                <w:sz w:val="20"/>
                <w:szCs w:val="20"/>
              </w:rPr>
              <w:t>Biochar + FYM (7.5–15 t ha</w:t>
            </w:r>
            <w:r w:rsidRPr="00BB2672">
              <w:rPr>
                <w:rFonts w:ascii="Cambria Math" w:hAnsi="Cambria Math" w:cs="Cambria Math"/>
                <w:sz w:val="20"/>
                <w:szCs w:val="20"/>
              </w:rPr>
              <w:t>⁻</w:t>
            </w:r>
            <w:r w:rsidRPr="00BB2672">
              <w:rPr>
                <w:rFonts w:ascii="Arial" w:hAnsi="Arial" w:cs="Arial"/>
                <w:sz w:val="20"/>
                <w:szCs w:val="20"/>
              </w:rPr>
              <w:t>¹)</w:t>
            </w:r>
          </w:p>
        </w:tc>
        <w:tc>
          <w:tcPr>
            <w:tcW w:w="1034" w:type="dxa"/>
            <w:vAlign w:val="center"/>
          </w:tcPr>
          <w:p w14:paraId="7DE2BE44" w14:textId="77777777" w:rsidR="003E16A0" w:rsidRPr="00BB2672" w:rsidRDefault="003E16A0" w:rsidP="00195949">
            <w:pPr>
              <w:rPr>
                <w:rFonts w:ascii="Arial" w:hAnsi="Arial" w:cs="Arial"/>
                <w:sz w:val="20"/>
                <w:szCs w:val="20"/>
              </w:rPr>
            </w:pPr>
            <w:r w:rsidRPr="00BB2672">
              <w:rPr>
                <w:rFonts w:ascii="Arial" w:hAnsi="Arial" w:cs="Arial"/>
                <w:sz w:val="20"/>
                <w:szCs w:val="20"/>
              </w:rPr>
              <w:t>Field, loamy soil</w:t>
            </w:r>
          </w:p>
        </w:tc>
        <w:tc>
          <w:tcPr>
            <w:tcW w:w="1244" w:type="dxa"/>
            <w:vAlign w:val="center"/>
          </w:tcPr>
          <w:p w14:paraId="7EAA40F1" w14:textId="77777777" w:rsidR="003E16A0" w:rsidRPr="00BB2672" w:rsidRDefault="003E16A0" w:rsidP="00195949">
            <w:pPr>
              <w:rPr>
                <w:rFonts w:ascii="Arial" w:hAnsi="Arial" w:cs="Arial"/>
                <w:sz w:val="20"/>
                <w:szCs w:val="20"/>
              </w:rPr>
            </w:pPr>
            <w:r w:rsidRPr="00BB2672">
              <w:rPr>
                <w:rFonts w:ascii="Arial" w:hAnsi="Arial" w:cs="Arial"/>
                <w:sz w:val="20"/>
                <w:szCs w:val="20"/>
              </w:rPr>
              <w:t>More root development &amp; biomass</w:t>
            </w:r>
          </w:p>
        </w:tc>
        <w:tc>
          <w:tcPr>
            <w:tcW w:w="1213" w:type="dxa"/>
            <w:vAlign w:val="center"/>
          </w:tcPr>
          <w:p w14:paraId="648A62B2" w14:textId="77777777" w:rsidR="003E16A0" w:rsidRPr="00BB2672" w:rsidRDefault="003E16A0" w:rsidP="00195949">
            <w:pPr>
              <w:rPr>
                <w:rFonts w:ascii="Arial" w:hAnsi="Arial" w:cs="Arial"/>
                <w:sz w:val="20"/>
                <w:szCs w:val="20"/>
              </w:rPr>
            </w:pPr>
            <w:r w:rsidRPr="00BB2672">
              <w:rPr>
                <w:rFonts w:ascii="Arial" w:hAnsi="Arial" w:cs="Arial"/>
                <w:sz w:val="20"/>
                <w:szCs w:val="20"/>
              </w:rPr>
              <w:t>More protein &amp; chlorophyll</w:t>
            </w:r>
          </w:p>
        </w:tc>
        <w:tc>
          <w:tcPr>
            <w:tcW w:w="1106" w:type="dxa"/>
            <w:vAlign w:val="center"/>
          </w:tcPr>
          <w:p w14:paraId="2BF93E53" w14:textId="77777777" w:rsidR="003E16A0" w:rsidRPr="00BB2672" w:rsidRDefault="003E16A0" w:rsidP="00195949">
            <w:pPr>
              <w:rPr>
                <w:rFonts w:ascii="Arial" w:hAnsi="Arial" w:cs="Arial"/>
                <w:sz w:val="20"/>
                <w:szCs w:val="20"/>
              </w:rPr>
            </w:pPr>
            <w:r w:rsidRPr="00BB2672">
              <w:rPr>
                <w:rFonts w:ascii="Arial" w:hAnsi="Arial" w:cs="Arial"/>
                <w:sz w:val="20"/>
                <w:szCs w:val="20"/>
              </w:rPr>
              <w:t>Increased N, P, K uptake</w:t>
            </w:r>
          </w:p>
          <w:p w14:paraId="13D8D311" w14:textId="77777777" w:rsidR="003E16A0" w:rsidRPr="00BB2672" w:rsidRDefault="003E16A0" w:rsidP="00195949">
            <w:pPr>
              <w:rPr>
                <w:rFonts w:ascii="Arial" w:hAnsi="Arial" w:cs="Arial"/>
                <w:sz w:val="20"/>
                <w:szCs w:val="20"/>
              </w:rPr>
            </w:pPr>
          </w:p>
        </w:tc>
        <w:tc>
          <w:tcPr>
            <w:tcW w:w="1420" w:type="dxa"/>
            <w:vAlign w:val="center"/>
          </w:tcPr>
          <w:p w14:paraId="0025EFA6" w14:textId="77777777" w:rsidR="003E16A0" w:rsidRPr="00BB2672" w:rsidRDefault="003E16A0" w:rsidP="00195949">
            <w:pPr>
              <w:rPr>
                <w:rFonts w:ascii="Arial" w:hAnsi="Arial" w:cs="Arial"/>
                <w:sz w:val="20"/>
                <w:szCs w:val="20"/>
              </w:rPr>
            </w:pPr>
            <w:r w:rsidRPr="00BB2672">
              <w:rPr>
                <w:rFonts w:ascii="Arial" w:hAnsi="Arial" w:cs="Arial"/>
                <w:sz w:val="20"/>
                <w:szCs w:val="20"/>
              </w:rPr>
              <w:t>More larval growth, cocoon weight</w:t>
            </w:r>
          </w:p>
        </w:tc>
        <w:tc>
          <w:tcPr>
            <w:tcW w:w="1084" w:type="dxa"/>
            <w:vAlign w:val="center"/>
          </w:tcPr>
          <w:p w14:paraId="4A6756D2" w14:textId="77777777" w:rsidR="003E16A0" w:rsidRPr="00BB2672" w:rsidRDefault="003E16A0" w:rsidP="00195949">
            <w:pPr>
              <w:rPr>
                <w:rFonts w:ascii="Arial" w:hAnsi="Arial" w:cs="Arial"/>
                <w:sz w:val="20"/>
                <w:szCs w:val="20"/>
              </w:rPr>
            </w:pPr>
            <w:r w:rsidRPr="00BB2672">
              <w:rPr>
                <w:rFonts w:ascii="Arial" w:hAnsi="Arial" w:cs="Arial"/>
                <w:sz w:val="20"/>
                <w:szCs w:val="20"/>
              </w:rPr>
              <w:t xml:space="preserve">Nandini </w:t>
            </w:r>
            <w:r w:rsidRPr="00E010A1">
              <w:rPr>
                <w:rFonts w:ascii="Arial" w:hAnsi="Arial" w:cs="Arial"/>
                <w:i/>
                <w:iCs/>
                <w:sz w:val="20"/>
                <w:szCs w:val="20"/>
              </w:rPr>
              <w:t>et al.,</w:t>
            </w:r>
            <w:r w:rsidRPr="00BB2672">
              <w:rPr>
                <w:rFonts w:ascii="Arial" w:hAnsi="Arial" w:cs="Arial"/>
                <w:sz w:val="20"/>
                <w:szCs w:val="20"/>
              </w:rPr>
              <w:t xml:space="preserve"> 2024a; Nandini </w:t>
            </w:r>
            <w:r w:rsidRPr="00E010A1">
              <w:rPr>
                <w:rFonts w:ascii="Arial" w:hAnsi="Arial" w:cs="Arial"/>
                <w:i/>
                <w:iCs/>
                <w:sz w:val="20"/>
                <w:szCs w:val="20"/>
              </w:rPr>
              <w:t>et al.,</w:t>
            </w:r>
            <w:r w:rsidRPr="00BB2672">
              <w:rPr>
                <w:rFonts w:ascii="Arial" w:hAnsi="Arial" w:cs="Arial"/>
                <w:sz w:val="20"/>
                <w:szCs w:val="20"/>
              </w:rPr>
              <w:t xml:space="preserve"> 2024b</w:t>
            </w:r>
          </w:p>
        </w:tc>
      </w:tr>
      <w:tr w:rsidR="003E16A0" w:rsidRPr="00BB2672" w14:paraId="3521EE95" w14:textId="77777777" w:rsidTr="0059241F">
        <w:trPr>
          <w:trHeight w:val="1401"/>
          <w:jc w:val="center"/>
        </w:trPr>
        <w:tc>
          <w:tcPr>
            <w:tcW w:w="1323" w:type="dxa"/>
            <w:vAlign w:val="center"/>
          </w:tcPr>
          <w:p w14:paraId="6E87DB94" w14:textId="77777777" w:rsidR="003E16A0" w:rsidRPr="00BB2672" w:rsidRDefault="003E16A0" w:rsidP="00195949">
            <w:pPr>
              <w:rPr>
                <w:rFonts w:ascii="Arial" w:hAnsi="Arial" w:cs="Arial"/>
                <w:sz w:val="20"/>
                <w:szCs w:val="20"/>
              </w:rPr>
            </w:pPr>
            <w:r w:rsidRPr="00BB2672">
              <w:rPr>
                <w:rFonts w:ascii="Arial" w:hAnsi="Arial" w:cs="Arial"/>
                <w:sz w:val="20"/>
                <w:szCs w:val="20"/>
              </w:rPr>
              <w:t>Biochar-based slow-release fertilizer</w:t>
            </w:r>
          </w:p>
        </w:tc>
        <w:tc>
          <w:tcPr>
            <w:tcW w:w="1034" w:type="dxa"/>
            <w:vAlign w:val="center"/>
          </w:tcPr>
          <w:p w14:paraId="6CFFA97C" w14:textId="77777777" w:rsidR="003E16A0" w:rsidRPr="00BB2672" w:rsidRDefault="003E16A0" w:rsidP="00195949">
            <w:pPr>
              <w:rPr>
                <w:rFonts w:ascii="Arial" w:hAnsi="Arial" w:cs="Arial"/>
                <w:sz w:val="20"/>
                <w:szCs w:val="20"/>
              </w:rPr>
            </w:pPr>
            <w:r w:rsidRPr="00BB2672">
              <w:rPr>
                <w:rFonts w:ascii="Arial" w:hAnsi="Arial" w:cs="Arial"/>
                <w:sz w:val="20"/>
                <w:szCs w:val="20"/>
              </w:rPr>
              <w:t>Pot / Field</w:t>
            </w:r>
          </w:p>
        </w:tc>
        <w:tc>
          <w:tcPr>
            <w:tcW w:w="1244" w:type="dxa"/>
            <w:vAlign w:val="center"/>
          </w:tcPr>
          <w:p w14:paraId="2715E978" w14:textId="77777777" w:rsidR="003E16A0" w:rsidRPr="00BB2672" w:rsidRDefault="003E16A0" w:rsidP="00195949">
            <w:pPr>
              <w:rPr>
                <w:rFonts w:ascii="Arial" w:hAnsi="Arial" w:cs="Arial"/>
                <w:sz w:val="20"/>
                <w:szCs w:val="20"/>
              </w:rPr>
            </w:pPr>
            <w:r w:rsidRPr="00BB2672">
              <w:rPr>
                <w:rFonts w:ascii="Arial" w:hAnsi="Arial" w:cs="Arial"/>
                <w:sz w:val="20"/>
                <w:szCs w:val="20"/>
              </w:rPr>
              <w:t>Maintained yield</w:t>
            </w:r>
          </w:p>
        </w:tc>
        <w:tc>
          <w:tcPr>
            <w:tcW w:w="1213" w:type="dxa"/>
            <w:vAlign w:val="center"/>
          </w:tcPr>
          <w:p w14:paraId="0EAA57F8" w14:textId="77777777" w:rsidR="003E16A0" w:rsidRPr="00BB2672" w:rsidRDefault="003E16A0" w:rsidP="00195949">
            <w:pPr>
              <w:rPr>
                <w:rFonts w:ascii="Arial" w:hAnsi="Arial" w:cs="Arial"/>
                <w:sz w:val="20"/>
                <w:szCs w:val="20"/>
              </w:rPr>
            </w:pPr>
            <w:r w:rsidRPr="00BB2672">
              <w:rPr>
                <w:rFonts w:ascii="Arial" w:hAnsi="Arial" w:cs="Arial"/>
                <w:sz w:val="20"/>
                <w:szCs w:val="20"/>
              </w:rPr>
              <w:t>Maintained protein over multiple cuts</w:t>
            </w:r>
          </w:p>
        </w:tc>
        <w:tc>
          <w:tcPr>
            <w:tcW w:w="1106" w:type="dxa"/>
            <w:vAlign w:val="center"/>
          </w:tcPr>
          <w:p w14:paraId="37FD817D" w14:textId="77777777" w:rsidR="003E16A0" w:rsidRPr="00BB2672" w:rsidRDefault="003E16A0" w:rsidP="00195949">
            <w:pPr>
              <w:rPr>
                <w:rFonts w:ascii="Arial" w:hAnsi="Arial" w:cs="Arial"/>
                <w:sz w:val="20"/>
                <w:szCs w:val="20"/>
              </w:rPr>
            </w:pPr>
            <w:r w:rsidRPr="00BB2672">
              <w:rPr>
                <w:rFonts w:ascii="Arial" w:hAnsi="Arial" w:cs="Arial"/>
                <w:sz w:val="20"/>
                <w:szCs w:val="20"/>
              </w:rPr>
              <w:t>Synchronized nutrient availability</w:t>
            </w:r>
          </w:p>
        </w:tc>
        <w:tc>
          <w:tcPr>
            <w:tcW w:w="1420" w:type="dxa"/>
            <w:vAlign w:val="center"/>
          </w:tcPr>
          <w:p w14:paraId="135D5B53" w14:textId="77777777" w:rsidR="003E16A0" w:rsidRPr="00BB2672" w:rsidRDefault="003E16A0" w:rsidP="00195949">
            <w:pPr>
              <w:rPr>
                <w:rFonts w:ascii="Arial" w:hAnsi="Arial" w:cs="Arial"/>
                <w:sz w:val="20"/>
                <w:szCs w:val="20"/>
              </w:rPr>
            </w:pPr>
            <w:r w:rsidRPr="00BB2672">
              <w:rPr>
                <w:rFonts w:ascii="Arial" w:hAnsi="Arial" w:cs="Arial"/>
                <w:sz w:val="20"/>
                <w:szCs w:val="20"/>
              </w:rPr>
              <w:t>Improved feed conversion &amp; silk yield</w:t>
            </w:r>
          </w:p>
        </w:tc>
        <w:tc>
          <w:tcPr>
            <w:tcW w:w="1084" w:type="dxa"/>
            <w:vAlign w:val="center"/>
          </w:tcPr>
          <w:p w14:paraId="7F853A7E" w14:textId="77777777" w:rsidR="003E16A0" w:rsidRPr="00BB2672" w:rsidRDefault="003E16A0" w:rsidP="00195949">
            <w:pPr>
              <w:rPr>
                <w:rFonts w:ascii="Arial" w:hAnsi="Arial" w:cs="Arial"/>
                <w:sz w:val="20"/>
                <w:szCs w:val="20"/>
              </w:rPr>
            </w:pPr>
            <w:proofErr w:type="spellStart"/>
            <w:r w:rsidRPr="00BB2672">
              <w:rPr>
                <w:rFonts w:ascii="Arial" w:hAnsi="Arial" w:cs="Arial"/>
                <w:sz w:val="20"/>
                <w:szCs w:val="20"/>
              </w:rPr>
              <w:t>Piash</w:t>
            </w:r>
            <w:proofErr w:type="spellEnd"/>
            <w:r w:rsidRPr="00BB2672">
              <w:rPr>
                <w:rFonts w:ascii="Arial" w:hAnsi="Arial" w:cs="Arial"/>
                <w:sz w:val="20"/>
                <w:szCs w:val="20"/>
              </w:rPr>
              <w:t xml:space="preserve"> </w:t>
            </w:r>
            <w:r w:rsidRPr="00E010A1">
              <w:rPr>
                <w:rFonts w:ascii="Arial" w:hAnsi="Arial" w:cs="Arial"/>
                <w:i/>
                <w:iCs/>
                <w:sz w:val="20"/>
                <w:szCs w:val="20"/>
              </w:rPr>
              <w:t>et al.,</w:t>
            </w:r>
            <w:r w:rsidRPr="00BB2672">
              <w:rPr>
                <w:rFonts w:ascii="Arial" w:hAnsi="Arial" w:cs="Arial"/>
                <w:sz w:val="20"/>
                <w:szCs w:val="20"/>
              </w:rPr>
              <w:t xml:space="preserve"> 2022; An </w:t>
            </w:r>
            <w:r w:rsidRPr="00E010A1">
              <w:rPr>
                <w:rFonts w:ascii="Arial" w:hAnsi="Arial" w:cs="Arial"/>
                <w:i/>
                <w:iCs/>
                <w:sz w:val="20"/>
                <w:szCs w:val="20"/>
              </w:rPr>
              <w:t>et al.,</w:t>
            </w:r>
            <w:r w:rsidRPr="00BB2672">
              <w:rPr>
                <w:rFonts w:ascii="Arial" w:hAnsi="Arial" w:cs="Arial"/>
                <w:sz w:val="20"/>
                <w:szCs w:val="20"/>
              </w:rPr>
              <w:t xml:space="preserve"> 2021</w:t>
            </w:r>
          </w:p>
        </w:tc>
      </w:tr>
      <w:tr w:rsidR="003E16A0" w:rsidRPr="00BB2672" w14:paraId="17E5B5F2" w14:textId="77777777" w:rsidTr="0059241F">
        <w:trPr>
          <w:trHeight w:val="1551"/>
          <w:jc w:val="center"/>
        </w:trPr>
        <w:tc>
          <w:tcPr>
            <w:tcW w:w="1323" w:type="dxa"/>
            <w:vAlign w:val="center"/>
          </w:tcPr>
          <w:p w14:paraId="71CA98E0" w14:textId="77777777" w:rsidR="003E16A0" w:rsidRPr="00BB2672" w:rsidRDefault="003E16A0" w:rsidP="00195949">
            <w:pPr>
              <w:rPr>
                <w:rFonts w:ascii="Arial" w:hAnsi="Arial" w:cs="Arial"/>
                <w:sz w:val="20"/>
                <w:szCs w:val="20"/>
              </w:rPr>
            </w:pPr>
            <w:r w:rsidRPr="00BB2672">
              <w:rPr>
                <w:rFonts w:ascii="Arial" w:hAnsi="Arial" w:cs="Arial"/>
                <w:sz w:val="20"/>
                <w:szCs w:val="20"/>
              </w:rPr>
              <w:t>Moderate inorganic fertilizer and organic amendments</w:t>
            </w:r>
          </w:p>
        </w:tc>
        <w:tc>
          <w:tcPr>
            <w:tcW w:w="1034" w:type="dxa"/>
            <w:vAlign w:val="center"/>
          </w:tcPr>
          <w:p w14:paraId="0457C5E9" w14:textId="77777777" w:rsidR="003E16A0" w:rsidRPr="00BB2672" w:rsidRDefault="003E16A0" w:rsidP="00195949">
            <w:pPr>
              <w:rPr>
                <w:rFonts w:ascii="Arial" w:hAnsi="Arial" w:cs="Arial"/>
                <w:sz w:val="20"/>
                <w:szCs w:val="20"/>
              </w:rPr>
            </w:pPr>
            <w:r w:rsidRPr="00BB2672">
              <w:rPr>
                <w:rFonts w:ascii="Arial" w:hAnsi="Arial" w:cs="Arial"/>
                <w:sz w:val="20"/>
                <w:szCs w:val="20"/>
              </w:rPr>
              <w:t>Field</w:t>
            </w:r>
          </w:p>
        </w:tc>
        <w:tc>
          <w:tcPr>
            <w:tcW w:w="1244" w:type="dxa"/>
            <w:vAlign w:val="center"/>
          </w:tcPr>
          <w:p w14:paraId="36502AED" w14:textId="77777777" w:rsidR="003E16A0" w:rsidRPr="00BB2672" w:rsidRDefault="003E16A0" w:rsidP="00195949">
            <w:pPr>
              <w:rPr>
                <w:rFonts w:ascii="Arial" w:hAnsi="Arial" w:cs="Arial"/>
                <w:sz w:val="20"/>
                <w:szCs w:val="20"/>
              </w:rPr>
            </w:pPr>
            <w:r w:rsidRPr="00BB2672">
              <w:rPr>
                <w:rFonts w:ascii="Arial" w:hAnsi="Arial" w:cs="Arial"/>
                <w:sz w:val="20"/>
                <w:szCs w:val="20"/>
              </w:rPr>
              <w:t>More leaf biomass</w:t>
            </w:r>
          </w:p>
        </w:tc>
        <w:tc>
          <w:tcPr>
            <w:tcW w:w="1213" w:type="dxa"/>
            <w:vAlign w:val="center"/>
          </w:tcPr>
          <w:p w14:paraId="3C8B912D" w14:textId="77777777" w:rsidR="003E16A0" w:rsidRPr="00BB2672" w:rsidRDefault="003E16A0" w:rsidP="00195949">
            <w:pPr>
              <w:rPr>
                <w:rFonts w:ascii="Arial" w:hAnsi="Arial" w:cs="Arial"/>
                <w:sz w:val="20"/>
                <w:szCs w:val="20"/>
              </w:rPr>
            </w:pPr>
            <w:r w:rsidRPr="00BB2672">
              <w:rPr>
                <w:rFonts w:ascii="Arial" w:hAnsi="Arial" w:cs="Arial"/>
                <w:sz w:val="20"/>
                <w:szCs w:val="20"/>
              </w:rPr>
              <w:t>More chlorophyll &amp; protein</w:t>
            </w:r>
          </w:p>
        </w:tc>
        <w:tc>
          <w:tcPr>
            <w:tcW w:w="1106" w:type="dxa"/>
            <w:vAlign w:val="center"/>
          </w:tcPr>
          <w:p w14:paraId="514D4556" w14:textId="77777777" w:rsidR="003E16A0" w:rsidRPr="00BB2672" w:rsidRDefault="003E16A0" w:rsidP="00195949">
            <w:pPr>
              <w:rPr>
                <w:rFonts w:ascii="Arial" w:hAnsi="Arial" w:cs="Arial"/>
                <w:sz w:val="20"/>
                <w:szCs w:val="20"/>
              </w:rPr>
            </w:pPr>
            <w:r w:rsidRPr="00BB2672">
              <w:rPr>
                <w:rFonts w:ascii="Arial" w:hAnsi="Arial" w:cs="Arial"/>
                <w:sz w:val="20"/>
                <w:szCs w:val="20"/>
              </w:rPr>
              <w:t>Balanced NPK</w:t>
            </w:r>
          </w:p>
        </w:tc>
        <w:tc>
          <w:tcPr>
            <w:tcW w:w="1420" w:type="dxa"/>
            <w:vAlign w:val="center"/>
          </w:tcPr>
          <w:p w14:paraId="1C69D3DA" w14:textId="77777777" w:rsidR="003E16A0" w:rsidRPr="00BB2672" w:rsidRDefault="003E16A0" w:rsidP="00195949">
            <w:pPr>
              <w:rPr>
                <w:rFonts w:ascii="Arial" w:hAnsi="Arial" w:cs="Arial"/>
                <w:sz w:val="20"/>
                <w:szCs w:val="20"/>
              </w:rPr>
            </w:pPr>
            <w:r w:rsidRPr="00BB2672">
              <w:rPr>
                <w:rFonts w:ascii="Arial" w:hAnsi="Arial" w:cs="Arial"/>
                <w:sz w:val="20"/>
                <w:szCs w:val="20"/>
              </w:rPr>
              <w:t>Better cocoon metrics, shell ratio</w:t>
            </w:r>
          </w:p>
        </w:tc>
        <w:tc>
          <w:tcPr>
            <w:tcW w:w="1084" w:type="dxa"/>
            <w:vAlign w:val="center"/>
          </w:tcPr>
          <w:p w14:paraId="22F12358" w14:textId="77777777" w:rsidR="003E16A0" w:rsidRPr="00BB2672" w:rsidRDefault="003E16A0" w:rsidP="00195949">
            <w:pPr>
              <w:rPr>
                <w:rFonts w:ascii="Arial" w:hAnsi="Arial" w:cs="Arial"/>
                <w:sz w:val="20"/>
                <w:szCs w:val="20"/>
              </w:rPr>
            </w:pPr>
            <w:r w:rsidRPr="00BB2672">
              <w:rPr>
                <w:rFonts w:ascii="Arial" w:hAnsi="Arial" w:cs="Arial"/>
                <w:sz w:val="20"/>
                <w:szCs w:val="20"/>
              </w:rPr>
              <w:t xml:space="preserve">Ren </w:t>
            </w:r>
            <w:r w:rsidRPr="00E010A1">
              <w:rPr>
                <w:rFonts w:ascii="Arial" w:hAnsi="Arial" w:cs="Arial"/>
                <w:i/>
                <w:iCs/>
                <w:sz w:val="20"/>
                <w:szCs w:val="20"/>
              </w:rPr>
              <w:t>et al.</w:t>
            </w:r>
            <w:r w:rsidRPr="00BB2672">
              <w:rPr>
                <w:rFonts w:ascii="Arial" w:hAnsi="Arial" w:cs="Arial"/>
                <w:sz w:val="20"/>
                <w:szCs w:val="20"/>
              </w:rPr>
              <w:t xml:space="preserve">, 2025; Li </w:t>
            </w:r>
            <w:r w:rsidRPr="00E010A1">
              <w:rPr>
                <w:rFonts w:ascii="Arial" w:hAnsi="Arial" w:cs="Arial"/>
                <w:i/>
                <w:iCs/>
                <w:sz w:val="20"/>
                <w:szCs w:val="20"/>
              </w:rPr>
              <w:t>et al.,</w:t>
            </w:r>
            <w:r w:rsidRPr="00BB2672">
              <w:rPr>
                <w:rFonts w:ascii="Arial" w:hAnsi="Arial" w:cs="Arial"/>
                <w:sz w:val="20"/>
                <w:szCs w:val="20"/>
              </w:rPr>
              <w:t xml:space="preserve"> 2021</w:t>
            </w:r>
          </w:p>
        </w:tc>
      </w:tr>
      <w:tr w:rsidR="003E16A0" w:rsidRPr="00BB2672" w14:paraId="1C9085ED" w14:textId="77777777" w:rsidTr="0059241F">
        <w:trPr>
          <w:trHeight w:val="1699"/>
          <w:jc w:val="center"/>
        </w:trPr>
        <w:tc>
          <w:tcPr>
            <w:tcW w:w="1323" w:type="dxa"/>
            <w:vAlign w:val="center"/>
          </w:tcPr>
          <w:p w14:paraId="6281C99F" w14:textId="77777777" w:rsidR="003E16A0" w:rsidRPr="00BB2672" w:rsidRDefault="003E16A0" w:rsidP="00195949">
            <w:pPr>
              <w:rPr>
                <w:rFonts w:ascii="Arial" w:hAnsi="Arial" w:cs="Arial"/>
                <w:sz w:val="20"/>
                <w:szCs w:val="20"/>
              </w:rPr>
            </w:pPr>
            <w:r w:rsidRPr="00BB2672">
              <w:rPr>
                <w:rFonts w:ascii="Arial" w:hAnsi="Arial" w:cs="Arial"/>
                <w:sz w:val="20"/>
                <w:szCs w:val="20"/>
              </w:rPr>
              <w:t>Leaf biofortification (amino acids / microbes)</w:t>
            </w:r>
          </w:p>
        </w:tc>
        <w:tc>
          <w:tcPr>
            <w:tcW w:w="1034" w:type="dxa"/>
            <w:vAlign w:val="center"/>
          </w:tcPr>
          <w:p w14:paraId="2820C842" w14:textId="77777777" w:rsidR="003E16A0" w:rsidRPr="00BB2672" w:rsidRDefault="003E16A0" w:rsidP="00195949">
            <w:pPr>
              <w:rPr>
                <w:rFonts w:ascii="Arial" w:hAnsi="Arial" w:cs="Arial"/>
                <w:sz w:val="20"/>
                <w:szCs w:val="20"/>
              </w:rPr>
            </w:pPr>
            <w:r w:rsidRPr="00BB2672">
              <w:rPr>
                <w:rFonts w:ascii="Arial" w:hAnsi="Arial" w:cs="Arial"/>
                <w:sz w:val="20"/>
                <w:szCs w:val="20"/>
              </w:rPr>
              <w:t>Controlled trials</w:t>
            </w:r>
          </w:p>
        </w:tc>
        <w:tc>
          <w:tcPr>
            <w:tcW w:w="1244" w:type="dxa"/>
            <w:vAlign w:val="center"/>
          </w:tcPr>
          <w:p w14:paraId="0CAF4A3F" w14:textId="77777777" w:rsidR="003E16A0" w:rsidRPr="00BB2672" w:rsidRDefault="003E16A0" w:rsidP="00195949">
            <w:pPr>
              <w:rPr>
                <w:rFonts w:ascii="Arial" w:hAnsi="Arial" w:cs="Arial"/>
                <w:sz w:val="20"/>
                <w:szCs w:val="20"/>
              </w:rPr>
            </w:pPr>
            <w:r w:rsidRPr="00BB2672">
              <w:rPr>
                <w:rFonts w:ascii="Arial" w:hAnsi="Arial" w:cs="Arial"/>
                <w:sz w:val="20"/>
                <w:szCs w:val="20"/>
              </w:rPr>
              <w:t>N/A</w:t>
            </w:r>
          </w:p>
        </w:tc>
        <w:tc>
          <w:tcPr>
            <w:tcW w:w="1213" w:type="dxa"/>
            <w:vAlign w:val="center"/>
          </w:tcPr>
          <w:p w14:paraId="3BC00431" w14:textId="77777777" w:rsidR="003E16A0" w:rsidRPr="00BB2672" w:rsidRDefault="003E16A0" w:rsidP="00195949">
            <w:pPr>
              <w:rPr>
                <w:rFonts w:ascii="Arial" w:hAnsi="Arial" w:cs="Arial"/>
                <w:sz w:val="20"/>
                <w:szCs w:val="20"/>
              </w:rPr>
            </w:pPr>
            <w:r w:rsidRPr="00BB2672">
              <w:rPr>
                <w:rFonts w:ascii="Arial" w:hAnsi="Arial" w:cs="Arial"/>
                <w:sz w:val="20"/>
                <w:szCs w:val="20"/>
              </w:rPr>
              <w:t>More protein, balanced amino acids</w:t>
            </w:r>
          </w:p>
        </w:tc>
        <w:tc>
          <w:tcPr>
            <w:tcW w:w="1106" w:type="dxa"/>
            <w:vAlign w:val="center"/>
          </w:tcPr>
          <w:p w14:paraId="506D9335" w14:textId="77777777" w:rsidR="003E16A0" w:rsidRPr="00BB2672" w:rsidRDefault="003E16A0" w:rsidP="00195949">
            <w:pPr>
              <w:rPr>
                <w:rFonts w:ascii="Arial" w:hAnsi="Arial" w:cs="Arial"/>
                <w:sz w:val="20"/>
                <w:szCs w:val="20"/>
              </w:rPr>
            </w:pPr>
            <w:r w:rsidRPr="00BB2672">
              <w:rPr>
                <w:rFonts w:ascii="Arial" w:hAnsi="Arial" w:cs="Arial"/>
                <w:sz w:val="20"/>
                <w:szCs w:val="20"/>
              </w:rPr>
              <w:t>N/A</w:t>
            </w:r>
          </w:p>
        </w:tc>
        <w:tc>
          <w:tcPr>
            <w:tcW w:w="1420" w:type="dxa"/>
            <w:vAlign w:val="center"/>
          </w:tcPr>
          <w:p w14:paraId="16B53611" w14:textId="77777777" w:rsidR="003E16A0" w:rsidRPr="00BB2672" w:rsidRDefault="003E16A0" w:rsidP="00195949">
            <w:pPr>
              <w:rPr>
                <w:rFonts w:ascii="Arial" w:hAnsi="Arial" w:cs="Arial"/>
                <w:sz w:val="20"/>
                <w:szCs w:val="20"/>
              </w:rPr>
            </w:pPr>
            <w:r w:rsidRPr="00BB2672">
              <w:rPr>
                <w:rFonts w:ascii="Arial" w:hAnsi="Arial" w:cs="Arial"/>
                <w:sz w:val="20"/>
                <w:szCs w:val="20"/>
              </w:rPr>
              <w:t>Increased larval weight, cocoon weight, filament length</w:t>
            </w:r>
          </w:p>
        </w:tc>
        <w:tc>
          <w:tcPr>
            <w:tcW w:w="1084" w:type="dxa"/>
            <w:vAlign w:val="center"/>
          </w:tcPr>
          <w:p w14:paraId="40E7ED89" w14:textId="77777777" w:rsidR="003E16A0" w:rsidRPr="00BB2672" w:rsidRDefault="003E16A0" w:rsidP="00195949">
            <w:pPr>
              <w:rPr>
                <w:rFonts w:ascii="Arial" w:hAnsi="Arial" w:cs="Arial"/>
                <w:sz w:val="20"/>
                <w:szCs w:val="20"/>
              </w:rPr>
            </w:pPr>
            <w:r w:rsidRPr="00BB2672">
              <w:rPr>
                <w:rFonts w:ascii="Arial" w:hAnsi="Arial" w:cs="Arial"/>
                <w:sz w:val="20"/>
                <w:szCs w:val="20"/>
              </w:rPr>
              <w:t xml:space="preserve">Muzamil </w:t>
            </w:r>
            <w:r w:rsidRPr="00E010A1">
              <w:rPr>
                <w:rFonts w:ascii="Arial" w:hAnsi="Arial" w:cs="Arial"/>
                <w:i/>
                <w:iCs/>
                <w:sz w:val="20"/>
                <w:szCs w:val="20"/>
              </w:rPr>
              <w:t>et al.,</w:t>
            </w:r>
            <w:r w:rsidRPr="00BB2672">
              <w:rPr>
                <w:rFonts w:ascii="Arial" w:hAnsi="Arial" w:cs="Arial"/>
                <w:sz w:val="20"/>
                <w:szCs w:val="20"/>
              </w:rPr>
              <w:t xml:space="preserve"> 2023; Wang </w:t>
            </w:r>
            <w:r w:rsidRPr="00E010A1">
              <w:rPr>
                <w:rFonts w:ascii="Arial" w:hAnsi="Arial" w:cs="Arial"/>
                <w:i/>
                <w:iCs/>
                <w:sz w:val="20"/>
                <w:szCs w:val="20"/>
              </w:rPr>
              <w:t>et al.,</w:t>
            </w:r>
            <w:r w:rsidRPr="00BB2672">
              <w:rPr>
                <w:rFonts w:ascii="Arial" w:hAnsi="Arial" w:cs="Arial"/>
                <w:sz w:val="20"/>
                <w:szCs w:val="20"/>
              </w:rPr>
              <w:t xml:space="preserve"> 2019</w:t>
            </w:r>
          </w:p>
        </w:tc>
      </w:tr>
      <w:tr w:rsidR="003E16A0" w:rsidRPr="00BB2672" w14:paraId="3603E360" w14:textId="77777777" w:rsidTr="0059241F">
        <w:trPr>
          <w:trHeight w:val="1695"/>
          <w:jc w:val="center"/>
        </w:trPr>
        <w:tc>
          <w:tcPr>
            <w:tcW w:w="1323" w:type="dxa"/>
            <w:vAlign w:val="center"/>
          </w:tcPr>
          <w:p w14:paraId="6F6E90D0" w14:textId="77777777" w:rsidR="003E16A0" w:rsidRPr="00BB2672" w:rsidRDefault="003E16A0" w:rsidP="00195949">
            <w:pPr>
              <w:tabs>
                <w:tab w:val="left" w:pos="1350"/>
              </w:tabs>
              <w:rPr>
                <w:rFonts w:ascii="Arial" w:hAnsi="Arial" w:cs="Arial"/>
                <w:sz w:val="20"/>
                <w:szCs w:val="20"/>
              </w:rPr>
            </w:pPr>
            <w:r w:rsidRPr="00BB2672">
              <w:rPr>
                <w:rFonts w:ascii="Arial" w:hAnsi="Arial" w:cs="Arial"/>
                <w:sz w:val="20"/>
                <w:szCs w:val="20"/>
              </w:rPr>
              <w:t>Biochar + NPK</w:t>
            </w:r>
          </w:p>
        </w:tc>
        <w:tc>
          <w:tcPr>
            <w:tcW w:w="1034" w:type="dxa"/>
            <w:vAlign w:val="center"/>
          </w:tcPr>
          <w:p w14:paraId="7FB672D8" w14:textId="77777777" w:rsidR="003E16A0" w:rsidRPr="00BB2672" w:rsidRDefault="003E16A0" w:rsidP="00195949">
            <w:pPr>
              <w:rPr>
                <w:rFonts w:ascii="Arial" w:hAnsi="Arial" w:cs="Arial"/>
                <w:sz w:val="20"/>
                <w:szCs w:val="20"/>
              </w:rPr>
            </w:pPr>
            <w:r w:rsidRPr="00BB2672">
              <w:rPr>
                <w:rFonts w:ascii="Arial" w:hAnsi="Arial" w:cs="Arial"/>
                <w:sz w:val="20"/>
                <w:szCs w:val="20"/>
              </w:rPr>
              <w:t xml:space="preserve">Field, </w:t>
            </w:r>
            <w:proofErr w:type="spellStart"/>
            <w:r w:rsidRPr="00BB2672">
              <w:rPr>
                <w:rFonts w:ascii="Arial" w:hAnsi="Arial" w:cs="Arial"/>
                <w:sz w:val="20"/>
                <w:szCs w:val="20"/>
              </w:rPr>
              <w:t>multicut</w:t>
            </w:r>
            <w:proofErr w:type="spellEnd"/>
          </w:p>
        </w:tc>
        <w:tc>
          <w:tcPr>
            <w:tcW w:w="1244" w:type="dxa"/>
            <w:vAlign w:val="center"/>
          </w:tcPr>
          <w:p w14:paraId="1560CF45" w14:textId="77777777" w:rsidR="003E16A0" w:rsidRPr="00BB2672" w:rsidRDefault="003E16A0" w:rsidP="00195949">
            <w:pPr>
              <w:rPr>
                <w:rFonts w:ascii="Arial" w:hAnsi="Arial" w:cs="Arial"/>
                <w:sz w:val="20"/>
                <w:szCs w:val="20"/>
              </w:rPr>
            </w:pPr>
            <w:r w:rsidRPr="00BB2672">
              <w:rPr>
                <w:rFonts w:ascii="Arial" w:hAnsi="Arial" w:cs="Arial"/>
                <w:sz w:val="20"/>
                <w:szCs w:val="20"/>
              </w:rPr>
              <w:t>Increased seasonal leaf yield</w:t>
            </w:r>
          </w:p>
        </w:tc>
        <w:tc>
          <w:tcPr>
            <w:tcW w:w="1213" w:type="dxa"/>
            <w:vAlign w:val="center"/>
          </w:tcPr>
          <w:p w14:paraId="3DFC34DA" w14:textId="77777777" w:rsidR="003E16A0" w:rsidRPr="00BB2672" w:rsidRDefault="003E16A0" w:rsidP="00195949">
            <w:pPr>
              <w:rPr>
                <w:rFonts w:ascii="Arial" w:hAnsi="Arial" w:cs="Arial"/>
                <w:sz w:val="20"/>
                <w:szCs w:val="20"/>
              </w:rPr>
            </w:pPr>
            <w:r w:rsidRPr="00BB2672">
              <w:rPr>
                <w:rFonts w:ascii="Arial" w:hAnsi="Arial" w:cs="Arial"/>
                <w:sz w:val="20"/>
                <w:szCs w:val="20"/>
              </w:rPr>
              <w:t>Increased leaf nutrient content</w:t>
            </w:r>
          </w:p>
        </w:tc>
        <w:tc>
          <w:tcPr>
            <w:tcW w:w="1106" w:type="dxa"/>
            <w:vAlign w:val="center"/>
          </w:tcPr>
          <w:p w14:paraId="0F845E2C" w14:textId="77777777" w:rsidR="003E16A0" w:rsidRPr="00BB2672" w:rsidRDefault="003E16A0" w:rsidP="00195949">
            <w:pPr>
              <w:rPr>
                <w:rFonts w:ascii="Arial" w:hAnsi="Arial" w:cs="Arial"/>
                <w:sz w:val="20"/>
                <w:szCs w:val="20"/>
              </w:rPr>
            </w:pPr>
            <w:r w:rsidRPr="00BB2672">
              <w:rPr>
                <w:rFonts w:ascii="Arial" w:hAnsi="Arial" w:cs="Arial"/>
                <w:sz w:val="20"/>
                <w:szCs w:val="20"/>
              </w:rPr>
              <w:t>Increased N, P, K uptake</w:t>
            </w:r>
          </w:p>
        </w:tc>
        <w:tc>
          <w:tcPr>
            <w:tcW w:w="1420" w:type="dxa"/>
            <w:vAlign w:val="center"/>
          </w:tcPr>
          <w:p w14:paraId="641D82B1" w14:textId="77777777" w:rsidR="003E16A0" w:rsidRPr="00BB2672" w:rsidRDefault="003E16A0" w:rsidP="00195949">
            <w:pPr>
              <w:rPr>
                <w:rFonts w:ascii="Arial" w:hAnsi="Arial" w:cs="Arial"/>
                <w:sz w:val="20"/>
                <w:szCs w:val="20"/>
              </w:rPr>
            </w:pPr>
            <w:r w:rsidRPr="00BB2672">
              <w:rPr>
                <w:rFonts w:ascii="Arial" w:hAnsi="Arial" w:cs="Arial"/>
                <w:sz w:val="20"/>
                <w:szCs w:val="20"/>
              </w:rPr>
              <w:t>Improved silkworm performance</w:t>
            </w:r>
          </w:p>
        </w:tc>
        <w:tc>
          <w:tcPr>
            <w:tcW w:w="1084" w:type="dxa"/>
            <w:vAlign w:val="center"/>
          </w:tcPr>
          <w:p w14:paraId="5B2BAFCB" w14:textId="77777777" w:rsidR="003E16A0" w:rsidRPr="00BB2672" w:rsidRDefault="003E16A0" w:rsidP="00195949">
            <w:pPr>
              <w:rPr>
                <w:rFonts w:ascii="Arial" w:hAnsi="Arial" w:cs="Arial"/>
                <w:sz w:val="20"/>
                <w:szCs w:val="20"/>
              </w:rPr>
            </w:pPr>
            <w:r w:rsidRPr="00BB2672">
              <w:rPr>
                <w:rFonts w:ascii="Arial" w:hAnsi="Arial" w:cs="Arial"/>
                <w:sz w:val="20"/>
                <w:szCs w:val="20"/>
              </w:rPr>
              <w:t xml:space="preserve">Nandini </w:t>
            </w:r>
            <w:r w:rsidRPr="00E010A1">
              <w:rPr>
                <w:rFonts w:ascii="Arial" w:hAnsi="Arial" w:cs="Arial"/>
                <w:i/>
                <w:iCs/>
                <w:sz w:val="20"/>
                <w:szCs w:val="20"/>
              </w:rPr>
              <w:t>et al.,</w:t>
            </w:r>
            <w:r w:rsidRPr="00BB2672">
              <w:rPr>
                <w:rFonts w:ascii="Arial" w:hAnsi="Arial" w:cs="Arial"/>
                <w:sz w:val="20"/>
                <w:szCs w:val="20"/>
              </w:rPr>
              <w:t xml:space="preserve"> 2024a; Nandini </w:t>
            </w:r>
            <w:r w:rsidRPr="00E010A1">
              <w:rPr>
                <w:rFonts w:ascii="Arial" w:hAnsi="Arial" w:cs="Arial"/>
                <w:i/>
                <w:iCs/>
                <w:sz w:val="20"/>
                <w:szCs w:val="20"/>
              </w:rPr>
              <w:t>et al.,</w:t>
            </w:r>
            <w:r w:rsidRPr="00BB2672">
              <w:rPr>
                <w:rFonts w:ascii="Arial" w:hAnsi="Arial" w:cs="Arial"/>
                <w:sz w:val="20"/>
                <w:szCs w:val="20"/>
              </w:rPr>
              <w:t xml:space="preserve"> 2024b</w:t>
            </w:r>
          </w:p>
        </w:tc>
      </w:tr>
    </w:tbl>
    <w:p w14:paraId="4E36B18A" w14:textId="77777777" w:rsidR="003E16A0" w:rsidRPr="00BB2672" w:rsidRDefault="003E16A0" w:rsidP="003E16A0">
      <w:pPr>
        <w:jc w:val="both"/>
        <w:rPr>
          <w:rFonts w:ascii="Arial" w:hAnsi="Arial" w:cs="Arial"/>
          <w:lang w:eastAsia="en-IN"/>
        </w:rPr>
      </w:pPr>
    </w:p>
    <w:p w14:paraId="2345E8E8" w14:textId="77777777" w:rsidR="003E16A0" w:rsidRPr="00BB2672" w:rsidRDefault="003E16A0" w:rsidP="003E16A0">
      <w:pPr>
        <w:jc w:val="both"/>
        <w:rPr>
          <w:rFonts w:ascii="Arial" w:hAnsi="Arial" w:cs="Arial"/>
          <w:lang w:eastAsia="en-IN"/>
        </w:rPr>
      </w:pPr>
    </w:p>
    <w:p w14:paraId="4C04C3BA" w14:textId="77777777" w:rsidR="003E16A0" w:rsidRPr="00BB2672" w:rsidRDefault="003E16A0" w:rsidP="003E16A0">
      <w:pPr>
        <w:jc w:val="center"/>
        <w:rPr>
          <w:rFonts w:ascii="Arial" w:hAnsi="Arial" w:cs="Arial"/>
          <w:lang w:eastAsia="en-IN"/>
        </w:rPr>
      </w:pPr>
      <w:r w:rsidRPr="00BB2672">
        <w:rPr>
          <w:rFonts w:ascii="Arial" w:hAnsi="Arial" w:cs="Arial"/>
          <w:noProof/>
          <w:lang w:eastAsia="en-IN"/>
        </w:rPr>
        <w:lastRenderedPageBreak/>
        <w:drawing>
          <wp:inline distT="0" distB="0" distL="0" distR="0" wp14:anchorId="0EA555BF" wp14:editId="77D734C2">
            <wp:extent cx="2305050" cy="3342617"/>
            <wp:effectExtent l="0" t="0" r="0" b="0"/>
            <wp:docPr id="3272192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9295" name="Picture 327219295"/>
                    <pic:cNvPicPr/>
                  </pic:nvPicPr>
                  <pic:blipFill>
                    <a:blip r:embed="rId16">
                      <a:extLst>
                        <a:ext uri="{28A0092B-C50C-407E-A947-70E740481C1C}">
                          <a14:useLocalDpi xmlns:a14="http://schemas.microsoft.com/office/drawing/2010/main" val="0"/>
                        </a:ext>
                      </a:extLst>
                    </a:blip>
                    <a:stretch>
                      <a:fillRect/>
                    </a:stretch>
                  </pic:blipFill>
                  <pic:spPr>
                    <a:xfrm>
                      <a:off x="0" y="0"/>
                      <a:ext cx="2316730" cy="3359554"/>
                    </a:xfrm>
                    <a:prstGeom prst="rect">
                      <a:avLst/>
                    </a:prstGeom>
                  </pic:spPr>
                </pic:pic>
              </a:graphicData>
            </a:graphic>
          </wp:inline>
        </w:drawing>
      </w:r>
    </w:p>
    <w:p w14:paraId="6DD5A04B" w14:textId="77777777" w:rsidR="003E16A0" w:rsidRPr="00BB2672" w:rsidRDefault="003E16A0" w:rsidP="003E16A0">
      <w:pPr>
        <w:jc w:val="center"/>
        <w:rPr>
          <w:rFonts w:ascii="Arial" w:hAnsi="Arial" w:cs="Arial"/>
          <w:b/>
          <w:bCs/>
          <w:lang w:eastAsia="en-IN"/>
        </w:rPr>
      </w:pPr>
    </w:p>
    <w:p w14:paraId="37734266" w14:textId="77777777" w:rsidR="003E16A0" w:rsidRPr="00BB2672" w:rsidRDefault="003E16A0" w:rsidP="003E16A0">
      <w:pPr>
        <w:jc w:val="center"/>
        <w:rPr>
          <w:rFonts w:ascii="Arial" w:hAnsi="Arial" w:cs="Arial"/>
          <w:b/>
          <w:bCs/>
          <w:lang w:eastAsia="en-IN"/>
        </w:rPr>
      </w:pPr>
      <w:r w:rsidRPr="00BB2672">
        <w:rPr>
          <w:rFonts w:ascii="Arial" w:hAnsi="Arial" w:cs="Arial"/>
          <w:b/>
          <w:bCs/>
          <w:lang w:eastAsia="en-IN"/>
        </w:rPr>
        <w:t>Figure 3. Conceptual pathway linking biochar–biofertilizer pellet application to improved soil fertility, mulberry leaf quality, silkworm growth and productivity, and overall sustainability of sericulture systems.</w:t>
      </w:r>
    </w:p>
    <w:p w14:paraId="5BC72549" w14:textId="77777777" w:rsidR="003E16A0" w:rsidRPr="00BB2672" w:rsidRDefault="003E16A0" w:rsidP="003E16A0">
      <w:pPr>
        <w:jc w:val="center"/>
        <w:rPr>
          <w:rFonts w:ascii="Arial" w:hAnsi="Arial" w:cs="Arial"/>
          <w:sz w:val="24"/>
          <w:szCs w:val="24"/>
          <w:lang w:eastAsia="en-IN"/>
        </w:rPr>
      </w:pPr>
    </w:p>
    <w:p w14:paraId="01EE4062" w14:textId="5F0C7972" w:rsidR="003E16A0" w:rsidRPr="00BB2672" w:rsidRDefault="003A0C1D" w:rsidP="003A0C1D">
      <w:pPr>
        <w:pStyle w:val="ListParagraph"/>
        <w:numPr>
          <w:ilvl w:val="0"/>
          <w:numId w:val="33"/>
        </w:numPr>
        <w:rPr>
          <w:rFonts w:ascii="Arial" w:eastAsia="Times New Roman" w:hAnsi="Arial" w:cs="Arial"/>
          <w:b/>
          <w:bCs/>
          <w:kern w:val="0"/>
          <w:sz w:val="22"/>
          <w:szCs w:val="22"/>
          <w:lang w:eastAsia="en-IN"/>
        </w:rPr>
      </w:pPr>
      <w:r w:rsidRPr="00BB2672">
        <w:rPr>
          <w:rFonts w:ascii="Arial" w:eastAsia="Times New Roman" w:hAnsi="Arial" w:cs="Arial"/>
          <w:b/>
          <w:bCs/>
          <w:kern w:val="0"/>
          <w:sz w:val="22"/>
          <w:szCs w:val="22"/>
          <w:lang w:eastAsia="en-IN"/>
        </w:rPr>
        <w:t xml:space="preserve">IMPLICATIONS FOR SILKWORM PERFORMANCE AND SERICULTURE PRODUCTIVITY </w:t>
      </w:r>
    </w:p>
    <w:p w14:paraId="2C28A16E" w14:textId="03685D6D" w:rsidR="003E16A0" w:rsidRPr="00BB2672" w:rsidRDefault="003E16A0" w:rsidP="003A0C1D">
      <w:pPr>
        <w:ind w:firstLine="720"/>
        <w:jc w:val="both"/>
        <w:rPr>
          <w:rFonts w:ascii="Arial" w:hAnsi="Arial" w:cs="Arial"/>
          <w:lang w:eastAsia="en-IN"/>
        </w:rPr>
      </w:pPr>
      <w:r w:rsidRPr="00BB2672">
        <w:rPr>
          <w:rFonts w:ascii="Arial" w:hAnsi="Arial" w:cs="Arial"/>
          <w:lang w:eastAsia="en-IN"/>
        </w:rPr>
        <w:t>Mulberry leaf quality is the primary driver of silkworm biological performance. Protein content, amino-acid profile, moisture content and leaf maturity together determine larval consumption, digestion efficiency and the conversion of ingested biomass into cocoon and silk (</w:t>
      </w:r>
      <w:proofErr w:type="spellStart"/>
      <w:r w:rsidRPr="00BB2672">
        <w:rPr>
          <w:rFonts w:ascii="Arial" w:hAnsi="Arial" w:cs="Arial"/>
          <w:lang w:eastAsia="en-IN"/>
        </w:rPr>
        <w:t>Doliș</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2024; Sangha </w:t>
      </w:r>
      <w:r w:rsidRPr="00BB2672">
        <w:rPr>
          <w:rFonts w:ascii="Arial" w:hAnsi="Arial" w:cs="Arial"/>
          <w:i/>
          <w:iCs/>
          <w:lang w:eastAsia="en-IN"/>
        </w:rPr>
        <w:t>et al.,</w:t>
      </w:r>
      <w:r w:rsidRPr="00BB2672">
        <w:rPr>
          <w:rFonts w:ascii="Arial" w:hAnsi="Arial" w:cs="Arial"/>
          <w:lang w:eastAsia="en-IN"/>
        </w:rPr>
        <w:t xml:space="preserve"> 2024). Studies quantifying digestibility and proximate composition show that leaves with higher crude protein and </w:t>
      </w:r>
      <w:r w:rsidR="00B26AD7" w:rsidRPr="00BB2672">
        <w:rPr>
          <w:rFonts w:ascii="Arial" w:hAnsi="Arial" w:cs="Arial"/>
          <w:lang w:eastAsia="en-IN"/>
        </w:rPr>
        <w:t>favorable</w:t>
      </w:r>
      <w:r w:rsidRPr="00BB2672">
        <w:rPr>
          <w:rFonts w:ascii="Arial" w:hAnsi="Arial" w:cs="Arial"/>
          <w:lang w:eastAsia="en-IN"/>
        </w:rPr>
        <w:t xml:space="preserve"> soluble carbohydrate fractions increase larval growth rate and shorten larval period, which often translates into higher pupal and cocoon weights and improved silk yield per crop (</w:t>
      </w:r>
      <w:proofErr w:type="spellStart"/>
      <w:r w:rsidRPr="00BB2672">
        <w:rPr>
          <w:rFonts w:ascii="Arial" w:hAnsi="Arial" w:cs="Arial"/>
          <w:lang w:eastAsia="en-IN"/>
        </w:rPr>
        <w:t>Doliș</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2024; Muzamil </w:t>
      </w:r>
      <w:r w:rsidRPr="00BB2672">
        <w:rPr>
          <w:rFonts w:ascii="Arial" w:hAnsi="Arial" w:cs="Arial"/>
          <w:i/>
          <w:iCs/>
          <w:lang w:eastAsia="en-IN"/>
        </w:rPr>
        <w:t>et al.,</w:t>
      </w:r>
      <w:r w:rsidRPr="00BB2672">
        <w:rPr>
          <w:rFonts w:ascii="Arial" w:hAnsi="Arial" w:cs="Arial"/>
          <w:lang w:eastAsia="en-IN"/>
        </w:rPr>
        <w:t xml:space="preserve"> 2023). Because mulberry is a </w:t>
      </w:r>
      <w:proofErr w:type="spellStart"/>
      <w:r w:rsidRPr="00BB2672">
        <w:rPr>
          <w:rFonts w:ascii="Arial" w:hAnsi="Arial" w:cs="Arial"/>
          <w:lang w:eastAsia="en-IN"/>
        </w:rPr>
        <w:t>multicut</w:t>
      </w:r>
      <w:proofErr w:type="spellEnd"/>
      <w:r w:rsidRPr="00BB2672">
        <w:rPr>
          <w:rFonts w:ascii="Arial" w:hAnsi="Arial" w:cs="Arial"/>
          <w:lang w:eastAsia="en-IN"/>
        </w:rPr>
        <w:t xml:space="preserve"> crop, maintaining leaf nutritional quality across successive harvests, by appropriate fertilization, irrigation and pruning regimes, is essential to sustain multi-crop silkworm performance on commercial farms (Baciu </w:t>
      </w:r>
      <w:r w:rsidRPr="00BB2672">
        <w:rPr>
          <w:rFonts w:ascii="Arial" w:hAnsi="Arial" w:cs="Arial"/>
          <w:i/>
          <w:iCs/>
          <w:lang w:eastAsia="en-IN"/>
        </w:rPr>
        <w:t>et al.,</w:t>
      </w:r>
      <w:r w:rsidRPr="00BB2672">
        <w:rPr>
          <w:rFonts w:ascii="Arial" w:hAnsi="Arial" w:cs="Arial"/>
          <w:lang w:eastAsia="en-IN"/>
        </w:rPr>
        <w:t xml:space="preserve"> 2023; Ren </w:t>
      </w:r>
      <w:r w:rsidRPr="00BB2672">
        <w:rPr>
          <w:rFonts w:ascii="Arial" w:hAnsi="Arial" w:cs="Arial"/>
          <w:i/>
          <w:iCs/>
          <w:lang w:eastAsia="en-IN"/>
        </w:rPr>
        <w:t>et al.,</w:t>
      </w:r>
      <w:r w:rsidRPr="00BB2672">
        <w:rPr>
          <w:rFonts w:ascii="Arial" w:hAnsi="Arial" w:cs="Arial"/>
          <w:lang w:eastAsia="en-IN"/>
        </w:rPr>
        <w:t xml:space="preserve"> 2025).</w:t>
      </w:r>
    </w:p>
    <w:p w14:paraId="2DC5CAC9" w14:textId="77777777" w:rsidR="003E16A0" w:rsidRPr="00BB2672" w:rsidRDefault="003E16A0" w:rsidP="003A0C1D">
      <w:pPr>
        <w:ind w:firstLine="720"/>
        <w:jc w:val="both"/>
        <w:rPr>
          <w:rFonts w:ascii="Arial" w:hAnsi="Arial" w:cs="Arial"/>
          <w:lang w:eastAsia="en-IN"/>
        </w:rPr>
      </w:pPr>
      <w:r w:rsidRPr="00BB2672">
        <w:rPr>
          <w:rFonts w:ascii="Arial" w:hAnsi="Arial" w:cs="Arial"/>
          <w:lang w:eastAsia="en-IN"/>
        </w:rPr>
        <w:t>Leaf biochemical composition affects specific silkworm traits that matter to producers. Higher leaf crude protein and balanced amino-acid availability support silk gland development and increase shell ratio and filament length; conversely, low moisture or overly mature leaves reduce palatability and digestibility, lowering feed conversion efficiency and cocoon quality (</w:t>
      </w:r>
      <w:proofErr w:type="spellStart"/>
      <w:r w:rsidRPr="00BB2672">
        <w:rPr>
          <w:rFonts w:ascii="Arial" w:hAnsi="Arial" w:cs="Arial"/>
          <w:lang w:eastAsia="en-IN"/>
        </w:rPr>
        <w:t>Doliș</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2024; Muzamil </w:t>
      </w:r>
      <w:r w:rsidRPr="00BB2672">
        <w:rPr>
          <w:rFonts w:ascii="Arial" w:hAnsi="Arial" w:cs="Arial"/>
          <w:i/>
          <w:iCs/>
          <w:lang w:eastAsia="en-IN"/>
        </w:rPr>
        <w:t>et al.,</w:t>
      </w:r>
      <w:r w:rsidRPr="00BB2672">
        <w:rPr>
          <w:rFonts w:ascii="Arial" w:hAnsi="Arial" w:cs="Arial"/>
          <w:lang w:eastAsia="en-IN"/>
        </w:rPr>
        <w:t xml:space="preserve"> 2023). Experimental fortification trials (amino acids, protein supplements, microbial additives) demonstrate measurable gains in larval weight, cocoon weight and filament properties when leaves are enriched prior to feeding, indicating that targeted leaf biofortification can be an effective short-term strategy to boost cocoon metrics (Muzamil </w:t>
      </w:r>
      <w:r w:rsidRPr="00BB2672">
        <w:rPr>
          <w:rFonts w:ascii="Arial" w:hAnsi="Arial" w:cs="Arial"/>
          <w:i/>
          <w:iCs/>
          <w:lang w:eastAsia="en-IN"/>
        </w:rPr>
        <w:t>et al.,</w:t>
      </w:r>
      <w:r w:rsidRPr="00BB2672">
        <w:rPr>
          <w:rFonts w:ascii="Arial" w:hAnsi="Arial" w:cs="Arial"/>
          <w:lang w:eastAsia="en-IN"/>
        </w:rPr>
        <w:t xml:space="preserve"> 2023; Wang </w:t>
      </w:r>
      <w:r w:rsidRPr="00BB2672">
        <w:rPr>
          <w:rFonts w:ascii="Arial" w:hAnsi="Arial" w:cs="Arial"/>
          <w:i/>
          <w:iCs/>
          <w:lang w:eastAsia="en-IN"/>
        </w:rPr>
        <w:t>et al.,</w:t>
      </w:r>
      <w:r w:rsidRPr="00BB2672">
        <w:rPr>
          <w:rFonts w:ascii="Arial" w:hAnsi="Arial" w:cs="Arial"/>
          <w:lang w:eastAsia="en-IN"/>
        </w:rPr>
        <w:t xml:space="preserve"> 2019).</w:t>
      </w:r>
    </w:p>
    <w:p w14:paraId="180158FD" w14:textId="77777777" w:rsidR="003E16A0" w:rsidRPr="00BB2672" w:rsidRDefault="003E16A0" w:rsidP="003A0C1D">
      <w:pPr>
        <w:ind w:firstLine="720"/>
        <w:jc w:val="both"/>
        <w:rPr>
          <w:rFonts w:ascii="Arial" w:hAnsi="Arial" w:cs="Arial"/>
          <w:lang w:eastAsia="en-IN"/>
        </w:rPr>
      </w:pPr>
      <w:r w:rsidRPr="00BB2672">
        <w:rPr>
          <w:rFonts w:ascii="Arial" w:hAnsi="Arial" w:cs="Arial"/>
          <w:lang w:eastAsia="en-IN"/>
        </w:rPr>
        <w:t xml:space="preserve">Agronomic inputs and leaf production practices mediate downstream sericultural outcomes and must be optimized for both yield and leaf nutritive value. Nitrogen </w:t>
      </w:r>
      <w:r w:rsidRPr="00BB2672">
        <w:rPr>
          <w:rFonts w:ascii="Arial" w:hAnsi="Arial" w:cs="Arial"/>
          <w:lang w:eastAsia="en-IN"/>
        </w:rPr>
        <w:lastRenderedPageBreak/>
        <w:t xml:space="preserve">management, irrigation scheduling and foliar nutrition influence leaf protein and moisture and therefore silkworm nutrition indices; several field studies and reviews report that balanced nutrient management (organic and mineral) and appropriate irrigation raise leaf crude protein and improve nutrition indices that correlate with better cocoon production (Baciu </w:t>
      </w:r>
      <w:r w:rsidRPr="00BB2672">
        <w:rPr>
          <w:rFonts w:ascii="Arial" w:hAnsi="Arial" w:cs="Arial"/>
          <w:i/>
          <w:iCs/>
          <w:lang w:eastAsia="en-IN"/>
        </w:rPr>
        <w:t>et al.,</w:t>
      </w:r>
      <w:r w:rsidRPr="00BB2672">
        <w:rPr>
          <w:rFonts w:ascii="Arial" w:hAnsi="Arial" w:cs="Arial"/>
          <w:lang w:eastAsia="en-IN"/>
        </w:rPr>
        <w:t xml:space="preserve"> 2023; Li </w:t>
      </w:r>
      <w:r w:rsidRPr="00BB2672">
        <w:rPr>
          <w:rFonts w:ascii="Arial" w:hAnsi="Arial" w:cs="Arial"/>
          <w:i/>
          <w:iCs/>
          <w:lang w:eastAsia="en-IN"/>
        </w:rPr>
        <w:t>et al.,</w:t>
      </w:r>
      <w:r w:rsidRPr="00BB2672">
        <w:rPr>
          <w:rFonts w:ascii="Arial" w:hAnsi="Arial" w:cs="Arial"/>
          <w:lang w:eastAsia="en-IN"/>
        </w:rPr>
        <w:t xml:space="preserve"> 2021). However, there are trade-offs, like excessive or ill-timed fertilization can alter leaf biochemical profiles and surface microflora, which may negatively affect post-harvest leaf handling (ensiling) or even larval gut microbiota and health, so fertilizer rates and timing need to be tailored to sericulture objectives (Li </w:t>
      </w:r>
      <w:r w:rsidRPr="00BB2672">
        <w:rPr>
          <w:rFonts w:ascii="Arial" w:hAnsi="Arial" w:cs="Arial"/>
          <w:i/>
          <w:iCs/>
          <w:lang w:eastAsia="en-IN"/>
        </w:rPr>
        <w:t>et al.,</w:t>
      </w:r>
      <w:r w:rsidRPr="00BB2672">
        <w:rPr>
          <w:rFonts w:ascii="Arial" w:hAnsi="Arial" w:cs="Arial"/>
          <w:lang w:eastAsia="en-IN"/>
        </w:rPr>
        <w:t xml:space="preserve"> 2021; Sangha </w:t>
      </w:r>
      <w:r w:rsidRPr="00BB2672">
        <w:rPr>
          <w:rFonts w:ascii="Arial" w:hAnsi="Arial" w:cs="Arial"/>
          <w:i/>
          <w:iCs/>
          <w:lang w:eastAsia="en-IN"/>
        </w:rPr>
        <w:t>et al.,</w:t>
      </w:r>
      <w:r w:rsidRPr="00BB2672">
        <w:rPr>
          <w:rFonts w:ascii="Arial" w:hAnsi="Arial" w:cs="Arial"/>
          <w:lang w:eastAsia="en-IN"/>
        </w:rPr>
        <w:t xml:space="preserve"> 2024).</w:t>
      </w:r>
    </w:p>
    <w:p w14:paraId="06BF9ED5" w14:textId="77777777" w:rsidR="003E16A0" w:rsidRPr="00BB2672" w:rsidRDefault="003E16A0" w:rsidP="003A0C1D">
      <w:pPr>
        <w:ind w:firstLine="720"/>
        <w:jc w:val="both"/>
        <w:rPr>
          <w:rFonts w:ascii="Arial" w:hAnsi="Arial" w:cs="Arial"/>
          <w:lang w:eastAsia="en-IN"/>
        </w:rPr>
      </w:pPr>
      <w:r w:rsidRPr="00BB2672">
        <w:rPr>
          <w:rFonts w:ascii="Arial" w:hAnsi="Arial" w:cs="Arial"/>
          <w:lang w:eastAsia="en-IN"/>
        </w:rPr>
        <w:t xml:space="preserve">Interactions between leaf treatments (biofortification, microbial/plant-extract fortification) and silkworm physiology point to practical intervention points for sustainable productivity. Field and laboratory trials show that enriching leaves with amino acids, beneficial microbes (e.g., </w:t>
      </w:r>
      <w:r w:rsidRPr="00BB2672">
        <w:rPr>
          <w:rFonts w:ascii="Arial" w:hAnsi="Arial" w:cs="Arial"/>
          <w:i/>
          <w:iCs/>
          <w:lang w:eastAsia="en-IN"/>
        </w:rPr>
        <w:t xml:space="preserve">Bacillus </w:t>
      </w:r>
      <w:r w:rsidRPr="00BB2672">
        <w:rPr>
          <w:rFonts w:ascii="Arial" w:hAnsi="Arial" w:cs="Arial"/>
          <w:lang w:eastAsia="en-IN"/>
        </w:rPr>
        <w:t xml:space="preserve">spp.), or plant extracts improves larval growth, feed conversion ratio, pupal weight and several cocoon quality traits (Muzamil </w:t>
      </w:r>
      <w:r w:rsidRPr="00BB2672">
        <w:rPr>
          <w:rFonts w:ascii="Arial" w:hAnsi="Arial" w:cs="Arial"/>
          <w:i/>
          <w:iCs/>
          <w:lang w:eastAsia="en-IN"/>
        </w:rPr>
        <w:t>et al.,</w:t>
      </w:r>
      <w:r w:rsidRPr="00BB2672">
        <w:rPr>
          <w:rFonts w:ascii="Arial" w:hAnsi="Arial" w:cs="Arial"/>
          <w:lang w:eastAsia="en-IN"/>
        </w:rPr>
        <w:t xml:space="preserve"> 2023; Wang </w:t>
      </w:r>
      <w:r w:rsidRPr="00BB2672">
        <w:rPr>
          <w:rFonts w:ascii="Arial" w:hAnsi="Arial" w:cs="Arial"/>
          <w:i/>
          <w:iCs/>
          <w:lang w:eastAsia="en-IN"/>
        </w:rPr>
        <w:t>et al.,</w:t>
      </w:r>
      <w:r w:rsidRPr="00BB2672">
        <w:rPr>
          <w:rFonts w:ascii="Arial" w:hAnsi="Arial" w:cs="Arial"/>
          <w:lang w:eastAsia="en-IN"/>
        </w:rPr>
        <w:t xml:space="preserve"> 2019; </w:t>
      </w:r>
      <w:proofErr w:type="spellStart"/>
      <w:r w:rsidRPr="00BB2672">
        <w:rPr>
          <w:rFonts w:ascii="Arial" w:hAnsi="Arial" w:cs="Arial"/>
          <w:lang w:eastAsia="en-IN"/>
        </w:rPr>
        <w:t>Hăbeanu</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2024). These interventions can be relatively low-cost and readily integrated into sericulture practice as foliar sprays or post-harvest coatings, offering options to raise silk output without increasing cultivated area; but they require validation across varieties, climates and rearing protocols before wide adoption.</w:t>
      </w:r>
    </w:p>
    <w:p w14:paraId="003CF859" w14:textId="226B4CAD" w:rsidR="003E16A0" w:rsidRPr="00BB2672" w:rsidRDefault="003E16A0" w:rsidP="003A0C1D">
      <w:pPr>
        <w:ind w:firstLine="720"/>
        <w:jc w:val="both"/>
        <w:rPr>
          <w:rFonts w:ascii="Arial" w:hAnsi="Arial" w:cs="Arial"/>
          <w:lang w:eastAsia="en-IN"/>
        </w:rPr>
      </w:pPr>
      <w:r w:rsidRPr="002126ED">
        <w:rPr>
          <w:rFonts w:ascii="Arial" w:hAnsi="Arial" w:cs="Arial"/>
          <w:lang w:eastAsia="en-IN"/>
        </w:rPr>
        <w:t xml:space="preserve">Economic and sustainability implications, linking leaf quality to sector resilience. Improving leaf nutritional quality through sustainable agronomy, including organic amendments, balanced fertilization, water management, and targeted biofortification, enhances silkworm output and raw-silk quality, raising farm incomes and lowering pressure to expand </w:t>
      </w:r>
      <w:proofErr w:type="spellStart"/>
      <w:r w:rsidRPr="002126ED">
        <w:rPr>
          <w:rFonts w:ascii="Arial" w:hAnsi="Arial" w:cs="Arial"/>
          <w:lang w:eastAsia="en-IN"/>
        </w:rPr>
        <w:t>moriculture</w:t>
      </w:r>
      <w:proofErr w:type="spellEnd"/>
      <w:r w:rsidRPr="002126ED">
        <w:rPr>
          <w:rFonts w:ascii="Arial" w:hAnsi="Arial" w:cs="Arial"/>
          <w:lang w:eastAsia="en-IN"/>
        </w:rPr>
        <w:t xml:space="preserve"> area</w:t>
      </w:r>
      <w:r w:rsidRPr="00BB2672">
        <w:rPr>
          <w:rFonts w:ascii="Arial" w:hAnsi="Arial" w:cs="Arial"/>
          <w:lang w:eastAsia="en-IN"/>
        </w:rPr>
        <w:t xml:space="preserve"> (Baciu </w:t>
      </w:r>
      <w:r w:rsidRPr="00BB2672">
        <w:rPr>
          <w:rFonts w:ascii="Arial" w:hAnsi="Arial" w:cs="Arial"/>
          <w:i/>
          <w:iCs/>
          <w:lang w:eastAsia="en-IN"/>
        </w:rPr>
        <w:t>et al.,</w:t>
      </w:r>
      <w:r w:rsidRPr="00BB2672">
        <w:rPr>
          <w:rFonts w:ascii="Arial" w:hAnsi="Arial" w:cs="Arial"/>
          <w:lang w:eastAsia="en-IN"/>
        </w:rPr>
        <w:t xml:space="preserve"> 2023; Sangha </w:t>
      </w:r>
      <w:r w:rsidRPr="00BB2672">
        <w:rPr>
          <w:rFonts w:ascii="Arial" w:hAnsi="Arial" w:cs="Arial"/>
          <w:i/>
          <w:iCs/>
          <w:lang w:eastAsia="en-IN"/>
        </w:rPr>
        <w:t>et al.,</w:t>
      </w:r>
      <w:r w:rsidRPr="00BB2672">
        <w:rPr>
          <w:rFonts w:ascii="Arial" w:hAnsi="Arial" w:cs="Arial"/>
          <w:lang w:eastAsia="en-IN"/>
        </w:rPr>
        <w:t xml:space="preserve"> 2024). Integrating these practices into eco-friendly sericulture systems (reduced chemical footprint, use of bioinoculants, mulberry residue recycling) aligns with circular-economy goals and can reduce environmental externalities while maintaining or increasing cocoon yields (Ren </w:t>
      </w:r>
      <w:r w:rsidRPr="00BB2672">
        <w:rPr>
          <w:rFonts w:ascii="Arial" w:hAnsi="Arial" w:cs="Arial"/>
          <w:i/>
          <w:iCs/>
          <w:lang w:eastAsia="en-IN"/>
        </w:rPr>
        <w:t>et al.,</w:t>
      </w:r>
      <w:r w:rsidRPr="00BB2672">
        <w:rPr>
          <w:rFonts w:ascii="Arial" w:hAnsi="Arial" w:cs="Arial"/>
          <w:lang w:eastAsia="en-IN"/>
        </w:rPr>
        <w:t xml:space="preserve"> 2025</w:t>
      </w:r>
      <w:r w:rsidR="00BB2672" w:rsidRPr="00BB2672">
        <w:rPr>
          <w:rFonts w:ascii="Arial" w:hAnsi="Arial" w:cs="Arial"/>
          <w:lang w:eastAsia="en-IN"/>
        </w:rPr>
        <w:t xml:space="preserve">; Baciu </w:t>
      </w:r>
      <w:r w:rsidR="00BB2672" w:rsidRPr="00BB2672">
        <w:rPr>
          <w:rFonts w:ascii="Arial" w:hAnsi="Arial" w:cs="Arial"/>
          <w:i/>
          <w:iCs/>
          <w:lang w:eastAsia="en-IN"/>
        </w:rPr>
        <w:t>et al.,</w:t>
      </w:r>
      <w:r w:rsidR="00BB2672" w:rsidRPr="00BB2672">
        <w:rPr>
          <w:rFonts w:ascii="Arial" w:hAnsi="Arial" w:cs="Arial"/>
          <w:lang w:eastAsia="en-IN"/>
        </w:rPr>
        <w:t xml:space="preserve"> 2023</w:t>
      </w:r>
      <w:r w:rsidRPr="00BB2672">
        <w:rPr>
          <w:rFonts w:ascii="Arial" w:hAnsi="Arial" w:cs="Arial"/>
          <w:lang w:eastAsia="en-IN"/>
        </w:rPr>
        <w:t>). Longer-term trials that link leaf chemistry, larval microbiome, cocoon quality and farmer economics remain a priority to quantify trade-offs and scale benefits.</w:t>
      </w:r>
    </w:p>
    <w:p w14:paraId="3E100CD4" w14:textId="3869DA63" w:rsidR="003E16A0" w:rsidRPr="00BB2672" w:rsidRDefault="003E16A0" w:rsidP="003A0C1D">
      <w:pPr>
        <w:ind w:firstLine="720"/>
        <w:jc w:val="both"/>
        <w:rPr>
          <w:rFonts w:ascii="Arial" w:hAnsi="Arial" w:cs="Arial"/>
          <w:lang w:eastAsia="en-IN"/>
        </w:rPr>
      </w:pPr>
      <w:r w:rsidRPr="00BB2672">
        <w:rPr>
          <w:rFonts w:ascii="Arial" w:hAnsi="Arial" w:cs="Arial"/>
          <w:lang w:eastAsia="en-IN"/>
        </w:rPr>
        <w:t>Practical recommendations for sericulture practitioners emphasize the importance of monitoring leaf quality parameters and aligning cultivation with silkworm nutritional needs. Regular assessment of crude protein and moisture at harvest helps match feeding schedules to larval stage requirements, since young and succulent leaves maximize feed conversion efficiency and cocoon traits (</w:t>
      </w:r>
      <w:proofErr w:type="spellStart"/>
      <w:r w:rsidRPr="00BB2672">
        <w:rPr>
          <w:rFonts w:ascii="Arial" w:hAnsi="Arial" w:cs="Arial"/>
          <w:lang w:eastAsia="en-IN"/>
        </w:rPr>
        <w:t>Doliș</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2024; Sangha </w:t>
      </w:r>
      <w:r w:rsidRPr="00BB2672">
        <w:rPr>
          <w:rFonts w:ascii="Arial" w:hAnsi="Arial" w:cs="Arial"/>
          <w:i/>
          <w:iCs/>
          <w:lang w:eastAsia="en-IN"/>
        </w:rPr>
        <w:t>et al.,</w:t>
      </w:r>
      <w:r w:rsidRPr="00BB2672">
        <w:rPr>
          <w:rFonts w:ascii="Arial" w:hAnsi="Arial" w:cs="Arial"/>
          <w:lang w:eastAsia="en-IN"/>
        </w:rPr>
        <w:t xml:space="preserve"> 2024). Targeted leaf fortification with amino acids or beneficial microbes during critical larval stages can further enhance silk gland development and shell ratio, although dosages should be validated under local rearing conditions before large-scale use (Muzamil </w:t>
      </w:r>
      <w:r w:rsidRPr="00BB2672">
        <w:rPr>
          <w:rFonts w:ascii="Arial" w:hAnsi="Arial" w:cs="Arial"/>
          <w:i/>
          <w:iCs/>
          <w:lang w:eastAsia="en-IN"/>
        </w:rPr>
        <w:t>et al.,</w:t>
      </w:r>
      <w:r w:rsidRPr="00BB2672">
        <w:rPr>
          <w:rFonts w:ascii="Arial" w:hAnsi="Arial" w:cs="Arial"/>
          <w:lang w:eastAsia="en-IN"/>
        </w:rPr>
        <w:t xml:space="preserve"> 2023; Wang </w:t>
      </w:r>
      <w:r w:rsidRPr="00BB2672">
        <w:rPr>
          <w:rFonts w:ascii="Arial" w:hAnsi="Arial" w:cs="Arial"/>
          <w:i/>
          <w:iCs/>
          <w:lang w:eastAsia="en-IN"/>
        </w:rPr>
        <w:t>et al.,</w:t>
      </w:r>
      <w:r w:rsidRPr="00BB2672">
        <w:rPr>
          <w:rFonts w:ascii="Arial" w:hAnsi="Arial" w:cs="Arial"/>
          <w:lang w:eastAsia="en-IN"/>
        </w:rPr>
        <w:t xml:space="preserve"> 2019). Equally important is the alignment of nutrient and water management strategies across multiple cuts, which sustains stable leaf protein levels and avoids the trade-off of maximizing biomass at the expense of nutritive quality; integrated organic and mineral inputs are particularly effective in this regard (</w:t>
      </w:r>
      <w:r w:rsidR="00BB2672" w:rsidRPr="00BB2672">
        <w:rPr>
          <w:rFonts w:ascii="Arial" w:hAnsi="Arial" w:cs="Arial"/>
          <w:lang w:eastAsia="en-IN"/>
        </w:rPr>
        <w:t xml:space="preserve">Li </w:t>
      </w:r>
      <w:r w:rsidR="00BB2672" w:rsidRPr="00BB2672">
        <w:rPr>
          <w:rFonts w:ascii="Arial" w:hAnsi="Arial" w:cs="Arial"/>
          <w:i/>
          <w:iCs/>
          <w:lang w:eastAsia="en-IN"/>
        </w:rPr>
        <w:t>et al.,</w:t>
      </w:r>
      <w:r w:rsidR="00BB2672" w:rsidRPr="00BB2672">
        <w:rPr>
          <w:rFonts w:ascii="Arial" w:hAnsi="Arial" w:cs="Arial"/>
          <w:lang w:eastAsia="en-IN"/>
        </w:rPr>
        <w:t xml:space="preserve"> 2021; </w:t>
      </w:r>
      <w:r w:rsidRPr="00BB2672">
        <w:rPr>
          <w:rFonts w:ascii="Arial" w:hAnsi="Arial" w:cs="Arial"/>
          <w:lang w:eastAsia="en-IN"/>
        </w:rPr>
        <w:t xml:space="preserve">Baciu </w:t>
      </w:r>
      <w:r w:rsidRPr="00BB2672">
        <w:rPr>
          <w:rFonts w:ascii="Arial" w:hAnsi="Arial" w:cs="Arial"/>
          <w:i/>
          <w:iCs/>
          <w:lang w:eastAsia="en-IN"/>
        </w:rPr>
        <w:t>et al.,</w:t>
      </w:r>
      <w:r w:rsidRPr="00BB2672">
        <w:rPr>
          <w:rFonts w:ascii="Arial" w:hAnsi="Arial" w:cs="Arial"/>
          <w:lang w:eastAsia="en-IN"/>
        </w:rPr>
        <w:t xml:space="preserve"> 2023).</w:t>
      </w:r>
    </w:p>
    <w:p w14:paraId="0443F38A" w14:textId="77777777" w:rsidR="003A0C1D" w:rsidRPr="00BB2672" w:rsidRDefault="003A0C1D" w:rsidP="003A0C1D">
      <w:pPr>
        <w:ind w:firstLine="720"/>
        <w:jc w:val="both"/>
        <w:rPr>
          <w:rFonts w:ascii="Arial" w:hAnsi="Arial" w:cs="Arial"/>
          <w:lang w:eastAsia="en-IN"/>
        </w:rPr>
      </w:pPr>
    </w:p>
    <w:p w14:paraId="08C8F816" w14:textId="54BBE4F9" w:rsidR="003E16A0" w:rsidRPr="00BB2672" w:rsidRDefault="003A0C1D" w:rsidP="003E16A0">
      <w:pPr>
        <w:pStyle w:val="ListParagraph"/>
        <w:numPr>
          <w:ilvl w:val="0"/>
          <w:numId w:val="33"/>
        </w:numPr>
        <w:jc w:val="both"/>
        <w:rPr>
          <w:rFonts w:ascii="Arial" w:eastAsia="Times New Roman" w:hAnsi="Arial" w:cs="Arial"/>
          <w:b/>
          <w:bCs/>
          <w:kern w:val="0"/>
          <w:sz w:val="22"/>
          <w:szCs w:val="22"/>
          <w:lang w:eastAsia="en-IN"/>
        </w:rPr>
      </w:pPr>
      <w:r w:rsidRPr="00BB2672">
        <w:rPr>
          <w:rFonts w:ascii="Arial" w:eastAsia="Times New Roman" w:hAnsi="Arial" w:cs="Arial"/>
          <w:b/>
          <w:bCs/>
          <w:kern w:val="0"/>
          <w:sz w:val="22"/>
          <w:szCs w:val="22"/>
          <w:lang w:eastAsia="en-IN"/>
        </w:rPr>
        <w:t>CONCLUSION AND FUTURE DIRECTIONS</w:t>
      </w:r>
    </w:p>
    <w:p w14:paraId="20E22867" w14:textId="77777777" w:rsidR="003E16A0" w:rsidRPr="00BB2672" w:rsidRDefault="003E16A0" w:rsidP="003A0C1D">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Biochar–pellet composites are emerging as a promising tool for sustainable agriculture and sericulture. By improving the handling and placement of biochar, these pellets enhance nutrient-use efficiency, reduce nutrient leaching, and provide more consistent nutrient release across growing cycles (Wang </w:t>
      </w:r>
      <w:r w:rsidRPr="00BB2672">
        <w:rPr>
          <w:rFonts w:ascii="Arial" w:hAnsi="Arial" w:cs="Arial"/>
          <w:i/>
          <w:iCs/>
          <w:lang w:eastAsia="en-IN"/>
        </w:rPr>
        <w:t>et al.,</w:t>
      </w:r>
      <w:r w:rsidRPr="00BB2672">
        <w:rPr>
          <w:rFonts w:ascii="Arial" w:hAnsi="Arial" w:cs="Arial"/>
          <w:lang w:eastAsia="en-IN"/>
        </w:rPr>
        <w:t xml:space="preserve"> 2022; </w:t>
      </w:r>
      <w:proofErr w:type="spellStart"/>
      <w:r w:rsidRPr="00BB2672">
        <w:rPr>
          <w:rFonts w:ascii="Arial" w:hAnsi="Arial" w:cs="Arial"/>
          <w:lang w:eastAsia="en-IN"/>
        </w:rPr>
        <w:t>Piash</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2022). Their engineered structure also allows for integration with beneficial microbes and organic amendments, offering a dual advantage of improving soil fertility while supporting plant growth (Mohammadi, 2021; Zhou </w:t>
      </w:r>
      <w:r w:rsidRPr="00BB2672">
        <w:rPr>
          <w:rFonts w:ascii="Arial" w:hAnsi="Arial" w:cs="Arial"/>
          <w:i/>
          <w:iCs/>
          <w:lang w:eastAsia="en-IN"/>
        </w:rPr>
        <w:t>et al.,</w:t>
      </w:r>
      <w:r w:rsidRPr="00BB2672">
        <w:rPr>
          <w:rFonts w:ascii="Arial" w:hAnsi="Arial" w:cs="Arial"/>
          <w:lang w:eastAsia="en-IN"/>
        </w:rPr>
        <w:t xml:space="preserve"> 2024). For mulberry-based sericulture, where repeated, high-quality leaf harvests are critical, such composites can help stabilize nutrient availability and maintain leaf protein content, thereby strengthening the linkage between soil health and silkworm productivity (Rubel </w:t>
      </w:r>
      <w:r w:rsidRPr="00BB2672">
        <w:rPr>
          <w:rFonts w:ascii="Arial" w:hAnsi="Arial" w:cs="Arial"/>
          <w:i/>
          <w:iCs/>
          <w:lang w:eastAsia="en-IN"/>
        </w:rPr>
        <w:t>et al.,</w:t>
      </w:r>
      <w:r w:rsidRPr="00BB2672">
        <w:rPr>
          <w:rFonts w:ascii="Arial" w:hAnsi="Arial" w:cs="Arial"/>
          <w:lang w:eastAsia="en-IN"/>
        </w:rPr>
        <w:t xml:space="preserve"> 2024; Gao </w:t>
      </w:r>
      <w:r w:rsidRPr="00BB2672">
        <w:rPr>
          <w:rFonts w:ascii="Arial" w:hAnsi="Arial" w:cs="Arial"/>
          <w:i/>
          <w:iCs/>
          <w:lang w:eastAsia="en-IN"/>
        </w:rPr>
        <w:t>et al.,</w:t>
      </w:r>
      <w:r w:rsidRPr="00BB2672">
        <w:rPr>
          <w:rFonts w:ascii="Arial" w:hAnsi="Arial" w:cs="Arial"/>
          <w:lang w:eastAsia="en-IN"/>
        </w:rPr>
        <w:t xml:space="preserve"> 2022).</w:t>
      </w:r>
    </w:p>
    <w:p w14:paraId="104C4670" w14:textId="5CAC03D8" w:rsidR="00315186" w:rsidRPr="00BB2672" w:rsidRDefault="003E16A0" w:rsidP="003A0C1D">
      <w:pPr>
        <w:spacing w:before="100" w:beforeAutospacing="1" w:after="100" w:afterAutospacing="1"/>
        <w:ind w:firstLine="720"/>
        <w:jc w:val="both"/>
        <w:rPr>
          <w:rFonts w:ascii="Arial" w:hAnsi="Arial" w:cs="Arial"/>
          <w:lang w:eastAsia="en-IN"/>
        </w:rPr>
      </w:pPr>
      <w:r w:rsidRPr="00BB2672">
        <w:rPr>
          <w:rFonts w:ascii="Arial" w:hAnsi="Arial" w:cs="Arial"/>
          <w:lang w:eastAsia="en-IN"/>
        </w:rPr>
        <w:lastRenderedPageBreak/>
        <w:t>Despite these benefits, significant challenges remain. Most available studies are short-term trials, leaving uncertainties about long-term performance and sustainability under diverse field conditions (</w:t>
      </w:r>
      <w:proofErr w:type="spellStart"/>
      <w:r w:rsidRPr="00BB2672">
        <w:rPr>
          <w:rFonts w:ascii="Arial" w:hAnsi="Arial" w:cs="Arial"/>
          <w:lang w:eastAsia="en-IN"/>
        </w:rPr>
        <w:t>Deshoux</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2023; Gao </w:t>
      </w:r>
      <w:r w:rsidRPr="00BB2672">
        <w:rPr>
          <w:rFonts w:ascii="Arial" w:hAnsi="Arial" w:cs="Arial"/>
          <w:i/>
          <w:iCs/>
          <w:lang w:eastAsia="en-IN"/>
        </w:rPr>
        <w:t>et al.,</w:t>
      </w:r>
      <w:r w:rsidRPr="00BB2672">
        <w:rPr>
          <w:rFonts w:ascii="Arial" w:hAnsi="Arial" w:cs="Arial"/>
          <w:lang w:eastAsia="en-IN"/>
        </w:rPr>
        <w:t xml:space="preserve"> 2022). Scalability and cost-effectiveness require further exploration, particularly regarding pellet production energy, binder sourcing, and supply chain logistics (Mohammadi 2021; Zhou </w:t>
      </w:r>
      <w:r w:rsidRPr="00BB2672">
        <w:rPr>
          <w:rFonts w:ascii="Arial" w:hAnsi="Arial" w:cs="Arial"/>
          <w:i/>
          <w:iCs/>
          <w:lang w:eastAsia="en-IN"/>
        </w:rPr>
        <w:t>et al.,</w:t>
      </w:r>
      <w:r w:rsidRPr="00BB2672">
        <w:rPr>
          <w:rFonts w:ascii="Arial" w:hAnsi="Arial" w:cs="Arial"/>
          <w:lang w:eastAsia="en-IN"/>
        </w:rPr>
        <w:t xml:space="preserve"> 2024). Moreover, while microbial inoculation within pellets shows potential, more work is needed to ensure viability, storage stability, and regulatory compliance (Cesari </w:t>
      </w:r>
      <w:r w:rsidRPr="00BB2672">
        <w:rPr>
          <w:rFonts w:ascii="Arial" w:hAnsi="Arial" w:cs="Arial"/>
          <w:i/>
          <w:iCs/>
          <w:lang w:eastAsia="en-IN"/>
        </w:rPr>
        <w:t>et al.,</w:t>
      </w:r>
      <w:r w:rsidRPr="00BB2672">
        <w:rPr>
          <w:rFonts w:ascii="Arial" w:hAnsi="Arial" w:cs="Arial"/>
          <w:lang w:eastAsia="en-IN"/>
        </w:rPr>
        <w:t xml:space="preserve"> 2024; Kerner </w:t>
      </w:r>
      <w:r w:rsidRPr="00BB2672">
        <w:rPr>
          <w:rFonts w:ascii="Arial" w:hAnsi="Arial" w:cs="Arial"/>
          <w:i/>
          <w:iCs/>
          <w:lang w:eastAsia="en-IN"/>
        </w:rPr>
        <w:t>et al.,</w:t>
      </w:r>
      <w:r w:rsidRPr="00BB2672">
        <w:rPr>
          <w:rFonts w:ascii="Arial" w:hAnsi="Arial" w:cs="Arial"/>
          <w:lang w:eastAsia="en-IN"/>
        </w:rPr>
        <w:t xml:space="preserve"> 2023). Future directions should focus on waste-derived biochar feedstocks to lower costs and improve circularity, tailoring formulations to crop-specific needs, and developing multi-strain microbial consortia to maximize functional benefits. Coordinated multi-year field trials, coupled with farmer-focused cost–benefit assessments, will be essential to translate these innovations into scalable, farmer-friendly practices that support both environmental sustainability and sericulture productivity (Rubel </w:t>
      </w:r>
      <w:r w:rsidRPr="00BB2672">
        <w:rPr>
          <w:rFonts w:ascii="Arial" w:hAnsi="Arial" w:cs="Arial"/>
          <w:i/>
          <w:iCs/>
          <w:lang w:eastAsia="en-IN"/>
        </w:rPr>
        <w:t>et al.,</w:t>
      </w:r>
      <w:r w:rsidRPr="00BB2672">
        <w:rPr>
          <w:rFonts w:ascii="Arial" w:hAnsi="Arial" w:cs="Arial"/>
          <w:lang w:eastAsia="en-IN"/>
        </w:rPr>
        <w:t xml:space="preserve"> 2024; Cesari </w:t>
      </w:r>
      <w:r w:rsidRPr="00BB2672">
        <w:rPr>
          <w:rFonts w:ascii="Arial" w:hAnsi="Arial" w:cs="Arial"/>
          <w:i/>
          <w:iCs/>
          <w:lang w:eastAsia="en-IN"/>
        </w:rPr>
        <w:t>et al.,</w:t>
      </w:r>
      <w:r w:rsidRPr="00BB2672">
        <w:rPr>
          <w:rFonts w:ascii="Arial" w:hAnsi="Arial" w:cs="Arial"/>
          <w:lang w:eastAsia="en-IN"/>
        </w:rPr>
        <w:t xml:space="preserve"> 2024).</w:t>
      </w:r>
    </w:p>
    <w:p w14:paraId="1A11F1B2" w14:textId="77777777" w:rsidR="005A049E" w:rsidRPr="00740879" w:rsidRDefault="005A049E" w:rsidP="005A049E">
      <w:pPr>
        <w:rPr>
          <w:highlight w:val="yellow"/>
        </w:rPr>
      </w:pPr>
      <w:r w:rsidRPr="00740879">
        <w:rPr>
          <w:highlight w:val="yellow"/>
        </w:rPr>
        <w:t>Disclaimer (Artificial intelligence)</w:t>
      </w:r>
    </w:p>
    <w:p w14:paraId="3D71E69F" w14:textId="77777777" w:rsidR="005A049E" w:rsidRPr="00740879" w:rsidRDefault="005A049E" w:rsidP="005A049E">
      <w:pPr>
        <w:rPr>
          <w:highlight w:val="yellow"/>
        </w:rPr>
      </w:pPr>
      <w:r w:rsidRPr="00740879">
        <w:rPr>
          <w:highlight w:val="yellow"/>
        </w:rPr>
        <w:t xml:space="preserve">Option 1: </w:t>
      </w:r>
    </w:p>
    <w:p w14:paraId="43CBFFB7" w14:textId="48B089D9" w:rsidR="00860000" w:rsidRPr="005E3397" w:rsidRDefault="005A049E" w:rsidP="005E3397">
      <w:pPr>
        <w:rPr>
          <w:highlight w:val="yellow"/>
        </w:rPr>
      </w:pPr>
      <w:r w:rsidRPr="00740879">
        <w:rPr>
          <w:highlight w:val="yellow"/>
        </w:rPr>
        <w:t>Author(s) hereby declare</w:t>
      </w:r>
      <w:r w:rsidR="00B838E7">
        <w:rPr>
          <w:highlight w:val="yellow"/>
        </w:rPr>
        <w:t>s</w:t>
      </w:r>
      <w:r w:rsidRPr="00740879">
        <w:rPr>
          <w:highlight w:val="yellow"/>
        </w:rPr>
        <w:t xml:space="preserve"> that NO generative AI technologies such as Large Language Models (ChatGPT, COPILOT, etc.) and text-to-image generators have been used during the writing or editing of this manuscript. </w:t>
      </w:r>
    </w:p>
    <w:p w14:paraId="65BBA8CA" w14:textId="77777777" w:rsidR="00AB3787" w:rsidRPr="00BB2672" w:rsidRDefault="00AB3787" w:rsidP="00441B6F">
      <w:pPr>
        <w:pStyle w:val="ReferHead"/>
        <w:spacing w:after="0"/>
        <w:jc w:val="both"/>
        <w:rPr>
          <w:rFonts w:ascii="Arial" w:hAnsi="Arial" w:cs="Arial"/>
        </w:rPr>
      </w:pPr>
    </w:p>
    <w:p w14:paraId="041DE487" w14:textId="77777777" w:rsidR="00B01FCD" w:rsidRPr="00BB2672" w:rsidRDefault="00B01FCD" w:rsidP="00441B6F">
      <w:pPr>
        <w:pStyle w:val="ReferHead"/>
        <w:spacing w:after="0"/>
        <w:jc w:val="both"/>
        <w:rPr>
          <w:rFonts w:ascii="Arial" w:hAnsi="Arial" w:cs="Arial"/>
        </w:rPr>
      </w:pPr>
      <w:r w:rsidRPr="00BB2672">
        <w:rPr>
          <w:rFonts w:ascii="Arial" w:hAnsi="Arial" w:cs="Arial"/>
        </w:rPr>
        <w:t>References</w:t>
      </w:r>
    </w:p>
    <w:p w14:paraId="69CD0141" w14:textId="77777777" w:rsidR="00056F07" w:rsidRPr="00056F07" w:rsidRDefault="00056F07" w:rsidP="00056F07">
      <w:pPr>
        <w:jc w:val="both"/>
        <w:rPr>
          <w:rFonts w:ascii="Arial" w:hAnsi="Arial" w:cs="Arial"/>
        </w:rPr>
      </w:pPr>
    </w:p>
    <w:p w14:paraId="2FC1B3A8"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Acharya, B. S., </w:t>
      </w:r>
      <w:proofErr w:type="spellStart"/>
      <w:r w:rsidRPr="00BB2672">
        <w:rPr>
          <w:rFonts w:ascii="Arial" w:hAnsi="Arial" w:cs="Arial"/>
          <w:sz w:val="20"/>
          <w:szCs w:val="20"/>
        </w:rPr>
        <w:t>Dodla</w:t>
      </w:r>
      <w:proofErr w:type="spellEnd"/>
      <w:r w:rsidRPr="00BB2672">
        <w:rPr>
          <w:rFonts w:ascii="Arial" w:hAnsi="Arial" w:cs="Arial"/>
          <w:sz w:val="20"/>
          <w:szCs w:val="20"/>
        </w:rPr>
        <w:t xml:space="preserve">, S., Wang, J. J., Pavuluri, K., </w:t>
      </w:r>
      <w:proofErr w:type="spellStart"/>
      <w:r w:rsidRPr="00BB2672">
        <w:rPr>
          <w:rFonts w:ascii="Arial" w:hAnsi="Arial" w:cs="Arial"/>
          <w:sz w:val="20"/>
          <w:szCs w:val="20"/>
        </w:rPr>
        <w:t>Darapuneni</w:t>
      </w:r>
      <w:proofErr w:type="spellEnd"/>
      <w:r w:rsidRPr="00BB2672">
        <w:rPr>
          <w:rFonts w:ascii="Arial" w:hAnsi="Arial" w:cs="Arial"/>
          <w:sz w:val="20"/>
          <w:szCs w:val="20"/>
        </w:rPr>
        <w:t xml:space="preserve">, M., </w:t>
      </w:r>
      <w:proofErr w:type="spellStart"/>
      <w:r w:rsidRPr="00BB2672">
        <w:rPr>
          <w:rFonts w:ascii="Arial" w:hAnsi="Arial" w:cs="Arial"/>
          <w:sz w:val="20"/>
          <w:szCs w:val="20"/>
        </w:rPr>
        <w:t>Dattamudi</w:t>
      </w:r>
      <w:proofErr w:type="spellEnd"/>
      <w:r w:rsidRPr="00BB2672">
        <w:rPr>
          <w:rFonts w:ascii="Arial" w:hAnsi="Arial" w:cs="Arial"/>
          <w:sz w:val="20"/>
          <w:szCs w:val="20"/>
        </w:rPr>
        <w:t>, S., et al. (2024). Biochar impacts on soil water dynamics: knowns, unknowns, and research directions. </w:t>
      </w:r>
      <w:r w:rsidRPr="00BB2672">
        <w:rPr>
          <w:rFonts w:ascii="Arial" w:hAnsi="Arial" w:cs="Arial"/>
          <w:i/>
          <w:iCs/>
          <w:sz w:val="20"/>
          <w:szCs w:val="20"/>
        </w:rPr>
        <w:t>Biochar</w:t>
      </w:r>
      <w:r w:rsidRPr="00BB2672">
        <w:rPr>
          <w:rFonts w:ascii="Arial" w:hAnsi="Arial" w:cs="Arial"/>
          <w:sz w:val="20"/>
          <w:szCs w:val="20"/>
        </w:rPr>
        <w:t>, </w:t>
      </w:r>
      <w:r w:rsidRPr="00BB2672">
        <w:rPr>
          <w:rFonts w:ascii="Arial" w:hAnsi="Arial" w:cs="Arial"/>
          <w:i/>
          <w:iCs/>
          <w:sz w:val="20"/>
          <w:szCs w:val="20"/>
        </w:rPr>
        <w:t>6</w:t>
      </w:r>
      <w:r w:rsidRPr="00BB2672">
        <w:rPr>
          <w:rFonts w:ascii="Arial" w:hAnsi="Arial" w:cs="Arial"/>
          <w:sz w:val="20"/>
          <w:szCs w:val="20"/>
        </w:rPr>
        <w:t>(1), 34.</w:t>
      </w:r>
    </w:p>
    <w:p w14:paraId="3515F73E"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Ahmed, F., Islam, M. S., &amp; Iqbal, M. T. (2017). Biochar amendment improves soil fertility and productivity of mulberry plant. </w:t>
      </w:r>
      <w:r w:rsidRPr="00BB2672">
        <w:rPr>
          <w:rFonts w:ascii="Arial" w:hAnsi="Arial" w:cs="Arial"/>
          <w:i/>
          <w:iCs/>
          <w:sz w:val="20"/>
          <w:szCs w:val="20"/>
        </w:rPr>
        <w:t>Eurasian Journal of Soil Science</w:t>
      </w:r>
      <w:r w:rsidRPr="00BB2672">
        <w:rPr>
          <w:rFonts w:ascii="Arial" w:hAnsi="Arial" w:cs="Arial"/>
          <w:sz w:val="20"/>
          <w:szCs w:val="20"/>
        </w:rPr>
        <w:t>, </w:t>
      </w:r>
      <w:r w:rsidRPr="00BB2672">
        <w:rPr>
          <w:rFonts w:ascii="Arial" w:hAnsi="Arial" w:cs="Arial"/>
          <w:i/>
          <w:iCs/>
          <w:sz w:val="20"/>
          <w:szCs w:val="20"/>
        </w:rPr>
        <w:t>6</w:t>
      </w:r>
      <w:r w:rsidRPr="00BB2672">
        <w:rPr>
          <w:rFonts w:ascii="Arial" w:hAnsi="Arial" w:cs="Arial"/>
          <w:sz w:val="20"/>
          <w:szCs w:val="20"/>
        </w:rPr>
        <w:t>(3), 226-237.</w:t>
      </w:r>
    </w:p>
    <w:p w14:paraId="26BADCBE"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An, X., Wu, Z., Liu, X., Shi, W., Tian, F., &amp; Yu, B. (2021). A new class of biochar-based slow-release phosphorus fertilizers with high water retention based on integrated co-pyrolysis and co-polymerization. </w:t>
      </w:r>
      <w:r w:rsidRPr="00BB2672">
        <w:rPr>
          <w:rFonts w:ascii="Arial" w:hAnsi="Arial" w:cs="Arial"/>
          <w:i/>
          <w:iCs/>
          <w:sz w:val="20"/>
          <w:szCs w:val="20"/>
        </w:rPr>
        <w:t>Chemosphere</w:t>
      </w:r>
      <w:r w:rsidRPr="00BB2672">
        <w:rPr>
          <w:rFonts w:ascii="Arial" w:hAnsi="Arial" w:cs="Arial"/>
          <w:sz w:val="20"/>
          <w:szCs w:val="20"/>
        </w:rPr>
        <w:t>, </w:t>
      </w:r>
      <w:r w:rsidRPr="00BB2672">
        <w:rPr>
          <w:rFonts w:ascii="Arial" w:hAnsi="Arial" w:cs="Arial"/>
          <w:i/>
          <w:iCs/>
          <w:sz w:val="20"/>
          <w:szCs w:val="20"/>
        </w:rPr>
        <w:t>285</w:t>
      </w:r>
      <w:r w:rsidRPr="00BB2672">
        <w:rPr>
          <w:rFonts w:ascii="Arial" w:hAnsi="Arial" w:cs="Arial"/>
          <w:sz w:val="20"/>
          <w:szCs w:val="20"/>
        </w:rPr>
        <w:t>, 131481.</w:t>
      </w:r>
    </w:p>
    <w:p w14:paraId="69B328FB" w14:textId="77777777" w:rsidR="00056F07" w:rsidRPr="00BB2672" w:rsidRDefault="00056F07" w:rsidP="00BB2672">
      <w:pPr>
        <w:pStyle w:val="ListParagraph"/>
        <w:numPr>
          <w:ilvl w:val="0"/>
          <w:numId w:val="34"/>
        </w:numPr>
        <w:jc w:val="both"/>
        <w:rPr>
          <w:rFonts w:ascii="Arial" w:hAnsi="Arial" w:cs="Arial"/>
          <w:sz w:val="20"/>
          <w:szCs w:val="20"/>
        </w:rPr>
      </w:pPr>
      <w:proofErr w:type="spellStart"/>
      <w:r w:rsidRPr="00BB2672">
        <w:rPr>
          <w:rFonts w:ascii="Arial" w:hAnsi="Arial" w:cs="Arial"/>
          <w:sz w:val="20"/>
          <w:szCs w:val="20"/>
        </w:rPr>
        <w:t>Antonangelo</w:t>
      </w:r>
      <w:proofErr w:type="spellEnd"/>
      <w:r w:rsidRPr="00BB2672">
        <w:rPr>
          <w:rFonts w:ascii="Arial" w:hAnsi="Arial" w:cs="Arial"/>
          <w:sz w:val="20"/>
          <w:szCs w:val="20"/>
        </w:rPr>
        <w:t xml:space="preserve">, J. A., </w:t>
      </w:r>
      <w:proofErr w:type="spellStart"/>
      <w:r w:rsidRPr="00BB2672">
        <w:rPr>
          <w:rFonts w:ascii="Arial" w:hAnsi="Arial" w:cs="Arial"/>
          <w:sz w:val="20"/>
          <w:szCs w:val="20"/>
        </w:rPr>
        <w:t>Culman</w:t>
      </w:r>
      <w:proofErr w:type="spellEnd"/>
      <w:r w:rsidRPr="00BB2672">
        <w:rPr>
          <w:rFonts w:ascii="Arial" w:hAnsi="Arial" w:cs="Arial"/>
          <w:sz w:val="20"/>
          <w:szCs w:val="20"/>
        </w:rPr>
        <w:t>, S., &amp; Zhang, H. (2024). Comparative analysis and prediction of cation exchange capacity via summation: influence of biochar type and nutrient ratios. </w:t>
      </w:r>
      <w:r w:rsidRPr="00BB2672">
        <w:rPr>
          <w:rFonts w:ascii="Arial" w:hAnsi="Arial" w:cs="Arial"/>
          <w:i/>
          <w:iCs/>
          <w:sz w:val="20"/>
          <w:szCs w:val="20"/>
        </w:rPr>
        <w:t>Frontiers in Soil Science</w:t>
      </w:r>
      <w:r w:rsidRPr="00BB2672">
        <w:rPr>
          <w:rFonts w:ascii="Arial" w:hAnsi="Arial" w:cs="Arial"/>
          <w:sz w:val="20"/>
          <w:szCs w:val="20"/>
        </w:rPr>
        <w:t>, </w:t>
      </w:r>
      <w:r w:rsidRPr="00BB2672">
        <w:rPr>
          <w:rFonts w:ascii="Arial" w:hAnsi="Arial" w:cs="Arial"/>
          <w:i/>
          <w:iCs/>
          <w:sz w:val="20"/>
          <w:szCs w:val="20"/>
        </w:rPr>
        <w:t>4</w:t>
      </w:r>
      <w:r w:rsidRPr="00BB2672">
        <w:rPr>
          <w:rFonts w:ascii="Arial" w:hAnsi="Arial" w:cs="Arial"/>
          <w:sz w:val="20"/>
          <w:szCs w:val="20"/>
        </w:rPr>
        <w:t>, 1371777.</w:t>
      </w:r>
    </w:p>
    <w:p w14:paraId="19381BB9"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Baciu, E. D., Baci, G. M., Moise, A. R., &amp; </w:t>
      </w:r>
      <w:proofErr w:type="spellStart"/>
      <w:r w:rsidRPr="00BB2672">
        <w:rPr>
          <w:rFonts w:ascii="Arial" w:hAnsi="Arial" w:cs="Arial"/>
          <w:sz w:val="20"/>
          <w:szCs w:val="20"/>
        </w:rPr>
        <w:t>Dezmirean</w:t>
      </w:r>
      <w:proofErr w:type="spellEnd"/>
      <w:r w:rsidRPr="00BB2672">
        <w:rPr>
          <w:rFonts w:ascii="Arial" w:hAnsi="Arial" w:cs="Arial"/>
          <w:sz w:val="20"/>
          <w:szCs w:val="20"/>
        </w:rPr>
        <w:t>, D. S. (2023). A status review on the importance of mulberry (Morus spp.) and prospects towards its cultivation in a controlled environment. </w:t>
      </w:r>
      <w:proofErr w:type="spellStart"/>
      <w:r w:rsidRPr="00BB2672">
        <w:rPr>
          <w:rFonts w:ascii="Arial" w:hAnsi="Arial" w:cs="Arial"/>
          <w:i/>
          <w:iCs/>
          <w:sz w:val="20"/>
          <w:szCs w:val="20"/>
        </w:rPr>
        <w:t>Horticulturae</w:t>
      </w:r>
      <w:proofErr w:type="spellEnd"/>
      <w:r w:rsidRPr="00BB2672">
        <w:rPr>
          <w:rFonts w:ascii="Arial" w:hAnsi="Arial" w:cs="Arial"/>
          <w:sz w:val="20"/>
          <w:szCs w:val="20"/>
        </w:rPr>
        <w:t>, </w:t>
      </w:r>
      <w:r w:rsidRPr="00BB2672">
        <w:rPr>
          <w:rFonts w:ascii="Arial" w:hAnsi="Arial" w:cs="Arial"/>
          <w:i/>
          <w:iCs/>
          <w:sz w:val="20"/>
          <w:szCs w:val="20"/>
        </w:rPr>
        <w:t>9</w:t>
      </w:r>
      <w:r w:rsidRPr="00BB2672">
        <w:rPr>
          <w:rFonts w:ascii="Arial" w:hAnsi="Arial" w:cs="Arial"/>
          <w:sz w:val="20"/>
          <w:szCs w:val="20"/>
        </w:rPr>
        <w:t>(4), 444.</w:t>
      </w:r>
    </w:p>
    <w:p w14:paraId="188C4953"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Bolan, S., Hou, D., Wang, L., Hale, L., </w:t>
      </w:r>
      <w:proofErr w:type="spellStart"/>
      <w:r w:rsidRPr="00BB2672">
        <w:rPr>
          <w:rFonts w:ascii="Arial" w:hAnsi="Arial" w:cs="Arial"/>
          <w:sz w:val="20"/>
          <w:szCs w:val="20"/>
        </w:rPr>
        <w:t>Egamberdieva</w:t>
      </w:r>
      <w:proofErr w:type="spellEnd"/>
      <w:r w:rsidRPr="00BB2672">
        <w:rPr>
          <w:rFonts w:ascii="Arial" w:hAnsi="Arial" w:cs="Arial"/>
          <w:sz w:val="20"/>
          <w:szCs w:val="20"/>
        </w:rPr>
        <w:t>, D., Tammeorg, P., et al. (2023). The potential of biochar as a microbial carrier for agricultural and environmental applications. </w:t>
      </w:r>
      <w:r w:rsidRPr="00BB2672">
        <w:rPr>
          <w:rFonts w:ascii="Arial" w:hAnsi="Arial" w:cs="Arial"/>
          <w:i/>
          <w:iCs/>
          <w:sz w:val="20"/>
          <w:szCs w:val="20"/>
        </w:rPr>
        <w:t>Science of the Total Environment</w:t>
      </w:r>
      <w:r w:rsidRPr="00BB2672">
        <w:rPr>
          <w:rFonts w:ascii="Arial" w:hAnsi="Arial" w:cs="Arial"/>
          <w:sz w:val="20"/>
          <w:szCs w:val="20"/>
        </w:rPr>
        <w:t>, </w:t>
      </w:r>
      <w:r w:rsidRPr="00BB2672">
        <w:rPr>
          <w:rFonts w:ascii="Arial" w:hAnsi="Arial" w:cs="Arial"/>
          <w:i/>
          <w:iCs/>
          <w:sz w:val="20"/>
          <w:szCs w:val="20"/>
        </w:rPr>
        <w:t>886</w:t>
      </w:r>
      <w:r w:rsidRPr="00BB2672">
        <w:rPr>
          <w:rFonts w:ascii="Arial" w:hAnsi="Arial" w:cs="Arial"/>
          <w:sz w:val="20"/>
          <w:szCs w:val="20"/>
        </w:rPr>
        <w:t>, 163968.</w:t>
      </w:r>
    </w:p>
    <w:p w14:paraId="58E5A2B5"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Cesari, A. B., Fernandez, M., Paulucci, N. S., &amp; </w:t>
      </w:r>
      <w:proofErr w:type="spellStart"/>
      <w:r w:rsidRPr="00BB2672">
        <w:rPr>
          <w:rFonts w:ascii="Arial" w:hAnsi="Arial" w:cs="Arial"/>
          <w:sz w:val="20"/>
          <w:szCs w:val="20"/>
        </w:rPr>
        <w:t>Dardanelli</w:t>
      </w:r>
      <w:proofErr w:type="spellEnd"/>
      <w:r w:rsidRPr="00BB2672">
        <w:rPr>
          <w:rFonts w:ascii="Arial" w:hAnsi="Arial" w:cs="Arial"/>
          <w:sz w:val="20"/>
          <w:szCs w:val="20"/>
        </w:rPr>
        <w:t xml:space="preserve">, M. S. (2024). Long-Life Inoculant: </w:t>
      </w:r>
      <w:proofErr w:type="spellStart"/>
      <w:r w:rsidRPr="00BB2672">
        <w:rPr>
          <w:rFonts w:ascii="Arial" w:hAnsi="Arial" w:cs="Arial"/>
          <w:sz w:val="20"/>
          <w:szCs w:val="20"/>
        </w:rPr>
        <w:t>Bradyrhizobium</w:t>
      </w:r>
      <w:proofErr w:type="spellEnd"/>
      <w:r w:rsidRPr="00BB2672">
        <w:rPr>
          <w:rFonts w:ascii="Arial" w:hAnsi="Arial" w:cs="Arial"/>
          <w:sz w:val="20"/>
          <w:szCs w:val="20"/>
        </w:rPr>
        <w:t xml:space="preserve"> Stored in Biodegradable Beads for Four Years Shows Optimal Cell Vitality, Interacts with Peanut Roots, and Promotes Early Growth. </w:t>
      </w:r>
      <w:r w:rsidRPr="00BB2672">
        <w:rPr>
          <w:rFonts w:ascii="Arial" w:hAnsi="Arial" w:cs="Arial"/>
          <w:i/>
          <w:iCs/>
          <w:sz w:val="20"/>
          <w:szCs w:val="20"/>
        </w:rPr>
        <w:t>Plants</w:t>
      </w:r>
      <w:r w:rsidRPr="00BB2672">
        <w:rPr>
          <w:rFonts w:ascii="Arial" w:hAnsi="Arial" w:cs="Arial"/>
          <w:sz w:val="20"/>
          <w:szCs w:val="20"/>
        </w:rPr>
        <w:t>, </w:t>
      </w:r>
      <w:r w:rsidRPr="00BB2672">
        <w:rPr>
          <w:rFonts w:ascii="Arial" w:hAnsi="Arial" w:cs="Arial"/>
          <w:i/>
          <w:iCs/>
          <w:sz w:val="20"/>
          <w:szCs w:val="20"/>
        </w:rPr>
        <w:t>13</w:t>
      </w:r>
      <w:r w:rsidRPr="00BB2672">
        <w:rPr>
          <w:rFonts w:ascii="Arial" w:hAnsi="Arial" w:cs="Arial"/>
          <w:sz w:val="20"/>
          <w:szCs w:val="20"/>
        </w:rPr>
        <w:t>(21), 2983.</w:t>
      </w:r>
    </w:p>
    <w:p w14:paraId="7C9FE460" w14:textId="77777777" w:rsidR="00056F07" w:rsidRPr="00BB2672" w:rsidRDefault="00056F07" w:rsidP="00BB2672">
      <w:pPr>
        <w:pStyle w:val="ListParagraph"/>
        <w:numPr>
          <w:ilvl w:val="0"/>
          <w:numId w:val="34"/>
        </w:numPr>
        <w:jc w:val="both"/>
        <w:rPr>
          <w:rFonts w:ascii="Arial" w:hAnsi="Arial" w:cs="Arial"/>
          <w:sz w:val="20"/>
          <w:szCs w:val="20"/>
        </w:rPr>
      </w:pPr>
      <w:proofErr w:type="spellStart"/>
      <w:r w:rsidRPr="00BB2672">
        <w:rPr>
          <w:rFonts w:ascii="Arial" w:hAnsi="Arial" w:cs="Arial"/>
          <w:sz w:val="20"/>
          <w:szCs w:val="20"/>
        </w:rPr>
        <w:t>Deshoux</w:t>
      </w:r>
      <w:proofErr w:type="spellEnd"/>
      <w:r w:rsidRPr="00BB2672">
        <w:rPr>
          <w:rFonts w:ascii="Arial" w:hAnsi="Arial" w:cs="Arial"/>
          <w:sz w:val="20"/>
          <w:szCs w:val="20"/>
        </w:rPr>
        <w:t>, M., Sadet-Bourgeteau, S., Gentil, S., &amp; Prévost-</w:t>
      </w:r>
      <w:proofErr w:type="spellStart"/>
      <w:r w:rsidRPr="00BB2672">
        <w:rPr>
          <w:rFonts w:ascii="Arial" w:hAnsi="Arial" w:cs="Arial"/>
          <w:sz w:val="20"/>
          <w:szCs w:val="20"/>
        </w:rPr>
        <w:t>Bouré</w:t>
      </w:r>
      <w:proofErr w:type="spellEnd"/>
      <w:r w:rsidRPr="00BB2672">
        <w:rPr>
          <w:rFonts w:ascii="Arial" w:hAnsi="Arial" w:cs="Arial"/>
          <w:sz w:val="20"/>
          <w:szCs w:val="20"/>
        </w:rPr>
        <w:t>, N. C. (2023). Effects of biochar on soil microbial communities: a meta-analysis. </w:t>
      </w:r>
      <w:r w:rsidRPr="00BB2672">
        <w:rPr>
          <w:rFonts w:ascii="Arial" w:hAnsi="Arial" w:cs="Arial"/>
          <w:i/>
          <w:iCs/>
          <w:sz w:val="20"/>
          <w:szCs w:val="20"/>
        </w:rPr>
        <w:t>Science of the Total Environment</w:t>
      </w:r>
      <w:r w:rsidRPr="00BB2672">
        <w:rPr>
          <w:rFonts w:ascii="Arial" w:hAnsi="Arial" w:cs="Arial"/>
          <w:sz w:val="20"/>
          <w:szCs w:val="20"/>
        </w:rPr>
        <w:t>, </w:t>
      </w:r>
      <w:r w:rsidRPr="00BB2672">
        <w:rPr>
          <w:rFonts w:ascii="Arial" w:hAnsi="Arial" w:cs="Arial"/>
          <w:i/>
          <w:iCs/>
          <w:sz w:val="20"/>
          <w:szCs w:val="20"/>
        </w:rPr>
        <w:t>902</w:t>
      </w:r>
      <w:r w:rsidRPr="00BB2672">
        <w:rPr>
          <w:rFonts w:ascii="Arial" w:hAnsi="Arial" w:cs="Arial"/>
          <w:sz w:val="20"/>
          <w:szCs w:val="20"/>
        </w:rPr>
        <w:t>, 166079.</w:t>
      </w:r>
    </w:p>
    <w:p w14:paraId="1D0922ED"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Devi, S. A., &amp; Sakthivel, N. (2018). Impact of Repeated Applications of Chemical Fertilizers in Mulberry Cropping System on Soil Health, Leaf Production and Rearing Parameters of Silkworm, Bombyx mori L. </w:t>
      </w:r>
      <w:r w:rsidRPr="00BB2672">
        <w:rPr>
          <w:rFonts w:ascii="Arial" w:hAnsi="Arial" w:cs="Arial"/>
          <w:i/>
          <w:iCs/>
          <w:sz w:val="20"/>
          <w:szCs w:val="20"/>
        </w:rPr>
        <w:t>Int. J. Plant Soil Sci</w:t>
      </w:r>
      <w:r w:rsidRPr="00BB2672">
        <w:rPr>
          <w:rFonts w:ascii="Arial" w:hAnsi="Arial" w:cs="Arial"/>
          <w:sz w:val="20"/>
          <w:szCs w:val="20"/>
        </w:rPr>
        <w:t>, </w:t>
      </w:r>
      <w:r w:rsidRPr="00BB2672">
        <w:rPr>
          <w:rFonts w:ascii="Arial" w:hAnsi="Arial" w:cs="Arial"/>
          <w:i/>
          <w:iCs/>
          <w:sz w:val="20"/>
          <w:szCs w:val="20"/>
        </w:rPr>
        <w:t>23</w:t>
      </w:r>
      <w:r w:rsidRPr="00BB2672">
        <w:rPr>
          <w:rFonts w:ascii="Arial" w:hAnsi="Arial" w:cs="Arial"/>
          <w:sz w:val="20"/>
          <w:szCs w:val="20"/>
        </w:rPr>
        <w:t>, 1-11.</w:t>
      </w:r>
    </w:p>
    <w:p w14:paraId="028D8EE1"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lastRenderedPageBreak/>
        <w:t xml:space="preserve">Dey, S., </w:t>
      </w:r>
      <w:proofErr w:type="spellStart"/>
      <w:r w:rsidRPr="00BB2672">
        <w:rPr>
          <w:rFonts w:ascii="Arial" w:hAnsi="Arial" w:cs="Arial"/>
          <w:sz w:val="20"/>
          <w:szCs w:val="20"/>
        </w:rPr>
        <w:t>Purakayastha</w:t>
      </w:r>
      <w:proofErr w:type="spellEnd"/>
      <w:r w:rsidRPr="00BB2672">
        <w:rPr>
          <w:rFonts w:ascii="Arial" w:hAnsi="Arial" w:cs="Arial"/>
          <w:sz w:val="20"/>
          <w:szCs w:val="20"/>
        </w:rPr>
        <w:t xml:space="preserve">, T. J., Sarkar, B., </w:t>
      </w:r>
      <w:proofErr w:type="spellStart"/>
      <w:r w:rsidRPr="00BB2672">
        <w:rPr>
          <w:rFonts w:ascii="Arial" w:hAnsi="Arial" w:cs="Arial"/>
          <w:sz w:val="20"/>
          <w:szCs w:val="20"/>
        </w:rPr>
        <w:t>Rinklebe</w:t>
      </w:r>
      <w:proofErr w:type="spellEnd"/>
      <w:r w:rsidRPr="00BB2672">
        <w:rPr>
          <w:rFonts w:ascii="Arial" w:hAnsi="Arial" w:cs="Arial"/>
          <w:sz w:val="20"/>
          <w:szCs w:val="20"/>
        </w:rPr>
        <w:t>, J., Kumar, S., Chakraborty, R., et al. (2023). Enhancing cation and anion exchange capacity of rice straw biochar by chemical modification for increased plant nutrient retention. </w:t>
      </w:r>
      <w:r w:rsidRPr="00BB2672">
        <w:rPr>
          <w:rFonts w:ascii="Arial" w:hAnsi="Arial" w:cs="Arial"/>
          <w:i/>
          <w:iCs/>
          <w:sz w:val="20"/>
          <w:szCs w:val="20"/>
        </w:rPr>
        <w:t>Science of the Total Environment</w:t>
      </w:r>
      <w:r w:rsidRPr="00BB2672">
        <w:rPr>
          <w:rFonts w:ascii="Arial" w:hAnsi="Arial" w:cs="Arial"/>
          <w:sz w:val="20"/>
          <w:szCs w:val="20"/>
        </w:rPr>
        <w:t>, </w:t>
      </w:r>
      <w:r w:rsidRPr="00BB2672">
        <w:rPr>
          <w:rFonts w:ascii="Arial" w:hAnsi="Arial" w:cs="Arial"/>
          <w:i/>
          <w:iCs/>
          <w:sz w:val="20"/>
          <w:szCs w:val="20"/>
        </w:rPr>
        <w:t>886</w:t>
      </w:r>
      <w:r w:rsidRPr="00BB2672">
        <w:rPr>
          <w:rFonts w:ascii="Arial" w:hAnsi="Arial" w:cs="Arial"/>
          <w:sz w:val="20"/>
          <w:szCs w:val="20"/>
        </w:rPr>
        <w:t>, 163681.</w:t>
      </w:r>
    </w:p>
    <w:p w14:paraId="0BAF0ABC" w14:textId="77777777" w:rsidR="00056F07" w:rsidRPr="00BB2672" w:rsidRDefault="00056F07" w:rsidP="00BB2672">
      <w:pPr>
        <w:pStyle w:val="ListParagraph"/>
        <w:numPr>
          <w:ilvl w:val="0"/>
          <w:numId w:val="34"/>
        </w:numPr>
        <w:jc w:val="both"/>
        <w:rPr>
          <w:rFonts w:ascii="Arial" w:hAnsi="Arial" w:cs="Arial"/>
          <w:sz w:val="20"/>
          <w:szCs w:val="20"/>
        </w:rPr>
      </w:pPr>
      <w:proofErr w:type="spellStart"/>
      <w:r w:rsidRPr="00BB2672">
        <w:rPr>
          <w:rFonts w:ascii="Arial" w:hAnsi="Arial" w:cs="Arial"/>
          <w:sz w:val="20"/>
          <w:szCs w:val="20"/>
        </w:rPr>
        <w:t>Doliș</w:t>
      </w:r>
      <w:proofErr w:type="spellEnd"/>
      <w:r w:rsidRPr="00BB2672">
        <w:rPr>
          <w:rFonts w:ascii="Arial" w:hAnsi="Arial" w:cs="Arial"/>
          <w:sz w:val="20"/>
          <w:szCs w:val="20"/>
        </w:rPr>
        <w:t xml:space="preserve">, M. G., </w:t>
      </w:r>
      <w:proofErr w:type="spellStart"/>
      <w:r w:rsidRPr="00BB2672">
        <w:rPr>
          <w:rFonts w:ascii="Arial" w:hAnsi="Arial" w:cs="Arial"/>
          <w:sz w:val="20"/>
          <w:szCs w:val="20"/>
        </w:rPr>
        <w:t>Pânzaru</w:t>
      </w:r>
      <w:proofErr w:type="spellEnd"/>
      <w:r w:rsidRPr="00BB2672">
        <w:rPr>
          <w:rFonts w:ascii="Arial" w:hAnsi="Arial" w:cs="Arial"/>
          <w:sz w:val="20"/>
          <w:szCs w:val="20"/>
        </w:rPr>
        <w:t xml:space="preserve">, C., </w:t>
      </w:r>
      <w:proofErr w:type="spellStart"/>
      <w:r w:rsidRPr="00BB2672">
        <w:rPr>
          <w:rFonts w:ascii="Arial" w:hAnsi="Arial" w:cs="Arial"/>
          <w:sz w:val="20"/>
          <w:szCs w:val="20"/>
        </w:rPr>
        <w:t>Usturoi</w:t>
      </w:r>
      <w:proofErr w:type="spellEnd"/>
      <w:r w:rsidRPr="00BB2672">
        <w:rPr>
          <w:rFonts w:ascii="Arial" w:hAnsi="Arial" w:cs="Arial"/>
          <w:sz w:val="20"/>
          <w:szCs w:val="20"/>
        </w:rPr>
        <w:t xml:space="preserve">, M. G., </w:t>
      </w:r>
      <w:proofErr w:type="spellStart"/>
      <w:r w:rsidRPr="00BB2672">
        <w:rPr>
          <w:rFonts w:ascii="Arial" w:hAnsi="Arial" w:cs="Arial"/>
          <w:sz w:val="20"/>
          <w:szCs w:val="20"/>
        </w:rPr>
        <w:t>Usturoi</w:t>
      </w:r>
      <w:proofErr w:type="spellEnd"/>
      <w:r w:rsidRPr="00BB2672">
        <w:rPr>
          <w:rFonts w:ascii="Arial" w:hAnsi="Arial" w:cs="Arial"/>
          <w:sz w:val="20"/>
          <w:szCs w:val="20"/>
        </w:rPr>
        <w:t>, A., Radu-Rusu, C. G., &amp; Davidescu, M. A. (2024). On the digestibility of mulberry leaf fed to Bombyx mori larvae. </w:t>
      </w:r>
      <w:r w:rsidRPr="00BB2672">
        <w:rPr>
          <w:rFonts w:ascii="Arial" w:hAnsi="Arial" w:cs="Arial"/>
          <w:i/>
          <w:iCs/>
          <w:sz w:val="20"/>
          <w:szCs w:val="20"/>
        </w:rPr>
        <w:t>Agriculture</w:t>
      </w:r>
      <w:r w:rsidRPr="00BB2672">
        <w:rPr>
          <w:rFonts w:ascii="Arial" w:hAnsi="Arial" w:cs="Arial"/>
          <w:sz w:val="20"/>
          <w:szCs w:val="20"/>
        </w:rPr>
        <w:t>, </w:t>
      </w:r>
      <w:r w:rsidRPr="00BB2672">
        <w:rPr>
          <w:rFonts w:ascii="Arial" w:hAnsi="Arial" w:cs="Arial"/>
          <w:i/>
          <w:iCs/>
          <w:sz w:val="20"/>
          <w:szCs w:val="20"/>
        </w:rPr>
        <w:t>14</w:t>
      </w:r>
      <w:r w:rsidRPr="00BB2672">
        <w:rPr>
          <w:rFonts w:ascii="Arial" w:hAnsi="Arial" w:cs="Arial"/>
          <w:sz w:val="20"/>
          <w:szCs w:val="20"/>
        </w:rPr>
        <w:t>(8), 1394.</w:t>
      </w:r>
    </w:p>
    <w:p w14:paraId="553B7C3B" w14:textId="77777777" w:rsidR="00056F07" w:rsidRPr="00BB2672" w:rsidRDefault="00056F07" w:rsidP="00BB2672">
      <w:pPr>
        <w:pStyle w:val="ListParagraph"/>
        <w:numPr>
          <w:ilvl w:val="0"/>
          <w:numId w:val="34"/>
        </w:numPr>
        <w:jc w:val="both"/>
        <w:rPr>
          <w:rFonts w:ascii="Arial" w:hAnsi="Arial" w:cs="Arial"/>
          <w:sz w:val="20"/>
          <w:szCs w:val="20"/>
        </w:rPr>
      </w:pPr>
      <w:proofErr w:type="spellStart"/>
      <w:r w:rsidRPr="00BB2672">
        <w:rPr>
          <w:rFonts w:ascii="Arial" w:hAnsi="Arial" w:cs="Arial"/>
          <w:sz w:val="20"/>
          <w:szCs w:val="20"/>
        </w:rPr>
        <w:t>Fadiji</w:t>
      </w:r>
      <w:proofErr w:type="spellEnd"/>
      <w:r w:rsidRPr="00BB2672">
        <w:rPr>
          <w:rFonts w:ascii="Arial" w:hAnsi="Arial" w:cs="Arial"/>
          <w:sz w:val="20"/>
          <w:szCs w:val="20"/>
        </w:rPr>
        <w:t>, A. E., Xiong, C., Egidi, E., &amp; Singh, B. K. (2024). Formulation challenges associated with microbial biofertilizers in sustainable agriculture and paths forward. </w:t>
      </w:r>
      <w:r w:rsidRPr="00BB2672">
        <w:rPr>
          <w:rFonts w:ascii="Arial" w:hAnsi="Arial" w:cs="Arial"/>
          <w:i/>
          <w:iCs/>
          <w:sz w:val="20"/>
          <w:szCs w:val="20"/>
        </w:rPr>
        <w:t>Journal of Sustainable Agriculture and Environment</w:t>
      </w:r>
      <w:r w:rsidRPr="00BB2672">
        <w:rPr>
          <w:rFonts w:ascii="Arial" w:hAnsi="Arial" w:cs="Arial"/>
          <w:sz w:val="20"/>
          <w:szCs w:val="20"/>
        </w:rPr>
        <w:t>, </w:t>
      </w:r>
      <w:r w:rsidRPr="00BB2672">
        <w:rPr>
          <w:rFonts w:ascii="Arial" w:hAnsi="Arial" w:cs="Arial"/>
          <w:i/>
          <w:iCs/>
          <w:sz w:val="20"/>
          <w:szCs w:val="20"/>
        </w:rPr>
        <w:t>3</w:t>
      </w:r>
      <w:r w:rsidRPr="00BB2672">
        <w:rPr>
          <w:rFonts w:ascii="Arial" w:hAnsi="Arial" w:cs="Arial"/>
          <w:sz w:val="20"/>
          <w:szCs w:val="20"/>
        </w:rPr>
        <w:t>(3), e70006.</w:t>
      </w:r>
    </w:p>
    <w:p w14:paraId="6619BB2A"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Gao, Y., Fang, Z., Van Zwieten, L., Bolan, N., Dong, D., Quin, B. F., et al. (2022). A critical review of biochar-based nitrogen fertilizers and their effects on crop production and the environment. </w:t>
      </w:r>
      <w:r w:rsidRPr="00BB2672">
        <w:rPr>
          <w:rFonts w:ascii="Arial" w:hAnsi="Arial" w:cs="Arial"/>
          <w:i/>
          <w:iCs/>
          <w:sz w:val="20"/>
          <w:szCs w:val="20"/>
        </w:rPr>
        <w:t>Biochar</w:t>
      </w:r>
      <w:r w:rsidRPr="00BB2672">
        <w:rPr>
          <w:rFonts w:ascii="Arial" w:hAnsi="Arial" w:cs="Arial"/>
          <w:sz w:val="20"/>
          <w:szCs w:val="20"/>
        </w:rPr>
        <w:t>, </w:t>
      </w:r>
      <w:r w:rsidRPr="00BB2672">
        <w:rPr>
          <w:rFonts w:ascii="Arial" w:hAnsi="Arial" w:cs="Arial"/>
          <w:i/>
          <w:iCs/>
          <w:sz w:val="20"/>
          <w:szCs w:val="20"/>
        </w:rPr>
        <w:t>4</w:t>
      </w:r>
      <w:r w:rsidRPr="00BB2672">
        <w:rPr>
          <w:rFonts w:ascii="Arial" w:hAnsi="Arial" w:cs="Arial"/>
          <w:sz w:val="20"/>
          <w:szCs w:val="20"/>
        </w:rPr>
        <w:t>(1), 36.</w:t>
      </w:r>
    </w:p>
    <w:p w14:paraId="042E1FB7"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Hăbeanu, M., Gheorghe, A., Dinita, G., &amp; Mihalcea, T. (2024). An in-depth insight into the profile, mechanisms, functions, and transfer of essential amino acids from mulberry leaves to silkworm Bombyx mori L. pupae and fish. </w:t>
      </w:r>
      <w:r w:rsidRPr="00BB2672">
        <w:rPr>
          <w:rFonts w:ascii="Arial" w:hAnsi="Arial" w:cs="Arial"/>
          <w:i/>
          <w:iCs/>
          <w:sz w:val="20"/>
          <w:szCs w:val="20"/>
        </w:rPr>
        <w:t>Insects</w:t>
      </w:r>
      <w:r w:rsidRPr="00BB2672">
        <w:rPr>
          <w:rFonts w:ascii="Arial" w:hAnsi="Arial" w:cs="Arial"/>
          <w:sz w:val="20"/>
          <w:szCs w:val="20"/>
        </w:rPr>
        <w:t>, </w:t>
      </w:r>
      <w:r w:rsidRPr="00BB2672">
        <w:rPr>
          <w:rFonts w:ascii="Arial" w:hAnsi="Arial" w:cs="Arial"/>
          <w:i/>
          <w:iCs/>
          <w:sz w:val="20"/>
          <w:szCs w:val="20"/>
        </w:rPr>
        <w:t>15</w:t>
      </w:r>
      <w:r w:rsidRPr="00BB2672">
        <w:rPr>
          <w:rFonts w:ascii="Arial" w:hAnsi="Arial" w:cs="Arial"/>
          <w:sz w:val="20"/>
          <w:szCs w:val="20"/>
        </w:rPr>
        <w:t>(5), 332.</w:t>
      </w:r>
    </w:p>
    <w:p w14:paraId="788360B5"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Hardy, K., &amp; Knight, J. D. (2021). Evaluation of </w:t>
      </w:r>
      <w:proofErr w:type="spellStart"/>
      <w:r w:rsidRPr="00BB2672">
        <w:rPr>
          <w:rFonts w:ascii="Arial" w:hAnsi="Arial" w:cs="Arial"/>
          <w:sz w:val="20"/>
          <w:szCs w:val="20"/>
        </w:rPr>
        <w:t>biochars</w:t>
      </w:r>
      <w:proofErr w:type="spellEnd"/>
      <w:r w:rsidRPr="00BB2672">
        <w:rPr>
          <w:rFonts w:ascii="Arial" w:hAnsi="Arial" w:cs="Arial"/>
          <w:sz w:val="20"/>
          <w:szCs w:val="20"/>
        </w:rPr>
        <w:t xml:space="preserve"> as carriers for Rhizobium </w:t>
      </w:r>
      <w:proofErr w:type="spellStart"/>
      <w:r w:rsidRPr="00BB2672">
        <w:rPr>
          <w:rFonts w:ascii="Arial" w:hAnsi="Arial" w:cs="Arial"/>
          <w:sz w:val="20"/>
          <w:szCs w:val="20"/>
        </w:rPr>
        <w:t>leguminosarum</w:t>
      </w:r>
      <w:proofErr w:type="spellEnd"/>
      <w:r w:rsidRPr="00BB2672">
        <w:rPr>
          <w:rFonts w:ascii="Arial" w:hAnsi="Arial" w:cs="Arial"/>
          <w:sz w:val="20"/>
          <w:szCs w:val="20"/>
        </w:rPr>
        <w:t>. </w:t>
      </w:r>
      <w:r w:rsidRPr="00BB2672">
        <w:rPr>
          <w:rFonts w:ascii="Arial" w:hAnsi="Arial" w:cs="Arial"/>
          <w:i/>
          <w:iCs/>
          <w:sz w:val="20"/>
          <w:szCs w:val="20"/>
        </w:rPr>
        <w:t>Canadian Journal of Microbiology</w:t>
      </w:r>
      <w:r w:rsidRPr="00BB2672">
        <w:rPr>
          <w:rFonts w:ascii="Arial" w:hAnsi="Arial" w:cs="Arial"/>
          <w:sz w:val="20"/>
          <w:szCs w:val="20"/>
        </w:rPr>
        <w:t>, </w:t>
      </w:r>
      <w:r w:rsidRPr="00BB2672">
        <w:rPr>
          <w:rFonts w:ascii="Arial" w:hAnsi="Arial" w:cs="Arial"/>
          <w:i/>
          <w:iCs/>
          <w:sz w:val="20"/>
          <w:szCs w:val="20"/>
        </w:rPr>
        <w:t>67</w:t>
      </w:r>
      <w:r w:rsidRPr="00BB2672">
        <w:rPr>
          <w:rFonts w:ascii="Arial" w:hAnsi="Arial" w:cs="Arial"/>
          <w:sz w:val="20"/>
          <w:szCs w:val="20"/>
        </w:rPr>
        <w:t>(1), 53-63.</w:t>
      </w:r>
    </w:p>
    <w:p w14:paraId="6321E68E"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Jiang, Z., Li, Q., Peng, F., &amp; Yu, J. (2024). Biochar Loaded with a Bacterial Strain N33 Facilitates Pecan Seedling Growth and Shapes Rhizosphere Microbial Community. </w:t>
      </w:r>
      <w:r w:rsidRPr="00BB2672">
        <w:rPr>
          <w:rFonts w:ascii="Arial" w:hAnsi="Arial" w:cs="Arial"/>
          <w:i/>
          <w:iCs/>
          <w:sz w:val="20"/>
          <w:szCs w:val="20"/>
        </w:rPr>
        <w:t>Plants</w:t>
      </w:r>
      <w:r w:rsidRPr="00BB2672">
        <w:rPr>
          <w:rFonts w:ascii="Arial" w:hAnsi="Arial" w:cs="Arial"/>
          <w:sz w:val="20"/>
          <w:szCs w:val="20"/>
        </w:rPr>
        <w:t>, </w:t>
      </w:r>
      <w:r w:rsidRPr="00BB2672">
        <w:rPr>
          <w:rFonts w:ascii="Arial" w:hAnsi="Arial" w:cs="Arial"/>
          <w:i/>
          <w:iCs/>
          <w:sz w:val="20"/>
          <w:szCs w:val="20"/>
        </w:rPr>
        <w:t>13</w:t>
      </w:r>
      <w:r w:rsidRPr="00BB2672">
        <w:rPr>
          <w:rFonts w:ascii="Arial" w:hAnsi="Arial" w:cs="Arial"/>
          <w:sz w:val="20"/>
          <w:szCs w:val="20"/>
        </w:rPr>
        <w:t>(9), 1226.</w:t>
      </w:r>
    </w:p>
    <w:p w14:paraId="2696B785"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Kerner, P., Struhs, E., </w:t>
      </w:r>
      <w:proofErr w:type="spellStart"/>
      <w:r w:rsidRPr="00BB2672">
        <w:rPr>
          <w:rFonts w:ascii="Arial" w:hAnsi="Arial" w:cs="Arial"/>
          <w:sz w:val="20"/>
          <w:szCs w:val="20"/>
        </w:rPr>
        <w:t>Mirkouei</w:t>
      </w:r>
      <w:proofErr w:type="spellEnd"/>
      <w:r w:rsidRPr="00BB2672">
        <w:rPr>
          <w:rFonts w:ascii="Arial" w:hAnsi="Arial" w:cs="Arial"/>
          <w:sz w:val="20"/>
          <w:szCs w:val="20"/>
        </w:rPr>
        <w:t>, A., Aho, K., Lohse, K. A., Dungan, R. S., et al. (2023). Microbial responses to biochar soil amendment and influential factors: a three-level meta-analysis. </w:t>
      </w:r>
      <w:r w:rsidRPr="00BB2672">
        <w:rPr>
          <w:rFonts w:ascii="Arial" w:hAnsi="Arial" w:cs="Arial"/>
          <w:i/>
          <w:iCs/>
          <w:sz w:val="20"/>
          <w:szCs w:val="20"/>
        </w:rPr>
        <w:t>Environmental science &amp; technology</w:t>
      </w:r>
      <w:r w:rsidRPr="00BB2672">
        <w:rPr>
          <w:rFonts w:ascii="Arial" w:hAnsi="Arial" w:cs="Arial"/>
          <w:sz w:val="20"/>
          <w:szCs w:val="20"/>
        </w:rPr>
        <w:t>, </w:t>
      </w:r>
      <w:r w:rsidRPr="00BB2672">
        <w:rPr>
          <w:rFonts w:ascii="Arial" w:hAnsi="Arial" w:cs="Arial"/>
          <w:i/>
          <w:iCs/>
          <w:sz w:val="20"/>
          <w:szCs w:val="20"/>
        </w:rPr>
        <w:t>57</w:t>
      </w:r>
      <w:r w:rsidRPr="00BB2672">
        <w:rPr>
          <w:rFonts w:ascii="Arial" w:hAnsi="Arial" w:cs="Arial"/>
          <w:sz w:val="20"/>
          <w:szCs w:val="20"/>
        </w:rPr>
        <w:t>(48), 19838-19848.</w:t>
      </w:r>
    </w:p>
    <w:p w14:paraId="7F0B2C4C" w14:textId="77777777" w:rsidR="00056F07" w:rsidRPr="00BB2672" w:rsidRDefault="00056F07" w:rsidP="00BB2672">
      <w:pPr>
        <w:pStyle w:val="ListParagraph"/>
        <w:numPr>
          <w:ilvl w:val="0"/>
          <w:numId w:val="34"/>
        </w:numPr>
        <w:jc w:val="both"/>
        <w:rPr>
          <w:rFonts w:ascii="Arial" w:hAnsi="Arial" w:cs="Arial"/>
          <w:sz w:val="20"/>
          <w:szCs w:val="20"/>
        </w:rPr>
      </w:pPr>
      <w:proofErr w:type="spellStart"/>
      <w:r w:rsidRPr="00BB2672">
        <w:rPr>
          <w:rFonts w:ascii="Arial" w:hAnsi="Arial" w:cs="Arial"/>
          <w:sz w:val="20"/>
          <w:szCs w:val="20"/>
        </w:rPr>
        <w:t>Kracmarova</w:t>
      </w:r>
      <w:proofErr w:type="spellEnd"/>
      <w:r w:rsidRPr="00BB2672">
        <w:rPr>
          <w:rFonts w:ascii="Arial" w:hAnsi="Arial" w:cs="Arial"/>
          <w:sz w:val="20"/>
          <w:szCs w:val="20"/>
        </w:rPr>
        <w:t xml:space="preserve">-Farren, M., Alexova, E., </w:t>
      </w:r>
      <w:proofErr w:type="spellStart"/>
      <w:r w:rsidRPr="00BB2672">
        <w:rPr>
          <w:rFonts w:ascii="Arial" w:hAnsi="Arial" w:cs="Arial"/>
          <w:sz w:val="20"/>
          <w:szCs w:val="20"/>
        </w:rPr>
        <w:t>Kodatova</w:t>
      </w:r>
      <w:proofErr w:type="spellEnd"/>
      <w:r w:rsidRPr="00BB2672">
        <w:rPr>
          <w:rFonts w:ascii="Arial" w:hAnsi="Arial" w:cs="Arial"/>
          <w:sz w:val="20"/>
          <w:szCs w:val="20"/>
        </w:rPr>
        <w:t xml:space="preserve">, A., </w:t>
      </w:r>
      <w:proofErr w:type="spellStart"/>
      <w:r w:rsidRPr="00BB2672">
        <w:rPr>
          <w:rFonts w:ascii="Arial" w:hAnsi="Arial" w:cs="Arial"/>
          <w:sz w:val="20"/>
          <w:szCs w:val="20"/>
        </w:rPr>
        <w:t>Mercl</w:t>
      </w:r>
      <w:proofErr w:type="spellEnd"/>
      <w:r w:rsidRPr="00BB2672">
        <w:rPr>
          <w:rFonts w:ascii="Arial" w:hAnsi="Arial" w:cs="Arial"/>
          <w:sz w:val="20"/>
          <w:szCs w:val="20"/>
        </w:rPr>
        <w:t xml:space="preserve">, F., Szakova, J., </w:t>
      </w:r>
      <w:proofErr w:type="spellStart"/>
      <w:r w:rsidRPr="00BB2672">
        <w:rPr>
          <w:rFonts w:ascii="Arial" w:hAnsi="Arial" w:cs="Arial"/>
          <w:sz w:val="20"/>
          <w:szCs w:val="20"/>
        </w:rPr>
        <w:t>Tlustos</w:t>
      </w:r>
      <w:proofErr w:type="spellEnd"/>
      <w:r w:rsidRPr="00BB2672">
        <w:rPr>
          <w:rFonts w:ascii="Arial" w:hAnsi="Arial" w:cs="Arial"/>
          <w:sz w:val="20"/>
          <w:szCs w:val="20"/>
        </w:rPr>
        <w:t>, P., et al. (2024). Biochar-induced changes in soil microbial communities: a comparison of two feedstocks and pyrolysis temperatures. </w:t>
      </w:r>
      <w:r w:rsidRPr="00BB2672">
        <w:rPr>
          <w:rFonts w:ascii="Arial" w:hAnsi="Arial" w:cs="Arial"/>
          <w:i/>
          <w:iCs/>
          <w:sz w:val="20"/>
          <w:szCs w:val="20"/>
        </w:rPr>
        <w:t>Environmental Microbiome</w:t>
      </w:r>
      <w:r w:rsidRPr="00BB2672">
        <w:rPr>
          <w:rFonts w:ascii="Arial" w:hAnsi="Arial" w:cs="Arial"/>
          <w:sz w:val="20"/>
          <w:szCs w:val="20"/>
        </w:rPr>
        <w:t>, </w:t>
      </w:r>
      <w:r w:rsidRPr="00BB2672">
        <w:rPr>
          <w:rFonts w:ascii="Arial" w:hAnsi="Arial" w:cs="Arial"/>
          <w:i/>
          <w:iCs/>
          <w:sz w:val="20"/>
          <w:szCs w:val="20"/>
        </w:rPr>
        <w:t>19</w:t>
      </w:r>
      <w:r w:rsidRPr="00BB2672">
        <w:rPr>
          <w:rFonts w:ascii="Arial" w:hAnsi="Arial" w:cs="Arial"/>
          <w:sz w:val="20"/>
          <w:szCs w:val="20"/>
        </w:rPr>
        <w:t>(1), 87.</w:t>
      </w:r>
    </w:p>
    <w:p w14:paraId="6AAF6EA5"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Li, P., You, M., Du, Z., Lu, Y., Zuo, C., Zhao, M., et al. (2021). Effects of N fertilization during cultivation and lactobacillus plantarum inoculation at ensiling on chemical composition and bacterial Community of Mulberry Silage. </w:t>
      </w:r>
      <w:r w:rsidRPr="00BB2672">
        <w:rPr>
          <w:rFonts w:ascii="Arial" w:hAnsi="Arial" w:cs="Arial"/>
          <w:i/>
          <w:iCs/>
          <w:sz w:val="20"/>
          <w:szCs w:val="20"/>
        </w:rPr>
        <w:t>Frontiers in microbiology</w:t>
      </w:r>
      <w:r w:rsidRPr="00BB2672">
        <w:rPr>
          <w:rFonts w:ascii="Arial" w:hAnsi="Arial" w:cs="Arial"/>
          <w:sz w:val="20"/>
          <w:szCs w:val="20"/>
        </w:rPr>
        <w:t>, </w:t>
      </w:r>
      <w:r w:rsidRPr="00BB2672">
        <w:rPr>
          <w:rFonts w:ascii="Arial" w:hAnsi="Arial" w:cs="Arial"/>
          <w:i/>
          <w:iCs/>
          <w:sz w:val="20"/>
          <w:szCs w:val="20"/>
        </w:rPr>
        <w:t>12</w:t>
      </w:r>
      <w:r w:rsidRPr="00BB2672">
        <w:rPr>
          <w:rFonts w:ascii="Arial" w:hAnsi="Arial" w:cs="Arial"/>
          <w:sz w:val="20"/>
          <w:szCs w:val="20"/>
        </w:rPr>
        <w:t>, 735767.</w:t>
      </w:r>
    </w:p>
    <w:p w14:paraId="6734A6B3"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Mohammadi, A. (2021). Overview of the benefits and challenges associated with pelletizing biochar. </w:t>
      </w:r>
      <w:r w:rsidRPr="00BB2672">
        <w:rPr>
          <w:rFonts w:ascii="Arial" w:hAnsi="Arial" w:cs="Arial"/>
          <w:i/>
          <w:iCs/>
          <w:sz w:val="20"/>
          <w:szCs w:val="20"/>
        </w:rPr>
        <w:t>Processes</w:t>
      </w:r>
      <w:r w:rsidRPr="00BB2672">
        <w:rPr>
          <w:rFonts w:ascii="Arial" w:hAnsi="Arial" w:cs="Arial"/>
          <w:sz w:val="20"/>
          <w:szCs w:val="20"/>
        </w:rPr>
        <w:t>, </w:t>
      </w:r>
      <w:r w:rsidRPr="00BB2672">
        <w:rPr>
          <w:rFonts w:ascii="Arial" w:hAnsi="Arial" w:cs="Arial"/>
          <w:i/>
          <w:iCs/>
          <w:sz w:val="20"/>
          <w:szCs w:val="20"/>
        </w:rPr>
        <w:t>9</w:t>
      </w:r>
      <w:r w:rsidRPr="00BB2672">
        <w:rPr>
          <w:rFonts w:ascii="Arial" w:hAnsi="Arial" w:cs="Arial"/>
          <w:sz w:val="20"/>
          <w:szCs w:val="20"/>
        </w:rPr>
        <w:t>(9), 1591.</w:t>
      </w:r>
    </w:p>
    <w:p w14:paraId="69EC1D68"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Muzamil, A., Tahir, H. M., Ali, A., Bhatti, M. F., Munir, F., Ijaz, F., et al. (2023). Effect of amino acid fortified mulberry leaves on economic and biological traits of Bombyx mori L. </w:t>
      </w:r>
      <w:proofErr w:type="spellStart"/>
      <w:r w:rsidRPr="00BB2672">
        <w:rPr>
          <w:rFonts w:ascii="Arial" w:hAnsi="Arial" w:cs="Arial"/>
          <w:i/>
          <w:iCs/>
          <w:sz w:val="20"/>
          <w:szCs w:val="20"/>
        </w:rPr>
        <w:t>Heliyon</w:t>
      </w:r>
      <w:proofErr w:type="spellEnd"/>
      <w:r w:rsidRPr="00BB2672">
        <w:rPr>
          <w:rFonts w:ascii="Arial" w:hAnsi="Arial" w:cs="Arial"/>
          <w:sz w:val="20"/>
          <w:szCs w:val="20"/>
        </w:rPr>
        <w:t>, </w:t>
      </w:r>
      <w:r w:rsidRPr="00BB2672">
        <w:rPr>
          <w:rFonts w:ascii="Arial" w:hAnsi="Arial" w:cs="Arial"/>
          <w:i/>
          <w:iCs/>
          <w:sz w:val="20"/>
          <w:szCs w:val="20"/>
        </w:rPr>
        <w:t>9</w:t>
      </w:r>
      <w:r w:rsidRPr="00BB2672">
        <w:rPr>
          <w:rFonts w:ascii="Arial" w:hAnsi="Arial" w:cs="Arial"/>
          <w:sz w:val="20"/>
          <w:szCs w:val="20"/>
        </w:rPr>
        <w:t>(10).</w:t>
      </w:r>
    </w:p>
    <w:p w14:paraId="22310CB4" w14:textId="77777777" w:rsidR="00056F07"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Nandini, R., Hanumanta, D. L., &amp; </w:t>
      </w:r>
      <w:proofErr w:type="spellStart"/>
      <w:r w:rsidRPr="00BB2672">
        <w:rPr>
          <w:rFonts w:ascii="Arial" w:hAnsi="Arial" w:cs="Arial"/>
          <w:sz w:val="20"/>
          <w:szCs w:val="20"/>
        </w:rPr>
        <w:t>Shaziya</w:t>
      </w:r>
      <w:proofErr w:type="spellEnd"/>
      <w:r w:rsidRPr="00BB2672">
        <w:rPr>
          <w:rFonts w:ascii="Arial" w:hAnsi="Arial" w:cs="Arial"/>
          <w:sz w:val="20"/>
          <w:szCs w:val="20"/>
        </w:rPr>
        <w:t>, K. L. (2024b). Characterization of Mulberry Stalk Biochar and its Impact on Soil Nutrients Release. </w:t>
      </w:r>
      <w:r w:rsidRPr="00BB2672">
        <w:rPr>
          <w:rFonts w:ascii="Arial" w:hAnsi="Arial" w:cs="Arial"/>
          <w:i/>
          <w:iCs/>
          <w:sz w:val="20"/>
          <w:szCs w:val="20"/>
        </w:rPr>
        <w:t>International Journal of Plant &amp; Soil Science</w:t>
      </w:r>
      <w:r w:rsidRPr="00BB2672">
        <w:rPr>
          <w:rFonts w:ascii="Arial" w:hAnsi="Arial" w:cs="Arial"/>
          <w:sz w:val="20"/>
          <w:szCs w:val="20"/>
        </w:rPr>
        <w:t>, </w:t>
      </w:r>
      <w:r w:rsidRPr="00BB2672">
        <w:rPr>
          <w:rFonts w:ascii="Arial" w:hAnsi="Arial" w:cs="Arial"/>
          <w:i/>
          <w:iCs/>
          <w:sz w:val="20"/>
          <w:szCs w:val="20"/>
        </w:rPr>
        <w:t>36</w:t>
      </w:r>
      <w:r w:rsidRPr="00BB2672">
        <w:rPr>
          <w:rFonts w:ascii="Arial" w:hAnsi="Arial" w:cs="Arial"/>
          <w:sz w:val="20"/>
          <w:szCs w:val="20"/>
        </w:rPr>
        <w:t>(6), 474-485.</w:t>
      </w:r>
    </w:p>
    <w:p w14:paraId="6973A47A" w14:textId="5E664D32" w:rsidR="00CC4663" w:rsidRPr="00BB2672" w:rsidRDefault="00CC4663" w:rsidP="00BB2672">
      <w:pPr>
        <w:pStyle w:val="ListParagraph"/>
        <w:numPr>
          <w:ilvl w:val="0"/>
          <w:numId w:val="34"/>
        </w:numPr>
        <w:jc w:val="both"/>
        <w:rPr>
          <w:rFonts w:ascii="Arial" w:hAnsi="Arial" w:cs="Arial"/>
          <w:sz w:val="20"/>
          <w:szCs w:val="20"/>
        </w:rPr>
      </w:pPr>
      <w:r w:rsidRPr="00CC4663">
        <w:rPr>
          <w:rFonts w:ascii="Arial" w:hAnsi="Arial" w:cs="Arial"/>
          <w:sz w:val="20"/>
          <w:szCs w:val="20"/>
          <w:lang w:val="en-US"/>
        </w:rPr>
        <w:t xml:space="preserve">Nandini, R., </w:t>
      </w:r>
      <w:proofErr w:type="spellStart"/>
      <w:r w:rsidRPr="00CC4663">
        <w:rPr>
          <w:rFonts w:ascii="Arial" w:hAnsi="Arial" w:cs="Arial"/>
          <w:sz w:val="20"/>
          <w:szCs w:val="20"/>
          <w:lang w:val="en-US"/>
        </w:rPr>
        <w:t>Shaziya</w:t>
      </w:r>
      <w:proofErr w:type="spellEnd"/>
      <w:r w:rsidRPr="00CC4663">
        <w:rPr>
          <w:rFonts w:ascii="Arial" w:hAnsi="Arial" w:cs="Arial"/>
          <w:sz w:val="20"/>
          <w:szCs w:val="20"/>
          <w:lang w:val="en-US"/>
        </w:rPr>
        <w:t>, K. L., Hanumanta, D. L., &amp; HC, P. (2024</w:t>
      </w:r>
      <w:r>
        <w:rPr>
          <w:rFonts w:ascii="Arial" w:hAnsi="Arial" w:cs="Arial"/>
          <w:sz w:val="20"/>
          <w:szCs w:val="20"/>
          <w:lang w:val="en-US"/>
        </w:rPr>
        <w:t>c</w:t>
      </w:r>
      <w:r w:rsidRPr="00CC4663">
        <w:rPr>
          <w:rFonts w:ascii="Arial" w:hAnsi="Arial" w:cs="Arial"/>
          <w:sz w:val="20"/>
          <w:szCs w:val="20"/>
          <w:lang w:val="en-US"/>
        </w:rPr>
        <w:t>). Effect of Mulberry Stalk Biochar on Soil Nutrients Status and Productivity of Mulberry (</w:t>
      </w:r>
      <w:r w:rsidRPr="00CC4663">
        <w:rPr>
          <w:rFonts w:ascii="Arial" w:hAnsi="Arial" w:cs="Arial"/>
          <w:i/>
          <w:iCs/>
          <w:sz w:val="20"/>
          <w:szCs w:val="20"/>
          <w:lang w:val="en-US"/>
        </w:rPr>
        <w:t>Morus alba</w:t>
      </w:r>
      <w:r w:rsidRPr="00CC4663">
        <w:rPr>
          <w:rFonts w:ascii="Arial" w:hAnsi="Arial" w:cs="Arial"/>
          <w:sz w:val="20"/>
          <w:szCs w:val="20"/>
          <w:lang w:val="en-US"/>
        </w:rPr>
        <w:t xml:space="preserve"> L.). </w:t>
      </w:r>
      <w:r w:rsidRPr="00CC4663">
        <w:rPr>
          <w:rFonts w:ascii="Arial" w:hAnsi="Arial" w:cs="Arial"/>
          <w:i/>
          <w:iCs/>
          <w:sz w:val="20"/>
          <w:szCs w:val="20"/>
          <w:lang w:val="en-US"/>
        </w:rPr>
        <w:t>Asian Journal of Soil Science and Plant Nutrition</w:t>
      </w:r>
      <w:r w:rsidRPr="00CC4663">
        <w:rPr>
          <w:rFonts w:ascii="Arial" w:hAnsi="Arial" w:cs="Arial"/>
          <w:sz w:val="20"/>
          <w:szCs w:val="20"/>
          <w:lang w:val="en-US"/>
        </w:rPr>
        <w:t>, </w:t>
      </w:r>
      <w:r w:rsidRPr="00CC4663">
        <w:rPr>
          <w:rFonts w:ascii="Arial" w:hAnsi="Arial" w:cs="Arial"/>
          <w:i/>
          <w:iCs/>
          <w:sz w:val="20"/>
          <w:szCs w:val="20"/>
          <w:lang w:val="en-US"/>
        </w:rPr>
        <w:t>10</w:t>
      </w:r>
      <w:r w:rsidRPr="00CC4663">
        <w:rPr>
          <w:rFonts w:ascii="Arial" w:hAnsi="Arial" w:cs="Arial"/>
          <w:sz w:val="20"/>
          <w:szCs w:val="20"/>
          <w:lang w:val="en-US"/>
        </w:rPr>
        <w:t>(2), 382-395.</w:t>
      </w:r>
    </w:p>
    <w:p w14:paraId="4EC11AC6"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Nandini, R., </w:t>
      </w:r>
      <w:proofErr w:type="spellStart"/>
      <w:r w:rsidRPr="00BB2672">
        <w:rPr>
          <w:rFonts w:ascii="Arial" w:hAnsi="Arial" w:cs="Arial"/>
          <w:sz w:val="20"/>
          <w:szCs w:val="20"/>
        </w:rPr>
        <w:t>Shaziya</w:t>
      </w:r>
      <w:proofErr w:type="spellEnd"/>
      <w:r w:rsidRPr="00BB2672">
        <w:rPr>
          <w:rFonts w:ascii="Arial" w:hAnsi="Arial" w:cs="Arial"/>
          <w:sz w:val="20"/>
          <w:szCs w:val="20"/>
        </w:rPr>
        <w:t>, K. L., Hanumanta, D. L., &amp; Prakasha, H. C. (2024a). Recycling of Mulberry Stalk as Biochar and its Effect on Uptake of Nutrients by Mulberry. </w:t>
      </w:r>
      <w:r w:rsidRPr="00BB2672">
        <w:rPr>
          <w:rFonts w:ascii="Arial" w:hAnsi="Arial" w:cs="Arial"/>
          <w:i/>
          <w:iCs/>
          <w:sz w:val="20"/>
          <w:szCs w:val="20"/>
        </w:rPr>
        <w:t>Asian Journal of Soil Science and Plant Nutrition</w:t>
      </w:r>
      <w:r w:rsidRPr="00BB2672">
        <w:rPr>
          <w:rFonts w:ascii="Arial" w:hAnsi="Arial" w:cs="Arial"/>
          <w:sz w:val="20"/>
          <w:szCs w:val="20"/>
        </w:rPr>
        <w:t>, </w:t>
      </w:r>
      <w:r w:rsidRPr="00BB2672">
        <w:rPr>
          <w:rFonts w:ascii="Arial" w:hAnsi="Arial" w:cs="Arial"/>
          <w:i/>
          <w:iCs/>
          <w:sz w:val="20"/>
          <w:szCs w:val="20"/>
        </w:rPr>
        <w:t>10</w:t>
      </w:r>
      <w:r w:rsidRPr="00BB2672">
        <w:rPr>
          <w:rFonts w:ascii="Arial" w:hAnsi="Arial" w:cs="Arial"/>
          <w:sz w:val="20"/>
          <w:szCs w:val="20"/>
        </w:rPr>
        <w:t>(2), 430-444.</w:t>
      </w:r>
    </w:p>
    <w:p w14:paraId="612CFF69"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lastRenderedPageBreak/>
        <w:t xml:space="preserve">Osman, A. I., Fawzy, S., </w:t>
      </w:r>
      <w:proofErr w:type="spellStart"/>
      <w:r w:rsidRPr="00BB2672">
        <w:rPr>
          <w:rFonts w:ascii="Arial" w:hAnsi="Arial" w:cs="Arial"/>
          <w:sz w:val="20"/>
          <w:szCs w:val="20"/>
        </w:rPr>
        <w:t>Farghali</w:t>
      </w:r>
      <w:proofErr w:type="spellEnd"/>
      <w:r w:rsidRPr="00BB2672">
        <w:rPr>
          <w:rFonts w:ascii="Arial" w:hAnsi="Arial" w:cs="Arial"/>
          <w:sz w:val="20"/>
          <w:szCs w:val="20"/>
        </w:rPr>
        <w:t>, M., El-Azazy, M., Elgarahy, A. M., Fahim, R. A., et al. (2022). Biochar for agronomy, animal farming, anaerobic digestion, composting, water treatment, soil remediation, construction, energy storage, and carbon sequestration: a review. </w:t>
      </w:r>
      <w:r w:rsidRPr="00BB2672">
        <w:rPr>
          <w:rFonts w:ascii="Arial" w:hAnsi="Arial" w:cs="Arial"/>
          <w:i/>
          <w:iCs/>
          <w:sz w:val="20"/>
          <w:szCs w:val="20"/>
        </w:rPr>
        <w:t>Environmental Chemistry Letters</w:t>
      </w:r>
      <w:r w:rsidRPr="00BB2672">
        <w:rPr>
          <w:rFonts w:ascii="Arial" w:hAnsi="Arial" w:cs="Arial"/>
          <w:sz w:val="20"/>
          <w:szCs w:val="20"/>
        </w:rPr>
        <w:t>, </w:t>
      </w:r>
      <w:r w:rsidRPr="00BB2672">
        <w:rPr>
          <w:rFonts w:ascii="Arial" w:hAnsi="Arial" w:cs="Arial"/>
          <w:i/>
          <w:iCs/>
          <w:sz w:val="20"/>
          <w:szCs w:val="20"/>
        </w:rPr>
        <w:t>20</w:t>
      </w:r>
      <w:r w:rsidRPr="00BB2672">
        <w:rPr>
          <w:rFonts w:ascii="Arial" w:hAnsi="Arial" w:cs="Arial"/>
          <w:sz w:val="20"/>
          <w:szCs w:val="20"/>
        </w:rPr>
        <w:t>(4), 2385-2485.</w:t>
      </w:r>
    </w:p>
    <w:p w14:paraId="164F450D"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Patil, L. M., Valvi, V. I., Patil, D. S., Nimbalkar, S. D., &amp; </w:t>
      </w:r>
      <w:proofErr w:type="spellStart"/>
      <w:r w:rsidRPr="00BB2672">
        <w:rPr>
          <w:rFonts w:ascii="Arial" w:hAnsi="Arial" w:cs="Arial"/>
          <w:sz w:val="20"/>
          <w:szCs w:val="20"/>
        </w:rPr>
        <w:t>Kauthale</w:t>
      </w:r>
      <w:proofErr w:type="spellEnd"/>
      <w:r w:rsidRPr="00BB2672">
        <w:rPr>
          <w:rFonts w:ascii="Arial" w:hAnsi="Arial" w:cs="Arial"/>
          <w:sz w:val="20"/>
          <w:szCs w:val="20"/>
        </w:rPr>
        <w:t>, V. K. (2024). Influence of microbial enriched biochar as soil amendment on growth, yield and economics of okra (</w:t>
      </w:r>
      <w:r w:rsidRPr="00BB2672">
        <w:rPr>
          <w:rFonts w:ascii="Arial" w:hAnsi="Arial" w:cs="Arial"/>
          <w:i/>
          <w:iCs/>
          <w:sz w:val="20"/>
          <w:szCs w:val="20"/>
        </w:rPr>
        <w:t>Abelmoschus esculentus</w:t>
      </w:r>
      <w:r w:rsidRPr="00BB2672">
        <w:rPr>
          <w:rFonts w:ascii="Arial" w:hAnsi="Arial" w:cs="Arial"/>
          <w:sz w:val="20"/>
          <w:szCs w:val="20"/>
        </w:rPr>
        <w:t xml:space="preserve">) and soil fertility. </w:t>
      </w:r>
      <w:r w:rsidRPr="00BB2672">
        <w:rPr>
          <w:rFonts w:ascii="Arial" w:hAnsi="Arial" w:cs="Arial"/>
          <w:i/>
          <w:iCs/>
          <w:sz w:val="20"/>
          <w:szCs w:val="20"/>
        </w:rPr>
        <w:t>International Journal of Advanced Biochemistry Research</w:t>
      </w:r>
      <w:r w:rsidRPr="00BB2672">
        <w:rPr>
          <w:rFonts w:ascii="Arial" w:hAnsi="Arial" w:cs="Arial"/>
          <w:sz w:val="20"/>
          <w:szCs w:val="20"/>
        </w:rPr>
        <w:t xml:space="preserve">, </w:t>
      </w:r>
      <w:r w:rsidRPr="00BB2672">
        <w:rPr>
          <w:rFonts w:ascii="Arial" w:hAnsi="Arial" w:cs="Arial"/>
          <w:i/>
          <w:iCs/>
          <w:sz w:val="20"/>
          <w:szCs w:val="20"/>
        </w:rPr>
        <w:t>8</w:t>
      </w:r>
      <w:r w:rsidRPr="00BB2672">
        <w:rPr>
          <w:rFonts w:ascii="Arial" w:hAnsi="Arial" w:cs="Arial"/>
          <w:sz w:val="20"/>
          <w:szCs w:val="20"/>
        </w:rPr>
        <w:t>(12), 1089-1093.</w:t>
      </w:r>
    </w:p>
    <w:p w14:paraId="7A18B865" w14:textId="77777777" w:rsidR="00056F07" w:rsidRPr="00BB2672" w:rsidRDefault="00056F07" w:rsidP="00BB2672">
      <w:pPr>
        <w:pStyle w:val="ListParagraph"/>
        <w:numPr>
          <w:ilvl w:val="0"/>
          <w:numId w:val="34"/>
        </w:numPr>
        <w:jc w:val="both"/>
        <w:rPr>
          <w:rFonts w:ascii="Arial" w:hAnsi="Arial" w:cs="Arial"/>
          <w:sz w:val="20"/>
          <w:szCs w:val="20"/>
        </w:rPr>
      </w:pPr>
      <w:proofErr w:type="spellStart"/>
      <w:r w:rsidRPr="00BB2672">
        <w:rPr>
          <w:rFonts w:ascii="Arial" w:hAnsi="Arial" w:cs="Arial"/>
          <w:sz w:val="20"/>
          <w:szCs w:val="20"/>
        </w:rPr>
        <w:t>Piash</w:t>
      </w:r>
      <w:proofErr w:type="spellEnd"/>
      <w:r w:rsidRPr="00BB2672">
        <w:rPr>
          <w:rFonts w:ascii="Arial" w:hAnsi="Arial" w:cs="Arial"/>
          <w:sz w:val="20"/>
          <w:szCs w:val="20"/>
        </w:rPr>
        <w:t>, M. I., Iwabuchi, K., &amp; Itoh, T. (2022). Synthesizing biochar-based fertilizer with sustained phosphorus and potassium release: Co-pyrolysis of nutrient-rich chicken manure and Ca-bentonite. </w:t>
      </w:r>
      <w:r w:rsidRPr="00BB2672">
        <w:rPr>
          <w:rFonts w:ascii="Arial" w:hAnsi="Arial" w:cs="Arial"/>
          <w:i/>
          <w:iCs/>
          <w:sz w:val="20"/>
          <w:szCs w:val="20"/>
        </w:rPr>
        <w:t>Science of the Total Environment</w:t>
      </w:r>
      <w:r w:rsidRPr="00BB2672">
        <w:rPr>
          <w:rFonts w:ascii="Arial" w:hAnsi="Arial" w:cs="Arial"/>
          <w:sz w:val="20"/>
          <w:szCs w:val="20"/>
        </w:rPr>
        <w:t>, </w:t>
      </w:r>
      <w:r w:rsidRPr="00BB2672">
        <w:rPr>
          <w:rFonts w:ascii="Arial" w:hAnsi="Arial" w:cs="Arial"/>
          <w:i/>
          <w:iCs/>
          <w:sz w:val="20"/>
          <w:szCs w:val="20"/>
        </w:rPr>
        <w:t>822</w:t>
      </w:r>
      <w:r w:rsidRPr="00BB2672">
        <w:rPr>
          <w:rFonts w:ascii="Arial" w:hAnsi="Arial" w:cs="Arial"/>
          <w:sz w:val="20"/>
          <w:szCs w:val="20"/>
        </w:rPr>
        <w:t>, 153509.</w:t>
      </w:r>
    </w:p>
    <w:p w14:paraId="2166EF22"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Ranjitha, B. H., Gowda, R., Gowda, M., Naika, R., Arunkumar, B. R., &amp; </w:t>
      </w:r>
      <w:proofErr w:type="spellStart"/>
      <w:r w:rsidRPr="00BB2672">
        <w:rPr>
          <w:rFonts w:ascii="Arial" w:hAnsi="Arial" w:cs="Arial"/>
          <w:sz w:val="20"/>
          <w:szCs w:val="20"/>
        </w:rPr>
        <w:t>Kadalli</w:t>
      </w:r>
      <w:proofErr w:type="spellEnd"/>
      <w:r w:rsidRPr="00BB2672">
        <w:rPr>
          <w:rFonts w:ascii="Arial" w:hAnsi="Arial" w:cs="Arial"/>
          <w:sz w:val="20"/>
          <w:szCs w:val="20"/>
        </w:rPr>
        <w:t>, G. G. (2023). Effect of levels of mulberry shoots biochar, Farm yard manure and NPK fertilizer on soil properties under tree mulberry garden. </w:t>
      </w:r>
      <w:r w:rsidRPr="00BB2672">
        <w:rPr>
          <w:rFonts w:ascii="Arial" w:hAnsi="Arial" w:cs="Arial"/>
          <w:i/>
          <w:iCs/>
          <w:sz w:val="20"/>
          <w:szCs w:val="20"/>
        </w:rPr>
        <w:t>The Pharma Innovation Journal</w:t>
      </w:r>
      <w:r w:rsidRPr="00BB2672">
        <w:rPr>
          <w:rFonts w:ascii="Arial" w:hAnsi="Arial" w:cs="Arial"/>
          <w:sz w:val="20"/>
          <w:szCs w:val="20"/>
        </w:rPr>
        <w:t>, </w:t>
      </w:r>
      <w:r w:rsidRPr="00BB2672">
        <w:rPr>
          <w:rFonts w:ascii="Arial" w:hAnsi="Arial" w:cs="Arial"/>
          <w:i/>
          <w:iCs/>
          <w:sz w:val="20"/>
          <w:szCs w:val="20"/>
        </w:rPr>
        <w:t>12</w:t>
      </w:r>
      <w:r w:rsidRPr="00BB2672">
        <w:rPr>
          <w:rFonts w:ascii="Arial" w:hAnsi="Arial" w:cs="Arial"/>
          <w:sz w:val="20"/>
          <w:szCs w:val="20"/>
        </w:rPr>
        <w:t>, 592-597.</w:t>
      </w:r>
    </w:p>
    <w:p w14:paraId="04F0A952"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Ren, Y., Guo, G., Wang, Z., Zhu, L., &amp; Geng, B. (2025). Response of Yield and Protein Content of Forage Mulberry to Irrigation in North China Plain. </w:t>
      </w:r>
      <w:r w:rsidRPr="00BB2672">
        <w:rPr>
          <w:rFonts w:ascii="Arial" w:hAnsi="Arial" w:cs="Arial"/>
          <w:i/>
          <w:iCs/>
          <w:sz w:val="20"/>
          <w:szCs w:val="20"/>
        </w:rPr>
        <w:t>Agronomy</w:t>
      </w:r>
      <w:r w:rsidRPr="00BB2672">
        <w:rPr>
          <w:rFonts w:ascii="Arial" w:hAnsi="Arial" w:cs="Arial"/>
          <w:sz w:val="20"/>
          <w:szCs w:val="20"/>
        </w:rPr>
        <w:t>, </w:t>
      </w:r>
      <w:r w:rsidRPr="00BB2672">
        <w:rPr>
          <w:rFonts w:ascii="Arial" w:hAnsi="Arial" w:cs="Arial"/>
          <w:i/>
          <w:iCs/>
          <w:sz w:val="20"/>
          <w:szCs w:val="20"/>
        </w:rPr>
        <w:t>15</w:t>
      </w:r>
      <w:r w:rsidRPr="00BB2672">
        <w:rPr>
          <w:rFonts w:ascii="Arial" w:hAnsi="Arial" w:cs="Arial"/>
          <w:sz w:val="20"/>
          <w:szCs w:val="20"/>
        </w:rPr>
        <w:t>(5), 1016.</w:t>
      </w:r>
    </w:p>
    <w:p w14:paraId="1F9C6A96"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Rubel, R. I., Wei, L., Alanazi, S., </w:t>
      </w:r>
      <w:proofErr w:type="spellStart"/>
      <w:r w:rsidRPr="00BB2672">
        <w:rPr>
          <w:rFonts w:ascii="Arial" w:hAnsi="Arial" w:cs="Arial"/>
          <w:sz w:val="20"/>
          <w:szCs w:val="20"/>
        </w:rPr>
        <w:t>Aldekhail</w:t>
      </w:r>
      <w:proofErr w:type="spellEnd"/>
      <w:r w:rsidRPr="00BB2672">
        <w:rPr>
          <w:rFonts w:ascii="Arial" w:hAnsi="Arial" w:cs="Arial"/>
          <w:sz w:val="20"/>
          <w:szCs w:val="20"/>
        </w:rPr>
        <w:t>, A., Cidreira, A. M., Yang, X., et al. (2024). Biochar-compost-based controlled-release nitrogen fertilizer intended for an active microbial community. </w:t>
      </w:r>
      <w:r w:rsidRPr="00BB2672">
        <w:rPr>
          <w:rFonts w:ascii="Arial" w:hAnsi="Arial" w:cs="Arial"/>
          <w:i/>
          <w:iCs/>
          <w:sz w:val="20"/>
          <w:szCs w:val="20"/>
        </w:rPr>
        <w:t>Frontiers of Agricultural Science and Engineering</w:t>
      </w:r>
      <w:r w:rsidRPr="00BB2672">
        <w:rPr>
          <w:rFonts w:ascii="Arial" w:hAnsi="Arial" w:cs="Arial"/>
          <w:sz w:val="20"/>
          <w:szCs w:val="20"/>
        </w:rPr>
        <w:t>, </w:t>
      </w:r>
      <w:r w:rsidRPr="00BB2672">
        <w:rPr>
          <w:rFonts w:ascii="Arial" w:hAnsi="Arial" w:cs="Arial"/>
          <w:i/>
          <w:iCs/>
          <w:sz w:val="20"/>
          <w:szCs w:val="20"/>
        </w:rPr>
        <w:t>11</w:t>
      </w:r>
      <w:r w:rsidRPr="00BB2672">
        <w:rPr>
          <w:rFonts w:ascii="Arial" w:hAnsi="Arial" w:cs="Arial"/>
          <w:sz w:val="20"/>
          <w:szCs w:val="20"/>
        </w:rPr>
        <w:t>(2).</w:t>
      </w:r>
    </w:p>
    <w:p w14:paraId="4EB1AE05"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Sangha, M. N., </w:t>
      </w:r>
      <w:proofErr w:type="spellStart"/>
      <w:r w:rsidRPr="00BB2672">
        <w:rPr>
          <w:rFonts w:ascii="Arial" w:hAnsi="Arial" w:cs="Arial"/>
          <w:sz w:val="20"/>
          <w:szCs w:val="20"/>
        </w:rPr>
        <w:t>Barwani</w:t>
      </w:r>
      <w:proofErr w:type="spellEnd"/>
      <w:r w:rsidRPr="00BB2672">
        <w:rPr>
          <w:rFonts w:ascii="Arial" w:hAnsi="Arial" w:cs="Arial"/>
          <w:sz w:val="20"/>
          <w:szCs w:val="20"/>
        </w:rPr>
        <w:t>, D. K., Xavier, C., Muhonja, L., Moseti, K., Karanja, P. N., et al. (2024). We are what we eat: Implications of host plant suitability on sustainable production of silkworm pupae as novel ingredient with dietary and health benefits. </w:t>
      </w:r>
      <w:proofErr w:type="spellStart"/>
      <w:r w:rsidRPr="00BB2672">
        <w:rPr>
          <w:rFonts w:ascii="Arial" w:hAnsi="Arial" w:cs="Arial"/>
          <w:i/>
          <w:iCs/>
          <w:sz w:val="20"/>
          <w:szCs w:val="20"/>
        </w:rPr>
        <w:t>PloS</w:t>
      </w:r>
      <w:proofErr w:type="spellEnd"/>
      <w:r w:rsidRPr="00BB2672">
        <w:rPr>
          <w:rFonts w:ascii="Arial" w:hAnsi="Arial" w:cs="Arial"/>
          <w:i/>
          <w:iCs/>
          <w:sz w:val="20"/>
          <w:szCs w:val="20"/>
        </w:rPr>
        <w:t xml:space="preserve"> one</w:t>
      </w:r>
      <w:r w:rsidRPr="00BB2672">
        <w:rPr>
          <w:rFonts w:ascii="Arial" w:hAnsi="Arial" w:cs="Arial"/>
          <w:sz w:val="20"/>
          <w:szCs w:val="20"/>
        </w:rPr>
        <w:t>, </w:t>
      </w:r>
      <w:r w:rsidRPr="00BB2672">
        <w:rPr>
          <w:rFonts w:ascii="Arial" w:hAnsi="Arial" w:cs="Arial"/>
          <w:i/>
          <w:iCs/>
          <w:sz w:val="20"/>
          <w:szCs w:val="20"/>
        </w:rPr>
        <w:t>19</w:t>
      </w:r>
      <w:r w:rsidRPr="00BB2672">
        <w:rPr>
          <w:rFonts w:ascii="Arial" w:hAnsi="Arial" w:cs="Arial"/>
          <w:sz w:val="20"/>
          <w:szCs w:val="20"/>
        </w:rPr>
        <w:t>(12), e0316290.</w:t>
      </w:r>
    </w:p>
    <w:p w14:paraId="116DD222"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Shabir, R., Li, Y., </w:t>
      </w:r>
      <w:proofErr w:type="spellStart"/>
      <w:r w:rsidRPr="00BB2672">
        <w:rPr>
          <w:rFonts w:ascii="Arial" w:hAnsi="Arial" w:cs="Arial"/>
          <w:sz w:val="20"/>
          <w:szCs w:val="20"/>
        </w:rPr>
        <w:t>Megharaj</w:t>
      </w:r>
      <w:proofErr w:type="spellEnd"/>
      <w:r w:rsidRPr="00BB2672">
        <w:rPr>
          <w:rFonts w:ascii="Arial" w:hAnsi="Arial" w:cs="Arial"/>
          <w:sz w:val="20"/>
          <w:szCs w:val="20"/>
        </w:rPr>
        <w:t xml:space="preserve">, M., &amp; Chen, C. (2024). Pyrolysis temperature affects biochar suitability as an alternative </w:t>
      </w:r>
      <w:proofErr w:type="spellStart"/>
      <w:r w:rsidRPr="00BB2672">
        <w:rPr>
          <w:rFonts w:ascii="Arial" w:hAnsi="Arial" w:cs="Arial"/>
          <w:sz w:val="20"/>
          <w:szCs w:val="20"/>
        </w:rPr>
        <w:t>rhizobial</w:t>
      </w:r>
      <w:proofErr w:type="spellEnd"/>
      <w:r w:rsidRPr="00BB2672">
        <w:rPr>
          <w:rFonts w:ascii="Arial" w:hAnsi="Arial" w:cs="Arial"/>
          <w:sz w:val="20"/>
          <w:szCs w:val="20"/>
        </w:rPr>
        <w:t xml:space="preserve"> carrier. </w:t>
      </w:r>
      <w:r w:rsidRPr="00BB2672">
        <w:rPr>
          <w:rFonts w:ascii="Arial" w:hAnsi="Arial" w:cs="Arial"/>
          <w:i/>
          <w:iCs/>
          <w:sz w:val="20"/>
          <w:szCs w:val="20"/>
        </w:rPr>
        <w:t>Biology and Fertility of Soils</w:t>
      </w:r>
      <w:r w:rsidRPr="00BB2672">
        <w:rPr>
          <w:rFonts w:ascii="Arial" w:hAnsi="Arial" w:cs="Arial"/>
          <w:sz w:val="20"/>
          <w:szCs w:val="20"/>
        </w:rPr>
        <w:t>, </w:t>
      </w:r>
      <w:r w:rsidRPr="00BB2672">
        <w:rPr>
          <w:rFonts w:ascii="Arial" w:hAnsi="Arial" w:cs="Arial"/>
          <w:i/>
          <w:iCs/>
          <w:sz w:val="20"/>
          <w:szCs w:val="20"/>
        </w:rPr>
        <w:t>60</w:t>
      </w:r>
      <w:r w:rsidRPr="00BB2672">
        <w:rPr>
          <w:rFonts w:ascii="Arial" w:hAnsi="Arial" w:cs="Arial"/>
          <w:sz w:val="20"/>
          <w:szCs w:val="20"/>
        </w:rPr>
        <w:t>(5), 681-697.</w:t>
      </w:r>
    </w:p>
    <w:p w14:paraId="3D230D70"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Shravani K., Triveni S., Latha P.C., &amp; Damodara Chari K. (2019). Evaluation of shelf life and quality of carrier and liquid based </w:t>
      </w:r>
      <w:proofErr w:type="spellStart"/>
      <w:r w:rsidRPr="00BB2672">
        <w:rPr>
          <w:rFonts w:ascii="Arial" w:hAnsi="Arial" w:cs="Arial"/>
          <w:sz w:val="20"/>
          <w:szCs w:val="20"/>
        </w:rPr>
        <w:t>biofertilisers</w:t>
      </w:r>
      <w:proofErr w:type="spellEnd"/>
      <w:r w:rsidRPr="00BB2672">
        <w:rPr>
          <w:rFonts w:ascii="Arial" w:hAnsi="Arial" w:cs="Arial"/>
          <w:sz w:val="20"/>
          <w:szCs w:val="20"/>
        </w:rPr>
        <w:t>. </w:t>
      </w:r>
      <w:r w:rsidRPr="00BB2672">
        <w:rPr>
          <w:rFonts w:ascii="Arial" w:hAnsi="Arial" w:cs="Arial"/>
          <w:i/>
          <w:iCs/>
          <w:sz w:val="20"/>
          <w:szCs w:val="20"/>
        </w:rPr>
        <w:t>International Journal of Microbiology Research, 11</w:t>
      </w:r>
      <w:r w:rsidRPr="00BB2672">
        <w:rPr>
          <w:rFonts w:ascii="Arial" w:hAnsi="Arial" w:cs="Arial"/>
          <w:sz w:val="20"/>
          <w:szCs w:val="20"/>
        </w:rPr>
        <w:t>(6), 1598-1601.</w:t>
      </w:r>
    </w:p>
    <w:p w14:paraId="04C7462D"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Singh, R. P., Yadav, R., Pandey, V., Singh, A., Singh, M., Shanker, K., et al. (2024). Effect of biochar on soil microbial community, dissipation and uptake of chlorpyrifos and atrazine. </w:t>
      </w:r>
      <w:r w:rsidRPr="00BB2672">
        <w:rPr>
          <w:rFonts w:ascii="Arial" w:hAnsi="Arial" w:cs="Arial"/>
          <w:i/>
          <w:iCs/>
          <w:sz w:val="20"/>
          <w:szCs w:val="20"/>
        </w:rPr>
        <w:t>Biochar</w:t>
      </w:r>
      <w:r w:rsidRPr="00BB2672">
        <w:rPr>
          <w:rFonts w:ascii="Arial" w:hAnsi="Arial" w:cs="Arial"/>
          <w:sz w:val="20"/>
          <w:szCs w:val="20"/>
        </w:rPr>
        <w:t>, </w:t>
      </w:r>
      <w:r w:rsidRPr="00BB2672">
        <w:rPr>
          <w:rFonts w:ascii="Arial" w:hAnsi="Arial" w:cs="Arial"/>
          <w:i/>
          <w:iCs/>
          <w:sz w:val="20"/>
          <w:szCs w:val="20"/>
        </w:rPr>
        <w:t>6</w:t>
      </w:r>
      <w:r w:rsidRPr="00BB2672">
        <w:rPr>
          <w:rFonts w:ascii="Arial" w:hAnsi="Arial" w:cs="Arial"/>
          <w:sz w:val="20"/>
          <w:szCs w:val="20"/>
        </w:rPr>
        <w:t>(1), 17.</w:t>
      </w:r>
    </w:p>
    <w:p w14:paraId="6BDBE092"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Thomas, S. C. (2021). Post-processing of </w:t>
      </w:r>
      <w:proofErr w:type="spellStart"/>
      <w:r w:rsidRPr="00BB2672">
        <w:rPr>
          <w:rFonts w:ascii="Arial" w:hAnsi="Arial" w:cs="Arial"/>
          <w:sz w:val="20"/>
          <w:szCs w:val="20"/>
        </w:rPr>
        <w:t>biochars</w:t>
      </w:r>
      <w:proofErr w:type="spellEnd"/>
      <w:r w:rsidRPr="00BB2672">
        <w:rPr>
          <w:rFonts w:ascii="Arial" w:hAnsi="Arial" w:cs="Arial"/>
          <w:sz w:val="20"/>
          <w:szCs w:val="20"/>
        </w:rPr>
        <w:t xml:space="preserve"> to enhance plant growth responses: a review and meta-analysis. </w:t>
      </w:r>
      <w:r w:rsidRPr="00BB2672">
        <w:rPr>
          <w:rFonts w:ascii="Arial" w:hAnsi="Arial" w:cs="Arial"/>
          <w:i/>
          <w:iCs/>
          <w:sz w:val="20"/>
          <w:szCs w:val="20"/>
        </w:rPr>
        <w:t>Biochar</w:t>
      </w:r>
      <w:r w:rsidRPr="00BB2672">
        <w:rPr>
          <w:rFonts w:ascii="Arial" w:hAnsi="Arial" w:cs="Arial"/>
          <w:sz w:val="20"/>
          <w:szCs w:val="20"/>
        </w:rPr>
        <w:t>, </w:t>
      </w:r>
      <w:r w:rsidRPr="00BB2672">
        <w:rPr>
          <w:rFonts w:ascii="Arial" w:hAnsi="Arial" w:cs="Arial"/>
          <w:i/>
          <w:iCs/>
          <w:sz w:val="20"/>
          <w:szCs w:val="20"/>
        </w:rPr>
        <w:t>3</w:t>
      </w:r>
      <w:r w:rsidRPr="00BB2672">
        <w:rPr>
          <w:rFonts w:ascii="Arial" w:hAnsi="Arial" w:cs="Arial"/>
          <w:sz w:val="20"/>
          <w:szCs w:val="20"/>
        </w:rPr>
        <w:t>(4), 437-455.</w:t>
      </w:r>
    </w:p>
    <w:p w14:paraId="6D433207"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Vlajkov, V., Pajčin, I., Vučetić, S., Anđelić, S., Loc, M., Grahovac, M., et al. (2023). Bacillus-loaded biochar as soil amendment for improved germination of maize seeds. </w:t>
      </w:r>
      <w:r w:rsidRPr="00BB2672">
        <w:rPr>
          <w:rFonts w:ascii="Arial" w:hAnsi="Arial" w:cs="Arial"/>
          <w:i/>
          <w:iCs/>
          <w:sz w:val="20"/>
          <w:szCs w:val="20"/>
        </w:rPr>
        <w:t>Plants</w:t>
      </w:r>
      <w:r w:rsidRPr="00BB2672">
        <w:rPr>
          <w:rFonts w:ascii="Arial" w:hAnsi="Arial" w:cs="Arial"/>
          <w:sz w:val="20"/>
          <w:szCs w:val="20"/>
        </w:rPr>
        <w:t>, </w:t>
      </w:r>
      <w:r w:rsidRPr="00BB2672">
        <w:rPr>
          <w:rFonts w:ascii="Arial" w:hAnsi="Arial" w:cs="Arial"/>
          <w:i/>
          <w:iCs/>
          <w:sz w:val="20"/>
          <w:szCs w:val="20"/>
        </w:rPr>
        <w:t>12</w:t>
      </w:r>
      <w:r w:rsidRPr="00BB2672">
        <w:rPr>
          <w:rFonts w:ascii="Arial" w:hAnsi="Arial" w:cs="Arial"/>
          <w:sz w:val="20"/>
          <w:szCs w:val="20"/>
        </w:rPr>
        <w:t>(5), 1024.</w:t>
      </w:r>
    </w:p>
    <w:p w14:paraId="45E33373"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Wang ZaiGui, W. Z., Guo PanPan, G. P., Ye Miao, Y. M., Sun </w:t>
      </w:r>
      <w:proofErr w:type="spellStart"/>
      <w:r w:rsidRPr="00BB2672">
        <w:rPr>
          <w:rFonts w:ascii="Arial" w:hAnsi="Arial" w:cs="Arial"/>
          <w:sz w:val="20"/>
          <w:szCs w:val="20"/>
        </w:rPr>
        <w:t>LingHong</w:t>
      </w:r>
      <w:proofErr w:type="spellEnd"/>
      <w:r w:rsidRPr="00BB2672">
        <w:rPr>
          <w:rFonts w:ascii="Arial" w:hAnsi="Arial" w:cs="Arial"/>
          <w:sz w:val="20"/>
          <w:szCs w:val="20"/>
        </w:rPr>
        <w:t xml:space="preserve">, S. L., Zhang </w:t>
      </w:r>
      <w:proofErr w:type="spellStart"/>
      <w:r w:rsidRPr="00BB2672">
        <w:rPr>
          <w:rFonts w:ascii="Arial" w:hAnsi="Arial" w:cs="Arial"/>
          <w:sz w:val="20"/>
          <w:szCs w:val="20"/>
        </w:rPr>
        <w:t>HongFu</w:t>
      </w:r>
      <w:proofErr w:type="spellEnd"/>
      <w:r w:rsidRPr="00BB2672">
        <w:rPr>
          <w:rFonts w:ascii="Arial" w:hAnsi="Arial" w:cs="Arial"/>
          <w:sz w:val="20"/>
          <w:szCs w:val="20"/>
        </w:rPr>
        <w:t>, Z. H., &amp; Liu ChaoLiang, L. C. (2019). Effects of mulberry leaves with Bacillus subtilis on growth and production performance of silkworm, Bombyx mori L.</w:t>
      </w:r>
    </w:p>
    <w:p w14:paraId="383994D3"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Wang, C., Luo, D., Zhang, X., Huang, R., Cao, Y., Liu, G., et al. (2022). Biochar-based slow-release of fertilizers for sustainable agriculture: A mini review. </w:t>
      </w:r>
      <w:r w:rsidRPr="00BB2672">
        <w:rPr>
          <w:rFonts w:ascii="Arial" w:hAnsi="Arial" w:cs="Arial"/>
          <w:i/>
          <w:iCs/>
          <w:sz w:val="20"/>
          <w:szCs w:val="20"/>
        </w:rPr>
        <w:t>Environmental Science and Ecotechnology</w:t>
      </w:r>
      <w:r w:rsidRPr="00BB2672">
        <w:rPr>
          <w:rFonts w:ascii="Arial" w:hAnsi="Arial" w:cs="Arial"/>
          <w:sz w:val="20"/>
          <w:szCs w:val="20"/>
        </w:rPr>
        <w:t>, </w:t>
      </w:r>
      <w:r w:rsidRPr="00BB2672">
        <w:rPr>
          <w:rFonts w:ascii="Arial" w:hAnsi="Arial" w:cs="Arial"/>
          <w:i/>
          <w:iCs/>
          <w:sz w:val="20"/>
          <w:szCs w:val="20"/>
        </w:rPr>
        <w:t>10</w:t>
      </w:r>
      <w:r w:rsidRPr="00BB2672">
        <w:rPr>
          <w:rFonts w:ascii="Arial" w:hAnsi="Arial" w:cs="Arial"/>
          <w:sz w:val="20"/>
          <w:szCs w:val="20"/>
        </w:rPr>
        <w:t>, 100167.</w:t>
      </w:r>
    </w:p>
    <w:p w14:paraId="140F3886"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Yun, J. J., Park, J. H., Acharya, B. S., Park, J. H., Cho, J. S., &amp; Kang, S. W. (2022). Production of pelleted biochar and its application as an amendment in paddy condition for reducing methane fluxes. </w:t>
      </w:r>
      <w:r w:rsidRPr="00BB2672">
        <w:rPr>
          <w:rFonts w:ascii="Arial" w:hAnsi="Arial" w:cs="Arial"/>
          <w:i/>
          <w:iCs/>
          <w:sz w:val="20"/>
          <w:szCs w:val="20"/>
        </w:rPr>
        <w:t>Agriculture</w:t>
      </w:r>
      <w:r w:rsidRPr="00BB2672">
        <w:rPr>
          <w:rFonts w:ascii="Arial" w:hAnsi="Arial" w:cs="Arial"/>
          <w:sz w:val="20"/>
          <w:szCs w:val="20"/>
        </w:rPr>
        <w:t>, </w:t>
      </w:r>
      <w:r w:rsidRPr="00BB2672">
        <w:rPr>
          <w:rFonts w:ascii="Arial" w:hAnsi="Arial" w:cs="Arial"/>
          <w:i/>
          <w:iCs/>
          <w:sz w:val="20"/>
          <w:szCs w:val="20"/>
        </w:rPr>
        <w:t>12</w:t>
      </w:r>
      <w:r w:rsidRPr="00BB2672">
        <w:rPr>
          <w:rFonts w:ascii="Arial" w:hAnsi="Arial" w:cs="Arial"/>
          <w:sz w:val="20"/>
          <w:szCs w:val="20"/>
        </w:rPr>
        <w:t>(4), 470.</w:t>
      </w:r>
    </w:p>
    <w:p w14:paraId="26F8264D"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lastRenderedPageBreak/>
        <w:t>Zhang, L., Xiang, Y., Jing, Y., &amp; Zhang, R. (2019). Biochar amendment effects on the activities of soil carbon, nitrogen, and phosphorus hydrolytic enzymes: a meta-analysis. </w:t>
      </w:r>
      <w:r w:rsidRPr="00BB2672">
        <w:rPr>
          <w:rFonts w:ascii="Arial" w:hAnsi="Arial" w:cs="Arial"/>
          <w:i/>
          <w:iCs/>
          <w:sz w:val="20"/>
          <w:szCs w:val="20"/>
        </w:rPr>
        <w:t>Environmental Science and Pollution Research</w:t>
      </w:r>
      <w:r w:rsidRPr="00BB2672">
        <w:rPr>
          <w:rFonts w:ascii="Arial" w:hAnsi="Arial" w:cs="Arial"/>
          <w:sz w:val="20"/>
          <w:szCs w:val="20"/>
        </w:rPr>
        <w:t>, </w:t>
      </w:r>
      <w:r w:rsidRPr="00BB2672">
        <w:rPr>
          <w:rFonts w:ascii="Arial" w:hAnsi="Arial" w:cs="Arial"/>
          <w:i/>
          <w:iCs/>
          <w:sz w:val="20"/>
          <w:szCs w:val="20"/>
        </w:rPr>
        <w:t>26</w:t>
      </w:r>
      <w:r w:rsidRPr="00BB2672">
        <w:rPr>
          <w:rFonts w:ascii="Arial" w:hAnsi="Arial" w:cs="Arial"/>
          <w:sz w:val="20"/>
          <w:szCs w:val="20"/>
        </w:rPr>
        <w:t>(22), 22990-23001.</w:t>
      </w:r>
    </w:p>
    <w:p w14:paraId="18E2259A"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Zhang, X., Zhang, L., Liu, J., Shen, Z., Liu, Z., Gu, H., et al. (2025). Biofertilizers Enhance Soil Fertility and Crop Yields Through Microbial Community Modulation. </w:t>
      </w:r>
      <w:r w:rsidRPr="00BB2672">
        <w:rPr>
          <w:rFonts w:ascii="Arial" w:hAnsi="Arial" w:cs="Arial"/>
          <w:i/>
          <w:iCs/>
          <w:sz w:val="20"/>
          <w:szCs w:val="20"/>
        </w:rPr>
        <w:t>Agronomy</w:t>
      </w:r>
      <w:r w:rsidRPr="00BB2672">
        <w:rPr>
          <w:rFonts w:ascii="Arial" w:hAnsi="Arial" w:cs="Arial"/>
          <w:sz w:val="20"/>
          <w:szCs w:val="20"/>
        </w:rPr>
        <w:t>, </w:t>
      </w:r>
      <w:r w:rsidRPr="00BB2672">
        <w:rPr>
          <w:rFonts w:ascii="Arial" w:hAnsi="Arial" w:cs="Arial"/>
          <w:i/>
          <w:iCs/>
          <w:sz w:val="20"/>
          <w:szCs w:val="20"/>
        </w:rPr>
        <w:t>15</w:t>
      </w:r>
      <w:r w:rsidRPr="00BB2672">
        <w:rPr>
          <w:rFonts w:ascii="Arial" w:hAnsi="Arial" w:cs="Arial"/>
          <w:sz w:val="20"/>
          <w:szCs w:val="20"/>
        </w:rPr>
        <w:t>(7), 1572.</w:t>
      </w:r>
    </w:p>
    <w:p w14:paraId="36C93F51"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Zhou, H., </w:t>
      </w:r>
      <w:proofErr w:type="spellStart"/>
      <w:r w:rsidRPr="00BB2672">
        <w:rPr>
          <w:rFonts w:ascii="Arial" w:hAnsi="Arial" w:cs="Arial"/>
          <w:sz w:val="20"/>
          <w:szCs w:val="20"/>
        </w:rPr>
        <w:t>Timalsina</w:t>
      </w:r>
      <w:proofErr w:type="spellEnd"/>
      <w:r w:rsidRPr="00BB2672">
        <w:rPr>
          <w:rFonts w:ascii="Arial" w:hAnsi="Arial" w:cs="Arial"/>
          <w:sz w:val="20"/>
          <w:szCs w:val="20"/>
        </w:rPr>
        <w:t xml:space="preserve">, H., Chen, P., </w:t>
      </w:r>
      <w:proofErr w:type="spellStart"/>
      <w:r w:rsidRPr="00BB2672">
        <w:rPr>
          <w:rFonts w:ascii="Arial" w:hAnsi="Arial" w:cs="Arial"/>
          <w:sz w:val="20"/>
          <w:szCs w:val="20"/>
        </w:rPr>
        <w:t>Circenis</w:t>
      </w:r>
      <w:proofErr w:type="spellEnd"/>
      <w:r w:rsidRPr="00BB2672">
        <w:rPr>
          <w:rFonts w:ascii="Arial" w:hAnsi="Arial" w:cs="Arial"/>
          <w:sz w:val="20"/>
          <w:szCs w:val="20"/>
        </w:rPr>
        <w:t>, S., Cooke, R., Oladeji, O., et al. (2024). Exploring the engineering-scale potential of designer biochar pellets for phosphorus loss reduction from tile-drained agroecosystems. </w:t>
      </w:r>
      <w:r w:rsidRPr="00BB2672">
        <w:rPr>
          <w:rFonts w:ascii="Arial" w:hAnsi="Arial" w:cs="Arial"/>
          <w:i/>
          <w:iCs/>
          <w:sz w:val="20"/>
          <w:szCs w:val="20"/>
        </w:rPr>
        <w:t>Water Research</w:t>
      </w:r>
      <w:r w:rsidRPr="00BB2672">
        <w:rPr>
          <w:rFonts w:ascii="Arial" w:hAnsi="Arial" w:cs="Arial"/>
          <w:sz w:val="20"/>
          <w:szCs w:val="20"/>
        </w:rPr>
        <w:t>, </w:t>
      </w:r>
      <w:r w:rsidRPr="00BB2672">
        <w:rPr>
          <w:rFonts w:ascii="Arial" w:hAnsi="Arial" w:cs="Arial"/>
          <w:i/>
          <w:iCs/>
          <w:sz w:val="20"/>
          <w:szCs w:val="20"/>
        </w:rPr>
        <w:t>267</w:t>
      </w:r>
      <w:r w:rsidRPr="00BB2672">
        <w:rPr>
          <w:rFonts w:ascii="Arial" w:hAnsi="Arial" w:cs="Arial"/>
          <w:sz w:val="20"/>
          <w:szCs w:val="20"/>
        </w:rPr>
        <w:t>, 122500.</w:t>
      </w:r>
    </w:p>
    <w:p w14:paraId="66EFAD11" w14:textId="1C514454" w:rsidR="004D4277" w:rsidRPr="00BB2672" w:rsidRDefault="004D4277" w:rsidP="004F5887">
      <w:pPr>
        <w:pStyle w:val="Body"/>
        <w:spacing w:after="0"/>
        <w:rPr>
          <w:rFonts w:ascii="Arial" w:hAnsi="Arial" w:cs="Arial"/>
        </w:rPr>
        <w:sectPr w:rsidR="004D4277" w:rsidRPr="00BB2672" w:rsidSect="00AB3787">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13CF45D6" w14:textId="77777777" w:rsidR="00B01FCD" w:rsidRPr="00BB2672" w:rsidRDefault="00B01FCD" w:rsidP="00441B6F">
      <w:pPr>
        <w:pStyle w:val="Appendix"/>
        <w:spacing w:after="0"/>
        <w:jc w:val="both"/>
        <w:rPr>
          <w:rFonts w:ascii="Arial" w:hAnsi="Arial" w:cs="Arial"/>
          <w:b w:val="0"/>
        </w:rPr>
      </w:pPr>
    </w:p>
    <w:sectPr w:rsidR="00B01FCD" w:rsidRPr="00BB2672" w:rsidSect="00AB378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1F2AD" w14:textId="77777777" w:rsidR="0095772C" w:rsidRDefault="0095772C" w:rsidP="00C37E61">
      <w:r>
        <w:separator/>
      </w:r>
    </w:p>
  </w:endnote>
  <w:endnote w:type="continuationSeparator" w:id="0">
    <w:p w14:paraId="4F2E3E94" w14:textId="77777777" w:rsidR="0095772C" w:rsidRDefault="009577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CC7E" w14:textId="77777777" w:rsidR="00AB3787" w:rsidRDefault="00AB3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4B3E" w14:textId="77777777" w:rsidR="00AB3787" w:rsidRDefault="00AB3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F64F" w14:textId="03A5E14F" w:rsidR="00754C9A" w:rsidRPr="00AB3787" w:rsidRDefault="00754C9A" w:rsidP="00AB37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B3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BC2B" w14:textId="77777777" w:rsidR="0095772C" w:rsidRDefault="0095772C" w:rsidP="00C37E61">
      <w:r>
        <w:separator/>
      </w:r>
    </w:p>
  </w:footnote>
  <w:footnote w:type="continuationSeparator" w:id="0">
    <w:p w14:paraId="0B2AF907" w14:textId="77777777" w:rsidR="0095772C" w:rsidRDefault="009577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D3D5" w14:textId="155D384F" w:rsidR="00AB3787" w:rsidRDefault="00000000">
    <w:pPr>
      <w:pStyle w:val="Header"/>
    </w:pPr>
    <w:r>
      <w:rPr>
        <w:noProof/>
      </w:rPr>
      <w:pict w14:anchorId="14016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00389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CE35" w14:textId="202C9FF5" w:rsidR="00AB3787" w:rsidRDefault="00000000">
    <w:pPr>
      <w:pStyle w:val="Header"/>
    </w:pPr>
    <w:r>
      <w:rPr>
        <w:noProof/>
      </w:rPr>
      <w:pict w14:anchorId="23842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00389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F2A8" w14:textId="6617358D" w:rsidR="00296529" w:rsidRPr="00296529" w:rsidRDefault="00000000" w:rsidP="00296529">
    <w:pPr>
      <w:ind w:left="2160"/>
      <w:jc w:val="center"/>
      <w:rPr>
        <w:rFonts w:ascii="Times New Roman" w:eastAsia="Calibri" w:hAnsi="Times New Roman"/>
        <w:i/>
        <w:sz w:val="18"/>
        <w:szCs w:val="22"/>
      </w:rPr>
    </w:pPr>
    <w:r>
      <w:rPr>
        <w:noProof/>
      </w:rPr>
      <w:pict w14:anchorId="08E57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00389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CDD97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C1D950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EB411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D2C68C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BC128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91E968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EB99" w14:textId="5FFF9916" w:rsidR="00AB3787" w:rsidRDefault="00000000">
    <w:pPr>
      <w:pStyle w:val="Header"/>
    </w:pPr>
    <w:r>
      <w:rPr>
        <w:noProof/>
      </w:rPr>
      <w:pict w14:anchorId="3FDEC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00389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8A24" w14:textId="287CBDEE" w:rsidR="00AB3787" w:rsidRDefault="00000000">
    <w:pPr>
      <w:pStyle w:val="Header"/>
    </w:pPr>
    <w:r>
      <w:rPr>
        <w:noProof/>
      </w:rPr>
      <w:pict w14:anchorId="29291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00389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34D5" w14:textId="4658335F" w:rsidR="00AB3787" w:rsidRDefault="00000000">
    <w:pPr>
      <w:pStyle w:val="Header"/>
    </w:pPr>
    <w:r>
      <w:rPr>
        <w:noProof/>
      </w:rPr>
      <w:pict w14:anchorId="3CB35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00389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C6150D7"/>
    <w:multiLevelType w:val="multilevel"/>
    <w:tmpl w:val="FE161B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1D4FE4"/>
    <w:multiLevelType w:val="hybridMultilevel"/>
    <w:tmpl w:val="9B9A0B86"/>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1DB0CDD"/>
    <w:multiLevelType w:val="multilevel"/>
    <w:tmpl w:val="BE44DE2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64A48"/>
    <w:multiLevelType w:val="hybridMultilevel"/>
    <w:tmpl w:val="F044E556"/>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6973DEF"/>
    <w:multiLevelType w:val="hybridMultilevel"/>
    <w:tmpl w:val="E03CFE7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245450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39056141">
    <w:abstractNumId w:val="17"/>
  </w:num>
  <w:num w:numId="3" w16cid:durableId="2145925740">
    <w:abstractNumId w:val="27"/>
  </w:num>
  <w:num w:numId="4" w16cid:durableId="93579507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64476618">
    <w:abstractNumId w:val="7"/>
  </w:num>
  <w:num w:numId="6" w16cid:durableId="672730660">
    <w:abstractNumId w:val="6"/>
  </w:num>
  <w:num w:numId="7" w16cid:durableId="1345401038">
    <w:abstractNumId w:val="1"/>
  </w:num>
  <w:num w:numId="8" w16cid:durableId="1847163749">
    <w:abstractNumId w:val="13"/>
  </w:num>
  <w:num w:numId="9" w16cid:durableId="374936221">
    <w:abstractNumId w:val="30"/>
  </w:num>
  <w:num w:numId="10" w16cid:durableId="48306766">
    <w:abstractNumId w:val="2"/>
  </w:num>
  <w:num w:numId="11" w16cid:durableId="242834354">
    <w:abstractNumId w:val="21"/>
  </w:num>
  <w:num w:numId="12" w16cid:durableId="197663346">
    <w:abstractNumId w:val="3"/>
  </w:num>
  <w:num w:numId="13" w16cid:durableId="2091390457">
    <w:abstractNumId w:val="20"/>
  </w:num>
  <w:num w:numId="14" w16cid:durableId="1613048080">
    <w:abstractNumId w:val="8"/>
  </w:num>
  <w:num w:numId="15" w16cid:durableId="1684355429">
    <w:abstractNumId w:val="24"/>
  </w:num>
  <w:num w:numId="16" w16cid:durableId="625938814">
    <w:abstractNumId w:val="5"/>
  </w:num>
  <w:num w:numId="17" w16cid:durableId="648754442">
    <w:abstractNumId w:val="26"/>
  </w:num>
  <w:num w:numId="18" w16cid:durableId="245848772">
    <w:abstractNumId w:val="16"/>
  </w:num>
  <w:num w:numId="19" w16cid:durableId="2004965047">
    <w:abstractNumId w:val="33"/>
  </w:num>
  <w:num w:numId="20" w16cid:durableId="1743914235">
    <w:abstractNumId w:val="11"/>
  </w:num>
  <w:num w:numId="21" w16cid:durableId="693848267">
    <w:abstractNumId w:val="9"/>
  </w:num>
  <w:num w:numId="22" w16cid:durableId="1155995179">
    <w:abstractNumId w:val="15"/>
  </w:num>
  <w:num w:numId="23" w16cid:durableId="746150473">
    <w:abstractNumId w:val="22"/>
  </w:num>
  <w:num w:numId="24" w16cid:durableId="1566722641">
    <w:abstractNumId w:val="31"/>
  </w:num>
  <w:num w:numId="25" w16cid:durableId="1229413505">
    <w:abstractNumId w:val="4"/>
  </w:num>
  <w:num w:numId="26" w16cid:durableId="1639605648">
    <w:abstractNumId w:val="19"/>
  </w:num>
  <w:num w:numId="27" w16cid:durableId="1289094048">
    <w:abstractNumId w:val="23"/>
  </w:num>
  <w:num w:numId="28" w16cid:durableId="1797598998">
    <w:abstractNumId w:val="32"/>
  </w:num>
  <w:num w:numId="29" w16cid:durableId="1306619099">
    <w:abstractNumId w:val="29"/>
  </w:num>
  <w:num w:numId="30" w16cid:durableId="662973966">
    <w:abstractNumId w:val="10"/>
  </w:num>
  <w:num w:numId="31" w16cid:durableId="1399284766">
    <w:abstractNumId w:val="14"/>
  </w:num>
  <w:num w:numId="32" w16cid:durableId="261376832">
    <w:abstractNumId w:val="18"/>
  </w:num>
  <w:num w:numId="33" w16cid:durableId="1435399758">
    <w:abstractNumId w:val="12"/>
  </w:num>
  <w:num w:numId="34" w16cid:durableId="1305813513">
    <w:abstractNumId w:val="28"/>
  </w:num>
  <w:num w:numId="35" w16cid:durableId="2445400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6F07"/>
    <w:rsid w:val="000A47FA"/>
    <w:rsid w:val="000A65D3"/>
    <w:rsid w:val="000B1E33"/>
    <w:rsid w:val="000C4BE3"/>
    <w:rsid w:val="000D689F"/>
    <w:rsid w:val="000E7B7B"/>
    <w:rsid w:val="000E7D62"/>
    <w:rsid w:val="00102D1E"/>
    <w:rsid w:val="00103357"/>
    <w:rsid w:val="00123C9F"/>
    <w:rsid w:val="00126190"/>
    <w:rsid w:val="00130F17"/>
    <w:rsid w:val="001320BF"/>
    <w:rsid w:val="00163BC4"/>
    <w:rsid w:val="00191062"/>
    <w:rsid w:val="00192B72"/>
    <w:rsid w:val="001A29D8"/>
    <w:rsid w:val="001A5CAA"/>
    <w:rsid w:val="001B0427"/>
    <w:rsid w:val="001B347B"/>
    <w:rsid w:val="001C0F81"/>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4C89"/>
    <w:rsid w:val="002B685A"/>
    <w:rsid w:val="002C57D2"/>
    <w:rsid w:val="002E0D56"/>
    <w:rsid w:val="002F2F13"/>
    <w:rsid w:val="00315186"/>
    <w:rsid w:val="0033343E"/>
    <w:rsid w:val="003512C2"/>
    <w:rsid w:val="00371FB6"/>
    <w:rsid w:val="003763C1"/>
    <w:rsid w:val="00376BBE"/>
    <w:rsid w:val="0039224F"/>
    <w:rsid w:val="003A0C1D"/>
    <w:rsid w:val="003A43A4"/>
    <w:rsid w:val="003A7E18"/>
    <w:rsid w:val="003C4C86"/>
    <w:rsid w:val="003C6258"/>
    <w:rsid w:val="003E00A1"/>
    <w:rsid w:val="003E16A0"/>
    <w:rsid w:val="003E2904"/>
    <w:rsid w:val="00401927"/>
    <w:rsid w:val="0041027F"/>
    <w:rsid w:val="00412475"/>
    <w:rsid w:val="00423789"/>
    <w:rsid w:val="00426A92"/>
    <w:rsid w:val="00440F43"/>
    <w:rsid w:val="00441B6F"/>
    <w:rsid w:val="00446221"/>
    <w:rsid w:val="00450E62"/>
    <w:rsid w:val="004539DB"/>
    <w:rsid w:val="00471A80"/>
    <w:rsid w:val="00491DEA"/>
    <w:rsid w:val="004D305E"/>
    <w:rsid w:val="004D4277"/>
    <w:rsid w:val="004F5887"/>
    <w:rsid w:val="00502516"/>
    <w:rsid w:val="00505F06"/>
    <w:rsid w:val="00506828"/>
    <w:rsid w:val="0053056E"/>
    <w:rsid w:val="00554FDA"/>
    <w:rsid w:val="0059241F"/>
    <w:rsid w:val="005A049E"/>
    <w:rsid w:val="005C784C"/>
    <w:rsid w:val="005D17F6"/>
    <w:rsid w:val="005E3397"/>
    <w:rsid w:val="005E5539"/>
    <w:rsid w:val="00602BF5"/>
    <w:rsid w:val="00617FDD"/>
    <w:rsid w:val="00633614"/>
    <w:rsid w:val="00633F68"/>
    <w:rsid w:val="00636EB2"/>
    <w:rsid w:val="006375B8"/>
    <w:rsid w:val="0066510A"/>
    <w:rsid w:val="0067077C"/>
    <w:rsid w:val="00673F9F"/>
    <w:rsid w:val="00677707"/>
    <w:rsid w:val="00686953"/>
    <w:rsid w:val="00687DEA"/>
    <w:rsid w:val="00687E67"/>
    <w:rsid w:val="006967F7"/>
    <w:rsid w:val="006A250C"/>
    <w:rsid w:val="006B21D3"/>
    <w:rsid w:val="006B57D0"/>
    <w:rsid w:val="006D30FF"/>
    <w:rsid w:val="006D6940"/>
    <w:rsid w:val="006E7B08"/>
    <w:rsid w:val="006F11EC"/>
    <w:rsid w:val="006F2B63"/>
    <w:rsid w:val="0070082C"/>
    <w:rsid w:val="007369E6"/>
    <w:rsid w:val="00746E59"/>
    <w:rsid w:val="00754C9A"/>
    <w:rsid w:val="0075599A"/>
    <w:rsid w:val="00761D52"/>
    <w:rsid w:val="0077749E"/>
    <w:rsid w:val="00790ADA"/>
    <w:rsid w:val="007D2288"/>
    <w:rsid w:val="007E088F"/>
    <w:rsid w:val="007E2D9B"/>
    <w:rsid w:val="007F7B32"/>
    <w:rsid w:val="00804BC2"/>
    <w:rsid w:val="0081431A"/>
    <w:rsid w:val="0083216F"/>
    <w:rsid w:val="0084715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72C"/>
    <w:rsid w:val="00957C18"/>
    <w:rsid w:val="009659BA"/>
    <w:rsid w:val="00983040"/>
    <w:rsid w:val="009B3FB9"/>
    <w:rsid w:val="009C2465"/>
    <w:rsid w:val="009D35A0"/>
    <w:rsid w:val="009D7EB7"/>
    <w:rsid w:val="009E048A"/>
    <w:rsid w:val="009E08E9"/>
    <w:rsid w:val="009E3DB9"/>
    <w:rsid w:val="009E6DAF"/>
    <w:rsid w:val="009E6E35"/>
    <w:rsid w:val="009F0EDA"/>
    <w:rsid w:val="00A03B96"/>
    <w:rsid w:val="00A05B19"/>
    <w:rsid w:val="00A1134E"/>
    <w:rsid w:val="00A24E7E"/>
    <w:rsid w:val="00A258C3"/>
    <w:rsid w:val="00A347C0"/>
    <w:rsid w:val="00A51431"/>
    <w:rsid w:val="00A539AD"/>
    <w:rsid w:val="00A94063"/>
    <w:rsid w:val="00AA6219"/>
    <w:rsid w:val="00AA74E0"/>
    <w:rsid w:val="00AB3787"/>
    <w:rsid w:val="00AB703F"/>
    <w:rsid w:val="00AC6BB8"/>
    <w:rsid w:val="00AE008F"/>
    <w:rsid w:val="00AE62EF"/>
    <w:rsid w:val="00AF1F59"/>
    <w:rsid w:val="00B01FCD"/>
    <w:rsid w:val="00B1776C"/>
    <w:rsid w:val="00B26AD7"/>
    <w:rsid w:val="00B52583"/>
    <w:rsid w:val="00B52896"/>
    <w:rsid w:val="00B6072C"/>
    <w:rsid w:val="00B838E7"/>
    <w:rsid w:val="00B95236"/>
    <w:rsid w:val="00B96BD9"/>
    <w:rsid w:val="00BA1B01"/>
    <w:rsid w:val="00BA2641"/>
    <w:rsid w:val="00BB2672"/>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4663"/>
    <w:rsid w:val="00CD6755"/>
    <w:rsid w:val="00CD6856"/>
    <w:rsid w:val="00CE0089"/>
    <w:rsid w:val="00CE793C"/>
    <w:rsid w:val="00CF193C"/>
    <w:rsid w:val="00D173F1"/>
    <w:rsid w:val="00D74CB0"/>
    <w:rsid w:val="00D8295D"/>
    <w:rsid w:val="00DC2A65"/>
    <w:rsid w:val="00DE15F0"/>
    <w:rsid w:val="00DE3976"/>
    <w:rsid w:val="00DE407F"/>
    <w:rsid w:val="00DE5663"/>
    <w:rsid w:val="00DE78AA"/>
    <w:rsid w:val="00E010A1"/>
    <w:rsid w:val="00E053D0"/>
    <w:rsid w:val="00E15994"/>
    <w:rsid w:val="00E3114E"/>
    <w:rsid w:val="00E31A70"/>
    <w:rsid w:val="00E35B02"/>
    <w:rsid w:val="00E66496"/>
    <w:rsid w:val="00E66B35"/>
    <w:rsid w:val="00E66E10"/>
    <w:rsid w:val="00E73EA7"/>
    <w:rsid w:val="00E769F6"/>
    <w:rsid w:val="00E8407C"/>
    <w:rsid w:val="00E84F3C"/>
    <w:rsid w:val="00EA012C"/>
    <w:rsid w:val="00EC6A55"/>
    <w:rsid w:val="00ED0288"/>
    <w:rsid w:val="00EE52CB"/>
    <w:rsid w:val="00EE780A"/>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792DFB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E16A0"/>
    <w:pPr>
      <w:spacing w:after="160" w:line="278" w:lineRule="auto"/>
      <w:ind w:left="720"/>
      <w:contextualSpacing/>
    </w:pPr>
    <w:rPr>
      <w:rFonts w:asciiTheme="minorHAnsi" w:eastAsiaTheme="minorHAnsi" w:hAnsiTheme="minorHAnsi" w:cstheme="minorBidi"/>
      <w:kern w:val="2"/>
      <w:sz w:val="24"/>
      <w:szCs w:val="24"/>
      <w:lang w:val="en-IN"/>
    </w:rPr>
  </w:style>
  <w:style w:type="character" w:customStyle="1" w:styleId="FooterChar">
    <w:name w:val="Footer Char"/>
    <w:basedOn w:val="DefaultParagraphFont"/>
    <w:link w:val="Footer"/>
    <w:rsid w:val="001B347B"/>
    <w:rPr>
      <w:rFonts w:ascii="Helvetica" w:hAnsi="Helvetica"/>
    </w:rPr>
  </w:style>
  <w:style w:type="paragraph" w:styleId="NormalWeb">
    <w:name w:val="Normal (Web)"/>
    <w:basedOn w:val="Normal"/>
    <w:uiPriority w:val="99"/>
    <w:unhideWhenUsed/>
    <w:rsid w:val="00E010A1"/>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E010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501D3-1E1B-4805-8AA7-A27AE74D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TotalTime>
  <Pages>16</Pages>
  <Words>6761</Words>
  <Characters>38543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45214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Anna Kaushik</cp:lastModifiedBy>
  <cp:revision>27</cp:revision>
  <cp:lastPrinted>1999-07-06T11:00:00Z</cp:lastPrinted>
  <dcterms:created xsi:type="dcterms:W3CDTF">2014-10-25T14:34:00Z</dcterms:created>
  <dcterms:modified xsi:type="dcterms:W3CDTF">2025-09-18T15:11:00Z</dcterms:modified>
</cp:coreProperties>
</file>