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645" w:rsidRDefault="007D1645" w:rsidP="007A14DB">
      <w:pPr>
        <w:spacing w:after="0" w:line="240" w:lineRule="auto"/>
        <w:jc w:val="right"/>
        <w:outlineLvl w:val="0"/>
        <w:rPr>
          <w:rFonts w:ascii="Arial" w:eastAsia="Times New Roman" w:hAnsi="Arial" w:cs="Arial"/>
          <w:b/>
          <w:bCs/>
          <w:kern w:val="36"/>
          <w:sz w:val="36"/>
          <w:szCs w:val="36"/>
        </w:rPr>
      </w:pPr>
      <w:r w:rsidRPr="007D1645">
        <w:rPr>
          <w:rFonts w:ascii="Arial" w:eastAsia="Times New Roman" w:hAnsi="Arial" w:cs="Arial"/>
          <w:b/>
          <w:bCs/>
          <w:kern w:val="36"/>
          <w:sz w:val="36"/>
          <w:szCs w:val="36"/>
        </w:rPr>
        <w:t>Review Article</w:t>
      </w:r>
    </w:p>
    <w:p w:rsidR="00365636" w:rsidRDefault="00365636" w:rsidP="007A14DB">
      <w:pPr>
        <w:spacing w:after="0" w:line="240" w:lineRule="auto"/>
        <w:jc w:val="right"/>
        <w:outlineLvl w:val="0"/>
        <w:rPr>
          <w:rFonts w:ascii="Arial" w:eastAsia="Times New Roman" w:hAnsi="Arial" w:cs="Arial"/>
          <w:b/>
          <w:bCs/>
          <w:kern w:val="36"/>
          <w:sz w:val="36"/>
          <w:szCs w:val="36"/>
        </w:rPr>
      </w:pPr>
      <w:r w:rsidRPr="00C859FF">
        <w:rPr>
          <w:rFonts w:ascii="Arial" w:eastAsia="Times New Roman" w:hAnsi="Arial" w:cs="Arial"/>
          <w:b/>
          <w:bCs/>
          <w:kern w:val="36"/>
          <w:sz w:val="36"/>
          <w:szCs w:val="36"/>
        </w:rPr>
        <w:t xml:space="preserve">Mulberry Waste as a Sustainable Feedstock for Biochar Production: Opportunities </w:t>
      </w:r>
      <w:r w:rsidR="007A14DB" w:rsidRPr="00C859FF">
        <w:rPr>
          <w:rFonts w:ascii="Arial" w:eastAsia="Times New Roman" w:hAnsi="Arial" w:cs="Arial"/>
          <w:b/>
          <w:bCs/>
          <w:kern w:val="36"/>
          <w:sz w:val="36"/>
          <w:szCs w:val="36"/>
        </w:rPr>
        <w:t>beyond</w:t>
      </w:r>
      <w:r w:rsidRPr="00C859FF">
        <w:rPr>
          <w:rFonts w:ascii="Arial" w:eastAsia="Times New Roman" w:hAnsi="Arial" w:cs="Arial"/>
          <w:b/>
          <w:bCs/>
          <w:kern w:val="36"/>
          <w:sz w:val="36"/>
          <w:szCs w:val="36"/>
        </w:rPr>
        <w:t xml:space="preserve"> Soil Amendment and the Untapped Potential for Carbon Sequestration</w:t>
      </w:r>
    </w:p>
    <w:p w:rsidR="00C859FF" w:rsidRDefault="00C859FF" w:rsidP="007A14DB">
      <w:pPr>
        <w:spacing w:after="0" w:line="240" w:lineRule="auto"/>
        <w:jc w:val="right"/>
        <w:outlineLvl w:val="0"/>
        <w:rPr>
          <w:rFonts w:ascii="Arial" w:eastAsia="Times New Roman" w:hAnsi="Arial" w:cs="Arial"/>
          <w:b/>
          <w:bCs/>
          <w:kern w:val="36"/>
          <w:sz w:val="36"/>
          <w:szCs w:val="36"/>
        </w:rPr>
      </w:pPr>
    </w:p>
    <w:p w:rsidR="00C859FF" w:rsidRPr="00C859FF" w:rsidRDefault="00D86EA7" w:rsidP="00C859FF">
      <w:pPr>
        <w:spacing w:before="100" w:beforeAutospacing="1" w:after="100" w:afterAutospacing="1" w:line="240" w:lineRule="auto"/>
        <w:jc w:val="right"/>
        <w:outlineLvl w:val="0"/>
        <w:rPr>
          <w:rFonts w:ascii="Arial" w:eastAsia="Times New Roman" w:hAnsi="Arial" w:cs="Arial"/>
          <w:b/>
          <w:bCs/>
          <w:kern w:val="36"/>
          <w:sz w:val="36"/>
          <w:szCs w:val="36"/>
        </w:rPr>
      </w:pPr>
      <w:r w:rsidRPr="00D86EA7">
        <w:rPr>
          <w:rFonts w:ascii="Arial" w:hAnsi="Arial" w:cs="Arial"/>
        </w:rPr>
      </w:r>
      <w:r w:rsidRPr="00D86EA7">
        <w:rPr>
          <w:rFonts w:ascii="Arial" w:hAnsi="Arial" w:cs="Arial"/>
        </w:rPr>
        <w:pict>
          <v:shapetype id="_x0000_t32" coordsize="21600,21600" o:spt="32" o:oned="t" path="m,l21600,21600e" filled="f">
            <v:path arrowok="t" fillok="f" o:connecttype="none"/>
            <o:lock v:ext="edit" shapetype="t"/>
          </v:shapetype>
          <v:shape id="_x0000_s1026" type="#_x0000_t32" style="width:474.7pt;height:.05pt;mso-position-horizontal-relative:char;mso-position-vertical-relative:line" o:connectortype="straight" strokeweight="1.5pt">
            <w10:wrap type="none"/>
            <w10:anchorlock/>
          </v:shape>
        </w:pict>
      </w:r>
    </w:p>
    <w:p w:rsidR="003A13F0" w:rsidRDefault="007A14DB" w:rsidP="003A13F0">
      <w:pPr>
        <w:rPr>
          <w:rFonts w:ascii="Arial" w:hAnsi="Arial" w:cs="Arial"/>
          <w:b/>
          <w:szCs w:val="24"/>
        </w:rPr>
      </w:pPr>
      <w:r w:rsidRPr="007A14DB">
        <w:rPr>
          <w:rFonts w:ascii="Arial" w:hAnsi="Arial" w:cs="Arial"/>
          <w:b/>
          <w:szCs w:val="24"/>
        </w:rPr>
        <w:t>ABSTRACT</w:t>
      </w:r>
    </w:p>
    <w:p w:rsidR="007A14DB" w:rsidRPr="00D16999" w:rsidRDefault="00D16999" w:rsidP="003A13F0">
      <w:pPr>
        <w:jc w:val="both"/>
        <w:rPr>
          <w:rFonts w:ascii="Arial" w:hAnsi="Arial" w:cs="Arial"/>
          <w:sz w:val="20"/>
        </w:rPr>
      </w:pPr>
      <w:r w:rsidRPr="007A14DB">
        <w:rPr>
          <w:rFonts w:ascii="Arial" w:hAnsi="Arial" w:cs="Arial"/>
          <w:sz w:val="20"/>
        </w:rPr>
        <w:t xml:space="preserve">Biochar has emerged as a multifunctional material with significant potential in soil health improvement, waste management, and carbon sequestration. Among the various biomass resources, mulberry residues generated from sericulture practices remain an underutilized feedstock despite their abundance and lignocellulosic composition. Converting these residues </w:t>
      </w:r>
      <w:r w:rsidRPr="007A43C8">
        <w:rPr>
          <w:rFonts w:ascii="Arial" w:hAnsi="Arial" w:cs="Arial"/>
          <w:sz w:val="20"/>
          <w:highlight w:val="yellow"/>
        </w:rPr>
        <w:t>into biochar offers</w:t>
      </w:r>
      <w:r w:rsidRPr="007A14DB">
        <w:rPr>
          <w:rFonts w:ascii="Arial" w:hAnsi="Arial" w:cs="Arial"/>
          <w:sz w:val="20"/>
        </w:rPr>
        <w:t xml:space="preserve"> an effective strategy for addressing environmental challenges while enhancing resource efficiency. This review synthesizes the current understanding of mulberry-based biochar production, its physicochemical characteristics, and its potential applications beyond traditional soil amendment. Key findings highlight that mulberry biochar exhibits favorable properties such as high fixed carbon content, stable aromatic structure, and nutrient retention, which contribute to soil fertility improvement and long-term carbon storage. Additionally, its multifunctional role extends to pollution remediation, wastewater treatment, and integration into sustainable agricultural systems, positioning it as a valuable component of a circular bioeconomy. However, literature on mulberry-derived biochar remains fragmented, with limited focus on optimizing pyrolysis parameters, evaluating its environmental stability, and exploring non-agricultural applications. Future research should prioritize long-term field studies, material engineering approaches for enhanced functionality, and assessments of socio-economic and environmental benefits. Overall, mulberry biochar presents a promising pathway for sustainable waste valorization and climate change mitigation, provided that comprehensive research and policy support drive its large-scale implementation.</w:t>
      </w:r>
    </w:p>
    <w:p w:rsidR="007A14DB" w:rsidRDefault="007A14DB" w:rsidP="003A13F0">
      <w:pPr>
        <w:jc w:val="both"/>
        <w:rPr>
          <w:rFonts w:ascii="Times New Roman" w:hAnsi="Times New Roman" w:cs="Times New Roman"/>
        </w:rPr>
      </w:pPr>
    </w:p>
    <w:p w:rsidR="003A13F0" w:rsidRPr="007A14DB" w:rsidRDefault="003A13F0" w:rsidP="003A13F0">
      <w:pPr>
        <w:jc w:val="both"/>
        <w:rPr>
          <w:rFonts w:ascii="Times New Roman" w:hAnsi="Times New Roman" w:cs="Times New Roman"/>
          <w:b/>
          <w:i/>
        </w:rPr>
      </w:pPr>
      <w:r w:rsidRPr="007A14DB">
        <w:rPr>
          <w:rFonts w:ascii="Times New Roman" w:hAnsi="Times New Roman" w:cs="Times New Roman"/>
          <w:i/>
        </w:rPr>
        <w:t>Keyword: Mulberry biochar, Carbon sequestration, Pyrolysis, Sericulture residues, Waste valorization, Soil fertility improvement</w:t>
      </w:r>
    </w:p>
    <w:p w:rsidR="00712B41" w:rsidRPr="007A14DB" w:rsidRDefault="007A14DB" w:rsidP="007A14DB">
      <w:pPr>
        <w:pStyle w:val="ListParagraph"/>
        <w:numPr>
          <w:ilvl w:val="0"/>
          <w:numId w:val="10"/>
        </w:numPr>
        <w:spacing w:after="160"/>
        <w:ind w:left="284" w:hanging="284"/>
        <w:rPr>
          <w:rFonts w:ascii="Arial" w:eastAsia="Calibri" w:hAnsi="Arial" w:cs="Arial"/>
          <w:b/>
          <w:bCs/>
        </w:rPr>
      </w:pPr>
      <w:r w:rsidRPr="007A14DB">
        <w:rPr>
          <w:rFonts w:ascii="Arial" w:eastAsia="Calibri" w:hAnsi="Arial" w:cs="Arial"/>
          <w:b/>
          <w:bCs/>
        </w:rPr>
        <w:t>INTRODUCTION</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The growing global emphasis on sustainability and climate resilience has amplified the search for renewable biomass resources that can serve as effective tools for carbon management. Growing concern over climate change has intensified interest in biochar as a promising negative-emission strategy, offering long-term carbon sequestration and multiple environmental co-benefits such as improved soil health, reduced greenhouse gas emissions, and renewable energy recovery (</w:t>
      </w:r>
      <w:r w:rsidRPr="00340203">
        <w:rPr>
          <w:rFonts w:ascii="Arial" w:eastAsia="Calibri" w:hAnsi="Arial" w:cs="Arial"/>
          <w:bCs/>
          <w:sz w:val="20"/>
        </w:rPr>
        <w:t xml:space="preserve">Woolf </w:t>
      </w:r>
      <w:r w:rsidRPr="00340203">
        <w:rPr>
          <w:rFonts w:ascii="Arial" w:eastAsia="Calibri" w:hAnsi="Arial" w:cs="Arial"/>
          <w:bCs/>
          <w:i/>
          <w:sz w:val="20"/>
        </w:rPr>
        <w:t>et al.,</w:t>
      </w:r>
      <w:r w:rsidRPr="00340203">
        <w:rPr>
          <w:rFonts w:ascii="Arial" w:eastAsia="Calibri" w:hAnsi="Arial" w:cs="Arial"/>
          <w:bCs/>
          <w:sz w:val="20"/>
        </w:rPr>
        <w:t xml:space="preserve"> 2010; Roberts </w:t>
      </w:r>
      <w:r w:rsidRPr="00340203">
        <w:rPr>
          <w:rFonts w:ascii="Arial" w:eastAsia="Calibri" w:hAnsi="Arial" w:cs="Arial"/>
          <w:bCs/>
          <w:i/>
          <w:sz w:val="20"/>
        </w:rPr>
        <w:t>et al.,</w:t>
      </w:r>
      <w:r w:rsidRPr="00340203">
        <w:rPr>
          <w:rFonts w:ascii="Arial" w:eastAsia="Calibri" w:hAnsi="Arial" w:cs="Arial"/>
          <w:bCs/>
          <w:sz w:val="20"/>
        </w:rPr>
        <w:t xml:space="preserve"> 2010</w:t>
      </w:r>
      <w:r w:rsidRPr="007A14DB">
        <w:rPr>
          <w:rFonts w:ascii="Arial" w:eastAsia="Calibri" w:hAnsi="Arial" w:cs="Arial"/>
          <w:bCs/>
          <w:sz w:val="20"/>
        </w:rPr>
        <w:t>). Biochar, obtained through pyrolysis of biomass under oxygen-limited conditions, stabilizes a significant fraction of carbon into highly aromatic structures, making it resistant to microbial degradation over centennial scales (</w:t>
      </w:r>
      <w:r w:rsidRPr="00340203">
        <w:rPr>
          <w:rFonts w:ascii="Arial" w:eastAsia="Calibri" w:hAnsi="Arial" w:cs="Arial"/>
          <w:bCs/>
          <w:sz w:val="20"/>
        </w:rPr>
        <w:t>Lehmann &amp; Joseph, 2015; Spokas, 2010</w:t>
      </w:r>
      <w:r w:rsidRPr="007A14DB">
        <w:rPr>
          <w:rFonts w:ascii="Arial" w:eastAsia="Calibri" w:hAnsi="Arial" w:cs="Arial"/>
          <w:bCs/>
          <w:sz w:val="20"/>
        </w:rPr>
        <w:t xml:space="preserve">). This stability, coupled with potential </w:t>
      </w:r>
      <w:r w:rsidRPr="007A14DB">
        <w:rPr>
          <w:rFonts w:ascii="Arial" w:eastAsia="Calibri" w:hAnsi="Arial" w:cs="Arial"/>
          <w:bCs/>
          <w:sz w:val="20"/>
        </w:rPr>
        <w:lastRenderedPageBreak/>
        <w:t>improvements in soil fertility, contaminant remediation, and energy recovery, positions biochar as a multifunctional tool for sustainable development (</w:t>
      </w:r>
      <w:r w:rsidRPr="00340203">
        <w:rPr>
          <w:rFonts w:ascii="Arial" w:eastAsia="Calibri" w:hAnsi="Arial" w:cs="Arial"/>
          <w:bCs/>
          <w:sz w:val="20"/>
        </w:rPr>
        <w:t xml:space="preserve">Jeffery </w:t>
      </w:r>
      <w:r w:rsidRPr="00340203">
        <w:rPr>
          <w:rFonts w:ascii="Arial" w:eastAsia="Calibri" w:hAnsi="Arial" w:cs="Arial"/>
          <w:bCs/>
          <w:i/>
          <w:sz w:val="20"/>
        </w:rPr>
        <w:t>et al.,</w:t>
      </w:r>
      <w:r w:rsidRPr="00340203">
        <w:rPr>
          <w:rFonts w:ascii="Arial" w:eastAsia="Calibri" w:hAnsi="Arial" w:cs="Arial"/>
          <w:bCs/>
          <w:sz w:val="20"/>
        </w:rPr>
        <w:t xml:space="preserve"> 2011; Lehmann &amp; Joseph, 2015</w:t>
      </w:r>
      <w:r w:rsidRPr="007A14DB">
        <w:rPr>
          <w:rFonts w:ascii="Arial" w:eastAsia="Calibri" w:hAnsi="Arial" w:cs="Arial"/>
          <w:bCs/>
          <w:sz w:val="20"/>
        </w:rPr>
        <w:t>).</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Among various feedstocks, mulberry (</w:t>
      </w:r>
      <w:r w:rsidRPr="007A14DB">
        <w:rPr>
          <w:rFonts w:ascii="Arial" w:eastAsia="Calibri" w:hAnsi="Arial" w:cs="Arial"/>
          <w:bCs/>
          <w:i/>
          <w:sz w:val="20"/>
        </w:rPr>
        <w:t>Morus spp.</w:t>
      </w:r>
      <w:r w:rsidRPr="007A14DB">
        <w:rPr>
          <w:rFonts w:ascii="Arial" w:eastAsia="Calibri" w:hAnsi="Arial" w:cs="Arial"/>
          <w:bCs/>
          <w:sz w:val="20"/>
        </w:rPr>
        <w:t>) residues represent an abundant yet underutilized lignocellulosic biomass generated in large volumes from sericulture practices (</w:t>
      </w:r>
      <w:r w:rsidRPr="00340203">
        <w:rPr>
          <w:rFonts w:ascii="Arial" w:eastAsia="Calibri" w:hAnsi="Arial" w:cs="Arial"/>
          <w:bCs/>
          <w:sz w:val="20"/>
        </w:rPr>
        <w:t>Nandini, 2023</w:t>
      </w:r>
      <w:r w:rsidRPr="007A14DB">
        <w:rPr>
          <w:rFonts w:ascii="Arial" w:eastAsia="Calibri" w:hAnsi="Arial" w:cs="Arial"/>
          <w:bCs/>
          <w:sz w:val="20"/>
        </w:rPr>
        <w:t>). Typically, mulberry stalks, pruned branches, and leaf litter are discarded or burned, contributing to greenhouse gas emissions and local air pollution. The annual dry biomass yield from pruned mulberry branches averages about 1.7 kg per plant, which corresponds to roughly 17.0 ± 22.5 tonnes per hectare, a figure comparable to the biomass productivity of several fast-growing tree species and perennial herbaceous plants (</w:t>
      </w:r>
      <w:r w:rsidRPr="00340203">
        <w:rPr>
          <w:rFonts w:ascii="Arial" w:eastAsia="Calibri" w:hAnsi="Arial" w:cs="Arial"/>
          <w:bCs/>
          <w:sz w:val="20"/>
        </w:rPr>
        <w:t xml:space="preserve">Lu </w:t>
      </w:r>
      <w:r w:rsidRPr="00340203">
        <w:rPr>
          <w:rFonts w:ascii="Arial" w:eastAsia="Calibri" w:hAnsi="Arial" w:cs="Arial"/>
          <w:bCs/>
          <w:i/>
          <w:sz w:val="20"/>
        </w:rPr>
        <w:t>et al.,</w:t>
      </w:r>
      <w:r w:rsidRPr="00340203">
        <w:rPr>
          <w:rFonts w:ascii="Arial" w:eastAsia="Calibri" w:hAnsi="Arial" w:cs="Arial"/>
          <w:bCs/>
          <w:sz w:val="20"/>
        </w:rPr>
        <w:t xml:space="preserve"> 2009). Converting this biomass into biochar not only prevents open burning but also creates a carbon-rich material with multiple applications beyond traditional soil amendment (Ma </w:t>
      </w:r>
      <w:r w:rsidRPr="00340203">
        <w:rPr>
          <w:rFonts w:ascii="Arial" w:eastAsia="Calibri" w:hAnsi="Arial" w:cs="Arial"/>
          <w:bCs/>
          <w:i/>
          <w:sz w:val="20"/>
        </w:rPr>
        <w:t>et al.,</w:t>
      </w:r>
      <w:r w:rsidR="00340203" w:rsidRPr="00340203">
        <w:rPr>
          <w:rFonts w:ascii="Arial" w:eastAsia="Calibri" w:hAnsi="Arial" w:cs="Arial"/>
          <w:bCs/>
          <w:sz w:val="20"/>
        </w:rPr>
        <w:t xml:space="preserve"> 2025</w:t>
      </w:r>
      <w:r w:rsidRPr="007A14DB">
        <w:rPr>
          <w:rFonts w:ascii="Arial" w:eastAsia="Calibri" w:hAnsi="Arial" w:cs="Arial"/>
          <w:bCs/>
          <w:sz w:val="20"/>
        </w:rPr>
        <w:t>).</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 xml:space="preserve">Recent studies indicate that mulberry-derived biochar exhibits desirable physicochemical characteristics including high fixed carbon content, porous structure indicative of large surface area, and thermally induced aromatic carbon condensation that collectively signal long-term stability and enhanced carbon sequestration potential </w:t>
      </w:r>
      <w:r w:rsidRPr="00340203">
        <w:rPr>
          <w:rFonts w:ascii="Arial" w:eastAsia="Calibri" w:hAnsi="Arial" w:cs="Arial"/>
          <w:bCs/>
          <w:sz w:val="20"/>
        </w:rPr>
        <w:t xml:space="preserve">(Nandini, 2023; Kaushik </w:t>
      </w:r>
      <w:r w:rsidRPr="00340203">
        <w:rPr>
          <w:rFonts w:ascii="Arial" w:eastAsia="Calibri" w:hAnsi="Arial" w:cs="Arial"/>
          <w:bCs/>
          <w:i/>
          <w:sz w:val="20"/>
        </w:rPr>
        <w:t>et al.,</w:t>
      </w:r>
      <w:r w:rsidRPr="00340203">
        <w:rPr>
          <w:rFonts w:ascii="Arial" w:eastAsia="Calibri" w:hAnsi="Arial" w:cs="Arial"/>
          <w:bCs/>
          <w:sz w:val="20"/>
        </w:rPr>
        <w:t xml:space="preserve"> 2025</w:t>
      </w:r>
      <w:r w:rsidRPr="007A14DB">
        <w:rPr>
          <w:rFonts w:ascii="Arial" w:eastAsia="Calibri" w:hAnsi="Arial" w:cs="Arial"/>
          <w:bCs/>
          <w:sz w:val="20"/>
        </w:rPr>
        <w:t>). For instance, pyrolysis at higher temperatures typically reduces the O:C and H:C ratios of biochars, enhancing their recalcitrance and increasing estimated mean residence time in soil (</w:t>
      </w:r>
      <w:r w:rsidRPr="00340203">
        <w:rPr>
          <w:rFonts w:ascii="Arial" w:eastAsia="Calibri" w:hAnsi="Arial" w:cs="Arial"/>
          <w:bCs/>
          <w:sz w:val="20"/>
        </w:rPr>
        <w:t>Spokas, 2010; Leng</w:t>
      </w:r>
      <w:r w:rsidRPr="00340203">
        <w:rPr>
          <w:rFonts w:ascii="Arial" w:eastAsia="Calibri" w:hAnsi="Arial" w:cs="Arial"/>
          <w:bCs/>
          <w:i/>
          <w:sz w:val="20"/>
        </w:rPr>
        <w:t>et al.,</w:t>
      </w:r>
      <w:r w:rsidRPr="00340203">
        <w:rPr>
          <w:rFonts w:ascii="Arial" w:eastAsia="Calibri" w:hAnsi="Arial" w:cs="Arial"/>
          <w:bCs/>
          <w:sz w:val="20"/>
        </w:rPr>
        <w:t xml:space="preserve"> 2019</w:t>
      </w:r>
      <w:r w:rsidRPr="007A14DB">
        <w:rPr>
          <w:rFonts w:ascii="Arial" w:eastAsia="Calibri" w:hAnsi="Arial" w:cs="Arial"/>
          <w:bCs/>
          <w:sz w:val="20"/>
        </w:rPr>
        <w:t>). These characteristics underpin the material’s suitability as a carbon-negative product.</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Beyond sequestration, certain engineered mulberry biochar composites show promising performance in contaminant removal. For example, mulberry stem biochar modified with Fe</w:t>
      </w:r>
      <w:r w:rsidRPr="007A14DB">
        <w:rPr>
          <w:rFonts w:ascii="Times New Roman" w:eastAsia="Calibri" w:hAnsi="Times New Roman" w:cs="Arial"/>
          <w:bCs/>
          <w:sz w:val="20"/>
        </w:rPr>
        <w:t>₃</w:t>
      </w:r>
      <w:r w:rsidRPr="007A14DB">
        <w:rPr>
          <w:rFonts w:ascii="Arial" w:eastAsia="Calibri" w:hAnsi="Arial" w:cs="Arial"/>
          <w:bCs/>
          <w:sz w:val="20"/>
        </w:rPr>
        <w:t>O</w:t>
      </w:r>
      <w:r w:rsidRPr="007A14DB">
        <w:rPr>
          <w:rFonts w:ascii="Times New Roman" w:eastAsia="Calibri" w:hAnsi="Times New Roman" w:cs="Arial"/>
          <w:bCs/>
          <w:sz w:val="20"/>
        </w:rPr>
        <w:t>₄</w:t>
      </w:r>
      <w:r w:rsidRPr="007A14DB">
        <w:rPr>
          <w:rFonts w:ascii="Arial" w:eastAsia="Calibri" w:hAnsi="Arial" w:cs="Arial"/>
          <w:bCs/>
          <w:sz w:val="20"/>
        </w:rPr>
        <w:t xml:space="preserve"> demonstrated significant arsenic immobilization in contaminated paddy soils (</w:t>
      </w:r>
      <w:r w:rsidRPr="009C76F6">
        <w:rPr>
          <w:rFonts w:ascii="Arial" w:eastAsia="Calibri" w:hAnsi="Arial" w:cs="Arial"/>
          <w:bCs/>
          <w:sz w:val="20"/>
        </w:rPr>
        <w:t xml:space="preserve">Tang </w:t>
      </w:r>
      <w:r w:rsidRPr="009C76F6">
        <w:rPr>
          <w:rFonts w:ascii="Arial" w:eastAsia="Calibri" w:hAnsi="Arial" w:cs="Arial"/>
          <w:bCs/>
          <w:i/>
          <w:sz w:val="20"/>
        </w:rPr>
        <w:t>et al.,</w:t>
      </w:r>
      <w:r w:rsidRPr="009C76F6">
        <w:rPr>
          <w:rFonts w:ascii="Arial" w:eastAsia="Calibri" w:hAnsi="Arial" w:cs="Arial"/>
          <w:bCs/>
          <w:sz w:val="20"/>
        </w:rPr>
        <w:t xml:space="preserve"> 2024). Similarly, hydroxyapatite-coated mulberry stem biochar (HMp) significantly enhanced lead adsorption capacities compared to unmodified biochar (Wang </w:t>
      </w:r>
      <w:r w:rsidRPr="009C76F6">
        <w:rPr>
          <w:rFonts w:ascii="Arial" w:eastAsia="Calibri" w:hAnsi="Arial" w:cs="Arial"/>
          <w:bCs/>
          <w:i/>
          <w:sz w:val="20"/>
        </w:rPr>
        <w:t>et al.,</w:t>
      </w:r>
      <w:r w:rsidRPr="009C76F6">
        <w:rPr>
          <w:rFonts w:ascii="Arial" w:eastAsia="Calibri" w:hAnsi="Arial" w:cs="Arial"/>
          <w:bCs/>
          <w:sz w:val="20"/>
        </w:rPr>
        <w:t xml:space="preserve"> 2025</w:t>
      </w:r>
      <w:r w:rsidRPr="007A14DB">
        <w:rPr>
          <w:rFonts w:ascii="Arial" w:eastAsia="Calibri" w:hAnsi="Arial" w:cs="Arial"/>
          <w:bCs/>
          <w:sz w:val="20"/>
        </w:rPr>
        <w:t>). These examples underline the functional versatility of mulberry-derived biochars in environmental applications.</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While biochar research has predominantly addressed soil fertility enhancement, waste valorization, and greenhouse gas mitigation, studies specifically targeting mulberry-derived biochar have remained largely confined to agronomic contexts. The broader potential of mulberry biomass for biochar production, particularly in relation to carbon sequestration, remains significantly underexplored. Current literature is fragmented and lacks a comprehensive perspective that integrates carbon stabilization, advanced material functionalization, and non-agricultural applications. Accordingly, this review synthesizes existing knowledge on the thermochemical conversion of mulberry residues into biochar, evaluates its multifaceted applications, and highlights carbon sequestration as a pivotal frontier for future research and sustainable biomass utilization.</w:t>
      </w:r>
    </w:p>
    <w:p w:rsidR="00E00952" w:rsidRPr="007A14DB" w:rsidRDefault="00E00952" w:rsidP="00E00952">
      <w:pPr>
        <w:spacing w:before="100" w:beforeAutospacing="1" w:after="100" w:afterAutospacing="1" w:line="240" w:lineRule="auto"/>
        <w:outlineLvl w:val="1"/>
        <w:rPr>
          <w:rFonts w:ascii="Arial" w:eastAsia="Times New Roman" w:hAnsi="Arial" w:cs="Arial"/>
          <w:b/>
          <w:bCs/>
          <w:szCs w:val="36"/>
        </w:rPr>
      </w:pPr>
      <w:r w:rsidRPr="007A14DB">
        <w:rPr>
          <w:rFonts w:ascii="Arial" w:eastAsia="Times New Roman" w:hAnsi="Arial" w:cs="Arial"/>
          <w:b/>
          <w:bCs/>
          <w:szCs w:val="36"/>
        </w:rPr>
        <w:t>2. Biochar: Principles and Potential</w:t>
      </w:r>
    </w:p>
    <w:p w:rsidR="00C46DEA" w:rsidRPr="007A14DB" w:rsidRDefault="00C46DEA" w:rsidP="00C46DEA">
      <w:pPr>
        <w:pStyle w:val="NormalWeb"/>
        <w:jc w:val="both"/>
        <w:rPr>
          <w:rFonts w:ascii="Arial" w:hAnsi="Arial" w:cs="Arial"/>
          <w:sz w:val="20"/>
        </w:rPr>
      </w:pPr>
      <w:r w:rsidRPr="007A14DB">
        <w:rPr>
          <w:rFonts w:ascii="Arial" w:hAnsi="Arial" w:cs="Arial"/>
          <w:sz w:val="20"/>
        </w:rPr>
        <w:t>Biochar is a solid, carbon-rich material produced via the pyrolysis of biomass under oxygen-limited conditions. During pyrolysis, lignocellulosic feedstocks are thermochemically decomposed at moderat</w:t>
      </w:r>
      <w:r w:rsidR="007A43C8">
        <w:rPr>
          <w:rFonts w:ascii="Arial" w:hAnsi="Arial" w:cs="Arial"/>
          <w:sz w:val="20"/>
        </w:rPr>
        <w:t>e to high temperatures (300–</w:t>
      </w:r>
      <w:r w:rsidR="007A43C8" w:rsidRPr="007A43C8">
        <w:rPr>
          <w:rFonts w:ascii="Arial" w:hAnsi="Arial" w:cs="Arial"/>
          <w:sz w:val="20"/>
          <w:highlight w:val="yellow"/>
        </w:rPr>
        <w:t>700</w:t>
      </w:r>
      <w:r w:rsidRPr="007A43C8">
        <w:rPr>
          <w:rFonts w:ascii="Arial" w:hAnsi="Arial" w:cs="Arial"/>
          <w:sz w:val="20"/>
          <w:highlight w:val="yellow"/>
        </w:rPr>
        <w:t>°C</w:t>
      </w:r>
      <w:r w:rsidRPr="007A14DB">
        <w:rPr>
          <w:rFonts w:ascii="Arial" w:hAnsi="Arial" w:cs="Arial"/>
          <w:sz w:val="20"/>
        </w:rPr>
        <w:t>), yielding three products: biochar (solid), bio-oil (liquid), and syngas (gaseous) (</w:t>
      </w:r>
      <w:r w:rsidRPr="009C76F6">
        <w:rPr>
          <w:rFonts w:ascii="Arial" w:hAnsi="Arial" w:cs="Arial"/>
          <w:sz w:val="20"/>
        </w:rPr>
        <w:t>Spokas</w:t>
      </w:r>
      <w:r w:rsidRPr="009C76F6">
        <w:rPr>
          <w:rFonts w:ascii="Arial" w:hAnsi="Arial" w:cs="Arial"/>
          <w:i/>
          <w:sz w:val="20"/>
        </w:rPr>
        <w:t>et al.,</w:t>
      </w:r>
      <w:r w:rsidRPr="009C76F6">
        <w:rPr>
          <w:rFonts w:ascii="Arial" w:hAnsi="Arial" w:cs="Arial"/>
          <w:sz w:val="20"/>
        </w:rPr>
        <w:t xml:space="preserve"> 2012</w:t>
      </w:r>
      <w:r w:rsidRPr="007A14DB">
        <w:rPr>
          <w:rFonts w:ascii="Arial" w:hAnsi="Arial" w:cs="Arial"/>
          <w:sz w:val="20"/>
        </w:rPr>
        <w:t>). Among these, biochar has attracted considerable attention due to its long-term stability, multiple environmental benefits, and agronomic applications.</w:t>
      </w:r>
    </w:p>
    <w:p w:rsidR="00C46DEA" w:rsidRPr="007A14DB" w:rsidRDefault="00C46DEA" w:rsidP="007A14DB">
      <w:pPr>
        <w:pStyle w:val="Heading3"/>
        <w:rPr>
          <w:rFonts w:ascii="Arial" w:hAnsi="Arial" w:cs="Arial"/>
          <w:sz w:val="22"/>
        </w:rPr>
      </w:pPr>
      <w:r w:rsidRPr="007A14DB">
        <w:rPr>
          <w:rFonts w:ascii="Arial" w:hAnsi="Arial" w:cs="Arial"/>
          <w:sz w:val="22"/>
        </w:rPr>
        <w:t>2.1 Stability and Carbon Sequestration Potential</w:t>
      </w:r>
    </w:p>
    <w:p w:rsidR="00C46DEA" w:rsidRPr="007A14DB" w:rsidRDefault="00C46DEA" w:rsidP="00C46DEA">
      <w:pPr>
        <w:pStyle w:val="NormalWeb"/>
        <w:jc w:val="both"/>
        <w:rPr>
          <w:rFonts w:ascii="Arial" w:hAnsi="Arial" w:cs="Arial"/>
          <w:sz w:val="20"/>
        </w:rPr>
      </w:pPr>
      <w:r w:rsidRPr="007A14DB">
        <w:rPr>
          <w:rFonts w:ascii="Arial" w:hAnsi="Arial" w:cs="Arial"/>
          <w:sz w:val="20"/>
        </w:rPr>
        <w:t>The principal feature distinguishing biochar from other organic soil amendments is its high content of condensed aromatic carbon structures, which provide resistance to microbial decomposition. Whereas fresh organic matter typically decomposes within years or decades, biochar persists in soils for centuries to millennia (</w:t>
      </w:r>
      <w:r w:rsidRPr="009C76F6">
        <w:rPr>
          <w:rFonts w:ascii="Arial" w:hAnsi="Arial" w:cs="Arial"/>
          <w:sz w:val="20"/>
        </w:rPr>
        <w:t>Masek, 2013; Lorenz and Lal, 2014</w:t>
      </w:r>
      <w:r w:rsidRPr="007A14DB">
        <w:rPr>
          <w:rFonts w:ascii="Arial" w:hAnsi="Arial" w:cs="Arial"/>
          <w:sz w:val="20"/>
        </w:rPr>
        <w:t xml:space="preserve">). This recalcitrance underpins its recognition as a </w:t>
      </w:r>
      <w:r w:rsidRPr="007A14DB">
        <w:rPr>
          <w:rStyle w:val="Strong"/>
          <w:rFonts w:ascii="Arial" w:hAnsi="Arial" w:cs="Arial"/>
          <w:b w:val="0"/>
          <w:sz w:val="20"/>
        </w:rPr>
        <w:lastRenderedPageBreak/>
        <w:t>negative emission technology (NET)</w:t>
      </w:r>
      <w:r w:rsidRPr="007A14DB">
        <w:rPr>
          <w:rFonts w:ascii="Arial" w:hAnsi="Arial" w:cs="Arial"/>
          <w:sz w:val="20"/>
        </w:rPr>
        <w:t xml:space="preserve"> capable of sequestering atmospheric CO</w:t>
      </w:r>
      <w:r w:rsidRPr="007A14DB">
        <w:rPr>
          <w:rFonts w:cs="Arial"/>
          <w:sz w:val="20"/>
        </w:rPr>
        <w:t>₂</w:t>
      </w:r>
      <w:r w:rsidRPr="007A14DB">
        <w:rPr>
          <w:rFonts w:ascii="Arial" w:hAnsi="Arial" w:cs="Arial"/>
          <w:sz w:val="20"/>
        </w:rPr>
        <w:t xml:space="preserve"> captured by plants through photosynthesis and retaining it in stable soil pools (</w:t>
      </w:r>
      <w:r w:rsidRPr="009C76F6">
        <w:rPr>
          <w:rFonts w:ascii="Arial" w:hAnsi="Arial" w:cs="Arial"/>
          <w:sz w:val="20"/>
        </w:rPr>
        <w:t xml:space="preserve">Gupta </w:t>
      </w:r>
      <w:r w:rsidRPr="009C76F6">
        <w:rPr>
          <w:rFonts w:ascii="Arial" w:hAnsi="Arial" w:cs="Arial"/>
          <w:i/>
          <w:sz w:val="20"/>
        </w:rPr>
        <w:t>et al.,</w:t>
      </w:r>
      <w:r w:rsidRPr="009C76F6">
        <w:rPr>
          <w:rFonts w:ascii="Arial" w:hAnsi="Arial" w:cs="Arial"/>
          <w:sz w:val="20"/>
        </w:rPr>
        <w:t xml:space="preserve"> 2020; Smith, 2016</w:t>
      </w:r>
      <w:r w:rsidRPr="007A14DB">
        <w:rPr>
          <w:rFonts w:ascii="Arial" w:hAnsi="Arial" w:cs="Arial"/>
          <w:sz w:val="20"/>
        </w:rPr>
        <w:t>).</w:t>
      </w:r>
    </w:p>
    <w:p w:rsidR="00C46DEA" w:rsidRPr="007A14DB" w:rsidRDefault="00C46DEA" w:rsidP="00C46DEA">
      <w:pPr>
        <w:pStyle w:val="NormalWeb"/>
        <w:jc w:val="both"/>
        <w:rPr>
          <w:rFonts w:ascii="Arial" w:hAnsi="Arial" w:cs="Arial"/>
          <w:sz w:val="20"/>
        </w:rPr>
      </w:pPr>
      <w:r w:rsidRPr="007A14DB">
        <w:rPr>
          <w:rFonts w:ascii="Arial" w:hAnsi="Arial" w:cs="Arial"/>
          <w:sz w:val="20"/>
        </w:rPr>
        <w:t>The recalcitrant fraction of biochar often constitutes 60–80% of its carbon content, with stability strongly influenced by feedstock type and pyrolysis conditions (</w:t>
      </w:r>
      <w:r w:rsidRPr="009C76F6">
        <w:rPr>
          <w:rFonts w:ascii="Arial" w:hAnsi="Arial" w:cs="Arial"/>
          <w:sz w:val="20"/>
        </w:rPr>
        <w:t>Tan, 2019). Estimates suggest that large-scale biochar deployment could offset 0.5–1.8 Gt CO</w:t>
      </w:r>
      <w:r w:rsidRPr="009C76F6">
        <w:rPr>
          <w:rFonts w:cs="Arial"/>
          <w:sz w:val="20"/>
        </w:rPr>
        <w:t>₂</w:t>
      </w:r>
      <w:r w:rsidRPr="009C76F6">
        <w:rPr>
          <w:rFonts w:ascii="Arial" w:hAnsi="Arial" w:cs="Arial"/>
          <w:sz w:val="20"/>
        </w:rPr>
        <w:t xml:space="preserve"> equivalents annually (Smith, 2016). For instance, Australia’s natural biochar sinks are estimated to sequester ~21 million tonnes of CO</w:t>
      </w:r>
      <w:r w:rsidRPr="009C76F6">
        <w:rPr>
          <w:rFonts w:cs="Arial"/>
          <w:sz w:val="20"/>
        </w:rPr>
        <w:t>₂</w:t>
      </w:r>
      <w:r w:rsidRPr="009C76F6">
        <w:rPr>
          <w:rFonts w:ascii="Arial" w:hAnsi="Arial" w:cs="Arial"/>
          <w:sz w:val="20"/>
        </w:rPr>
        <w:t xml:space="preserve"> per year (Graetz and Skjemstad</w:t>
      </w:r>
      <w:r w:rsidR="00FB1481" w:rsidRPr="009C76F6">
        <w:rPr>
          <w:rFonts w:ascii="Arial" w:hAnsi="Arial" w:cs="Arial"/>
          <w:sz w:val="20"/>
        </w:rPr>
        <w:t>,</w:t>
      </w:r>
      <w:r w:rsidRPr="009C76F6">
        <w:rPr>
          <w:rFonts w:ascii="Arial" w:hAnsi="Arial" w:cs="Arial"/>
          <w:sz w:val="20"/>
        </w:rPr>
        <w:t xml:space="preserve"> 2003).</w:t>
      </w:r>
      <w:r w:rsidRPr="007A14DB">
        <w:rPr>
          <w:rFonts w:ascii="Arial" w:hAnsi="Arial" w:cs="Arial"/>
          <w:sz w:val="20"/>
        </w:rPr>
        <w:t xml:space="preserve"> Modeling studies indicate that replacing slash-and-burn agriculture with slash-and-char could offset up to 12% of global anthropogenic land-use change emissions annually (</w:t>
      </w:r>
      <w:r w:rsidRPr="00F75624">
        <w:rPr>
          <w:rFonts w:ascii="Arial" w:hAnsi="Arial" w:cs="Arial"/>
          <w:sz w:val="20"/>
        </w:rPr>
        <w:t>Lehmann et al. 2006). Importantly, biochar application not only sequesters carbon but also reduces soil-derived emissions of nitrous oxide (N</w:t>
      </w:r>
      <w:r w:rsidRPr="00F75624">
        <w:rPr>
          <w:rFonts w:cs="Arial"/>
          <w:sz w:val="20"/>
        </w:rPr>
        <w:t>₂</w:t>
      </w:r>
      <w:r w:rsidRPr="00F75624">
        <w:rPr>
          <w:rFonts w:ascii="Arial" w:hAnsi="Arial" w:cs="Arial"/>
          <w:sz w:val="20"/>
        </w:rPr>
        <w:t>O) and methane (CH</w:t>
      </w:r>
      <w:r w:rsidRPr="00F75624">
        <w:rPr>
          <w:rFonts w:cs="Arial"/>
          <w:sz w:val="20"/>
        </w:rPr>
        <w:t>₄</w:t>
      </w:r>
      <w:r w:rsidRPr="00F75624">
        <w:rPr>
          <w:rFonts w:ascii="Arial" w:hAnsi="Arial" w:cs="Arial"/>
          <w:sz w:val="20"/>
        </w:rPr>
        <w:t xml:space="preserve">), both potent greenhouse gases (Waters et al. 2011; Lehmann and Joseph 2009; Jeffery </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2011; Wang </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2016; Majumder </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2019</w:t>
      </w:r>
      <w:r w:rsidRPr="007A14DB">
        <w:rPr>
          <w:rFonts w:ascii="Arial" w:hAnsi="Arial" w:cs="Arial"/>
          <w:sz w:val="20"/>
        </w:rPr>
        <w:t>).</w:t>
      </w:r>
    </w:p>
    <w:p w:rsidR="00C46DEA" w:rsidRPr="007A14DB" w:rsidRDefault="00C46DEA" w:rsidP="00C46DEA">
      <w:pPr>
        <w:pStyle w:val="NormalWeb"/>
        <w:jc w:val="both"/>
        <w:rPr>
          <w:rFonts w:ascii="Arial" w:hAnsi="Arial" w:cs="Arial"/>
          <w:sz w:val="20"/>
        </w:rPr>
      </w:pPr>
      <w:r w:rsidRPr="007A14DB">
        <w:rPr>
          <w:rFonts w:ascii="Arial" w:hAnsi="Arial" w:cs="Arial"/>
          <w:sz w:val="20"/>
        </w:rPr>
        <w:t>Two intrinsic properties make biochar particularly suitable for long-term carbon storage: (i) its resistance to biotic and abiotic decay and (ii) its relatively high fixed carbon content compared to unprocessed biomass. The estimated residence time of biochar carbon in soils ranges from several hundred to thousands of years (</w:t>
      </w:r>
      <w:r w:rsidRPr="00F75624">
        <w:rPr>
          <w:rFonts w:ascii="Arial" w:hAnsi="Arial" w:cs="Arial"/>
          <w:sz w:val="20"/>
        </w:rPr>
        <w:t xml:space="preserve">Liang </w:t>
      </w:r>
      <w:r w:rsidRPr="00F75624">
        <w:rPr>
          <w:rFonts w:ascii="Arial" w:hAnsi="Arial" w:cs="Arial"/>
          <w:i/>
          <w:sz w:val="20"/>
        </w:rPr>
        <w:t>et al.,</w:t>
      </w:r>
      <w:r w:rsidRPr="00F75624">
        <w:rPr>
          <w:rFonts w:ascii="Arial" w:hAnsi="Arial" w:cs="Arial"/>
          <w:sz w:val="20"/>
        </w:rPr>
        <w:t xml:space="preserve"> 2008; Kuzyakov</w:t>
      </w:r>
      <w:r w:rsidRPr="00F75624">
        <w:rPr>
          <w:rFonts w:ascii="Arial" w:hAnsi="Arial" w:cs="Arial"/>
          <w:i/>
          <w:sz w:val="20"/>
        </w:rPr>
        <w:t>et al.,</w:t>
      </w:r>
      <w:r w:rsidRPr="00F75624">
        <w:rPr>
          <w:rFonts w:ascii="Arial" w:hAnsi="Arial" w:cs="Arial"/>
          <w:sz w:val="20"/>
        </w:rPr>
        <w:t xml:space="preserve"> 2009; Major </w:t>
      </w:r>
      <w:r w:rsidRPr="00F75624">
        <w:rPr>
          <w:rFonts w:ascii="Arial" w:hAnsi="Arial" w:cs="Arial"/>
          <w:i/>
          <w:sz w:val="20"/>
        </w:rPr>
        <w:t>et al.,</w:t>
      </w:r>
      <w:r w:rsidRPr="00F75624">
        <w:rPr>
          <w:rFonts w:ascii="Arial" w:hAnsi="Arial" w:cs="Arial"/>
          <w:sz w:val="20"/>
        </w:rPr>
        <w:t xml:space="preserve"> 2010; Zimmerman, 2010). The </w:t>
      </w:r>
      <w:r w:rsidRPr="00F75624">
        <w:rPr>
          <w:rStyle w:val="Strong"/>
          <w:rFonts w:ascii="Arial" w:hAnsi="Arial" w:cs="Arial"/>
          <w:b w:val="0"/>
          <w:sz w:val="20"/>
        </w:rPr>
        <w:t>carbon sequestration potential (CSP)</w:t>
      </w:r>
      <w:r w:rsidRPr="00F75624">
        <w:rPr>
          <w:rFonts w:ascii="Arial" w:hAnsi="Arial" w:cs="Arial"/>
          <w:sz w:val="20"/>
        </w:rPr>
        <w:t xml:space="preserve"> of biochar is commonly calculated based on feedstock mass, biochar yield, and carbon content using equations such as that proposed by Windeatt</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(2014).</w:t>
      </w:r>
      <w:r w:rsidRPr="007A14DB">
        <w:rPr>
          <w:rFonts w:ascii="Arial" w:hAnsi="Arial" w:cs="Arial"/>
          <w:sz w:val="20"/>
        </w:rPr>
        <w:t xml:space="preserve"> Such metrics help to quantify the efficiency of converting feedstock carbon into long-term stable pools.</w:t>
      </w:r>
    </w:p>
    <w:p w:rsidR="007E0773" w:rsidRPr="007E0773" w:rsidRDefault="007E0773" w:rsidP="00C46DEA">
      <w:pPr>
        <w:pStyle w:val="NormalWeb"/>
        <w:jc w:val="both"/>
        <w:rPr>
          <w:oMath/>
          <w:rFonts w:ascii="Arial" w:hAnsi="Arial" w:cs="Arial"/>
          <w:sz w:val="20"/>
        </w:rPr>
      </w:pPr>
      <m:oMathPara>
        <m:oMath>
          <m:r>
            <m:rPr>
              <m:nor/>
            </m:rPr>
            <w:rPr>
              <w:rFonts w:ascii="Arial" w:hAnsi="Arial" w:cs="Arial"/>
              <w:sz w:val="20"/>
            </w:rPr>
            <m:t>C</m:t>
          </m:r>
          <m:r>
            <m:rPr>
              <m:nor/>
            </m:rPr>
            <w:rPr>
              <w:rFonts w:ascii="Arial" w:hAnsi="Arial" w:cs="Arial"/>
              <w:sz w:val="20"/>
              <w:highlight w:val="yellow"/>
            </w:rPr>
            <m:t>SB</m:t>
          </m:r>
          <m:d>
            <m:dPr>
              <m:ctrlPr>
                <w:rPr>
                  <w:rFonts w:ascii="Cambria Math" w:hAnsi="Arial" w:cs="Arial"/>
                  <w:i/>
                  <w:sz w:val="20"/>
                  <w:highlight w:val="yellow"/>
                </w:rPr>
              </m:ctrlPr>
            </m:dPr>
            <m:e>
              <m:r>
                <m:rPr>
                  <m:nor/>
                </m:rPr>
                <w:rPr>
                  <w:rFonts w:ascii="Arial" w:hAnsi="Arial" w:cs="Arial"/>
                  <w:sz w:val="20"/>
                  <w:highlight w:val="yellow"/>
                </w:rPr>
                <m:t>%</m:t>
              </m:r>
            </m:e>
          </m:d>
          <m:r>
            <m:rPr>
              <m:nor/>
            </m:rPr>
            <w:rPr>
              <w:rFonts w:ascii="Arial" w:hAnsi="Arial" w:cs="Arial"/>
              <w:sz w:val="20"/>
              <w:highlight w:val="yellow"/>
            </w:rPr>
            <m:t>=</m:t>
          </m:r>
          <m:f>
            <m:fPr>
              <m:ctrlPr>
                <w:rPr>
                  <w:rFonts w:ascii="Cambria Math" w:hAnsi="Arial" w:cs="Arial"/>
                  <w:i/>
                  <w:sz w:val="20"/>
                  <w:highlight w:val="yellow"/>
                </w:rPr>
              </m:ctrlPr>
            </m:fPr>
            <m:num>
              <m:r>
                <m:rPr>
                  <m:nor/>
                </m:rPr>
                <w:rPr>
                  <w:rFonts w:ascii="Arial" w:hAnsi="Arial" w:cs="Arial"/>
                  <w:sz w:val="20"/>
                  <w:highlight w:val="yellow"/>
                </w:rPr>
                <m:t>M</m:t>
              </m:r>
              <m:r>
                <m:rPr>
                  <m:nor/>
                </m:rPr>
                <w:rPr>
                  <w:rFonts w:ascii="Cambria Math" w:hAnsi="Cambria Math" w:cs="Arial"/>
                  <w:sz w:val="20"/>
                  <w:highlight w:val="yellow"/>
                </w:rPr>
                <m:t>×</m:t>
              </m:r>
              <m:r>
                <m:rPr>
                  <m:nor/>
                </m:rPr>
                <w:rPr>
                  <w:rFonts w:ascii="Arial" w:hAnsi="Arial" w:cs="Arial"/>
                  <w:sz w:val="20"/>
                  <w:highlight w:val="yellow"/>
                </w:rPr>
                <m:t>Ch</m:t>
              </m:r>
              <m:r>
                <m:rPr>
                  <m:nor/>
                </m:rPr>
                <w:rPr>
                  <w:rFonts w:ascii="Cambria Math" w:hAnsi="Cambria Math" w:cs="Arial"/>
                  <w:sz w:val="20"/>
                  <w:highlight w:val="yellow"/>
                </w:rPr>
                <m:t>×</m:t>
              </m:r>
              <m:sSub>
                <m:sSubPr>
                  <m:ctrlPr>
                    <w:rPr>
                      <w:rFonts w:ascii="Cambria Math" w:hAnsi="Arial" w:cs="Arial"/>
                      <w:sz w:val="20"/>
                      <w:highlight w:val="yellow"/>
                    </w:rPr>
                  </m:ctrlPr>
                </m:sSubPr>
                <m:e>
                  <m:r>
                    <m:rPr>
                      <m:nor/>
                    </m:rPr>
                    <w:rPr>
                      <w:rFonts w:ascii="Arial" w:hAnsi="Arial" w:cs="Arial"/>
                      <w:sz w:val="20"/>
                      <w:highlight w:val="yellow"/>
                    </w:rPr>
                    <m:t>C</m:t>
                  </m:r>
                </m:e>
                <m:sub>
                  <m:r>
                    <m:rPr>
                      <m:nor/>
                    </m:rPr>
                    <w:rPr>
                      <w:rFonts w:ascii="Arial" w:hAnsi="Arial" w:cs="Arial"/>
                      <w:sz w:val="20"/>
                      <w:highlight w:val="yellow"/>
                    </w:rPr>
                    <m:t>Ch</m:t>
                  </m:r>
                </m:sub>
              </m:sSub>
              <m:r>
                <m:rPr>
                  <m:nor/>
                </m:rPr>
                <w:rPr>
                  <w:rFonts w:ascii="Cambria Math" w:hAnsi="Cambria Math" w:cs="Arial"/>
                  <w:sz w:val="20"/>
                  <w:highlight w:val="yellow"/>
                </w:rPr>
                <m:t>×</m:t>
              </m:r>
              <m:r>
                <m:rPr>
                  <m:nor/>
                </m:rPr>
                <w:rPr>
                  <w:rFonts w:ascii="Arial" w:hAnsi="Arial" w:cs="Arial"/>
                  <w:sz w:val="20"/>
                  <w:highlight w:val="yellow"/>
                </w:rPr>
                <m:t>x</m:t>
              </m:r>
              <m:sSub>
                <m:sSubPr>
                  <m:ctrlPr>
                    <w:rPr>
                      <w:rFonts w:ascii="Cambria Math" w:hAnsi="Arial" w:cs="Arial"/>
                      <w:sz w:val="20"/>
                      <w:highlight w:val="yellow"/>
                    </w:rPr>
                  </m:ctrlPr>
                </m:sSubPr>
                <m:e>
                  <m:r>
                    <m:rPr>
                      <m:nor/>
                    </m:rPr>
                    <w:rPr>
                      <w:rFonts w:ascii="Arial" w:hAnsi="Arial" w:cs="Arial"/>
                      <w:sz w:val="20"/>
                      <w:highlight w:val="yellow"/>
                    </w:rPr>
                    <m:t>R</m:t>
                  </m:r>
                </m:e>
                <m:sub>
                  <m:r>
                    <m:rPr>
                      <m:nor/>
                    </m:rPr>
                    <w:rPr>
                      <w:rFonts w:ascii="Arial" w:hAnsi="Arial" w:cs="Arial"/>
                      <w:sz w:val="20"/>
                      <w:highlight w:val="yellow"/>
                    </w:rPr>
                    <m:t>50</m:t>
                  </m:r>
                </m:sub>
              </m:sSub>
            </m:num>
            <m:den>
              <m:r>
                <m:rPr>
                  <m:nor/>
                </m:rPr>
                <w:rPr>
                  <w:rFonts w:ascii="Arial" w:hAnsi="Arial" w:cs="Arial"/>
                  <w:sz w:val="20"/>
                  <w:highlight w:val="yellow"/>
                </w:rPr>
                <m:t>M</m:t>
              </m:r>
              <m:r>
                <m:rPr>
                  <m:nor/>
                </m:rPr>
                <w:rPr>
                  <w:rFonts w:ascii="Cambria Math" w:hAnsi="Cambria Math" w:cs="Arial"/>
                  <w:sz w:val="20"/>
                  <w:highlight w:val="yellow"/>
                </w:rPr>
                <m:t>×</m:t>
              </m:r>
              <m:sSub>
                <m:sSubPr>
                  <m:ctrlPr>
                    <w:rPr>
                      <w:rFonts w:ascii="Cambria Math" w:hAnsi="Arial" w:cs="Arial"/>
                      <w:i/>
                      <w:sz w:val="20"/>
                      <w:highlight w:val="yellow"/>
                    </w:rPr>
                  </m:ctrlPr>
                </m:sSubPr>
                <m:e>
                  <m:r>
                    <m:rPr>
                      <m:nor/>
                    </m:rPr>
                    <w:rPr>
                      <w:rFonts w:ascii="Arial" w:hAnsi="Arial" w:cs="Arial"/>
                      <w:sz w:val="20"/>
                      <w:highlight w:val="yellow"/>
                    </w:rPr>
                    <m:t>C</m:t>
                  </m:r>
                </m:e>
                <m:sub>
                  <m:r>
                    <m:rPr>
                      <m:nor/>
                    </m:rPr>
                    <w:rPr>
                      <w:rFonts w:ascii="Arial" w:hAnsi="Arial" w:cs="Arial"/>
                      <w:sz w:val="20"/>
                      <w:highlight w:val="yellow"/>
                    </w:rPr>
                    <m:t>F</m:t>
                  </m:r>
                </m:sub>
              </m:sSub>
            </m:den>
          </m:f>
        </m:oMath>
      </m:oMathPara>
    </w:p>
    <w:p w:rsidR="007E0773" w:rsidRPr="007A14DB" w:rsidRDefault="00FB1481" w:rsidP="007E0773">
      <w:pPr>
        <w:rPr>
          <w:rFonts w:ascii="Arial" w:hAnsi="Arial" w:cs="Arial"/>
          <w:sz w:val="20"/>
          <w:szCs w:val="20"/>
        </w:rPr>
      </w:pPr>
      <w:r w:rsidRPr="007A14DB">
        <w:rPr>
          <w:rFonts w:ascii="Arial" w:hAnsi="Arial" w:cs="Arial"/>
          <w:sz w:val="20"/>
          <w:szCs w:val="20"/>
        </w:rPr>
        <w:t>Where</w:t>
      </w:r>
      <w:r w:rsidR="00C46DEA" w:rsidRPr="007A14DB">
        <w:rPr>
          <w:rFonts w:ascii="Arial" w:hAnsi="Arial" w:cs="Arial"/>
          <w:sz w:val="20"/>
          <w:szCs w:val="20"/>
        </w:rPr>
        <w:t xml:space="preserve">, </w:t>
      </w:r>
      <w:r w:rsidR="007E0773" w:rsidRPr="007A14DB">
        <w:rPr>
          <w:rFonts w:ascii="Arial" w:hAnsi="Arial" w:cs="Arial"/>
          <w:sz w:val="20"/>
          <w:szCs w:val="20"/>
        </w:rPr>
        <w:t xml:space="preserve">CSB represents the carbon sequestration potential of biochar (%),  </w:t>
      </w:r>
      <w:r w:rsidR="007E0773" w:rsidRPr="007A14DB">
        <w:rPr>
          <w:rStyle w:val="Emphasis"/>
          <w:rFonts w:ascii="Arial" w:hAnsi="Arial" w:cs="Arial"/>
          <w:i w:val="0"/>
          <w:sz w:val="20"/>
          <w:szCs w:val="20"/>
        </w:rPr>
        <w:t>M</w:t>
      </w:r>
      <w:r w:rsidR="007E0773" w:rsidRPr="007A14DB">
        <w:rPr>
          <w:rFonts w:ascii="Arial" w:hAnsi="Arial" w:cs="Arial"/>
          <w:sz w:val="20"/>
          <w:szCs w:val="20"/>
        </w:rPr>
        <w:t xml:space="preserve">denotes the feedstock mass (g), </w:t>
      </w:r>
      <w:r w:rsidR="007E0773" w:rsidRPr="007A14DB">
        <w:rPr>
          <w:rStyle w:val="Emphasis"/>
          <w:rFonts w:ascii="Arial" w:hAnsi="Arial" w:cs="Arial"/>
          <w:i w:val="0"/>
          <w:sz w:val="20"/>
          <w:szCs w:val="20"/>
        </w:rPr>
        <w:t>Ch</w:t>
      </w:r>
      <w:r w:rsidR="007E0773" w:rsidRPr="007A14DB">
        <w:rPr>
          <w:rFonts w:ascii="Arial" w:hAnsi="Arial" w:cs="Arial"/>
          <w:sz w:val="20"/>
          <w:szCs w:val="20"/>
        </w:rPr>
        <w:t xml:space="preserve">is the biochar yield (%), </w:t>
      </w:r>
      <w:r w:rsidR="007E0773" w:rsidRPr="007A14DB">
        <w:rPr>
          <w:rStyle w:val="Emphasis"/>
          <w:rFonts w:ascii="Arial" w:hAnsi="Arial" w:cs="Arial"/>
          <w:i w:val="0"/>
          <w:sz w:val="20"/>
          <w:szCs w:val="20"/>
        </w:rPr>
        <w:t>C</w:t>
      </w:r>
      <w:r w:rsidR="007E0773" w:rsidRPr="007A14DB">
        <w:rPr>
          <w:rStyle w:val="Emphasis"/>
          <w:rFonts w:ascii="Arial" w:hAnsi="Arial" w:cs="Arial"/>
          <w:i w:val="0"/>
          <w:sz w:val="20"/>
          <w:szCs w:val="20"/>
          <w:vertAlign w:val="subscript"/>
        </w:rPr>
        <w:t>Ch</w:t>
      </w:r>
      <w:r w:rsidR="007E0773" w:rsidRPr="007A14DB">
        <w:rPr>
          <w:rFonts w:ascii="Arial" w:hAnsi="Arial" w:cs="Arial"/>
          <w:sz w:val="20"/>
          <w:szCs w:val="20"/>
        </w:rPr>
        <w:t xml:space="preserve">refers to the carbon content of the biochar, </w:t>
      </w:r>
      <w:r w:rsidR="007E0773" w:rsidRPr="007A14DB">
        <w:rPr>
          <w:rStyle w:val="Emphasis"/>
          <w:rFonts w:ascii="Arial" w:hAnsi="Arial" w:cs="Arial"/>
          <w:i w:val="0"/>
          <w:sz w:val="20"/>
          <w:szCs w:val="20"/>
        </w:rPr>
        <w:t>R</w:t>
      </w:r>
      <w:r w:rsidR="007E0773" w:rsidRPr="007A14DB">
        <w:rPr>
          <w:rStyle w:val="Emphasis"/>
          <w:rFonts w:ascii="Arial" w:cs="Arial"/>
          <w:i w:val="0"/>
          <w:sz w:val="20"/>
          <w:szCs w:val="20"/>
        </w:rPr>
        <w:t>₅₀</w:t>
      </w:r>
      <w:r w:rsidR="007E0773" w:rsidRPr="007A14DB">
        <w:rPr>
          <w:rFonts w:ascii="Arial" w:hAnsi="Arial" w:cs="Arial"/>
          <w:sz w:val="20"/>
          <w:szCs w:val="20"/>
        </w:rPr>
        <w:t xml:space="preserve"> indicates the recalcitrance index, and </w:t>
      </w:r>
      <w:r w:rsidR="007E0773" w:rsidRPr="007A14DB">
        <w:rPr>
          <w:rStyle w:val="Emphasis"/>
          <w:rFonts w:ascii="Arial" w:hAnsi="Arial" w:cs="Arial"/>
          <w:i w:val="0"/>
          <w:sz w:val="20"/>
          <w:szCs w:val="20"/>
        </w:rPr>
        <w:t>C</w:t>
      </w:r>
      <w:r w:rsidR="007E0773" w:rsidRPr="007A14DB">
        <w:rPr>
          <w:rStyle w:val="Emphasis"/>
          <w:rFonts w:ascii="Arial" w:hAnsi="Arial" w:cs="Arial"/>
          <w:i w:val="0"/>
          <w:sz w:val="20"/>
          <w:szCs w:val="20"/>
          <w:vertAlign w:val="subscript"/>
        </w:rPr>
        <w:t>F</w:t>
      </w:r>
      <w:r w:rsidR="007E0773" w:rsidRPr="007A14DB">
        <w:rPr>
          <w:rFonts w:ascii="Arial" w:hAnsi="Arial" w:cs="Arial"/>
          <w:i/>
          <w:sz w:val="20"/>
          <w:szCs w:val="20"/>
        </w:rPr>
        <w:t xml:space="preserve"> c</w:t>
      </w:r>
      <w:r w:rsidR="007E0773" w:rsidRPr="007A14DB">
        <w:rPr>
          <w:rFonts w:ascii="Arial" w:hAnsi="Arial" w:cs="Arial"/>
          <w:sz w:val="20"/>
          <w:szCs w:val="20"/>
        </w:rPr>
        <w:t>orresponds to the carbon content of the original feedstock.</w:t>
      </w:r>
    </w:p>
    <w:p w:rsidR="00C46DEA" w:rsidRPr="007A14DB" w:rsidRDefault="00C46DEA" w:rsidP="007E0773">
      <w:pPr>
        <w:rPr>
          <w:rFonts w:ascii="Arial" w:hAnsi="Arial" w:cs="Arial"/>
          <w:b/>
        </w:rPr>
      </w:pPr>
      <w:r w:rsidRPr="007A14DB">
        <w:rPr>
          <w:rFonts w:ascii="Arial" w:hAnsi="Arial" w:cs="Arial"/>
          <w:b/>
        </w:rPr>
        <w:t>2.2 Soil Fertility Enhancement and Nutrient Cycling</w:t>
      </w:r>
    </w:p>
    <w:p w:rsidR="00C46DEA" w:rsidRPr="00F75624" w:rsidRDefault="00C46DEA" w:rsidP="00C46DEA">
      <w:pPr>
        <w:pStyle w:val="NormalWeb"/>
        <w:jc w:val="both"/>
        <w:rPr>
          <w:rFonts w:ascii="Arial" w:hAnsi="Arial" w:cs="Arial"/>
          <w:sz w:val="20"/>
        </w:rPr>
      </w:pPr>
      <w:r w:rsidRPr="007A14DB">
        <w:rPr>
          <w:rFonts w:ascii="Arial" w:hAnsi="Arial" w:cs="Arial"/>
          <w:sz w:val="20"/>
        </w:rPr>
        <w:t xml:space="preserve">Beyond climate mitigation, biochar is widely recognized for its agronomic benefits. Its porous structure and high surface area </w:t>
      </w:r>
      <w:r w:rsidRPr="00F75624">
        <w:rPr>
          <w:rFonts w:ascii="Arial" w:hAnsi="Arial" w:cs="Arial"/>
          <w:sz w:val="20"/>
        </w:rPr>
        <w:t>improve soil physical properties such as bulk density, aggregate stability, porosity, and water-holding capacity (Lamani</w:t>
      </w:r>
      <w:r w:rsidRPr="00F75624">
        <w:rPr>
          <w:rFonts w:ascii="Arial" w:hAnsi="Arial" w:cs="Arial"/>
          <w:i/>
          <w:sz w:val="20"/>
        </w:rPr>
        <w:t>et al.,</w:t>
      </w:r>
      <w:r w:rsidRPr="00F75624">
        <w:rPr>
          <w:rFonts w:ascii="Arial" w:hAnsi="Arial" w:cs="Arial"/>
          <w:sz w:val="20"/>
        </w:rPr>
        <w:t xml:space="preserve"> 2024; Nandini and Prakasha, 2022). Biochar also enhances soil chemical properties, particularly cation exchange capacity (CEC), leading to improved nutrient retention and reduced leaching losses. Moreover, its addition provides a favorable habitat for microbial colonization, stimulating enzymatic activity and nutrient cycling (Lamani</w:t>
      </w:r>
      <w:r w:rsidRPr="00F75624">
        <w:rPr>
          <w:rFonts w:ascii="Arial" w:hAnsi="Arial" w:cs="Arial"/>
          <w:i/>
          <w:sz w:val="20"/>
        </w:rPr>
        <w:t>et al.,</w:t>
      </w:r>
      <w:r w:rsidRPr="00F75624">
        <w:rPr>
          <w:rFonts w:ascii="Arial" w:hAnsi="Arial" w:cs="Arial"/>
          <w:sz w:val="20"/>
        </w:rPr>
        <w:t xml:space="preserve"> 2024).</w:t>
      </w:r>
    </w:p>
    <w:p w:rsidR="00C46DEA" w:rsidRPr="007A14DB" w:rsidRDefault="007A43C8" w:rsidP="00C46DEA">
      <w:pPr>
        <w:pStyle w:val="NormalWeb"/>
        <w:jc w:val="both"/>
        <w:rPr>
          <w:rFonts w:ascii="Arial" w:hAnsi="Arial" w:cs="Arial"/>
          <w:sz w:val="20"/>
        </w:rPr>
      </w:pPr>
      <w:r>
        <w:rPr>
          <w:rFonts w:ascii="Arial" w:hAnsi="Arial" w:cs="Arial"/>
          <w:sz w:val="20"/>
        </w:rPr>
        <w:t xml:space="preserve">Several field studies </w:t>
      </w:r>
      <w:r w:rsidRPr="007A43C8">
        <w:rPr>
          <w:rFonts w:ascii="Arial" w:hAnsi="Arial" w:cs="Arial"/>
          <w:sz w:val="20"/>
          <w:highlight w:val="yellow"/>
        </w:rPr>
        <w:t>o</w:t>
      </w:r>
      <w:r w:rsidR="00C46DEA" w:rsidRPr="007A43C8">
        <w:rPr>
          <w:rFonts w:ascii="Arial" w:hAnsi="Arial" w:cs="Arial"/>
          <w:sz w:val="20"/>
          <w:highlight w:val="yellow"/>
        </w:rPr>
        <w:t>n</w:t>
      </w:r>
      <w:r w:rsidR="00C46DEA" w:rsidRPr="00F75624">
        <w:rPr>
          <w:rFonts w:ascii="Arial" w:hAnsi="Arial" w:cs="Arial"/>
          <w:sz w:val="20"/>
        </w:rPr>
        <w:t xml:space="preserve"> mulberry-based systems have confirmed that biochar produced from mulberry stalks significantly enhances soil fertility and crop performance (Lamani</w:t>
      </w:r>
      <w:r w:rsidR="00C46DEA" w:rsidRPr="00F75624">
        <w:rPr>
          <w:rFonts w:ascii="Arial" w:hAnsi="Arial" w:cs="Arial"/>
          <w:i/>
          <w:sz w:val="20"/>
        </w:rPr>
        <w:t>et al.,</w:t>
      </w:r>
      <w:r w:rsidR="00C46DEA" w:rsidRPr="00F75624">
        <w:rPr>
          <w:rFonts w:ascii="Arial" w:hAnsi="Arial" w:cs="Arial"/>
          <w:sz w:val="20"/>
        </w:rPr>
        <w:t xml:space="preserve"> 2024; Nandini and Prakasha, 2022). For instance, applications of 7.5–10 t ha</w:t>
      </w:r>
      <w:r w:rsidR="00C46DEA" w:rsidRPr="00F75624">
        <w:rPr>
          <w:rFonts w:cs="Arial"/>
          <w:sz w:val="20"/>
        </w:rPr>
        <w:t>⁻</w:t>
      </w:r>
      <w:r w:rsidR="00C46DEA" w:rsidRPr="00F75624">
        <w:rPr>
          <w:rFonts w:ascii="Arial" w:hAnsi="Arial" w:cs="Arial"/>
          <w:sz w:val="20"/>
        </w:rPr>
        <w:t>¹ mulberry biochar combined with farmyard manure (FYM) improved soil reactivity, water-holding capacity, and available N, P, and K while also enhancing mulberry leaf yield and quality (Lamani</w:t>
      </w:r>
      <w:r w:rsidR="00C46DEA" w:rsidRPr="00F75624">
        <w:rPr>
          <w:rFonts w:ascii="Arial" w:hAnsi="Arial" w:cs="Arial"/>
          <w:i/>
          <w:sz w:val="20"/>
        </w:rPr>
        <w:t>et al.,</w:t>
      </w:r>
      <w:r w:rsidR="00C46DEA" w:rsidRPr="00F75624">
        <w:rPr>
          <w:rFonts w:ascii="Arial" w:hAnsi="Arial" w:cs="Arial"/>
          <w:sz w:val="20"/>
        </w:rPr>
        <w:t xml:space="preserve"> 2024; Nandini and Prakasha, 2022).</w:t>
      </w:r>
    </w:p>
    <w:p w:rsidR="00C46DEA" w:rsidRPr="007A14DB" w:rsidRDefault="00C46DEA" w:rsidP="007A14DB">
      <w:pPr>
        <w:pStyle w:val="Heading3"/>
        <w:rPr>
          <w:rFonts w:ascii="Arial" w:hAnsi="Arial" w:cs="Arial"/>
          <w:sz w:val="24"/>
        </w:rPr>
      </w:pPr>
      <w:r w:rsidRPr="007A14DB">
        <w:rPr>
          <w:rFonts w:ascii="Arial" w:hAnsi="Arial" w:cs="Arial"/>
          <w:sz w:val="22"/>
        </w:rPr>
        <w:t>2.3 Environmental Co-benefits</w:t>
      </w:r>
    </w:p>
    <w:p w:rsidR="00C46DEA" w:rsidRPr="007A14DB" w:rsidRDefault="00C46DEA" w:rsidP="00C46DEA">
      <w:pPr>
        <w:pStyle w:val="NormalWeb"/>
        <w:jc w:val="both"/>
        <w:rPr>
          <w:rFonts w:ascii="Arial" w:hAnsi="Arial" w:cs="Arial"/>
          <w:sz w:val="20"/>
        </w:rPr>
      </w:pPr>
      <w:r w:rsidRPr="007A14DB">
        <w:rPr>
          <w:rFonts w:ascii="Arial" w:hAnsi="Arial" w:cs="Arial"/>
          <w:sz w:val="20"/>
        </w:rPr>
        <w:t>Biochar offers multiple environmental co-benefits beyond carbon sequestration. Its application can suppress N</w:t>
      </w:r>
      <w:r w:rsidRPr="007A14DB">
        <w:rPr>
          <w:rFonts w:cs="Arial"/>
          <w:sz w:val="20"/>
        </w:rPr>
        <w:t>₂</w:t>
      </w:r>
      <w:r w:rsidRPr="007A14DB">
        <w:rPr>
          <w:rFonts w:ascii="Arial" w:hAnsi="Arial" w:cs="Arial"/>
          <w:sz w:val="20"/>
        </w:rPr>
        <w:t>O and CH</w:t>
      </w:r>
      <w:r w:rsidRPr="007A14DB">
        <w:rPr>
          <w:rFonts w:cs="Arial"/>
          <w:sz w:val="20"/>
        </w:rPr>
        <w:t>₄</w:t>
      </w:r>
      <w:r w:rsidRPr="007A14DB">
        <w:rPr>
          <w:rFonts w:ascii="Arial" w:hAnsi="Arial" w:cs="Arial"/>
          <w:sz w:val="20"/>
        </w:rPr>
        <w:t xml:space="preserve"> emissions from soils by modifying aeration, microbial activity, and nutrient dynamics (</w:t>
      </w:r>
      <w:r w:rsidRPr="00F75624">
        <w:rPr>
          <w:rFonts w:ascii="Arial" w:hAnsi="Arial" w:cs="Arial"/>
          <w:sz w:val="20"/>
        </w:rPr>
        <w:t xml:space="preserve">Waters </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2011; Lehmann and Joseph 2009;Spokas</w:t>
      </w:r>
      <w:r w:rsidRPr="00F75624">
        <w:rPr>
          <w:rFonts w:ascii="Arial" w:hAnsi="Arial" w:cs="Arial"/>
          <w:i/>
          <w:sz w:val="20"/>
        </w:rPr>
        <w:t>et al.,</w:t>
      </w:r>
      <w:r w:rsidRPr="00F75624">
        <w:rPr>
          <w:rFonts w:ascii="Arial" w:hAnsi="Arial" w:cs="Arial"/>
          <w:sz w:val="20"/>
        </w:rPr>
        <w:t xml:space="preserve"> 2012; Masek, 2013). From a waste management perspective, pyrolyzing crop residues into biochar avoids open burning, thereby reducing emissions of CO</w:t>
      </w:r>
      <w:r w:rsidRPr="00F75624">
        <w:rPr>
          <w:rFonts w:cs="Arial"/>
          <w:sz w:val="20"/>
        </w:rPr>
        <w:t>₂</w:t>
      </w:r>
      <w:r w:rsidRPr="00F75624">
        <w:rPr>
          <w:rFonts w:ascii="Arial" w:hAnsi="Arial" w:cs="Arial"/>
          <w:sz w:val="20"/>
        </w:rPr>
        <w:t>, CH</w:t>
      </w:r>
      <w:r w:rsidRPr="00F75624">
        <w:rPr>
          <w:rFonts w:cs="Arial"/>
          <w:sz w:val="20"/>
        </w:rPr>
        <w:t>₄</w:t>
      </w:r>
      <w:r w:rsidRPr="00F75624">
        <w:rPr>
          <w:rFonts w:ascii="Arial" w:hAnsi="Arial" w:cs="Arial"/>
          <w:sz w:val="20"/>
        </w:rPr>
        <w:t xml:space="preserve">, and toxic pollutants such as </w:t>
      </w:r>
      <w:r w:rsidR="00FB1481" w:rsidRPr="00F75624">
        <w:rPr>
          <w:rFonts w:ascii="Arial" w:hAnsi="Arial" w:cs="Arial"/>
          <w:sz w:val="20"/>
        </w:rPr>
        <w:t>dioxins (</w:t>
      </w:r>
      <w:r w:rsidRPr="00F75624">
        <w:rPr>
          <w:rFonts w:ascii="Arial" w:hAnsi="Arial" w:cs="Arial"/>
          <w:sz w:val="20"/>
        </w:rPr>
        <w:t>Tan, 2019; Nandini and Prakasha, 2022). Thus, biochar</w:t>
      </w:r>
      <w:r w:rsidRPr="007A14DB">
        <w:rPr>
          <w:rFonts w:ascii="Arial" w:hAnsi="Arial" w:cs="Arial"/>
          <w:sz w:val="20"/>
        </w:rPr>
        <w:t xml:space="preserve"> represents a nexus technology that simultaneously addresses waste valorization, soil degradation, and greenhouse gas mitigation.</w:t>
      </w:r>
    </w:p>
    <w:p w:rsidR="00C46DEA" w:rsidRPr="007A14DB" w:rsidRDefault="000A3F2F" w:rsidP="007A14DB">
      <w:pPr>
        <w:pStyle w:val="Heading3"/>
        <w:rPr>
          <w:rFonts w:ascii="Arial" w:hAnsi="Arial" w:cs="Arial"/>
          <w:sz w:val="22"/>
        </w:rPr>
      </w:pPr>
      <w:r w:rsidRPr="007A14DB">
        <w:rPr>
          <w:rFonts w:ascii="Arial" w:hAnsi="Arial" w:cs="Arial"/>
          <w:sz w:val="22"/>
        </w:rPr>
        <w:lastRenderedPageBreak/>
        <w:t>2.4</w:t>
      </w:r>
      <w:r w:rsidR="00C46DEA" w:rsidRPr="007A14DB">
        <w:rPr>
          <w:rFonts w:ascii="Arial" w:hAnsi="Arial" w:cs="Arial"/>
          <w:sz w:val="22"/>
        </w:rPr>
        <w:t xml:space="preserve"> </w:t>
      </w:r>
      <w:r w:rsidR="007A43C8" w:rsidRPr="007A43C8">
        <w:rPr>
          <w:rFonts w:ascii="Arial" w:hAnsi="Arial" w:cs="Arial"/>
          <w:sz w:val="22"/>
          <w:highlight w:val="yellow"/>
        </w:rPr>
        <w:t>Biochar in the Context of</w:t>
      </w:r>
      <w:r w:rsidR="00C46DEA" w:rsidRPr="007A43C8">
        <w:rPr>
          <w:rFonts w:ascii="Arial" w:hAnsi="Arial" w:cs="Arial"/>
          <w:sz w:val="22"/>
          <w:highlight w:val="yellow"/>
        </w:rPr>
        <w:t xml:space="preserve"> Climate Change Mitigation</w:t>
      </w:r>
    </w:p>
    <w:p w:rsidR="00C46DEA" w:rsidRPr="007A14DB" w:rsidRDefault="00C46DEA" w:rsidP="00C46DEA">
      <w:pPr>
        <w:pStyle w:val="NormalWeb"/>
        <w:jc w:val="both"/>
        <w:rPr>
          <w:rFonts w:ascii="Arial" w:hAnsi="Arial" w:cs="Arial"/>
          <w:sz w:val="20"/>
        </w:rPr>
      </w:pPr>
      <w:r w:rsidRPr="007A14DB">
        <w:rPr>
          <w:rFonts w:ascii="Arial" w:hAnsi="Arial" w:cs="Arial"/>
          <w:sz w:val="20"/>
        </w:rPr>
        <w:t xml:space="preserve">Climate change mitigation requires both </w:t>
      </w:r>
      <w:r w:rsidRPr="007A14DB">
        <w:rPr>
          <w:rStyle w:val="Strong"/>
          <w:rFonts w:ascii="Arial" w:hAnsi="Arial" w:cs="Arial"/>
          <w:b w:val="0"/>
          <w:sz w:val="20"/>
        </w:rPr>
        <w:t>emission reduction at the source</w:t>
      </w:r>
      <w:r w:rsidRPr="007A14DB">
        <w:rPr>
          <w:rFonts w:ascii="Arial" w:hAnsi="Arial" w:cs="Arial"/>
          <w:sz w:val="20"/>
        </w:rPr>
        <w:t>and</w:t>
      </w:r>
      <w:r w:rsidRPr="007A14DB">
        <w:rPr>
          <w:rStyle w:val="Strong"/>
          <w:rFonts w:ascii="Arial" w:hAnsi="Arial" w:cs="Arial"/>
          <w:b w:val="0"/>
          <w:sz w:val="20"/>
        </w:rPr>
        <w:t>removal of already-emitted greenhouse gases</w:t>
      </w:r>
      <w:r w:rsidRPr="007A14DB">
        <w:rPr>
          <w:rFonts w:ascii="Arial" w:hAnsi="Arial" w:cs="Arial"/>
          <w:sz w:val="20"/>
        </w:rPr>
        <w:t xml:space="preserve">. Conventional soil carbon sequestration strategies </w:t>
      </w:r>
      <w:r w:rsidRPr="00BE1DBE">
        <w:rPr>
          <w:rFonts w:ascii="Arial" w:hAnsi="Arial" w:cs="Arial"/>
          <w:sz w:val="20"/>
        </w:rPr>
        <w:t xml:space="preserve">such as agroforestry, afforestation, and conservation tillage, while valuable, are often slow to deliver significant SOC increases (Denman </w:t>
      </w:r>
      <w:r w:rsidRPr="00BE1DBE">
        <w:rPr>
          <w:rFonts w:ascii="Arial" w:hAnsi="Arial" w:cs="Arial"/>
          <w:i/>
          <w:sz w:val="20"/>
        </w:rPr>
        <w:t>et al.,</w:t>
      </w:r>
      <w:r w:rsidRPr="00BE1DBE">
        <w:rPr>
          <w:rFonts w:ascii="Arial" w:hAnsi="Arial" w:cs="Arial"/>
          <w:sz w:val="20"/>
        </w:rPr>
        <w:t xml:space="preserve"> 2007). By contrast, biochar offers a relatively rapid and scalable approach to increasing soil carbon stocks while simultaneously reducing N</w:t>
      </w:r>
      <w:r w:rsidRPr="00BE1DBE">
        <w:rPr>
          <w:rFonts w:cs="Arial"/>
          <w:sz w:val="20"/>
        </w:rPr>
        <w:t>₂</w:t>
      </w:r>
      <w:r w:rsidRPr="00BE1DBE">
        <w:rPr>
          <w:rFonts w:ascii="Arial" w:hAnsi="Arial" w:cs="Arial"/>
          <w:sz w:val="20"/>
        </w:rPr>
        <w:t>O and CH</w:t>
      </w:r>
      <w:r w:rsidRPr="00BE1DBE">
        <w:rPr>
          <w:rFonts w:cs="Arial"/>
          <w:sz w:val="20"/>
        </w:rPr>
        <w:t>₄</w:t>
      </w:r>
      <w:r w:rsidRPr="00BE1DBE">
        <w:rPr>
          <w:rFonts w:ascii="Arial" w:hAnsi="Arial" w:cs="Arial"/>
          <w:sz w:val="20"/>
        </w:rPr>
        <w:t xml:space="preserve"> emissions (Lehmann &amp; Joseph, 2009; Jeffery </w:t>
      </w:r>
      <w:r w:rsidRPr="00BE1DBE">
        <w:rPr>
          <w:rFonts w:ascii="Arial" w:hAnsi="Arial" w:cs="Arial"/>
          <w:i/>
          <w:sz w:val="20"/>
        </w:rPr>
        <w:t>et al.,</w:t>
      </w:r>
      <w:r w:rsidRPr="00BE1DBE">
        <w:rPr>
          <w:rFonts w:ascii="Arial" w:hAnsi="Arial" w:cs="Arial"/>
          <w:sz w:val="20"/>
        </w:rPr>
        <w:t xml:space="preserve"> 2011; Waters </w:t>
      </w:r>
      <w:r w:rsidRPr="00BE1DBE">
        <w:rPr>
          <w:rFonts w:ascii="Arial" w:hAnsi="Arial" w:cs="Arial"/>
          <w:i/>
          <w:sz w:val="20"/>
        </w:rPr>
        <w:t>et al.,</w:t>
      </w:r>
      <w:r w:rsidRPr="00BE1DBE">
        <w:rPr>
          <w:rFonts w:ascii="Arial" w:hAnsi="Arial" w:cs="Arial"/>
          <w:sz w:val="20"/>
        </w:rPr>
        <w:t xml:space="preserve"> 2011; Wang </w:t>
      </w:r>
      <w:r w:rsidRPr="00BE1DBE">
        <w:rPr>
          <w:rFonts w:ascii="Arial" w:hAnsi="Arial" w:cs="Arial"/>
          <w:i/>
          <w:sz w:val="20"/>
        </w:rPr>
        <w:t xml:space="preserve">et al., </w:t>
      </w:r>
      <w:r w:rsidRPr="00BE1DBE">
        <w:rPr>
          <w:rFonts w:ascii="Arial" w:hAnsi="Arial" w:cs="Arial"/>
          <w:sz w:val="20"/>
        </w:rPr>
        <w:t xml:space="preserve">2016; Majumder </w:t>
      </w:r>
      <w:r w:rsidRPr="00BE1DBE">
        <w:rPr>
          <w:rFonts w:ascii="Arial" w:hAnsi="Arial" w:cs="Arial"/>
          <w:i/>
          <w:sz w:val="20"/>
        </w:rPr>
        <w:t>et al.,</w:t>
      </w:r>
      <w:r w:rsidRPr="00BE1DBE">
        <w:rPr>
          <w:rFonts w:ascii="Arial" w:hAnsi="Arial" w:cs="Arial"/>
          <w:sz w:val="20"/>
        </w:rPr>
        <w:t xml:space="preserve"> 2019).</w:t>
      </w:r>
    </w:p>
    <w:p w:rsidR="00921664" w:rsidRPr="007A14DB" w:rsidRDefault="00C46DEA" w:rsidP="00C46DEA">
      <w:pPr>
        <w:pStyle w:val="NormalWeb"/>
        <w:jc w:val="both"/>
        <w:rPr>
          <w:rFonts w:ascii="Arial" w:hAnsi="Arial" w:cs="Arial"/>
          <w:sz w:val="20"/>
        </w:rPr>
      </w:pPr>
      <w:r w:rsidRPr="007A14DB">
        <w:rPr>
          <w:rFonts w:ascii="Arial" w:hAnsi="Arial" w:cs="Arial"/>
          <w:sz w:val="20"/>
        </w:rPr>
        <w:t>In India alone, millions of tonnes of crop residues could be sustainably converted into biochar each year, contributing to soil enrichment and carbon storage (</w:t>
      </w:r>
      <w:r w:rsidRPr="00BE1DBE">
        <w:rPr>
          <w:rFonts w:ascii="Arial" w:hAnsi="Arial" w:cs="Arial"/>
          <w:sz w:val="20"/>
        </w:rPr>
        <w:t xml:space="preserve">Srinivasa Rao </w:t>
      </w:r>
      <w:r w:rsidRPr="00BE1DBE">
        <w:rPr>
          <w:rFonts w:ascii="Arial" w:hAnsi="Arial" w:cs="Arial"/>
          <w:i/>
          <w:sz w:val="20"/>
        </w:rPr>
        <w:t>et al.,</w:t>
      </w:r>
      <w:r w:rsidRPr="00BE1DBE">
        <w:rPr>
          <w:rFonts w:ascii="Arial" w:hAnsi="Arial" w:cs="Arial"/>
          <w:sz w:val="20"/>
        </w:rPr>
        <w:t xml:space="preserve"> 2013; Atkinson </w:t>
      </w:r>
      <w:r w:rsidRPr="00BE1DBE">
        <w:rPr>
          <w:rFonts w:ascii="Arial" w:hAnsi="Arial" w:cs="Arial"/>
          <w:i/>
          <w:sz w:val="20"/>
        </w:rPr>
        <w:t>et al.,</w:t>
      </w:r>
      <w:r w:rsidRPr="00BE1DBE">
        <w:rPr>
          <w:rFonts w:ascii="Arial" w:hAnsi="Arial" w:cs="Arial"/>
          <w:sz w:val="20"/>
        </w:rPr>
        <w:t xml:space="preserve"> 2010).</w:t>
      </w:r>
      <w:r w:rsidRPr="007A14DB">
        <w:rPr>
          <w:rFonts w:ascii="Arial" w:hAnsi="Arial" w:cs="Arial"/>
          <w:sz w:val="20"/>
        </w:rPr>
        <w:t xml:space="preserve"> Mulberry stalk biochar, in particular, exemplifies this dual potential: as a sustainable waste management solution and as an untapped contributor to global carbon sequestration strategies.</w:t>
      </w:r>
    </w:p>
    <w:p w:rsidR="00921664" w:rsidRDefault="00921664" w:rsidP="00C46DEA">
      <w:pPr>
        <w:pStyle w:val="NormalWeb"/>
        <w:jc w:val="both"/>
      </w:pPr>
      <w:r>
        <w:rPr>
          <w:noProof/>
        </w:rPr>
        <w:drawing>
          <wp:inline distT="0" distB="0" distL="0" distR="0">
            <wp:extent cx="5715000" cy="43815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46DEA" w:rsidRPr="00365636" w:rsidRDefault="00921664" w:rsidP="00C46DEA">
      <w:pPr>
        <w:spacing w:before="100" w:beforeAutospacing="1" w:after="100" w:afterAutospacing="1" w:line="240" w:lineRule="auto"/>
        <w:rPr>
          <w:rFonts w:ascii="Times New Roman" w:eastAsia="Times New Roman" w:hAnsi="Times New Roman" w:cs="Times New Roman"/>
          <w:b/>
          <w:sz w:val="24"/>
          <w:szCs w:val="24"/>
        </w:rPr>
      </w:pPr>
      <w:r w:rsidRPr="00861A19">
        <w:rPr>
          <w:rFonts w:ascii="Arial" w:eastAsia="Times New Roman" w:hAnsi="Arial" w:cs="Arial"/>
          <w:b/>
          <w:sz w:val="20"/>
          <w:szCs w:val="20"/>
        </w:rPr>
        <w:t>Fig. 1.</w:t>
      </w:r>
      <w:r w:rsidR="00C46DEA" w:rsidRPr="00861A19">
        <w:rPr>
          <w:rFonts w:ascii="Arial" w:hAnsi="Arial" w:cs="Arial"/>
          <w:b/>
          <w:sz w:val="20"/>
          <w:szCs w:val="20"/>
        </w:rPr>
        <w:t>Environmental benefits of biochar application in to the soi</w:t>
      </w:r>
      <w:r w:rsidR="00C46DEA" w:rsidRPr="00365636">
        <w:rPr>
          <w:b/>
        </w:rPr>
        <w:t>l</w:t>
      </w:r>
    </w:p>
    <w:p w:rsidR="00C46DEA" w:rsidRPr="007A14DB" w:rsidRDefault="001B208C" w:rsidP="007A14DB">
      <w:pPr>
        <w:spacing w:before="100" w:beforeAutospacing="1" w:after="100" w:afterAutospacing="1" w:line="240" w:lineRule="auto"/>
        <w:rPr>
          <w:rFonts w:ascii="Arial" w:eastAsia="Times New Roman" w:hAnsi="Arial" w:cs="Arial"/>
          <w:b/>
          <w:szCs w:val="24"/>
        </w:rPr>
      </w:pPr>
      <w:r w:rsidRPr="007A14DB">
        <w:rPr>
          <w:rFonts w:ascii="Arial" w:eastAsia="Times New Roman" w:hAnsi="Arial" w:cs="Arial"/>
          <w:b/>
          <w:szCs w:val="24"/>
        </w:rPr>
        <w:t xml:space="preserve">3. </w:t>
      </w:r>
      <w:r w:rsidR="00AF0262" w:rsidRPr="007A14DB">
        <w:rPr>
          <w:rFonts w:ascii="Arial" w:eastAsia="Times New Roman" w:hAnsi="Arial" w:cs="Arial"/>
          <w:b/>
          <w:szCs w:val="24"/>
        </w:rPr>
        <w:t xml:space="preserve">BIOCHAR </w:t>
      </w:r>
      <w:r w:rsidR="00C46DEA" w:rsidRPr="007A14DB">
        <w:rPr>
          <w:rFonts w:ascii="Arial" w:eastAsia="Times New Roman" w:hAnsi="Arial" w:cs="Arial"/>
          <w:b/>
          <w:szCs w:val="24"/>
        </w:rPr>
        <w:t>PRODUCTION PROCESS</w:t>
      </w:r>
    </w:p>
    <w:p w:rsidR="003A51D0" w:rsidRPr="00BE1DBE" w:rsidRDefault="003A51D0" w:rsidP="00625F38">
      <w:pPr>
        <w:pStyle w:val="NormalWeb"/>
        <w:jc w:val="both"/>
        <w:rPr>
          <w:rFonts w:ascii="Arial" w:hAnsi="Arial" w:cs="Arial"/>
          <w:sz w:val="20"/>
        </w:rPr>
      </w:pPr>
      <w:r w:rsidRPr="007A14DB">
        <w:rPr>
          <w:rFonts w:ascii="Arial" w:hAnsi="Arial" w:cs="Arial"/>
          <w:sz w:val="20"/>
        </w:rPr>
        <w:t>Biochar is a dark, fine-grained, and lightweight substance with a porous structure and large specific surface area. Its chemical composition includes both stable carbon fractions and ash-derived minerals such as hydrogen, oxygen, sulfur, nitrogen, potassium, and calcium (</w:t>
      </w:r>
      <w:r w:rsidRPr="00BE1DBE">
        <w:rPr>
          <w:rFonts w:ascii="Arial" w:hAnsi="Arial" w:cs="Arial"/>
          <w:sz w:val="20"/>
        </w:rPr>
        <w:t xml:space="preserve">Lehmann and Joseph, 2009; Ahmad </w:t>
      </w:r>
      <w:r w:rsidRPr="00BE1DBE">
        <w:rPr>
          <w:rFonts w:ascii="Arial" w:hAnsi="Arial" w:cs="Arial"/>
          <w:i/>
          <w:sz w:val="20"/>
        </w:rPr>
        <w:t>et al.,</w:t>
      </w:r>
      <w:r w:rsidRPr="00BE1DBE">
        <w:rPr>
          <w:rFonts w:ascii="Arial" w:hAnsi="Arial" w:cs="Arial"/>
          <w:sz w:val="20"/>
        </w:rPr>
        <w:t xml:space="preserve"> 2014). The alkaline nature of most biochars contributes positively to soil chemical properties, particularly by increasing pH and enhancing nutrient availability (Jeffery </w:t>
      </w:r>
      <w:r w:rsidRPr="00BE1DBE">
        <w:rPr>
          <w:rFonts w:ascii="Arial" w:hAnsi="Arial" w:cs="Arial"/>
          <w:i/>
          <w:sz w:val="20"/>
        </w:rPr>
        <w:t>et al.,</w:t>
      </w:r>
      <w:r w:rsidRPr="00BE1DBE">
        <w:rPr>
          <w:rFonts w:ascii="Arial" w:hAnsi="Arial" w:cs="Arial"/>
          <w:sz w:val="20"/>
        </w:rPr>
        <w:t xml:space="preserve"> 2011).</w:t>
      </w:r>
    </w:p>
    <w:p w:rsidR="00F93EE3" w:rsidRPr="00BE1DBE" w:rsidRDefault="001B208C" w:rsidP="007A14DB">
      <w:pPr>
        <w:pStyle w:val="Heading3"/>
        <w:rPr>
          <w:rFonts w:ascii="Arial" w:hAnsi="Arial" w:cs="Arial"/>
          <w:sz w:val="24"/>
        </w:rPr>
      </w:pPr>
      <w:r w:rsidRPr="00BE1DBE">
        <w:rPr>
          <w:rFonts w:ascii="Arial" w:hAnsi="Arial" w:cs="Arial"/>
          <w:sz w:val="22"/>
        </w:rPr>
        <w:lastRenderedPageBreak/>
        <w:t>3.1</w:t>
      </w:r>
      <w:r w:rsidR="00F93EE3" w:rsidRPr="00BE1DBE">
        <w:rPr>
          <w:rFonts w:ascii="Arial" w:hAnsi="Arial" w:cs="Arial"/>
          <w:sz w:val="22"/>
        </w:rPr>
        <w:t xml:space="preserve"> Feedstocks for Biochar Production</w:t>
      </w:r>
    </w:p>
    <w:p w:rsidR="003A51D0" w:rsidRPr="007A14DB" w:rsidRDefault="003A51D0" w:rsidP="00625F38">
      <w:pPr>
        <w:pStyle w:val="NormalWeb"/>
        <w:jc w:val="both"/>
        <w:rPr>
          <w:rFonts w:ascii="Arial" w:hAnsi="Arial" w:cs="Arial"/>
          <w:sz w:val="20"/>
        </w:rPr>
      </w:pPr>
      <w:r w:rsidRPr="00BE1DBE">
        <w:rPr>
          <w:rFonts w:ascii="Arial" w:hAnsi="Arial" w:cs="Arial"/>
          <w:sz w:val="20"/>
        </w:rPr>
        <w:t>A wide variety of organic residues can serve as feedstocks for biochar production. These include agricultural wastes (e.g., crop residues, grasses, mulberry stalks, wood chips), forestry residues, animal manures, sewage sludge, and food-processing wastes (Lehmann and Joseph, 2009; Beesley</w:t>
      </w:r>
      <w:r w:rsidRPr="00BE1DBE">
        <w:rPr>
          <w:rFonts w:ascii="Arial" w:hAnsi="Arial" w:cs="Arial"/>
          <w:i/>
          <w:sz w:val="20"/>
        </w:rPr>
        <w:t>et al.,</w:t>
      </w:r>
      <w:r w:rsidRPr="00BE1DBE">
        <w:rPr>
          <w:rFonts w:ascii="Arial" w:hAnsi="Arial" w:cs="Arial"/>
          <w:sz w:val="20"/>
        </w:rPr>
        <w:t xml:space="preserve"> 2011). Valorization of such materials through biochar production not only mitigates waste management challenges but also provides a pathway for sustainable soil amendment. In sericulture regions, mulberry stalks represent a particularly promising lignocellulosic feedstock due to their high availability and structural composition (Nandini and Prakasha, 2022).</w:t>
      </w:r>
    </w:p>
    <w:p w:rsidR="00F93EE3" w:rsidRPr="007A14DB" w:rsidRDefault="001B208C" w:rsidP="007A14DB">
      <w:pPr>
        <w:pStyle w:val="Heading3"/>
        <w:rPr>
          <w:rFonts w:ascii="Arial" w:hAnsi="Arial" w:cs="Arial"/>
          <w:sz w:val="22"/>
          <w:szCs w:val="22"/>
        </w:rPr>
      </w:pPr>
      <w:r w:rsidRPr="007A14DB">
        <w:rPr>
          <w:rFonts w:ascii="Arial" w:hAnsi="Arial" w:cs="Arial"/>
          <w:sz w:val="22"/>
          <w:szCs w:val="22"/>
        </w:rPr>
        <w:t xml:space="preserve">3.2 </w:t>
      </w:r>
      <w:r w:rsidR="00F93EE3" w:rsidRPr="007A14DB">
        <w:rPr>
          <w:rFonts w:ascii="Arial" w:hAnsi="Arial" w:cs="Arial"/>
          <w:sz w:val="22"/>
          <w:szCs w:val="22"/>
        </w:rPr>
        <w:t>Thermochemical Pathways</w:t>
      </w:r>
    </w:p>
    <w:p w:rsidR="00625F38" w:rsidRPr="007A14DB" w:rsidRDefault="00625F38" w:rsidP="00625F38">
      <w:pPr>
        <w:pStyle w:val="NormalWeb"/>
        <w:jc w:val="both"/>
        <w:rPr>
          <w:rFonts w:ascii="Arial" w:hAnsi="Arial" w:cs="Arial"/>
          <w:sz w:val="20"/>
        </w:rPr>
      </w:pPr>
      <w:r w:rsidRPr="007A14DB">
        <w:rPr>
          <w:rFonts w:ascii="Arial" w:hAnsi="Arial" w:cs="Arial"/>
          <w:sz w:val="20"/>
        </w:rPr>
        <w:t xml:space="preserve">Biochar production occurs primarily via </w:t>
      </w:r>
      <w:r w:rsidRPr="007A14DB">
        <w:rPr>
          <w:rStyle w:val="Strong"/>
          <w:rFonts w:ascii="Arial" w:hAnsi="Arial" w:cs="Arial"/>
          <w:b w:val="0"/>
          <w:sz w:val="20"/>
        </w:rPr>
        <w:t>thermochemical conversion</w:t>
      </w:r>
      <w:r w:rsidRPr="007A14DB">
        <w:rPr>
          <w:rFonts w:ascii="Arial" w:hAnsi="Arial" w:cs="Arial"/>
          <w:sz w:val="20"/>
        </w:rPr>
        <w:t>, most notably pyrolysis, though other processes such as gasification and hydrothermal carbonization (HTC) are also applied.</w:t>
      </w:r>
    </w:p>
    <w:p w:rsidR="00625F38" w:rsidRPr="00BE1DBE" w:rsidRDefault="00625F38" w:rsidP="003D5696">
      <w:pPr>
        <w:pStyle w:val="NormalWeb"/>
        <w:numPr>
          <w:ilvl w:val="2"/>
          <w:numId w:val="9"/>
        </w:numPr>
        <w:spacing w:after="240" w:afterAutospacing="0"/>
        <w:ind w:left="284" w:hanging="284"/>
        <w:jc w:val="both"/>
        <w:rPr>
          <w:rFonts w:ascii="Arial" w:hAnsi="Arial" w:cs="Arial"/>
          <w:sz w:val="20"/>
        </w:rPr>
      </w:pPr>
      <w:r w:rsidRPr="007A14DB">
        <w:rPr>
          <w:rStyle w:val="Strong"/>
          <w:rFonts w:ascii="Arial" w:hAnsi="Arial" w:cs="Arial"/>
          <w:sz w:val="20"/>
        </w:rPr>
        <w:t xml:space="preserve">Pyrolysis: </w:t>
      </w:r>
      <w:r w:rsidRPr="007A14DB">
        <w:rPr>
          <w:rStyle w:val="Strong"/>
          <w:rFonts w:ascii="Arial" w:hAnsi="Arial" w:cs="Arial"/>
          <w:b w:val="0"/>
          <w:sz w:val="20"/>
        </w:rPr>
        <w:t>It</w:t>
      </w:r>
      <w:r w:rsidRPr="007A14DB">
        <w:rPr>
          <w:rFonts w:ascii="Arial" w:hAnsi="Arial" w:cs="Arial"/>
          <w:sz w:val="20"/>
        </w:rPr>
        <w:t xml:space="preserve"> is the oldest and most widely adopted process for biochar production. It invo</w:t>
      </w:r>
      <w:r w:rsidR="007A43C8">
        <w:rPr>
          <w:rFonts w:ascii="Arial" w:hAnsi="Arial" w:cs="Arial"/>
          <w:sz w:val="20"/>
        </w:rPr>
        <w:t>lves heating biomass at 300–</w:t>
      </w:r>
      <w:r w:rsidR="007A43C8" w:rsidRPr="007A43C8">
        <w:rPr>
          <w:rFonts w:ascii="Arial" w:hAnsi="Arial" w:cs="Arial"/>
          <w:sz w:val="20"/>
          <w:highlight w:val="yellow"/>
        </w:rPr>
        <w:t>700</w:t>
      </w:r>
      <w:r w:rsidRPr="007A43C8">
        <w:rPr>
          <w:rFonts w:ascii="Arial" w:hAnsi="Arial" w:cs="Arial"/>
          <w:sz w:val="20"/>
          <w:highlight w:val="yellow"/>
        </w:rPr>
        <w:t>°C</w:t>
      </w:r>
      <w:r w:rsidRPr="007A14DB">
        <w:rPr>
          <w:rFonts w:ascii="Arial" w:hAnsi="Arial" w:cs="Arial"/>
          <w:sz w:val="20"/>
        </w:rPr>
        <w:t xml:space="preserve"> in limited or no oxygen (</w:t>
      </w:r>
      <w:r w:rsidRPr="00BE1DBE">
        <w:rPr>
          <w:rFonts w:ascii="Arial" w:hAnsi="Arial" w:cs="Arial"/>
          <w:sz w:val="20"/>
        </w:rPr>
        <w:t xml:space="preserve">Lehmann </w:t>
      </w:r>
      <w:r w:rsidR="003843E6" w:rsidRPr="00BE1DBE">
        <w:rPr>
          <w:rFonts w:ascii="Arial" w:hAnsi="Arial" w:cs="Arial"/>
          <w:sz w:val="20"/>
        </w:rPr>
        <w:t>and</w:t>
      </w:r>
      <w:r w:rsidRPr="00BE1DBE">
        <w:rPr>
          <w:rFonts w:ascii="Arial" w:hAnsi="Arial" w:cs="Arial"/>
          <w:sz w:val="20"/>
        </w:rPr>
        <w:t xml:space="preserve"> Joseph, 2009). The process yields three main products- Biochar, bio-oil and syngas</w:t>
      </w:r>
      <w:r w:rsidR="00921664" w:rsidRPr="00BE1DBE">
        <w:rPr>
          <w:rFonts w:ascii="Arial" w:hAnsi="Arial" w:cs="Arial"/>
          <w:sz w:val="20"/>
        </w:rPr>
        <w:t xml:space="preserve"> (Fig.2</w:t>
      </w:r>
      <w:r w:rsidR="003843E6" w:rsidRPr="00BE1DBE">
        <w:rPr>
          <w:rFonts w:ascii="Arial" w:hAnsi="Arial" w:cs="Arial"/>
          <w:sz w:val="20"/>
        </w:rPr>
        <w:t>).</w:t>
      </w:r>
    </w:p>
    <w:p w:rsidR="00625F38" w:rsidRPr="00BE1DBE" w:rsidRDefault="00625F38" w:rsidP="003D5696">
      <w:pPr>
        <w:pStyle w:val="NormalWeb"/>
        <w:numPr>
          <w:ilvl w:val="3"/>
          <w:numId w:val="9"/>
        </w:numPr>
        <w:spacing w:after="240" w:afterAutospacing="0"/>
        <w:ind w:left="284" w:hanging="284"/>
        <w:jc w:val="both"/>
        <w:rPr>
          <w:rFonts w:ascii="Arial" w:hAnsi="Arial" w:cs="Arial"/>
          <w:sz w:val="20"/>
        </w:rPr>
      </w:pPr>
      <w:r w:rsidRPr="00BE1DBE">
        <w:rPr>
          <w:rStyle w:val="Strong"/>
          <w:rFonts w:ascii="Arial" w:hAnsi="Arial" w:cs="Arial"/>
          <w:sz w:val="20"/>
        </w:rPr>
        <w:t xml:space="preserve">Slow Pyrolysis: </w:t>
      </w:r>
      <w:r w:rsidR="007A43C8">
        <w:rPr>
          <w:rFonts w:ascii="Arial" w:hAnsi="Arial" w:cs="Arial"/>
          <w:sz w:val="20"/>
        </w:rPr>
        <w:t xml:space="preserve"> (300–</w:t>
      </w:r>
      <w:r w:rsidR="007A43C8" w:rsidRPr="007A43C8">
        <w:rPr>
          <w:rFonts w:ascii="Arial" w:hAnsi="Arial" w:cs="Arial"/>
          <w:sz w:val="20"/>
          <w:highlight w:val="yellow"/>
        </w:rPr>
        <w:t>600</w:t>
      </w:r>
      <w:r w:rsidRPr="007A43C8">
        <w:rPr>
          <w:rFonts w:ascii="Arial" w:hAnsi="Arial" w:cs="Arial"/>
          <w:sz w:val="20"/>
          <w:highlight w:val="yellow"/>
        </w:rPr>
        <w:t>°C</w:t>
      </w:r>
      <w:r w:rsidRPr="00BE1DBE">
        <w:rPr>
          <w:rFonts w:ascii="Arial" w:hAnsi="Arial" w:cs="Arial"/>
          <w:sz w:val="20"/>
        </w:rPr>
        <w:t xml:space="preserve">, residence time: minutes to hours) produces higher yields of biochar (25–35% of feedstock mass) but lower amounts of bio-oil (Lehmann and Joseph, 2009; Woolf </w:t>
      </w:r>
      <w:r w:rsidRPr="00BE1DBE">
        <w:rPr>
          <w:rFonts w:ascii="Arial" w:hAnsi="Arial" w:cs="Arial"/>
          <w:i/>
          <w:sz w:val="20"/>
        </w:rPr>
        <w:t>et al.,</w:t>
      </w:r>
      <w:r w:rsidRPr="00BE1DBE">
        <w:rPr>
          <w:rFonts w:ascii="Arial" w:hAnsi="Arial" w:cs="Arial"/>
          <w:sz w:val="20"/>
        </w:rPr>
        <w:t xml:space="preserve"> 2010).</w:t>
      </w:r>
    </w:p>
    <w:p w:rsidR="00625F38" w:rsidRPr="00BE1DBE" w:rsidRDefault="00625F38" w:rsidP="003D5696">
      <w:pPr>
        <w:pStyle w:val="NormalWeb"/>
        <w:numPr>
          <w:ilvl w:val="3"/>
          <w:numId w:val="9"/>
        </w:numPr>
        <w:spacing w:after="240" w:afterAutospacing="0"/>
        <w:ind w:left="284" w:hanging="284"/>
        <w:jc w:val="both"/>
        <w:rPr>
          <w:rFonts w:ascii="Arial" w:hAnsi="Arial" w:cs="Arial"/>
          <w:sz w:val="20"/>
        </w:rPr>
      </w:pPr>
      <w:r w:rsidRPr="00BE1DBE">
        <w:rPr>
          <w:rStyle w:val="Strong"/>
          <w:rFonts w:ascii="Arial" w:hAnsi="Arial" w:cs="Arial"/>
          <w:sz w:val="20"/>
        </w:rPr>
        <w:t>Fast Pyrolysis:</w:t>
      </w:r>
      <w:r w:rsidR="007A43C8">
        <w:rPr>
          <w:rFonts w:ascii="Arial" w:hAnsi="Arial" w:cs="Arial"/>
          <w:sz w:val="20"/>
        </w:rPr>
        <w:t xml:space="preserve"> (400–</w:t>
      </w:r>
      <w:r w:rsidR="007A43C8" w:rsidRPr="007A43C8">
        <w:rPr>
          <w:rFonts w:ascii="Arial" w:hAnsi="Arial" w:cs="Arial"/>
          <w:sz w:val="20"/>
          <w:highlight w:val="yellow"/>
        </w:rPr>
        <w:t>650</w:t>
      </w:r>
      <w:r w:rsidRPr="007A43C8">
        <w:rPr>
          <w:rFonts w:ascii="Arial" w:hAnsi="Arial" w:cs="Arial"/>
          <w:sz w:val="20"/>
          <w:highlight w:val="yellow"/>
        </w:rPr>
        <w:t>°C</w:t>
      </w:r>
      <w:r w:rsidRPr="00BE1DBE">
        <w:rPr>
          <w:rFonts w:ascii="Arial" w:hAnsi="Arial" w:cs="Arial"/>
          <w:sz w:val="20"/>
        </w:rPr>
        <w:t>, residence time: seconds) yields up to ~75% bio-oil, with less biochar (~10–20%) (Bridgwater, 2012).</w:t>
      </w:r>
    </w:p>
    <w:p w:rsidR="00625F38" w:rsidRPr="00BE1DBE" w:rsidRDefault="00625F38" w:rsidP="003D5696">
      <w:pPr>
        <w:pStyle w:val="NormalWeb"/>
        <w:numPr>
          <w:ilvl w:val="2"/>
          <w:numId w:val="9"/>
        </w:numPr>
        <w:spacing w:after="240" w:afterAutospacing="0"/>
        <w:ind w:left="284" w:hanging="284"/>
        <w:jc w:val="both"/>
        <w:rPr>
          <w:rFonts w:ascii="Arial" w:hAnsi="Arial" w:cs="Arial"/>
          <w:sz w:val="20"/>
        </w:rPr>
      </w:pPr>
      <w:r w:rsidRPr="00BE1DBE">
        <w:rPr>
          <w:rStyle w:val="Strong"/>
          <w:rFonts w:ascii="Arial" w:hAnsi="Arial" w:cs="Arial"/>
          <w:sz w:val="20"/>
        </w:rPr>
        <w:t>Gasification:</w:t>
      </w:r>
      <w:r w:rsidR="007A43C8">
        <w:rPr>
          <w:rFonts w:ascii="Arial" w:hAnsi="Arial" w:cs="Arial"/>
          <w:sz w:val="20"/>
        </w:rPr>
        <w:t xml:space="preserve"> (700–</w:t>
      </w:r>
      <w:r w:rsidR="007A43C8" w:rsidRPr="007A43C8">
        <w:rPr>
          <w:rFonts w:ascii="Arial" w:hAnsi="Arial" w:cs="Arial"/>
          <w:sz w:val="20"/>
          <w:highlight w:val="yellow"/>
        </w:rPr>
        <w:t>1000</w:t>
      </w:r>
      <w:r w:rsidRPr="007A43C8">
        <w:rPr>
          <w:rFonts w:ascii="Arial" w:hAnsi="Arial" w:cs="Arial"/>
          <w:sz w:val="20"/>
          <w:highlight w:val="yellow"/>
        </w:rPr>
        <w:t>°C</w:t>
      </w:r>
      <w:r w:rsidRPr="00BE1DBE">
        <w:rPr>
          <w:rFonts w:ascii="Arial" w:hAnsi="Arial" w:cs="Arial"/>
          <w:sz w:val="20"/>
        </w:rPr>
        <w:t xml:space="preserve">, partial oxygen) primarily produces syngas, with minimal biochar (&lt;10%) (Ahmad </w:t>
      </w:r>
      <w:r w:rsidRPr="00BE1DBE">
        <w:rPr>
          <w:rFonts w:ascii="Arial" w:hAnsi="Arial" w:cs="Arial"/>
          <w:i/>
          <w:sz w:val="20"/>
        </w:rPr>
        <w:t>et al.,</w:t>
      </w:r>
      <w:r w:rsidRPr="00BE1DBE">
        <w:rPr>
          <w:rFonts w:ascii="Arial" w:hAnsi="Arial" w:cs="Arial"/>
          <w:sz w:val="20"/>
        </w:rPr>
        <w:t xml:space="preserve"> 2014).</w:t>
      </w:r>
    </w:p>
    <w:p w:rsidR="00625F38" w:rsidRPr="00BE1DBE" w:rsidRDefault="00625F38" w:rsidP="003D5696">
      <w:pPr>
        <w:pStyle w:val="NormalWeb"/>
        <w:numPr>
          <w:ilvl w:val="2"/>
          <w:numId w:val="9"/>
        </w:numPr>
        <w:spacing w:after="240" w:afterAutospacing="0"/>
        <w:ind w:left="284" w:hanging="284"/>
        <w:jc w:val="both"/>
        <w:rPr>
          <w:rFonts w:ascii="Arial" w:hAnsi="Arial" w:cs="Arial"/>
          <w:sz w:val="20"/>
        </w:rPr>
      </w:pPr>
      <w:r w:rsidRPr="00BE1DBE">
        <w:rPr>
          <w:rStyle w:val="Strong"/>
          <w:rFonts w:ascii="Arial" w:hAnsi="Arial" w:cs="Arial"/>
          <w:sz w:val="20"/>
        </w:rPr>
        <w:t>Hydrothermal carbonization (HTC):</w:t>
      </w:r>
      <w:r w:rsidR="007A43C8">
        <w:rPr>
          <w:rFonts w:ascii="Arial" w:hAnsi="Arial" w:cs="Arial"/>
          <w:sz w:val="20"/>
        </w:rPr>
        <w:t xml:space="preserve"> (180–</w:t>
      </w:r>
      <w:r w:rsidR="007A43C8" w:rsidRPr="007A43C8">
        <w:rPr>
          <w:rFonts w:ascii="Arial" w:hAnsi="Arial" w:cs="Arial"/>
          <w:sz w:val="20"/>
          <w:highlight w:val="yellow"/>
        </w:rPr>
        <w:t>250</w:t>
      </w:r>
      <w:r w:rsidRPr="007A43C8">
        <w:rPr>
          <w:rFonts w:ascii="Arial" w:hAnsi="Arial" w:cs="Arial"/>
          <w:sz w:val="20"/>
          <w:highlight w:val="yellow"/>
        </w:rPr>
        <w:t>°C</w:t>
      </w:r>
      <w:r w:rsidRPr="00BE1DBE">
        <w:rPr>
          <w:rFonts w:ascii="Arial" w:hAnsi="Arial" w:cs="Arial"/>
          <w:sz w:val="20"/>
        </w:rPr>
        <w:t xml:space="preserve">, wet medium, pressurized conditions) generates hydrochar, which has lower aromaticity and stability compared to pyrochar (Libra </w:t>
      </w:r>
      <w:r w:rsidRPr="00BE1DBE">
        <w:rPr>
          <w:rFonts w:ascii="Arial" w:hAnsi="Arial" w:cs="Arial"/>
          <w:i/>
          <w:sz w:val="20"/>
        </w:rPr>
        <w:t>et al.,</w:t>
      </w:r>
      <w:r w:rsidRPr="00BE1DBE">
        <w:rPr>
          <w:rFonts w:ascii="Arial" w:hAnsi="Arial" w:cs="Arial"/>
          <w:sz w:val="20"/>
        </w:rPr>
        <w:t xml:space="preserve"> 2011).</w:t>
      </w:r>
    </w:p>
    <w:p w:rsidR="003D5696" w:rsidRPr="007A14DB" w:rsidRDefault="00F93EE3" w:rsidP="00625F38">
      <w:pPr>
        <w:pStyle w:val="NormalWeb"/>
        <w:jc w:val="both"/>
        <w:rPr>
          <w:rFonts w:ascii="Arial" w:hAnsi="Arial" w:cs="Arial"/>
          <w:sz w:val="20"/>
        </w:rPr>
      </w:pPr>
      <w:r w:rsidRPr="007A14DB">
        <w:rPr>
          <w:rFonts w:ascii="Arial" w:hAnsi="Arial" w:cs="Arial"/>
          <w:sz w:val="20"/>
        </w:rPr>
        <w:t xml:space="preserve">Among these, </w:t>
      </w:r>
      <w:r w:rsidRPr="007A14DB">
        <w:rPr>
          <w:rStyle w:val="Strong"/>
          <w:rFonts w:ascii="Arial" w:hAnsi="Arial" w:cs="Arial"/>
          <w:b w:val="0"/>
          <w:sz w:val="20"/>
        </w:rPr>
        <w:t>slow pyrolysis</w:t>
      </w:r>
      <w:r w:rsidRPr="007A14DB">
        <w:rPr>
          <w:rFonts w:ascii="Arial" w:hAnsi="Arial" w:cs="Arial"/>
          <w:sz w:val="20"/>
        </w:rPr>
        <w:t xml:space="preserve"> is the preferred method for maximizing biochar production for carbon sequestration and soil application.</w:t>
      </w:r>
    </w:p>
    <w:p w:rsidR="003D5696" w:rsidRPr="007A14DB" w:rsidRDefault="003D5696" w:rsidP="007A14DB">
      <w:pPr>
        <w:pStyle w:val="Heading3"/>
        <w:rPr>
          <w:rFonts w:ascii="Arial" w:hAnsi="Arial" w:cs="Arial"/>
          <w:sz w:val="22"/>
        </w:rPr>
      </w:pPr>
      <w:r w:rsidRPr="007A14DB">
        <w:rPr>
          <w:rFonts w:ascii="Arial" w:hAnsi="Arial" w:cs="Arial"/>
          <w:sz w:val="22"/>
        </w:rPr>
        <w:t>3.3 Influence of Feedstock and Pyrolysis Conditions</w:t>
      </w:r>
    </w:p>
    <w:p w:rsidR="003D5696" w:rsidRPr="007A14DB" w:rsidRDefault="003D5696" w:rsidP="003D5696">
      <w:pPr>
        <w:pStyle w:val="NormalWeb"/>
        <w:jc w:val="both"/>
        <w:rPr>
          <w:rFonts w:ascii="Arial" w:hAnsi="Arial" w:cs="Arial"/>
          <w:sz w:val="20"/>
        </w:rPr>
      </w:pPr>
      <w:r w:rsidRPr="007A14DB">
        <w:rPr>
          <w:rFonts w:ascii="Arial" w:hAnsi="Arial" w:cs="Arial"/>
          <w:sz w:val="20"/>
        </w:rPr>
        <w:t>The properties of biochar are strongly feedstock- and process-dependent. Woody biomass generally yields biochar with higher fixed carbon content and greater stability, while crop residues and manures produce nutrient-rich but less recalcitrant biochars. Pyrolysis temperature is a critical parameter, higher temperatures enhance aromaticity, pH, and carbon stability but reduce biochar yield.</w:t>
      </w:r>
    </w:p>
    <w:p w:rsidR="003A51D0" w:rsidRPr="007A14DB" w:rsidRDefault="003D5696" w:rsidP="00625F38">
      <w:pPr>
        <w:pStyle w:val="NormalWeb"/>
        <w:jc w:val="both"/>
        <w:rPr>
          <w:rFonts w:ascii="Arial" w:hAnsi="Arial" w:cs="Arial"/>
          <w:sz w:val="20"/>
        </w:rPr>
      </w:pPr>
      <w:r w:rsidRPr="007A14DB">
        <w:rPr>
          <w:rFonts w:ascii="Arial" w:hAnsi="Arial" w:cs="Arial"/>
          <w:sz w:val="20"/>
        </w:rPr>
        <w:t>Mulberry stalks, abundant byproducts of sericulture, are increasingly recognized as a promising feedstock. Their lignocellulosic composition results in biochars with favorable structural and chemical properties for soil application. Valorizing mulberry residues for biochar production thus offers dual benefits: effective waste management and production of high-quality soil amendments.</w:t>
      </w:r>
    </w:p>
    <w:p w:rsidR="00F93EE3" w:rsidRPr="007A14DB" w:rsidRDefault="00F93EE3" w:rsidP="007A14DB">
      <w:pPr>
        <w:pStyle w:val="Heading3"/>
        <w:rPr>
          <w:rFonts w:ascii="Arial" w:hAnsi="Arial" w:cs="Arial"/>
          <w:sz w:val="22"/>
        </w:rPr>
      </w:pPr>
      <w:r w:rsidRPr="007A14DB">
        <w:rPr>
          <w:rFonts w:ascii="Arial" w:hAnsi="Arial" w:cs="Arial"/>
          <w:sz w:val="22"/>
        </w:rPr>
        <w:t>3.</w:t>
      </w:r>
      <w:r w:rsidR="003D5696" w:rsidRPr="007A14DB">
        <w:rPr>
          <w:rFonts w:ascii="Arial" w:hAnsi="Arial" w:cs="Arial"/>
          <w:sz w:val="22"/>
        </w:rPr>
        <w:t>4</w:t>
      </w:r>
      <w:r w:rsidRPr="007A14DB">
        <w:rPr>
          <w:rFonts w:ascii="Arial" w:hAnsi="Arial" w:cs="Arial"/>
          <w:sz w:val="22"/>
        </w:rPr>
        <w:t xml:space="preserve"> Factors Affecting Biochar Quality</w:t>
      </w:r>
    </w:p>
    <w:p w:rsidR="00F93EE3" w:rsidRPr="00BE1DBE" w:rsidRDefault="00F93EE3" w:rsidP="00625F38">
      <w:pPr>
        <w:pStyle w:val="NormalWeb"/>
        <w:numPr>
          <w:ilvl w:val="0"/>
          <w:numId w:val="5"/>
        </w:numPr>
        <w:tabs>
          <w:tab w:val="clear" w:pos="720"/>
          <w:tab w:val="num" w:pos="567"/>
        </w:tabs>
        <w:ind w:left="426" w:hanging="426"/>
        <w:jc w:val="both"/>
        <w:rPr>
          <w:rFonts w:ascii="Arial" w:hAnsi="Arial" w:cs="Arial"/>
          <w:sz w:val="20"/>
        </w:rPr>
      </w:pPr>
      <w:r w:rsidRPr="007A14DB">
        <w:rPr>
          <w:rStyle w:val="Strong"/>
          <w:rFonts w:ascii="Arial" w:hAnsi="Arial" w:cs="Arial"/>
          <w:sz w:val="20"/>
        </w:rPr>
        <w:t>Temperature</w:t>
      </w:r>
      <w:r w:rsidRPr="007A14DB">
        <w:rPr>
          <w:rFonts w:ascii="Arial" w:hAnsi="Arial" w:cs="Arial"/>
          <w:sz w:val="20"/>
        </w:rPr>
        <w:t>: Higher pyrolysis temperatures increase aromaticity, carbon stability, and pH but reduce overall biochar yield (</w:t>
      </w:r>
      <w:r w:rsidRPr="00BE1DBE">
        <w:rPr>
          <w:rFonts w:ascii="Arial" w:hAnsi="Arial" w:cs="Arial"/>
          <w:sz w:val="20"/>
        </w:rPr>
        <w:t>Keiluweit</w:t>
      </w:r>
      <w:r w:rsidRPr="00BE1DBE">
        <w:rPr>
          <w:rFonts w:ascii="Arial" w:hAnsi="Arial" w:cs="Arial"/>
          <w:i/>
          <w:sz w:val="20"/>
        </w:rPr>
        <w:t>et al.,</w:t>
      </w:r>
      <w:r w:rsidRPr="00BE1DBE">
        <w:rPr>
          <w:rFonts w:ascii="Arial" w:hAnsi="Arial" w:cs="Arial"/>
          <w:sz w:val="20"/>
        </w:rPr>
        <w:t xml:space="preserve"> 2010).</w:t>
      </w:r>
    </w:p>
    <w:p w:rsidR="00F93EE3" w:rsidRPr="00BE1DBE" w:rsidRDefault="00F93EE3" w:rsidP="00625F38">
      <w:pPr>
        <w:pStyle w:val="NormalWeb"/>
        <w:numPr>
          <w:ilvl w:val="0"/>
          <w:numId w:val="5"/>
        </w:numPr>
        <w:tabs>
          <w:tab w:val="clear" w:pos="720"/>
          <w:tab w:val="num" w:pos="567"/>
        </w:tabs>
        <w:ind w:left="426" w:hanging="426"/>
        <w:jc w:val="both"/>
        <w:rPr>
          <w:rFonts w:ascii="Arial" w:hAnsi="Arial" w:cs="Arial"/>
          <w:sz w:val="20"/>
        </w:rPr>
      </w:pPr>
      <w:r w:rsidRPr="00BE1DBE">
        <w:rPr>
          <w:rStyle w:val="Strong"/>
          <w:rFonts w:ascii="Arial" w:hAnsi="Arial" w:cs="Arial"/>
          <w:sz w:val="20"/>
        </w:rPr>
        <w:t>Residence time</w:t>
      </w:r>
      <w:r w:rsidRPr="00BE1DBE">
        <w:rPr>
          <w:rFonts w:ascii="Arial" w:hAnsi="Arial" w:cs="Arial"/>
          <w:sz w:val="20"/>
        </w:rPr>
        <w:t xml:space="preserve">: Prolonged retention enhances carbonization and fixed carbon content (Enders </w:t>
      </w:r>
      <w:r w:rsidRPr="00BE1DBE">
        <w:rPr>
          <w:rFonts w:ascii="Arial" w:hAnsi="Arial" w:cs="Arial"/>
          <w:i/>
          <w:sz w:val="20"/>
        </w:rPr>
        <w:t>et al.,</w:t>
      </w:r>
      <w:r w:rsidRPr="00BE1DBE">
        <w:rPr>
          <w:rFonts w:ascii="Arial" w:hAnsi="Arial" w:cs="Arial"/>
          <w:sz w:val="20"/>
        </w:rPr>
        <w:t xml:space="preserve"> 2012).</w:t>
      </w:r>
    </w:p>
    <w:p w:rsidR="00F93EE3" w:rsidRPr="007A14DB" w:rsidRDefault="00F93EE3" w:rsidP="00625F38">
      <w:pPr>
        <w:pStyle w:val="NormalWeb"/>
        <w:numPr>
          <w:ilvl w:val="0"/>
          <w:numId w:val="5"/>
        </w:numPr>
        <w:tabs>
          <w:tab w:val="clear" w:pos="720"/>
          <w:tab w:val="num" w:pos="567"/>
        </w:tabs>
        <w:ind w:left="426" w:hanging="426"/>
        <w:jc w:val="both"/>
        <w:rPr>
          <w:rFonts w:ascii="Arial" w:hAnsi="Arial" w:cs="Arial"/>
          <w:sz w:val="20"/>
        </w:rPr>
      </w:pPr>
      <w:r w:rsidRPr="007A14DB">
        <w:rPr>
          <w:rStyle w:val="Strong"/>
          <w:rFonts w:ascii="Arial" w:hAnsi="Arial" w:cs="Arial"/>
          <w:sz w:val="20"/>
        </w:rPr>
        <w:lastRenderedPageBreak/>
        <w:t>Heating rate</w:t>
      </w:r>
      <w:r w:rsidRPr="007A14DB">
        <w:rPr>
          <w:rFonts w:ascii="Arial" w:hAnsi="Arial" w:cs="Arial"/>
          <w:sz w:val="20"/>
        </w:rPr>
        <w:t>: Slow heating promotes char formation, while fast heating favors liquid and gas production.</w:t>
      </w:r>
    </w:p>
    <w:p w:rsidR="00F93EE3" w:rsidRPr="00BE1DBE" w:rsidRDefault="00F93EE3" w:rsidP="00625F38">
      <w:pPr>
        <w:pStyle w:val="NormalWeb"/>
        <w:numPr>
          <w:ilvl w:val="0"/>
          <w:numId w:val="5"/>
        </w:numPr>
        <w:tabs>
          <w:tab w:val="clear" w:pos="720"/>
          <w:tab w:val="num" w:pos="567"/>
        </w:tabs>
        <w:ind w:left="426" w:hanging="426"/>
        <w:jc w:val="both"/>
        <w:rPr>
          <w:rFonts w:ascii="Arial" w:hAnsi="Arial" w:cs="Arial"/>
          <w:sz w:val="20"/>
        </w:rPr>
      </w:pPr>
      <w:r w:rsidRPr="007A14DB">
        <w:rPr>
          <w:rStyle w:val="Strong"/>
          <w:rFonts w:ascii="Arial" w:hAnsi="Arial" w:cs="Arial"/>
          <w:sz w:val="20"/>
        </w:rPr>
        <w:t>Feedstock properties</w:t>
      </w:r>
      <w:r w:rsidRPr="007A14DB">
        <w:rPr>
          <w:rFonts w:ascii="Arial" w:hAnsi="Arial" w:cs="Arial"/>
          <w:sz w:val="20"/>
        </w:rPr>
        <w:t xml:space="preserve">: Woody biomass produces high-carbon, stable biochars, whereas manure- or sludge-derived biochars are nutrient-rich but less recalcitrant </w:t>
      </w:r>
      <w:r w:rsidRPr="00BE1DBE">
        <w:rPr>
          <w:rFonts w:ascii="Arial" w:hAnsi="Arial" w:cs="Arial"/>
          <w:sz w:val="20"/>
        </w:rPr>
        <w:t>(Spokas</w:t>
      </w:r>
      <w:r w:rsidRPr="00BE1DBE">
        <w:rPr>
          <w:rFonts w:ascii="Arial" w:hAnsi="Arial" w:cs="Arial"/>
          <w:i/>
          <w:sz w:val="20"/>
        </w:rPr>
        <w:t>et al.,</w:t>
      </w:r>
      <w:r w:rsidRPr="00BE1DBE">
        <w:rPr>
          <w:rFonts w:ascii="Arial" w:hAnsi="Arial" w:cs="Arial"/>
          <w:sz w:val="20"/>
        </w:rPr>
        <w:t xml:space="preserve"> 2012).</w:t>
      </w:r>
    </w:p>
    <w:p w:rsidR="00F93EE3" w:rsidRPr="00BE1DBE" w:rsidRDefault="00F93EE3" w:rsidP="00625F38">
      <w:pPr>
        <w:pStyle w:val="NormalWeb"/>
        <w:numPr>
          <w:ilvl w:val="0"/>
          <w:numId w:val="5"/>
        </w:numPr>
        <w:tabs>
          <w:tab w:val="clear" w:pos="720"/>
          <w:tab w:val="num" w:pos="567"/>
        </w:tabs>
        <w:ind w:left="426" w:hanging="426"/>
        <w:jc w:val="both"/>
        <w:rPr>
          <w:rFonts w:ascii="Arial" w:hAnsi="Arial" w:cs="Arial"/>
          <w:sz w:val="20"/>
        </w:rPr>
      </w:pPr>
      <w:r w:rsidRPr="00BE1DBE">
        <w:rPr>
          <w:rStyle w:val="Strong"/>
          <w:rFonts w:ascii="Arial" w:hAnsi="Arial" w:cs="Arial"/>
          <w:sz w:val="20"/>
        </w:rPr>
        <w:t>Atmosphere</w:t>
      </w:r>
      <w:r w:rsidRPr="00BE1DBE">
        <w:rPr>
          <w:rFonts w:ascii="Arial" w:hAnsi="Arial" w:cs="Arial"/>
          <w:sz w:val="20"/>
        </w:rPr>
        <w:t>: The presence of inert gases (e.g., N</w:t>
      </w:r>
      <w:r w:rsidRPr="00BE1DBE">
        <w:rPr>
          <w:rFonts w:cs="Arial"/>
          <w:sz w:val="20"/>
        </w:rPr>
        <w:t>₂</w:t>
      </w:r>
      <w:r w:rsidRPr="00BE1DBE">
        <w:rPr>
          <w:rFonts w:ascii="Arial" w:hAnsi="Arial" w:cs="Arial"/>
          <w:sz w:val="20"/>
        </w:rPr>
        <w:t>, Ar) prevents oxidation and affects pore development.</w:t>
      </w:r>
    </w:p>
    <w:p w:rsidR="00F93EE3" w:rsidRPr="00BE1DBE" w:rsidRDefault="003D5696" w:rsidP="007A14DB">
      <w:pPr>
        <w:pStyle w:val="Heading3"/>
        <w:rPr>
          <w:rFonts w:ascii="Arial" w:hAnsi="Arial" w:cs="Arial"/>
          <w:sz w:val="22"/>
        </w:rPr>
      </w:pPr>
      <w:r w:rsidRPr="00BE1DBE">
        <w:rPr>
          <w:rFonts w:ascii="Arial" w:hAnsi="Arial" w:cs="Arial"/>
          <w:sz w:val="22"/>
        </w:rPr>
        <w:t>3.5</w:t>
      </w:r>
      <w:r w:rsidR="00F93EE3" w:rsidRPr="00BE1DBE">
        <w:rPr>
          <w:rFonts w:ascii="Arial" w:hAnsi="Arial" w:cs="Arial"/>
          <w:sz w:val="22"/>
        </w:rPr>
        <w:t xml:space="preserve"> Co-products of Pyrolysis</w:t>
      </w:r>
    </w:p>
    <w:p w:rsidR="00F93EE3" w:rsidRPr="00BE1DBE" w:rsidRDefault="00F93EE3" w:rsidP="00625F38">
      <w:pPr>
        <w:pStyle w:val="NormalWeb"/>
        <w:jc w:val="both"/>
        <w:rPr>
          <w:rFonts w:ascii="Arial" w:hAnsi="Arial" w:cs="Arial"/>
          <w:sz w:val="20"/>
        </w:rPr>
      </w:pPr>
      <w:r w:rsidRPr="00BE1DBE">
        <w:rPr>
          <w:rFonts w:ascii="Arial" w:hAnsi="Arial" w:cs="Arial"/>
          <w:sz w:val="20"/>
        </w:rPr>
        <w:t xml:space="preserve">Biochar production simultaneously yields </w:t>
      </w:r>
      <w:r w:rsidRPr="00BE1DBE">
        <w:rPr>
          <w:rStyle w:val="Strong"/>
          <w:rFonts w:ascii="Arial" w:hAnsi="Arial" w:cs="Arial"/>
          <w:b w:val="0"/>
          <w:sz w:val="20"/>
        </w:rPr>
        <w:t>bio-oil</w:t>
      </w:r>
      <w:r w:rsidRPr="00BE1DBE">
        <w:rPr>
          <w:rFonts w:ascii="Arial" w:hAnsi="Arial" w:cs="Arial"/>
          <w:sz w:val="20"/>
        </w:rPr>
        <w:t xml:space="preserve"> and </w:t>
      </w:r>
      <w:r w:rsidRPr="00BE1DBE">
        <w:rPr>
          <w:rStyle w:val="Strong"/>
          <w:rFonts w:ascii="Arial" w:hAnsi="Arial" w:cs="Arial"/>
          <w:b w:val="0"/>
          <w:sz w:val="20"/>
        </w:rPr>
        <w:t>syngas</w:t>
      </w:r>
      <w:r w:rsidRPr="00BE1DBE">
        <w:rPr>
          <w:rFonts w:ascii="Arial" w:hAnsi="Arial" w:cs="Arial"/>
          <w:sz w:val="20"/>
        </w:rPr>
        <w:t>, which can enhance the energy efficiency and economic viability of the process:</w:t>
      </w:r>
    </w:p>
    <w:p w:rsidR="00F93EE3" w:rsidRPr="00BE1DBE" w:rsidRDefault="00F93EE3" w:rsidP="00625F38">
      <w:pPr>
        <w:pStyle w:val="NormalWeb"/>
        <w:numPr>
          <w:ilvl w:val="0"/>
          <w:numId w:val="6"/>
        </w:numPr>
        <w:tabs>
          <w:tab w:val="clear" w:pos="720"/>
          <w:tab w:val="num" w:pos="851"/>
        </w:tabs>
        <w:ind w:left="426" w:hanging="426"/>
        <w:jc w:val="both"/>
        <w:rPr>
          <w:rFonts w:ascii="Arial" w:hAnsi="Arial" w:cs="Arial"/>
          <w:sz w:val="20"/>
        </w:rPr>
      </w:pPr>
      <w:r w:rsidRPr="00BE1DBE">
        <w:rPr>
          <w:rStyle w:val="Strong"/>
          <w:rFonts w:ascii="Arial" w:hAnsi="Arial" w:cs="Arial"/>
          <w:sz w:val="20"/>
        </w:rPr>
        <w:t>Bio-oil</w:t>
      </w:r>
      <w:r w:rsidRPr="00BE1DBE">
        <w:rPr>
          <w:rFonts w:ascii="Arial" w:hAnsi="Arial" w:cs="Arial"/>
          <w:sz w:val="20"/>
        </w:rPr>
        <w:t>: A liquid fraction rich in oxygenated compounds, usable as a renewable fuel or as a source of industrial chemicals (Bridgwater, 2012).</w:t>
      </w:r>
    </w:p>
    <w:p w:rsidR="00F93EE3" w:rsidRPr="00BE1DBE" w:rsidRDefault="00F93EE3" w:rsidP="00625F38">
      <w:pPr>
        <w:pStyle w:val="NormalWeb"/>
        <w:numPr>
          <w:ilvl w:val="0"/>
          <w:numId w:val="6"/>
        </w:numPr>
        <w:tabs>
          <w:tab w:val="clear" w:pos="720"/>
          <w:tab w:val="num" w:pos="851"/>
        </w:tabs>
        <w:ind w:left="426" w:hanging="426"/>
        <w:jc w:val="both"/>
        <w:rPr>
          <w:rFonts w:ascii="Arial" w:hAnsi="Arial" w:cs="Arial"/>
          <w:sz w:val="20"/>
        </w:rPr>
      </w:pPr>
      <w:r w:rsidRPr="00BE1DBE">
        <w:rPr>
          <w:rStyle w:val="Strong"/>
          <w:rFonts w:ascii="Arial" w:hAnsi="Arial" w:cs="Arial"/>
          <w:sz w:val="20"/>
        </w:rPr>
        <w:t>Syngas</w:t>
      </w:r>
      <w:r w:rsidRPr="00BE1DBE">
        <w:rPr>
          <w:rFonts w:ascii="Arial" w:hAnsi="Arial" w:cs="Arial"/>
          <w:sz w:val="20"/>
        </w:rPr>
        <w:t>: A combustible mixture of CO, H</w:t>
      </w:r>
      <w:r w:rsidRPr="00BE1DBE">
        <w:rPr>
          <w:rFonts w:cs="Arial"/>
          <w:sz w:val="20"/>
        </w:rPr>
        <w:t>₂</w:t>
      </w:r>
      <w:r w:rsidRPr="00BE1DBE">
        <w:rPr>
          <w:rFonts w:ascii="Arial" w:hAnsi="Arial" w:cs="Arial"/>
          <w:sz w:val="20"/>
        </w:rPr>
        <w:t>, and CH</w:t>
      </w:r>
      <w:r w:rsidRPr="00BE1DBE">
        <w:rPr>
          <w:rFonts w:cs="Arial"/>
          <w:sz w:val="20"/>
        </w:rPr>
        <w:t>₄</w:t>
      </w:r>
      <w:r w:rsidRPr="00BE1DBE">
        <w:rPr>
          <w:rFonts w:ascii="Arial" w:hAnsi="Arial" w:cs="Arial"/>
          <w:sz w:val="20"/>
        </w:rPr>
        <w:t xml:space="preserve"> that can be recycled to sustain pyrolysis or generate electricity</w:t>
      </w:r>
      <w:r w:rsidR="00625F38" w:rsidRPr="00BE1DBE">
        <w:rPr>
          <w:rFonts w:ascii="Arial" w:hAnsi="Arial" w:cs="Arial"/>
          <w:sz w:val="20"/>
        </w:rPr>
        <w:t xml:space="preserve"> (Bridgwater, 2012; Woolf </w:t>
      </w:r>
      <w:r w:rsidR="00625F38" w:rsidRPr="00BE1DBE">
        <w:rPr>
          <w:rFonts w:ascii="Arial" w:hAnsi="Arial" w:cs="Arial"/>
          <w:i/>
          <w:sz w:val="20"/>
        </w:rPr>
        <w:t>et al.,</w:t>
      </w:r>
      <w:r w:rsidR="00625F38" w:rsidRPr="00BE1DBE">
        <w:rPr>
          <w:rFonts w:ascii="Arial" w:hAnsi="Arial" w:cs="Arial"/>
          <w:sz w:val="20"/>
        </w:rPr>
        <w:t xml:space="preserve"> 2010)</w:t>
      </w:r>
      <w:r w:rsidRPr="00BE1DBE">
        <w:rPr>
          <w:rFonts w:ascii="Arial" w:hAnsi="Arial" w:cs="Arial"/>
          <w:sz w:val="20"/>
        </w:rPr>
        <w:t>.</w:t>
      </w:r>
    </w:p>
    <w:p w:rsidR="00F93EE3" w:rsidRPr="007A14DB" w:rsidRDefault="001B208C" w:rsidP="007A14DB">
      <w:pPr>
        <w:pStyle w:val="Heading3"/>
        <w:rPr>
          <w:rFonts w:ascii="Arial" w:hAnsi="Arial" w:cs="Arial"/>
          <w:sz w:val="22"/>
        </w:rPr>
      </w:pPr>
      <w:r w:rsidRPr="007A14DB">
        <w:rPr>
          <w:rFonts w:ascii="Arial" w:hAnsi="Arial" w:cs="Arial"/>
          <w:sz w:val="22"/>
        </w:rPr>
        <w:t>3.</w:t>
      </w:r>
      <w:r w:rsidR="003D5696" w:rsidRPr="007A14DB">
        <w:rPr>
          <w:rFonts w:ascii="Arial" w:hAnsi="Arial" w:cs="Arial"/>
          <w:sz w:val="22"/>
        </w:rPr>
        <w:t>6</w:t>
      </w:r>
      <w:r w:rsidR="00F93EE3" w:rsidRPr="007A14DB">
        <w:rPr>
          <w:rFonts w:ascii="Arial" w:hAnsi="Arial" w:cs="Arial"/>
          <w:sz w:val="22"/>
        </w:rPr>
        <w:t xml:space="preserve"> Reactor Technologies</w:t>
      </w:r>
    </w:p>
    <w:p w:rsidR="00F93EE3" w:rsidRPr="007A14DB" w:rsidRDefault="00F93EE3" w:rsidP="00625F38">
      <w:pPr>
        <w:pStyle w:val="NormalWeb"/>
        <w:jc w:val="both"/>
        <w:rPr>
          <w:rFonts w:ascii="Arial" w:hAnsi="Arial" w:cs="Arial"/>
          <w:sz w:val="20"/>
        </w:rPr>
      </w:pPr>
      <w:r w:rsidRPr="007A14DB">
        <w:rPr>
          <w:rFonts w:ascii="Arial" w:hAnsi="Arial" w:cs="Arial"/>
          <w:sz w:val="20"/>
        </w:rPr>
        <w:t>Several reactor configurations have been developed for biochar production:</w:t>
      </w:r>
    </w:p>
    <w:p w:rsidR="00F93EE3" w:rsidRPr="007A14DB" w:rsidRDefault="00F93EE3" w:rsidP="00625F38">
      <w:pPr>
        <w:pStyle w:val="NormalWeb"/>
        <w:numPr>
          <w:ilvl w:val="0"/>
          <w:numId w:val="7"/>
        </w:numPr>
        <w:tabs>
          <w:tab w:val="clear" w:pos="720"/>
          <w:tab w:val="num" w:pos="993"/>
        </w:tabs>
        <w:ind w:left="426" w:hanging="426"/>
        <w:jc w:val="both"/>
        <w:rPr>
          <w:rFonts w:ascii="Arial" w:hAnsi="Arial" w:cs="Arial"/>
          <w:sz w:val="20"/>
        </w:rPr>
      </w:pPr>
      <w:r w:rsidRPr="007A14DB">
        <w:rPr>
          <w:rStyle w:val="Strong"/>
          <w:rFonts w:ascii="Arial" w:hAnsi="Arial" w:cs="Arial"/>
          <w:sz w:val="20"/>
        </w:rPr>
        <w:t>Fixed-bed reactors</w:t>
      </w:r>
      <w:r w:rsidRPr="007A14DB">
        <w:rPr>
          <w:rFonts w:ascii="Arial" w:hAnsi="Arial" w:cs="Arial"/>
          <w:sz w:val="20"/>
        </w:rPr>
        <w:t>: Simple, cost-effective, often used at laboratory scale.</w:t>
      </w:r>
    </w:p>
    <w:p w:rsidR="00F93EE3" w:rsidRPr="007A14DB" w:rsidRDefault="00F93EE3" w:rsidP="00625F38">
      <w:pPr>
        <w:pStyle w:val="NormalWeb"/>
        <w:numPr>
          <w:ilvl w:val="0"/>
          <w:numId w:val="7"/>
        </w:numPr>
        <w:tabs>
          <w:tab w:val="clear" w:pos="720"/>
          <w:tab w:val="num" w:pos="993"/>
        </w:tabs>
        <w:ind w:left="426" w:hanging="426"/>
        <w:jc w:val="both"/>
        <w:rPr>
          <w:rFonts w:ascii="Arial" w:hAnsi="Arial" w:cs="Arial"/>
          <w:sz w:val="20"/>
        </w:rPr>
      </w:pPr>
      <w:r w:rsidRPr="007A14DB">
        <w:rPr>
          <w:rStyle w:val="Strong"/>
          <w:rFonts w:ascii="Arial" w:hAnsi="Arial" w:cs="Arial"/>
          <w:sz w:val="20"/>
        </w:rPr>
        <w:t>Rotary kilns</w:t>
      </w:r>
      <w:r w:rsidRPr="007A14DB">
        <w:rPr>
          <w:rFonts w:ascii="Arial" w:hAnsi="Arial" w:cs="Arial"/>
          <w:sz w:val="20"/>
        </w:rPr>
        <w:t>: Widely used for slow pyrolysis, suitable for large-scale operations.</w:t>
      </w:r>
    </w:p>
    <w:p w:rsidR="00F93EE3" w:rsidRPr="007A14DB" w:rsidRDefault="00F93EE3" w:rsidP="00625F38">
      <w:pPr>
        <w:pStyle w:val="NormalWeb"/>
        <w:numPr>
          <w:ilvl w:val="0"/>
          <w:numId w:val="7"/>
        </w:numPr>
        <w:tabs>
          <w:tab w:val="clear" w:pos="720"/>
          <w:tab w:val="num" w:pos="993"/>
        </w:tabs>
        <w:ind w:left="426" w:hanging="426"/>
        <w:jc w:val="both"/>
        <w:rPr>
          <w:rFonts w:ascii="Arial" w:hAnsi="Arial" w:cs="Arial"/>
          <w:sz w:val="20"/>
        </w:rPr>
      </w:pPr>
      <w:r w:rsidRPr="007A14DB">
        <w:rPr>
          <w:rStyle w:val="Strong"/>
          <w:rFonts w:ascii="Arial" w:hAnsi="Arial" w:cs="Arial"/>
          <w:sz w:val="20"/>
        </w:rPr>
        <w:t>Fluidized-bed reactors</w:t>
      </w:r>
      <w:r w:rsidRPr="007A14DB">
        <w:rPr>
          <w:rFonts w:ascii="Arial" w:hAnsi="Arial" w:cs="Arial"/>
          <w:sz w:val="20"/>
        </w:rPr>
        <w:t>: Provide uniform heating, applied mainly in fast pyrolysis.</w:t>
      </w:r>
    </w:p>
    <w:p w:rsidR="00F93EE3" w:rsidRPr="007A14DB" w:rsidRDefault="00F93EE3" w:rsidP="00625F38">
      <w:pPr>
        <w:pStyle w:val="NormalWeb"/>
        <w:numPr>
          <w:ilvl w:val="0"/>
          <w:numId w:val="7"/>
        </w:numPr>
        <w:tabs>
          <w:tab w:val="clear" w:pos="720"/>
          <w:tab w:val="num" w:pos="993"/>
        </w:tabs>
        <w:ind w:left="426" w:hanging="426"/>
        <w:jc w:val="both"/>
        <w:rPr>
          <w:rFonts w:ascii="Arial" w:hAnsi="Arial" w:cs="Arial"/>
          <w:sz w:val="20"/>
        </w:rPr>
      </w:pPr>
      <w:r w:rsidRPr="007A14DB">
        <w:rPr>
          <w:rStyle w:val="Strong"/>
          <w:rFonts w:ascii="Arial" w:hAnsi="Arial" w:cs="Arial"/>
          <w:sz w:val="20"/>
        </w:rPr>
        <w:t>Microwave-assisted pyrolysis</w:t>
      </w:r>
      <w:r w:rsidRPr="007A14DB">
        <w:rPr>
          <w:rFonts w:ascii="Arial" w:hAnsi="Arial" w:cs="Arial"/>
          <w:sz w:val="20"/>
        </w:rPr>
        <w:t>: An emerging technology offering rapid, energy-efficient conversion (</w:t>
      </w:r>
      <w:r w:rsidRPr="00BE1DBE">
        <w:rPr>
          <w:rFonts w:ascii="Arial" w:hAnsi="Arial" w:cs="Arial"/>
          <w:sz w:val="20"/>
        </w:rPr>
        <w:t xml:space="preserve">Huang </w:t>
      </w:r>
      <w:r w:rsidRPr="00BE1DBE">
        <w:rPr>
          <w:rFonts w:ascii="Arial" w:hAnsi="Arial" w:cs="Arial"/>
          <w:i/>
          <w:sz w:val="20"/>
        </w:rPr>
        <w:t>et al.,</w:t>
      </w:r>
      <w:r w:rsidRPr="00BE1DBE">
        <w:rPr>
          <w:rFonts w:ascii="Arial" w:hAnsi="Arial" w:cs="Arial"/>
          <w:sz w:val="20"/>
        </w:rPr>
        <w:t xml:space="preserve"> 2015</w:t>
      </w:r>
      <w:r w:rsidRPr="007A14DB">
        <w:rPr>
          <w:rFonts w:ascii="Arial" w:hAnsi="Arial" w:cs="Arial"/>
          <w:sz w:val="20"/>
        </w:rPr>
        <w:t>).</w:t>
      </w:r>
    </w:p>
    <w:p w:rsidR="00DA6D9C" w:rsidRDefault="003843E6" w:rsidP="00DA6D9C">
      <w:pPr>
        <w:pStyle w:val="NormalWeb"/>
        <w:ind w:left="426"/>
        <w:jc w:val="both"/>
        <w:rPr>
          <w:rStyle w:val="Strong"/>
        </w:rPr>
      </w:pPr>
      <w:r>
        <w:rPr>
          <w:b/>
          <w:bCs/>
          <w:noProof/>
        </w:rPr>
        <w:drawing>
          <wp:inline distT="0" distB="0" distL="0" distR="0">
            <wp:extent cx="4243690" cy="2486025"/>
            <wp:effectExtent l="19050" t="0" r="4460" b="0"/>
            <wp:docPr id="16" name="Picture 16" descr="C:\Users\Admin\OneDrive\Pictures\Screenshots\Screenshot 2025-08-21 0049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OneDrive\Pictures\Screenshots\Screenshot 2025-08-21 004949.png"/>
                    <pic:cNvPicPr>
                      <a:picLocks noChangeAspect="1" noChangeArrowheads="1"/>
                    </pic:cNvPicPr>
                  </pic:nvPicPr>
                  <pic:blipFill>
                    <a:blip r:embed="rId12">
                      <a:lum bright="-10000" contrast="10000"/>
                    </a:blip>
                    <a:srcRect/>
                    <a:stretch>
                      <a:fillRect/>
                    </a:stretch>
                  </pic:blipFill>
                  <pic:spPr bwMode="auto">
                    <a:xfrm>
                      <a:off x="0" y="0"/>
                      <a:ext cx="4243690" cy="2486025"/>
                    </a:xfrm>
                    <a:prstGeom prst="rect">
                      <a:avLst/>
                    </a:prstGeom>
                    <a:noFill/>
                    <a:ln w="9525">
                      <a:noFill/>
                      <a:miter lim="800000"/>
                      <a:headEnd/>
                      <a:tailEnd/>
                    </a:ln>
                  </pic:spPr>
                </pic:pic>
              </a:graphicData>
            </a:graphic>
          </wp:inline>
        </w:drawing>
      </w:r>
    </w:p>
    <w:p w:rsidR="00DA6D9C" w:rsidRPr="00861A19" w:rsidRDefault="00921664" w:rsidP="00DA6D9C">
      <w:pPr>
        <w:pStyle w:val="NormalWeb"/>
        <w:ind w:left="426"/>
        <w:jc w:val="both"/>
        <w:rPr>
          <w:rFonts w:ascii="Arial" w:hAnsi="Arial" w:cs="Arial"/>
          <w:b/>
          <w:sz w:val="20"/>
        </w:rPr>
      </w:pPr>
      <w:r w:rsidRPr="00861A19">
        <w:rPr>
          <w:rFonts w:ascii="Arial" w:hAnsi="Arial" w:cs="Arial"/>
          <w:b/>
          <w:sz w:val="20"/>
        </w:rPr>
        <w:t>Fig.2</w:t>
      </w:r>
      <w:r w:rsidR="003843E6" w:rsidRPr="00861A19">
        <w:rPr>
          <w:rFonts w:ascii="Arial" w:hAnsi="Arial" w:cs="Arial"/>
          <w:b/>
          <w:sz w:val="20"/>
        </w:rPr>
        <w:t xml:space="preserve">. </w:t>
      </w:r>
      <w:r w:rsidR="00DA6D9C" w:rsidRPr="00861A19">
        <w:rPr>
          <w:rFonts w:ascii="Arial" w:hAnsi="Arial" w:cs="Arial"/>
          <w:b/>
          <w:sz w:val="20"/>
        </w:rPr>
        <w:t>Schematic Representation of Biochar Production via Pyrolysis</w:t>
      </w:r>
    </w:p>
    <w:p w:rsidR="003D5696" w:rsidRPr="007A14DB" w:rsidRDefault="003D5696" w:rsidP="007A14DB">
      <w:pPr>
        <w:pStyle w:val="Heading2"/>
        <w:rPr>
          <w:rFonts w:ascii="Arial" w:hAnsi="Arial" w:cs="Arial"/>
          <w:color w:val="auto"/>
          <w:sz w:val="22"/>
          <w:szCs w:val="24"/>
        </w:rPr>
      </w:pPr>
      <w:r w:rsidRPr="007A14DB">
        <w:rPr>
          <w:rFonts w:ascii="Arial" w:hAnsi="Arial" w:cs="Arial"/>
          <w:color w:val="auto"/>
          <w:sz w:val="22"/>
          <w:szCs w:val="24"/>
        </w:rPr>
        <w:t>3.7 Biochar Production from Mulberry Waste</w:t>
      </w:r>
    </w:p>
    <w:p w:rsidR="003D5696" w:rsidRPr="007A14DB" w:rsidRDefault="003D5696" w:rsidP="003D5696">
      <w:pPr>
        <w:pStyle w:val="NormalWeb"/>
        <w:jc w:val="both"/>
        <w:rPr>
          <w:rFonts w:ascii="Arial" w:hAnsi="Arial" w:cs="Arial"/>
          <w:sz w:val="20"/>
        </w:rPr>
      </w:pPr>
      <w:r w:rsidRPr="007A14DB">
        <w:rPr>
          <w:rFonts w:ascii="Arial" w:hAnsi="Arial" w:cs="Arial"/>
          <w:sz w:val="20"/>
        </w:rPr>
        <w:t>Mulberry (</w:t>
      </w:r>
      <w:r w:rsidRPr="007A14DB">
        <w:rPr>
          <w:rFonts w:ascii="Arial" w:hAnsi="Arial" w:cs="Arial"/>
          <w:i/>
          <w:sz w:val="20"/>
        </w:rPr>
        <w:t>Morus spp.</w:t>
      </w:r>
      <w:r w:rsidRPr="007A14DB">
        <w:rPr>
          <w:rFonts w:ascii="Arial" w:hAnsi="Arial" w:cs="Arial"/>
          <w:sz w:val="20"/>
        </w:rPr>
        <w:t xml:space="preserve">) cultivation generates substantial amounts of lignocellulosic residues, primarily stalks, after leaf harvest. These residues, often underutilized or disposed of by open burning, represent a valuable feedstock for biochar production. Converting mulberry waste into biochar not only addresses </w:t>
      </w:r>
      <w:r w:rsidRPr="007A14DB">
        <w:rPr>
          <w:rFonts w:ascii="Arial" w:hAnsi="Arial" w:cs="Arial"/>
          <w:sz w:val="20"/>
        </w:rPr>
        <w:lastRenderedPageBreak/>
        <w:t>waste management challenges in sericulture-based regions but also provides a carbon-rich material with potential applications in soil fertility enhancement, pollutant remediation, and carbon sequestration.</w:t>
      </w:r>
    </w:p>
    <w:p w:rsidR="003D5696" w:rsidRPr="007A14DB" w:rsidRDefault="003D5696" w:rsidP="007A14DB">
      <w:pPr>
        <w:pStyle w:val="Heading3"/>
        <w:rPr>
          <w:rFonts w:ascii="Arial" w:hAnsi="Arial" w:cs="Arial"/>
          <w:sz w:val="20"/>
          <w:szCs w:val="24"/>
          <w:u w:val="single"/>
        </w:rPr>
      </w:pPr>
      <w:r w:rsidRPr="007A14DB">
        <w:rPr>
          <w:rFonts w:ascii="Arial" w:hAnsi="Arial" w:cs="Arial"/>
          <w:sz w:val="20"/>
          <w:szCs w:val="24"/>
          <w:u w:val="single"/>
        </w:rPr>
        <w:t>3.7.1 Controlled Pyrolysis of Mulberry Waste</w:t>
      </w:r>
    </w:p>
    <w:p w:rsidR="003D5696" w:rsidRPr="007A14DB" w:rsidRDefault="003D5696" w:rsidP="003D5696">
      <w:pPr>
        <w:pStyle w:val="NormalWeb"/>
        <w:jc w:val="both"/>
        <w:rPr>
          <w:rFonts w:ascii="Arial" w:hAnsi="Arial" w:cs="Arial"/>
          <w:sz w:val="20"/>
        </w:rPr>
      </w:pPr>
      <w:r w:rsidRPr="00BE1DBE">
        <w:rPr>
          <w:rFonts w:ascii="Arial" w:hAnsi="Arial" w:cs="Arial"/>
          <w:sz w:val="20"/>
        </w:rPr>
        <w:t xml:space="preserve">Kaushik </w:t>
      </w:r>
      <w:r w:rsidRPr="00BE1DBE">
        <w:rPr>
          <w:rFonts w:ascii="Arial" w:hAnsi="Arial" w:cs="Arial"/>
          <w:i/>
          <w:sz w:val="20"/>
        </w:rPr>
        <w:t>et al.</w:t>
      </w:r>
      <w:r w:rsidR="00B60974" w:rsidRPr="00BE1DBE">
        <w:rPr>
          <w:rFonts w:ascii="Arial" w:hAnsi="Arial" w:cs="Arial"/>
          <w:i/>
          <w:sz w:val="20"/>
        </w:rPr>
        <w:t>,</w:t>
      </w:r>
      <w:r w:rsidRPr="00BE1DBE">
        <w:rPr>
          <w:rFonts w:ascii="Arial" w:hAnsi="Arial" w:cs="Arial"/>
          <w:sz w:val="20"/>
        </w:rPr>
        <w:t xml:space="preserve"> (2025) demonstrated</w:t>
      </w:r>
      <w:r w:rsidRPr="007A14DB">
        <w:rPr>
          <w:rFonts w:ascii="Arial" w:hAnsi="Arial" w:cs="Arial"/>
          <w:sz w:val="20"/>
        </w:rPr>
        <w:t xml:space="preserve"> the systematic production of mulberry waste biochar through controlled pyrolysis at four different tem</w:t>
      </w:r>
      <w:r w:rsidR="00B60974" w:rsidRPr="007A14DB">
        <w:rPr>
          <w:rFonts w:ascii="Arial" w:hAnsi="Arial" w:cs="Arial"/>
          <w:sz w:val="20"/>
        </w:rPr>
        <w:t xml:space="preserve">peratures- </w:t>
      </w:r>
      <w:r w:rsidR="002443EC" w:rsidRPr="002443EC">
        <w:rPr>
          <w:rFonts w:ascii="Arial" w:hAnsi="Arial" w:cs="Arial"/>
          <w:sz w:val="20"/>
          <w:highlight w:val="yellow"/>
        </w:rPr>
        <w:t>250°C, 300°C, 350°C, and 400</w:t>
      </w:r>
      <w:r w:rsidRPr="002443EC">
        <w:rPr>
          <w:rFonts w:ascii="Arial" w:hAnsi="Arial" w:cs="Arial"/>
          <w:sz w:val="20"/>
          <w:highlight w:val="yellow"/>
        </w:rPr>
        <w:t>°C</w:t>
      </w:r>
      <w:r w:rsidRPr="007A14DB">
        <w:rPr>
          <w:rFonts w:ascii="Arial" w:hAnsi="Arial" w:cs="Arial"/>
          <w:sz w:val="20"/>
        </w:rPr>
        <w:t>. Each pyrolysis condition was maintained for varying residence times of 2.5, 3, 3.5, and 4 hours in an oxygen-limited environment. After thermal treatment, the reactors were allowed to cool overnight before the biochar was retrieved. The material was then sifted, ground into a fine powder, and stored in airtight plastic bags. The resulting mulberry biochar appeared as a lightweight black powder with high specific surface area, resembling fine charcoal, and was suitable for further physicochemical and agronomic evaluations.</w:t>
      </w:r>
    </w:p>
    <w:p w:rsidR="003D5696" w:rsidRPr="007A14DB" w:rsidRDefault="003D5696" w:rsidP="007A14DB">
      <w:pPr>
        <w:pStyle w:val="Heading3"/>
        <w:rPr>
          <w:rFonts w:ascii="Arial" w:hAnsi="Arial" w:cs="Arial"/>
          <w:sz w:val="20"/>
          <w:szCs w:val="24"/>
          <w:u w:val="single"/>
        </w:rPr>
      </w:pPr>
      <w:r w:rsidRPr="007A14DB">
        <w:rPr>
          <w:rFonts w:ascii="Arial" w:hAnsi="Arial" w:cs="Arial"/>
          <w:sz w:val="20"/>
          <w:szCs w:val="24"/>
          <w:u w:val="single"/>
        </w:rPr>
        <w:t>3.7.2 Traditional Carbonization Approach</w:t>
      </w:r>
    </w:p>
    <w:p w:rsidR="003D5696" w:rsidRPr="007A14DB" w:rsidRDefault="003D5696" w:rsidP="003D5696">
      <w:pPr>
        <w:pStyle w:val="NormalWeb"/>
        <w:jc w:val="both"/>
        <w:rPr>
          <w:rFonts w:ascii="Arial" w:hAnsi="Arial" w:cs="Arial"/>
          <w:sz w:val="20"/>
        </w:rPr>
      </w:pPr>
      <w:r w:rsidRPr="007A14DB">
        <w:rPr>
          <w:rFonts w:ascii="Arial" w:hAnsi="Arial" w:cs="Arial"/>
          <w:sz w:val="20"/>
        </w:rPr>
        <w:t xml:space="preserve">In addition to controlled pyrolysis, field-level biochar production has been reported using simple carbonization techniques. Mulberry stalk residues collected after leaf harvest were air-dried, shredded into uniform pieces, and subjected to steady ignition under controlled burning conditions. The process was continued until complete carbonization was achieved, after which the charred material was collected, ground into powder, and stored for subsequent use. This method, while less precise than pyrolysis, offers a low-cost and accessible approach for farmers in rural areas </w:t>
      </w:r>
      <w:r w:rsidRPr="00BE1DBE">
        <w:rPr>
          <w:rFonts w:ascii="Arial" w:hAnsi="Arial" w:cs="Arial"/>
          <w:sz w:val="20"/>
        </w:rPr>
        <w:t>(Lamani</w:t>
      </w:r>
      <w:r w:rsidRPr="00BE1DBE">
        <w:rPr>
          <w:rFonts w:ascii="Arial" w:hAnsi="Arial" w:cs="Arial"/>
          <w:i/>
          <w:sz w:val="20"/>
        </w:rPr>
        <w:t>et al.,</w:t>
      </w:r>
      <w:r w:rsidRPr="00BE1DBE">
        <w:rPr>
          <w:rFonts w:ascii="Arial" w:hAnsi="Arial" w:cs="Arial"/>
          <w:sz w:val="20"/>
        </w:rPr>
        <w:t xml:space="preserve"> 2024; Nandini &amp;Prakasha, 2022).</w:t>
      </w:r>
    </w:p>
    <w:p w:rsidR="00FC6708" w:rsidRPr="007A14DB" w:rsidRDefault="007A14DB" w:rsidP="007A14DB">
      <w:pPr>
        <w:pStyle w:val="Heading2"/>
        <w:rPr>
          <w:rFonts w:ascii="Arial" w:hAnsi="Arial" w:cs="Arial"/>
          <w:color w:val="auto"/>
          <w:sz w:val="22"/>
          <w:szCs w:val="24"/>
        </w:rPr>
      </w:pPr>
      <w:r w:rsidRPr="007A14DB">
        <w:rPr>
          <w:rFonts w:ascii="Arial" w:hAnsi="Arial" w:cs="Arial"/>
          <w:color w:val="auto"/>
          <w:sz w:val="22"/>
          <w:szCs w:val="24"/>
        </w:rPr>
        <w:t>4. INFLUENCE OF BIOCHAR PROPERTIES ON CARBON SEQUESTRATION</w:t>
      </w:r>
    </w:p>
    <w:p w:rsidR="00FC6708" w:rsidRPr="007A14DB" w:rsidRDefault="00FC6708" w:rsidP="00FC6708">
      <w:pPr>
        <w:pStyle w:val="NormalWeb"/>
        <w:jc w:val="both"/>
        <w:rPr>
          <w:rFonts w:ascii="Arial" w:hAnsi="Arial" w:cs="Arial"/>
          <w:sz w:val="20"/>
        </w:rPr>
      </w:pPr>
      <w:r w:rsidRPr="007A14DB">
        <w:rPr>
          <w:rFonts w:ascii="Arial" w:hAnsi="Arial" w:cs="Arial"/>
          <w:sz w:val="20"/>
        </w:rPr>
        <w:t xml:space="preserve">The physicochemical properties of biochar are strongly influenced by the type of biomass feedstock and the pyrolysis process conditions. Table 1 summarizes the fixed carbon, proximate composition, pH, porosity, bulk density, surface area, and carbon sequestration potential of biochars produced from different agricultural and forestry residues </w:t>
      </w:r>
      <w:r w:rsidRPr="00BE1DBE">
        <w:rPr>
          <w:rFonts w:ascii="Arial" w:hAnsi="Arial" w:cs="Arial"/>
          <w:sz w:val="20"/>
        </w:rPr>
        <w:t xml:space="preserve">(Nandini and Prakasha, 2022; Kaushik </w:t>
      </w:r>
      <w:r w:rsidRPr="00BE1DBE">
        <w:rPr>
          <w:rFonts w:ascii="Arial" w:hAnsi="Arial" w:cs="Arial"/>
          <w:i/>
          <w:sz w:val="20"/>
        </w:rPr>
        <w:t>et al.,</w:t>
      </w:r>
      <w:r w:rsidRPr="00BE1DBE">
        <w:rPr>
          <w:rFonts w:ascii="Arial" w:hAnsi="Arial" w:cs="Arial"/>
          <w:sz w:val="20"/>
        </w:rPr>
        <w:t xml:space="preserve"> 2025; Windeatt</w:t>
      </w:r>
      <w:r w:rsidRPr="00BE1DBE">
        <w:rPr>
          <w:rFonts w:ascii="Arial" w:hAnsi="Arial" w:cs="Arial"/>
          <w:i/>
          <w:sz w:val="20"/>
        </w:rPr>
        <w:t>et al.,</w:t>
      </w:r>
      <w:r w:rsidRPr="00BE1DBE">
        <w:rPr>
          <w:rFonts w:ascii="Arial" w:hAnsi="Arial" w:cs="Arial"/>
          <w:sz w:val="20"/>
        </w:rPr>
        <w:t xml:space="preserve"> 2014).The car</w:t>
      </w:r>
      <w:r w:rsidRPr="007A14DB">
        <w:rPr>
          <w:rFonts w:ascii="Arial" w:hAnsi="Arial" w:cs="Arial"/>
          <w:sz w:val="20"/>
        </w:rPr>
        <w:t xml:space="preserve">bon sequestration potential of biochar is not uniform across feedstocks but is directly influenced by its physicochemical properties, which determine its </w:t>
      </w:r>
      <w:r w:rsidRPr="007A14DB">
        <w:rPr>
          <w:rStyle w:val="Strong"/>
          <w:rFonts w:ascii="Arial" w:hAnsi="Arial" w:cs="Arial"/>
          <w:b w:val="0"/>
          <w:sz w:val="20"/>
        </w:rPr>
        <w:t>stability, persistence, and interaction with soil systems</w:t>
      </w:r>
      <w:r w:rsidRPr="007A14DB">
        <w:rPr>
          <w:rFonts w:ascii="Arial" w:hAnsi="Arial" w:cs="Arial"/>
          <w:sz w:val="20"/>
        </w:rPr>
        <w:t>.</w:t>
      </w:r>
    </w:p>
    <w:p w:rsidR="00FC6708" w:rsidRPr="007A14DB" w:rsidRDefault="00FC6708" w:rsidP="007A14DB">
      <w:pPr>
        <w:pStyle w:val="Heading3"/>
        <w:rPr>
          <w:rFonts w:ascii="Arial" w:hAnsi="Arial" w:cs="Arial"/>
          <w:sz w:val="22"/>
          <w:szCs w:val="24"/>
        </w:rPr>
      </w:pPr>
      <w:r w:rsidRPr="007A14DB">
        <w:rPr>
          <w:rFonts w:ascii="Arial" w:hAnsi="Arial" w:cs="Arial"/>
          <w:sz w:val="22"/>
          <w:szCs w:val="24"/>
        </w:rPr>
        <w:t>4.1 Fixed Carbon Content</w:t>
      </w:r>
    </w:p>
    <w:p w:rsidR="00FC6708" w:rsidRPr="00861A19" w:rsidRDefault="00FC6708" w:rsidP="00FC6708">
      <w:pPr>
        <w:pStyle w:val="NormalWeb"/>
        <w:jc w:val="both"/>
        <w:rPr>
          <w:rFonts w:ascii="Arial" w:hAnsi="Arial" w:cs="Arial"/>
          <w:sz w:val="20"/>
        </w:rPr>
      </w:pPr>
      <w:r w:rsidRPr="00861A19">
        <w:rPr>
          <w:rFonts w:ascii="Arial" w:hAnsi="Arial" w:cs="Arial"/>
          <w:sz w:val="20"/>
        </w:rPr>
        <w:t xml:space="preserve">High fixed carbon fractions are indicative of condensed aromatic structures that resist microbial and chemical degradation. For instance, coconut shell biochar exhibited the highest fixed carbon content (91.9%), while rice husk biochar displayed the lowest (86.1%) despite being lignocellulosic. In contrast, mulberry biochar showed moderate fixed carbon content (53.1%), yet still contributes significantly to soil carbon pools. The proportion of fixed carbon strongly correlates with the </w:t>
      </w:r>
      <w:r w:rsidRPr="00861A19">
        <w:rPr>
          <w:rStyle w:val="Strong"/>
          <w:rFonts w:ascii="Arial" w:hAnsi="Arial" w:cs="Arial"/>
          <w:b w:val="0"/>
          <w:sz w:val="20"/>
        </w:rPr>
        <w:t>mean residence time (MRT) in soils</w:t>
      </w:r>
      <w:r w:rsidRPr="00861A19">
        <w:rPr>
          <w:rFonts w:ascii="Arial" w:hAnsi="Arial" w:cs="Arial"/>
          <w:b/>
          <w:sz w:val="20"/>
        </w:rPr>
        <w:t>,</w:t>
      </w:r>
      <w:r w:rsidRPr="00861A19">
        <w:rPr>
          <w:rFonts w:ascii="Arial" w:hAnsi="Arial" w:cs="Arial"/>
          <w:sz w:val="20"/>
        </w:rPr>
        <w:t xml:space="preserve"> which can extend to centuries or millennia (</w:t>
      </w:r>
      <w:r w:rsidR="00DD4DEB">
        <w:rPr>
          <w:rFonts w:ascii="Arial" w:hAnsi="Arial" w:cs="Arial"/>
          <w:sz w:val="20"/>
        </w:rPr>
        <w:t>Lehmann and Joseph, 2015</w:t>
      </w:r>
      <w:r w:rsidRPr="00BE1DBE">
        <w:rPr>
          <w:rFonts w:ascii="Arial" w:hAnsi="Arial" w:cs="Arial"/>
          <w:sz w:val="20"/>
        </w:rPr>
        <w:t>).</w:t>
      </w:r>
    </w:p>
    <w:p w:rsidR="00FC6708" w:rsidRPr="007A14DB" w:rsidRDefault="00FC6708" w:rsidP="007A14DB">
      <w:pPr>
        <w:pStyle w:val="Heading3"/>
        <w:rPr>
          <w:rFonts w:ascii="Arial" w:hAnsi="Arial" w:cs="Arial"/>
          <w:sz w:val="22"/>
          <w:szCs w:val="24"/>
        </w:rPr>
      </w:pPr>
      <w:r w:rsidRPr="007A14DB">
        <w:rPr>
          <w:rFonts w:ascii="Arial" w:hAnsi="Arial" w:cs="Arial"/>
          <w:sz w:val="22"/>
          <w:szCs w:val="24"/>
        </w:rPr>
        <w:t>4.2 Influence of Ash Content</w:t>
      </w:r>
    </w:p>
    <w:p w:rsidR="00FC6708" w:rsidRPr="00861A19" w:rsidRDefault="00FC6708" w:rsidP="00FC6708">
      <w:pPr>
        <w:pStyle w:val="NormalWeb"/>
        <w:jc w:val="both"/>
        <w:rPr>
          <w:rFonts w:ascii="Arial" w:hAnsi="Arial" w:cs="Arial"/>
          <w:sz w:val="20"/>
        </w:rPr>
      </w:pPr>
      <w:r w:rsidRPr="00861A19">
        <w:rPr>
          <w:rFonts w:ascii="Arial" w:hAnsi="Arial" w:cs="Arial"/>
          <w:sz w:val="20"/>
        </w:rPr>
        <w:t xml:space="preserve">Biomass feedstocks with relatively </w:t>
      </w:r>
      <w:r w:rsidRPr="00861A19">
        <w:rPr>
          <w:rStyle w:val="Strong"/>
          <w:rFonts w:ascii="Arial" w:hAnsi="Arial" w:cs="Arial"/>
          <w:b w:val="0"/>
          <w:sz w:val="20"/>
        </w:rPr>
        <w:t>high ash contents tend to yield biochars with lower fixed carbon</w:t>
      </w:r>
      <w:r w:rsidRPr="00861A19">
        <w:rPr>
          <w:rFonts w:ascii="Arial" w:hAnsi="Arial" w:cs="Arial"/>
          <w:sz w:val="20"/>
        </w:rPr>
        <w:t>, as elevated ash levels inhibit the formation of stable aromatic carbon forms (</w:t>
      </w:r>
      <w:r w:rsidRPr="00BE1DBE">
        <w:rPr>
          <w:rFonts w:ascii="Arial" w:hAnsi="Arial" w:cs="Arial"/>
          <w:sz w:val="20"/>
        </w:rPr>
        <w:t xml:space="preserve">Enders </w:t>
      </w:r>
      <w:r w:rsidRPr="00BE1DBE">
        <w:rPr>
          <w:rFonts w:ascii="Arial" w:hAnsi="Arial" w:cs="Arial"/>
          <w:i/>
          <w:sz w:val="20"/>
        </w:rPr>
        <w:t xml:space="preserve">et al., </w:t>
      </w:r>
      <w:r w:rsidRPr="00BE1DBE">
        <w:rPr>
          <w:rFonts w:ascii="Arial" w:hAnsi="Arial" w:cs="Arial"/>
          <w:sz w:val="20"/>
        </w:rPr>
        <w:t xml:space="preserve">2012; Sun </w:t>
      </w:r>
      <w:r w:rsidRPr="00BE1DBE">
        <w:rPr>
          <w:rFonts w:ascii="Arial" w:hAnsi="Arial" w:cs="Arial"/>
          <w:i/>
          <w:sz w:val="20"/>
        </w:rPr>
        <w:t>et al.,</w:t>
      </w:r>
      <w:r w:rsidRPr="00BE1DBE">
        <w:rPr>
          <w:rFonts w:ascii="Arial" w:hAnsi="Arial" w:cs="Arial"/>
          <w:sz w:val="20"/>
        </w:rPr>
        <w:t xml:space="preserve"> 2017). This pattern is evident in the comparative data: rice husk biochar, which contained the highest ash fraction (47%), also showed the lowest fixed carbon content, whereas coconut shell biochar, with the lowest ash content (4.1</w:t>
      </w:r>
      <w:r w:rsidRPr="00861A19">
        <w:rPr>
          <w:rFonts w:ascii="Arial" w:hAnsi="Arial" w:cs="Arial"/>
          <w:sz w:val="20"/>
        </w:rPr>
        <w:t>%), had the highest carbon stability (91.9%). Mulberry biochar, with moderate ash (8.8%), lies between these extremes, offering both nutrient value and stability.</w:t>
      </w:r>
    </w:p>
    <w:p w:rsidR="00FC6708" w:rsidRPr="007A14DB" w:rsidRDefault="00FC6708" w:rsidP="007A14DB">
      <w:pPr>
        <w:pStyle w:val="Heading3"/>
        <w:rPr>
          <w:rFonts w:ascii="Arial" w:hAnsi="Arial" w:cs="Arial"/>
          <w:sz w:val="22"/>
          <w:szCs w:val="24"/>
        </w:rPr>
      </w:pPr>
      <w:r w:rsidRPr="007A14DB">
        <w:rPr>
          <w:rFonts w:ascii="Arial" w:hAnsi="Arial" w:cs="Arial"/>
          <w:sz w:val="22"/>
          <w:szCs w:val="24"/>
        </w:rPr>
        <w:t>4.3 Volatile Matter</w:t>
      </w:r>
    </w:p>
    <w:p w:rsidR="00FC6708" w:rsidRPr="00861A19" w:rsidRDefault="00FC6708" w:rsidP="00FC6708">
      <w:pPr>
        <w:pStyle w:val="NormalWeb"/>
        <w:jc w:val="both"/>
        <w:rPr>
          <w:rFonts w:ascii="Arial" w:hAnsi="Arial" w:cs="Arial"/>
          <w:sz w:val="20"/>
        </w:rPr>
      </w:pPr>
      <w:r w:rsidRPr="00861A19">
        <w:rPr>
          <w:rFonts w:ascii="Arial" w:hAnsi="Arial" w:cs="Arial"/>
          <w:sz w:val="20"/>
        </w:rPr>
        <w:lastRenderedPageBreak/>
        <w:t>Higher volatile matter increases the fraction of labile carbon that is rapidly decomposable, leading to initial CO</w:t>
      </w:r>
      <w:r w:rsidRPr="00861A19">
        <w:rPr>
          <w:rFonts w:cs="Arial"/>
          <w:sz w:val="20"/>
        </w:rPr>
        <w:t>₂</w:t>
      </w:r>
      <w:r w:rsidRPr="00861A19">
        <w:rPr>
          <w:rFonts w:ascii="Arial" w:hAnsi="Arial" w:cs="Arial"/>
          <w:sz w:val="20"/>
        </w:rPr>
        <w:t xml:space="preserve"> release upon soil incorporation. Mulberry biochar contained 35.3% volatile matter, making it more reactive than low-volatility biochars like coconut shell (8.1%), but potentially beneficial in stimulating microbial activity and nutrient cycling.</w:t>
      </w:r>
    </w:p>
    <w:p w:rsidR="00FC6708" w:rsidRPr="007A14DB" w:rsidRDefault="00FC6708" w:rsidP="007A14DB">
      <w:pPr>
        <w:pStyle w:val="Heading3"/>
        <w:rPr>
          <w:rFonts w:ascii="Arial" w:hAnsi="Arial" w:cs="Arial"/>
          <w:sz w:val="22"/>
          <w:szCs w:val="24"/>
        </w:rPr>
      </w:pPr>
      <w:r w:rsidRPr="007A14DB">
        <w:rPr>
          <w:rFonts w:ascii="Arial" w:hAnsi="Arial" w:cs="Arial"/>
          <w:sz w:val="22"/>
          <w:szCs w:val="24"/>
        </w:rPr>
        <w:t>4.4 Pyrolysis Conditions and Carbon Yield</w:t>
      </w:r>
    </w:p>
    <w:p w:rsidR="00FC6708" w:rsidRPr="00861A19" w:rsidRDefault="00FC6708" w:rsidP="00FC6708">
      <w:pPr>
        <w:pStyle w:val="NormalWeb"/>
        <w:jc w:val="both"/>
        <w:rPr>
          <w:rFonts w:ascii="Arial" w:hAnsi="Arial" w:cs="Arial"/>
          <w:sz w:val="20"/>
        </w:rPr>
      </w:pPr>
      <w:r w:rsidRPr="00861A19">
        <w:rPr>
          <w:rFonts w:ascii="Arial" w:hAnsi="Arial" w:cs="Arial"/>
          <w:sz w:val="20"/>
        </w:rPr>
        <w:t xml:space="preserve">The total amount of carbon sequestered in soil through biochar is determined not only by its fixed carbon fraction but also by the </w:t>
      </w:r>
      <w:r w:rsidRPr="00861A19">
        <w:rPr>
          <w:rStyle w:val="Strong"/>
          <w:rFonts w:ascii="Arial" w:hAnsi="Arial" w:cs="Arial"/>
          <w:b w:val="0"/>
          <w:sz w:val="20"/>
        </w:rPr>
        <w:t>overall carbon content retained during pyrolysis</w:t>
      </w:r>
      <w:r w:rsidRPr="00861A19">
        <w:rPr>
          <w:rFonts w:ascii="Arial" w:hAnsi="Arial" w:cs="Arial"/>
          <w:b/>
          <w:sz w:val="20"/>
        </w:rPr>
        <w:t>.</w:t>
      </w:r>
      <w:r w:rsidRPr="00861A19">
        <w:rPr>
          <w:rFonts w:ascii="Arial" w:hAnsi="Arial" w:cs="Arial"/>
          <w:sz w:val="20"/>
        </w:rPr>
        <w:t xml:space="preserve"> Both these factors are highly variable and depend upon the </w:t>
      </w:r>
      <w:r w:rsidRPr="00861A19">
        <w:rPr>
          <w:rStyle w:val="Strong"/>
          <w:rFonts w:ascii="Arial" w:hAnsi="Arial" w:cs="Arial"/>
          <w:b w:val="0"/>
          <w:sz w:val="20"/>
        </w:rPr>
        <w:t>feedstock characteristics and operational parameters</w:t>
      </w:r>
      <w:r w:rsidRPr="00861A19">
        <w:rPr>
          <w:rFonts w:ascii="Arial" w:hAnsi="Arial" w:cs="Arial"/>
          <w:sz w:val="20"/>
        </w:rPr>
        <w:t xml:space="preserve"> such as temperature, residence time, and heating rate (</w:t>
      </w:r>
      <w:r w:rsidRPr="00BE1DBE">
        <w:rPr>
          <w:rFonts w:ascii="Arial" w:hAnsi="Arial" w:cs="Arial"/>
          <w:sz w:val="20"/>
        </w:rPr>
        <w:t xml:space="preserve">Tiwari </w:t>
      </w:r>
      <w:r w:rsidRPr="00BE1DBE">
        <w:rPr>
          <w:rFonts w:ascii="Arial" w:hAnsi="Arial" w:cs="Arial"/>
          <w:i/>
          <w:sz w:val="20"/>
        </w:rPr>
        <w:t>et al.,</w:t>
      </w:r>
      <w:r w:rsidRPr="00BE1DBE">
        <w:rPr>
          <w:rFonts w:ascii="Arial" w:hAnsi="Arial" w:cs="Arial"/>
          <w:sz w:val="20"/>
        </w:rPr>
        <w:t xml:space="preserve"> 2019a, b; Singh </w:t>
      </w:r>
      <w:r w:rsidRPr="00BE1DBE">
        <w:rPr>
          <w:rFonts w:ascii="Arial" w:hAnsi="Arial" w:cs="Arial"/>
          <w:i/>
          <w:sz w:val="20"/>
        </w:rPr>
        <w:t>et al.,</w:t>
      </w:r>
      <w:r w:rsidRPr="00BE1DBE">
        <w:rPr>
          <w:rFonts w:ascii="Arial" w:hAnsi="Arial" w:cs="Arial"/>
          <w:sz w:val="20"/>
        </w:rPr>
        <w:t xml:space="preserve"> 2019; Kour</w:t>
      </w:r>
      <w:r w:rsidRPr="00BE1DBE">
        <w:rPr>
          <w:rFonts w:ascii="Arial" w:hAnsi="Arial" w:cs="Arial"/>
          <w:i/>
          <w:sz w:val="20"/>
        </w:rPr>
        <w:t>et al.,</w:t>
      </w:r>
      <w:r w:rsidRPr="00BE1DBE">
        <w:rPr>
          <w:rFonts w:ascii="Arial" w:hAnsi="Arial" w:cs="Arial"/>
          <w:sz w:val="20"/>
        </w:rPr>
        <w:t xml:space="preserve"> 2019</w:t>
      </w:r>
      <w:r w:rsidRPr="00861A19">
        <w:rPr>
          <w:rFonts w:ascii="Arial" w:hAnsi="Arial" w:cs="Arial"/>
          <w:sz w:val="20"/>
        </w:rPr>
        <w:t>). Optimum pyrolysis conditions that maximize biochar yield and carbon retention are therefore essential to achieve higher sequestration potential.</w:t>
      </w:r>
    </w:p>
    <w:p w:rsidR="003843E6" w:rsidRPr="007A14DB" w:rsidRDefault="003843E6" w:rsidP="007A14DB">
      <w:pPr>
        <w:pStyle w:val="Heading3"/>
        <w:rPr>
          <w:rFonts w:ascii="Arial" w:hAnsi="Arial" w:cs="Arial"/>
          <w:sz w:val="22"/>
          <w:szCs w:val="24"/>
        </w:rPr>
      </w:pPr>
      <w:r w:rsidRPr="007A14DB">
        <w:rPr>
          <w:rFonts w:ascii="Arial" w:hAnsi="Arial" w:cs="Arial"/>
          <w:sz w:val="22"/>
          <w:szCs w:val="24"/>
        </w:rPr>
        <w:t>4.5 Soil pH and Porosity Effects</w:t>
      </w:r>
    </w:p>
    <w:p w:rsidR="003843E6" w:rsidRPr="00861A19" w:rsidRDefault="003843E6" w:rsidP="003843E6">
      <w:pPr>
        <w:pStyle w:val="NormalWeb"/>
        <w:jc w:val="both"/>
        <w:rPr>
          <w:rFonts w:ascii="Arial" w:hAnsi="Arial" w:cs="Arial"/>
          <w:sz w:val="20"/>
        </w:rPr>
      </w:pPr>
      <w:r w:rsidRPr="00861A19">
        <w:rPr>
          <w:rFonts w:ascii="Arial" w:hAnsi="Arial" w:cs="Arial"/>
          <w:sz w:val="20"/>
        </w:rPr>
        <w:t>Alkaline biochars, such as those from mulberry (pH 8.53), wheat straw (11.6), and olive pomace (10.5), improve soil pH and reduce microbial mineralization of native organic matter, indirectly enhancing net carbon stabilization. Similarly, mulberry biochar’s relatively high pore volume (0.32 cc g</w:t>
      </w:r>
      <w:r w:rsidRPr="00861A19">
        <w:rPr>
          <w:rFonts w:cs="Arial"/>
          <w:sz w:val="20"/>
        </w:rPr>
        <w:t>⁻</w:t>
      </w:r>
      <w:r w:rsidRPr="00861A19">
        <w:rPr>
          <w:rFonts w:ascii="Arial" w:hAnsi="Arial" w:cs="Arial"/>
          <w:sz w:val="20"/>
        </w:rPr>
        <w:t xml:space="preserve">¹) promotes </w:t>
      </w:r>
      <w:r w:rsidRPr="00861A19">
        <w:rPr>
          <w:rStyle w:val="Strong"/>
          <w:rFonts w:ascii="Arial" w:hAnsi="Arial" w:cs="Arial"/>
          <w:b w:val="0"/>
          <w:sz w:val="20"/>
        </w:rPr>
        <w:t>physical protection of organic matter</w:t>
      </w:r>
      <w:r w:rsidRPr="00861A19">
        <w:rPr>
          <w:rFonts w:ascii="Arial" w:hAnsi="Arial" w:cs="Arial"/>
          <w:sz w:val="20"/>
        </w:rPr>
        <w:t xml:space="preserve"> and adsorption of labile compounds, further supporting long-term sequestration.</w:t>
      </w:r>
    </w:p>
    <w:p w:rsidR="003843E6" w:rsidRPr="00861A19" w:rsidRDefault="003843E6" w:rsidP="003843E6">
      <w:pPr>
        <w:pStyle w:val="NormalWeb"/>
        <w:jc w:val="both"/>
        <w:rPr>
          <w:rFonts w:ascii="Arial" w:hAnsi="Arial" w:cs="Arial"/>
          <w:sz w:val="20"/>
        </w:rPr>
      </w:pPr>
      <w:r w:rsidRPr="00861A19">
        <w:rPr>
          <w:rFonts w:ascii="Arial" w:hAnsi="Arial" w:cs="Arial"/>
          <w:sz w:val="20"/>
        </w:rPr>
        <w:t xml:space="preserve">Collectively, the comparative analysis highlights </w:t>
      </w:r>
      <w:r w:rsidR="00FB1481" w:rsidRPr="00861A19">
        <w:rPr>
          <w:rFonts w:ascii="Arial" w:hAnsi="Arial" w:cs="Arial"/>
          <w:sz w:val="20"/>
        </w:rPr>
        <w:t>that</w:t>
      </w:r>
      <w:r w:rsidRPr="00861A19">
        <w:rPr>
          <w:rStyle w:val="Strong"/>
          <w:rFonts w:ascii="Arial" w:hAnsi="Arial" w:cs="Arial"/>
          <w:b w:val="0"/>
          <w:sz w:val="20"/>
        </w:rPr>
        <w:t>biochars with low ash content, high fixed carbon fractions, and produced under optimized pyrolysis conditions provide the greatest carbon sequestration potential</w:t>
      </w:r>
      <w:r w:rsidRPr="00861A19">
        <w:rPr>
          <w:rFonts w:ascii="Arial" w:hAnsi="Arial" w:cs="Arial"/>
          <w:b/>
          <w:sz w:val="20"/>
        </w:rPr>
        <w:t xml:space="preserve">. </w:t>
      </w:r>
      <w:r w:rsidRPr="00861A19">
        <w:rPr>
          <w:rFonts w:ascii="Arial" w:hAnsi="Arial" w:cs="Arial"/>
          <w:sz w:val="20"/>
        </w:rPr>
        <w:t xml:space="preserve">Mulberry biochar, while having lower fixed carbon compared to woody residues, combines alkaline pH, low moisture, moderate ash, and favorable porosity, making it an effective soil amendment for both </w:t>
      </w:r>
      <w:r w:rsidRPr="00861A19">
        <w:rPr>
          <w:rStyle w:val="Strong"/>
          <w:rFonts w:ascii="Arial" w:hAnsi="Arial" w:cs="Arial"/>
          <w:b w:val="0"/>
          <w:sz w:val="20"/>
        </w:rPr>
        <w:t>nutrient enrichment and carbon stabilization</w:t>
      </w:r>
      <w:r w:rsidRPr="00861A19">
        <w:rPr>
          <w:rFonts w:ascii="Arial" w:hAnsi="Arial" w:cs="Arial"/>
          <w:b/>
          <w:sz w:val="20"/>
        </w:rPr>
        <w:t>.</w:t>
      </w:r>
      <w:r w:rsidRPr="00861A19">
        <w:rPr>
          <w:rFonts w:ascii="Arial" w:hAnsi="Arial" w:cs="Arial"/>
          <w:sz w:val="20"/>
        </w:rPr>
        <w:t xml:space="preserve"> However, further research is required to refine its </w:t>
      </w:r>
      <w:r w:rsidRPr="00861A19">
        <w:rPr>
          <w:rStyle w:val="Strong"/>
          <w:rFonts w:ascii="Arial" w:hAnsi="Arial" w:cs="Arial"/>
          <w:b w:val="0"/>
          <w:sz w:val="20"/>
        </w:rPr>
        <w:t>pyrolysis optimization and long-term soil behavior</w:t>
      </w:r>
      <w:r w:rsidRPr="00861A19">
        <w:rPr>
          <w:rFonts w:ascii="Arial" w:hAnsi="Arial" w:cs="Arial"/>
          <w:sz w:val="20"/>
        </w:rPr>
        <w:t xml:space="preserve"> in order to unlock its full potential for carbon sequestration.</w:t>
      </w:r>
    </w:p>
    <w:p w:rsidR="003843E6" w:rsidRDefault="003843E6" w:rsidP="00FC6708">
      <w:pPr>
        <w:pStyle w:val="NormalWeb"/>
        <w:jc w:val="both"/>
        <w:sectPr w:rsidR="003843E6" w:rsidSect="001B34B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pPr>
    </w:p>
    <w:p w:rsidR="00FC6708" w:rsidRPr="00861A19" w:rsidRDefault="00DA6D9C" w:rsidP="00FC6708">
      <w:pPr>
        <w:pStyle w:val="NormalWeb"/>
        <w:jc w:val="both"/>
        <w:rPr>
          <w:rFonts w:ascii="Arial" w:hAnsi="Arial" w:cs="Arial"/>
          <w:b/>
          <w:sz w:val="20"/>
        </w:rPr>
      </w:pPr>
      <w:r w:rsidRPr="00861A19">
        <w:rPr>
          <w:rFonts w:ascii="Arial" w:hAnsi="Arial" w:cs="Arial"/>
          <w:b/>
          <w:sz w:val="20"/>
        </w:rPr>
        <w:lastRenderedPageBreak/>
        <w:t>Table 1. Proximate Composition and Carbon Sequestration Potential of Mulberry Biochar in Relation to Other Agricultural Residues</w:t>
      </w:r>
    </w:p>
    <w:tbl>
      <w:tblPr>
        <w:tblStyle w:val="TableGrid"/>
        <w:tblW w:w="1329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526"/>
        <w:gridCol w:w="1276"/>
        <w:gridCol w:w="1275"/>
        <w:gridCol w:w="1134"/>
        <w:gridCol w:w="993"/>
        <w:gridCol w:w="1134"/>
        <w:gridCol w:w="1417"/>
        <w:gridCol w:w="1418"/>
        <w:gridCol w:w="1559"/>
        <w:gridCol w:w="1559"/>
      </w:tblGrid>
      <w:tr w:rsidR="00FC6708" w:rsidTr="00861A19">
        <w:tc>
          <w:tcPr>
            <w:tcW w:w="1526" w:type="dxa"/>
            <w:vMerge w:val="restart"/>
            <w:tcBorders>
              <w:top w:val="single" w:sz="4" w:space="0" w:color="auto"/>
              <w:bottom w:val="single" w:sz="4" w:space="0" w:color="auto"/>
            </w:tcBorders>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eastAsia="Times New Roman" w:hAnsi="Times New Roman" w:cs="Times New Roman"/>
                <w:b/>
                <w:sz w:val="24"/>
                <w:szCs w:val="24"/>
              </w:rPr>
              <w:t>Biochar</w:t>
            </w:r>
          </w:p>
        </w:tc>
        <w:tc>
          <w:tcPr>
            <w:tcW w:w="11765" w:type="dxa"/>
            <w:gridSpan w:val="9"/>
            <w:tcBorders>
              <w:top w:val="single" w:sz="4" w:space="0" w:color="auto"/>
              <w:bottom w:val="single" w:sz="4" w:space="0" w:color="auto"/>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Properties of Biochar</w:t>
            </w:r>
          </w:p>
        </w:tc>
      </w:tr>
      <w:tr w:rsidR="00DA6D9C" w:rsidTr="00861A19">
        <w:tc>
          <w:tcPr>
            <w:tcW w:w="1526" w:type="dxa"/>
            <w:vMerge/>
            <w:tcBorders>
              <w:top w:val="single" w:sz="4" w:space="0" w:color="auto"/>
              <w:bottom w:val="single" w:sz="4" w:space="0" w:color="auto"/>
            </w:tcBorders>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p>
        </w:tc>
        <w:tc>
          <w:tcPr>
            <w:tcW w:w="1276"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Fixed carbon (%)</w:t>
            </w:r>
          </w:p>
        </w:tc>
        <w:tc>
          <w:tcPr>
            <w:tcW w:w="1275"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hAnsi="Times New Roman" w:cs="Times New Roman"/>
                <w:b/>
                <w:sz w:val="24"/>
                <w:szCs w:val="24"/>
              </w:rPr>
              <w:t>Moisture content (%)</w:t>
            </w:r>
          </w:p>
        </w:tc>
        <w:tc>
          <w:tcPr>
            <w:tcW w:w="1134"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Volatile matter (%)</w:t>
            </w:r>
          </w:p>
        </w:tc>
        <w:tc>
          <w:tcPr>
            <w:tcW w:w="993"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Ash content (%)</w:t>
            </w:r>
          </w:p>
        </w:tc>
        <w:tc>
          <w:tcPr>
            <w:tcW w:w="1134"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pH</w:t>
            </w:r>
          </w:p>
        </w:tc>
        <w:tc>
          <w:tcPr>
            <w:tcW w:w="1417"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Total pore volume (</w:t>
            </w:r>
            <w:r w:rsidRPr="00DA6D9C">
              <w:rPr>
                <w:b/>
                <w:sz w:val="24"/>
                <w:szCs w:val="24"/>
              </w:rPr>
              <w:t>Cc g</w:t>
            </w:r>
            <w:r w:rsidRPr="00DA6D9C">
              <w:rPr>
                <w:b/>
                <w:sz w:val="24"/>
                <w:szCs w:val="24"/>
                <w:vertAlign w:val="superscript"/>
              </w:rPr>
              <w:t>-1</w:t>
            </w:r>
            <w:r w:rsidRPr="00DA6D9C">
              <w:rPr>
                <w:b/>
                <w:sz w:val="24"/>
                <w:szCs w:val="24"/>
              </w:rPr>
              <w:t>)</w:t>
            </w:r>
          </w:p>
        </w:tc>
        <w:tc>
          <w:tcPr>
            <w:tcW w:w="1418"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 xml:space="preserve">Bulk density </w:t>
            </w:r>
            <w:r w:rsidRPr="00DA6D9C">
              <w:rPr>
                <w:b/>
                <w:sz w:val="24"/>
                <w:szCs w:val="24"/>
              </w:rPr>
              <w:t>(Mg m</w:t>
            </w:r>
            <w:r w:rsidRPr="00DA6D9C">
              <w:rPr>
                <w:b/>
                <w:sz w:val="24"/>
                <w:szCs w:val="24"/>
                <w:vertAlign w:val="superscript"/>
              </w:rPr>
              <w:t>-3</w:t>
            </w:r>
            <w:r w:rsidRPr="00DA6D9C">
              <w:rPr>
                <w:b/>
                <w:sz w:val="24"/>
                <w:szCs w:val="24"/>
              </w:rPr>
              <w:t>)</w:t>
            </w:r>
          </w:p>
        </w:tc>
        <w:tc>
          <w:tcPr>
            <w:tcW w:w="1559"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Surface area (</w:t>
            </w:r>
            <w:r w:rsidRPr="00DA6D9C">
              <w:rPr>
                <w:b/>
                <w:sz w:val="24"/>
                <w:szCs w:val="24"/>
              </w:rPr>
              <w:t>M</w:t>
            </w:r>
            <w:r w:rsidRPr="00DA6D9C">
              <w:rPr>
                <w:b/>
                <w:sz w:val="24"/>
                <w:szCs w:val="24"/>
                <w:vertAlign w:val="superscript"/>
              </w:rPr>
              <w:t>2</w:t>
            </w:r>
            <w:r w:rsidRPr="00DA6D9C">
              <w:rPr>
                <w:b/>
                <w:sz w:val="24"/>
                <w:szCs w:val="24"/>
              </w:rPr>
              <w:t xml:space="preserve"> g</w:t>
            </w:r>
            <w:r w:rsidRPr="00DA6D9C">
              <w:rPr>
                <w:b/>
                <w:sz w:val="24"/>
                <w:szCs w:val="24"/>
                <w:vertAlign w:val="superscript"/>
              </w:rPr>
              <w:t>-1</w:t>
            </w:r>
            <w:r w:rsidRPr="00DA6D9C">
              <w:rPr>
                <w:b/>
                <w:sz w:val="24"/>
                <w:szCs w:val="24"/>
              </w:rPr>
              <w:t>)</w:t>
            </w:r>
          </w:p>
        </w:tc>
        <w:tc>
          <w:tcPr>
            <w:tcW w:w="1559"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hAnsi="Times New Roman" w:cs="Times New Roman"/>
                <w:b/>
                <w:sz w:val="24"/>
                <w:szCs w:val="24"/>
              </w:rPr>
              <w:t>Carbon sequestration potential (%)</w:t>
            </w:r>
          </w:p>
        </w:tc>
      </w:tr>
      <w:tr w:rsidR="00DA6D9C" w:rsidTr="00861A19">
        <w:tc>
          <w:tcPr>
            <w:tcW w:w="1526" w:type="dxa"/>
            <w:tcBorders>
              <w:top w:val="single" w:sz="4" w:space="0" w:color="auto"/>
              <w:bottom w:val="nil"/>
            </w:tcBorders>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eastAsia="Times New Roman" w:hAnsi="Times New Roman" w:cs="Times New Roman"/>
                <w:b/>
                <w:sz w:val="24"/>
                <w:szCs w:val="24"/>
              </w:rPr>
              <w:t>Mulberry</w:t>
            </w:r>
          </w:p>
        </w:tc>
        <w:tc>
          <w:tcPr>
            <w:tcW w:w="1276"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sidRPr="005E09F8">
              <w:rPr>
                <w:rFonts w:ascii="Times New Roman" w:eastAsia="Times New Roman" w:hAnsi="Times New Roman" w:cs="Times New Roman"/>
                <w:sz w:val="24"/>
                <w:szCs w:val="24"/>
              </w:rPr>
              <w:t>53.14</w:t>
            </w:r>
          </w:p>
        </w:tc>
        <w:tc>
          <w:tcPr>
            <w:tcW w:w="1275"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34"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35.34</w:t>
            </w:r>
          </w:p>
        </w:tc>
        <w:tc>
          <w:tcPr>
            <w:tcW w:w="993"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8.82</w:t>
            </w:r>
          </w:p>
        </w:tc>
        <w:tc>
          <w:tcPr>
            <w:tcW w:w="1134" w:type="dxa"/>
            <w:tcBorders>
              <w:top w:val="single" w:sz="4" w:space="0" w:color="auto"/>
              <w:bottom w:val="nil"/>
            </w:tcBorders>
          </w:tcPr>
          <w:p w:rsidR="00FC6708" w:rsidRDefault="00FC6708" w:rsidP="00F40C5B">
            <w:pPr>
              <w:spacing w:before="100" w:beforeAutospacing="1" w:after="100" w:afterAutospacing="1"/>
              <w:jc w:val="center"/>
              <w:rPr>
                <w:rFonts w:ascii="Times New Roman" w:eastAsia="Times New Roman" w:hAnsi="Times New Roman" w:cs="Times New Roman"/>
                <w:sz w:val="24"/>
                <w:szCs w:val="24"/>
              </w:rPr>
            </w:pPr>
            <w:r>
              <w:t>8.53</w:t>
            </w:r>
          </w:p>
        </w:tc>
        <w:tc>
          <w:tcPr>
            <w:tcW w:w="1417"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8"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0.32</w:t>
            </w:r>
          </w:p>
        </w:tc>
        <w:tc>
          <w:tcPr>
            <w:tcW w:w="1559"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DA6D9C" w:rsidTr="00861A19">
        <w:tc>
          <w:tcPr>
            <w:tcW w:w="1526" w:type="dxa"/>
            <w:tcBorders>
              <w:top w:val="nil"/>
            </w:tcBorders>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Palm shell</w:t>
            </w:r>
          </w:p>
        </w:tc>
        <w:tc>
          <w:tcPr>
            <w:tcW w:w="1276"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88.5</w:t>
            </w:r>
          </w:p>
        </w:tc>
        <w:tc>
          <w:tcPr>
            <w:tcW w:w="1275"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2.2</w:t>
            </w:r>
          </w:p>
        </w:tc>
        <w:tc>
          <w:tcPr>
            <w:tcW w:w="1134"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11.5</w:t>
            </w:r>
          </w:p>
        </w:tc>
        <w:tc>
          <w:tcPr>
            <w:tcW w:w="993"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6.7</w:t>
            </w:r>
          </w:p>
        </w:tc>
        <w:tc>
          <w:tcPr>
            <w:tcW w:w="1134" w:type="dxa"/>
            <w:tcBorders>
              <w:top w:val="nil"/>
            </w:tcBorders>
          </w:tcPr>
          <w:p w:rsidR="00FC6708" w:rsidRDefault="00FC6708" w:rsidP="00F40C5B">
            <w:pPr>
              <w:spacing w:before="100" w:beforeAutospacing="1" w:after="100" w:afterAutospacing="1"/>
              <w:jc w:val="center"/>
            </w:pPr>
            <w:r>
              <w:t>6.1</w:t>
            </w:r>
          </w:p>
        </w:tc>
        <w:tc>
          <w:tcPr>
            <w:tcW w:w="1417"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0.16</w:t>
            </w:r>
          </w:p>
        </w:tc>
        <w:tc>
          <w:tcPr>
            <w:tcW w:w="1418"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p>
        </w:tc>
        <w:tc>
          <w:tcPr>
            <w:tcW w:w="1559"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32.5</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Sugarcane bagasse</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69.9</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3.7</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30.1</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13.0</w:t>
            </w:r>
          </w:p>
        </w:tc>
        <w:tc>
          <w:tcPr>
            <w:tcW w:w="1134" w:type="dxa"/>
          </w:tcPr>
          <w:p w:rsidR="00FC6708" w:rsidRDefault="00FC6708" w:rsidP="00F40C5B">
            <w:pPr>
              <w:spacing w:before="100" w:beforeAutospacing="1" w:after="100" w:afterAutospacing="1"/>
              <w:jc w:val="center"/>
            </w:pPr>
            <w:r>
              <w:t>8.6</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0.18</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220.0</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27.3</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Rice husk</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86.1</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5.7</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13.9</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47.0</w:t>
            </w:r>
          </w:p>
        </w:tc>
        <w:tc>
          <w:tcPr>
            <w:tcW w:w="1134" w:type="dxa"/>
          </w:tcPr>
          <w:p w:rsidR="00FC6708" w:rsidRDefault="00FC6708" w:rsidP="00F40C5B">
            <w:pPr>
              <w:spacing w:before="100" w:beforeAutospacing="1" w:after="100" w:afterAutospacing="1"/>
              <w:jc w:val="center"/>
            </w:pPr>
            <w:r>
              <w:t>9.9</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0.10</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149.1</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26</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 xml:space="preserve">Coconut shell </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91.9</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7.1</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8.1</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4.1</w:t>
            </w:r>
          </w:p>
        </w:tc>
        <w:tc>
          <w:tcPr>
            <w:tcW w:w="1134" w:type="dxa"/>
          </w:tcPr>
          <w:p w:rsidR="00FC6708" w:rsidRDefault="00FC6708" w:rsidP="00F40C5B">
            <w:pPr>
              <w:spacing w:before="100" w:beforeAutospacing="1" w:after="100" w:afterAutospacing="1"/>
              <w:jc w:val="center"/>
            </w:pPr>
            <w:r>
              <w:t>8.5</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0.15</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114.9</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28.7</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Wheat straw</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78.8</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8.1</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21.2</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23.4</w:t>
            </w:r>
          </w:p>
        </w:tc>
        <w:tc>
          <w:tcPr>
            <w:tcW w:w="1134" w:type="dxa"/>
          </w:tcPr>
          <w:p w:rsidR="00FC6708" w:rsidRDefault="00FC6708" w:rsidP="00F40C5B">
            <w:pPr>
              <w:spacing w:before="100" w:beforeAutospacing="1" w:after="100" w:afterAutospacing="1"/>
              <w:jc w:val="center"/>
            </w:pPr>
            <w:r>
              <w:t>11.6</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0.01</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222.5</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21.3</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Cotton stalk</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71.2</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8.5</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28.8</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9.5</w:t>
            </w:r>
          </w:p>
        </w:tc>
        <w:tc>
          <w:tcPr>
            <w:tcW w:w="1134" w:type="dxa"/>
          </w:tcPr>
          <w:p w:rsidR="00FC6708" w:rsidRDefault="00FC6708" w:rsidP="00F40C5B">
            <w:pPr>
              <w:spacing w:before="100" w:beforeAutospacing="1" w:after="100" w:afterAutospacing="1"/>
              <w:jc w:val="center"/>
            </w:pPr>
            <w:r>
              <w:t>10.3</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0.05</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6.3</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23.8</w:t>
            </w:r>
          </w:p>
        </w:tc>
      </w:tr>
      <w:tr w:rsidR="00DA6D9C" w:rsidTr="00861A19">
        <w:tc>
          <w:tcPr>
            <w:tcW w:w="1526" w:type="dxa"/>
          </w:tcPr>
          <w:p w:rsidR="00FC6708" w:rsidRPr="005E09F8" w:rsidRDefault="00FC6708" w:rsidP="00F40C5B">
            <w:pPr>
              <w:spacing w:before="100" w:beforeAutospacing="1" w:after="100" w:afterAutospacing="1"/>
              <w:rPr>
                <w:rFonts w:ascii="Times New Roman" w:hAnsi="Times New Roman" w:cs="Times New Roman"/>
                <w:b/>
                <w:sz w:val="24"/>
                <w:szCs w:val="24"/>
              </w:rPr>
            </w:pPr>
            <w:r w:rsidRPr="005E09F8">
              <w:rPr>
                <w:rFonts w:ascii="Times New Roman" w:hAnsi="Times New Roman" w:cs="Times New Roman"/>
                <w:b/>
                <w:sz w:val="24"/>
                <w:szCs w:val="24"/>
              </w:rPr>
              <w:t>Olive pomace</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79.1</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10.0</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20.9</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18.1</w:t>
            </w:r>
          </w:p>
        </w:tc>
        <w:tc>
          <w:tcPr>
            <w:tcW w:w="1134" w:type="dxa"/>
          </w:tcPr>
          <w:p w:rsidR="00FC6708" w:rsidRDefault="00FC6708" w:rsidP="00F40C5B">
            <w:pPr>
              <w:spacing w:before="100" w:beforeAutospacing="1" w:after="100" w:afterAutospacing="1"/>
              <w:jc w:val="center"/>
            </w:pPr>
            <w:r>
              <w:t>10.5</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0.00</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1.2</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24.5</w:t>
            </w:r>
          </w:p>
        </w:tc>
      </w:tr>
      <w:tr w:rsidR="00DA6D9C" w:rsidTr="00861A19">
        <w:tc>
          <w:tcPr>
            <w:tcW w:w="1526" w:type="dxa"/>
          </w:tcPr>
          <w:p w:rsidR="00FC6708" w:rsidRPr="005E09F8" w:rsidRDefault="00FC6708" w:rsidP="00F40C5B">
            <w:pPr>
              <w:spacing w:before="100" w:beforeAutospacing="1" w:after="100" w:afterAutospacing="1"/>
              <w:rPr>
                <w:rFonts w:ascii="Times New Roman" w:hAnsi="Times New Roman" w:cs="Times New Roman"/>
                <w:b/>
                <w:sz w:val="24"/>
                <w:szCs w:val="24"/>
              </w:rPr>
            </w:pPr>
            <w:r w:rsidRPr="005E09F8">
              <w:rPr>
                <w:rFonts w:ascii="Times New Roman" w:hAnsi="Times New Roman" w:cs="Times New Roman"/>
                <w:b/>
                <w:sz w:val="24"/>
                <w:szCs w:val="24"/>
              </w:rPr>
              <w:t>Coconut fibre</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74.9</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10.4</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25.1</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13.5</w:t>
            </w:r>
          </w:p>
        </w:tc>
        <w:tc>
          <w:tcPr>
            <w:tcW w:w="1134" w:type="dxa"/>
          </w:tcPr>
          <w:p w:rsidR="00FC6708" w:rsidRDefault="00FC6708" w:rsidP="00F40C5B">
            <w:pPr>
              <w:spacing w:before="100" w:beforeAutospacing="1" w:after="100" w:afterAutospacing="1"/>
              <w:jc w:val="center"/>
            </w:pPr>
            <w:r>
              <w:t>9.6</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0.04</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23.2</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26.8</w:t>
            </w:r>
          </w:p>
        </w:tc>
      </w:tr>
    </w:tbl>
    <w:p w:rsidR="00FC6708" w:rsidRPr="00861A19" w:rsidRDefault="00FC6708" w:rsidP="00FC6708">
      <w:pPr>
        <w:spacing w:before="100" w:beforeAutospacing="1" w:after="100" w:afterAutospacing="1" w:line="240" w:lineRule="auto"/>
        <w:rPr>
          <w:rFonts w:ascii="Arial" w:eastAsia="Times New Roman" w:hAnsi="Arial" w:cs="Arial"/>
          <w:b/>
          <w:sz w:val="20"/>
          <w:szCs w:val="20"/>
        </w:rPr>
      </w:pPr>
      <w:r w:rsidRPr="00861A19">
        <w:rPr>
          <w:rFonts w:ascii="Arial" w:eastAsia="Times New Roman" w:hAnsi="Arial" w:cs="Arial"/>
          <w:b/>
          <w:sz w:val="20"/>
          <w:szCs w:val="20"/>
        </w:rPr>
        <w:t>Source</w:t>
      </w:r>
      <w:r w:rsidRPr="00DD4DEB">
        <w:rPr>
          <w:rFonts w:ascii="Arial" w:eastAsia="Times New Roman" w:hAnsi="Arial" w:cs="Arial"/>
          <w:b/>
          <w:sz w:val="20"/>
          <w:szCs w:val="20"/>
        </w:rPr>
        <w:t xml:space="preserve">: </w:t>
      </w:r>
      <w:r w:rsidRPr="00DD4DEB">
        <w:rPr>
          <w:rFonts w:ascii="Arial" w:hAnsi="Arial" w:cs="Arial"/>
          <w:b/>
          <w:sz w:val="20"/>
          <w:szCs w:val="20"/>
        </w:rPr>
        <w:t xml:space="preserve">Nandini and Prakasha, 2022; Kaushik </w:t>
      </w:r>
      <w:r w:rsidRPr="00DD4DEB">
        <w:rPr>
          <w:rFonts w:ascii="Arial" w:hAnsi="Arial" w:cs="Arial"/>
          <w:b/>
          <w:i/>
          <w:sz w:val="20"/>
          <w:szCs w:val="20"/>
        </w:rPr>
        <w:t>et al.,</w:t>
      </w:r>
      <w:r w:rsidRPr="00DD4DEB">
        <w:rPr>
          <w:rFonts w:ascii="Arial" w:hAnsi="Arial" w:cs="Arial"/>
          <w:b/>
          <w:sz w:val="20"/>
          <w:szCs w:val="20"/>
        </w:rPr>
        <w:t xml:space="preserve"> 2025; Windeatt</w:t>
      </w:r>
      <w:r w:rsidRPr="00DD4DEB">
        <w:rPr>
          <w:rFonts w:ascii="Arial" w:hAnsi="Arial" w:cs="Arial"/>
          <w:b/>
          <w:i/>
          <w:sz w:val="20"/>
          <w:szCs w:val="20"/>
        </w:rPr>
        <w:t>et al.,</w:t>
      </w:r>
      <w:r w:rsidRPr="00DD4DEB">
        <w:rPr>
          <w:rFonts w:ascii="Arial" w:hAnsi="Arial" w:cs="Arial"/>
          <w:b/>
          <w:sz w:val="20"/>
          <w:szCs w:val="20"/>
        </w:rPr>
        <w:t xml:space="preserve"> 2014</w:t>
      </w:r>
    </w:p>
    <w:p w:rsidR="00FC6708" w:rsidRDefault="00FC6708" w:rsidP="00FC6708">
      <w:pPr>
        <w:pStyle w:val="NormalWeb"/>
        <w:jc w:val="both"/>
      </w:pPr>
    </w:p>
    <w:p w:rsidR="00FC6708" w:rsidRDefault="00FC6708" w:rsidP="00FC6708">
      <w:pPr>
        <w:pStyle w:val="NormalWeb"/>
        <w:jc w:val="both"/>
      </w:pPr>
    </w:p>
    <w:p w:rsidR="00FC6708" w:rsidRDefault="00FC6708" w:rsidP="00FC6708">
      <w:pPr>
        <w:pStyle w:val="NormalWeb"/>
        <w:jc w:val="both"/>
      </w:pPr>
    </w:p>
    <w:p w:rsidR="00FC6708" w:rsidRDefault="00FC6708" w:rsidP="00FC6708">
      <w:pPr>
        <w:pStyle w:val="NormalWeb"/>
        <w:jc w:val="both"/>
      </w:pPr>
    </w:p>
    <w:p w:rsidR="00FC6708" w:rsidRDefault="00FC6708" w:rsidP="00FC6708">
      <w:pPr>
        <w:pStyle w:val="NormalWeb"/>
        <w:jc w:val="both"/>
        <w:sectPr w:rsidR="00FC6708" w:rsidSect="001B34BD">
          <w:pgSz w:w="15840" w:h="12240" w:orient="landscape"/>
          <w:pgMar w:top="1440" w:right="1440" w:bottom="1440" w:left="1440" w:header="709" w:footer="709" w:gutter="0"/>
          <w:cols w:space="708"/>
          <w:docGrid w:linePitch="360"/>
        </w:sectPr>
      </w:pPr>
    </w:p>
    <w:p w:rsidR="003843E6" w:rsidRPr="007A14DB" w:rsidRDefault="007A14DB" w:rsidP="007A14DB">
      <w:pPr>
        <w:pStyle w:val="Heading2"/>
        <w:rPr>
          <w:rFonts w:ascii="Arial" w:hAnsi="Arial" w:cs="Arial"/>
          <w:color w:val="auto"/>
          <w:sz w:val="22"/>
          <w:szCs w:val="24"/>
        </w:rPr>
      </w:pPr>
      <w:r w:rsidRPr="007A14DB">
        <w:rPr>
          <w:rFonts w:ascii="Arial" w:hAnsi="Arial" w:cs="Arial"/>
          <w:color w:val="auto"/>
          <w:sz w:val="22"/>
          <w:szCs w:val="24"/>
        </w:rPr>
        <w:lastRenderedPageBreak/>
        <w:t>5. MULBERRY WASTE AS FEEDSTOCK FOR BIOCHAR</w:t>
      </w:r>
    </w:p>
    <w:p w:rsidR="003843E6" w:rsidRPr="007A14DB" w:rsidRDefault="003843E6" w:rsidP="007A14DB">
      <w:pPr>
        <w:pStyle w:val="Heading3"/>
        <w:rPr>
          <w:rFonts w:ascii="Arial" w:hAnsi="Arial" w:cs="Arial"/>
          <w:sz w:val="22"/>
          <w:szCs w:val="24"/>
        </w:rPr>
      </w:pPr>
      <w:r w:rsidRPr="007A14DB">
        <w:rPr>
          <w:rFonts w:ascii="Arial" w:hAnsi="Arial" w:cs="Arial"/>
          <w:sz w:val="22"/>
          <w:szCs w:val="24"/>
        </w:rPr>
        <w:t>5.1 Mulberry Stalks and Residues</w:t>
      </w:r>
    </w:p>
    <w:p w:rsidR="003843E6" w:rsidRPr="00861A19" w:rsidRDefault="003843E6" w:rsidP="003843E6">
      <w:pPr>
        <w:pStyle w:val="NormalWeb"/>
        <w:jc w:val="both"/>
        <w:rPr>
          <w:rFonts w:ascii="Arial" w:hAnsi="Arial" w:cs="Arial"/>
          <w:sz w:val="20"/>
        </w:rPr>
      </w:pPr>
      <w:r w:rsidRPr="00861A19">
        <w:rPr>
          <w:rFonts w:ascii="Arial" w:hAnsi="Arial" w:cs="Arial"/>
          <w:sz w:val="20"/>
        </w:rPr>
        <w:t>Mulberry (</w:t>
      </w:r>
      <w:r w:rsidRPr="00861A19">
        <w:rPr>
          <w:rFonts w:ascii="Arial" w:hAnsi="Arial" w:cs="Arial"/>
          <w:i/>
          <w:sz w:val="20"/>
        </w:rPr>
        <w:t>Morus</w:t>
      </w:r>
      <w:r w:rsidRPr="00861A19">
        <w:rPr>
          <w:rFonts w:ascii="Arial" w:hAnsi="Arial" w:cs="Arial"/>
          <w:sz w:val="20"/>
        </w:rPr>
        <w:t xml:space="preserve"> spp.) is a perennial plant cultivated extensively for sericulture, particularly in Asia, where its leaves serve as the sole food source for the silkworm </w:t>
      </w:r>
      <w:r w:rsidRPr="00861A19">
        <w:rPr>
          <w:rStyle w:val="Emphasis"/>
          <w:rFonts w:ascii="Arial" w:hAnsi="Arial" w:cs="Arial"/>
          <w:sz w:val="20"/>
        </w:rPr>
        <w:t>Bombyx mori</w:t>
      </w:r>
      <w:r w:rsidRPr="00861A19">
        <w:rPr>
          <w:rFonts w:ascii="Arial" w:hAnsi="Arial" w:cs="Arial"/>
          <w:sz w:val="20"/>
        </w:rPr>
        <w:t xml:space="preserve"> (</w:t>
      </w:r>
      <w:r w:rsidRPr="00DD4DEB">
        <w:rPr>
          <w:rFonts w:ascii="Arial" w:hAnsi="Arial" w:cs="Arial"/>
          <w:sz w:val="20"/>
        </w:rPr>
        <w:t xml:space="preserve">Nath </w:t>
      </w:r>
      <w:r w:rsidRPr="00DD4DEB">
        <w:rPr>
          <w:rFonts w:ascii="Arial" w:hAnsi="Arial" w:cs="Arial"/>
          <w:i/>
          <w:sz w:val="20"/>
        </w:rPr>
        <w:t xml:space="preserve">et al., </w:t>
      </w:r>
      <w:r w:rsidRPr="00DD4DEB">
        <w:rPr>
          <w:rFonts w:ascii="Arial" w:hAnsi="Arial" w:cs="Arial"/>
          <w:sz w:val="20"/>
        </w:rPr>
        <w:t>2025</w:t>
      </w:r>
      <w:r w:rsidRPr="00861A19">
        <w:rPr>
          <w:rFonts w:ascii="Arial" w:hAnsi="Arial" w:cs="Arial"/>
          <w:sz w:val="20"/>
        </w:rPr>
        <w:t xml:space="preserve">). In addition to leaves, mulberry cultivation generates large volumes of lignocellulosic residues, primarily stalks and pruning waste, after each harvest cycle </w:t>
      </w:r>
      <w:r w:rsidRPr="00DD4DEB">
        <w:rPr>
          <w:rFonts w:ascii="Arial" w:hAnsi="Arial" w:cs="Arial"/>
          <w:sz w:val="20"/>
        </w:rPr>
        <w:t xml:space="preserve">(Dutta </w:t>
      </w:r>
      <w:r w:rsidRPr="00DD4DEB">
        <w:rPr>
          <w:rFonts w:ascii="Arial" w:hAnsi="Arial" w:cs="Arial"/>
          <w:i/>
          <w:sz w:val="20"/>
        </w:rPr>
        <w:t>et al.,</w:t>
      </w:r>
      <w:r w:rsidRPr="00DD4DEB">
        <w:rPr>
          <w:rFonts w:ascii="Arial" w:hAnsi="Arial" w:cs="Arial"/>
          <w:sz w:val="20"/>
        </w:rPr>
        <w:t xml:space="preserve"> 2025). These residues are often discarded or burned in the field, contributing to air pollution and loss of organic carbon. Mulberry stalks are rich in cellulose (35–45%), hemicellulose (20–25%), and lignin (18–25%), rendering them structurally suitable for thermochemical conversion into biochar (Kaushik </w:t>
      </w:r>
      <w:r w:rsidRPr="00DD4DEB">
        <w:rPr>
          <w:rFonts w:ascii="Arial" w:hAnsi="Arial" w:cs="Arial"/>
          <w:i/>
          <w:sz w:val="20"/>
        </w:rPr>
        <w:t>et al.,</w:t>
      </w:r>
      <w:r w:rsidRPr="00DD4DEB">
        <w:rPr>
          <w:rFonts w:ascii="Arial" w:hAnsi="Arial" w:cs="Arial"/>
          <w:sz w:val="20"/>
        </w:rPr>
        <w:t xml:space="preserve"> 2025; Lamani</w:t>
      </w:r>
      <w:r w:rsidRPr="00DD4DEB">
        <w:rPr>
          <w:rFonts w:ascii="Arial" w:hAnsi="Arial" w:cs="Arial"/>
          <w:i/>
          <w:sz w:val="20"/>
        </w:rPr>
        <w:t>et al.,</w:t>
      </w:r>
      <w:r w:rsidRPr="00DD4DEB">
        <w:rPr>
          <w:rFonts w:ascii="Arial" w:hAnsi="Arial" w:cs="Arial"/>
          <w:sz w:val="20"/>
        </w:rPr>
        <w:t xml:space="preserve"> 2024). Their year-round availability, coupled with predictable annual yields, ensures a continuous and reliable feedstock supply compared to seasonal crop residues</w:t>
      </w:r>
      <w:r w:rsidR="00921664" w:rsidRPr="00DD4DEB">
        <w:rPr>
          <w:rFonts w:ascii="Arial" w:hAnsi="Arial" w:cs="Arial"/>
          <w:sz w:val="20"/>
        </w:rPr>
        <w:t xml:space="preserve"> (Nath </w:t>
      </w:r>
      <w:r w:rsidR="00921664" w:rsidRPr="00DD4DEB">
        <w:rPr>
          <w:rFonts w:ascii="Arial" w:hAnsi="Arial" w:cs="Arial"/>
          <w:i/>
          <w:sz w:val="20"/>
        </w:rPr>
        <w:t>et al.,</w:t>
      </w:r>
      <w:r w:rsidR="00921664" w:rsidRPr="00DD4DEB">
        <w:rPr>
          <w:rFonts w:ascii="Arial" w:hAnsi="Arial" w:cs="Arial"/>
          <w:sz w:val="20"/>
        </w:rPr>
        <w:t xml:space="preserve"> 2024)</w:t>
      </w:r>
      <w:r w:rsidRPr="00DD4DEB">
        <w:rPr>
          <w:rFonts w:ascii="Arial" w:hAnsi="Arial" w:cs="Arial"/>
          <w:sz w:val="20"/>
        </w:rPr>
        <w:t>. Furthermore, mulberry stalks possess moderate ash content (8–10%), low moisture (~2–3%), and favorable porosity, which collectively support high-quality biochar production (Nandini &amp;Prakasha, 2022</w:t>
      </w:r>
      <w:r w:rsidR="00921664" w:rsidRPr="00DD4DEB">
        <w:rPr>
          <w:rFonts w:ascii="Arial" w:hAnsi="Arial" w:cs="Arial"/>
          <w:sz w:val="20"/>
        </w:rPr>
        <w:t>;Dutta</w:t>
      </w:r>
      <w:r w:rsidR="00921664" w:rsidRPr="00DD4DEB">
        <w:rPr>
          <w:rFonts w:ascii="Arial" w:hAnsi="Arial" w:cs="Arial"/>
          <w:i/>
          <w:sz w:val="20"/>
        </w:rPr>
        <w:t>et al.,</w:t>
      </w:r>
      <w:r w:rsidR="00921664" w:rsidRPr="00DD4DEB">
        <w:rPr>
          <w:rFonts w:ascii="Arial" w:hAnsi="Arial" w:cs="Arial"/>
          <w:sz w:val="20"/>
        </w:rPr>
        <w:t xml:space="preserve"> 2025</w:t>
      </w:r>
      <w:r w:rsidRPr="00DD4DEB">
        <w:rPr>
          <w:rFonts w:ascii="Arial" w:hAnsi="Arial" w:cs="Arial"/>
          <w:sz w:val="20"/>
        </w:rPr>
        <w:t>). Utilizing mulberry residues for biochar not only provides a sustainable alternative to open burning</w:t>
      </w:r>
      <w:r w:rsidRPr="00861A19">
        <w:rPr>
          <w:rFonts w:ascii="Arial" w:hAnsi="Arial" w:cs="Arial"/>
          <w:sz w:val="20"/>
        </w:rPr>
        <w:t xml:space="preserve"> but also addresses waste management issues in sericulture-based regions.</w:t>
      </w:r>
    </w:p>
    <w:p w:rsidR="003843E6" w:rsidRPr="007A14DB" w:rsidRDefault="003843E6" w:rsidP="007A14DB">
      <w:pPr>
        <w:pStyle w:val="Heading3"/>
        <w:rPr>
          <w:rFonts w:ascii="Arial" w:hAnsi="Arial" w:cs="Arial"/>
          <w:sz w:val="22"/>
          <w:szCs w:val="24"/>
        </w:rPr>
      </w:pPr>
      <w:r w:rsidRPr="007A14DB">
        <w:rPr>
          <w:rFonts w:ascii="Arial" w:hAnsi="Arial" w:cs="Arial"/>
          <w:sz w:val="22"/>
          <w:szCs w:val="24"/>
        </w:rPr>
        <w:t>5.2 Agronomic Applications of Mulberry Biochar</w:t>
      </w:r>
    </w:p>
    <w:p w:rsidR="003843E6" w:rsidRPr="00DD4DEB" w:rsidRDefault="003843E6" w:rsidP="003843E6">
      <w:pPr>
        <w:pStyle w:val="NormalWeb"/>
        <w:jc w:val="both"/>
        <w:rPr>
          <w:rFonts w:ascii="Arial" w:hAnsi="Arial" w:cs="Arial"/>
          <w:sz w:val="20"/>
        </w:rPr>
      </w:pPr>
      <w:r w:rsidRPr="00861A19">
        <w:rPr>
          <w:rFonts w:ascii="Arial" w:hAnsi="Arial" w:cs="Arial"/>
          <w:sz w:val="20"/>
        </w:rPr>
        <w:t>Agricultural studies indicate that mulberry-derived biochar significantly enhances soil fertility and crop productivity. When applied at rates of 7.5–10 t ha</w:t>
      </w:r>
      <w:r w:rsidRPr="00861A19">
        <w:rPr>
          <w:rFonts w:cs="Arial"/>
          <w:sz w:val="20"/>
        </w:rPr>
        <w:t>⁻</w:t>
      </w:r>
      <w:r w:rsidRPr="00861A19">
        <w:rPr>
          <w:rFonts w:ascii="Arial" w:hAnsi="Arial" w:cs="Arial"/>
          <w:sz w:val="20"/>
        </w:rPr>
        <w:t>¹, either alone or in combination with farmyard manure (FYM), mulberry biochar improved soil aggregate stability, bulk density, and water retention capacity, thereby creating a more favorable environment for root growth and microbial activity (</w:t>
      </w:r>
      <w:r w:rsidRPr="00DD4DEB">
        <w:rPr>
          <w:rFonts w:ascii="Arial" w:hAnsi="Arial" w:cs="Arial"/>
          <w:sz w:val="20"/>
        </w:rPr>
        <w:t>Lamani</w:t>
      </w:r>
      <w:r w:rsidRPr="00DD4DEB">
        <w:rPr>
          <w:rFonts w:ascii="Arial" w:hAnsi="Arial" w:cs="Arial"/>
          <w:i/>
          <w:sz w:val="20"/>
        </w:rPr>
        <w:t>et al.,</w:t>
      </w:r>
      <w:r w:rsidRPr="00DD4DEB">
        <w:rPr>
          <w:rFonts w:ascii="Arial" w:hAnsi="Arial" w:cs="Arial"/>
          <w:sz w:val="20"/>
        </w:rPr>
        <w:t xml:space="preserve"> 2024). The porous structure of mulberry biochar also increases cation exchange capacity (CEC), reducing nutrient leaching and improving nitrogen, phosphorus, and potassium availability (Atkinson </w:t>
      </w:r>
      <w:r w:rsidRPr="00DD4DEB">
        <w:rPr>
          <w:rFonts w:ascii="Arial" w:hAnsi="Arial" w:cs="Arial"/>
          <w:i/>
          <w:sz w:val="20"/>
        </w:rPr>
        <w:t>et al.,</w:t>
      </w:r>
      <w:r w:rsidRPr="00DD4DEB">
        <w:rPr>
          <w:rFonts w:ascii="Arial" w:hAnsi="Arial" w:cs="Arial"/>
          <w:sz w:val="20"/>
        </w:rPr>
        <w:t xml:space="preserve"> 2010; Wang </w:t>
      </w:r>
      <w:r w:rsidRPr="00DD4DEB">
        <w:rPr>
          <w:rFonts w:ascii="Arial" w:hAnsi="Arial" w:cs="Arial"/>
          <w:i/>
          <w:sz w:val="20"/>
        </w:rPr>
        <w:t>et al.,</w:t>
      </w:r>
      <w:r w:rsidRPr="00DD4DEB">
        <w:rPr>
          <w:rFonts w:ascii="Arial" w:hAnsi="Arial" w:cs="Arial"/>
          <w:sz w:val="20"/>
        </w:rPr>
        <w:t xml:space="preserve"> 2016).</w:t>
      </w:r>
    </w:p>
    <w:p w:rsidR="003843E6" w:rsidRPr="00861A19" w:rsidRDefault="003843E6" w:rsidP="003843E6">
      <w:pPr>
        <w:pStyle w:val="NormalWeb"/>
        <w:jc w:val="both"/>
        <w:rPr>
          <w:rFonts w:ascii="Arial" w:hAnsi="Arial" w:cs="Arial"/>
          <w:sz w:val="20"/>
        </w:rPr>
      </w:pPr>
      <w:r w:rsidRPr="00DD4DEB">
        <w:rPr>
          <w:rFonts w:ascii="Arial" w:hAnsi="Arial" w:cs="Arial"/>
          <w:sz w:val="20"/>
        </w:rPr>
        <w:t xml:space="preserve">Biochar–FYM integration appears particularly effective, as the combination synergistically enhances nutrient cycling and organic matter stabilization. In mulberry fields, such combinations have been shown to increase leaf yield, crude protein, and fiber content, which directly improve silkworm nutrition and cocoon productivity (Kaushik </w:t>
      </w:r>
      <w:r w:rsidRPr="00DD4DEB">
        <w:rPr>
          <w:rFonts w:ascii="Arial" w:hAnsi="Arial" w:cs="Arial"/>
          <w:i/>
          <w:sz w:val="20"/>
        </w:rPr>
        <w:t>et al.,</w:t>
      </w:r>
      <w:r w:rsidRPr="00DD4DEB">
        <w:rPr>
          <w:rFonts w:ascii="Arial" w:hAnsi="Arial" w:cs="Arial"/>
          <w:sz w:val="20"/>
        </w:rPr>
        <w:t xml:space="preserve"> 2025; Majumder </w:t>
      </w:r>
      <w:r w:rsidRPr="00DD4DEB">
        <w:rPr>
          <w:rFonts w:ascii="Arial" w:hAnsi="Arial" w:cs="Arial"/>
          <w:i/>
          <w:sz w:val="20"/>
        </w:rPr>
        <w:t>et al.,</w:t>
      </w:r>
      <w:r w:rsidRPr="00DD4DEB">
        <w:rPr>
          <w:rFonts w:ascii="Arial" w:hAnsi="Arial" w:cs="Arial"/>
          <w:sz w:val="20"/>
        </w:rPr>
        <w:t xml:space="preserve"> 2019). Beyond mulbe</w:t>
      </w:r>
      <w:r w:rsidRPr="00861A19">
        <w:rPr>
          <w:rFonts w:ascii="Arial" w:hAnsi="Arial" w:cs="Arial"/>
          <w:sz w:val="20"/>
        </w:rPr>
        <w:t>rry cultivation, similar trends have been observed in other cropping systems, suggesting that mulberry biochar could be extended to diversified agricultural practices where soil degradation is a concern.</w:t>
      </w:r>
    </w:p>
    <w:p w:rsidR="003843E6" w:rsidRPr="007A14DB" w:rsidRDefault="003843E6" w:rsidP="007A14DB">
      <w:pPr>
        <w:pStyle w:val="Heading3"/>
        <w:rPr>
          <w:rFonts w:ascii="Arial" w:hAnsi="Arial" w:cs="Arial"/>
          <w:sz w:val="22"/>
          <w:szCs w:val="24"/>
        </w:rPr>
      </w:pPr>
      <w:r w:rsidRPr="007A14DB">
        <w:rPr>
          <w:rFonts w:ascii="Arial" w:hAnsi="Arial" w:cs="Arial"/>
          <w:sz w:val="22"/>
          <w:szCs w:val="24"/>
        </w:rPr>
        <w:t>5.3 Environmental and Industrial Applications</w:t>
      </w:r>
    </w:p>
    <w:p w:rsidR="003843E6" w:rsidRPr="00861A19" w:rsidRDefault="003843E6" w:rsidP="003843E6">
      <w:pPr>
        <w:pStyle w:val="NormalWeb"/>
        <w:jc w:val="both"/>
        <w:rPr>
          <w:rFonts w:ascii="Arial" w:hAnsi="Arial" w:cs="Arial"/>
          <w:sz w:val="20"/>
        </w:rPr>
      </w:pPr>
      <w:r w:rsidRPr="00861A19">
        <w:rPr>
          <w:rFonts w:ascii="Arial" w:hAnsi="Arial" w:cs="Arial"/>
          <w:sz w:val="20"/>
        </w:rPr>
        <w:t>Beyond agronomic benefits, mulberry biochar has been explored for its potential role in environmental remediation. Its high porosity and alkaline surface chemistry make it a promising adsorbent for heavy metals and organic pollutants. Recent advances demonstrate that acid-modified mulberry wood waste biochar achieved &gt;95% removal efficiency of methylene blue dye from aqueous solutions (</w:t>
      </w:r>
      <w:r w:rsidR="006C2201" w:rsidRPr="00DD4DEB">
        <w:rPr>
          <w:rFonts w:ascii="Arial" w:hAnsi="Arial" w:cs="Arial"/>
          <w:sz w:val="20"/>
        </w:rPr>
        <w:t xml:space="preserve">Mutahir </w:t>
      </w:r>
      <w:r w:rsidR="006C2201" w:rsidRPr="00DD4DEB">
        <w:rPr>
          <w:rFonts w:ascii="Arial" w:hAnsi="Arial" w:cs="Arial"/>
          <w:i/>
          <w:sz w:val="20"/>
        </w:rPr>
        <w:t>et al.,</w:t>
      </w:r>
      <w:r w:rsidR="006C2201" w:rsidRPr="00DD4DEB">
        <w:rPr>
          <w:rFonts w:ascii="Arial" w:hAnsi="Arial" w:cs="Arial"/>
          <w:sz w:val="20"/>
        </w:rPr>
        <w:t xml:space="preserve"> 2023</w:t>
      </w:r>
      <w:r w:rsidRPr="00DD4DEB">
        <w:rPr>
          <w:rFonts w:ascii="Arial" w:hAnsi="Arial" w:cs="Arial"/>
          <w:sz w:val="20"/>
        </w:rPr>
        <w:t>). Such modifications increase the density of functional groups (–OH, –COOH), thereby enhancing adsorption affinity. These findings highlight mulberry biochar’s versatility as a low-cost and eco-friendly adsorbent for industrial wastewater treatment.</w:t>
      </w:r>
    </w:p>
    <w:p w:rsidR="0005248F" w:rsidRPr="00861A19" w:rsidRDefault="003843E6" w:rsidP="001B208C">
      <w:pPr>
        <w:pStyle w:val="NormalWeb"/>
        <w:jc w:val="both"/>
        <w:rPr>
          <w:rFonts w:ascii="Arial" w:hAnsi="Arial" w:cs="Arial"/>
          <w:sz w:val="20"/>
        </w:rPr>
      </w:pPr>
      <w:r w:rsidRPr="00861A19">
        <w:rPr>
          <w:rFonts w:ascii="Arial" w:hAnsi="Arial" w:cs="Arial"/>
          <w:sz w:val="20"/>
        </w:rPr>
        <w:t>Moreover, functionalized mulberry biochars could find applications in greenhouse gas mitigation. Similar to other biomass-derived biochars, they may reduce nitrous oxide (N</w:t>
      </w:r>
      <w:r w:rsidRPr="00861A19">
        <w:rPr>
          <w:rFonts w:cs="Arial"/>
          <w:sz w:val="20"/>
        </w:rPr>
        <w:t>₂</w:t>
      </w:r>
      <w:r w:rsidRPr="00861A19">
        <w:rPr>
          <w:rFonts w:ascii="Arial" w:hAnsi="Arial" w:cs="Arial"/>
          <w:sz w:val="20"/>
        </w:rPr>
        <w:t>O) emissions from soils and capture volatile organic compounds (VOCs) in industrial settings (</w:t>
      </w:r>
      <w:r w:rsidRPr="00DD4DEB">
        <w:rPr>
          <w:rFonts w:ascii="Arial" w:hAnsi="Arial" w:cs="Arial"/>
          <w:sz w:val="20"/>
        </w:rPr>
        <w:t xml:space="preserve">Lehmann </w:t>
      </w:r>
      <w:r w:rsidR="00921664" w:rsidRPr="00DD4DEB">
        <w:rPr>
          <w:rFonts w:ascii="Arial" w:hAnsi="Arial" w:cs="Arial"/>
          <w:sz w:val="20"/>
        </w:rPr>
        <w:t>and</w:t>
      </w:r>
      <w:r w:rsidRPr="00DD4DEB">
        <w:rPr>
          <w:rFonts w:ascii="Arial" w:hAnsi="Arial" w:cs="Arial"/>
          <w:sz w:val="20"/>
        </w:rPr>
        <w:t xml:space="preserve"> Joseph, 2015; Woolf </w:t>
      </w:r>
      <w:r w:rsidRPr="00DD4DEB">
        <w:rPr>
          <w:rFonts w:ascii="Arial" w:hAnsi="Arial" w:cs="Arial"/>
          <w:i/>
          <w:sz w:val="20"/>
        </w:rPr>
        <w:t>et al.,</w:t>
      </w:r>
      <w:r w:rsidRPr="00DD4DEB">
        <w:rPr>
          <w:rFonts w:ascii="Arial" w:hAnsi="Arial" w:cs="Arial"/>
          <w:sz w:val="20"/>
        </w:rPr>
        <w:t xml:space="preserve"> 2021)</w:t>
      </w:r>
      <w:r w:rsidRPr="00861A19">
        <w:rPr>
          <w:rFonts w:ascii="Arial" w:hAnsi="Arial" w:cs="Arial"/>
          <w:sz w:val="20"/>
        </w:rPr>
        <w:t xml:space="preserve">. The integration of mulberry biochar into </w:t>
      </w:r>
      <w:r w:rsidRPr="00861A19">
        <w:rPr>
          <w:rStyle w:val="Strong"/>
          <w:rFonts w:ascii="Arial" w:eastAsiaTheme="majorEastAsia" w:hAnsi="Arial" w:cs="Arial"/>
          <w:b w:val="0"/>
          <w:sz w:val="20"/>
        </w:rPr>
        <w:t>circular bioeconomy models</w:t>
      </w:r>
      <w:r w:rsidR="00921664" w:rsidRPr="00861A19">
        <w:rPr>
          <w:rFonts w:ascii="Arial" w:hAnsi="Arial" w:cs="Arial"/>
          <w:sz w:val="20"/>
        </w:rPr>
        <w:t xml:space="preserve">, </w:t>
      </w:r>
      <w:r w:rsidRPr="00861A19">
        <w:rPr>
          <w:rFonts w:ascii="Arial" w:hAnsi="Arial" w:cs="Arial"/>
          <w:sz w:val="20"/>
        </w:rPr>
        <w:t>linking sericulture residues with agriculture, water tr</w:t>
      </w:r>
      <w:r w:rsidR="00921664" w:rsidRPr="00861A19">
        <w:rPr>
          <w:rFonts w:ascii="Arial" w:hAnsi="Arial" w:cs="Arial"/>
          <w:sz w:val="20"/>
        </w:rPr>
        <w:t xml:space="preserve">eatment, and climate mitigation </w:t>
      </w:r>
      <w:r w:rsidRPr="00861A19">
        <w:rPr>
          <w:rFonts w:ascii="Arial" w:hAnsi="Arial" w:cs="Arial"/>
          <w:sz w:val="20"/>
        </w:rPr>
        <w:t>offers a multi-benefit approach that deserves greater research attention.</w:t>
      </w:r>
    </w:p>
    <w:p w:rsidR="006C2201" w:rsidRPr="007A14DB" w:rsidRDefault="007A14DB" w:rsidP="007A14DB">
      <w:pPr>
        <w:spacing w:after="160"/>
        <w:rPr>
          <w:rFonts w:ascii="Arial" w:eastAsia="Calibri" w:hAnsi="Arial" w:cs="Arial"/>
          <w:b/>
          <w:bCs/>
        </w:rPr>
      </w:pPr>
      <w:r w:rsidRPr="007A14DB">
        <w:rPr>
          <w:rFonts w:ascii="Arial" w:eastAsia="Calibri" w:hAnsi="Arial" w:cs="Arial"/>
          <w:b/>
          <w:bCs/>
        </w:rPr>
        <w:t>6. BIOCHAR AND CARBON SEQUESTRATION: A WIDER CONTEXT</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lastRenderedPageBreak/>
        <w:t>Carbon sequestration has emerged as a critical component of global climate mitigation strategies, aiming to stabilize atmospheric CO</w:t>
      </w:r>
      <w:r w:rsidRPr="00231750">
        <w:rPr>
          <w:rFonts w:ascii="Times New Roman" w:eastAsia="Calibri" w:hAnsi="Times New Roman" w:cs="Arial"/>
          <w:bCs/>
          <w:sz w:val="20"/>
        </w:rPr>
        <w:t>₂</w:t>
      </w:r>
      <w:r w:rsidRPr="00231750">
        <w:rPr>
          <w:rFonts w:ascii="Arial" w:eastAsia="Calibri" w:hAnsi="Arial" w:cs="Arial"/>
          <w:bCs/>
          <w:sz w:val="20"/>
        </w:rPr>
        <w:t xml:space="preserve"> concentrations and offset anthropogenic emissions. Among various negative-emission technologies, biochar occupies a distinctive position because it not only immobilizes carbon in a chemically stable form for centuries but also delivers additional co-benefits such as improved soil health, nutrient retention, and enhanced ecosystem resilience. Unlike conventional carbon capture technologies that require substantial energy input and complex infrastructure, biochar production through biomass pyrolysis offers a low-energy, scalable, and cost-effective pathway for long-term carbon storage. The exceptional stability of biochar is attributed to its high degree of aromaticity and condensed carbon structures formed during pyrolysis, which make it highly resistant to microbial degradation. When incorporated into agricultural or environmental systems, biochar serves as more than a soil amendment; it becomes a multifunctional tool that aligns carbon management with broader sustainable development goals.</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t xml:space="preserve">Converting organic matter into biochar effectively shifts carbon from the relatively short-lived biological cycle, which operates over decades (Prentice </w:t>
      </w:r>
      <w:r w:rsidRPr="00231750">
        <w:rPr>
          <w:rFonts w:ascii="Arial" w:eastAsia="Calibri" w:hAnsi="Arial" w:cs="Arial"/>
          <w:bCs/>
          <w:i/>
          <w:sz w:val="20"/>
        </w:rPr>
        <w:t>et al.,</w:t>
      </w:r>
      <w:r w:rsidRPr="00231750">
        <w:rPr>
          <w:rFonts w:ascii="Arial" w:eastAsia="Calibri" w:hAnsi="Arial" w:cs="Arial"/>
          <w:bCs/>
          <w:sz w:val="20"/>
        </w:rPr>
        <w:t xml:space="preserve"> 2001), into the much slower geochemical cycle that persists for centuries or even millennia (Kuhlbusch, 1998). This stability is central to its role in carbon sequestration. However, for biochar to make a meaningful contribution, continuous biomass production must occur at a rate equivalent to its conversion into biochar, as photosynthesis and plant growth are the fundamental processes responsible for capturing atmospheric CO</w:t>
      </w:r>
      <w:r w:rsidRPr="00231750">
        <w:rPr>
          <w:rFonts w:ascii="Times New Roman" w:eastAsia="Calibri" w:hAnsi="Times New Roman" w:cs="Arial"/>
          <w:bCs/>
          <w:sz w:val="20"/>
        </w:rPr>
        <w:t>₂</w:t>
      </w:r>
      <w:r w:rsidRPr="00231750">
        <w:rPr>
          <w:rFonts w:ascii="Arial" w:eastAsia="Calibri" w:hAnsi="Arial" w:cs="Arial"/>
          <w:bCs/>
          <w:sz w:val="20"/>
        </w:rPr>
        <w:t xml:space="preserve"> and converting it into solid biomass suitable for pyrolysis (Mašek, 2013). Beyond direct sequestration, biochar can provide indirect climate benefits by lowering greenhouse gas emissions from agricultural systems through reduced dependence on fertilizers and irrigation, minimizing energy demand, and mitigating emissions of CH</w:t>
      </w:r>
      <w:r w:rsidRPr="00231750">
        <w:rPr>
          <w:rFonts w:ascii="Times New Roman" w:eastAsia="Calibri" w:hAnsi="Times New Roman" w:cs="Arial"/>
          <w:bCs/>
          <w:sz w:val="20"/>
        </w:rPr>
        <w:t>₄</w:t>
      </w:r>
      <w:r w:rsidRPr="00231750">
        <w:rPr>
          <w:rFonts w:ascii="Arial" w:eastAsia="Calibri" w:hAnsi="Arial" w:cs="Arial"/>
          <w:bCs/>
          <w:sz w:val="20"/>
        </w:rPr>
        <w:t xml:space="preserve"> and N</w:t>
      </w:r>
      <w:r w:rsidRPr="00231750">
        <w:rPr>
          <w:rFonts w:ascii="Times New Roman" w:eastAsia="Calibri" w:hAnsi="Times New Roman" w:cs="Arial"/>
          <w:bCs/>
          <w:sz w:val="20"/>
        </w:rPr>
        <w:t>₂</w:t>
      </w:r>
      <w:r w:rsidRPr="00231750">
        <w:rPr>
          <w:rFonts w:ascii="Arial" w:eastAsia="Calibri" w:hAnsi="Arial" w:cs="Arial"/>
          <w:bCs/>
          <w:sz w:val="20"/>
        </w:rPr>
        <w:t>O from cultivated soils (Yanai</w:t>
      </w:r>
      <w:r w:rsidRPr="00231750">
        <w:rPr>
          <w:rFonts w:ascii="Arial" w:eastAsia="Calibri" w:hAnsi="Arial" w:cs="Arial"/>
          <w:bCs/>
          <w:i/>
          <w:sz w:val="20"/>
        </w:rPr>
        <w:t>et al.,</w:t>
      </w:r>
      <w:r w:rsidRPr="00231750">
        <w:rPr>
          <w:rFonts w:ascii="Arial" w:eastAsia="Calibri" w:hAnsi="Arial" w:cs="Arial"/>
          <w:bCs/>
          <w:sz w:val="20"/>
        </w:rPr>
        <w:t xml:space="preserve"> 2007; Karhu </w:t>
      </w:r>
      <w:r w:rsidRPr="00231750">
        <w:rPr>
          <w:rFonts w:ascii="Arial" w:eastAsia="Calibri" w:hAnsi="Arial" w:cs="Arial"/>
          <w:bCs/>
          <w:i/>
          <w:sz w:val="20"/>
        </w:rPr>
        <w:t>et al.,</w:t>
      </w:r>
      <w:r w:rsidRPr="00231750">
        <w:rPr>
          <w:rFonts w:ascii="Arial" w:eastAsia="Calibri" w:hAnsi="Arial" w:cs="Arial"/>
          <w:bCs/>
          <w:sz w:val="20"/>
        </w:rPr>
        <w:t xml:space="preserve"> 2011).</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t xml:space="preserve">On a global scale, biochar has been recognized for its substantial technical potential to mitigate climate change. Woolf </w:t>
      </w:r>
      <w:r w:rsidRPr="00231750">
        <w:rPr>
          <w:rFonts w:ascii="Arial" w:eastAsia="Calibri" w:hAnsi="Arial" w:cs="Arial"/>
          <w:bCs/>
          <w:i/>
          <w:sz w:val="20"/>
        </w:rPr>
        <w:t>et al.,</w:t>
      </w:r>
      <w:r w:rsidRPr="00231750">
        <w:rPr>
          <w:rFonts w:ascii="Arial" w:eastAsia="Calibri" w:hAnsi="Arial" w:cs="Arial"/>
          <w:bCs/>
          <w:sz w:val="20"/>
        </w:rPr>
        <w:t xml:space="preserve"> (2010) estimated that biochar could provide significant contributions to emission reductions, and it has also been considered a geoengineering approach for net atmospheric CO</w:t>
      </w:r>
      <w:r w:rsidRPr="00231750">
        <w:rPr>
          <w:rFonts w:ascii="Times New Roman" w:eastAsia="Calibri" w:hAnsi="Times New Roman" w:cs="Arial"/>
          <w:bCs/>
          <w:sz w:val="20"/>
        </w:rPr>
        <w:t>₂</w:t>
      </w:r>
      <w:r w:rsidRPr="00231750">
        <w:rPr>
          <w:rFonts w:ascii="Arial" w:eastAsia="Calibri" w:hAnsi="Arial" w:cs="Arial"/>
          <w:bCs/>
          <w:sz w:val="20"/>
        </w:rPr>
        <w:t xml:space="preserve"> removal (Downie</w:t>
      </w:r>
      <w:r w:rsidRPr="00231750">
        <w:rPr>
          <w:rFonts w:ascii="Arial" w:eastAsia="Calibri" w:hAnsi="Arial" w:cs="Arial"/>
          <w:bCs/>
          <w:i/>
          <w:sz w:val="20"/>
        </w:rPr>
        <w:t>et al.,</w:t>
      </w:r>
      <w:r w:rsidRPr="00231750">
        <w:rPr>
          <w:rFonts w:ascii="Arial" w:eastAsia="Calibri" w:hAnsi="Arial" w:cs="Arial"/>
          <w:bCs/>
          <w:sz w:val="20"/>
        </w:rPr>
        <w:t xml:space="preserve"> 2012). However, the degree of soil carbon offsets cannot be generalized because biochar properties vary widely, and its stability in specific soil environments remains uncertain (Sohi, 2012; Schimmelpfennig and Glaser, 2012; Spokas</w:t>
      </w:r>
      <w:r w:rsidRPr="00231750">
        <w:rPr>
          <w:rFonts w:ascii="Arial" w:eastAsia="Calibri" w:hAnsi="Arial" w:cs="Arial"/>
          <w:bCs/>
          <w:i/>
          <w:sz w:val="20"/>
        </w:rPr>
        <w:t>et al.,</w:t>
      </w:r>
      <w:r w:rsidRPr="00231750">
        <w:rPr>
          <w:rFonts w:ascii="Arial" w:eastAsia="Calibri" w:hAnsi="Arial" w:cs="Arial"/>
          <w:bCs/>
          <w:sz w:val="20"/>
        </w:rPr>
        <w:t xml:space="preserve"> 2012). Furthermore, interactions among biochar, soil, microorganisms, and plant roots are highly site- and biochar-specific (Joseph </w:t>
      </w:r>
      <w:r w:rsidRPr="00231750">
        <w:rPr>
          <w:rFonts w:ascii="Arial" w:eastAsia="Calibri" w:hAnsi="Arial" w:cs="Arial"/>
          <w:bCs/>
          <w:i/>
          <w:sz w:val="20"/>
        </w:rPr>
        <w:t>et al.,</w:t>
      </w:r>
      <w:r w:rsidRPr="00231750">
        <w:rPr>
          <w:rFonts w:ascii="Arial" w:eastAsia="Calibri" w:hAnsi="Arial" w:cs="Arial"/>
          <w:bCs/>
          <w:sz w:val="20"/>
        </w:rPr>
        <w:t xml:space="preserve"> 2010). When incorporated into soils, biochar can lead to a net additional removal of CO</w:t>
      </w:r>
      <w:r w:rsidRPr="00231750">
        <w:rPr>
          <w:rFonts w:ascii="Times New Roman" w:eastAsia="Calibri" w:hAnsi="Times New Roman" w:cs="Arial"/>
          <w:bCs/>
          <w:sz w:val="20"/>
        </w:rPr>
        <w:t>₂</w:t>
      </w:r>
      <w:r w:rsidRPr="00231750">
        <w:rPr>
          <w:rFonts w:ascii="Arial" w:eastAsia="Calibri" w:hAnsi="Arial" w:cs="Arial"/>
          <w:bCs/>
          <w:sz w:val="20"/>
        </w:rPr>
        <w:t xml:space="preserve"> for periods exceeding 100 years by increasing soil organic carbon (SOC) stocks (Powlson</w:t>
      </w:r>
      <w:r w:rsidRPr="00231750">
        <w:rPr>
          <w:rFonts w:ascii="Arial" w:eastAsia="Calibri" w:hAnsi="Arial" w:cs="Arial"/>
          <w:bCs/>
          <w:i/>
          <w:sz w:val="20"/>
        </w:rPr>
        <w:t>et al.,</w:t>
      </w:r>
      <w:r w:rsidRPr="00231750">
        <w:rPr>
          <w:rFonts w:ascii="Arial" w:eastAsia="Calibri" w:hAnsi="Arial" w:cs="Arial"/>
          <w:bCs/>
          <w:sz w:val="20"/>
        </w:rPr>
        <w:t xml:space="preserve"> 2011; Stockmann</w:t>
      </w:r>
      <w:r w:rsidRPr="00231750">
        <w:rPr>
          <w:rFonts w:ascii="Arial" w:eastAsia="Calibri" w:hAnsi="Arial" w:cs="Arial"/>
          <w:bCs/>
          <w:i/>
          <w:sz w:val="20"/>
        </w:rPr>
        <w:t>et al.,</w:t>
      </w:r>
      <w:r w:rsidRPr="00231750">
        <w:rPr>
          <w:rFonts w:ascii="Arial" w:eastAsia="Calibri" w:hAnsi="Arial" w:cs="Arial"/>
          <w:bCs/>
          <w:sz w:val="20"/>
        </w:rPr>
        <w:t xml:space="preserve"> 2013). Yet, Mackey </w:t>
      </w:r>
      <w:r w:rsidRPr="00231750">
        <w:rPr>
          <w:rFonts w:ascii="Arial" w:eastAsia="Calibri" w:hAnsi="Arial" w:cs="Arial"/>
          <w:bCs/>
          <w:i/>
          <w:sz w:val="20"/>
        </w:rPr>
        <w:t xml:space="preserve">et al., </w:t>
      </w:r>
      <w:r w:rsidRPr="00231750">
        <w:rPr>
          <w:rFonts w:ascii="Arial" w:eastAsia="Calibri" w:hAnsi="Arial" w:cs="Arial"/>
          <w:bCs/>
          <w:sz w:val="20"/>
        </w:rPr>
        <w:t>(2013) suggested that for climate change mitigation to be meaningful, carbon should remain stored for more than 10,000 years, whereas Schimmelpfennig and Glaser (2012) proposed an intrinsic stability of at least 2,000 years for effective carbon management. In addition to soil application, geological sequestration of biochar has been proposed as an emerging option for long-term carbon storage (Dufour, 2013).</w:t>
      </w:r>
    </w:p>
    <w:p w:rsidR="006C2201" w:rsidRPr="00231750" w:rsidRDefault="006C2201" w:rsidP="006C2201">
      <w:pPr>
        <w:spacing w:after="160"/>
        <w:jc w:val="both"/>
        <w:rPr>
          <w:rFonts w:ascii="Times New Roman" w:eastAsia="Calibri" w:hAnsi="Times New Roman" w:cs="Times New Roman"/>
          <w:bCs/>
          <w:sz w:val="24"/>
        </w:rPr>
      </w:pPr>
      <w:r w:rsidRPr="00231750">
        <w:rPr>
          <w:rFonts w:ascii="Arial" w:eastAsia="Calibri" w:hAnsi="Arial" w:cs="Arial"/>
          <w:bCs/>
          <w:sz w:val="20"/>
        </w:rPr>
        <w:t>Carbon sequestration through plant processes begins with photosynthesis, which captures CO</w:t>
      </w:r>
      <w:r w:rsidRPr="00231750">
        <w:rPr>
          <w:rFonts w:ascii="Times New Roman" w:eastAsia="Calibri" w:hAnsi="Times New Roman" w:cs="Arial"/>
          <w:bCs/>
          <w:sz w:val="20"/>
        </w:rPr>
        <w:t>₂</w:t>
      </w:r>
      <w:r w:rsidRPr="00231750">
        <w:rPr>
          <w:rFonts w:ascii="Arial" w:eastAsia="Calibri" w:hAnsi="Arial" w:cs="Arial"/>
          <w:bCs/>
          <w:sz w:val="20"/>
        </w:rPr>
        <w:t xml:space="preserve"> and stores it in above- and below-ground biomass while contributing to SOC accumulation. This transfer of CO</w:t>
      </w:r>
      <w:r w:rsidRPr="00231750">
        <w:rPr>
          <w:rFonts w:ascii="Times New Roman" w:eastAsia="Calibri" w:hAnsi="Times New Roman" w:cs="Arial"/>
          <w:bCs/>
          <w:sz w:val="20"/>
        </w:rPr>
        <w:t>₂</w:t>
      </w:r>
      <w:r w:rsidRPr="00231750">
        <w:rPr>
          <w:rFonts w:ascii="Arial" w:eastAsia="Calibri" w:hAnsi="Arial" w:cs="Arial"/>
          <w:bCs/>
          <w:sz w:val="20"/>
        </w:rPr>
        <w:t xml:space="preserve"> into long-lived carbon pools is highly variable, ranging from a few years in annual crops to decades in agroforestry systems and several centuries in forests. Natural SOC buildup is slow and prone to reversal through erosion and intensive tillage, necessitating strategies that promote rapid assimilation and stable storage of carbon (Gupta </w:t>
      </w:r>
      <w:r w:rsidRPr="00231750">
        <w:rPr>
          <w:rFonts w:ascii="Arial" w:eastAsia="Calibri" w:hAnsi="Arial" w:cs="Arial"/>
          <w:bCs/>
          <w:i/>
          <w:sz w:val="20"/>
        </w:rPr>
        <w:t>et al.,</w:t>
      </w:r>
      <w:r w:rsidRPr="00231750">
        <w:rPr>
          <w:rFonts w:ascii="Arial" w:eastAsia="Calibri" w:hAnsi="Arial" w:cs="Arial"/>
          <w:bCs/>
          <w:sz w:val="20"/>
        </w:rPr>
        <w:t xml:space="preserve"> 2020). Among these, biochar application is widely regarded as one of the most promising approaches because of its high carbon content and remarkable stability. As a negative-emission technology, biochar has an estimated sequestration potential of approximately 0.7 GtCeq yr</w:t>
      </w:r>
      <w:r w:rsidRPr="00231750">
        <w:rPr>
          <w:rFonts w:ascii="Times New Roman" w:eastAsia="Calibri" w:hAnsi="Times New Roman" w:cs="Arial"/>
          <w:bCs/>
          <w:sz w:val="20"/>
        </w:rPr>
        <w:t>⁻</w:t>
      </w:r>
      <w:r w:rsidRPr="00231750">
        <w:rPr>
          <w:rFonts w:ascii="Arial" w:eastAsia="Calibri" w:hAnsi="Arial" w:cs="Arial"/>
          <w:bCs/>
          <w:sz w:val="20"/>
        </w:rPr>
        <w:t>¹globally (Smith, 2016). Modeling studies suggest that if 2.5% of global agricultural land produced biochar from organic residues and incorporated it into soils, atmospheric CO</w:t>
      </w:r>
      <w:r w:rsidRPr="00231750">
        <w:rPr>
          <w:rFonts w:ascii="Times New Roman" w:eastAsia="Calibri" w:hAnsi="Times New Roman" w:cs="Arial"/>
          <w:bCs/>
          <w:sz w:val="20"/>
        </w:rPr>
        <w:t>₂</w:t>
      </w:r>
      <w:r w:rsidRPr="00231750">
        <w:rPr>
          <w:rFonts w:ascii="Arial" w:eastAsia="Calibri" w:hAnsi="Arial" w:cs="Arial"/>
          <w:bCs/>
          <w:sz w:val="20"/>
        </w:rPr>
        <w:t xml:space="preserve"> levels could return to pre-industrial values by 2050 (Smith, 2016). Moreover, replacing slash-and-burn practices with slash-and-</w:t>
      </w:r>
      <w:r w:rsidRPr="00231750">
        <w:rPr>
          <w:rFonts w:ascii="Arial" w:eastAsia="Calibri" w:hAnsi="Arial" w:cs="Arial"/>
          <w:bCs/>
          <w:sz w:val="20"/>
        </w:rPr>
        <w:lastRenderedPageBreak/>
        <w:t xml:space="preserve">char systems could offset up to 12% of annual land-use change emissions (Lehmann </w:t>
      </w:r>
      <w:r w:rsidRPr="00231750">
        <w:rPr>
          <w:rFonts w:ascii="Arial" w:eastAsia="Calibri" w:hAnsi="Arial" w:cs="Arial"/>
          <w:bCs/>
          <w:i/>
          <w:sz w:val="20"/>
        </w:rPr>
        <w:t>et al.,</w:t>
      </w:r>
      <w:r w:rsidRPr="00231750">
        <w:rPr>
          <w:rFonts w:ascii="Arial" w:eastAsia="Calibri" w:hAnsi="Arial" w:cs="Arial"/>
          <w:bCs/>
          <w:sz w:val="20"/>
        </w:rPr>
        <w:t xml:space="preserve"> 2006). Provided that biochar production, transport, and application do not introduce additional emissions, its use represents a net greenhouse gas mitigation strategy (Roberts </w:t>
      </w:r>
      <w:r w:rsidRPr="00231750">
        <w:rPr>
          <w:rFonts w:ascii="Arial" w:eastAsia="Calibri" w:hAnsi="Arial" w:cs="Arial"/>
          <w:bCs/>
          <w:i/>
          <w:sz w:val="20"/>
        </w:rPr>
        <w:t>et al.,</w:t>
      </w:r>
      <w:r w:rsidRPr="00231750">
        <w:rPr>
          <w:rFonts w:ascii="Arial" w:eastAsia="Calibri" w:hAnsi="Arial" w:cs="Arial"/>
          <w:bCs/>
          <w:sz w:val="20"/>
        </w:rPr>
        <w:t xml:space="preserve"> 2010). The pathways and mechanisms underlying this potential are depicted in Fig. 3, which illustrates how biochar’s intrinsic stability, carbon retention capacity, and contribution to waste valorization collectively support its role in climate change mitigation.</w:t>
      </w:r>
    </w:p>
    <w:p w:rsidR="006C2201" w:rsidRPr="006C2201" w:rsidRDefault="006C2201" w:rsidP="006C2201">
      <w:pPr>
        <w:spacing w:after="160"/>
        <w:ind w:firstLine="720"/>
        <w:jc w:val="both"/>
        <w:rPr>
          <w:rFonts w:ascii="Times New Roman" w:eastAsia="Calibri" w:hAnsi="Times New Roman" w:cs="Times New Roman"/>
          <w:bCs/>
        </w:rPr>
      </w:pPr>
      <w:r w:rsidRPr="006C2201">
        <w:rPr>
          <w:rFonts w:ascii="Times New Roman" w:eastAsia="Times New Roman" w:hAnsi="Times New Roman" w:cs="Times New Roman"/>
          <w:noProof/>
          <w:sz w:val="24"/>
          <w:szCs w:val="24"/>
        </w:rPr>
        <w:drawing>
          <wp:inline distT="0" distB="0" distL="0" distR="0">
            <wp:extent cx="4003484" cy="2667000"/>
            <wp:effectExtent l="0" t="0" r="0" b="0"/>
            <wp:docPr id="2" name="Picture 2" descr="C:\Users\ADMIN\Pictures\Screenshots\Screenshot (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Screenshots\Screenshot (84).pn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11976" cy="2672657"/>
                    </a:xfrm>
                    <a:prstGeom prst="rect">
                      <a:avLst/>
                    </a:prstGeom>
                    <a:noFill/>
                    <a:ln>
                      <a:noFill/>
                    </a:ln>
                  </pic:spPr>
                </pic:pic>
              </a:graphicData>
            </a:graphic>
          </wp:inline>
        </w:drawing>
      </w:r>
    </w:p>
    <w:p w:rsidR="006C2201" w:rsidRPr="00DD4DEB" w:rsidRDefault="006C2201" w:rsidP="006C2201">
      <w:pPr>
        <w:spacing w:after="160"/>
        <w:ind w:firstLine="720"/>
        <w:jc w:val="both"/>
        <w:rPr>
          <w:rFonts w:ascii="Arial" w:eastAsia="Calibri" w:hAnsi="Arial" w:cs="Arial"/>
          <w:sz w:val="20"/>
        </w:rPr>
      </w:pPr>
      <w:r w:rsidRPr="00861A19">
        <w:rPr>
          <w:rFonts w:ascii="Arial" w:eastAsia="Calibri" w:hAnsi="Arial" w:cs="Arial"/>
          <w:b/>
          <w:bCs/>
          <w:sz w:val="20"/>
        </w:rPr>
        <w:t xml:space="preserve">Fig. 3. </w:t>
      </w:r>
      <w:r w:rsidRPr="00861A19">
        <w:rPr>
          <w:rFonts w:ascii="Arial" w:eastAsia="Calibri" w:hAnsi="Arial" w:cs="Arial"/>
          <w:b/>
          <w:sz w:val="20"/>
        </w:rPr>
        <w:t xml:space="preserve">Pathways of Carbon Sequestration Facilitated by Biochar </w:t>
      </w:r>
      <w:r w:rsidRPr="00DD4DEB">
        <w:rPr>
          <w:rFonts w:ascii="Arial" w:eastAsia="Calibri" w:hAnsi="Arial" w:cs="Arial"/>
          <w:sz w:val="20"/>
        </w:rPr>
        <w:t xml:space="preserve">(Source: Gupta </w:t>
      </w:r>
      <w:r w:rsidRPr="00DD4DEB">
        <w:rPr>
          <w:rFonts w:ascii="Arial" w:eastAsia="Calibri" w:hAnsi="Arial" w:cs="Arial"/>
          <w:i/>
          <w:sz w:val="20"/>
        </w:rPr>
        <w:t>et al.,</w:t>
      </w:r>
      <w:r w:rsidRPr="00DD4DEB">
        <w:rPr>
          <w:rFonts w:ascii="Arial" w:eastAsia="Calibri" w:hAnsi="Arial" w:cs="Arial"/>
          <w:sz w:val="20"/>
        </w:rPr>
        <w:t xml:space="preserve"> 2020)</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t>Despite decades of international efforts, GHG emissions accelerated during the 2000s compared to the 1990s, making it increasingly difficult to achieve the target of limit</w:t>
      </w:r>
      <w:r w:rsidR="002443EC">
        <w:rPr>
          <w:rFonts w:ascii="Arial" w:eastAsia="Calibri" w:hAnsi="Arial" w:cs="Arial"/>
          <w:bCs/>
          <w:sz w:val="20"/>
        </w:rPr>
        <w:t xml:space="preserve">ing global warming to below </w:t>
      </w:r>
      <w:r w:rsidR="002443EC" w:rsidRPr="002443EC">
        <w:rPr>
          <w:rFonts w:ascii="Arial" w:eastAsia="Calibri" w:hAnsi="Arial" w:cs="Arial"/>
          <w:bCs/>
          <w:sz w:val="20"/>
          <w:highlight w:val="yellow"/>
        </w:rPr>
        <w:t>2</w:t>
      </w:r>
      <w:r w:rsidRPr="002443EC">
        <w:rPr>
          <w:rFonts w:ascii="Arial" w:eastAsia="Calibri" w:hAnsi="Arial" w:cs="Arial"/>
          <w:bCs/>
          <w:sz w:val="20"/>
          <w:highlight w:val="yellow"/>
        </w:rPr>
        <w:t>°C</w:t>
      </w:r>
      <w:r w:rsidRPr="00231750">
        <w:rPr>
          <w:rFonts w:ascii="Arial" w:eastAsia="Calibri" w:hAnsi="Arial" w:cs="Arial"/>
          <w:bCs/>
          <w:sz w:val="20"/>
        </w:rPr>
        <w:t xml:space="preserve"> above pre-industrial levels. Integrated assessment models (IAMs) now recognize that large-scale deployment of negative-emission technologies (NETs) is essential. However, technologies such as direct air capture, enhanced weathering, and BECCS present significant challenges related to land, water, energy, and cost. In contrast, soil carbon sequestration and biochar offer competitive advantages, providing negative emission potentials of approximately 0.7 GtCeq yr</w:t>
      </w:r>
      <w:r w:rsidRPr="00231750">
        <w:rPr>
          <w:rFonts w:ascii="Times New Roman" w:eastAsia="Calibri" w:hAnsi="Times New Roman" w:cs="Arial"/>
          <w:bCs/>
          <w:sz w:val="20"/>
        </w:rPr>
        <w:t>⁻</w:t>
      </w:r>
      <w:r w:rsidRPr="00231750">
        <w:rPr>
          <w:rFonts w:ascii="Arial" w:eastAsia="Calibri" w:hAnsi="Arial" w:cs="Arial"/>
          <w:bCs/>
          <w:sz w:val="20"/>
        </w:rPr>
        <w:t>¹ each with relatively lower environmental and resource burdens (Smith, 2016). Although soil carbon sequestration faces issues of saturation and reversibility, biochar offers long-term stability and can complement BECCS strategies for integrated climate solutions. Current IAMs do not adequately account for these contributions, highlighting the need for their inclusion in global mitigation planning.</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t>With its high biomass productivity and desirable physicochemical characteristics, mulberry (</w:t>
      </w:r>
      <w:r w:rsidRPr="00231750">
        <w:rPr>
          <w:rFonts w:ascii="Arial" w:eastAsia="Calibri" w:hAnsi="Arial" w:cs="Arial"/>
          <w:bCs/>
          <w:i/>
          <w:sz w:val="20"/>
        </w:rPr>
        <w:t>Morus spp.</w:t>
      </w:r>
      <w:r w:rsidRPr="00231750">
        <w:rPr>
          <w:rFonts w:ascii="Arial" w:eastAsia="Calibri" w:hAnsi="Arial" w:cs="Arial"/>
          <w:bCs/>
          <w:sz w:val="20"/>
        </w:rPr>
        <w:t>) represents a promising feedstock for biochar production. Incorporating mulberry-derived biochar into carbon sequestration strategies could significantly enhance biomass utilization efficiency and expand biochar’s role beyond traditional agronomic contexts. However, this potential remains largely underexplored, especially concerning its performance in long-term carbon storage and associated environmental benefits. Unlocking this opportunity could position mulberry biochar as a valuable component in future climate resilience frameworks, linking sericulture byproducts with global carbon management strategies.</w:t>
      </w:r>
    </w:p>
    <w:p w:rsidR="005B17DC" w:rsidRPr="007A14DB" w:rsidRDefault="007A14DB" w:rsidP="007A14DB">
      <w:pPr>
        <w:spacing w:before="100" w:beforeAutospacing="1" w:after="100" w:afterAutospacing="1" w:line="240" w:lineRule="auto"/>
        <w:outlineLvl w:val="1"/>
        <w:rPr>
          <w:rFonts w:ascii="Arial" w:eastAsia="Times New Roman" w:hAnsi="Arial" w:cs="Arial"/>
          <w:b/>
          <w:bCs/>
          <w:szCs w:val="24"/>
        </w:rPr>
      </w:pPr>
      <w:r w:rsidRPr="007A14DB">
        <w:rPr>
          <w:rFonts w:ascii="Arial" w:eastAsia="Times New Roman" w:hAnsi="Arial" w:cs="Arial"/>
          <w:b/>
          <w:bCs/>
          <w:szCs w:val="24"/>
        </w:rPr>
        <w:t>7. RESEARCH GAP: MULBERRY BIOCHAR AND CARBON SEQUESTRATION</w:t>
      </w:r>
    </w:p>
    <w:p w:rsidR="00CB604E" w:rsidRPr="00861A19" w:rsidRDefault="00CB604E" w:rsidP="00861A19">
      <w:pPr>
        <w:pStyle w:val="NormalWeb"/>
        <w:jc w:val="both"/>
        <w:rPr>
          <w:rFonts w:ascii="Arial" w:hAnsi="Arial" w:cs="Arial"/>
          <w:sz w:val="20"/>
        </w:rPr>
      </w:pPr>
      <w:r w:rsidRPr="00861A19">
        <w:rPr>
          <w:rFonts w:ascii="Arial" w:hAnsi="Arial" w:cs="Arial"/>
          <w:sz w:val="20"/>
        </w:rPr>
        <w:lastRenderedPageBreak/>
        <w:t>Despite the growing recognition of biochar as a negative emission technology, research on mulberry-derived biochar remains in its infancy, particularly concerning its role in carbon sequestration. Current investigations have largely emphasized soil fertility enhancement, nutrient cycling, and waste valorization, while systematic studies addressing its long-term carbon stabilization potential are virtually absent. Specifically:</w:t>
      </w:r>
    </w:p>
    <w:p w:rsidR="00CB604E" w:rsidRPr="00861A19" w:rsidRDefault="00CB604E" w:rsidP="00861A19">
      <w:pPr>
        <w:pStyle w:val="NormalWeb"/>
        <w:numPr>
          <w:ilvl w:val="0"/>
          <w:numId w:val="11"/>
        </w:numPr>
        <w:tabs>
          <w:tab w:val="clear" w:pos="720"/>
          <w:tab w:val="num" w:pos="142"/>
        </w:tabs>
        <w:ind w:left="142" w:hanging="142"/>
        <w:jc w:val="both"/>
        <w:rPr>
          <w:rFonts w:ascii="Arial" w:hAnsi="Arial" w:cs="Arial"/>
          <w:sz w:val="20"/>
        </w:rPr>
      </w:pPr>
      <w:r w:rsidRPr="00861A19">
        <w:rPr>
          <w:rFonts w:ascii="Arial" w:hAnsi="Arial" w:cs="Arial"/>
          <w:b/>
          <w:bCs/>
          <w:sz w:val="20"/>
        </w:rPr>
        <w:t>Long-term stability in soils:</w:t>
      </w:r>
      <w:r w:rsidRPr="00861A19">
        <w:rPr>
          <w:rFonts w:ascii="Arial" w:hAnsi="Arial" w:cs="Arial"/>
          <w:sz w:val="20"/>
        </w:rPr>
        <w:t xml:space="preserve"> There is no empirical data on the persistence of mulberry biochar under real field conditions. Although its physicochemical profile- moderate fixed carbon (53.14%), alkaline pH (8.53), and relatively low ash (8.82%) suggests favorable recalcitrance, these properties have not been linked to actual mean residence times in different soil environments.</w:t>
      </w:r>
    </w:p>
    <w:p w:rsidR="00CB604E" w:rsidRPr="00861A19" w:rsidRDefault="00CB604E" w:rsidP="00861A19">
      <w:pPr>
        <w:pStyle w:val="NormalWeb"/>
        <w:numPr>
          <w:ilvl w:val="0"/>
          <w:numId w:val="11"/>
        </w:numPr>
        <w:tabs>
          <w:tab w:val="clear" w:pos="720"/>
          <w:tab w:val="num" w:pos="142"/>
        </w:tabs>
        <w:ind w:left="142" w:hanging="142"/>
        <w:jc w:val="both"/>
        <w:rPr>
          <w:rFonts w:ascii="Arial" w:hAnsi="Arial" w:cs="Arial"/>
          <w:sz w:val="20"/>
        </w:rPr>
      </w:pPr>
      <w:r w:rsidRPr="00861A19">
        <w:rPr>
          <w:rFonts w:ascii="Arial" w:hAnsi="Arial" w:cs="Arial"/>
          <w:b/>
          <w:bCs/>
          <w:sz w:val="20"/>
        </w:rPr>
        <w:t>Quantification of sequestration potential:</w:t>
      </w:r>
      <w:r w:rsidRPr="00861A19">
        <w:rPr>
          <w:rFonts w:ascii="Arial" w:hAnsi="Arial" w:cs="Arial"/>
          <w:sz w:val="20"/>
        </w:rPr>
        <w:t xml:space="preserve"> While estimates for other feedstocks exist, studies on mulberry biochar lack precise measurements of recalcitrant carbon fractions or validated sequestration efficiencies under varying pyrolysis conditions. For instance, its carbon sequestration potential is reported at 29%, yet the dynamics of carbon retention across climatic zones and soil types remain unexplored.</w:t>
      </w:r>
    </w:p>
    <w:p w:rsidR="00CB604E" w:rsidRPr="00861A19" w:rsidRDefault="00CB604E" w:rsidP="00861A19">
      <w:pPr>
        <w:pStyle w:val="NormalWeb"/>
        <w:numPr>
          <w:ilvl w:val="0"/>
          <w:numId w:val="11"/>
        </w:numPr>
        <w:tabs>
          <w:tab w:val="clear" w:pos="720"/>
          <w:tab w:val="num" w:pos="142"/>
        </w:tabs>
        <w:ind w:left="142" w:hanging="142"/>
        <w:jc w:val="both"/>
        <w:rPr>
          <w:rFonts w:ascii="Arial" w:hAnsi="Arial" w:cs="Arial"/>
          <w:sz w:val="20"/>
        </w:rPr>
      </w:pPr>
      <w:r w:rsidRPr="00861A19">
        <w:rPr>
          <w:rFonts w:ascii="Arial" w:hAnsi="Arial" w:cs="Arial"/>
          <w:b/>
          <w:bCs/>
          <w:sz w:val="20"/>
        </w:rPr>
        <w:t>Integration into carbon markets or climate models:</w:t>
      </w:r>
      <w:r w:rsidRPr="00861A19">
        <w:rPr>
          <w:rFonts w:ascii="Arial" w:hAnsi="Arial" w:cs="Arial"/>
          <w:sz w:val="20"/>
        </w:rPr>
        <w:t xml:space="preserve"> Despite its abundance from sericulture systems, where annual pruning can yield 17.0 ± 22.5 t ha</w:t>
      </w:r>
      <w:r w:rsidRPr="00861A19">
        <w:rPr>
          <w:rFonts w:cs="Arial"/>
          <w:sz w:val="20"/>
        </w:rPr>
        <w:t>⁻</w:t>
      </w:r>
      <w:r w:rsidRPr="00861A19">
        <w:rPr>
          <w:rFonts w:ascii="Arial" w:hAnsi="Arial" w:cs="Arial"/>
          <w:sz w:val="20"/>
        </w:rPr>
        <w:t>¹ of dry biomass, mulberry biochar has not been factored into negative-emission strategies, carbon offset programs, or integrated assessment models that shape global mitigation frameworks.</w:t>
      </w:r>
    </w:p>
    <w:p w:rsidR="00B60974" w:rsidRPr="00861A19" w:rsidRDefault="00CB604E" w:rsidP="00861A19">
      <w:pPr>
        <w:pStyle w:val="NormalWeb"/>
        <w:tabs>
          <w:tab w:val="num" w:pos="142"/>
        </w:tabs>
        <w:jc w:val="both"/>
        <w:rPr>
          <w:rFonts w:ascii="Arial" w:hAnsi="Arial" w:cs="Arial"/>
          <w:sz w:val="20"/>
        </w:rPr>
      </w:pPr>
      <w:r w:rsidRPr="00861A19">
        <w:rPr>
          <w:rFonts w:ascii="Arial" w:hAnsi="Arial" w:cs="Arial"/>
          <w:sz w:val="20"/>
        </w:rPr>
        <w:t>Given the vast global cultivation of mulberry for sericulture and the continuous availability of residues, valorizing this biomass for carbon storage could provide a scalable, low-cost pathway for both waste management and climate change mitigation. Addressing these gaps will be critical for unlocking the full potential of mulberry biochar in achieving long-term carbon neutrality and sustainable bioeconomy transitions.</w:t>
      </w:r>
    </w:p>
    <w:p w:rsidR="00C46DEA" w:rsidRPr="007A14DB" w:rsidRDefault="007A14DB" w:rsidP="00DA76BE">
      <w:pPr>
        <w:spacing w:before="100" w:beforeAutospacing="1" w:after="100" w:afterAutospacing="1" w:line="240" w:lineRule="auto"/>
        <w:rPr>
          <w:rFonts w:ascii="Arial" w:eastAsia="Times New Roman" w:hAnsi="Arial" w:cs="Arial"/>
          <w:b/>
          <w:szCs w:val="24"/>
        </w:rPr>
      </w:pPr>
      <w:r w:rsidRPr="007A14DB">
        <w:rPr>
          <w:rFonts w:ascii="Arial" w:eastAsia="Times New Roman" w:hAnsi="Arial" w:cs="Arial"/>
          <w:b/>
          <w:szCs w:val="24"/>
        </w:rPr>
        <w:t>8. FUTURE DIRECTIONS</w:t>
      </w:r>
    </w:p>
    <w:p w:rsidR="00DA76BE" w:rsidRPr="00861A19" w:rsidRDefault="00DA76BE" w:rsidP="00DA76BE">
      <w:pPr>
        <w:pStyle w:val="NormalWeb"/>
        <w:jc w:val="both"/>
        <w:rPr>
          <w:rFonts w:ascii="Arial" w:hAnsi="Arial" w:cs="Arial"/>
          <w:sz w:val="20"/>
        </w:rPr>
      </w:pPr>
      <w:r w:rsidRPr="00861A19">
        <w:rPr>
          <w:rFonts w:ascii="Arial" w:hAnsi="Arial" w:cs="Arial"/>
          <w:sz w:val="20"/>
        </w:rPr>
        <w:t>The valorization of mulberry residues into biochar presents a significant opportunity to address pressing environmental challenges while promoting sustainable resource utilization. However, realizing this potential requires a multidimensional research agenda that spans fundamental science, applied technology, and policy integration.</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8.1. Long-term Stability and Field Dynamics</w:t>
      </w:r>
    </w:p>
    <w:p w:rsidR="00DA76BE" w:rsidRPr="00861A19" w:rsidRDefault="00DA76BE" w:rsidP="00861A19">
      <w:pPr>
        <w:pStyle w:val="NormalWeb"/>
        <w:jc w:val="both"/>
        <w:rPr>
          <w:rFonts w:ascii="Arial" w:hAnsi="Arial" w:cs="Arial"/>
          <w:sz w:val="20"/>
        </w:rPr>
      </w:pPr>
      <w:r w:rsidRPr="00861A19">
        <w:rPr>
          <w:rFonts w:ascii="Arial" w:hAnsi="Arial" w:cs="Arial"/>
          <w:sz w:val="20"/>
        </w:rPr>
        <w:t>Although preliminary characterization suggests that mulberry-derived biochar possesses favorable properties such as moderate fixed carbon content and alkaline pH, its actual persistence under diverse soil conditions remains unverified. Future studies should focus on long-term field trials across varying agro-climatic zones to assess biochar’s mean residence time, structural integrity, and interactions with native soil organic matter. Incorporating advanced techniques such as radiocarbon dating and isotopic labeling could provide robust estimates of carbon retention over decadal scales.</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8.2. Optimization of Pyrolysis Parameters</w:t>
      </w:r>
    </w:p>
    <w:p w:rsidR="00DA76BE" w:rsidRPr="00861A19" w:rsidRDefault="00DA76BE" w:rsidP="00861A19">
      <w:pPr>
        <w:pStyle w:val="NormalWeb"/>
        <w:jc w:val="both"/>
        <w:rPr>
          <w:rFonts w:ascii="Arial" w:hAnsi="Arial" w:cs="Arial"/>
          <w:sz w:val="20"/>
        </w:rPr>
      </w:pPr>
      <w:r w:rsidRPr="00861A19">
        <w:rPr>
          <w:rFonts w:ascii="Arial" w:hAnsi="Arial" w:cs="Arial"/>
          <w:sz w:val="20"/>
        </w:rPr>
        <w:t>Pyrolysis conditions significantly influence biochar quality, yield, and carbon sequestration efficiency. While existing studies have examined limited temperature ranges, systematic optimization involving temperature, residence time, and heating rates is needed to maximize carbon stability without compromising agronomic benefits. Advanced thermochemical modeling and life cycle analysis (LCA) should be employed to identify energy-efficient, economically viable production protocols.</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 xml:space="preserve">8.3. Engineered and Functionalized </w:t>
      </w:r>
      <w:r w:rsidR="00861A19" w:rsidRPr="007A14DB">
        <w:rPr>
          <w:rStyle w:val="Strong"/>
          <w:rFonts w:ascii="Arial" w:hAnsi="Arial" w:cs="Arial"/>
          <w:sz w:val="22"/>
        </w:rPr>
        <w:t>Biochar</w:t>
      </w:r>
    </w:p>
    <w:p w:rsidR="00DA76BE" w:rsidRPr="00861A19" w:rsidRDefault="00DA76BE" w:rsidP="00861A19">
      <w:pPr>
        <w:pStyle w:val="NormalWeb"/>
        <w:jc w:val="both"/>
        <w:rPr>
          <w:rFonts w:ascii="Arial" w:hAnsi="Arial" w:cs="Arial"/>
          <w:sz w:val="20"/>
        </w:rPr>
      </w:pPr>
      <w:r w:rsidRPr="00861A19">
        <w:rPr>
          <w:rFonts w:ascii="Arial" w:hAnsi="Arial" w:cs="Arial"/>
          <w:sz w:val="20"/>
        </w:rPr>
        <w:lastRenderedPageBreak/>
        <w:t>Emerging evidence indicates that modified biochars exhibit enhanced properties for pollutant remediation and catalytic applications. Future research should explore the development of engineered mulberry biochar composites through techniques such as mineral doping, surface activation, or nanomaterial integration. Such modifications can expand its utility beyond soil amendment to high-value sectors, including wastewater treatment, energy storage, and environmental detoxification, thereby creating a circular bioeconomy framework.</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8.4. Carbon Market Integration and Policy Alignment</w:t>
      </w:r>
    </w:p>
    <w:p w:rsidR="00DA76BE" w:rsidRPr="00861A19" w:rsidRDefault="00DA76BE" w:rsidP="00861A19">
      <w:pPr>
        <w:pStyle w:val="NormalWeb"/>
        <w:jc w:val="both"/>
        <w:rPr>
          <w:rFonts w:ascii="Arial" w:hAnsi="Arial" w:cs="Arial"/>
          <w:sz w:val="20"/>
        </w:rPr>
      </w:pPr>
      <w:r w:rsidRPr="00861A19">
        <w:rPr>
          <w:rFonts w:ascii="Arial" w:hAnsi="Arial" w:cs="Arial"/>
          <w:sz w:val="20"/>
        </w:rPr>
        <w:t>Despite its sequestration potential, mulberry biochar remains absent from carbon offset programs and integrated assessment models. Future efforts should prioritize quantifying its carbon credits through standardized methodologies and integrating these estimates into carbon trading frameworks. Policymakers must also be engaged to design incentives that encourage the adoption of biochar technologies in sericulture regions, linking climate mitigation with rural economic development.</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8.5. Coupled Environmental and Socio-Economic Assessments</w:t>
      </w:r>
    </w:p>
    <w:p w:rsidR="00DA76BE" w:rsidRPr="00861A19" w:rsidRDefault="00DA76BE" w:rsidP="00861A19">
      <w:pPr>
        <w:pStyle w:val="NormalWeb"/>
        <w:jc w:val="both"/>
        <w:rPr>
          <w:rFonts w:ascii="Arial" w:hAnsi="Arial" w:cs="Arial"/>
          <w:sz w:val="20"/>
        </w:rPr>
      </w:pPr>
      <w:r w:rsidRPr="00861A19">
        <w:rPr>
          <w:rFonts w:ascii="Arial" w:hAnsi="Arial" w:cs="Arial"/>
          <w:sz w:val="20"/>
        </w:rPr>
        <w:t>Beyond laboratory and pilot-scale studies, it is essential to evaluate the holistic sustainability of mulberry biochar systems through techno-economic assessments and environmental impact analyses. These assessments should encompass energy inputs, greenhouse gas balances, and socio-economic co-benefits such as employment generation, waste management, and livelihood security in sericulture-based communities.</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8.6. Exploration of Non-Soil Applications</w:t>
      </w:r>
    </w:p>
    <w:p w:rsidR="00DA76BE" w:rsidRPr="00861A19" w:rsidRDefault="00DA76BE" w:rsidP="00861A19">
      <w:pPr>
        <w:pStyle w:val="NormalWeb"/>
        <w:jc w:val="both"/>
        <w:rPr>
          <w:rFonts w:ascii="Arial" w:hAnsi="Arial" w:cs="Arial"/>
          <w:sz w:val="20"/>
        </w:rPr>
      </w:pPr>
      <w:r w:rsidRPr="00861A19">
        <w:rPr>
          <w:rFonts w:ascii="Arial" w:hAnsi="Arial" w:cs="Arial"/>
          <w:sz w:val="20"/>
        </w:rPr>
        <w:t>While agronomic benefits have been widely recognized, future investigations should delve into non-soil applications such as construction materials, carbon-based adsorbents, and energy storage media. These high-value applications not only enhance economic feasibility but also extend the functional lifespan of biochar, further reinforcing its role as a long-term carbon sink.</w:t>
      </w:r>
    </w:p>
    <w:p w:rsidR="00DA76BE" w:rsidRPr="00861A19" w:rsidRDefault="00DA76BE" w:rsidP="00861A19">
      <w:pPr>
        <w:pStyle w:val="NormalWeb"/>
        <w:jc w:val="both"/>
        <w:rPr>
          <w:rFonts w:ascii="Arial" w:hAnsi="Arial" w:cs="Arial"/>
          <w:sz w:val="20"/>
        </w:rPr>
      </w:pPr>
      <w:r w:rsidRPr="00861A19">
        <w:rPr>
          <w:rFonts w:ascii="Arial" w:hAnsi="Arial" w:cs="Arial"/>
          <w:sz w:val="20"/>
        </w:rPr>
        <w:t>In summary, advancing research on mulberry biochar necessitates an integrated approach that couples fundamental characterization with real-world applications and policy interventions. Such efforts will not only unlock its untapped potential for carbon sequestration but also position it as a cornerstone technology in climate-smart agriculture and sustainable bioeconomy transitions.</w:t>
      </w:r>
    </w:p>
    <w:p w:rsidR="00EB24BD" w:rsidRPr="007A14DB" w:rsidRDefault="007A14DB" w:rsidP="00EB24BD">
      <w:pPr>
        <w:pStyle w:val="Heading3"/>
        <w:rPr>
          <w:rFonts w:ascii="Arial" w:hAnsi="Arial" w:cs="Arial"/>
          <w:sz w:val="22"/>
        </w:rPr>
      </w:pPr>
      <w:r w:rsidRPr="007A14DB">
        <w:rPr>
          <w:rStyle w:val="Strong"/>
          <w:rFonts w:ascii="Arial" w:hAnsi="Arial" w:cs="Arial"/>
          <w:b/>
          <w:bCs/>
          <w:sz w:val="22"/>
        </w:rPr>
        <w:t>9. CONCLUSION</w:t>
      </w:r>
    </w:p>
    <w:p w:rsidR="00EB24BD" w:rsidRPr="00861A19" w:rsidRDefault="00EB24BD" w:rsidP="00EB24BD">
      <w:pPr>
        <w:pStyle w:val="NormalWeb"/>
        <w:jc w:val="both"/>
        <w:rPr>
          <w:rFonts w:ascii="Arial" w:hAnsi="Arial" w:cs="Arial"/>
          <w:sz w:val="20"/>
        </w:rPr>
      </w:pPr>
      <w:r w:rsidRPr="00861A19">
        <w:rPr>
          <w:rFonts w:ascii="Arial" w:hAnsi="Arial" w:cs="Arial"/>
          <w:sz w:val="20"/>
        </w:rPr>
        <w:t>The transformation of mulberry biomass into biochar represents a promising strategy for addressing both environmental and economic challenges associated with sericulture waste management. The review highlights that mulberry residues, primarily consisting of lignocellulosic material, can serve as a sustainable feedstock for biochar production. Biochar derived from these residues demonstrates favorable properties such as high carbon content, nutrient retention potential, and structural stability, which contribute to improved soil fertility and enhanced crop productivity when applied as a soil amendment.</w:t>
      </w:r>
    </w:p>
    <w:p w:rsidR="00EB24BD" w:rsidRPr="00861A19" w:rsidRDefault="00EB24BD" w:rsidP="00EB24BD">
      <w:pPr>
        <w:pStyle w:val="NormalWeb"/>
        <w:jc w:val="both"/>
        <w:rPr>
          <w:rFonts w:ascii="Arial" w:hAnsi="Arial" w:cs="Arial"/>
          <w:sz w:val="20"/>
        </w:rPr>
      </w:pPr>
      <w:r w:rsidRPr="00861A19">
        <w:rPr>
          <w:rFonts w:ascii="Arial" w:hAnsi="Arial" w:cs="Arial"/>
          <w:sz w:val="20"/>
        </w:rPr>
        <w:t xml:space="preserve">Moreover, the role of mulberry biochar in carbon sequestration is particularly noteworthy. Its stable carbon structure, achieved through controlled pyrolysis processes, ensures long-term carbon retention, thereby mitigating greenhouse gas emissions and contributing to climate change adaptation strategies. However, existing studies remain limited, with most focusing solely on agronomic benefits rather than exploring broader environmental and industrial applications. This knowledge gap underscores the need for extensive research on optimizing pyrolysis conditions, characterizing biochar under diverse environmental settings, and evaluating its performance in various applications beyond soil management.The multifunctional potential of mulberry biochar ranging from pollutant remediation and </w:t>
      </w:r>
      <w:r w:rsidRPr="00861A19">
        <w:rPr>
          <w:rFonts w:ascii="Arial" w:hAnsi="Arial" w:cs="Arial"/>
          <w:sz w:val="20"/>
        </w:rPr>
        <w:lastRenderedPageBreak/>
        <w:t>wastewater treatment to integration into carbon markets offers opportunities for creating circular bioeconomy frameworks in sericulture regions. Realizing this potential will require interdisciplinary approaches that combine material science, life cycle analysis, and socio-economic evaluations to ensure sustainable adoption. Additionally, policy support and awareness programs can play a crucial role in scaling up these technologies, particularly in areas where sericulture contributes significantly to rural livelihoods.</w:t>
      </w:r>
    </w:p>
    <w:p w:rsidR="00EB24BD" w:rsidRDefault="00EB24BD" w:rsidP="00EB24BD">
      <w:pPr>
        <w:pStyle w:val="NormalWeb"/>
        <w:jc w:val="both"/>
        <w:rPr>
          <w:rFonts w:ascii="Arial" w:hAnsi="Arial" w:cs="Arial"/>
          <w:sz w:val="20"/>
        </w:rPr>
      </w:pPr>
      <w:r w:rsidRPr="00861A19">
        <w:rPr>
          <w:rFonts w:ascii="Arial" w:hAnsi="Arial" w:cs="Arial"/>
          <w:sz w:val="20"/>
        </w:rPr>
        <w:t>In summary, mulberry biochar stands as a viable and underutilized resource for sustainable development. Its integration into carbon sequestration strategies, environmental remediation processes, and emerging industrial applications can position it as a cornerstone in climate-smart agricultural systems. Future research and policy interventions must focus on unlocking this untapped potential, ensuring that mulberry biochar transitions from an experimental concept to a practical solution for global environmental challenges.</w:t>
      </w:r>
    </w:p>
    <w:p w:rsidR="00187E7D" w:rsidRDefault="00187E7D" w:rsidP="00EB24BD">
      <w:pPr>
        <w:pStyle w:val="NormalWeb"/>
        <w:jc w:val="both"/>
        <w:rPr>
          <w:rFonts w:ascii="Arial" w:hAnsi="Arial" w:cs="Arial"/>
          <w:sz w:val="20"/>
        </w:rPr>
      </w:pPr>
    </w:p>
    <w:p w:rsidR="00187E7D" w:rsidRPr="00FE7640" w:rsidRDefault="00187E7D" w:rsidP="00187E7D">
      <w:pPr>
        <w:rPr>
          <w:rFonts w:ascii="Calibri" w:eastAsia="Calibri" w:hAnsi="Calibri" w:cs="Times New Roman"/>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rsidR="00187E7D" w:rsidRPr="009C5487" w:rsidRDefault="00187E7D" w:rsidP="00187E7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187E7D" w:rsidRPr="009C5487" w:rsidRDefault="00187E7D" w:rsidP="00187E7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rsidR="00187E7D" w:rsidRDefault="00187E7D" w:rsidP="00EB24BD">
      <w:pPr>
        <w:pStyle w:val="NormalWeb"/>
        <w:jc w:val="both"/>
        <w:rPr>
          <w:rFonts w:ascii="Arial" w:hAnsi="Arial" w:cs="Arial"/>
          <w:sz w:val="20"/>
        </w:rPr>
      </w:pPr>
      <w:bookmarkStart w:id="5" w:name="_GoBack"/>
      <w:bookmarkEnd w:id="0"/>
      <w:bookmarkEnd w:id="1"/>
      <w:bookmarkEnd w:id="2"/>
      <w:bookmarkEnd w:id="3"/>
      <w:bookmarkEnd w:id="4"/>
      <w:bookmarkEnd w:id="5"/>
    </w:p>
    <w:p w:rsidR="00DD4DEB" w:rsidRPr="00DD4DEB" w:rsidRDefault="00861A19" w:rsidP="00DD4DEB">
      <w:pPr>
        <w:pStyle w:val="NormalWeb"/>
        <w:jc w:val="both"/>
        <w:rPr>
          <w:rFonts w:ascii="Arial" w:hAnsi="Arial" w:cs="Arial"/>
          <w:b/>
          <w:sz w:val="22"/>
        </w:rPr>
      </w:pPr>
      <w:r w:rsidRPr="00861A19">
        <w:rPr>
          <w:rFonts w:ascii="Arial" w:hAnsi="Arial" w:cs="Arial"/>
          <w:b/>
          <w:sz w:val="22"/>
        </w:rPr>
        <w:t>REFERENCES</w:t>
      </w:r>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Woolf, D., Amonette, J. E., Street-Perrott, F. A., Lehmann, J., &amp; Joseph, S. (2010). Sustainable biochar to mitigate global climate change. </w:t>
      </w:r>
      <w:r w:rsidRPr="00DD4DEB">
        <w:rPr>
          <w:rFonts w:ascii="Arial" w:hAnsi="Arial" w:cs="Arial"/>
          <w:iCs/>
          <w:color w:val="222222"/>
          <w:sz w:val="20"/>
          <w:szCs w:val="20"/>
          <w:shd w:val="clear" w:color="auto" w:fill="FFFFFF"/>
        </w:rPr>
        <w:t>Nature communications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w:t>
      </w:r>
      <w:r w:rsidRPr="00DD4DEB">
        <w:rPr>
          <w:rFonts w:ascii="Arial" w:hAnsi="Arial" w:cs="Arial"/>
          <w:color w:val="222222"/>
          <w:sz w:val="20"/>
          <w:szCs w:val="20"/>
          <w:shd w:val="clear" w:color="auto" w:fill="FFFFFF"/>
        </w:rPr>
        <w:t xml:space="preserve">(1), 56. </w:t>
      </w:r>
      <w:hyperlink r:id="rId20" w:history="1">
        <w:r w:rsidRPr="00DD4DEB">
          <w:rPr>
            <w:rStyle w:val="Hyperlink"/>
            <w:rFonts w:ascii="Arial" w:hAnsi="Arial" w:cs="Arial"/>
            <w:sz w:val="20"/>
            <w:szCs w:val="20"/>
            <w:shd w:val="clear" w:color="auto" w:fill="FFFFFF"/>
          </w:rPr>
          <w:t>https://doi.org/10.1038/ncomms1053</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Roberts, K. G., Gloy, B. A., Joseph, S., Scott, N. R., &amp; Lehmann, J. (2010). Life cycle assessment of biochar systems: estimating the energetic, economic, and climate change potential. </w:t>
      </w:r>
      <w:r w:rsidRPr="00DD4DEB">
        <w:rPr>
          <w:rFonts w:ascii="Arial" w:hAnsi="Arial" w:cs="Arial"/>
          <w:iCs/>
          <w:color w:val="222222"/>
          <w:sz w:val="20"/>
          <w:szCs w:val="20"/>
          <w:shd w:val="clear" w:color="auto" w:fill="FFFFFF"/>
        </w:rPr>
        <w:t>Environmental science &amp;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44</w:t>
      </w:r>
      <w:r w:rsidRPr="00DD4DEB">
        <w:rPr>
          <w:rFonts w:ascii="Arial" w:hAnsi="Arial" w:cs="Arial"/>
          <w:color w:val="222222"/>
          <w:sz w:val="20"/>
          <w:szCs w:val="20"/>
          <w:shd w:val="clear" w:color="auto" w:fill="FFFFFF"/>
        </w:rPr>
        <w:t xml:space="preserve">(2), 827-833. </w:t>
      </w:r>
      <w:hyperlink r:id="rId21" w:history="1">
        <w:r w:rsidRPr="00DD4DEB">
          <w:rPr>
            <w:rStyle w:val="Hyperlink"/>
            <w:rFonts w:ascii="Arial" w:hAnsi="Arial" w:cs="Arial"/>
            <w:sz w:val="20"/>
            <w:szCs w:val="20"/>
            <w:shd w:val="clear" w:color="auto" w:fill="FFFFFF"/>
          </w:rPr>
          <w:t>https://doi.org/10.1021/es902266r</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000000"/>
          <w:sz w:val="20"/>
          <w:szCs w:val="20"/>
          <w:shd w:val="clear" w:color="auto" w:fill="FFFFFF"/>
        </w:rPr>
        <w:t xml:space="preserve">Lehmann, J., &amp; Joseph, S. (Eds.). (2015). Biochar for Environmental Management: Science, Technology and Implementation (2nd ed.). Routledge. </w:t>
      </w:r>
      <w:hyperlink r:id="rId22" w:history="1">
        <w:r w:rsidRPr="00DD4DEB">
          <w:rPr>
            <w:rStyle w:val="Hyperlink"/>
            <w:rFonts w:ascii="Arial" w:hAnsi="Arial" w:cs="Arial"/>
            <w:sz w:val="20"/>
            <w:szCs w:val="20"/>
            <w:shd w:val="clear" w:color="auto" w:fill="FFFFFF"/>
          </w:rPr>
          <w:t>https://doi.org/10.4324/9780203762264</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Spokas, K. A. (2010). Review of the stability of biochar in soils: predictability of O: C molar ratios. </w:t>
      </w:r>
      <w:r w:rsidRPr="00DD4DEB">
        <w:rPr>
          <w:rFonts w:ascii="Arial" w:hAnsi="Arial" w:cs="Arial"/>
          <w:iCs/>
          <w:color w:val="222222"/>
          <w:sz w:val="20"/>
          <w:szCs w:val="20"/>
          <w:shd w:val="clear" w:color="auto" w:fill="FFFFFF"/>
        </w:rPr>
        <w:t>Carbon management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w:t>
      </w:r>
      <w:r w:rsidRPr="00DD4DEB">
        <w:rPr>
          <w:rFonts w:ascii="Arial" w:hAnsi="Arial" w:cs="Arial"/>
          <w:color w:val="222222"/>
          <w:sz w:val="20"/>
          <w:szCs w:val="20"/>
          <w:shd w:val="clear" w:color="auto" w:fill="FFFFFF"/>
        </w:rPr>
        <w:t xml:space="preserve">(2), 289-303. </w:t>
      </w:r>
      <w:hyperlink r:id="rId23" w:history="1">
        <w:r w:rsidRPr="00DD4DEB">
          <w:rPr>
            <w:rStyle w:val="Hyperlink"/>
            <w:rFonts w:ascii="Arial" w:hAnsi="Arial" w:cs="Arial"/>
            <w:sz w:val="20"/>
            <w:szCs w:val="20"/>
            <w:shd w:val="clear" w:color="auto" w:fill="FFFFFF"/>
          </w:rPr>
          <w:t>https://doi.org/10.4155/cmt.10.32</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Jeffery, S., Verheijen, F. G., van der Velde, M., &amp; Bastos, A. C. (2011). A quantitative review of the effects of biochar application to soils on crop productivity using meta-analysis. </w:t>
      </w:r>
      <w:r w:rsidRPr="00DD4DEB">
        <w:rPr>
          <w:rFonts w:ascii="Arial" w:hAnsi="Arial" w:cs="Arial"/>
          <w:iCs/>
          <w:color w:val="222222"/>
          <w:sz w:val="20"/>
          <w:szCs w:val="20"/>
          <w:shd w:val="clear" w:color="auto" w:fill="FFFFFF"/>
        </w:rPr>
        <w:t>Agriculture, ecosystems &amp; environment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144</w:t>
      </w:r>
      <w:r w:rsidRPr="00DD4DEB">
        <w:rPr>
          <w:rFonts w:ascii="Arial" w:hAnsi="Arial" w:cs="Arial"/>
          <w:color w:val="222222"/>
          <w:sz w:val="20"/>
          <w:szCs w:val="20"/>
          <w:shd w:val="clear" w:color="auto" w:fill="FFFFFF"/>
        </w:rPr>
        <w:t xml:space="preserve">(1), 175-187. </w:t>
      </w:r>
      <w:hyperlink r:id="rId24" w:history="1">
        <w:r w:rsidRPr="00DD4DEB">
          <w:rPr>
            <w:rStyle w:val="Hyperlink"/>
            <w:rFonts w:ascii="Arial" w:hAnsi="Arial" w:cs="Arial"/>
            <w:sz w:val="20"/>
            <w:szCs w:val="20"/>
            <w:shd w:val="clear" w:color="auto" w:fill="FFFFFF"/>
          </w:rPr>
          <w:t>https://doi.org/10.1016/j.agee.2011.08.015</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Style w:val="Strong"/>
          <w:rFonts w:ascii="Arial" w:hAnsi="Arial" w:cs="Arial"/>
          <w:b w:val="0"/>
          <w:sz w:val="20"/>
          <w:szCs w:val="20"/>
        </w:rPr>
        <w:t>Nandini, R.</w:t>
      </w:r>
      <w:r w:rsidRPr="00DD4DEB">
        <w:rPr>
          <w:rFonts w:ascii="Arial" w:hAnsi="Arial" w:cs="Arial"/>
          <w:sz w:val="20"/>
          <w:szCs w:val="20"/>
        </w:rPr>
        <w:t xml:space="preserve"> (2023). </w:t>
      </w:r>
      <w:r w:rsidRPr="00DD4DEB">
        <w:rPr>
          <w:rStyle w:val="Emphasis"/>
          <w:rFonts w:ascii="Arial" w:hAnsi="Arial" w:cs="Arial"/>
          <w:i w:val="0"/>
          <w:sz w:val="20"/>
          <w:szCs w:val="20"/>
        </w:rPr>
        <w:t>Studies on recycling of mulberry stalk as biochar for assessing carbon sequestration, soil properties and crop production in mulberry</w:t>
      </w:r>
      <w:r w:rsidRPr="00DD4DEB">
        <w:rPr>
          <w:rStyle w:val="Emphasis"/>
          <w:rFonts w:ascii="Arial" w:hAnsi="Arial" w:cs="Arial"/>
          <w:sz w:val="20"/>
          <w:szCs w:val="20"/>
        </w:rPr>
        <w:t xml:space="preserve"> (Morus alba L.)</w:t>
      </w:r>
      <w:r w:rsidRPr="00DD4DEB">
        <w:rPr>
          <w:rFonts w:ascii="Arial" w:hAnsi="Arial" w:cs="Arial"/>
          <w:sz w:val="20"/>
          <w:szCs w:val="20"/>
        </w:rPr>
        <w:t xml:space="preserve"> [Doctoral dissertation, University of Agricultural Sciences, Bangalore].</w:t>
      </w:r>
      <w:hyperlink r:id="rId25" w:history="1">
        <w:r w:rsidRPr="00DD4DEB">
          <w:rPr>
            <w:rStyle w:val="Hyperlink"/>
            <w:rFonts w:ascii="Arial" w:hAnsi="Arial" w:cs="Arial"/>
            <w:sz w:val="20"/>
            <w:szCs w:val="20"/>
          </w:rPr>
          <w:t>http://hdl.handle.net/10603/481599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Lu, L., Tang, Y., Xie, J. S., &amp; Yuan, Y. L. (2009). The role of marginal agricultural land-based mulberry planting in biomass energy production. </w:t>
      </w:r>
      <w:r w:rsidRPr="00DD4DEB">
        <w:rPr>
          <w:rFonts w:ascii="Arial" w:hAnsi="Arial" w:cs="Arial"/>
          <w:iCs/>
          <w:color w:val="222222"/>
          <w:sz w:val="20"/>
          <w:szCs w:val="20"/>
          <w:shd w:val="clear" w:color="auto" w:fill="FFFFFF"/>
        </w:rPr>
        <w:t>Renewable Energy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34</w:t>
      </w:r>
      <w:r w:rsidRPr="00DD4DEB">
        <w:rPr>
          <w:rFonts w:ascii="Arial" w:hAnsi="Arial" w:cs="Arial"/>
          <w:color w:val="222222"/>
          <w:sz w:val="20"/>
          <w:szCs w:val="20"/>
          <w:shd w:val="clear" w:color="auto" w:fill="FFFFFF"/>
        </w:rPr>
        <w:t xml:space="preserve">(7), 1789-1794. </w:t>
      </w:r>
      <w:hyperlink r:id="rId26" w:history="1">
        <w:r w:rsidRPr="00DD4DEB">
          <w:rPr>
            <w:rStyle w:val="Hyperlink"/>
            <w:rFonts w:ascii="Arial" w:hAnsi="Arial" w:cs="Arial"/>
            <w:sz w:val="20"/>
            <w:szCs w:val="20"/>
            <w:shd w:val="clear" w:color="auto" w:fill="FFFFFF"/>
          </w:rPr>
          <w:t>https://doi.org/10.1016/j.renene.2008.12.017</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Ma, Z., Zheng, D., Liang, B., &amp; Li, H. (2025). Effect of vermiculite-modified biochar on carbon sequestration potential, mercury adsorption stability, and economics. </w:t>
      </w:r>
      <w:r w:rsidRPr="00DD4DEB">
        <w:rPr>
          <w:rFonts w:ascii="Arial" w:hAnsi="Arial" w:cs="Arial"/>
          <w:iCs/>
          <w:color w:val="222222"/>
          <w:sz w:val="20"/>
          <w:szCs w:val="20"/>
          <w:shd w:val="clear" w:color="auto" w:fill="FFFFFF"/>
        </w:rPr>
        <w:t>Biomass Conversion and Biorefinery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15</w:t>
      </w:r>
      <w:r w:rsidRPr="00DD4DEB">
        <w:rPr>
          <w:rFonts w:ascii="Arial" w:hAnsi="Arial" w:cs="Arial"/>
          <w:color w:val="222222"/>
          <w:sz w:val="20"/>
          <w:szCs w:val="20"/>
          <w:shd w:val="clear" w:color="auto" w:fill="FFFFFF"/>
        </w:rPr>
        <w:t xml:space="preserve">(6), 9513-9529. </w:t>
      </w:r>
      <w:hyperlink r:id="rId27" w:history="1">
        <w:r w:rsidRPr="00DD4DEB">
          <w:rPr>
            <w:rStyle w:val="Hyperlink"/>
            <w:rFonts w:ascii="Arial" w:hAnsi="Arial" w:cs="Arial"/>
            <w:sz w:val="20"/>
            <w:szCs w:val="20"/>
            <w:shd w:val="clear" w:color="auto" w:fill="FFFFFF"/>
          </w:rPr>
          <w:t>https://doi.org/10.1007/s13399-024-05774-0</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lastRenderedPageBreak/>
        <w:t>Kaushik, A., Priyadharshini, P., Palaniselvam, V., Parthiban, K. T., &amp;Manimegalai, S. (2025). Characterization of Mulberry Biochar: Implications for Sustainable Agriculture. </w:t>
      </w:r>
      <w:r w:rsidRPr="00DD4DEB">
        <w:rPr>
          <w:rFonts w:ascii="Arial" w:hAnsi="Arial" w:cs="Arial"/>
          <w:iCs/>
          <w:color w:val="222222"/>
          <w:sz w:val="20"/>
          <w:szCs w:val="20"/>
          <w:shd w:val="clear" w:color="auto" w:fill="FFFFFF"/>
        </w:rPr>
        <w:t>Journal of Biobased Materials and Bioenergy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19</w:t>
      </w:r>
      <w:r w:rsidRPr="00DD4DEB">
        <w:rPr>
          <w:rFonts w:ascii="Arial" w:hAnsi="Arial" w:cs="Arial"/>
          <w:color w:val="222222"/>
          <w:sz w:val="20"/>
          <w:szCs w:val="20"/>
          <w:shd w:val="clear" w:color="auto" w:fill="FFFFFF"/>
        </w:rPr>
        <w:t xml:space="preserve">(1), 58-65. </w:t>
      </w:r>
      <w:hyperlink r:id="rId28" w:history="1">
        <w:r w:rsidRPr="00DD4DEB">
          <w:rPr>
            <w:rStyle w:val="Hyperlink"/>
            <w:rFonts w:ascii="Arial" w:hAnsi="Arial" w:cs="Arial"/>
            <w:sz w:val="20"/>
            <w:szCs w:val="20"/>
            <w:shd w:val="clear" w:color="auto" w:fill="FFFFFF"/>
          </w:rPr>
          <w:t>https://doi.org/10.1166/jbmb.2025.2479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Leng, L., Huang, H., Li, H., Li, J., &amp; Zhou, W. (2019). Biochar stability assessment methods: a review. </w:t>
      </w:r>
      <w:r w:rsidRPr="00DD4DEB">
        <w:rPr>
          <w:rFonts w:ascii="Arial" w:hAnsi="Arial" w:cs="Arial"/>
          <w:iCs/>
          <w:color w:val="222222"/>
          <w:sz w:val="20"/>
          <w:szCs w:val="20"/>
          <w:shd w:val="clear" w:color="auto" w:fill="FFFFFF"/>
        </w:rPr>
        <w:t>Science of the total environment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647</w:t>
      </w:r>
      <w:r w:rsidRPr="00DD4DEB">
        <w:rPr>
          <w:rFonts w:ascii="Arial" w:hAnsi="Arial" w:cs="Arial"/>
          <w:color w:val="222222"/>
          <w:sz w:val="20"/>
          <w:szCs w:val="20"/>
          <w:shd w:val="clear" w:color="auto" w:fill="FFFFFF"/>
        </w:rPr>
        <w:t xml:space="preserve">, 210-222. </w:t>
      </w:r>
      <w:hyperlink r:id="rId29" w:history="1">
        <w:r w:rsidRPr="00DD4DEB">
          <w:rPr>
            <w:rStyle w:val="Hyperlink"/>
            <w:rFonts w:ascii="Arial" w:hAnsi="Arial" w:cs="Arial"/>
            <w:sz w:val="20"/>
            <w:szCs w:val="20"/>
            <w:shd w:val="clear" w:color="auto" w:fill="FFFFFF"/>
          </w:rPr>
          <w:t>https://doi.org/10.1016/j.scitotenv.2018.07.402</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Tang, Z., Liang, M., Ding, Y., Liu, C., Zhang, Q., Wang, D., &amp; Zhang, X. (2024). Fe3O4/Mulberry stem biochar as a potential amendment for highly arsenic-contaminated paddy soil remediation. </w:t>
      </w:r>
      <w:r w:rsidRPr="00DD4DEB">
        <w:rPr>
          <w:rFonts w:ascii="Arial" w:hAnsi="Arial" w:cs="Arial"/>
          <w:iCs/>
          <w:color w:val="222222"/>
          <w:sz w:val="20"/>
          <w:szCs w:val="20"/>
          <w:shd w:val="clear" w:color="auto" w:fill="FFFFFF"/>
        </w:rPr>
        <w:t>Toxics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12</w:t>
      </w:r>
      <w:r w:rsidRPr="00DD4DEB">
        <w:rPr>
          <w:rFonts w:ascii="Arial" w:hAnsi="Arial" w:cs="Arial"/>
          <w:color w:val="222222"/>
          <w:sz w:val="20"/>
          <w:szCs w:val="20"/>
          <w:shd w:val="clear" w:color="auto" w:fill="FFFFFF"/>
        </w:rPr>
        <w:t xml:space="preserve">(11), 765. </w:t>
      </w:r>
      <w:hyperlink r:id="rId30" w:history="1">
        <w:r w:rsidRPr="00DD4DEB">
          <w:rPr>
            <w:rStyle w:val="Hyperlink"/>
            <w:rFonts w:ascii="Arial" w:hAnsi="Arial" w:cs="Arial"/>
            <w:sz w:val="20"/>
            <w:szCs w:val="20"/>
            <w:shd w:val="clear" w:color="auto" w:fill="FFFFFF"/>
          </w:rPr>
          <w:t>https://doi.org/10.3390/toxics12110765</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Wang, D., Zhou, X., Liang, M., &amp; Wu, Z. (2025). Synthesis of Hydroxyapatite Mulberry Stem Biochar Composites for Efficient Pb (II) Adsorption from Aqueous Solutions. </w:t>
      </w:r>
      <w:r w:rsidRPr="00DD4DEB">
        <w:rPr>
          <w:rFonts w:ascii="Arial" w:hAnsi="Arial" w:cs="Arial"/>
          <w:iCs/>
          <w:color w:val="222222"/>
          <w:sz w:val="20"/>
          <w:szCs w:val="20"/>
          <w:shd w:val="clear" w:color="auto" w:fill="FFFFFF"/>
        </w:rPr>
        <w:t>Water</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17</w:t>
      </w:r>
      <w:r w:rsidRPr="00DD4DEB">
        <w:rPr>
          <w:rFonts w:ascii="Arial" w:hAnsi="Arial" w:cs="Arial"/>
          <w:color w:val="222222"/>
          <w:sz w:val="20"/>
          <w:szCs w:val="20"/>
          <w:shd w:val="clear" w:color="auto" w:fill="FFFFFF"/>
        </w:rPr>
        <w:t xml:space="preserve">(9), 1389. </w:t>
      </w:r>
      <w:hyperlink r:id="rId31" w:history="1">
        <w:r w:rsidRPr="00DD4DEB">
          <w:rPr>
            <w:rStyle w:val="Hyperlink"/>
            <w:rFonts w:ascii="Arial" w:hAnsi="Arial" w:cs="Arial"/>
            <w:sz w:val="20"/>
            <w:szCs w:val="20"/>
            <w:shd w:val="clear" w:color="auto" w:fill="FFFFFF"/>
          </w:rPr>
          <w:t>https://doi.org/10.3390/w17091389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Spokas, K. A., Cantrell, K. B., Novak, J. M., Archer, D. W., Ippolito, J. A., Collins, H. P., et al. (2012). Biochar: a synthesis of its agronomic impact beyond carbon sequestration. </w:t>
      </w:r>
      <w:r w:rsidRPr="00DD4DEB">
        <w:rPr>
          <w:rFonts w:ascii="Arial" w:hAnsi="Arial" w:cs="Arial"/>
          <w:iCs/>
          <w:color w:val="222222"/>
          <w:sz w:val="20"/>
          <w:szCs w:val="20"/>
          <w:shd w:val="clear" w:color="auto" w:fill="FFFFFF"/>
        </w:rPr>
        <w:t>Journal of environmental quality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41</w:t>
      </w:r>
      <w:r w:rsidRPr="00DD4DEB">
        <w:rPr>
          <w:rFonts w:ascii="Arial" w:hAnsi="Arial" w:cs="Arial"/>
          <w:color w:val="222222"/>
          <w:sz w:val="20"/>
          <w:szCs w:val="20"/>
          <w:shd w:val="clear" w:color="auto" w:fill="FFFFFF"/>
        </w:rPr>
        <w:t xml:space="preserve">(4), 973-989. </w:t>
      </w:r>
      <w:hyperlink r:id="rId32" w:history="1">
        <w:r w:rsidRPr="00DD4DEB">
          <w:rPr>
            <w:rStyle w:val="Hyperlink"/>
            <w:rFonts w:ascii="Arial" w:hAnsi="Arial" w:cs="Arial"/>
            <w:sz w:val="20"/>
            <w:szCs w:val="20"/>
            <w:shd w:val="clear" w:color="auto" w:fill="FFFFFF"/>
          </w:rPr>
          <w:t>https://doi.org/10.2134/jeq2011.0069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sz w:val="20"/>
          <w:szCs w:val="20"/>
        </w:rPr>
        <w:t xml:space="preserve">Mašek, O. (2013). Biochar and carbon sequestration. In C. M. Belcher (Ed.), </w:t>
      </w:r>
      <w:r w:rsidRPr="00DD4DEB">
        <w:rPr>
          <w:rStyle w:val="Emphasis"/>
          <w:rFonts w:ascii="Arial" w:hAnsi="Arial" w:cs="Arial"/>
          <w:sz w:val="20"/>
          <w:szCs w:val="20"/>
        </w:rPr>
        <w:t>Fire phenomena and the Earth system: An interdisciplinary guide to fire science</w:t>
      </w:r>
      <w:r w:rsidRPr="00DD4DEB">
        <w:rPr>
          <w:rFonts w:ascii="Arial" w:hAnsi="Arial" w:cs="Arial"/>
          <w:sz w:val="20"/>
          <w:szCs w:val="20"/>
        </w:rPr>
        <w:t xml:space="preserve"> (Chap. 16). John Wiley &amp; Sons, (pp </w:t>
      </w:r>
      <w:r w:rsidRPr="00DD4DEB">
        <w:rPr>
          <w:rFonts w:ascii="Arial" w:hAnsi="Arial" w:cs="Arial"/>
          <w:color w:val="222222"/>
          <w:sz w:val="20"/>
          <w:szCs w:val="20"/>
          <w:shd w:val="clear" w:color="auto" w:fill="FFFFFF"/>
        </w:rPr>
        <w:t xml:space="preserve">309-322). </w:t>
      </w:r>
      <w:hyperlink r:id="rId33" w:history="1">
        <w:r w:rsidRPr="00DD4DEB">
          <w:rPr>
            <w:rStyle w:val="Hyperlink"/>
            <w:rFonts w:ascii="Arial" w:hAnsi="Arial" w:cs="Arial"/>
            <w:sz w:val="20"/>
            <w:szCs w:val="20"/>
            <w:shd w:val="clear" w:color="auto" w:fill="FFFFFF"/>
          </w:rPr>
          <w:t>https://doi.org/10.1002/9781118529539.ch16</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Lorenz, K., &amp; Lal, R. (2014). Biochar application to soil for climate change mitigation by soil organic carbon sequestration. </w:t>
      </w:r>
      <w:r w:rsidRPr="00DD4DEB">
        <w:rPr>
          <w:rFonts w:ascii="Arial" w:hAnsi="Arial" w:cs="Arial"/>
          <w:iCs/>
          <w:color w:val="222222"/>
          <w:sz w:val="20"/>
          <w:szCs w:val="20"/>
          <w:shd w:val="clear" w:color="auto" w:fill="FFFFFF"/>
        </w:rPr>
        <w:t>Journal of plant nutrition and soil science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177</w:t>
      </w:r>
      <w:r w:rsidRPr="00DD4DEB">
        <w:rPr>
          <w:rFonts w:ascii="Arial" w:hAnsi="Arial" w:cs="Arial"/>
          <w:color w:val="222222"/>
          <w:sz w:val="20"/>
          <w:szCs w:val="20"/>
          <w:shd w:val="clear" w:color="auto" w:fill="FFFFFF"/>
        </w:rPr>
        <w:t xml:space="preserve">(5), 651-670. </w:t>
      </w:r>
      <w:hyperlink r:id="rId34" w:history="1">
        <w:r w:rsidRPr="00DD4DEB">
          <w:rPr>
            <w:rStyle w:val="Hyperlink"/>
            <w:rFonts w:ascii="Arial" w:hAnsi="Arial" w:cs="Arial"/>
            <w:sz w:val="20"/>
            <w:szCs w:val="20"/>
            <w:shd w:val="clear" w:color="auto" w:fill="FFFFFF"/>
          </w:rPr>
          <w:t>https://doi.org/10.1002/jpln.201400058</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Gupta, D. K., Gupta, C. K., Dubey, R., Fagodiya, R. K., Sharma, G., A, K., et al. (2020). Role of biochar in carbon sequestration and greenhouse gas mitigation. In </w:t>
      </w:r>
      <w:r w:rsidRPr="00DD4DEB">
        <w:rPr>
          <w:rFonts w:ascii="Arial" w:hAnsi="Arial" w:cs="Arial"/>
          <w:iCs/>
          <w:color w:val="222222"/>
          <w:sz w:val="20"/>
          <w:szCs w:val="20"/>
          <w:shd w:val="clear" w:color="auto" w:fill="FFFFFF"/>
        </w:rPr>
        <w:t>Biochar applications in agriculture and environment management</w:t>
      </w:r>
      <w:r w:rsidRPr="00DD4DEB">
        <w:rPr>
          <w:rFonts w:ascii="Arial" w:hAnsi="Arial" w:cs="Arial"/>
          <w:color w:val="222222"/>
          <w:sz w:val="20"/>
          <w:szCs w:val="20"/>
          <w:shd w:val="clear" w:color="auto" w:fill="FFFFFF"/>
        </w:rPr>
        <w:t xml:space="preserve"> (pp. 141-165). Cham: Springer International Publishing. </w:t>
      </w:r>
      <w:hyperlink r:id="rId35" w:history="1">
        <w:r w:rsidRPr="00DD4DEB">
          <w:rPr>
            <w:rStyle w:val="Hyperlink"/>
            <w:rFonts w:ascii="Arial" w:hAnsi="Arial" w:cs="Arial"/>
            <w:sz w:val="20"/>
            <w:szCs w:val="20"/>
            <w:shd w:val="clear" w:color="auto" w:fill="FFFFFF"/>
          </w:rPr>
          <w:t>https://doi.org/10.1007/978-3-030-40997-5_7</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Smith, P. (2016). Soil carbon sequestration and biochar as negative emission technologies. </w:t>
      </w:r>
      <w:r w:rsidRPr="00DD4DEB">
        <w:rPr>
          <w:rFonts w:ascii="Arial" w:hAnsi="Arial" w:cs="Arial"/>
          <w:iCs/>
          <w:color w:val="222222"/>
          <w:sz w:val="20"/>
          <w:szCs w:val="20"/>
          <w:shd w:val="clear" w:color="auto" w:fill="FFFFFF"/>
        </w:rPr>
        <w:t>Global change biology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22</w:t>
      </w:r>
      <w:r w:rsidRPr="00DD4DEB">
        <w:rPr>
          <w:rFonts w:ascii="Arial" w:hAnsi="Arial" w:cs="Arial"/>
          <w:color w:val="222222"/>
          <w:sz w:val="20"/>
          <w:szCs w:val="20"/>
          <w:shd w:val="clear" w:color="auto" w:fill="FFFFFF"/>
        </w:rPr>
        <w:t xml:space="preserve">(3), 1315-1324. </w:t>
      </w:r>
      <w:hyperlink r:id="rId36" w:history="1">
        <w:r w:rsidRPr="00DD4DEB">
          <w:rPr>
            <w:rStyle w:val="Hyperlink"/>
            <w:rFonts w:ascii="Arial" w:hAnsi="Arial" w:cs="Arial"/>
            <w:sz w:val="20"/>
            <w:szCs w:val="20"/>
            <w:shd w:val="clear" w:color="auto" w:fill="FFFFFF"/>
          </w:rPr>
          <w:t>https://doi.org/10.1111/gcb.13178</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Tan, R. R. (2019). Data challenges in optimizing biochar-based carbon sequestration. </w:t>
      </w:r>
      <w:r w:rsidRPr="00DD4DEB">
        <w:rPr>
          <w:rFonts w:ascii="Arial" w:hAnsi="Arial" w:cs="Arial"/>
          <w:iCs/>
          <w:color w:val="222222"/>
          <w:sz w:val="20"/>
          <w:szCs w:val="20"/>
          <w:shd w:val="clear" w:color="auto" w:fill="FFFFFF"/>
        </w:rPr>
        <w:t>Renewable and Sustainable Energy Reviews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104</w:t>
      </w:r>
      <w:r w:rsidRPr="00DD4DEB">
        <w:rPr>
          <w:rFonts w:ascii="Arial" w:hAnsi="Arial" w:cs="Arial"/>
          <w:color w:val="222222"/>
          <w:sz w:val="20"/>
          <w:szCs w:val="20"/>
          <w:shd w:val="clear" w:color="auto" w:fill="FFFFFF"/>
        </w:rPr>
        <w:t xml:space="preserve">, 174-177. </w:t>
      </w:r>
      <w:hyperlink r:id="rId37" w:history="1">
        <w:r w:rsidRPr="00DD4DEB">
          <w:rPr>
            <w:rStyle w:val="Hyperlink"/>
            <w:rFonts w:ascii="Arial" w:hAnsi="Arial" w:cs="Arial"/>
            <w:sz w:val="20"/>
            <w:szCs w:val="20"/>
            <w:shd w:val="clear" w:color="auto" w:fill="FFFFFF"/>
          </w:rPr>
          <w:t>https://doi.org/10.1016/j.rser.2019.01.032</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Graetz, R. D., &amp;Skjemstad, J. O. (2003). </w:t>
      </w:r>
      <w:r w:rsidRPr="00DD4DEB">
        <w:rPr>
          <w:rFonts w:ascii="Arial" w:hAnsi="Arial" w:cs="Arial"/>
          <w:iCs/>
          <w:color w:val="222222"/>
          <w:sz w:val="20"/>
          <w:szCs w:val="20"/>
          <w:shd w:val="clear" w:color="auto" w:fill="FFFFFF"/>
        </w:rPr>
        <w:t>The charcoal sink of biomass burning on the Australian continent</w:t>
      </w:r>
      <w:r w:rsidRPr="00DD4DEB">
        <w:rPr>
          <w:rFonts w:ascii="Arial" w:hAnsi="Arial" w:cs="Arial"/>
          <w:color w:val="222222"/>
          <w:sz w:val="20"/>
          <w:szCs w:val="20"/>
          <w:shd w:val="clear" w:color="auto" w:fill="FFFFFF"/>
        </w:rPr>
        <w:t> </w:t>
      </w:r>
      <w:r w:rsidRPr="00DD4DEB">
        <w:rPr>
          <w:rFonts w:ascii="Arial" w:hAnsi="Arial" w:cs="Arial"/>
          <w:sz w:val="20"/>
          <w:szCs w:val="20"/>
        </w:rPr>
        <w:t xml:space="preserve">(CSIRO Atmospheric Research Technical Paper No. 64). CSIRO Atmospheric Research.  </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Lehmann, J., Gaunt, J., &amp;Rondon, M. (2006). Bio-char sequestration in terrestrial ecosystems–a review. </w:t>
      </w:r>
      <w:r w:rsidRPr="00DD4DEB">
        <w:rPr>
          <w:rFonts w:ascii="Arial" w:hAnsi="Arial" w:cs="Arial"/>
          <w:iCs/>
          <w:color w:val="222222"/>
          <w:sz w:val="20"/>
          <w:szCs w:val="20"/>
          <w:shd w:val="clear" w:color="auto" w:fill="FFFFFF"/>
        </w:rPr>
        <w:t>Mitigation and adaptation strategies for global change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11</w:t>
      </w:r>
      <w:r w:rsidRPr="00DD4DEB">
        <w:rPr>
          <w:rFonts w:ascii="Arial" w:hAnsi="Arial" w:cs="Arial"/>
          <w:color w:val="222222"/>
          <w:sz w:val="20"/>
          <w:szCs w:val="20"/>
          <w:shd w:val="clear" w:color="auto" w:fill="FFFFFF"/>
        </w:rPr>
        <w:t xml:space="preserve">(2), 403-427. </w:t>
      </w:r>
      <w:hyperlink r:id="rId38" w:history="1">
        <w:r w:rsidRPr="00DD4DEB">
          <w:rPr>
            <w:rStyle w:val="Hyperlink"/>
            <w:rFonts w:ascii="Arial" w:hAnsi="Arial" w:cs="Arial"/>
            <w:sz w:val="20"/>
            <w:szCs w:val="20"/>
            <w:shd w:val="clear" w:color="auto" w:fill="FFFFFF"/>
          </w:rPr>
          <w:t>https://doi.org/10.1007/s11027-005-9006-5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Waters, D., Van Zwieten, L., Singh, B. P., Downie, A., Cowie, A. L., &amp; Lehmann, J. (2011). Biochar in soil for climate change mitigation and adaptation. In </w:t>
      </w:r>
      <w:r w:rsidRPr="00DD4DEB">
        <w:rPr>
          <w:rFonts w:ascii="Arial" w:hAnsi="Arial" w:cs="Arial"/>
          <w:iCs/>
          <w:color w:val="222222"/>
          <w:sz w:val="20"/>
          <w:szCs w:val="20"/>
          <w:shd w:val="clear" w:color="auto" w:fill="FFFFFF"/>
        </w:rPr>
        <w:t>Soil health and climate change</w:t>
      </w:r>
      <w:r w:rsidRPr="00DD4DEB">
        <w:rPr>
          <w:rFonts w:ascii="Arial" w:hAnsi="Arial" w:cs="Arial"/>
          <w:color w:val="222222"/>
          <w:sz w:val="20"/>
          <w:szCs w:val="20"/>
          <w:shd w:val="clear" w:color="auto" w:fill="FFFFFF"/>
        </w:rPr>
        <w:t xml:space="preserve"> (pp. 345-368). Berlin, Heidelberg: Springer Berlin Heidelberg. </w:t>
      </w:r>
      <w:hyperlink r:id="rId39" w:history="1">
        <w:r w:rsidRPr="00DD4DEB">
          <w:rPr>
            <w:rStyle w:val="Hyperlink"/>
            <w:rFonts w:ascii="Arial" w:hAnsi="Arial" w:cs="Arial"/>
            <w:sz w:val="20"/>
            <w:szCs w:val="20"/>
            <w:shd w:val="clear" w:color="auto" w:fill="FFFFFF"/>
          </w:rPr>
          <w:t>https://doi.org/10.1007/978-3-642-20256-8_15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Wang, J., Xiong, Z., &amp;Kuzyakov, Y. (2016). Biochar stability in soil: meta</w:t>
      </w:r>
      <w:r w:rsidRPr="00DD4DEB">
        <w:rPr>
          <w:rFonts w:ascii="Cambria Math" w:hAnsi="Cambria Math" w:cs="Arial"/>
          <w:color w:val="222222"/>
          <w:sz w:val="20"/>
          <w:szCs w:val="20"/>
          <w:shd w:val="clear" w:color="auto" w:fill="FFFFFF"/>
        </w:rPr>
        <w:t>‐</w:t>
      </w:r>
      <w:r w:rsidRPr="00DD4DEB">
        <w:rPr>
          <w:rFonts w:ascii="Arial" w:hAnsi="Arial" w:cs="Arial"/>
          <w:color w:val="222222"/>
          <w:sz w:val="20"/>
          <w:szCs w:val="20"/>
          <w:shd w:val="clear" w:color="auto" w:fill="FFFFFF"/>
        </w:rPr>
        <w:t>analysis of decomposition and priming effects. </w:t>
      </w:r>
      <w:r w:rsidRPr="00DD4DEB">
        <w:rPr>
          <w:rFonts w:ascii="Arial" w:hAnsi="Arial" w:cs="Arial"/>
          <w:iCs/>
          <w:color w:val="222222"/>
          <w:sz w:val="20"/>
          <w:szCs w:val="20"/>
          <w:shd w:val="clear" w:color="auto" w:fill="FFFFFF"/>
        </w:rPr>
        <w:t>Gcb Bioenergy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8</w:t>
      </w:r>
      <w:r w:rsidRPr="00DD4DEB">
        <w:rPr>
          <w:rFonts w:ascii="Arial" w:hAnsi="Arial" w:cs="Arial"/>
          <w:color w:val="222222"/>
          <w:sz w:val="20"/>
          <w:szCs w:val="20"/>
          <w:shd w:val="clear" w:color="auto" w:fill="FFFFFF"/>
        </w:rPr>
        <w:t xml:space="preserve">(3), 512-523. </w:t>
      </w:r>
      <w:hyperlink r:id="rId40" w:history="1">
        <w:r w:rsidRPr="00DD4DEB">
          <w:rPr>
            <w:rStyle w:val="Hyperlink"/>
            <w:rFonts w:ascii="Arial" w:hAnsi="Arial" w:cs="Arial"/>
            <w:sz w:val="20"/>
            <w:szCs w:val="20"/>
            <w:shd w:val="clear" w:color="auto" w:fill="FFFFFF"/>
          </w:rPr>
          <w:t>https://doi.org/10.1111/gcbb.12266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Majumder, S., Neogi, S., Dutta, T., Powel, M. A., &amp;Banik, P. (2019). The impact of biochar on soil carbon sequestration: Meta-analytical approach to evaluating environmental and economic advantages. </w:t>
      </w:r>
      <w:r w:rsidRPr="00DD4DEB">
        <w:rPr>
          <w:rFonts w:ascii="Arial" w:hAnsi="Arial" w:cs="Arial"/>
          <w:iCs/>
          <w:color w:val="222222"/>
          <w:sz w:val="20"/>
          <w:szCs w:val="20"/>
          <w:shd w:val="clear" w:color="auto" w:fill="FFFFFF"/>
        </w:rPr>
        <w:t>Journal of environmental management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250</w:t>
      </w:r>
      <w:r w:rsidRPr="00DD4DEB">
        <w:rPr>
          <w:rFonts w:ascii="Arial" w:hAnsi="Arial" w:cs="Arial"/>
          <w:color w:val="222222"/>
          <w:sz w:val="20"/>
          <w:szCs w:val="20"/>
          <w:shd w:val="clear" w:color="auto" w:fill="FFFFFF"/>
        </w:rPr>
        <w:t xml:space="preserve">, 109466. </w:t>
      </w:r>
      <w:hyperlink r:id="rId41" w:history="1">
        <w:r w:rsidRPr="00DD4DEB">
          <w:rPr>
            <w:rStyle w:val="Hyperlink"/>
            <w:rFonts w:ascii="Arial" w:hAnsi="Arial" w:cs="Arial"/>
            <w:sz w:val="20"/>
            <w:szCs w:val="20"/>
            <w:shd w:val="clear" w:color="auto" w:fill="FFFFFF"/>
          </w:rPr>
          <w:t>https://doi.org/10.1016/j.jenvman.2019.109466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Liang, B., Lehmann, J., Solomon, D., Sohi, S., Thies, J. E., Skjemstad, J. O., et al. (2008). Stability of biomass-derived black carbon in soils. </w:t>
      </w:r>
      <w:r w:rsidRPr="00DD4DEB">
        <w:rPr>
          <w:rFonts w:ascii="Arial" w:hAnsi="Arial" w:cs="Arial"/>
          <w:iCs/>
          <w:color w:val="222222"/>
          <w:sz w:val="20"/>
          <w:szCs w:val="20"/>
          <w:shd w:val="clear" w:color="auto" w:fill="FFFFFF"/>
        </w:rPr>
        <w:t>Geochimica et Cosmochimica Acta</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72</w:t>
      </w:r>
      <w:r w:rsidRPr="00DD4DEB">
        <w:rPr>
          <w:rFonts w:ascii="Arial" w:hAnsi="Arial" w:cs="Arial"/>
          <w:color w:val="222222"/>
          <w:sz w:val="20"/>
          <w:szCs w:val="20"/>
          <w:shd w:val="clear" w:color="auto" w:fill="FFFFFF"/>
        </w:rPr>
        <w:t xml:space="preserve">(24), 6069-6078. </w:t>
      </w:r>
      <w:hyperlink r:id="rId42" w:history="1">
        <w:r w:rsidRPr="00DD4DEB">
          <w:rPr>
            <w:rStyle w:val="Hyperlink"/>
            <w:rFonts w:ascii="Arial" w:hAnsi="Arial" w:cs="Arial"/>
            <w:sz w:val="20"/>
            <w:szCs w:val="20"/>
            <w:shd w:val="clear" w:color="auto" w:fill="FFFFFF"/>
          </w:rPr>
          <w:t>https://doi.org/10.1016/j.gca.2008.09.028</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Kuzyakov, Y., Subbotina, I., Chen, H., Bogomolova, I., &amp; Xu, X. (2009). Black carbon decomposition and incorporation into soil microbial biomass estimated by 14C labeling. </w:t>
      </w:r>
      <w:r w:rsidRPr="00DD4DEB">
        <w:rPr>
          <w:rFonts w:ascii="Arial" w:hAnsi="Arial" w:cs="Arial"/>
          <w:iCs/>
          <w:color w:val="222222"/>
          <w:sz w:val="20"/>
          <w:szCs w:val="20"/>
          <w:shd w:val="clear" w:color="auto" w:fill="FFFFFF"/>
        </w:rPr>
        <w:t>Soil Biology and Biochemistry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41</w:t>
      </w:r>
      <w:r w:rsidRPr="00DD4DEB">
        <w:rPr>
          <w:rFonts w:ascii="Arial" w:hAnsi="Arial" w:cs="Arial"/>
          <w:color w:val="222222"/>
          <w:sz w:val="20"/>
          <w:szCs w:val="20"/>
          <w:shd w:val="clear" w:color="auto" w:fill="FFFFFF"/>
        </w:rPr>
        <w:t xml:space="preserve">(2), 210-219. </w:t>
      </w:r>
      <w:hyperlink r:id="rId43" w:history="1">
        <w:r w:rsidRPr="00DD4DEB">
          <w:rPr>
            <w:rStyle w:val="Hyperlink"/>
            <w:rFonts w:ascii="Arial" w:hAnsi="Arial" w:cs="Arial"/>
            <w:sz w:val="20"/>
            <w:szCs w:val="20"/>
            <w:shd w:val="clear" w:color="auto" w:fill="FFFFFF"/>
          </w:rPr>
          <w:t>https://doi.org/10.1016/j.soilbio.2008.10.016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lastRenderedPageBreak/>
        <w:t>Major, J., Lehmann, J., Rondon, M., &amp; Goodale, C. (2010). Fate of soil</w:t>
      </w:r>
      <w:r w:rsidRPr="00DD4DEB">
        <w:rPr>
          <w:rFonts w:ascii="Cambria Math" w:hAnsi="Cambria Math" w:cs="Arial"/>
          <w:color w:val="222222"/>
          <w:sz w:val="20"/>
          <w:szCs w:val="20"/>
          <w:shd w:val="clear" w:color="auto" w:fill="FFFFFF"/>
        </w:rPr>
        <w:t>‐</w:t>
      </w:r>
      <w:r w:rsidRPr="00DD4DEB">
        <w:rPr>
          <w:rFonts w:ascii="Arial" w:hAnsi="Arial" w:cs="Arial"/>
          <w:color w:val="222222"/>
          <w:sz w:val="20"/>
          <w:szCs w:val="20"/>
          <w:shd w:val="clear" w:color="auto" w:fill="FFFFFF"/>
        </w:rPr>
        <w:t>applied black carbon: downward migration, leaching and soil respiration. </w:t>
      </w:r>
      <w:r w:rsidRPr="00DD4DEB">
        <w:rPr>
          <w:rFonts w:ascii="Arial" w:hAnsi="Arial" w:cs="Arial"/>
          <w:iCs/>
          <w:color w:val="222222"/>
          <w:sz w:val="20"/>
          <w:szCs w:val="20"/>
          <w:shd w:val="clear" w:color="auto" w:fill="FFFFFF"/>
        </w:rPr>
        <w:t>Global Change Biology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16</w:t>
      </w:r>
      <w:r w:rsidRPr="00DD4DEB">
        <w:rPr>
          <w:rFonts w:ascii="Arial" w:hAnsi="Arial" w:cs="Arial"/>
          <w:color w:val="222222"/>
          <w:sz w:val="20"/>
          <w:szCs w:val="20"/>
          <w:shd w:val="clear" w:color="auto" w:fill="FFFFFF"/>
        </w:rPr>
        <w:t xml:space="preserve">(4), 1366-1379. </w:t>
      </w:r>
      <w:hyperlink r:id="rId44" w:history="1">
        <w:r w:rsidRPr="00DD4DEB">
          <w:rPr>
            <w:rStyle w:val="Hyperlink"/>
            <w:rFonts w:ascii="Arial" w:hAnsi="Arial" w:cs="Arial"/>
            <w:sz w:val="20"/>
            <w:szCs w:val="20"/>
            <w:shd w:val="clear" w:color="auto" w:fill="FFFFFF"/>
          </w:rPr>
          <w:t>https://doi.org/10.1111/j.1365-2486.2009.02044.x</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Zimmerman, A. R. (2010). Abiotic and microbial oxidation of laboratory-produced black carbon (biochar). </w:t>
      </w:r>
      <w:r w:rsidRPr="00DD4DEB">
        <w:rPr>
          <w:rFonts w:ascii="Arial" w:hAnsi="Arial" w:cs="Arial"/>
          <w:iCs/>
          <w:color w:val="222222"/>
          <w:sz w:val="20"/>
          <w:szCs w:val="20"/>
          <w:shd w:val="clear" w:color="auto" w:fill="FFFFFF"/>
        </w:rPr>
        <w:t>Environmental science &amp;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44</w:t>
      </w:r>
      <w:r w:rsidRPr="00DD4DEB">
        <w:rPr>
          <w:rFonts w:ascii="Arial" w:hAnsi="Arial" w:cs="Arial"/>
          <w:color w:val="222222"/>
          <w:sz w:val="20"/>
          <w:szCs w:val="20"/>
          <w:shd w:val="clear" w:color="auto" w:fill="FFFFFF"/>
        </w:rPr>
        <w:t xml:space="preserve">(4), 1295-1301. </w:t>
      </w:r>
      <w:hyperlink r:id="rId45" w:history="1">
        <w:r w:rsidRPr="00DD4DEB">
          <w:rPr>
            <w:rStyle w:val="Hyperlink"/>
            <w:rFonts w:ascii="Arial" w:hAnsi="Arial" w:cs="Arial"/>
            <w:sz w:val="20"/>
            <w:szCs w:val="20"/>
            <w:shd w:val="clear" w:color="auto" w:fill="FFFFFF"/>
          </w:rPr>
          <w:t>https://doi.org/10.1021/es903140c</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Windeatt, J. H., Ross, A. B., Williams, P. T., Forster, P. M., Nahil, M. A., &amp; Singh, S. (2014). Characteristics of biochars from crop residues: Potential for carbon sequestration and soil amendment. </w:t>
      </w:r>
      <w:r w:rsidRPr="00DD4DEB">
        <w:rPr>
          <w:rFonts w:ascii="Arial" w:hAnsi="Arial" w:cs="Arial"/>
          <w:iCs/>
          <w:color w:val="222222"/>
          <w:sz w:val="20"/>
          <w:szCs w:val="20"/>
          <w:shd w:val="clear" w:color="auto" w:fill="FFFFFF"/>
        </w:rPr>
        <w:t>Journal of environmental management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146</w:t>
      </w:r>
      <w:r w:rsidRPr="00DD4DEB">
        <w:rPr>
          <w:rFonts w:ascii="Arial" w:hAnsi="Arial" w:cs="Arial"/>
          <w:color w:val="222222"/>
          <w:sz w:val="20"/>
          <w:szCs w:val="20"/>
          <w:shd w:val="clear" w:color="auto" w:fill="FFFFFF"/>
        </w:rPr>
        <w:t xml:space="preserve">, 189-197. </w:t>
      </w:r>
      <w:hyperlink r:id="rId46" w:history="1">
        <w:r w:rsidRPr="00DD4DEB">
          <w:rPr>
            <w:rStyle w:val="Hyperlink"/>
            <w:rFonts w:ascii="Arial" w:hAnsi="Arial" w:cs="Arial"/>
            <w:sz w:val="20"/>
            <w:szCs w:val="20"/>
            <w:shd w:val="clear" w:color="auto" w:fill="FFFFFF"/>
          </w:rPr>
          <w:t>https://doi.org/10.1016/j.jenvman.2014.08.003</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LAMANI, H. D., PRAKASHA, H., &amp; NAVEEN, D. (2024). Enhancing Soil Fertility of Mulberry Cultivated Garden through Sustainable Recycling of Mulberry Stalks as Biochar Adjunct with Organic Amendments. </w:t>
      </w:r>
      <w:r w:rsidRPr="00DD4DEB">
        <w:rPr>
          <w:rFonts w:ascii="Arial" w:hAnsi="Arial" w:cs="Arial"/>
          <w:iCs/>
          <w:color w:val="222222"/>
          <w:sz w:val="20"/>
          <w:szCs w:val="20"/>
          <w:shd w:val="clear" w:color="auto" w:fill="FFFFFF"/>
        </w:rPr>
        <w:t>Mysore Journal of Agricultural Sciences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59</w:t>
      </w:r>
      <w:r w:rsidRPr="00DD4DEB">
        <w:rPr>
          <w:rFonts w:ascii="Arial" w:hAnsi="Arial" w:cs="Arial"/>
          <w:color w:val="222222"/>
          <w:sz w:val="20"/>
          <w:szCs w:val="20"/>
          <w:shd w:val="clear" w:color="auto" w:fill="FFFFFF"/>
        </w:rPr>
        <w:t>(2), 116-130.</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Nandini, R., &amp;Prakasha, H. C. (2022). Use of Mulberry Stalk as Biochar and its Effect on Growth, Yield and Quality of Mulberry (</w:t>
      </w:r>
      <w:r w:rsidRPr="00DD4DEB">
        <w:rPr>
          <w:rFonts w:ascii="Arial" w:hAnsi="Arial" w:cs="Arial"/>
          <w:i/>
          <w:color w:val="222222"/>
          <w:sz w:val="20"/>
          <w:szCs w:val="20"/>
          <w:shd w:val="clear" w:color="auto" w:fill="FFFFFF"/>
        </w:rPr>
        <w:t>Morus alba</w:t>
      </w:r>
      <w:r w:rsidRPr="00DD4DEB">
        <w:rPr>
          <w:rFonts w:ascii="Arial" w:hAnsi="Arial" w:cs="Arial"/>
          <w:color w:val="222222"/>
          <w:sz w:val="20"/>
          <w:szCs w:val="20"/>
          <w:shd w:val="clear" w:color="auto" w:fill="FFFFFF"/>
        </w:rPr>
        <w:t xml:space="preserve"> L.). </w:t>
      </w:r>
      <w:r w:rsidRPr="00DD4DEB">
        <w:rPr>
          <w:rFonts w:ascii="Arial" w:hAnsi="Arial" w:cs="Arial"/>
          <w:iCs/>
          <w:color w:val="222222"/>
          <w:sz w:val="20"/>
          <w:szCs w:val="20"/>
          <w:shd w:val="clear" w:color="auto" w:fill="FFFFFF"/>
        </w:rPr>
        <w:t>Mysore Journal of Agricultural Sciences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56</w:t>
      </w:r>
      <w:r w:rsidRPr="00DD4DEB">
        <w:rPr>
          <w:rFonts w:ascii="Arial" w:hAnsi="Arial" w:cs="Arial"/>
          <w:color w:val="222222"/>
          <w:sz w:val="20"/>
          <w:szCs w:val="20"/>
          <w:shd w:val="clear" w:color="auto" w:fill="FFFFFF"/>
        </w:rPr>
        <w:t xml:space="preserve">(4), 296-303. </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Denman, K. L., Brasseur, G., Chidthaisong, A., Ciais, P., Cox, P. M., Dickinson, R. E., et al. (2007). Couplings between changes in the climate system and biogeochemistry. </w:t>
      </w:r>
      <w:r w:rsidRPr="00DD4DEB">
        <w:rPr>
          <w:rFonts w:ascii="Arial" w:hAnsi="Arial" w:cs="Arial"/>
          <w:iCs/>
          <w:color w:val="222222"/>
          <w:sz w:val="20"/>
          <w:szCs w:val="20"/>
          <w:shd w:val="clear" w:color="auto" w:fill="FFFFFF"/>
        </w:rPr>
        <w:t>Climate Change 2007: The Physical Science Basis. Contribution of Working Group I to the Fourth Assessment Report of the Intergovernmental Panel on Climate Change The Physical Science Basis</w:t>
      </w:r>
      <w:r w:rsidRPr="00DD4DEB">
        <w:rPr>
          <w:rFonts w:ascii="Arial" w:hAnsi="Arial" w:cs="Arial"/>
          <w:color w:val="222222"/>
          <w:sz w:val="20"/>
          <w:szCs w:val="20"/>
          <w:shd w:val="clear" w:color="auto" w:fill="FFFFFF"/>
        </w:rPr>
        <w:t>, 499-587.</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Srinivasarao, C., Gopinath, K. A., Venkatesh, G., Dubey, A. K., Wakudkar, H., Purakayastha, T. J., et al. (2013). Use of biochar for soil health management and greenhouse gas mitigation in India: Potential and constraints. </w:t>
      </w:r>
      <w:r w:rsidRPr="00DD4DEB">
        <w:rPr>
          <w:rFonts w:ascii="Arial" w:hAnsi="Arial" w:cs="Arial"/>
          <w:iCs/>
          <w:color w:val="222222"/>
          <w:sz w:val="20"/>
          <w:szCs w:val="20"/>
          <w:shd w:val="clear" w:color="auto" w:fill="FFFFFF"/>
        </w:rPr>
        <w:t>Central Research Institute for Dryland Agriculture. Hyderabad, Andhra Pradesh</w:t>
      </w:r>
      <w:r w:rsidRPr="00DD4DEB">
        <w:rPr>
          <w:rFonts w:ascii="Arial" w:hAnsi="Arial" w:cs="Arial"/>
          <w:color w:val="222222"/>
          <w:sz w:val="20"/>
          <w:szCs w:val="20"/>
          <w:shd w:val="clear" w:color="auto" w:fill="FFFFFF"/>
        </w:rPr>
        <w:t>, pp 51.</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Atkinson, C. J., Fitzgerald, J. D., &amp;Hipps, N. A. (2010). Potential mechanisms for achieving agricultural benefits from biochar application to temperate soils: a review. </w:t>
      </w:r>
      <w:r w:rsidRPr="00DD4DEB">
        <w:rPr>
          <w:rFonts w:ascii="Arial" w:hAnsi="Arial" w:cs="Arial"/>
          <w:iCs/>
          <w:color w:val="222222"/>
          <w:sz w:val="20"/>
          <w:szCs w:val="20"/>
          <w:shd w:val="clear" w:color="auto" w:fill="FFFFFF"/>
        </w:rPr>
        <w:t>Plant and soil</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337</w:t>
      </w:r>
      <w:r w:rsidRPr="00DD4DEB">
        <w:rPr>
          <w:rFonts w:ascii="Arial" w:hAnsi="Arial" w:cs="Arial"/>
          <w:color w:val="222222"/>
          <w:sz w:val="20"/>
          <w:szCs w:val="20"/>
          <w:shd w:val="clear" w:color="auto" w:fill="FFFFFF"/>
        </w:rPr>
        <w:t xml:space="preserve">(1), 1-18. </w:t>
      </w:r>
      <w:hyperlink r:id="rId47" w:history="1">
        <w:r w:rsidRPr="00DD4DEB">
          <w:rPr>
            <w:rStyle w:val="Hyperlink"/>
            <w:rFonts w:ascii="Arial" w:hAnsi="Arial" w:cs="Arial"/>
            <w:sz w:val="20"/>
            <w:szCs w:val="20"/>
            <w:shd w:val="clear" w:color="auto" w:fill="FFFFFF"/>
          </w:rPr>
          <w:t>https://doi.org/10.1007/s11104-010-0464-5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Ahmad, M., Rajapaksha, A. U., Lim, J. E., Zhang, M., Bolan, N., Mohan, D., et al. (2014). Biochar as a sorbent for contaminant management in soil and water: a review. </w:t>
      </w:r>
      <w:r w:rsidRPr="00DD4DEB">
        <w:rPr>
          <w:rFonts w:ascii="Arial" w:hAnsi="Arial" w:cs="Arial"/>
          <w:iCs/>
          <w:color w:val="222222"/>
          <w:sz w:val="20"/>
          <w:szCs w:val="20"/>
          <w:shd w:val="clear" w:color="auto" w:fill="FFFFFF"/>
        </w:rPr>
        <w:t>Chemosphere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99</w:t>
      </w:r>
      <w:r w:rsidRPr="00DD4DEB">
        <w:rPr>
          <w:rFonts w:ascii="Arial" w:hAnsi="Arial" w:cs="Arial"/>
          <w:color w:val="222222"/>
          <w:sz w:val="20"/>
          <w:szCs w:val="20"/>
          <w:shd w:val="clear" w:color="auto" w:fill="FFFFFF"/>
        </w:rPr>
        <w:t xml:space="preserve">, 19-33. </w:t>
      </w:r>
      <w:hyperlink r:id="rId48" w:history="1">
        <w:r w:rsidRPr="00DD4DEB">
          <w:rPr>
            <w:rStyle w:val="Hyperlink"/>
            <w:rFonts w:ascii="Arial" w:hAnsi="Arial" w:cs="Arial"/>
            <w:sz w:val="20"/>
            <w:szCs w:val="20"/>
            <w:shd w:val="clear" w:color="auto" w:fill="FFFFFF"/>
          </w:rPr>
          <w:t>https://doi.org/10.1016/j.chemosphere.2013.10.071</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Beesley, L., &amp;Marmiroli, M. (2011). The immobilisation and retention of soluble arsenic, cadmium and zinc by biochar. </w:t>
      </w:r>
      <w:r w:rsidRPr="00DD4DEB">
        <w:rPr>
          <w:rFonts w:ascii="Arial" w:hAnsi="Arial" w:cs="Arial"/>
          <w:iCs/>
          <w:color w:val="222222"/>
          <w:sz w:val="20"/>
          <w:szCs w:val="20"/>
          <w:shd w:val="clear" w:color="auto" w:fill="FFFFFF"/>
        </w:rPr>
        <w:t>Environmental pollution</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159</w:t>
      </w:r>
      <w:r w:rsidRPr="00DD4DEB">
        <w:rPr>
          <w:rFonts w:ascii="Arial" w:hAnsi="Arial" w:cs="Arial"/>
          <w:color w:val="222222"/>
          <w:sz w:val="20"/>
          <w:szCs w:val="20"/>
          <w:shd w:val="clear" w:color="auto" w:fill="FFFFFF"/>
        </w:rPr>
        <w:t xml:space="preserve">(2), 474-480. </w:t>
      </w:r>
      <w:hyperlink r:id="rId49" w:history="1">
        <w:r w:rsidRPr="00DD4DEB">
          <w:rPr>
            <w:rStyle w:val="Hyperlink"/>
            <w:rFonts w:ascii="Arial" w:hAnsi="Arial" w:cs="Arial"/>
            <w:sz w:val="20"/>
            <w:szCs w:val="20"/>
            <w:shd w:val="clear" w:color="auto" w:fill="FFFFFF"/>
          </w:rPr>
          <w:t>https://doi.org/10.1016/j.envpol.2010.10.016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Bridgwater, A. V., &amp;Peacocke, G. V. C. (2000). Fast pyrolysis processes for biomass. </w:t>
      </w:r>
      <w:r w:rsidRPr="00DD4DEB">
        <w:rPr>
          <w:rFonts w:ascii="Arial" w:hAnsi="Arial" w:cs="Arial"/>
          <w:iCs/>
          <w:color w:val="222222"/>
          <w:sz w:val="20"/>
          <w:szCs w:val="20"/>
          <w:shd w:val="clear" w:color="auto" w:fill="FFFFFF"/>
        </w:rPr>
        <w:t>Renewable and sustainable energy reviews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w:t>
      </w:r>
      <w:r w:rsidRPr="00DD4DEB">
        <w:rPr>
          <w:rFonts w:ascii="Arial" w:hAnsi="Arial" w:cs="Arial"/>
          <w:color w:val="222222"/>
          <w:sz w:val="20"/>
          <w:szCs w:val="20"/>
          <w:shd w:val="clear" w:color="auto" w:fill="FFFFFF"/>
        </w:rPr>
        <w:t xml:space="preserve">(1), 1-73.  </w:t>
      </w:r>
      <w:hyperlink r:id="rId50" w:history="1">
        <w:r w:rsidRPr="00DD4DEB">
          <w:rPr>
            <w:rStyle w:val="Hyperlink"/>
            <w:rFonts w:ascii="Arial" w:hAnsi="Arial" w:cs="Arial"/>
            <w:sz w:val="20"/>
            <w:szCs w:val="20"/>
            <w:shd w:val="clear" w:color="auto" w:fill="FFFFFF"/>
          </w:rPr>
          <w:t>https://doi.org/10.1016/S1364-0321(99)00007-6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Libra, J. A., Ro, K. S., Kammann, C., Funke, A., Berge, N. D., Neubauer, Y., et al. (2011). Hydrothermal carbonization of biomass residuals: a comparative review of the chemistry, processes and applications of wet and dry pyrolysis. </w:t>
      </w:r>
      <w:r w:rsidRPr="00DD4DEB">
        <w:rPr>
          <w:rFonts w:ascii="Arial" w:hAnsi="Arial" w:cs="Arial"/>
          <w:iCs/>
          <w:color w:val="222222"/>
          <w:sz w:val="20"/>
          <w:szCs w:val="20"/>
          <w:shd w:val="clear" w:color="auto" w:fill="FFFFFF"/>
        </w:rPr>
        <w:t>Biofuels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2</w:t>
      </w:r>
      <w:r w:rsidRPr="00DD4DEB">
        <w:rPr>
          <w:rFonts w:ascii="Arial" w:hAnsi="Arial" w:cs="Arial"/>
          <w:color w:val="222222"/>
          <w:sz w:val="20"/>
          <w:szCs w:val="20"/>
          <w:shd w:val="clear" w:color="auto" w:fill="FFFFFF"/>
        </w:rPr>
        <w:t xml:space="preserve">(1), 71-106. </w:t>
      </w:r>
      <w:hyperlink r:id="rId51" w:history="1">
        <w:r w:rsidRPr="00DD4DEB">
          <w:rPr>
            <w:rStyle w:val="Hyperlink"/>
            <w:rFonts w:ascii="Arial" w:hAnsi="Arial" w:cs="Arial"/>
            <w:sz w:val="20"/>
            <w:szCs w:val="20"/>
            <w:shd w:val="clear" w:color="auto" w:fill="FFFFFF"/>
          </w:rPr>
          <w:t>https://doi.org/10.4155/bfs.10.81</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Keiluweit, M., Nico, P. S., Johnson, M. G., &amp; Kleber, M. (2010). Dynamic molecular structure of plant biomass-derived black carbon (biochar). </w:t>
      </w:r>
      <w:r w:rsidRPr="00DD4DEB">
        <w:rPr>
          <w:rFonts w:ascii="Arial" w:hAnsi="Arial" w:cs="Arial"/>
          <w:iCs/>
          <w:color w:val="222222"/>
          <w:sz w:val="20"/>
          <w:szCs w:val="20"/>
          <w:shd w:val="clear" w:color="auto" w:fill="FFFFFF"/>
        </w:rPr>
        <w:t>Environmental science &amp;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44</w:t>
      </w:r>
      <w:r w:rsidRPr="00DD4DEB">
        <w:rPr>
          <w:rFonts w:ascii="Arial" w:hAnsi="Arial" w:cs="Arial"/>
          <w:color w:val="222222"/>
          <w:sz w:val="20"/>
          <w:szCs w:val="20"/>
          <w:shd w:val="clear" w:color="auto" w:fill="FFFFFF"/>
        </w:rPr>
        <w:t xml:space="preserve">(4), 1247-1253. </w:t>
      </w:r>
      <w:hyperlink r:id="rId52" w:history="1">
        <w:r w:rsidRPr="00DD4DEB">
          <w:rPr>
            <w:rStyle w:val="Hyperlink"/>
            <w:rFonts w:ascii="Arial" w:hAnsi="Arial" w:cs="Arial"/>
            <w:sz w:val="20"/>
            <w:szCs w:val="20"/>
            <w:shd w:val="clear" w:color="auto" w:fill="FFFFFF"/>
          </w:rPr>
          <w:t>https://doi.org/10.1021/es9031419</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Enders, A., Hanley, K., Whitman, T., Joseph, S., &amp; Lehmann, J. (2012). Characterization of biochars to evaluate recalcitrance and agronomic performance. </w:t>
      </w:r>
      <w:r w:rsidRPr="00DD4DEB">
        <w:rPr>
          <w:rFonts w:ascii="Arial" w:hAnsi="Arial" w:cs="Arial"/>
          <w:iCs/>
          <w:color w:val="222222"/>
          <w:sz w:val="20"/>
          <w:szCs w:val="20"/>
          <w:shd w:val="clear" w:color="auto" w:fill="FFFFFF"/>
        </w:rPr>
        <w:t>Bioresource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114</w:t>
      </w:r>
      <w:r w:rsidRPr="00DD4DEB">
        <w:rPr>
          <w:rFonts w:ascii="Arial" w:hAnsi="Arial" w:cs="Arial"/>
          <w:color w:val="222222"/>
          <w:sz w:val="20"/>
          <w:szCs w:val="20"/>
          <w:shd w:val="clear" w:color="auto" w:fill="FFFFFF"/>
        </w:rPr>
        <w:t xml:space="preserve">, 644-653. </w:t>
      </w:r>
      <w:hyperlink r:id="rId53" w:history="1">
        <w:r w:rsidRPr="00DD4DEB">
          <w:rPr>
            <w:rStyle w:val="Hyperlink"/>
            <w:rFonts w:ascii="Arial" w:hAnsi="Arial" w:cs="Arial"/>
            <w:sz w:val="20"/>
            <w:szCs w:val="20"/>
            <w:shd w:val="clear" w:color="auto" w:fill="FFFFFF"/>
          </w:rPr>
          <w:t>https://doi.org/10.1016/j.biortech.2012.03.022</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Huang, Y. F., Kuan, W. H., Lo, S. L., &amp; Lin, C. F. (2008). Total recovery of resources and energy from rice straw using microwave-induced pyrolysis. </w:t>
      </w:r>
      <w:r w:rsidRPr="00DD4DEB">
        <w:rPr>
          <w:rFonts w:ascii="Arial" w:hAnsi="Arial" w:cs="Arial"/>
          <w:iCs/>
          <w:color w:val="222222"/>
          <w:sz w:val="20"/>
          <w:szCs w:val="20"/>
          <w:shd w:val="clear" w:color="auto" w:fill="FFFFFF"/>
        </w:rPr>
        <w:t>Bioresource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99</w:t>
      </w:r>
      <w:r w:rsidRPr="00DD4DEB">
        <w:rPr>
          <w:rFonts w:ascii="Arial" w:hAnsi="Arial" w:cs="Arial"/>
          <w:color w:val="222222"/>
          <w:sz w:val="20"/>
          <w:szCs w:val="20"/>
          <w:shd w:val="clear" w:color="auto" w:fill="FFFFFF"/>
        </w:rPr>
        <w:t xml:space="preserve">(17), 8252-8258. </w:t>
      </w:r>
      <w:hyperlink r:id="rId54" w:history="1">
        <w:r w:rsidRPr="00DD4DEB">
          <w:rPr>
            <w:rStyle w:val="Hyperlink"/>
            <w:rFonts w:ascii="Arial" w:hAnsi="Arial" w:cs="Arial"/>
            <w:sz w:val="20"/>
            <w:szCs w:val="20"/>
            <w:shd w:val="clear" w:color="auto" w:fill="FFFFFF"/>
          </w:rPr>
          <w:t>https://doi.org/10.1016/j.biortech.2008.03.026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Sun, X., Shan, R., Li, X., Pan, J., Liu, X., Deng, R., &amp; Song, J. (2017). Characterization of 60 types of Chinese biomass waste and resultant biochars in terms of their candidacy for soil application. </w:t>
      </w:r>
      <w:r w:rsidRPr="00DD4DEB">
        <w:rPr>
          <w:rFonts w:ascii="Arial" w:hAnsi="Arial" w:cs="Arial"/>
          <w:iCs/>
          <w:color w:val="222222"/>
          <w:sz w:val="20"/>
          <w:szCs w:val="20"/>
          <w:shd w:val="clear" w:color="auto" w:fill="FFFFFF"/>
        </w:rPr>
        <w:t>Gcb Bioenergy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9</w:t>
      </w:r>
      <w:r w:rsidRPr="00DD4DEB">
        <w:rPr>
          <w:rFonts w:ascii="Arial" w:hAnsi="Arial" w:cs="Arial"/>
          <w:color w:val="222222"/>
          <w:sz w:val="20"/>
          <w:szCs w:val="20"/>
          <w:shd w:val="clear" w:color="auto" w:fill="FFFFFF"/>
        </w:rPr>
        <w:t xml:space="preserve">(9), 1423-1435. </w:t>
      </w:r>
      <w:hyperlink r:id="rId55" w:history="1">
        <w:r w:rsidRPr="00DD4DEB">
          <w:rPr>
            <w:rStyle w:val="Hyperlink"/>
            <w:rFonts w:ascii="Arial" w:hAnsi="Arial" w:cs="Arial"/>
            <w:sz w:val="20"/>
            <w:szCs w:val="20"/>
            <w:shd w:val="clear" w:color="auto" w:fill="FFFFFF"/>
          </w:rPr>
          <w:t>https://doi.org/10.1111/gcbb.12435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lastRenderedPageBreak/>
        <w:t>Tiwari, S., Singh, C., Boudh, S., Rai, P. K., Gupta, V. K., &amp; Singh, J. S. (2019a). Land use change: A key ecological disturbance declines soil microbial biomass in dry tropical uplands. </w:t>
      </w:r>
      <w:r w:rsidRPr="00DD4DEB">
        <w:rPr>
          <w:rFonts w:ascii="Arial" w:hAnsi="Arial" w:cs="Arial"/>
          <w:iCs/>
          <w:color w:val="222222"/>
          <w:sz w:val="20"/>
          <w:szCs w:val="20"/>
          <w:shd w:val="clear" w:color="auto" w:fill="FFFFFF"/>
        </w:rPr>
        <w:t>Journal of environmental management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242</w:t>
      </w:r>
      <w:r w:rsidRPr="00DD4DEB">
        <w:rPr>
          <w:rFonts w:ascii="Arial" w:hAnsi="Arial" w:cs="Arial"/>
          <w:color w:val="222222"/>
          <w:sz w:val="20"/>
          <w:szCs w:val="20"/>
          <w:shd w:val="clear" w:color="auto" w:fill="FFFFFF"/>
        </w:rPr>
        <w:t xml:space="preserve">, 1-10. </w:t>
      </w:r>
      <w:hyperlink r:id="rId56" w:history="1">
        <w:r w:rsidRPr="00DD4DEB">
          <w:rPr>
            <w:rStyle w:val="Hyperlink"/>
            <w:rFonts w:ascii="Arial" w:hAnsi="Arial" w:cs="Arial"/>
            <w:sz w:val="20"/>
            <w:szCs w:val="20"/>
            <w:shd w:val="clear" w:color="auto" w:fill="FFFFFF"/>
          </w:rPr>
          <w:t>https://doi.org/10.1016/j.jenvman.2019.04.052</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Tiwari, S., Singh, C., &amp; Singh, J. S. (2019b). Wetlands: A major natural source responsible for methane emission. In </w:t>
      </w:r>
      <w:r w:rsidRPr="00DD4DEB">
        <w:rPr>
          <w:rFonts w:ascii="Arial" w:hAnsi="Arial" w:cs="Arial"/>
          <w:i/>
          <w:iCs/>
          <w:color w:val="222222"/>
          <w:sz w:val="20"/>
          <w:szCs w:val="20"/>
          <w:shd w:val="clear" w:color="auto" w:fill="FFFFFF"/>
        </w:rPr>
        <w:t>Restoration of wetland ecosystem: a trajectory towards a sustainable environment</w:t>
      </w:r>
      <w:r w:rsidRPr="00DD4DEB">
        <w:rPr>
          <w:rFonts w:ascii="Arial" w:hAnsi="Arial" w:cs="Arial"/>
          <w:color w:val="222222"/>
          <w:sz w:val="20"/>
          <w:szCs w:val="20"/>
          <w:shd w:val="clear" w:color="auto" w:fill="FFFFFF"/>
        </w:rPr>
        <w:t xml:space="preserve"> (pp. 59-74). Singapore: Springer Singapore. </w:t>
      </w:r>
      <w:hyperlink r:id="rId57" w:history="1">
        <w:r w:rsidRPr="00DD4DEB">
          <w:rPr>
            <w:rStyle w:val="Hyperlink"/>
            <w:rFonts w:ascii="Arial" w:hAnsi="Arial" w:cs="Arial"/>
            <w:sz w:val="20"/>
            <w:szCs w:val="20"/>
            <w:shd w:val="clear" w:color="auto" w:fill="FFFFFF"/>
          </w:rPr>
          <w:t>https://doi.org/10.1007/978-981-13-7665-8_5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Singh, C., Tiwari, S., &amp; Singh, J. S. (2019). Biochar: a sustainable tool in soil pollutant bioremediation. In </w:t>
      </w:r>
      <w:r w:rsidRPr="00DD4DEB">
        <w:rPr>
          <w:rFonts w:ascii="Arial" w:hAnsi="Arial" w:cs="Arial"/>
          <w:i/>
          <w:iCs/>
          <w:color w:val="222222"/>
          <w:sz w:val="20"/>
          <w:szCs w:val="20"/>
          <w:shd w:val="clear" w:color="auto" w:fill="FFFFFF"/>
        </w:rPr>
        <w:t>Bioremediation of Industrial Waste for Environmental Safety: Volume II: Biological Agents and Methods for Industrial Waste Management</w:t>
      </w:r>
      <w:r w:rsidRPr="00DD4DEB">
        <w:rPr>
          <w:rFonts w:ascii="Arial" w:hAnsi="Arial" w:cs="Arial"/>
          <w:color w:val="222222"/>
          <w:sz w:val="20"/>
          <w:szCs w:val="20"/>
          <w:shd w:val="clear" w:color="auto" w:fill="FFFFFF"/>
        </w:rPr>
        <w:t xml:space="preserve"> (pp. 475-494). Singapore: Springer Singapore. </w:t>
      </w:r>
      <w:hyperlink r:id="rId58" w:history="1">
        <w:r w:rsidRPr="00DD4DEB">
          <w:rPr>
            <w:rStyle w:val="Hyperlink"/>
            <w:rFonts w:ascii="Arial" w:hAnsi="Arial" w:cs="Arial"/>
            <w:sz w:val="20"/>
            <w:szCs w:val="20"/>
            <w:shd w:val="clear" w:color="auto" w:fill="FFFFFF"/>
          </w:rPr>
          <w:t>https://doi.org/10.1007/978-981-13-3426-9_19</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t xml:space="preserve">Kour, D., Rana, K. L., Yadav, N., Yadav, A. N., Rastegari, A. A., Singh, C., Negi, P., Singh, K., &amp; Saxena, A. K. (2019). Technologies for biofuel production: Current development, challenges, and future prospects. In A. Rastegari, A. Yadav, &amp; a. Gupta (Eds.), </w:t>
      </w:r>
      <w:r w:rsidRPr="00DD4DEB">
        <w:rPr>
          <w:rStyle w:val="Emphasis"/>
          <w:rFonts w:ascii="Arial" w:hAnsi="Arial" w:cs="Arial"/>
          <w:sz w:val="20"/>
          <w:szCs w:val="20"/>
        </w:rPr>
        <w:t>Prospects of renewable bioprocessing in future energy systems</w:t>
      </w:r>
      <w:r w:rsidRPr="00DD4DEB">
        <w:rPr>
          <w:rFonts w:ascii="Arial" w:hAnsi="Arial" w:cs="Arial"/>
          <w:sz w:val="20"/>
          <w:szCs w:val="20"/>
        </w:rPr>
        <w:t xml:space="preserve"> (pp. 1–50). Springer. </w:t>
      </w:r>
      <w:hyperlink r:id="rId59" w:history="1">
        <w:r w:rsidRPr="00DD4DEB">
          <w:rPr>
            <w:rStyle w:val="Hyperlink"/>
            <w:rFonts w:ascii="Arial" w:hAnsi="Arial" w:cs="Arial"/>
            <w:sz w:val="20"/>
            <w:szCs w:val="20"/>
            <w:shd w:val="clear" w:color="auto" w:fill="FFFFFF"/>
          </w:rPr>
          <w:t>https://doi.org/10.1007/978-3-030-14463-0_1</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t xml:space="preserve">Nath, I., Dutta, P. L., Ahmed, M. H., &amp;Saikia, M. (2025). Eco-nutrition and silkworm productivity: A comprehensive review on mulberry leaf fortification in rearing of </w:t>
      </w:r>
      <w:r w:rsidRPr="00DD4DEB">
        <w:rPr>
          <w:rStyle w:val="Emphasis"/>
          <w:rFonts w:ascii="Arial" w:hAnsi="Arial" w:cs="Arial"/>
          <w:sz w:val="20"/>
          <w:szCs w:val="20"/>
        </w:rPr>
        <w:t>Bombyx mori</w:t>
      </w:r>
      <w:r w:rsidRPr="00DD4DEB">
        <w:rPr>
          <w:rFonts w:ascii="Arial" w:hAnsi="Arial" w:cs="Arial"/>
          <w:sz w:val="20"/>
          <w:szCs w:val="20"/>
        </w:rPr>
        <w:t xml:space="preserve"> L. </w:t>
      </w:r>
      <w:r w:rsidRPr="00DD4DEB">
        <w:rPr>
          <w:rStyle w:val="Emphasis"/>
          <w:rFonts w:ascii="Arial" w:hAnsi="Arial" w:cs="Arial"/>
          <w:i w:val="0"/>
          <w:sz w:val="20"/>
          <w:szCs w:val="20"/>
        </w:rPr>
        <w:t>Uttar Pradesh Journal of Zoology, 46</w:t>
      </w:r>
      <w:r w:rsidRPr="00DD4DEB">
        <w:rPr>
          <w:rFonts w:ascii="Arial" w:hAnsi="Arial" w:cs="Arial"/>
          <w:sz w:val="20"/>
          <w:szCs w:val="20"/>
        </w:rPr>
        <w:t xml:space="preserve">(13), 290–303. </w:t>
      </w:r>
      <w:hyperlink r:id="rId60" w:history="1">
        <w:r w:rsidRPr="00DD4DEB">
          <w:rPr>
            <w:rStyle w:val="Hyperlink"/>
            <w:rFonts w:ascii="Arial" w:hAnsi="Arial" w:cs="Arial"/>
            <w:sz w:val="20"/>
            <w:szCs w:val="20"/>
          </w:rPr>
          <w:t>https://doi.org/10.56557/upjoz/2025/v46i135107</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t xml:space="preserve">Dutta, P. L., Parthiban, K. T., Nath, I., Patil, P., &amp;Borgohain, M. (2025). Evaluating mulberry clonal genetic resources through chemical characterization for pulp and paper production. </w:t>
      </w:r>
      <w:r w:rsidRPr="00DD4DEB">
        <w:rPr>
          <w:rStyle w:val="Emphasis"/>
          <w:rFonts w:ascii="Arial" w:hAnsi="Arial" w:cs="Arial"/>
          <w:i w:val="0"/>
          <w:sz w:val="20"/>
          <w:szCs w:val="20"/>
        </w:rPr>
        <w:t>Journal of Scientific Research and Reports, 31</w:t>
      </w:r>
      <w:r w:rsidRPr="00DD4DEB">
        <w:rPr>
          <w:rFonts w:ascii="Arial" w:hAnsi="Arial" w:cs="Arial"/>
          <w:sz w:val="20"/>
          <w:szCs w:val="20"/>
        </w:rPr>
        <w:t xml:space="preserve">(7), 1001–1011. </w:t>
      </w:r>
      <w:hyperlink r:id="rId61" w:history="1">
        <w:r w:rsidRPr="00DD4DEB">
          <w:rPr>
            <w:rStyle w:val="Hyperlink"/>
            <w:rFonts w:ascii="Arial" w:hAnsi="Arial" w:cs="Arial"/>
            <w:sz w:val="20"/>
            <w:szCs w:val="20"/>
          </w:rPr>
          <w:t>https://doi.org/10.9734/jsrr/2025/v31i73316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t xml:space="preserve">Nath, I., Dutta, P. L., Rajah, A. R., &amp; Dhanush, M. (2024). Harnessing mulberry trees for carbon sequestration: A review of strategies to enhance air quality. </w:t>
      </w:r>
      <w:r w:rsidRPr="00DD4DEB">
        <w:rPr>
          <w:rStyle w:val="Emphasis"/>
          <w:rFonts w:ascii="Arial" w:hAnsi="Arial" w:cs="Arial"/>
          <w:i w:val="0"/>
          <w:sz w:val="20"/>
          <w:szCs w:val="20"/>
        </w:rPr>
        <w:t>International Journal of Advanced Biochemistry Research, 8</w:t>
      </w:r>
      <w:r w:rsidRPr="00DD4DEB">
        <w:rPr>
          <w:rFonts w:ascii="Arial" w:hAnsi="Arial" w:cs="Arial"/>
          <w:sz w:val="20"/>
          <w:szCs w:val="20"/>
        </w:rPr>
        <w:t xml:space="preserve">(3), 872–876. </w:t>
      </w:r>
      <w:hyperlink r:id="rId62" w:history="1">
        <w:r w:rsidRPr="00DD4DEB">
          <w:rPr>
            <w:rStyle w:val="Hyperlink"/>
            <w:rFonts w:ascii="Arial" w:hAnsi="Arial" w:cs="Arial"/>
            <w:sz w:val="20"/>
            <w:szCs w:val="20"/>
          </w:rPr>
          <w:t>https://doi.org/10.33545/26174693.2024.v8.i3j.847</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t>Dutta, P. L., Parthiban, K. T., Nath, I., Ahmed, M. H., Patil, P., &amp;Vijayakumary, P. (2025). Physico-chemical and thermochemical profiling of mulberry (</w:t>
      </w:r>
      <w:r w:rsidRPr="00DD4DEB">
        <w:rPr>
          <w:rStyle w:val="Emphasis"/>
          <w:rFonts w:ascii="Arial" w:hAnsi="Arial" w:cs="Arial"/>
          <w:sz w:val="20"/>
          <w:szCs w:val="20"/>
        </w:rPr>
        <w:t>Morus</w:t>
      </w:r>
      <w:r w:rsidRPr="00DD4DEB">
        <w:rPr>
          <w:rFonts w:ascii="Arial" w:hAnsi="Arial" w:cs="Arial"/>
          <w:sz w:val="20"/>
          <w:szCs w:val="20"/>
        </w:rPr>
        <w:t xml:space="preserve"> spp.) clones for sustainable bioenergy application: A PCA-based selection approach. </w:t>
      </w:r>
      <w:r w:rsidRPr="00DD4DEB">
        <w:rPr>
          <w:rStyle w:val="Emphasis"/>
          <w:rFonts w:ascii="Arial" w:hAnsi="Arial" w:cs="Arial"/>
          <w:i w:val="0"/>
          <w:sz w:val="20"/>
          <w:szCs w:val="20"/>
        </w:rPr>
        <w:t>International Journal of Environment and Climate Change, 15</w:t>
      </w:r>
      <w:r w:rsidRPr="00DD4DEB">
        <w:rPr>
          <w:rFonts w:ascii="Arial" w:hAnsi="Arial" w:cs="Arial"/>
          <w:sz w:val="20"/>
          <w:szCs w:val="20"/>
        </w:rPr>
        <w:t xml:space="preserve">(8), 465–484. </w:t>
      </w:r>
      <w:hyperlink r:id="rId63" w:history="1">
        <w:r w:rsidRPr="00DD4DEB">
          <w:rPr>
            <w:rStyle w:val="Hyperlink"/>
            <w:rFonts w:ascii="Arial" w:hAnsi="Arial" w:cs="Arial"/>
            <w:sz w:val="20"/>
            <w:szCs w:val="20"/>
          </w:rPr>
          <w:t>https://doi.org/10.9734/ijecc/2025/v15i84989</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Mutahir, S., Khan, M. A., Ishfaq, H., Ahmed, S. B., Abouzied, A. S., Huwaimel, B., &amp; Deng, H. (2024). Synthesis of mulberry wood waste biochar through acid modification for removal of dyes: experimental and DFT-based analysis. </w:t>
      </w:r>
      <w:r w:rsidRPr="00DD4DEB">
        <w:rPr>
          <w:rFonts w:ascii="Arial" w:hAnsi="Arial" w:cs="Arial"/>
          <w:iCs/>
          <w:color w:val="222222"/>
          <w:sz w:val="20"/>
          <w:szCs w:val="20"/>
          <w:shd w:val="clear" w:color="auto" w:fill="FFFFFF"/>
        </w:rPr>
        <w:t>Biomass Conversion and Biorefinery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14</w:t>
      </w:r>
      <w:r w:rsidRPr="00DD4DEB">
        <w:rPr>
          <w:rFonts w:ascii="Arial" w:hAnsi="Arial" w:cs="Arial"/>
          <w:color w:val="222222"/>
          <w:sz w:val="20"/>
          <w:szCs w:val="20"/>
          <w:shd w:val="clear" w:color="auto" w:fill="FFFFFF"/>
        </w:rPr>
        <w:t xml:space="preserve">(22), 29189-29200. </w:t>
      </w:r>
      <w:hyperlink r:id="rId64" w:history="1">
        <w:r w:rsidRPr="00DD4DEB">
          <w:rPr>
            <w:rStyle w:val="Hyperlink"/>
            <w:rFonts w:ascii="Arial" w:hAnsi="Arial" w:cs="Arial"/>
            <w:sz w:val="20"/>
            <w:szCs w:val="20"/>
            <w:shd w:val="clear" w:color="auto" w:fill="FFFFFF"/>
          </w:rPr>
          <w:t>https://doi.org/10.1007/s13399-023-04595-x</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Prentice, I. C., Farquhar, G. D., Fasham, M. J. R., Goulden, M. L., Heimann, M., Jaramillo, V. J., et al. (2001). The carbon cycle and atmospheric carbon dioxide. </w:t>
      </w:r>
      <w:r w:rsidRPr="00DD4DEB">
        <w:rPr>
          <w:rFonts w:ascii="Arial" w:hAnsi="Arial" w:cs="Arial"/>
          <w:i/>
          <w:iCs/>
          <w:color w:val="222222"/>
          <w:sz w:val="20"/>
          <w:szCs w:val="20"/>
          <w:shd w:val="clear" w:color="auto" w:fill="FFFFFF"/>
        </w:rPr>
        <w:t>Climate change 2001: the scientific basis, Intergovernmental panel on climate change</w:t>
      </w:r>
      <w:r w:rsidRPr="00DD4DEB">
        <w:rPr>
          <w:rFonts w:ascii="Arial" w:hAnsi="Arial" w:cs="Arial"/>
          <w:color w:val="222222"/>
          <w:sz w:val="20"/>
          <w:szCs w:val="20"/>
          <w:shd w:val="clear" w:color="auto" w:fill="FFFFFF"/>
        </w:rPr>
        <w:t>.</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Kuhlbusch, T. A. J. (1998). Black carbon in soils, sediments, and ice cores. </w:t>
      </w:r>
      <w:r w:rsidRPr="00DD4DEB">
        <w:rPr>
          <w:rFonts w:ascii="Arial" w:hAnsi="Arial" w:cs="Arial"/>
          <w:i/>
          <w:iCs/>
          <w:color w:val="222222"/>
          <w:sz w:val="20"/>
          <w:szCs w:val="20"/>
          <w:shd w:val="clear" w:color="auto" w:fill="FFFFFF"/>
        </w:rPr>
        <w:t>Encyclopedia of Environmental Analysis and Remediation. New York: John Wiley</w:t>
      </w:r>
      <w:r w:rsidRPr="00DD4DEB">
        <w:rPr>
          <w:rFonts w:ascii="Arial" w:hAnsi="Arial" w:cs="Arial"/>
          <w:color w:val="222222"/>
          <w:sz w:val="20"/>
          <w:szCs w:val="20"/>
          <w:shd w:val="clear" w:color="auto" w:fill="FFFFFF"/>
        </w:rPr>
        <w:t>, 813-823.</w:t>
      </w:r>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Yanai, Y., Toyota, K., &amp; Okazaki, M. (2007). Effects of charcoal addition on N2O emissions from soil resulting from rewetting air-dried soil in short-term laboratory experiments. </w:t>
      </w:r>
      <w:r w:rsidRPr="00DD4DEB">
        <w:rPr>
          <w:rFonts w:ascii="Arial" w:hAnsi="Arial" w:cs="Arial"/>
          <w:iCs/>
          <w:color w:val="222222"/>
          <w:sz w:val="20"/>
          <w:szCs w:val="20"/>
          <w:shd w:val="clear" w:color="auto" w:fill="FFFFFF"/>
        </w:rPr>
        <w:t>Soil science and plant nutrition</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53</w:t>
      </w:r>
      <w:r w:rsidRPr="00DD4DEB">
        <w:rPr>
          <w:rFonts w:ascii="Arial" w:hAnsi="Arial" w:cs="Arial"/>
          <w:color w:val="222222"/>
          <w:sz w:val="20"/>
          <w:szCs w:val="20"/>
          <w:shd w:val="clear" w:color="auto" w:fill="FFFFFF"/>
        </w:rPr>
        <w:t>(2), 181-188.</w:t>
      </w:r>
      <w:hyperlink r:id="rId65" w:history="1">
        <w:r w:rsidRPr="00DD4DEB">
          <w:rPr>
            <w:rStyle w:val="Hyperlink"/>
            <w:rFonts w:ascii="Arial" w:hAnsi="Arial" w:cs="Arial"/>
            <w:sz w:val="20"/>
            <w:szCs w:val="20"/>
            <w:shd w:val="clear" w:color="auto" w:fill="FFFFFF"/>
          </w:rPr>
          <w:t>https://doi.org/10.1111/j.1747-0765.2007.00123.x</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Karhu, K., Mattila, T., Bergström, I., &amp; Regina, K. (2011). Biochar addition to agricultural soil increased CH4 uptake and water holding capacity–Results from a short-term pilot field study. </w:t>
      </w:r>
      <w:r w:rsidRPr="00DD4DEB">
        <w:rPr>
          <w:rFonts w:ascii="Arial" w:hAnsi="Arial" w:cs="Arial"/>
          <w:iCs/>
          <w:color w:val="222222"/>
          <w:sz w:val="20"/>
          <w:szCs w:val="20"/>
          <w:shd w:val="clear" w:color="auto" w:fill="FFFFFF"/>
        </w:rPr>
        <w:t>Agriculture, ecosystems &amp; environment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140</w:t>
      </w:r>
      <w:r w:rsidRPr="00DD4DEB">
        <w:rPr>
          <w:rFonts w:ascii="Arial" w:hAnsi="Arial" w:cs="Arial"/>
          <w:color w:val="222222"/>
          <w:sz w:val="20"/>
          <w:szCs w:val="20"/>
          <w:shd w:val="clear" w:color="auto" w:fill="FFFFFF"/>
        </w:rPr>
        <w:t>(1-2), 309-313.</w:t>
      </w:r>
      <w:hyperlink r:id="rId66" w:history="1">
        <w:r w:rsidRPr="00DD4DEB">
          <w:rPr>
            <w:rStyle w:val="Hyperlink"/>
            <w:rFonts w:ascii="Arial" w:hAnsi="Arial" w:cs="Arial"/>
            <w:sz w:val="20"/>
            <w:szCs w:val="20"/>
            <w:shd w:val="clear" w:color="auto" w:fill="FFFFFF"/>
          </w:rPr>
          <w:t>https://doi.org/10.1016/j.agee.2010.12.005</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Downie, A., Munroe, P., Cowie, A., Van Zwieten, L., &amp; Lau, D. M. (2012). Biochar as a geoengineering climate solution: hazard identification and risk management. </w:t>
      </w:r>
      <w:r w:rsidRPr="00DD4DEB">
        <w:rPr>
          <w:rFonts w:ascii="Arial" w:hAnsi="Arial" w:cs="Arial"/>
          <w:iCs/>
          <w:color w:val="222222"/>
          <w:sz w:val="20"/>
          <w:szCs w:val="20"/>
          <w:shd w:val="clear" w:color="auto" w:fill="FFFFFF"/>
        </w:rPr>
        <w:t>Critical reviews in environmental science and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42</w:t>
      </w:r>
      <w:r w:rsidRPr="00DD4DEB">
        <w:rPr>
          <w:rFonts w:ascii="Arial" w:hAnsi="Arial" w:cs="Arial"/>
          <w:color w:val="222222"/>
          <w:sz w:val="20"/>
          <w:szCs w:val="20"/>
          <w:shd w:val="clear" w:color="auto" w:fill="FFFFFF"/>
        </w:rPr>
        <w:t>(3), 225-250.</w:t>
      </w:r>
      <w:hyperlink r:id="rId67" w:history="1">
        <w:r w:rsidRPr="00DD4DEB">
          <w:rPr>
            <w:rStyle w:val="Hyperlink"/>
            <w:rFonts w:ascii="Arial" w:hAnsi="Arial" w:cs="Arial"/>
            <w:sz w:val="20"/>
            <w:szCs w:val="20"/>
            <w:shd w:val="clear" w:color="auto" w:fill="FFFFFF"/>
          </w:rPr>
          <w:t>https://doi.org/10.1080/10643389.2010.507980</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Sohi, S. P. (2012). Carbon storage with benefits. </w:t>
      </w:r>
      <w:r w:rsidRPr="00DD4DEB">
        <w:rPr>
          <w:rFonts w:ascii="Arial" w:hAnsi="Arial" w:cs="Arial"/>
          <w:iCs/>
          <w:color w:val="222222"/>
          <w:sz w:val="20"/>
          <w:szCs w:val="20"/>
          <w:shd w:val="clear" w:color="auto" w:fill="FFFFFF"/>
        </w:rPr>
        <w:t>Science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338</w:t>
      </w:r>
      <w:r w:rsidRPr="00DD4DEB">
        <w:rPr>
          <w:rFonts w:ascii="Arial" w:hAnsi="Arial" w:cs="Arial"/>
          <w:color w:val="222222"/>
          <w:sz w:val="20"/>
          <w:szCs w:val="20"/>
          <w:shd w:val="clear" w:color="auto" w:fill="FFFFFF"/>
        </w:rPr>
        <w:t>(6110), 1034-1035.</w:t>
      </w:r>
      <w:hyperlink r:id="rId68" w:history="1">
        <w:r w:rsidRPr="00DD4DEB">
          <w:rPr>
            <w:rStyle w:val="Hyperlink"/>
            <w:rFonts w:ascii="Arial" w:hAnsi="Arial" w:cs="Arial"/>
            <w:sz w:val="20"/>
            <w:szCs w:val="20"/>
            <w:shd w:val="clear" w:color="auto" w:fill="FFFFFF"/>
          </w:rPr>
          <w:t>https://doi.org/10.1126/science.1225987</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lastRenderedPageBreak/>
        <w:t>Schimmelpfennig, S., &amp; Glaser, B. (2012). One step forward toward characterization: some important material properties to distinguish biochars. </w:t>
      </w:r>
      <w:r w:rsidRPr="00DD4DEB">
        <w:rPr>
          <w:rFonts w:ascii="Arial" w:hAnsi="Arial" w:cs="Arial"/>
          <w:iCs/>
          <w:color w:val="222222"/>
          <w:sz w:val="20"/>
          <w:szCs w:val="20"/>
          <w:shd w:val="clear" w:color="auto" w:fill="FFFFFF"/>
        </w:rPr>
        <w:t>Journal of environmental quality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41</w:t>
      </w:r>
      <w:r w:rsidRPr="00DD4DEB">
        <w:rPr>
          <w:rFonts w:ascii="Arial" w:hAnsi="Arial" w:cs="Arial"/>
          <w:color w:val="222222"/>
          <w:sz w:val="20"/>
          <w:szCs w:val="20"/>
          <w:shd w:val="clear" w:color="auto" w:fill="FFFFFF"/>
        </w:rPr>
        <w:t>(4), 1001-1013.</w:t>
      </w:r>
      <w:hyperlink r:id="rId69" w:history="1">
        <w:r w:rsidRPr="00DD4DEB">
          <w:rPr>
            <w:rStyle w:val="Hyperlink"/>
            <w:rFonts w:ascii="Arial" w:hAnsi="Arial" w:cs="Arial"/>
            <w:sz w:val="20"/>
            <w:szCs w:val="20"/>
            <w:shd w:val="clear" w:color="auto" w:fill="FFFFFF"/>
          </w:rPr>
          <w:t>https://doi.org/10.2134/jeq2011.0146</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Joseph, S. D., Camps-Arbestain, M., Lin, Y., Munroe, P., Chia, C. H., Hook, J., et al. (2010). An investigation into the reactions of biochar in soil. </w:t>
      </w:r>
      <w:r w:rsidRPr="00DD4DEB">
        <w:rPr>
          <w:rFonts w:ascii="Arial" w:hAnsi="Arial" w:cs="Arial"/>
          <w:iCs/>
          <w:color w:val="222222"/>
          <w:sz w:val="20"/>
          <w:szCs w:val="20"/>
          <w:shd w:val="clear" w:color="auto" w:fill="FFFFFF"/>
        </w:rPr>
        <w:t>Soil Research</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48</w:t>
      </w:r>
      <w:r w:rsidRPr="00DD4DEB">
        <w:rPr>
          <w:rFonts w:ascii="Arial" w:hAnsi="Arial" w:cs="Arial"/>
          <w:color w:val="222222"/>
          <w:sz w:val="20"/>
          <w:szCs w:val="20"/>
          <w:shd w:val="clear" w:color="auto" w:fill="FFFFFF"/>
        </w:rPr>
        <w:t>(7), 501-515.</w:t>
      </w:r>
      <w:hyperlink r:id="rId70" w:history="1">
        <w:r w:rsidRPr="00DD4DEB">
          <w:rPr>
            <w:rStyle w:val="Hyperlink"/>
            <w:rFonts w:ascii="Arial" w:hAnsi="Arial" w:cs="Arial"/>
            <w:sz w:val="20"/>
            <w:szCs w:val="20"/>
            <w:shd w:val="clear" w:color="auto" w:fill="FFFFFF"/>
          </w:rPr>
          <w:t>https://doi.org/10.1071/SR10009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Powlson, D. S., Whitmore, A. P., &amp;Goulding, K. W. (2011). Soil carbon sequestration to mitigate climate change: a critical re</w:t>
      </w:r>
      <w:r w:rsidRPr="00DD4DEB">
        <w:rPr>
          <w:rFonts w:ascii="Cambria Math" w:hAnsi="Cambria Math" w:cs="Arial"/>
          <w:color w:val="222222"/>
          <w:sz w:val="20"/>
          <w:szCs w:val="20"/>
          <w:shd w:val="clear" w:color="auto" w:fill="FFFFFF"/>
        </w:rPr>
        <w:t>‐</w:t>
      </w:r>
      <w:r w:rsidRPr="00DD4DEB">
        <w:rPr>
          <w:rFonts w:ascii="Arial" w:hAnsi="Arial" w:cs="Arial"/>
          <w:color w:val="222222"/>
          <w:sz w:val="20"/>
          <w:szCs w:val="20"/>
          <w:shd w:val="clear" w:color="auto" w:fill="FFFFFF"/>
        </w:rPr>
        <w:t>examination to identify the true and the false. </w:t>
      </w:r>
      <w:r w:rsidRPr="00DD4DEB">
        <w:rPr>
          <w:rFonts w:ascii="Arial" w:hAnsi="Arial" w:cs="Arial"/>
          <w:iCs/>
          <w:color w:val="222222"/>
          <w:sz w:val="20"/>
          <w:szCs w:val="20"/>
          <w:shd w:val="clear" w:color="auto" w:fill="FFFFFF"/>
        </w:rPr>
        <w:t>European journal of soil science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62</w:t>
      </w:r>
      <w:r w:rsidRPr="00DD4DEB">
        <w:rPr>
          <w:rFonts w:ascii="Arial" w:hAnsi="Arial" w:cs="Arial"/>
          <w:color w:val="222222"/>
          <w:sz w:val="20"/>
          <w:szCs w:val="20"/>
          <w:shd w:val="clear" w:color="auto" w:fill="FFFFFF"/>
        </w:rPr>
        <w:t>(1), 42-55.</w:t>
      </w:r>
      <w:hyperlink r:id="rId71" w:history="1">
        <w:r w:rsidRPr="00DD4DEB">
          <w:rPr>
            <w:rStyle w:val="Hyperlink"/>
            <w:rFonts w:ascii="Arial" w:hAnsi="Arial" w:cs="Arial"/>
            <w:sz w:val="20"/>
            <w:szCs w:val="20"/>
            <w:shd w:val="clear" w:color="auto" w:fill="FFFFFF"/>
          </w:rPr>
          <w:t>https://doi.org/10.1111/j.1365-2389.2010.01342.x</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Stockmann, U., Adams, M. A., Crawford, J. W., Field, D. J., Henakaarchchi, N., Jenkins, M., et al. (2013). The knowns, known unknowns and unknowns of sequestration of soil organic carbon. </w:t>
      </w:r>
      <w:r w:rsidRPr="00DD4DEB">
        <w:rPr>
          <w:rFonts w:ascii="Arial" w:hAnsi="Arial" w:cs="Arial"/>
          <w:i/>
          <w:iCs/>
          <w:color w:val="222222"/>
          <w:sz w:val="20"/>
          <w:szCs w:val="20"/>
          <w:shd w:val="clear" w:color="auto" w:fill="FFFFFF"/>
        </w:rPr>
        <w:t xml:space="preserve">Agriculture, </w:t>
      </w:r>
      <w:r w:rsidRPr="00DD4DEB">
        <w:rPr>
          <w:rFonts w:ascii="Arial" w:hAnsi="Arial" w:cs="Arial"/>
          <w:iCs/>
          <w:color w:val="222222"/>
          <w:sz w:val="20"/>
          <w:szCs w:val="20"/>
          <w:shd w:val="clear" w:color="auto" w:fill="FFFFFF"/>
        </w:rPr>
        <w:t>Ecosystems &amp; Environment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164</w:t>
      </w:r>
      <w:r w:rsidRPr="00DD4DEB">
        <w:rPr>
          <w:rFonts w:ascii="Arial" w:hAnsi="Arial" w:cs="Arial"/>
          <w:color w:val="222222"/>
          <w:sz w:val="20"/>
          <w:szCs w:val="20"/>
          <w:shd w:val="clear" w:color="auto" w:fill="FFFFFF"/>
        </w:rPr>
        <w:t>, 80-99.</w:t>
      </w:r>
      <w:hyperlink r:id="rId72" w:history="1">
        <w:r w:rsidRPr="00DD4DEB">
          <w:rPr>
            <w:rStyle w:val="Hyperlink"/>
            <w:rFonts w:ascii="Arial" w:hAnsi="Arial" w:cs="Arial"/>
            <w:sz w:val="20"/>
            <w:szCs w:val="20"/>
            <w:shd w:val="clear" w:color="auto" w:fill="FFFFFF"/>
          </w:rPr>
          <w:t>https://doi.org/10.1016/j.agee.2012.10.001</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Mackey, B., Prentice, I. C., Steffen, W., House, J. I., Lindenmayer, D., Keith, H., &amp; Berry, S. (2013). Untangling the confusion around land carbon science and climate change mitigation policy. </w:t>
      </w:r>
      <w:r w:rsidRPr="00DD4DEB">
        <w:rPr>
          <w:rFonts w:ascii="Arial" w:hAnsi="Arial" w:cs="Arial"/>
          <w:iCs/>
          <w:color w:val="222222"/>
          <w:sz w:val="20"/>
          <w:szCs w:val="20"/>
          <w:shd w:val="clear" w:color="auto" w:fill="FFFFFF"/>
        </w:rPr>
        <w:t>Nature climate change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3</w:t>
      </w:r>
      <w:r w:rsidRPr="00DD4DEB">
        <w:rPr>
          <w:rFonts w:ascii="Arial" w:hAnsi="Arial" w:cs="Arial"/>
          <w:color w:val="222222"/>
          <w:sz w:val="20"/>
          <w:szCs w:val="20"/>
          <w:shd w:val="clear" w:color="auto" w:fill="FFFFFF"/>
        </w:rPr>
        <w:t>(6), 552-557.</w:t>
      </w:r>
      <w:hyperlink r:id="rId73" w:history="1">
        <w:r w:rsidRPr="00DD4DEB">
          <w:rPr>
            <w:rStyle w:val="Hyperlink"/>
            <w:rFonts w:ascii="Arial" w:hAnsi="Arial" w:cs="Arial"/>
            <w:sz w:val="20"/>
            <w:szCs w:val="20"/>
            <w:shd w:val="clear" w:color="auto" w:fill="FFFFFF"/>
          </w:rPr>
          <w:t>https://doi.org/10.1038/nclimate1804</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sz w:val="20"/>
          <w:szCs w:val="20"/>
        </w:rPr>
        <w:t xml:space="preserve">Dufour, A. (2013). Geological sequestration of biomass char to mitigate climate change. Environmental Science Technolology, 47, 10106–10107. </w:t>
      </w:r>
    </w:p>
    <w:p w:rsidR="00A35140" w:rsidRPr="00231750" w:rsidRDefault="00DD4DEB" w:rsidP="00231750">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Roberts, K. G., Gloy, B. A., Joseph, S., Scott, N. R., &amp; Lehmann, J. (2010). Life cycle assessment of biochar systems: estimating the energetic, economic, and climate change potential. </w:t>
      </w:r>
      <w:r w:rsidRPr="00DD4DEB">
        <w:rPr>
          <w:rFonts w:ascii="Arial" w:hAnsi="Arial" w:cs="Arial"/>
          <w:iCs/>
          <w:color w:val="222222"/>
          <w:sz w:val="20"/>
          <w:szCs w:val="20"/>
          <w:shd w:val="clear" w:color="auto" w:fill="FFFFFF"/>
        </w:rPr>
        <w:t>Environmental science &amp;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44</w:t>
      </w:r>
      <w:r w:rsidRPr="00DD4DEB">
        <w:rPr>
          <w:rFonts w:ascii="Arial" w:hAnsi="Arial" w:cs="Arial"/>
          <w:color w:val="222222"/>
          <w:sz w:val="20"/>
          <w:szCs w:val="20"/>
          <w:shd w:val="clear" w:color="auto" w:fill="FFFFFF"/>
        </w:rPr>
        <w:t>(2), 827-833.</w:t>
      </w:r>
      <w:hyperlink r:id="rId74" w:history="1">
        <w:r w:rsidRPr="00DD4DEB">
          <w:rPr>
            <w:rStyle w:val="Hyperlink"/>
            <w:rFonts w:ascii="Arial" w:hAnsi="Arial" w:cs="Arial"/>
            <w:sz w:val="20"/>
            <w:szCs w:val="20"/>
            <w:shd w:val="clear" w:color="auto" w:fill="FFFFFF"/>
          </w:rPr>
          <w:t>https://doi.org/10.1021/es902266r</w:t>
        </w:r>
      </w:hyperlink>
    </w:p>
    <w:sectPr w:rsidR="00A35140" w:rsidRPr="00231750" w:rsidSect="001B34BD">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F7C" w:rsidRDefault="00632F7C" w:rsidP="00861A19">
      <w:pPr>
        <w:spacing w:after="0" w:line="240" w:lineRule="auto"/>
      </w:pPr>
      <w:r>
        <w:separator/>
      </w:r>
    </w:p>
  </w:endnote>
  <w:endnote w:type="continuationSeparator" w:id="1">
    <w:p w:rsidR="00632F7C" w:rsidRDefault="00632F7C" w:rsidP="00861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D" w:rsidRDefault="001B34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D" w:rsidRDefault="001B34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D" w:rsidRDefault="001B34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F7C" w:rsidRDefault="00632F7C" w:rsidP="00861A19">
      <w:pPr>
        <w:spacing w:after="0" w:line="240" w:lineRule="auto"/>
      </w:pPr>
      <w:r>
        <w:separator/>
      </w:r>
    </w:p>
  </w:footnote>
  <w:footnote w:type="continuationSeparator" w:id="1">
    <w:p w:rsidR="00632F7C" w:rsidRDefault="00632F7C" w:rsidP="00861A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D" w:rsidRDefault="00D86E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4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D" w:rsidRDefault="00D86E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4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D" w:rsidRDefault="00D86E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4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A91"/>
    <w:multiLevelType w:val="multilevel"/>
    <w:tmpl w:val="2E3278E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upperLetter"/>
      <w:lvlText w:val="%3."/>
      <w:lvlJc w:val="left"/>
      <w:pPr>
        <w:ind w:left="720" w:hanging="720"/>
      </w:pPr>
      <w:rPr>
        <w:rFonts w:ascii="Times New Roman" w:eastAsia="Times New Roman" w:hAnsi="Times New Roman" w:cs="Times New Roman"/>
        <w:b/>
      </w:rPr>
    </w:lvl>
    <w:lvl w:ilvl="3">
      <w:start w:val="1"/>
      <w:numFmt w:val="lowerRoman"/>
      <w:lvlText w:val="%4."/>
      <w:lvlJc w:val="left"/>
      <w:pPr>
        <w:ind w:left="720" w:hanging="720"/>
      </w:pPr>
      <w:rPr>
        <w:rFonts w:ascii="Times New Roman" w:eastAsia="Times New Roman" w:hAnsi="Times New Roman" w:cs="Times New Roman"/>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A017306"/>
    <w:multiLevelType w:val="multilevel"/>
    <w:tmpl w:val="027C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47A58"/>
    <w:multiLevelType w:val="multilevel"/>
    <w:tmpl w:val="AF12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816AF"/>
    <w:multiLevelType w:val="multilevel"/>
    <w:tmpl w:val="D6F8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CF4812"/>
    <w:multiLevelType w:val="multilevel"/>
    <w:tmpl w:val="2DB4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657AEF"/>
    <w:multiLevelType w:val="multilevel"/>
    <w:tmpl w:val="116A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CE7DA7"/>
    <w:multiLevelType w:val="multilevel"/>
    <w:tmpl w:val="82986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FE665D"/>
    <w:multiLevelType w:val="multilevel"/>
    <w:tmpl w:val="B7BA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A062AA"/>
    <w:multiLevelType w:val="multilevel"/>
    <w:tmpl w:val="B91E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FB0FBF"/>
    <w:multiLevelType w:val="hybridMultilevel"/>
    <w:tmpl w:val="A8CE9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741278"/>
    <w:multiLevelType w:val="hybridMultilevel"/>
    <w:tmpl w:val="8DD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A22BF0"/>
    <w:multiLevelType w:val="hybridMultilevel"/>
    <w:tmpl w:val="8D7C5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FE72F3"/>
    <w:multiLevelType w:val="multilevel"/>
    <w:tmpl w:val="2D92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1"/>
  </w:num>
  <w:num w:numId="5">
    <w:abstractNumId w:val="12"/>
  </w:num>
  <w:num w:numId="6">
    <w:abstractNumId w:val="8"/>
  </w:num>
  <w:num w:numId="7">
    <w:abstractNumId w:val="3"/>
  </w:num>
  <w:num w:numId="8">
    <w:abstractNumId w:val="6"/>
  </w:num>
  <w:num w:numId="9">
    <w:abstractNumId w:val="0"/>
  </w:num>
  <w:num w:numId="10">
    <w:abstractNumId w:val="9"/>
  </w:num>
  <w:num w:numId="11">
    <w:abstractNumId w:val="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00952"/>
    <w:rsid w:val="0005248F"/>
    <w:rsid w:val="000A3F2F"/>
    <w:rsid w:val="000B31E3"/>
    <w:rsid w:val="000C7F75"/>
    <w:rsid w:val="00116BD3"/>
    <w:rsid w:val="00187E7D"/>
    <w:rsid w:val="001B208C"/>
    <w:rsid w:val="001B34BD"/>
    <w:rsid w:val="00206AEF"/>
    <w:rsid w:val="00231750"/>
    <w:rsid w:val="002443EC"/>
    <w:rsid w:val="00340203"/>
    <w:rsid w:val="00365636"/>
    <w:rsid w:val="003843E6"/>
    <w:rsid w:val="003A13F0"/>
    <w:rsid w:val="003A51D0"/>
    <w:rsid w:val="003D5696"/>
    <w:rsid w:val="004A7684"/>
    <w:rsid w:val="004E4212"/>
    <w:rsid w:val="004E4873"/>
    <w:rsid w:val="005170D8"/>
    <w:rsid w:val="00541C60"/>
    <w:rsid w:val="005B17DC"/>
    <w:rsid w:val="00625F38"/>
    <w:rsid w:val="00632F7C"/>
    <w:rsid w:val="006C2201"/>
    <w:rsid w:val="00712B41"/>
    <w:rsid w:val="007A14DB"/>
    <w:rsid w:val="007A43C8"/>
    <w:rsid w:val="007B4134"/>
    <w:rsid w:val="007C60B7"/>
    <w:rsid w:val="007D1645"/>
    <w:rsid w:val="007E0773"/>
    <w:rsid w:val="00836F98"/>
    <w:rsid w:val="00861A19"/>
    <w:rsid w:val="00921664"/>
    <w:rsid w:val="009C76F6"/>
    <w:rsid w:val="00A35140"/>
    <w:rsid w:val="00AF0262"/>
    <w:rsid w:val="00B60974"/>
    <w:rsid w:val="00B80873"/>
    <w:rsid w:val="00BD3492"/>
    <w:rsid w:val="00BE1DBE"/>
    <w:rsid w:val="00C46DEA"/>
    <w:rsid w:val="00C53EEB"/>
    <w:rsid w:val="00C859FF"/>
    <w:rsid w:val="00CB604E"/>
    <w:rsid w:val="00D16999"/>
    <w:rsid w:val="00D86EA7"/>
    <w:rsid w:val="00DA6D9C"/>
    <w:rsid w:val="00DA76BE"/>
    <w:rsid w:val="00DD4DEB"/>
    <w:rsid w:val="00E00952"/>
    <w:rsid w:val="00E90863"/>
    <w:rsid w:val="00EB24BD"/>
    <w:rsid w:val="00F75624"/>
    <w:rsid w:val="00F93EE3"/>
    <w:rsid w:val="00FA582A"/>
    <w:rsid w:val="00FB1481"/>
    <w:rsid w:val="00FC67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52"/>
  </w:style>
  <w:style w:type="paragraph" w:styleId="Heading2">
    <w:name w:val="heading 2"/>
    <w:basedOn w:val="Normal"/>
    <w:next w:val="Normal"/>
    <w:link w:val="Heading2Char"/>
    <w:uiPriority w:val="9"/>
    <w:semiHidden/>
    <w:unhideWhenUsed/>
    <w:qFormat/>
    <w:rsid w:val="003D5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46D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93E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6DEA"/>
    <w:rPr>
      <w:rFonts w:ascii="Times New Roman" w:eastAsia="Times New Roman" w:hAnsi="Times New Roman" w:cs="Times New Roman"/>
      <w:b/>
      <w:bCs/>
      <w:sz w:val="27"/>
      <w:szCs w:val="27"/>
    </w:rPr>
  </w:style>
  <w:style w:type="paragraph" w:styleId="NormalWeb">
    <w:name w:val="Normal (Web)"/>
    <w:basedOn w:val="Normal"/>
    <w:uiPriority w:val="99"/>
    <w:unhideWhenUsed/>
    <w:rsid w:val="00C46D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6DEA"/>
    <w:rPr>
      <w:b/>
      <w:bCs/>
    </w:rPr>
  </w:style>
  <w:style w:type="table" w:styleId="TableGrid">
    <w:name w:val="Table Grid"/>
    <w:basedOn w:val="TableNormal"/>
    <w:uiPriority w:val="59"/>
    <w:rsid w:val="00AF02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F93EE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D569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84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3E6"/>
    <w:rPr>
      <w:rFonts w:ascii="Tahoma" w:hAnsi="Tahoma" w:cs="Tahoma"/>
      <w:sz w:val="16"/>
      <w:szCs w:val="16"/>
    </w:rPr>
  </w:style>
  <w:style w:type="character" w:styleId="Emphasis">
    <w:name w:val="Emphasis"/>
    <w:basedOn w:val="DefaultParagraphFont"/>
    <w:uiPriority w:val="20"/>
    <w:qFormat/>
    <w:rsid w:val="003843E6"/>
    <w:rPr>
      <w:i/>
      <w:iCs/>
    </w:rPr>
  </w:style>
  <w:style w:type="paragraph" w:styleId="ListParagraph">
    <w:name w:val="List Paragraph"/>
    <w:basedOn w:val="Normal"/>
    <w:uiPriority w:val="34"/>
    <w:qFormat/>
    <w:rsid w:val="00712B41"/>
    <w:pPr>
      <w:ind w:left="720"/>
      <w:contextualSpacing/>
    </w:pPr>
  </w:style>
  <w:style w:type="character" w:styleId="PlaceholderText">
    <w:name w:val="Placeholder Text"/>
    <w:basedOn w:val="DefaultParagraphFont"/>
    <w:uiPriority w:val="99"/>
    <w:semiHidden/>
    <w:rsid w:val="007E0773"/>
    <w:rPr>
      <w:color w:val="808080"/>
    </w:rPr>
  </w:style>
  <w:style w:type="character" w:styleId="LineNumber">
    <w:name w:val="line number"/>
    <w:basedOn w:val="DefaultParagraphFont"/>
    <w:uiPriority w:val="99"/>
    <w:semiHidden/>
    <w:unhideWhenUsed/>
    <w:rsid w:val="00C859FF"/>
  </w:style>
  <w:style w:type="paragraph" w:customStyle="1" w:styleId="Affiliation">
    <w:name w:val="Affiliation"/>
    <w:basedOn w:val="Normal"/>
    <w:rsid w:val="00C859FF"/>
    <w:pPr>
      <w:suppressAutoHyphens/>
      <w:spacing w:before="240" w:after="0" w:line="360" w:lineRule="auto"/>
    </w:pPr>
    <w:rPr>
      <w:rFonts w:ascii="Times New Roman" w:eastAsia="Times New Roman" w:hAnsi="Times New Roman" w:cs="Times New Roman"/>
      <w:i/>
      <w:sz w:val="24"/>
      <w:szCs w:val="24"/>
      <w:lang w:val="en-GB" w:eastAsia="zh-CN"/>
    </w:rPr>
  </w:style>
  <w:style w:type="paragraph" w:customStyle="1" w:styleId="ReferHead">
    <w:name w:val="Refer Head"/>
    <w:basedOn w:val="Normal"/>
    <w:rsid w:val="00861A19"/>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861A19"/>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861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A19"/>
  </w:style>
  <w:style w:type="paragraph" w:styleId="Footer">
    <w:name w:val="footer"/>
    <w:basedOn w:val="Normal"/>
    <w:link w:val="FooterChar"/>
    <w:uiPriority w:val="99"/>
    <w:unhideWhenUsed/>
    <w:rsid w:val="00861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A19"/>
  </w:style>
  <w:style w:type="character" w:styleId="Hyperlink">
    <w:name w:val="Hyperlink"/>
    <w:basedOn w:val="DefaultParagraphFont"/>
    <w:uiPriority w:val="99"/>
    <w:unhideWhenUsed/>
    <w:rsid w:val="00DD4DEB"/>
    <w:rPr>
      <w:color w:val="0000FF" w:themeColor="hyperlink"/>
      <w:u w:val="single"/>
    </w:rPr>
  </w:style>
  <w:style w:type="character" w:styleId="FollowedHyperlink">
    <w:name w:val="FollowedHyperlink"/>
    <w:basedOn w:val="DefaultParagraphFont"/>
    <w:uiPriority w:val="99"/>
    <w:semiHidden/>
    <w:unhideWhenUsed/>
    <w:rsid w:val="00DD4DE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018895">
      <w:bodyDiv w:val="1"/>
      <w:marLeft w:val="0"/>
      <w:marRight w:val="0"/>
      <w:marTop w:val="0"/>
      <w:marBottom w:val="0"/>
      <w:divBdr>
        <w:top w:val="none" w:sz="0" w:space="0" w:color="auto"/>
        <w:left w:val="none" w:sz="0" w:space="0" w:color="auto"/>
        <w:bottom w:val="none" w:sz="0" w:space="0" w:color="auto"/>
        <w:right w:val="none" w:sz="0" w:space="0" w:color="auto"/>
      </w:divBdr>
    </w:div>
    <w:div w:id="108815758">
      <w:bodyDiv w:val="1"/>
      <w:marLeft w:val="0"/>
      <w:marRight w:val="0"/>
      <w:marTop w:val="0"/>
      <w:marBottom w:val="0"/>
      <w:divBdr>
        <w:top w:val="none" w:sz="0" w:space="0" w:color="auto"/>
        <w:left w:val="none" w:sz="0" w:space="0" w:color="auto"/>
        <w:bottom w:val="none" w:sz="0" w:space="0" w:color="auto"/>
        <w:right w:val="none" w:sz="0" w:space="0" w:color="auto"/>
      </w:divBdr>
      <w:divsChild>
        <w:div w:id="366761151">
          <w:marLeft w:val="0"/>
          <w:marRight w:val="0"/>
          <w:marTop w:val="0"/>
          <w:marBottom w:val="0"/>
          <w:divBdr>
            <w:top w:val="none" w:sz="0" w:space="0" w:color="auto"/>
            <w:left w:val="none" w:sz="0" w:space="0" w:color="auto"/>
            <w:bottom w:val="none" w:sz="0" w:space="0" w:color="auto"/>
            <w:right w:val="none" w:sz="0" w:space="0" w:color="auto"/>
          </w:divBdr>
          <w:divsChild>
            <w:div w:id="1037043533">
              <w:marLeft w:val="0"/>
              <w:marRight w:val="0"/>
              <w:marTop w:val="0"/>
              <w:marBottom w:val="0"/>
              <w:divBdr>
                <w:top w:val="none" w:sz="0" w:space="0" w:color="auto"/>
                <w:left w:val="none" w:sz="0" w:space="0" w:color="auto"/>
                <w:bottom w:val="none" w:sz="0" w:space="0" w:color="auto"/>
                <w:right w:val="none" w:sz="0" w:space="0" w:color="auto"/>
              </w:divBdr>
              <w:divsChild>
                <w:div w:id="1141459855">
                  <w:marLeft w:val="0"/>
                  <w:marRight w:val="0"/>
                  <w:marTop w:val="0"/>
                  <w:marBottom w:val="0"/>
                  <w:divBdr>
                    <w:top w:val="none" w:sz="0" w:space="0" w:color="auto"/>
                    <w:left w:val="none" w:sz="0" w:space="0" w:color="auto"/>
                    <w:bottom w:val="none" w:sz="0" w:space="0" w:color="auto"/>
                    <w:right w:val="none" w:sz="0" w:space="0" w:color="auto"/>
                  </w:divBdr>
                  <w:divsChild>
                    <w:div w:id="1235357318">
                      <w:marLeft w:val="0"/>
                      <w:marRight w:val="0"/>
                      <w:marTop w:val="0"/>
                      <w:marBottom w:val="0"/>
                      <w:divBdr>
                        <w:top w:val="none" w:sz="0" w:space="0" w:color="auto"/>
                        <w:left w:val="none" w:sz="0" w:space="0" w:color="auto"/>
                        <w:bottom w:val="none" w:sz="0" w:space="0" w:color="auto"/>
                        <w:right w:val="none" w:sz="0" w:space="0" w:color="auto"/>
                      </w:divBdr>
                      <w:divsChild>
                        <w:div w:id="1564366072">
                          <w:marLeft w:val="0"/>
                          <w:marRight w:val="0"/>
                          <w:marTop w:val="0"/>
                          <w:marBottom w:val="0"/>
                          <w:divBdr>
                            <w:top w:val="none" w:sz="0" w:space="0" w:color="auto"/>
                            <w:left w:val="none" w:sz="0" w:space="0" w:color="auto"/>
                            <w:bottom w:val="none" w:sz="0" w:space="0" w:color="auto"/>
                            <w:right w:val="none" w:sz="0" w:space="0" w:color="auto"/>
                          </w:divBdr>
                          <w:divsChild>
                            <w:div w:id="624121207">
                              <w:marLeft w:val="0"/>
                              <w:marRight w:val="0"/>
                              <w:marTop w:val="0"/>
                              <w:marBottom w:val="0"/>
                              <w:divBdr>
                                <w:top w:val="none" w:sz="0" w:space="0" w:color="auto"/>
                                <w:left w:val="none" w:sz="0" w:space="0" w:color="auto"/>
                                <w:bottom w:val="single" w:sz="4" w:space="0" w:color="4F4F4F"/>
                                <w:right w:val="none" w:sz="0" w:space="0" w:color="auto"/>
                              </w:divBdr>
                              <w:divsChild>
                                <w:div w:id="1454129961">
                                  <w:marLeft w:val="0"/>
                                  <w:marRight w:val="0"/>
                                  <w:marTop w:val="0"/>
                                  <w:marBottom w:val="0"/>
                                  <w:divBdr>
                                    <w:top w:val="none" w:sz="0" w:space="0" w:color="auto"/>
                                    <w:left w:val="none" w:sz="0" w:space="0" w:color="auto"/>
                                    <w:bottom w:val="none" w:sz="0" w:space="0" w:color="auto"/>
                                    <w:right w:val="none" w:sz="0" w:space="0" w:color="auto"/>
                                  </w:divBdr>
                                  <w:divsChild>
                                    <w:div w:id="106319126">
                                      <w:marLeft w:val="0"/>
                                      <w:marRight w:val="0"/>
                                      <w:marTop w:val="0"/>
                                      <w:marBottom w:val="0"/>
                                      <w:divBdr>
                                        <w:top w:val="none" w:sz="0" w:space="0" w:color="auto"/>
                                        <w:left w:val="none" w:sz="0" w:space="0" w:color="auto"/>
                                        <w:bottom w:val="none" w:sz="0" w:space="0" w:color="auto"/>
                                        <w:right w:val="none" w:sz="0" w:space="0" w:color="auto"/>
                                      </w:divBdr>
                                      <w:divsChild>
                                        <w:div w:id="1623803472">
                                          <w:marLeft w:val="0"/>
                                          <w:marRight w:val="0"/>
                                          <w:marTop w:val="0"/>
                                          <w:marBottom w:val="0"/>
                                          <w:divBdr>
                                            <w:top w:val="none" w:sz="0" w:space="0" w:color="auto"/>
                                            <w:left w:val="none" w:sz="0" w:space="0" w:color="auto"/>
                                            <w:bottom w:val="none" w:sz="0" w:space="0" w:color="auto"/>
                                            <w:right w:val="none" w:sz="0" w:space="0" w:color="auto"/>
                                          </w:divBdr>
                                          <w:divsChild>
                                            <w:div w:id="5397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404">
                                  <w:marLeft w:val="0"/>
                                  <w:marRight w:val="0"/>
                                  <w:marTop w:val="0"/>
                                  <w:marBottom w:val="0"/>
                                  <w:divBdr>
                                    <w:top w:val="none" w:sz="0" w:space="0" w:color="auto"/>
                                    <w:left w:val="none" w:sz="0" w:space="0" w:color="auto"/>
                                    <w:bottom w:val="none" w:sz="0" w:space="0" w:color="auto"/>
                                    <w:right w:val="none" w:sz="0" w:space="0" w:color="auto"/>
                                  </w:divBdr>
                                  <w:divsChild>
                                    <w:div w:id="32535173">
                                      <w:marLeft w:val="0"/>
                                      <w:marRight w:val="0"/>
                                      <w:marTop w:val="0"/>
                                      <w:marBottom w:val="0"/>
                                      <w:divBdr>
                                        <w:top w:val="none" w:sz="0" w:space="0" w:color="auto"/>
                                        <w:left w:val="none" w:sz="0" w:space="0" w:color="auto"/>
                                        <w:bottom w:val="none" w:sz="0" w:space="0" w:color="auto"/>
                                        <w:right w:val="none" w:sz="0" w:space="0" w:color="auto"/>
                                      </w:divBdr>
                                      <w:divsChild>
                                        <w:div w:id="1869372095">
                                          <w:marLeft w:val="0"/>
                                          <w:marRight w:val="0"/>
                                          <w:marTop w:val="0"/>
                                          <w:marBottom w:val="0"/>
                                          <w:divBdr>
                                            <w:top w:val="none" w:sz="0" w:space="0" w:color="auto"/>
                                            <w:left w:val="none" w:sz="0" w:space="0" w:color="auto"/>
                                            <w:bottom w:val="none" w:sz="0" w:space="0" w:color="auto"/>
                                            <w:right w:val="none" w:sz="0" w:space="0" w:color="auto"/>
                                          </w:divBdr>
                                          <w:divsChild>
                                            <w:div w:id="1293905851">
                                              <w:marLeft w:val="0"/>
                                              <w:marRight w:val="0"/>
                                              <w:marTop w:val="0"/>
                                              <w:marBottom w:val="0"/>
                                              <w:divBdr>
                                                <w:top w:val="none" w:sz="0" w:space="0" w:color="auto"/>
                                                <w:left w:val="none" w:sz="0" w:space="0" w:color="auto"/>
                                                <w:bottom w:val="none" w:sz="0" w:space="0" w:color="auto"/>
                                                <w:right w:val="none" w:sz="0" w:space="0" w:color="auto"/>
                                              </w:divBdr>
                                              <w:divsChild>
                                                <w:div w:id="1441030863">
                                                  <w:marLeft w:val="0"/>
                                                  <w:marRight w:val="0"/>
                                                  <w:marTop w:val="0"/>
                                                  <w:marBottom w:val="0"/>
                                                  <w:divBdr>
                                                    <w:top w:val="none" w:sz="0" w:space="0" w:color="auto"/>
                                                    <w:left w:val="none" w:sz="0" w:space="0" w:color="auto"/>
                                                    <w:bottom w:val="none" w:sz="0" w:space="0" w:color="auto"/>
                                                    <w:right w:val="none" w:sz="0" w:space="0" w:color="auto"/>
                                                  </w:divBdr>
                                                  <w:divsChild>
                                                    <w:div w:id="6570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71606">
      <w:bodyDiv w:val="1"/>
      <w:marLeft w:val="0"/>
      <w:marRight w:val="0"/>
      <w:marTop w:val="0"/>
      <w:marBottom w:val="0"/>
      <w:divBdr>
        <w:top w:val="none" w:sz="0" w:space="0" w:color="auto"/>
        <w:left w:val="none" w:sz="0" w:space="0" w:color="auto"/>
        <w:bottom w:val="none" w:sz="0" w:space="0" w:color="auto"/>
        <w:right w:val="none" w:sz="0" w:space="0" w:color="auto"/>
      </w:divBdr>
      <w:divsChild>
        <w:div w:id="1822234218">
          <w:marLeft w:val="0"/>
          <w:marRight w:val="0"/>
          <w:marTop w:val="0"/>
          <w:marBottom w:val="0"/>
          <w:divBdr>
            <w:top w:val="none" w:sz="0" w:space="0" w:color="auto"/>
            <w:left w:val="none" w:sz="0" w:space="0" w:color="auto"/>
            <w:bottom w:val="none" w:sz="0" w:space="0" w:color="auto"/>
            <w:right w:val="none" w:sz="0" w:space="0" w:color="auto"/>
          </w:divBdr>
          <w:divsChild>
            <w:div w:id="1365593556">
              <w:marLeft w:val="0"/>
              <w:marRight w:val="0"/>
              <w:marTop w:val="0"/>
              <w:marBottom w:val="0"/>
              <w:divBdr>
                <w:top w:val="none" w:sz="0" w:space="0" w:color="auto"/>
                <w:left w:val="none" w:sz="0" w:space="0" w:color="auto"/>
                <w:bottom w:val="none" w:sz="0" w:space="0" w:color="auto"/>
                <w:right w:val="none" w:sz="0" w:space="0" w:color="auto"/>
              </w:divBdr>
              <w:divsChild>
                <w:div w:id="1596086834">
                  <w:marLeft w:val="0"/>
                  <w:marRight w:val="0"/>
                  <w:marTop w:val="0"/>
                  <w:marBottom w:val="0"/>
                  <w:divBdr>
                    <w:top w:val="none" w:sz="0" w:space="0" w:color="auto"/>
                    <w:left w:val="none" w:sz="0" w:space="0" w:color="auto"/>
                    <w:bottom w:val="none" w:sz="0" w:space="0" w:color="auto"/>
                    <w:right w:val="none" w:sz="0" w:space="0" w:color="auto"/>
                  </w:divBdr>
                  <w:divsChild>
                    <w:div w:id="511992538">
                      <w:marLeft w:val="0"/>
                      <w:marRight w:val="0"/>
                      <w:marTop w:val="0"/>
                      <w:marBottom w:val="0"/>
                      <w:divBdr>
                        <w:top w:val="none" w:sz="0" w:space="0" w:color="auto"/>
                        <w:left w:val="none" w:sz="0" w:space="0" w:color="auto"/>
                        <w:bottom w:val="none" w:sz="0" w:space="0" w:color="auto"/>
                        <w:right w:val="none" w:sz="0" w:space="0" w:color="auto"/>
                      </w:divBdr>
                      <w:divsChild>
                        <w:div w:id="979304545">
                          <w:marLeft w:val="0"/>
                          <w:marRight w:val="0"/>
                          <w:marTop w:val="0"/>
                          <w:marBottom w:val="0"/>
                          <w:divBdr>
                            <w:top w:val="none" w:sz="0" w:space="0" w:color="auto"/>
                            <w:left w:val="none" w:sz="0" w:space="0" w:color="auto"/>
                            <w:bottom w:val="none" w:sz="0" w:space="0" w:color="auto"/>
                            <w:right w:val="none" w:sz="0" w:space="0" w:color="auto"/>
                          </w:divBdr>
                          <w:divsChild>
                            <w:div w:id="1265697420">
                              <w:marLeft w:val="0"/>
                              <w:marRight w:val="0"/>
                              <w:marTop w:val="0"/>
                              <w:marBottom w:val="0"/>
                              <w:divBdr>
                                <w:top w:val="none" w:sz="0" w:space="0" w:color="auto"/>
                                <w:left w:val="none" w:sz="0" w:space="0" w:color="auto"/>
                                <w:bottom w:val="single" w:sz="4" w:space="0" w:color="4F4F4F"/>
                                <w:right w:val="none" w:sz="0" w:space="0" w:color="auto"/>
                              </w:divBdr>
                              <w:divsChild>
                                <w:div w:id="295530832">
                                  <w:marLeft w:val="0"/>
                                  <w:marRight w:val="0"/>
                                  <w:marTop w:val="0"/>
                                  <w:marBottom w:val="0"/>
                                  <w:divBdr>
                                    <w:top w:val="none" w:sz="0" w:space="0" w:color="auto"/>
                                    <w:left w:val="none" w:sz="0" w:space="0" w:color="auto"/>
                                    <w:bottom w:val="none" w:sz="0" w:space="0" w:color="auto"/>
                                    <w:right w:val="none" w:sz="0" w:space="0" w:color="auto"/>
                                  </w:divBdr>
                                  <w:divsChild>
                                    <w:div w:id="1141532559">
                                      <w:marLeft w:val="0"/>
                                      <w:marRight w:val="0"/>
                                      <w:marTop w:val="0"/>
                                      <w:marBottom w:val="0"/>
                                      <w:divBdr>
                                        <w:top w:val="none" w:sz="0" w:space="0" w:color="auto"/>
                                        <w:left w:val="none" w:sz="0" w:space="0" w:color="auto"/>
                                        <w:bottom w:val="none" w:sz="0" w:space="0" w:color="auto"/>
                                        <w:right w:val="none" w:sz="0" w:space="0" w:color="auto"/>
                                      </w:divBdr>
                                      <w:divsChild>
                                        <w:div w:id="1262178064">
                                          <w:marLeft w:val="0"/>
                                          <w:marRight w:val="0"/>
                                          <w:marTop w:val="0"/>
                                          <w:marBottom w:val="0"/>
                                          <w:divBdr>
                                            <w:top w:val="none" w:sz="0" w:space="0" w:color="auto"/>
                                            <w:left w:val="none" w:sz="0" w:space="0" w:color="auto"/>
                                            <w:bottom w:val="none" w:sz="0" w:space="0" w:color="auto"/>
                                            <w:right w:val="none" w:sz="0" w:space="0" w:color="auto"/>
                                          </w:divBdr>
                                          <w:divsChild>
                                            <w:div w:id="210950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90960">
                                  <w:marLeft w:val="0"/>
                                  <w:marRight w:val="0"/>
                                  <w:marTop w:val="0"/>
                                  <w:marBottom w:val="0"/>
                                  <w:divBdr>
                                    <w:top w:val="none" w:sz="0" w:space="0" w:color="auto"/>
                                    <w:left w:val="none" w:sz="0" w:space="0" w:color="auto"/>
                                    <w:bottom w:val="none" w:sz="0" w:space="0" w:color="auto"/>
                                    <w:right w:val="none" w:sz="0" w:space="0" w:color="auto"/>
                                  </w:divBdr>
                                  <w:divsChild>
                                    <w:div w:id="251477528">
                                      <w:marLeft w:val="0"/>
                                      <w:marRight w:val="0"/>
                                      <w:marTop w:val="0"/>
                                      <w:marBottom w:val="0"/>
                                      <w:divBdr>
                                        <w:top w:val="none" w:sz="0" w:space="0" w:color="auto"/>
                                        <w:left w:val="none" w:sz="0" w:space="0" w:color="auto"/>
                                        <w:bottom w:val="none" w:sz="0" w:space="0" w:color="auto"/>
                                        <w:right w:val="none" w:sz="0" w:space="0" w:color="auto"/>
                                      </w:divBdr>
                                      <w:divsChild>
                                        <w:div w:id="1143276648">
                                          <w:marLeft w:val="0"/>
                                          <w:marRight w:val="0"/>
                                          <w:marTop w:val="0"/>
                                          <w:marBottom w:val="0"/>
                                          <w:divBdr>
                                            <w:top w:val="none" w:sz="0" w:space="0" w:color="auto"/>
                                            <w:left w:val="none" w:sz="0" w:space="0" w:color="auto"/>
                                            <w:bottom w:val="none" w:sz="0" w:space="0" w:color="auto"/>
                                            <w:right w:val="none" w:sz="0" w:space="0" w:color="auto"/>
                                          </w:divBdr>
                                          <w:divsChild>
                                            <w:div w:id="1711682795">
                                              <w:marLeft w:val="0"/>
                                              <w:marRight w:val="0"/>
                                              <w:marTop w:val="0"/>
                                              <w:marBottom w:val="0"/>
                                              <w:divBdr>
                                                <w:top w:val="none" w:sz="0" w:space="0" w:color="auto"/>
                                                <w:left w:val="none" w:sz="0" w:space="0" w:color="auto"/>
                                                <w:bottom w:val="none" w:sz="0" w:space="0" w:color="auto"/>
                                                <w:right w:val="none" w:sz="0" w:space="0" w:color="auto"/>
                                              </w:divBdr>
                                              <w:divsChild>
                                                <w:div w:id="579798306">
                                                  <w:marLeft w:val="0"/>
                                                  <w:marRight w:val="0"/>
                                                  <w:marTop w:val="0"/>
                                                  <w:marBottom w:val="0"/>
                                                  <w:divBdr>
                                                    <w:top w:val="none" w:sz="0" w:space="0" w:color="auto"/>
                                                    <w:left w:val="none" w:sz="0" w:space="0" w:color="auto"/>
                                                    <w:bottom w:val="none" w:sz="0" w:space="0" w:color="auto"/>
                                                    <w:right w:val="none" w:sz="0" w:space="0" w:color="auto"/>
                                                  </w:divBdr>
                                                  <w:divsChild>
                                                    <w:div w:id="10586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6809463">
      <w:bodyDiv w:val="1"/>
      <w:marLeft w:val="0"/>
      <w:marRight w:val="0"/>
      <w:marTop w:val="0"/>
      <w:marBottom w:val="0"/>
      <w:divBdr>
        <w:top w:val="none" w:sz="0" w:space="0" w:color="auto"/>
        <w:left w:val="none" w:sz="0" w:space="0" w:color="auto"/>
        <w:bottom w:val="none" w:sz="0" w:space="0" w:color="auto"/>
        <w:right w:val="none" w:sz="0" w:space="0" w:color="auto"/>
      </w:divBdr>
    </w:div>
    <w:div w:id="262694109">
      <w:bodyDiv w:val="1"/>
      <w:marLeft w:val="0"/>
      <w:marRight w:val="0"/>
      <w:marTop w:val="0"/>
      <w:marBottom w:val="0"/>
      <w:divBdr>
        <w:top w:val="none" w:sz="0" w:space="0" w:color="auto"/>
        <w:left w:val="none" w:sz="0" w:space="0" w:color="auto"/>
        <w:bottom w:val="none" w:sz="0" w:space="0" w:color="auto"/>
        <w:right w:val="none" w:sz="0" w:space="0" w:color="auto"/>
      </w:divBdr>
    </w:div>
    <w:div w:id="283007448">
      <w:bodyDiv w:val="1"/>
      <w:marLeft w:val="0"/>
      <w:marRight w:val="0"/>
      <w:marTop w:val="0"/>
      <w:marBottom w:val="0"/>
      <w:divBdr>
        <w:top w:val="none" w:sz="0" w:space="0" w:color="auto"/>
        <w:left w:val="none" w:sz="0" w:space="0" w:color="auto"/>
        <w:bottom w:val="none" w:sz="0" w:space="0" w:color="auto"/>
        <w:right w:val="none" w:sz="0" w:space="0" w:color="auto"/>
      </w:divBdr>
      <w:divsChild>
        <w:div w:id="1129082277">
          <w:marLeft w:val="0"/>
          <w:marRight w:val="0"/>
          <w:marTop w:val="0"/>
          <w:marBottom w:val="0"/>
          <w:divBdr>
            <w:top w:val="none" w:sz="0" w:space="0" w:color="auto"/>
            <w:left w:val="none" w:sz="0" w:space="0" w:color="auto"/>
            <w:bottom w:val="none" w:sz="0" w:space="0" w:color="auto"/>
            <w:right w:val="none" w:sz="0" w:space="0" w:color="auto"/>
          </w:divBdr>
          <w:divsChild>
            <w:div w:id="814494258">
              <w:marLeft w:val="0"/>
              <w:marRight w:val="0"/>
              <w:marTop w:val="0"/>
              <w:marBottom w:val="0"/>
              <w:divBdr>
                <w:top w:val="none" w:sz="0" w:space="0" w:color="auto"/>
                <w:left w:val="none" w:sz="0" w:space="0" w:color="auto"/>
                <w:bottom w:val="none" w:sz="0" w:space="0" w:color="auto"/>
                <w:right w:val="none" w:sz="0" w:space="0" w:color="auto"/>
              </w:divBdr>
              <w:divsChild>
                <w:div w:id="1500845559">
                  <w:marLeft w:val="0"/>
                  <w:marRight w:val="0"/>
                  <w:marTop w:val="0"/>
                  <w:marBottom w:val="0"/>
                  <w:divBdr>
                    <w:top w:val="none" w:sz="0" w:space="0" w:color="auto"/>
                    <w:left w:val="none" w:sz="0" w:space="0" w:color="auto"/>
                    <w:bottom w:val="none" w:sz="0" w:space="0" w:color="auto"/>
                    <w:right w:val="none" w:sz="0" w:space="0" w:color="auto"/>
                  </w:divBdr>
                  <w:divsChild>
                    <w:div w:id="984167036">
                      <w:marLeft w:val="0"/>
                      <w:marRight w:val="0"/>
                      <w:marTop w:val="0"/>
                      <w:marBottom w:val="0"/>
                      <w:divBdr>
                        <w:top w:val="none" w:sz="0" w:space="0" w:color="auto"/>
                        <w:left w:val="none" w:sz="0" w:space="0" w:color="auto"/>
                        <w:bottom w:val="none" w:sz="0" w:space="0" w:color="auto"/>
                        <w:right w:val="none" w:sz="0" w:space="0" w:color="auto"/>
                      </w:divBdr>
                      <w:divsChild>
                        <w:div w:id="2046830262">
                          <w:marLeft w:val="0"/>
                          <w:marRight w:val="0"/>
                          <w:marTop w:val="0"/>
                          <w:marBottom w:val="0"/>
                          <w:divBdr>
                            <w:top w:val="none" w:sz="0" w:space="0" w:color="auto"/>
                            <w:left w:val="none" w:sz="0" w:space="0" w:color="auto"/>
                            <w:bottom w:val="none" w:sz="0" w:space="0" w:color="auto"/>
                            <w:right w:val="none" w:sz="0" w:space="0" w:color="auto"/>
                          </w:divBdr>
                          <w:divsChild>
                            <w:div w:id="1926452817">
                              <w:marLeft w:val="0"/>
                              <w:marRight w:val="0"/>
                              <w:marTop w:val="0"/>
                              <w:marBottom w:val="0"/>
                              <w:divBdr>
                                <w:top w:val="none" w:sz="0" w:space="0" w:color="auto"/>
                                <w:left w:val="none" w:sz="0" w:space="0" w:color="auto"/>
                                <w:bottom w:val="single" w:sz="4" w:space="0" w:color="4F4F4F"/>
                                <w:right w:val="none" w:sz="0" w:space="0" w:color="auto"/>
                              </w:divBdr>
                              <w:divsChild>
                                <w:div w:id="226771553">
                                  <w:marLeft w:val="0"/>
                                  <w:marRight w:val="0"/>
                                  <w:marTop w:val="0"/>
                                  <w:marBottom w:val="0"/>
                                  <w:divBdr>
                                    <w:top w:val="none" w:sz="0" w:space="0" w:color="auto"/>
                                    <w:left w:val="none" w:sz="0" w:space="0" w:color="auto"/>
                                    <w:bottom w:val="none" w:sz="0" w:space="0" w:color="auto"/>
                                    <w:right w:val="none" w:sz="0" w:space="0" w:color="auto"/>
                                  </w:divBdr>
                                  <w:divsChild>
                                    <w:div w:id="1244875414">
                                      <w:marLeft w:val="0"/>
                                      <w:marRight w:val="0"/>
                                      <w:marTop w:val="0"/>
                                      <w:marBottom w:val="0"/>
                                      <w:divBdr>
                                        <w:top w:val="none" w:sz="0" w:space="0" w:color="auto"/>
                                        <w:left w:val="none" w:sz="0" w:space="0" w:color="auto"/>
                                        <w:bottom w:val="none" w:sz="0" w:space="0" w:color="auto"/>
                                        <w:right w:val="none" w:sz="0" w:space="0" w:color="auto"/>
                                      </w:divBdr>
                                      <w:divsChild>
                                        <w:div w:id="1276250244">
                                          <w:marLeft w:val="0"/>
                                          <w:marRight w:val="0"/>
                                          <w:marTop w:val="0"/>
                                          <w:marBottom w:val="0"/>
                                          <w:divBdr>
                                            <w:top w:val="none" w:sz="0" w:space="0" w:color="auto"/>
                                            <w:left w:val="none" w:sz="0" w:space="0" w:color="auto"/>
                                            <w:bottom w:val="none" w:sz="0" w:space="0" w:color="auto"/>
                                            <w:right w:val="none" w:sz="0" w:space="0" w:color="auto"/>
                                          </w:divBdr>
                                          <w:divsChild>
                                            <w:div w:id="5075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21789">
                                  <w:marLeft w:val="0"/>
                                  <w:marRight w:val="0"/>
                                  <w:marTop w:val="0"/>
                                  <w:marBottom w:val="0"/>
                                  <w:divBdr>
                                    <w:top w:val="none" w:sz="0" w:space="0" w:color="auto"/>
                                    <w:left w:val="none" w:sz="0" w:space="0" w:color="auto"/>
                                    <w:bottom w:val="none" w:sz="0" w:space="0" w:color="auto"/>
                                    <w:right w:val="none" w:sz="0" w:space="0" w:color="auto"/>
                                  </w:divBdr>
                                  <w:divsChild>
                                    <w:div w:id="1471628382">
                                      <w:marLeft w:val="0"/>
                                      <w:marRight w:val="0"/>
                                      <w:marTop w:val="0"/>
                                      <w:marBottom w:val="0"/>
                                      <w:divBdr>
                                        <w:top w:val="none" w:sz="0" w:space="0" w:color="auto"/>
                                        <w:left w:val="none" w:sz="0" w:space="0" w:color="auto"/>
                                        <w:bottom w:val="none" w:sz="0" w:space="0" w:color="auto"/>
                                        <w:right w:val="none" w:sz="0" w:space="0" w:color="auto"/>
                                      </w:divBdr>
                                      <w:divsChild>
                                        <w:div w:id="1110667678">
                                          <w:marLeft w:val="0"/>
                                          <w:marRight w:val="0"/>
                                          <w:marTop w:val="0"/>
                                          <w:marBottom w:val="0"/>
                                          <w:divBdr>
                                            <w:top w:val="none" w:sz="0" w:space="0" w:color="auto"/>
                                            <w:left w:val="none" w:sz="0" w:space="0" w:color="auto"/>
                                            <w:bottom w:val="none" w:sz="0" w:space="0" w:color="auto"/>
                                            <w:right w:val="none" w:sz="0" w:space="0" w:color="auto"/>
                                          </w:divBdr>
                                          <w:divsChild>
                                            <w:div w:id="1631092440">
                                              <w:marLeft w:val="0"/>
                                              <w:marRight w:val="0"/>
                                              <w:marTop w:val="0"/>
                                              <w:marBottom w:val="0"/>
                                              <w:divBdr>
                                                <w:top w:val="none" w:sz="0" w:space="0" w:color="auto"/>
                                                <w:left w:val="none" w:sz="0" w:space="0" w:color="auto"/>
                                                <w:bottom w:val="none" w:sz="0" w:space="0" w:color="auto"/>
                                                <w:right w:val="none" w:sz="0" w:space="0" w:color="auto"/>
                                              </w:divBdr>
                                              <w:divsChild>
                                                <w:div w:id="1516459784">
                                                  <w:marLeft w:val="0"/>
                                                  <w:marRight w:val="0"/>
                                                  <w:marTop w:val="0"/>
                                                  <w:marBottom w:val="0"/>
                                                  <w:divBdr>
                                                    <w:top w:val="none" w:sz="0" w:space="0" w:color="auto"/>
                                                    <w:left w:val="none" w:sz="0" w:space="0" w:color="auto"/>
                                                    <w:bottom w:val="none" w:sz="0" w:space="0" w:color="auto"/>
                                                    <w:right w:val="none" w:sz="0" w:space="0" w:color="auto"/>
                                                  </w:divBdr>
                                                  <w:divsChild>
                                                    <w:div w:id="6128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9401132">
      <w:bodyDiv w:val="1"/>
      <w:marLeft w:val="0"/>
      <w:marRight w:val="0"/>
      <w:marTop w:val="0"/>
      <w:marBottom w:val="0"/>
      <w:divBdr>
        <w:top w:val="none" w:sz="0" w:space="0" w:color="auto"/>
        <w:left w:val="none" w:sz="0" w:space="0" w:color="auto"/>
        <w:bottom w:val="none" w:sz="0" w:space="0" w:color="auto"/>
        <w:right w:val="none" w:sz="0" w:space="0" w:color="auto"/>
      </w:divBdr>
    </w:div>
    <w:div w:id="445349737">
      <w:bodyDiv w:val="1"/>
      <w:marLeft w:val="0"/>
      <w:marRight w:val="0"/>
      <w:marTop w:val="0"/>
      <w:marBottom w:val="0"/>
      <w:divBdr>
        <w:top w:val="none" w:sz="0" w:space="0" w:color="auto"/>
        <w:left w:val="none" w:sz="0" w:space="0" w:color="auto"/>
        <w:bottom w:val="none" w:sz="0" w:space="0" w:color="auto"/>
        <w:right w:val="none" w:sz="0" w:space="0" w:color="auto"/>
      </w:divBdr>
    </w:div>
    <w:div w:id="641234120">
      <w:bodyDiv w:val="1"/>
      <w:marLeft w:val="0"/>
      <w:marRight w:val="0"/>
      <w:marTop w:val="0"/>
      <w:marBottom w:val="0"/>
      <w:divBdr>
        <w:top w:val="none" w:sz="0" w:space="0" w:color="auto"/>
        <w:left w:val="none" w:sz="0" w:space="0" w:color="auto"/>
        <w:bottom w:val="none" w:sz="0" w:space="0" w:color="auto"/>
        <w:right w:val="none" w:sz="0" w:space="0" w:color="auto"/>
      </w:divBdr>
    </w:div>
    <w:div w:id="710957600">
      <w:bodyDiv w:val="1"/>
      <w:marLeft w:val="0"/>
      <w:marRight w:val="0"/>
      <w:marTop w:val="0"/>
      <w:marBottom w:val="0"/>
      <w:divBdr>
        <w:top w:val="none" w:sz="0" w:space="0" w:color="auto"/>
        <w:left w:val="none" w:sz="0" w:space="0" w:color="auto"/>
        <w:bottom w:val="none" w:sz="0" w:space="0" w:color="auto"/>
        <w:right w:val="none" w:sz="0" w:space="0" w:color="auto"/>
      </w:divBdr>
      <w:divsChild>
        <w:div w:id="375204254">
          <w:marLeft w:val="0"/>
          <w:marRight w:val="0"/>
          <w:marTop w:val="0"/>
          <w:marBottom w:val="0"/>
          <w:divBdr>
            <w:top w:val="none" w:sz="0" w:space="0" w:color="auto"/>
            <w:left w:val="none" w:sz="0" w:space="0" w:color="auto"/>
            <w:bottom w:val="none" w:sz="0" w:space="0" w:color="auto"/>
            <w:right w:val="none" w:sz="0" w:space="0" w:color="auto"/>
          </w:divBdr>
          <w:divsChild>
            <w:div w:id="1977028349">
              <w:marLeft w:val="0"/>
              <w:marRight w:val="0"/>
              <w:marTop w:val="0"/>
              <w:marBottom w:val="0"/>
              <w:divBdr>
                <w:top w:val="none" w:sz="0" w:space="0" w:color="auto"/>
                <w:left w:val="none" w:sz="0" w:space="0" w:color="auto"/>
                <w:bottom w:val="none" w:sz="0" w:space="0" w:color="auto"/>
                <w:right w:val="none" w:sz="0" w:space="0" w:color="auto"/>
              </w:divBdr>
              <w:divsChild>
                <w:div w:id="751505779">
                  <w:marLeft w:val="0"/>
                  <w:marRight w:val="0"/>
                  <w:marTop w:val="0"/>
                  <w:marBottom w:val="0"/>
                  <w:divBdr>
                    <w:top w:val="none" w:sz="0" w:space="0" w:color="auto"/>
                    <w:left w:val="none" w:sz="0" w:space="0" w:color="auto"/>
                    <w:bottom w:val="none" w:sz="0" w:space="0" w:color="auto"/>
                    <w:right w:val="none" w:sz="0" w:space="0" w:color="auto"/>
                  </w:divBdr>
                  <w:divsChild>
                    <w:div w:id="236985213">
                      <w:marLeft w:val="0"/>
                      <w:marRight w:val="0"/>
                      <w:marTop w:val="0"/>
                      <w:marBottom w:val="0"/>
                      <w:divBdr>
                        <w:top w:val="none" w:sz="0" w:space="0" w:color="auto"/>
                        <w:left w:val="none" w:sz="0" w:space="0" w:color="auto"/>
                        <w:bottom w:val="none" w:sz="0" w:space="0" w:color="auto"/>
                        <w:right w:val="none" w:sz="0" w:space="0" w:color="auto"/>
                      </w:divBdr>
                      <w:divsChild>
                        <w:div w:id="1578132427">
                          <w:marLeft w:val="0"/>
                          <w:marRight w:val="0"/>
                          <w:marTop w:val="0"/>
                          <w:marBottom w:val="0"/>
                          <w:divBdr>
                            <w:top w:val="none" w:sz="0" w:space="0" w:color="auto"/>
                            <w:left w:val="none" w:sz="0" w:space="0" w:color="auto"/>
                            <w:bottom w:val="none" w:sz="0" w:space="0" w:color="auto"/>
                            <w:right w:val="none" w:sz="0" w:space="0" w:color="auto"/>
                          </w:divBdr>
                          <w:divsChild>
                            <w:div w:id="120850011">
                              <w:marLeft w:val="0"/>
                              <w:marRight w:val="0"/>
                              <w:marTop w:val="0"/>
                              <w:marBottom w:val="0"/>
                              <w:divBdr>
                                <w:top w:val="none" w:sz="0" w:space="0" w:color="auto"/>
                                <w:left w:val="none" w:sz="0" w:space="0" w:color="auto"/>
                                <w:bottom w:val="single" w:sz="4" w:space="0" w:color="4F4F4F"/>
                                <w:right w:val="none" w:sz="0" w:space="0" w:color="auto"/>
                              </w:divBdr>
                              <w:divsChild>
                                <w:div w:id="4482713">
                                  <w:marLeft w:val="0"/>
                                  <w:marRight w:val="0"/>
                                  <w:marTop w:val="0"/>
                                  <w:marBottom w:val="0"/>
                                  <w:divBdr>
                                    <w:top w:val="none" w:sz="0" w:space="0" w:color="auto"/>
                                    <w:left w:val="none" w:sz="0" w:space="0" w:color="auto"/>
                                    <w:bottom w:val="none" w:sz="0" w:space="0" w:color="auto"/>
                                    <w:right w:val="none" w:sz="0" w:space="0" w:color="auto"/>
                                  </w:divBdr>
                                  <w:divsChild>
                                    <w:div w:id="1062561439">
                                      <w:marLeft w:val="0"/>
                                      <w:marRight w:val="0"/>
                                      <w:marTop w:val="0"/>
                                      <w:marBottom w:val="0"/>
                                      <w:divBdr>
                                        <w:top w:val="none" w:sz="0" w:space="0" w:color="auto"/>
                                        <w:left w:val="none" w:sz="0" w:space="0" w:color="auto"/>
                                        <w:bottom w:val="none" w:sz="0" w:space="0" w:color="auto"/>
                                        <w:right w:val="none" w:sz="0" w:space="0" w:color="auto"/>
                                      </w:divBdr>
                                      <w:divsChild>
                                        <w:div w:id="1312058224">
                                          <w:marLeft w:val="0"/>
                                          <w:marRight w:val="0"/>
                                          <w:marTop w:val="0"/>
                                          <w:marBottom w:val="0"/>
                                          <w:divBdr>
                                            <w:top w:val="none" w:sz="0" w:space="0" w:color="auto"/>
                                            <w:left w:val="none" w:sz="0" w:space="0" w:color="auto"/>
                                            <w:bottom w:val="none" w:sz="0" w:space="0" w:color="auto"/>
                                            <w:right w:val="none" w:sz="0" w:space="0" w:color="auto"/>
                                          </w:divBdr>
                                          <w:divsChild>
                                            <w:div w:id="4325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51883">
                                  <w:marLeft w:val="0"/>
                                  <w:marRight w:val="0"/>
                                  <w:marTop w:val="0"/>
                                  <w:marBottom w:val="0"/>
                                  <w:divBdr>
                                    <w:top w:val="none" w:sz="0" w:space="0" w:color="auto"/>
                                    <w:left w:val="none" w:sz="0" w:space="0" w:color="auto"/>
                                    <w:bottom w:val="none" w:sz="0" w:space="0" w:color="auto"/>
                                    <w:right w:val="none" w:sz="0" w:space="0" w:color="auto"/>
                                  </w:divBdr>
                                  <w:divsChild>
                                    <w:div w:id="987710510">
                                      <w:marLeft w:val="0"/>
                                      <w:marRight w:val="0"/>
                                      <w:marTop w:val="0"/>
                                      <w:marBottom w:val="0"/>
                                      <w:divBdr>
                                        <w:top w:val="none" w:sz="0" w:space="0" w:color="auto"/>
                                        <w:left w:val="none" w:sz="0" w:space="0" w:color="auto"/>
                                        <w:bottom w:val="none" w:sz="0" w:space="0" w:color="auto"/>
                                        <w:right w:val="none" w:sz="0" w:space="0" w:color="auto"/>
                                      </w:divBdr>
                                      <w:divsChild>
                                        <w:div w:id="1789855602">
                                          <w:marLeft w:val="0"/>
                                          <w:marRight w:val="0"/>
                                          <w:marTop w:val="0"/>
                                          <w:marBottom w:val="0"/>
                                          <w:divBdr>
                                            <w:top w:val="none" w:sz="0" w:space="0" w:color="auto"/>
                                            <w:left w:val="none" w:sz="0" w:space="0" w:color="auto"/>
                                            <w:bottom w:val="none" w:sz="0" w:space="0" w:color="auto"/>
                                            <w:right w:val="none" w:sz="0" w:space="0" w:color="auto"/>
                                          </w:divBdr>
                                          <w:divsChild>
                                            <w:div w:id="229921790">
                                              <w:marLeft w:val="0"/>
                                              <w:marRight w:val="0"/>
                                              <w:marTop w:val="0"/>
                                              <w:marBottom w:val="0"/>
                                              <w:divBdr>
                                                <w:top w:val="none" w:sz="0" w:space="0" w:color="auto"/>
                                                <w:left w:val="none" w:sz="0" w:space="0" w:color="auto"/>
                                                <w:bottom w:val="none" w:sz="0" w:space="0" w:color="auto"/>
                                                <w:right w:val="none" w:sz="0" w:space="0" w:color="auto"/>
                                              </w:divBdr>
                                              <w:divsChild>
                                                <w:div w:id="1015689827">
                                                  <w:marLeft w:val="0"/>
                                                  <w:marRight w:val="0"/>
                                                  <w:marTop w:val="0"/>
                                                  <w:marBottom w:val="0"/>
                                                  <w:divBdr>
                                                    <w:top w:val="none" w:sz="0" w:space="0" w:color="auto"/>
                                                    <w:left w:val="none" w:sz="0" w:space="0" w:color="auto"/>
                                                    <w:bottom w:val="none" w:sz="0" w:space="0" w:color="auto"/>
                                                    <w:right w:val="none" w:sz="0" w:space="0" w:color="auto"/>
                                                  </w:divBdr>
                                                  <w:divsChild>
                                                    <w:div w:id="8625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459637">
      <w:bodyDiv w:val="1"/>
      <w:marLeft w:val="0"/>
      <w:marRight w:val="0"/>
      <w:marTop w:val="0"/>
      <w:marBottom w:val="0"/>
      <w:divBdr>
        <w:top w:val="none" w:sz="0" w:space="0" w:color="auto"/>
        <w:left w:val="none" w:sz="0" w:space="0" w:color="auto"/>
        <w:bottom w:val="none" w:sz="0" w:space="0" w:color="auto"/>
        <w:right w:val="none" w:sz="0" w:space="0" w:color="auto"/>
      </w:divBdr>
      <w:divsChild>
        <w:div w:id="1367944060">
          <w:marLeft w:val="0"/>
          <w:marRight w:val="0"/>
          <w:marTop w:val="0"/>
          <w:marBottom w:val="0"/>
          <w:divBdr>
            <w:top w:val="none" w:sz="0" w:space="0" w:color="auto"/>
            <w:left w:val="none" w:sz="0" w:space="0" w:color="auto"/>
            <w:bottom w:val="none" w:sz="0" w:space="0" w:color="auto"/>
            <w:right w:val="none" w:sz="0" w:space="0" w:color="auto"/>
          </w:divBdr>
          <w:divsChild>
            <w:div w:id="1815487329">
              <w:marLeft w:val="0"/>
              <w:marRight w:val="0"/>
              <w:marTop w:val="0"/>
              <w:marBottom w:val="0"/>
              <w:divBdr>
                <w:top w:val="none" w:sz="0" w:space="0" w:color="auto"/>
                <w:left w:val="none" w:sz="0" w:space="0" w:color="auto"/>
                <w:bottom w:val="none" w:sz="0" w:space="0" w:color="auto"/>
                <w:right w:val="none" w:sz="0" w:space="0" w:color="auto"/>
              </w:divBdr>
              <w:divsChild>
                <w:div w:id="1223518475">
                  <w:marLeft w:val="0"/>
                  <w:marRight w:val="0"/>
                  <w:marTop w:val="0"/>
                  <w:marBottom w:val="0"/>
                  <w:divBdr>
                    <w:top w:val="none" w:sz="0" w:space="0" w:color="auto"/>
                    <w:left w:val="none" w:sz="0" w:space="0" w:color="auto"/>
                    <w:bottom w:val="none" w:sz="0" w:space="0" w:color="auto"/>
                    <w:right w:val="none" w:sz="0" w:space="0" w:color="auto"/>
                  </w:divBdr>
                  <w:divsChild>
                    <w:div w:id="1413315371">
                      <w:marLeft w:val="0"/>
                      <w:marRight w:val="0"/>
                      <w:marTop w:val="0"/>
                      <w:marBottom w:val="0"/>
                      <w:divBdr>
                        <w:top w:val="none" w:sz="0" w:space="0" w:color="auto"/>
                        <w:left w:val="none" w:sz="0" w:space="0" w:color="auto"/>
                        <w:bottom w:val="none" w:sz="0" w:space="0" w:color="auto"/>
                        <w:right w:val="none" w:sz="0" w:space="0" w:color="auto"/>
                      </w:divBdr>
                      <w:divsChild>
                        <w:div w:id="125708069">
                          <w:marLeft w:val="0"/>
                          <w:marRight w:val="0"/>
                          <w:marTop w:val="0"/>
                          <w:marBottom w:val="0"/>
                          <w:divBdr>
                            <w:top w:val="none" w:sz="0" w:space="0" w:color="auto"/>
                            <w:left w:val="none" w:sz="0" w:space="0" w:color="auto"/>
                            <w:bottom w:val="none" w:sz="0" w:space="0" w:color="auto"/>
                            <w:right w:val="none" w:sz="0" w:space="0" w:color="auto"/>
                          </w:divBdr>
                          <w:divsChild>
                            <w:div w:id="1868987471">
                              <w:marLeft w:val="0"/>
                              <w:marRight w:val="0"/>
                              <w:marTop w:val="0"/>
                              <w:marBottom w:val="0"/>
                              <w:divBdr>
                                <w:top w:val="none" w:sz="0" w:space="0" w:color="auto"/>
                                <w:left w:val="none" w:sz="0" w:space="0" w:color="auto"/>
                                <w:bottom w:val="single" w:sz="4" w:space="0" w:color="4F4F4F"/>
                                <w:right w:val="none" w:sz="0" w:space="0" w:color="auto"/>
                              </w:divBdr>
                              <w:divsChild>
                                <w:div w:id="167255436">
                                  <w:marLeft w:val="0"/>
                                  <w:marRight w:val="0"/>
                                  <w:marTop w:val="0"/>
                                  <w:marBottom w:val="0"/>
                                  <w:divBdr>
                                    <w:top w:val="none" w:sz="0" w:space="0" w:color="auto"/>
                                    <w:left w:val="none" w:sz="0" w:space="0" w:color="auto"/>
                                    <w:bottom w:val="none" w:sz="0" w:space="0" w:color="auto"/>
                                    <w:right w:val="none" w:sz="0" w:space="0" w:color="auto"/>
                                  </w:divBdr>
                                  <w:divsChild>
                                    <w:div w:id="1566531451">
                                      <w:marLeft w:val="0"/>
                                      <w:marRight w:val="0"/>
                                      <w:marTop w:val="0"/>
                                      <w:marBottom w:val="0"/>
                                      <w:divBdr>
                                        <w:top w:val="none" w:sz="0" w:space="0" w:color="auto"/>
                                        <w:left w:val="none" w:sz="0" w:space="0" w:color="auto"/>
                                        <w:bottom w:val="none" w:sz="0" w:space="0" w:color="auto"/>
                                        <w:right w:val="none" w:sz="0" w:space="0" w:color="auto"/>
                                      </w:divBdr>
                                      <w:divsChild>
                                        <w:div w:id="2079398239">
                                          <w:marLeft w:val="0"/>
                                          <w:marRight w:val="0"/>
                                          <w:marTop w:val="0"/>
                                          <w:marBottom w:val="0"/>
                                          <w:divBdr>
                                            <w:top w:val="none" w:sz="0" w:space="0" w:color="auto"/>
                                            <w:left w:val="none" w:sz="0" w:space="0" w:color="auto"/>
                                            <w:bottom w:val="none" w:sz="0" w:space="0" w:color="auto"/>
                                            <w:right w:val="none" w:sz="0" w:space="0" w:color="auto"/>
                                          </w:divBdr>
                                          <w:divsChild>
                                            <w:div w:id="103881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8320">
                                  <w:marLeft w:val="0"/>
                                  <w:marRight w:val="0"/>
                                  <w:marTop w:val="0"/>
                                  <w:marBottom w:val="0"/>
                                  <w:divBdr>
                                    <w:top w:val="none" w:sz="0" w:space="0" w:color="auto"/>
                                    <w:left w:val="none" w:sz="0" w:space="0" w:color="auto"/>
                                    <w:bottom w:val="none" w:sz="0" w:space="0" w:color="auto"/>
                                    <w:right w:val="none" w:sz="0" w:space="0" w:color="auto"/>
                                  </w:divBdr>
                                  <w:divsChild>
                                    <w:div w:id="839462300">
                                      <w:marLeft w:val="0"/>
                                      <w:marRight w:val="0"/>
                                      <w:marTop w:val="0"/>
                                      <w:marBottom w:val="0"/>
                                      <w:divBdr>
                                        <w:top w:val="none" w:sz="0" w:space="0" w:color="auto"/>
                                        <w:left w:val="none" w:sz="0" w:space="0" w:color="auto"/>
                                        <w:bottom w:val="none" w:sz="0" w:space="0" w:color="auto"/>
                                        <w:right w:val="none" w:sz="0" w:space="0" w:color="auto"/>
                                      </w:divBdr>
                                      <w:divsChild>
                                        <w:div w:id="1109739666">
                                          <w:marLeft w:val="0"/>
                                          <w:marRight w:val="0"/>
                                          <w:marTop w:val="0"/>
                                          <w:marBottom w:val="0"/>
                                          <w:divBdr>
                                            <w:top w:val="none" w:sz="0" w:space="0" w:color="auto"/>
                                            <w:left w:val="none" w:sz="0" w:space="0" w:color="auto"/>
                                            <w:bottom w:val="none" w:sz="0" w:space="0" w:color="auto"/>
                                            <w:right w:val="none" w:sz="0" w:space="0" w:color="auto"/>
                                          </w:divBdr>
                                          <w:divsChild>
                                            <w:div w:id="1467163989">
                                              <w:marLeft w:val="0"/>
                                              <w:marRight w:val="0"/>
                                              <w:marTop w:val="0"/>
                                              <w:marBottom w:val="0"/>
                                              <w:divBdr>
                                                <w:top w:val="none" w:sz="0" w:space="0" w:color="auto"/>
                                                <w:left w:val="none" w:sz="0" w:space="0" w:color="auto"/>
                                                <w:bottom w:val="none" w:sz="0" w:space="0" w:color="auto"/>
                                                <w:right w:val="none" w:sz="0" w:space="0" w:color="auto"/>
                                              </w:divBdr>
                                              <w:divsChild>
                                                <w:div w:id="1798987992">
                                                  <w:marLeft w:val="0"/>
                                                  <w:marRight w:val="0"/>
                                                  <w:marTop w:val="0"/>
                                                  <w:marBottom w:val="0"/>
                                                  <w:divBdr>
                                                    <w:top w:val="none" w:sz="0" w:space="0" w:color="auto"/>
                                                    <w:left w:val="none" w:sz="0" w:space="0" w:color="auto"/>
                                                    <w:bottom w:val="none" w:sz="0" w:space="0" w:color="auto"/>
                                                    <w:right w:val="none" w:sz="0" w:space="0" w:color="auto"/>
                                                  </w:divBdr>
                                                  <w:divsChild>
                                                    <w:div w:id="325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068981">
      <w:bodyDiv w:val="1"/>
      <w:marLeft w:val="0"/>
      <w:marRight w:val="0"/>
      <w:marTop w:val="0"/>
      <w:marBottom w:val="0"/>
      <w:divBdr>
        <w:top w:val="none" w:sz="0" w:space="0" w:color="auto"/>
        <w:left w:val="none" w:sz="0" w:space="0" w:color="auto"/>
        <w:bottom w:val="none" w:sz="0" w:space="0" w:color="auto"/>
        <w:right w:val="none" w:sz="0" w:space="0" w:color="auto"/>
      </w:divBdr>
    </w:div>
    <w:div w:id="965547539">
      <w:bodyDiv w:val="1"/>
      <w:marLeft w:val="0"/>
      <w:marRight w:val="0"/>
      <w:marTop w:val="0"/>
      <w:marBottom w:val="0"/>
      <w:divBdr>
        <w:top w:val="none" w:sz="0" w:space="0" w:color="auto"/>
        <w:left w:val="none" w:sz="0" w:space="0" w:color="auto"/>
        <w:bottom w:val="none" w:sz="0" w:space="0" w:color="auto"/>
        <w:right w:val="none" w:sz="0" w:space="0" w:color="auto"/>
      </w:divBdr>
    </w:div>
    <w:div w:id="1313825475">
      <w:bodyDiv w:val="1"/>
      <w:marLeft w:val="0"/>
      <w:marRight w:val="0"/>
      <w:marTop w:val="0"/>
      <w:marBottom w:val="0"/>
      <w:divBdr>
        <w:top w:val="none" w:sz="0" w:space="0" w:color="auto"/>
        <w:left w:val="none" w:sz="0" w:space="0" w:color="auto"/>
        <w:bottom w:val="none" w:sz="0" w:space="0" w:color="auto"/>
        <w:right w:val="none" w:sz="0" w:space="0" w:color="auto"/>
      </w:divBdr>
      <w:divsChild>
        <w:div w:id="1499230729">
          <w:marLeft w:val="0"/>
          <w:marRight w:val="0"/>
          <w:marTop w:val="0"/>
          <w:marBottom w:val="0"/>
          <w:divBdr>
            <w:top w:val="none" w:sz="0" w:space="0" w:color="auto"/>
            <w:left w:val="none" w:sz="0" w:space="0" w:color="auto"/>
            <w:bottom w:val="none" w:sz="0" w:space="0" w:color="auto"/>
            <w:right w:val="none" w:sz="0" w:space="0" w:color="auto"/>
          </w:divBdr>
          <w:divsChild>
            <w:div w:id="115564730">
              <w:marLeft w:val="0"/>
              <w:marRight w:val="0"/>
              <w:marTop w:val="0"/>
              <w:marBottom w:val="0"/>
              <w:divBdr>
                <w:top w:val="none" w:sz="0" w:space="0" w:color="auto"/>
                <w:left w:val="none" w:sz="0" w:space="0" w:color="auto"/>
                <w:bottom w:val="none" w:sz="0" w:space="0" w:color="auto"/>
                <w:right w:val="none" w:sz="0" w:space="0" w:color="auto"/>
              </w:divBdr>
              <w:divsChild>
                <w:div w:id="1695885572">
                  <w:marLeft w:val="0"/>
                  <w:marRight w:val="0"/>
                  <w:marTop w:val="0"/>
                  <w:marBottom w:val="0"/>
                  <w:divBdr>
                    <w:top w:val="none" w:sz="0" w:space="0" w:color="auto"/>
                    <w:left w:val="none" w:sz="0" w:space="0" w:color="auto"/>
                    <w:bottom w:val="none" w:sz="0" w:space="0" w:color="auto"/>
                    <w:right w:val="none" w:sz="0" w:space="0" w:color="auto"/>
                  </w:divBdr>
                  <w:divsChild>
                    <w:div w:id="1212230268">
                      <w:marLeft w:val="0"/>
                      <w:marRight w:val="0"/>
                      <w:marTop w:val="0"/>
                      <w:marBottom w:val="0"/>
                      <w:divBdr>
                        <w:top w:val="none" w:sz="0" w:space="0" w:color="auto"/>
                        <w:left w:val="none" w:sz="0" w:space="0" w:color="auto"/>
                        <w:bottom w:val="none" w:sz="0" w:space="0" w:color="auto"/>
                        <w:right w:val="none" w:sz="0" w:space="0" w:color="auto"/>
                      </w:divBdr>
                      <w:divsChild>
                        <w:div w:id="700588683">
                          <w:marLeft w:val="0"/>
                          <w:marRight w:val="0"/>
                          <w:marTop w:val="0"/>
                          <w:marBottom w:val="0"/>
                          <w:divBdr>
                            <w:top w:val="none" w:sz="0" w:space="0" w:color="auto"/>
                            <w:left w:val="none" w:sz="0" w:space="0" w:color="auto"/>
                            <w:bottom w:val="none" w:sz="0" w:space="0" w:color="auto"/>
                            <w:right w:val="none" w:sz="0" w:space="0" w:color="auto"/>
                          </w:divBdr>
                          <w:divsChild>
                            <w:div w:id="960453893">
                              <w:marLeft w:val="0"/>
                              <w:marRight w:val="0"/>
                              <w:marTop w:val="0"/>
                              <w:marBottom w:val="0"/>
                              <w:divBdr>
                                <w:top w:val="none" w:sz="0" w:space="0" w:color="auto"/>
                                <w:left w:val="none" w:sz="0" w:space="0" w:color="auto"/>
                                <w:bottom w:val="single" w:sz="4" w:space="0" w:color="4F4F4F"/>
                                <w:right w:val="none" w:sz="0" w:space="0" w:color="auto"/>
                              </w:divBdr>
                              <w:divsChild>
                                <w:div w:id="1204708789">
                                  <w:marLeft w:val="0"/>
                                  <w:marRight w:val="0"/>
                                  <w:marTop w:val="0"/>
                                  <w:marBottom w:val="0"/>
                                  <w:divBdr>
                                    <w:top w:val="none" w:sz="0" w:space="0" w:color="auto"/>
                                    <w:left w:val="none" w:sz="0" w:space="0" w:color="auto"/>
                                    <w:bottom w:val="none" w:sz="0" w:space="0" w:color="auto"/>
                                    <w:right w:val="none" w:sz="0" w:space="0" w:color="auto"/>
                                  </w:divBdr>
                                  <w:divsChild>
                                    <w:div w:id="1628704314">
                                      <w:marLeft w:val="0"/>
                                      <w:marRight w:val="0"/>
                                      <w:marTop w:val="0"/>
                                      <w:marBottom w:val="0"/>
                                      <w:divBdr>
                                        <w:top w:val="none" w:sz="0" w:space="0" w:color="auto"/>
                                        <w:left w:val="none" w:sz="0" w:space="0" w:color="auto"/>
                                        <w:bottom w:val="none" w:sz="0" w:space="0" w:color="auto"/>
                                        <w:right w:val="none" w:sz="0" w:space="0" w:color="auto"/>
                                      </w:divBdr>
                                      <w:divsChild>
                                        <w:div w:id="261955175">
                                          <w:marLeft w:val="0"/>
                                          <w:marRight w:val="0"/>
                                          <w:marTop w:val="0"/>
                                          <w:marBottom w:val="0"/>
                                          <w:divBdr>
                                            <w:top w:val="none" w:sz="0" w:space="0" w:color="auto"/>
                                            <w:left w:val="none" w:sz="0" w:space="0" w:color="auto"/>
                                            <w:bottom w:val="none" w:sz="0" w:space="0" w:color="auto"/>
                                            <w:right w:val="none" w:sz="0" w:space="0" w:color="auto"/>
                                          </w:divBdr>
                                          <w:divsChild>
                                            <w:div w:id="1832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9488">
                                  <w:marLeft w:val="0"/>
                                  <w:marRight w:val="0"/>
                                  <w:marTop w:val="0"/>
                                  <w:marBottom w:val="0"/>
                                  <w:divBdr>
                                    <w:top w:val="none" w:sz="0" w:space="0" w:color="auto"/>
                                    <w:left w:val="none" w:sz="0" w:space="0" w:color="auto"/>
                                    <w:bottom w:val="none" w:sz="0" w:space="0" w:color="auto"/>
                                    <w:right w:val="none" w:sz="0" w:space="0" w:color="auto"/>
                                  </w:divBdr>
                                  <w:divsChild>
                                    <w:div w:id="1543204189">
                                      <w:marLeft w:val="0"/>
                                      <w:marRight w:val="0"/>
                                      <w:marTop w:val="0"/>
                                      <w:marBottom w:val="0"/>
                                      <w:divBdr>
                                        <w:top w:val="none" w:sz="0" w:space="0" w:color="auto"/>
                                        <w:left w:val="none" w:sz="0" w:space="0" w:color="auto"/>
                                        <w:bottom w:val="none" w:sz="0" w:space="0" w:color="auto"/>
                                        <w:right w:val="none" w:sz="0" w:space="0" w:color="auto"/>
                                      </w:divBdr>
                                      <w:divsChild>
                                        <w:div w:id="266427881">
                                          <w:marLeft w:val="0"/>
                                          <w:marRight w:val="0"/>
                                          <w:marTop w:val="0"/>
                                          <w:marBottom w:val="0"/>
                                          <w:divBdr>
                                            <w:top w:val="none" w:sz="0" w:space="0" w:color="auto"/>
                                            <w:left w:val="none" w:sz="0" w:space="0" w:color="auto"/>
                                            <w:bottom w:val="none" w:sz="0" w:space="0" w:color="auto"/>
                                            <w:right w:val="none" w:sz="0" w:space="0" w:color="auto"/>
                                          </w:divBdr>
                                          <w:divsChild>
                                            <w:div w:id="120611517">
                                              <w:marLeft w:val="0"/>
                                              <w:marRight w:val="0"/>
                                              <w:marTop w:val="0"/>
                                              <w:marBottom w:val="0"/>
                                              <w:divBdr>
                                                <w:top w:val="none" w:sz="0" w:space="0" w:color="auto"/>
                                                <w:left w:val="none" w:sz="0" w:space="0" w:color="auto"/>
                                                <w:bottom w:val="none" w:sz="0" w:space="0" w:color="auto"/>
                                                <w:right w:val="none" w:sz="0" w:space="0" w:color="auto"/>
                                              </w:divBdr>
                                              <w:divsChild>
                                                <w:div w:id="388309418">
                                                  <w:marLeft w:val="0"/>
                                                  <w:marRight w:val="0"/>
                                                  <w:marTop w:val="0"/>
                                                  <w:marBottom w:val="0"/>
                                                  <w:divBdr>
                                                    <w:top w:val="none" w:sz="0" w:space="0" w:color="auto"/>
                                                    <w:left w:val="none" w:sz="0" w:space="0" w:color="auto"/>
                                                    <w:bottom w:val="none" w:sz="0" w:space="0" w:color="auto"/>
                                                    <w:right w:val="none" w:sz="0" w:space="0" w:color="auto"/>
                                                  </w:divBdr>
                                                  <w:divsChild>
                                                    <w:div w:id="902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537995">
      <w:bodyDiv w:val="1"/>
      <w:marLeft w:val="0"/>
      <w:marRight w:val="0"/>
      <w:marTop w:val="0"/>
      <w:marBottom w:val="0"/>
      <w:divBdr>
        <w:top w:val="none" w:sz="0" w:space="0" w:color="auto"/>
        <w:left w:val="none" w:sz="0" w:space="0" w:color="auto"/>
        <w:bottom w:val="none" w:sz="0" w:space="0" w:color="auto"/>
        <w:right w:val="none" w:sz="0" w:space="0" w:color="auto"/>
      </w:divBdr>
      <w:divsChild>
        <w:div w:id="2103641984">
          <w:marLeft w:val="0"/>
          <w:marRight w:val="0"/>
          <w:marTop w:val="0"/>
          <w:marBottom w:val="0"/>
          <w:divBdr>
            <w:top w:val="none" w:sz="0" w:space="0" w:color="auto"/>
            <w:left w:val="none" w:sz="0" w:space="0" w:color="auto"/>
            <w:bottom w:val="none" w:sz="0" w:space="0" w:color="auto"/>
            <w:right w:val="none" w:sz="0" w:space="0" w:color="auto"/>
          </w:divBdr>
          <w:divsChild>
            <w:div w:id="1863932217">
              <w:marLeft w:val="0"/>
              <w:marRight w:val="0"/>
              <w:marTop w:val="0"/>
              <w:marBottom w:val="0"/>
              <w:divBdr>
                <w:top w:val="none" w:sz="0" w:space="0" w:color="auto"/>
                <w:left w:val="none" w:sz="0" w:space="0" w:color="auto"/>
                <w:bottom w:val="none" w:sz="0" w:space="0" w:color="auto"/>
                <w:right w:val="none" w:sz="0" w:space="0" w:color="auto"/>
              </w:divBdr>
              <w:divsChild>
                <w:div w:id="913857682">
                  <w:marLeft w:val="0"/>
                  <w:marRight w:val="0"/>
                  <w:marTop w:val="0"/>
                  <w:marBottom w:val="0"/>
                  <w:divBdr>
                    <w:top w:val="none" w:sz="0" w:space="0" w:color="auto"/>
                    <w:left w:val="none" w:sz="0" w:space="0" w:color="auto"/>
                    <w:bottom w:val="none" w:sz="0" w:space="0" w:color="auto"/>
                    <w:right w:val="none" w:sz="0" w:space="0" w:color="auto"/>
                  </w:divBdr>
                  <w:divsChild>
                    <w:div w:id="222066214">
                      <w:marLeft w:val="0"/>
                      <w:marRight w:val="0"/>
                      <w:marTop w:val="0"/>
                      <w:marBottom w:val="0"/>
                      <w:divBdr>
                        <w:top w:val="none" w:sz="0" w:space="0" w:color="auto"/>
                        <w:left w:val="none" w:sz="0" w:space="0" w:color="auto"/>
                        <w:bottom w:val="none" w:sz="0" w:space="0" w:color="auto"/>
                        <w:right w:val="none" w:sz="0" w:space="0" w:color="auto"/>
                      </w:divBdr>
                      <w:divsChild>
                        <w:div w:id="1601136791">
                          <w:marLeft w:val="0"/>
                          <w:marRight w:val="0"/>
                          <w:marTop w:val="0"/>
                          <w:marBottom w:val="0"/>
                          <w:divBdr>
                            <w:top w:val="none" w:sz="0" w:space="0" w:color="auto"/>
                            <w:left w:val="none" w:sz="0" w:space="0" w:color="auto"/>
                            <w:bottom w:val="none" w:sz="0" w:space="0" w:color="auto"/>
                            <w:right w:val="none" w:sz="0" w:space="0" w:color="auto"/>
                          </w:divBdr>
                          <w:divsChild>
                            <w:div w:id="2059737366">
                              <w:marLeft w:val="0"/>
                              <w:marRight w:val="0"/>
                              <w:marTop w:val="0"/>
                              <w:marBottom w:val="0"/>
                              <w:divBdr>
                                <w:top w:val="none" w:sz="0" w:space="0" w:color="auto"/>
                                <w:left w:val="none" w:sz="0" w:space="0" w:color="auto"/>
                                <w:bottom w:val="single" w:sz="4" w:space="0" w:color="4F4F4F"/>
                                <w:right w:val="none" w:sz="0" w:space="0" w:color="auto"/>
                              </w:divBdr>
                              <w:divsChild>
                                <w:div w:id="416631245">
                                  <w:marLeft w:val="0"/>
                                  <w:marRight w:val="0"/>
                                  <w:marTop w:val="0"/>
                                  <w:marBottom w:val="0"/>
                                  <w:divBdr>
                                    <w:top w:val="none" w:sz="0" w:space="0" w:color="auto"/>
                                    <w:left w:val="none" w:sz="0" w:space="0" w:color="auto"/>
                                    <w:bottom w:val="none" w:sz="0" w:space="0" w:color="auto"/>
                                    <w:right w:val="none" w:sz="0" w:space="0" w:color="auto"/>
                                  </w:divBdr>
                                  <w:divsChild>
                                    <w:div w:id="1779834672">
                                      <w:marLeft w:val="0"/>
                                      <w:marRight w:val="0"/>
                                      <w:marTop w:val="0"/>
                                      <w:marBottom w:val="0"/>
                                      <w:divBdr>
                                        <w:top w:val="none" w:sz="0" w:space="0" w:color="auto"/>
                                        <w:left w:val="none" w:sz="0" w:space="0" w:color="auto"/>
                                        <w:bottom w:val="none" w:sz="0" w:space="0" w:color="auto"/>
                                        <w:right w:val="none" w:sz="0" w:space="0" w:color="auto"/>
                                      </w:divBdr>
                                      <w:divsChild>
                                        <w:div w:id="1868981885">
                                          <w:marLeft w:val="0"/>
                                          <w:marRight w:val="0"/>
                                          <w:marTop w:val="0"/>
                                          <w:marBottom w:val="0"/>
                                          <w:divBdr>
                                            <w:top w:val="none" w:sz="0" w:space="0" w:color="auto"/>
                                            <w:left w:val="none" w:sz="0" w:space="0" w:color="auto"/>
                                            <w:bottom w:val="none" w:sz="0" w:space="0" w:color="auto"/>
                                            <w:right w:val="none" w:sz="0" w:space="0" w:color="auto"/>
                                          </w:divBdr>
                                          <w:divsChild>
                                            <w:div w:id="21064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17214">
                                  <w:marLeft w:val="0"/>
                                  <w:marRight w:val="0"/>
                                  <w:marTop w:val="0"/>
                                  <w:marBottom w:val="0"/>
                                  <w:divBdr>
                                    <w:top w:val="none" w:sz="0" w:space="0" w:color="auto"/>
                                    <w:left w:val="none" w:sz="0" w:space="0" w:color="auto"/>
                                    <w:bottom w:val="none" w:sz="0" w:space="0" w:color="auto"/>
                                    <w:right w:val="none" w:sz="0" w:space="0" w:color="auto"/>
                                  </w:divBdr>
                                  <w:divsChild>
                                    <w:div w:id="1310287833">
                                      <w:marLeft w:val="0"/>
                                      <w:marRight w:val="0"/>
                                      <w:marTop w:val="0"/>
                                      <w:marBottom w:val="0"/>
                                      <w:divBdr>
                                        <w:top w:val="none" w:sz="0" w:space="0" w:color="auto"/>
                                        <w:left w:val="none" w:sz="0" w:space="0" w:color="auto"/>
                                        <w:bottom w:val="none" w:sz="0" w:space="0" w:color="auto"/>
                                        <w:right w:val="none" w:sz="0" w:space="0" w:color="auto"/>
                                      </w:divBdr>
                                      <w:divsChild>
                                        <w:div w:id="1462189856">
                                          <w:marLeft w:val="0"/>
                                          <w:marRight w:val="0"/>
                                          <w:marTop w:val="0"/>
                                          <w:marBottom w:val="0"/>
                                          <w:divBdr>
                                            <w:top w:val="none" w:sz="0" w:space="0" w:color="auto"/>
                                            <w:left w:val="none" w:sz="0" w:space="0" w:color="auto"/>
                                            <w:bottom w:val="none" w:sz="0" w:space="0" w:color="auto"/>
                                            <w:right w:val="none" w:sz="0" w:space="0" w:color="auto"/>
                                          </w:divBdr>
                                          <w:divsChild>
                                            <w:div w:id="1030646840">
                                              <w:marLeft w:val="0"/>
                                              <w:marRight w:val="0"/>
                                              <w:marTop w:val="0"/>
                                              <w:marBottom w:val="0"/>
                                              <w:divBdr>
                                                <w:top w:val="none" w:sz="0" w:space="0" w:color="auto"/>
                                                <w:left w:val="none" w:sz="0" w:space="0" w:color="auto"/>
                                                <w:bottom w:val="none" w:sz="0" w:space="0" w:color="auto"/>
                                                <w:right w:val="none" w:sz="0" w:space="0" w:color="auto"/>
                                              </w:divBdr>
                                              <w:divsChild>
                                                <w:div w:id="840506391">
                                                  <w:marLeft w:val="0"/>
                                                  <w:marRight w:val="0"/>
                                                  <w:marTop w:val="0"/>
                                                  <w:marBottom w:val="0"/>
                                                  <w:divBdr>
                                                    <w:top w:val="none" w:sz="0" w:space="0" w:color="auto"/>
                                                    <w:left w:val="none" w:sz="0" w:space="0" w:color="auto"/>
                                                    <w:bottom w:val="none" w:sz="0" w:space="0" w:color="auto"/>
                                                    <w:right w:val="none" w:sz="0" w:space="0" w:color="auto"/>
                                                  </w:divBdr>
                                                  <w:divsChild>
                                                    <w:div w:id="13374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756259">
      <w:bodyDiv w:val="1"/>
      <w:marLeft w:val="0"/>
      <w:marRight w:val="0"/>
      <w:marTop w:val="0"/>
      <w:marBottom w:val="0"/>
      <w:divBdr>
        <w:top w:val="none" w:sz="0" w:space="0" w:color="auto"/>
        <w:left w:val="none" w:sz="0" w:space="0" w:color="auto"/>
        <w:bottom w:val="none" w:sz="0" w:space="0" w:color="auto"/>
        <w:right w:val="none" w:sz="0" w:space="0" w:color="auto"/>
      </w:divBdr>
      <w:divsChild>
        <w:div w:id="339089668">
          <w:marLeft w:val="0"/>
          <w:marRight w:val="0"/>
          <w:marTop w:val="0"/>
          <w:marBottom w:val="0"/>
          <w:divBdr>
            <w:top w:val="none" w:sz="0" w:space="0" w:color="auto"/>
            <w:left w:val="none" w:sz="0" w:space="0" w:color="auto"/>
            <w:bottom w:val="none" w:sz="0" w:space="0" w:color="auto"/>
            <w:right w:val="none" w:sz="0" w:space="0" w:color="auto"/>
          </w:divBdr>
          <w:divsChild>
            <w:div w:id="1271088420">
              <w:marLeft w:val="0"/>
              <w:marRight w:val="0"/>
              <w:marTop w:val="0"/>
              <w:marBottom w:val="0"/>
              <w:divBdr>
                <w:top w:val="none" w:sz="0" w:space="0" w:color="auto"/>
                <w:left w:val="none" w:sz="0" w:space="0" w:color="auto"/>
                <w:bottom w:val="none" w:sz="0" w:space="0" w:color="auto"/>
                <w:right w:val="none" w:sz="0" w:space="0" w:color="auto"/>
              </w:divBdr>
              <w:divsChild>
                <w:div w:id="822621043">
                  <w:marLeft w:val="0"/>
                  <w:marRight w:val="0"/>
                  <w:marTop w:val="0"/>
                  <w:marBottom w:val="0"/>
                  <w:divBdr>
                    <w:top w:val="none" w:sz="0" w:space="0" w:color="auto"/>
                    <w:left w:val="none" w:sz="0" w:space="0" w:color="auto"/>
                    <w:bottom w:val="none" w:sz="0" w:space="0" w:color="auto"/>
                    <w:right w:val="none" w:sz="0" w:space="0" w:color="auto"/>
                  </w:divBdr>
                  <w:divsChild>
                    <w:div w:id="431051653">
                      <w:marLeft w:val="0"/>
                      <w:marRight w:val="0"/>
                      <w:marTop w:val="0"/>
                      <w:marBottom w:val="0"/>
                      <w:divBdr>
                        <w:top w:val="none" w:sz="0" w:space="0" w:color="auto"/>
                        <w:left w:val="none" w:sz="0" w:space="0" w:color="auto"/>
                        <w:bottom w:val="none" w:sz="0" w:space="0" w:color="auto"/>
                        <w:right w:val="none" w:sz="0" w:space="0" w:color="auto"/>
                      </w:divBdr>
                      <w:divsChild>
                        <w:div w:id="43723653">
                          <w:marLeft w:val="0"/>
                          <w:marRight w:val="0"/>
                          <w:marTop w:val="0"/>
                          <w:marBottom w:val="0"/>
                          <w:divBdr>
                            <w:top w:val="none" w:sz="0" w:space="0" w:color="auto"/>
                            <w:left w:val="none" w:sz="0" w:space="0" w:color="auto"/>
                            <w:bottom w:val="none" w:sz="0" w:space="0" w:color="auto"/>
                            <w:right w:val="none" w:sz="0" w:space="0" w:color="auto"/>
                          </w:divBdr>
                          <w:divsChild>
                            <w:div w:id="16394409">
                              <w:marLeft w:val="0"/>
                              <w:marRight w:val="0"/>
                              <w:marTop w:val="0"/>
                              <w:marBottom w:val="0"/>
                              <w:divBdr>
                                <w:top w:val="none" w:sz="0" w:space="0" w:color="auto"/>
                                <w:left w:val="none" w:sz="0" w:space="0" w:color="auto"/>
                                <w:bottom w:val="single" w:sz="4" w:space="0" w:color="4F4F4F"/>
                                <w:right w:val="none" w:sz="0" w:space="0" w:color="auto"/>
                              </w:divBdr>
                              <w:divsChild>
                                <w:div w:id="519047678">
                                  <w:marLeft w:val="0"/>
                                  <w:marRight w:val="0"/>
                                  <w:marTop w:val="0"/>
                                  <w:marBottom w:val="0"/>
                                  <w:divBdr>
                                    <w:top w:val="none" w:sz="0" w:space="0" w:color="auto"/>
                                    <w:left w:val="none" w:sz="0" w:space="0" w:color="auto"/>
                                    <w:bottom w:val="none" w:sz="0" w:space="0" w:color="auto"/>
                                    <w:right w:val="none" w:sz="0" w:space="0" w:color="auto"/>
                                  </w:divBdr>
                                  <w:divsChild>
                                    <w:div w:id="100226859">
                                      <w:marLeft w:val="0"/>
                                      <w:marRight w:val="0"/>
                                      <w:marTop w:val="0"/>
                                      <w:marBottom w:val="0"/>
                                      <w:divBdr>
                                        <w:top w:val="none" w:sz="0" w:space="0" w:color="auto"/>
                                        <w:left w:val="none" w:sz="0" w:space="0" w:color="auto"/>
                                        <w:bottom w:val="none" w:sz="0" w:space="0" w:color="auto"/>
                                        <w:right w:val="none" w:sz="0" w:space="0" w:color="auto"/>
                                      </w:divBdr>
                                      <w:divsChild>
                                        <w:div w:id="884679486">
                                          <w:marLeft w:val="0"/>
                                          <w:marRight w:val="0"/>
                                          <w:marTop w:val="0"/>
                                          <w:marBottom w:val="0"/>
                                          <w:divBdr>
                                            <w:top w:val="none" w:sz="0" w:space="0" w:color="auto"/>
                                            <w:left w:val="none" w:sz="0" w:space="0" w:color="auto"/>
                                            <w:bottom w:val="none" w:sz="0" w:space="0" w:color="auto"/>
                                            <w:right w:val="none" w:sz="0" w:space="0" w:color="auto"/>
                                          </w:divBdr>
                                          <w:divsChild>
                                            <w:div w:id="3027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8206">
                                  <w:marLeft w:val="0"/>
                                  <w:marRight w:val="0"/>
                                  <w:marTop w:val="0"/>
                                  <w:marBottom w:val="0"/>
                                  <w:divBdr>
                                    <w:top w:val="none" w:sz="0" w:space="0" w:color="auto"/>
                                    <w:left w:val="none" w:sz="0" w:space="0" w:color="auto"/>
                                    <w:bottom w:val="none" w:sz="0" w:space="0" w:color="auto"/>
                                    <w:right w:val="none" w:sz="0" w:space="0" w:color="auto"/>
                                  </w:divBdr>
                                  <w:divsChild>
                                    <w:div w:id="677393571">
                                      <w:marLeft w:val="0"/>
                                      <w:marRight w:val="0"/>
                                      <w:marTop w:val="0"/>
                                      <w:marBottom w:val="0"/>
                                      <w:divBdr>
                                        <w:top w:val="none" w:sz="0" w:space="0" w:color="auto"/>
                                        <w:left w:val="none" w:sz="0" w:space="0" w:color="auto"/>
                                        <w:bottom w:val="none" w:sz="0" w:space="0" w:color="auto"/>
                                        <w:right w:val="none" w:sz="0" w:space="0" w:color="auto"/>
                                      </w:divBdr>
                                      <w:divsChild>
                                        <w:div w:id="807671791">
                                          <w:marLeft w:val="0"/>
                                          <w:marRight w:val="0"/>
                                          <w:marTop w:val="0"/>
                                          <w:marBottom w:val="0"/>
                                          <w:divBdr>
                                            <w:top w:val="none" w:sz="0" w:space="0" w:color="auto"/>
                                            <w:left w:val="none" w:sz="0" w:space="0" w:color="auto"/>
                                            <w:bottom w:val="none" w:sz="0" w:space="0" w:color="auto"/>
                                            <w:right w:val="none" w:sz="0" w:space="0" w:color="auto"/>
                                          </w:divBdr>
                                          <w:divsChild>
                                            <w:div w:id="1979147876">
                                              <w:marLeft w:val="0"/>
                                              <w:marRight w:val="0"/>
                                              <w:marTop w:val="0"/>
                                              <w:marBottom w:val="0"/>
                                              <w:divBdr>
                                                <w:top w:val="none" w:sz="0" w:space="0" w:color="auto"/>
                                                <w:left w:val="none" w:sz="0" w:space="0" w:color="auto"/>
                                                <w:bottom w:val="none" w:sz="0" w:space="0" w:color="auto"/>
                                                <w:right w:val="none" w:sz="0" w:space="0" w:color="auto"/>
                                              </w:divBdr>
                                              <w:divsChild>
                                                <w:div w:id="595558325">
                                                  <w:marLeft w:val="0"/>
                                                  <w:marRight w:val="0"/>
                                                  <w:marTop w:val="0"/>
                                                  <w:marBottom w:val="0"/>
                                                  <w:divBdr>
                                                    <w:top w:val="none" w:sz="0" w:space="0" w:color="auto"/>
                                                    <w:left w:val="none" w:sz="0" w:space="0" w:color="auto"/>
                                                    <w:bottom w:val="none" w:sz="0" w:space="0" w:color="auto"/>
                                                    <w:right w:val="none" w:sz="0" w:space="0" w:color="auto"/>
                                                  </w:divBdr>
                                                  <w:divsChild>
                                                    <w:div w:id="16525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064541">
      <w:bodyDiv w:val="1"/>
      <w:marLeft w:val="0"/>
      <w:marRight w:val="0"/>
      <w:marTop w:val="0"/>
      <w:marBottom w:val="0"/>
      <w:divBdr>
        <w:top w:val="none" w:sz="0" w:space="0" w:color="auto"/>
        <w:left w:val="none" w:sz="0" w:space="0" w:color="auto"/>
        <w:bottom w:val="none" w:sz="0" w:space="0" w:color="auto"/>
        <w:right w:val="none" w:sz="0" w:space="0" w:color="auto"/>
      </w:divBdr>
      <w:divsChild>
        <w:div w:id="1206452726">
          <w:marLeft w:val="0"/>
          <w:marRight w:val="0"/>
          <w:marTop w:val="0"/>
          <w:marBottom w:val="0"/>
          <w:divBdr>
            <w:top w:val="none" w:sz="0" w:space="0" w:color="auto"/>
            <w:left w:val="none" w:sz="0" w:space="0" w:color="auto"/>
            <w:bottom w:val="none" w:sz="0" w:space="0" w:color="auto"/>
            <w:right w:val="none" w:sz="0" w:space="0" w:color="auto"/>
          </w:divBdr>
          <w:divsChild>
            <w:div w:id="1666667468">
              <w:marLeft w:val="0"/>
              <w:marRight w:val="0"/>
              <w:marTop w:val="0"/>
              <w:marBottom w:val="0"/>
              <w:divBdr>
                <w:top w:val="none" w:sz="0" w:space="0" w:color="auto"/>
                <w:left w:val="none" w:sz="0" w:space="0" w:color="auto"/>
                <w:bottom w:val="none" w:sz="0" w:space="0" w:color="auto"/>
                <w:right w:val="none" w:sz="0" w:space="0" w:color="auto"/>
              </w:divBdr>
              <w:divsChild>
                <w:div w:id="361638964">
                  <w:marLeft w:val="0"/>
                  <w:marRight w:val="0"/>
                  <w:marTop w:val="0"/>
                  <w:marBottom w:val="0"/>
                  <w:divBdr>
                    <w:top w:val="none" w:sz="0" w:space="0" w:color="auto"/>
                    <w:left w:val="none" w:sz="0" w:space="0" w:color="auto"/>
                    <w:bottom w:val="none" w:sz="0" w:space="0" w:color="auto"/>
                    <w:right w:val="none" w:sz="0" w:space="0" w:color="auto"/>
                  </w:divBdr>
                  <w:divsChild>
                    <w:div w:id="762915233">
                      <w:marLeft w:val="0"/>
                      <w:marRight w:val="0"/>
                      <w:marTop w:val="0"/>
                      <w:marBottom w:val="0"/>
                      <w:divBdr>
                        <w:top w:val="none" w:sz="0" w:space="0" w:color="auto"/>
                        <w:left w:val="none" w:sz="0" w:space="0" w:color="auto"/>
                        <w:bottom w:val="none" w:sz="0" w:space="0" w:color="auto"/>
                        <w:right w:val="none" w:sz="0" w:space="0" w:color="auto"/>
                      </w:divBdr>
                      <w:divsChild>
                        <w:div w:id="70851453">
                          <w:marLeft w:val="0"/>
                          <w:marRight w:val="0"/>
                          <w:marTop w:val="0"/>
                          <w:marBottom w:val="0"/>
                          <w:divBdr>
                            <w:top w:val="none" w:sz="0" w:space="0" w:color="auto"/>
                            <w:left w:val="none" w:sz="0" w:space="0" w:color="auto"/>
                            <w:bottom w:val="none" w:sz="0" w:space="0" w:color="auto"/>
                            <w:right w:val="none" w:sz="0" w:space="0" w:color="auto"/>
                          </w:divBdr>
                          <w:divsChild>
                            <w:div w:id="998270706">
                              <w:marLeft w:val="0"/>
                              <w:marRight w:val="0"/>
                              <w:marTop w:val="0"/>
                              <w:marBottom w:val="0"/>
                              <w:divBdr>
                                <w:top w:val="none" w:sz="0" w:space="0" w:color="auto"/>
                                <w:left w:val="none" w:sz="0" w:space="0" w:color="auto"/>
                                <w:bottom w:val="single" w:sz="4" w:space="0" w:color="4F4F4F"/>
                                <w:right w:val="none" w:sz="0" w:space="0" w:color="auto"/>
                              </w:divBdr>
                              <w:divsChild>
                                <w:div w:id="1010568618">
                                  <w:marLeft w:val="0"/>
                                  <w:marRight w:val="0"/>
                                  <w:marTop w:val="0"/>
                                  <w:marBottom w:val="0"/>
                                  <w:divBdr>
                                    <w:top w:val="none" w:sz="0" w:space="0" w:color="auto"/>
                                    <w:left w:val="none" w:sz="0" w:space="0" w:color="auto"/>
                                    <w:bottom w:val="none" w:sz="0" w:space="0" w:color="auto"/>
                                    <w:right w:val="none" w:sz="0" w:space="0" w:color="auto"/>
                                  </w:divBdr>
                                  <w:divsChild>
                                    <w:div w:id="584608603">
                                      <w:marLeft w:val="0"/>
                                      <w:marRight w:val="0"/>
                                      <w:marTop w:val="0"/>
                                      <w:marBottom w:val="0"/>
                                      <w:divBdr>
                                        <w:top w:val="none" w:sz="0" w:space="0" w:color="auto"/>
                                        <w:left w:val="none" w:sz="0" w:space="0" w:color="auto"/>
                                        <w:bottom w:val="none" w:sz="0" w:space="0" w:color="auto"/>
                                        <w:right w:val="none" w:sz="0" w:space="0" w:color="auto"/>
                                      </w:divBdr>
                                      <w:divsChild>
                                        <w:div w:id="1429347748">
                                          <w:marLeft w:val="0"/>
                                          <w:marRight w:val="0"/>
                                          <w:marTop w:val="0"/>
                                          <w:marBottom w:val="0"/>
                                          <w:divBdr>
                                            <w:top w:val="none" w:sz="0" w:space="0" w:color="auto"/>
                                            <w:left w:val="none" w:sz="0" w:space="0" w:color="auto"/>
                                            <w:bottom w:val="none" w:sz="0" w:space="0" w:color="auto"/>
                                            <w:right w:val="none" w:sz="0" w:space="0" w:color="auto"/>
                                          </w:divBdr>
                                          <w:divsChild>
                                            <w:div w:id="19873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53539">
                                  <w:marLeft w:val="0"/>
                                  <w:marRight w:val="0"/>
                                  <w:marTop w:val="0"/>
                                  <w:marBottom w:val="0"/>
                                  <w:divBdr>
                                    <w:top w:val="none" w:sz="0" w:space="0" w:color="auto"/>
                                    <w:left w:val="none" w:sz="0" w:space="0" w:color="auto"/>
                                    <w:bottom w:val="none" w:sz="0" w:space="0" w:color="auto"/>
                                    <w:right w:val="none" w:sz="0" w:space="0" w:color="auto"/>
                                  </w:divBdr>
                                  <w:divsChild>
                                    <w:div w:id="2115663349">
                                      <w:marLeft w:val="0"/>
                                      <w:marRight w:val="0"/>
                                      <w:marTop w:val="0"/>
                                      <w:marBottom w:val="0"/>
                                      <w:divBdr>
                                        <w:top w:val="none" w:sz="0" w:space="0" w:color="auto"/>
                                        <w:left w:val="none" w:sz="0" w:space="0" w:color="auto"/>
                                        <w:bottom w:val="none" w:sz="0" w:space="0" w:color="auto"/>
                                        <w:right w:val="none" w:sz="0" w:space="0" w:color="auto"/>
                                      </w:divBdr>
                                      <w:divsChild>
                                        <w:div w:id="412700040">
                                          <w:marLeft w:val="0"/>
                                          <w:marRight w:val="0"/>
                                          <w:marTop w:val="0"/>
                                          <w:marBottom w:val="0"/>
                                          <w:divBdr>
                                            <w:top w:val="none" w:sz="0" w:space="0" w:color="auto"/>
                                            <w:left w:val="none" w:sz="0" w:space="0" w:color="auto"/>
                                            <w:bottom w:val="none" w:sz="0" w:space="0" w:color="auto"/>
                                            <w:right w:val="none" w:sz="0" w:space="0" w:color="auto"/>
                                          </w:divBdr>
                                          <w:divsChild>
                                            <w:div w:id="464934365">
                                              <w:marLeft w:val="0"/>
                                              <w:marRight w:val="0"/>
                                              <w:marTop w:val="0"/>
                                              <w:marBottom w:val="0"/>
                                              <w:divBdr>
                                                <w:top w:val="none" w:sz="0" w:space="0" w:color="auto"/>
                                                <w:left w:val="none" w:sz="0" w:space="0" w:color="auto"/>
                                                <w:bottom w:val="none" w:sz="0" w:space="0" w:color="auto"/>
                                                <w:right w:val="none" w:sz="0" w:space="0" w:color="auto"/>
                                              </w:divBdr>
                                              <w:divsChild>
                                                <w:div w:id="1538162204">
                                                  <w:marLeft w:val="0"/>
                                                  <w:marRight w:val="0"/>
                                                  <w:marTop w:val="0"/>
                                                  <w:marBottom w:val="0"/>
                                                  <w:divBdr>
                                                    <w:top w:val="none" w:sz="0" w:space="0" w:color="auto"/>
                                                    <w:left w:val="none" w:sz="0" w:space="0" w:color="auto"/>
                                                    <w:bottom w:val="none" w:sz="0" w:space="0" w:color="auto"/>
                                                    <w:right w:val="none" w:sz="0" w:space="0" w:color="auto"/>
                                                  </w:divBdr>
                                                  <w:divsChild>
                                                    <w:div w:id="13350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710863">
      <w:bodyDiv w:val="1"/>
      <w:marLeft w:val="0"/>
      <w:marRight w:val="0"/>
      <w:marTop w:val="0"/>
      <w:marBottom w:val="0"/>
      <w:divBdr>
        <w:top w:val="none" w:sz="0" w:space="0" w:color="auto"/>
        <w:left w:val="none" w:sz="0" w:space="0" w:color="auto"/>
        <w:bottom w:val="none" w:sz="0" w:space="0" w:color="auto"/>
        <w:right w:val="none" w:sz="0" w:space="0" w:color="auto"/>
      </w:divBdr>
      <w:divsChild>
        <w:div w:id="1317607198">
          <w:marLeft w:val="0"/>
          <w:marRight w:val="0"/>
          <w:marTop w:val="0"/>
          <w:marBottom w:val="0"/>
          <w:divBdr>
            <w:top w:val="none" w:sz="0" w:space="0" w:color="auto"/>
            <w:left w:val="none" w:sz="0" w:space="0" w:color="auto"/>
            <w:bottom w:val="none" w:sz="0" w:space="0" w:color="auto"/>
            <w:right w:val="none" w:sz="0" w:space="0" w:color="auto"/>
          </w:divBdr>
          <w:divsChild>
            <w:div w:id="1860316792">
              <w:marLeft w:val="0"/>
              <w:marRight w:val="0"/>
              <w:marTop w:val="0"/>
              <w:marBottom w:val="0"/>
              <w:divBdr>
                <w:top w:val="none" w:sz="0" w:space="0" w:color="auto"/>
                <w:left w:val="none" w:sz="0" w:space="0" w:color="auto"/>
                <w:bottom w:val="none" w:sz="0" w:space="0" w:color="auto"/>
                <w:right w:val="none" w:sz="0" w:space="0" w:color="auto"/>
              </w:divBdr>
              <w:divsChild>
                <w:div w:id="1282146624">
                  <w:marLeft w:val="0"/>
                  <w:marRight w:val="0"/>
                  <w:marTop w:val="0"/>
                  <w:marBottom w:val="0"/>
                  <w:divBdr>
                    <w:top w:val="none" w:sz="0" w:space="0" w:color="auto"/>
                    <w:left w:val="none" w:sz="0" w:space="0" w:color="auto"/>
                    <w:bottom w:val="none" w:sz="0" w:space="0" w:color="auto"/>
                    <w:right w:val="none" w:sz="0" w:space="0" w:color="auto"/>
                  </w:divBdr>
                  <w:divsChild>
                    <w:div w:id="1389039449">
                      <w:marLeft w:val="0"/>
                      <w:marRight w:val="0"/>
                      <w:marTop w:val="0"/>
                      <w:marBottom w:val="0"/>
                      <w:divBdr>
                        <w:top w:val="none" w:sz="0" w:space="0" w:color="auto"/>
                        <w:left w:val="none" w:sz="0" w:space="0" w:color="auto"/>
                        <w:bottom w:val="none" w:sz="0" w:space="0" w:color="auto"/>
                        <w:right w:val="none" w:sz="0" w:space="0" w:color="auto"/>
                      </w:divBdr>
                      <w:divsChild>
                        <w:div w:id="891305967">
                          <w:marLeft w:val="0"/>
                          <w:marRight w:val="0"/>
                          <w:marTop w:val="0"/>
                          <w:marBottom w:val="0"/>
                          <w:divBdr>
                            <w:top w:val="none" w:sz="0" w:space="0" w:color="auto"/>
                            <w:left w:val="none" w:sz="0" w:space="0" w:color="auto"/>
                            <w:bottom w:val="none" w:sz="0" w:space="0" w:color="auto"/>
                            <w:right w:val="none" w:sz="0" w:space="0" w:color="auto"/>
                          </w:divBdr>
                          <w:divsChild>
                            <w:div w:id="536435369">
                              <w:marLeft w:val="0"/>
                              <w:marRight w:val="0"/>
                              <w:marTop w:val="0"/>
                              <w:marBottom w:val="0"/>
                              <w:divBdr>
                                <w:top w:val="none" w:sz="0" w:space="0" w:color="auto"/>
                                <w:left w:val="none" w:sz="0" w:space="0" w:color="auto"/>
                                <w:bottom w:val="single" w:sz="4" w:space="0" w:color="4F4F4F"/>
                                <w:right w:val="none" w:sz="0" w:space="0" w:color="auto"/>
                              </w:divBdr>
                              <w:divsChild>
                                <w:div w:id="817384393">
                                  <w:marLeft w:val="0"/>
                                  <w:marRight w:val="0"/>
                                  <w:marTop w:val="0"/>
                                  <w:marBottom w:val="0"/>
                                  <w:divBdr>
                                    <w:top w:val="none" w:sz="0" w:space="0" w:color="auto"/>
                                    <w:left w:val="none" w:sz="0" w:space="0" w:color="auto"/>
                                    <w:bottom w:val="none" w:sz="0" w:space="0" w:color="auto"/>
                                    <w:right w:val="none" w:sz="0" w:space="0" w:color="auto"/>
                                  </w:divBdr>
                                  <w:divsChild>
                                    <w:div w:id="469131809">
                                      <w:marLeft w:val="0"/>
                                      <w:marRight w:val="0"/>
                                      <w:marTop w:val="0"/>
                                      <w:marBottom w:val="0"/>
                                      <w:divBdr>
                                        <w:top w:val="none" w:sz="0" w:space="0" w:color="auto"/>
                                        <w:left w:val="none" w:sz="0" w:space="0" w:color="auto"/>
                                        <w:bottom w:val="none" w:sz="0" w:space="0" w:color="auto"/>
                                        <w:right w:val="none" w:sz="0" w:space="0" w:color="auto"/>
                                      </w:divBdr>
                                      <w:divsChild>
                                        <w:div w:id="192039128">
                                          <w:marLeft w:val="0"/>
                                          <w:marRight w:val="0"/>
                                          <w:marTop w:val="0"/>
                                          <w:marBottom w:val="0"/>
                                          <w:divBdr>
                                            <w:top w:val="none" w:sz="0" w:space="0" w:color="auto"/>
                                            <w:left w:val="none" w:sz="0" w:space="0" w:color="auto"/>
                                            <w:bottom w:val="none" w:sz="0" w:space="0" w:color="auto"/>
                                            <w:right w:val="none" w:sz="0" w:space="0" w:color="auto"/>
                                          </w:divBdr>
                                          <w:divsChild>
                                            <w:div w:id="602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2205">
                                  <w:marLeft w:val="0"/>
                                  <w:marRight w:val="0"/>
                                  <w:marTop w:val="0"/>
                                  <w:marBottom w:val="0"/>
                                  <w:divBdr>
                                    <w:top w:val="none" w:sz="0" w:space="0" w:color="auto"/>
                                    <w:left w:val="none" w:sz="0" w:space="0" w:color="auto"/>
                                    <w:bottom w:val="none" w:sz="0" w:space="0" w:color="auto"/>
                                    <w:right w:val="none" w:sz="0" w:space="0" w:color="auto"/>
                                  </w:divBdr>
                                  <w:divsChild>
                                    <w:div w:id="1606615769">
                                      <w:marLeft w:val="0"/>
                                      <w:marRight w:val="0"/>
                                      <w:marTop w:val="0"/>
                                      <w:marBottom w:val="0"/>
                                      <w:divBdr>
                                        <w:top w:val="none" w:sz="0" w:space="0" w:color="auto"/>
                                        <w:left w:val="none" w:sz="0" w:space="0" w:color="auto"/>
                                        <w:bottom w:val="none" w:sz="0" w:space="0" w:color="auto"/>
                                        <w:right w:val="none" w:sz="0" w:space="0" w:color="auto"/>
                                      </w:divBdr>
                                      <w:divsChild>
                                        <w:div w:id="1683045362">
                                          <w:marLeft w:val="0"/>
                                          <w:marRight w:val="0"/>
                                          <w:marTop w:val="0"/>
                                          <w:marBottom w:val="0"/>
                                          <w:divBdr>
                                            <w:top w:val="none" w:sz="0" w:space="0" w:color="auto"/>
                                            <w:left w:val="none" w:sz="0" w:space="0" w:color="auto"/>
                                            <w:bottom w:val="none" w:sz="0" w:space="0" w:color="auto"/>
                                            <w:right w:val="none" w:sz="0" w:space="0" w:color="auto"/>
                                          </w:divBdr>
                                          <w:divsChild>
                                            <w:div w:id="1043363210">
                                              <w:marLeft w:val="0"/>
                                              <w:marRight w:val="0"/>
                                              <w:marTop w:val="0"/>
                                              <w:marBottom w:val="0"/>
                                              <w:divBdr>
                                                <w:top w:val="none" w:sz="0" w:space="0" w:color="auto"/>
                                                <w:left w:val="none" w:sz="0" w:space="0" w:color="auto"/>
                                                <w:bottom w:val="none" w:sz="0" w:space="0" w:color="auto"/>
                                                <w:right w:val="none" w:sz="0" w:space="0" w:color="auto"/>
                                              </w:divBdr>
                                              <w:divsChild>
                                                <w:div w:id="1990749600">
                                                  <w:marLeft w:val="0"/>
                                                  <w:marRight w:val="0"/>
                                                  <w:marTop w:val="0"/>
                                                  <w:marBottom w:val="0"/>
                                                  <w:divBdr>
                                                    <w:top w:val="none" w:sz="0" w:space="0" w:color="auto"/>
                                                    <w:left w:val="none" w:sz="0" w:space="0" w:color="auto"/>
                                                    <w:bottom w:val="none" w:sz="0" w:space="0" w:color="auto"/>
                                                    <w:right w:val="none" w:sz="0" w:space="0" w:color="auto"/>
                                                  </w:divBdr>
                                                  <w:divsChild>
                                                    <w:div w:id="20516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202041">
      <w:bodyDiv w:val="1"/>
      <w:marLeft w:val="0"/>
      <w:marRight w:val="0"/>
      <w:marTop w:val="0"/>
      <w:marBottom w:val="0"/>
      <w:divBdr>
        <w:top w:val="none" w:sz="0" w:space="0" w:color="auto"/>
        <w:left w:val="none" w:sz="0" w:space="0" w:color="auto"/>
        <w:bottom w:val="none" w:sz="0" w:space="0" w:color="auto"/>
        <w:right w:val="none" w:sz="0" w:space="0" w:color="auto"/>
      </w:divBdr>
    </w:div>
    <w:div w:id="1672028565">
      <w:bodyDiv w:val="1"/>
      <w:marLeft w:val="0"/>
      <w:marRight w:val="0"/>
      <w:marTop w:val="0"/>
      <w:marBottom w:val="0"/>
      <w:divBdr>
        <w:top w:val="none" w:sz="0" w:space="0" w:color="auto"/>
        <w:left w:val="none" w:sz="0" w:space="0" w:color="auto"/>
        <w:bottom w:val="none" w:sz="0" w:space="0" w:color="auto"/>
        <w:right w:val="none" w:sz="0" w:space="0" w:color="auto"/>
      </w:divBdr>
    </w:div>
    <w:div w:id="1709529930">
      <w:bodyDiv w:val="1"/>
      <w:marLeft w:val="0"/>
      <w:marRight w:val="0"/>
      <w:marTop w:val="0"/>
      <w:marBottom w:val="0"/>
      <w:divBdr>
        <w:top w:val="none" w:sz="0" w:space="0" w:color="auto"/>
        <w:left w:val="none" w:sz="0" w:space="0" w:color="auto"/>
        <w:bottom w:val="none" w:sz="0" w:space="0" w:color="auto"/>
        <w:right w:val="none" w:sz="0" w:space="0" w:color="auto"/>
      </w:divBdr>
      <w:divsChild>
        <w:div w:id="126582235">
          <w:marLeft w:val="0"/>
          <w:marRight w:val="0"/>
          <w:marTop w:val="0"/>
          <w:marBottom w:val="0"/>
          <w:divBdr>
            <w:top w:val="none" w:sz="0" w:space="0" w:color="auto"/>
            <w:left w:val="none" w:sz="0" w:space="0" w:color="auto"/>
            <w:bottom w:val="none" w:sz="0" w:space="0" w:color="auto"/>
            <w:right w:val="none" w:sz="0" w:space="0" w:color="auto"/>
          </w:divBdr>
          <w:divsChild>
            <w:div w:id="1489443889">
              <w:marLeft w:val="0"/>
              <w:marRight w:val="0"/>
              <w:marTop w:val="0"/>
              <w:marBottom w:val="0"/>
              <w:divBdr>
                <w:top w:val="none" w:sz="0" w:space="0" w:color="auto"/>
                <w:left w:val="none" w:sz="0" w:space="0" w:color="auto"/>
                <w:bottom w:val="none" w:sz="0" w:space="0" w:color="auto"/>
                <w:right w:val="none" w:sz="0" w:space="0" w:color="auto"/>
              </w:divBdr>
              <w:divsChild>
                <w:div w:id="1857890699">
                  <w:marLeft w:val="0"/>
                  <w:marRight w:val="0"/>
                  <w:marTop w:val="0"/>
                  <w:marBottom w:val="0"/>
                  <w:divBdr>
                    <w:top w:val="none" w:sz="0" w:space="0" w:color="auto"/>
                    <w:left w:val="none" w:sz="0" w:space="0" w:color="auto"/>
                    <w:bottom w:val="none" w:sz="0" w:space="0" w:color="auto"/>
                    <w:right w:val="none" w:sz="0" w:space="0" w:color="auto"/>
                  </w:divBdr>
                  <w:divsChild>
                    <w:div w:id="1219706086">
                      <w:marLeft w:val="0"/>
                      <w:marRight w:val="0"/>
                      <w:marTop w:val="0"/>
                      <w:marBottom w:val="0"/>
                      <w:divBdr>
                        <w:top w:val="none" w:sz="0" w:space="0" w:color="auto"/>
                        <w:left w:val="none" w:sz="0" w:space="0" w:color="auto"/>
                        <w:bottom w:val="none" w:sz="0" w:space="0" w:color="auto"/>
                        <w:right w:val="none" w:sz="0" w:space="0" w:color="auto"/>
                      </w:divBdr>
                      <w:divsChild>
                        <w:div w:id="654264207">
                          <w:marLeft w:val="0"/>
                          <w:marRight w:val="0"/>
                          <w:marTop w:val="0"/>
                          <w:marBottom w:val="0"/>
                          <w:divBdr>
                            <w:top w:val="none" w:sz="0" w:space="0" w:color="auto"/>
                            <w:left w:val="none" w:sz="0" w:space="0" w:color="auto"/>
                            <w:bottom w:val="none" w:sz="0" w:space="0" w:color="auto"/>
                            <w:right w:val="none" w:sz="0" w:space="0" w:color="auto"/>
                          </w:divBdr>
                          <w:divsChild>
                            <w:div w:id="2120493276">
                              <w:marLeft w:val="0"/>
                              <w:marRight w:val="0"/>
                              <w:marTop w:val="0"/>
                              <w:marBottom w:val="0"/>
                              <w:divBdr>
                                <w:top w:val="none" w:sz="0" w:space="0" w:color="auto"/>
                                <w:left w:val="none" w:sz="0" w:space="0" w:color="auto"/>
                                <w:bottom w:val="single" w:sz="4" w:space="0" w:color="4F4F4F"/>
                                <w:right w:val="none" w:sz="0" w:space="0" w:color="auto"/>
                              </w:divBdr>
                              <w:divsChild>
                                <w:div w:id="971902105">
                                  <w:marLeft w:val="0"/>
                                  <w:marRight w:val="0"/>
                                  <w:marTop w:val="0"/>
                                  <w:marBottom w:val="0"/>
                                  <w:divBdr>
                                    <w:top w:val="none" w:sz="0" w:space="0" w:color="auto"/>
                                    <w:left w:val="none" w:sz="0" w:space="0" w:color="auto"/>
                                    <w:bottom w:val="none" w:sz="0" w:space="0" w:color="auto"/>
                                    <w:right w:val="none" w:sz="0" w:space="0" w:color="auto"/>
                                  </w:divBdr>
                                  <w:divsChild>
                                    <w:div w:id="1487474720">
                                      <w:marLeft w:val="0"/>
                                      <w:marRight w:val="0"/>
                                      <w:marTop w:val="0"/>
                                      <w:marBottom w:val="0"/>
                                      <w:divBdr>
                                        <w:top w:val="none" w:sz="0" w:space="0" w:color="auto"/>
                                        <w:left w:val="none" w:sz="0" w:space="0" w:color="auto"/>
                                        <w:bottom w:val="none" w:sz="0" w:space="0" w:color="auto"/>
                                        <w:right w:val="none" w:sz="0" w:space="0" w:color="auto"/>
                                      </w:divBdr>
                                      <w:divsChild>
                                        <w:div w:id="225262542">
                                          <w:marLeft w:val="0"/>
                                          <w:marRight w:val="0"/>
                                          <w:marTop w:val="0"/>
                                          <w:marBottom w:val="0"/>
                                          <w:divBdr>
                                            <w:top w:val="none" w:sz="0" w:space="0" w:color="auto"/>
                                            <w:left w:val="none" w:sz="0" w:space="0" w:color="auto"/>
                                            <w:bottom w:val="none" w:sz="0" w:space="0" w:color="auto"/>
                                            <w:right w:val="none" w:sz="0" w:space="0" w:color="auto"/>
                                          </w:divBdr>
                                          <w:divsChild>
                                            <w:div w:id="19345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333">
                                  <w:marLeft w:val="0"/>
                                  <w:marRight w:val="0"/>
                                  <w:marTop w:val="0"/>
                                  <w:marBottom w:val="0"/>
                                  <w:divBdr>
                                    <w:top w:val="none" w:sz="0" w:space="0" w:color="auto"/>
                                    <w:left w:val="none" w:sz="0" w:space="0" w:color="auto"/>
                                    <w:bottom w:val="none" w:sz="0" w:space="0" w:color="auto"/>
                                    <w:right w:val="none" w:sz="0" w:space="0" w:color="auto"/>
                                  </w:divBdr>
                                  <w:divsChild>
                                    <w:div w:id="2039966376">
                                      <w:marLeft w:val="0"/>
                                      <w:marRight w:val="0"/>
                                      <w:marTop w:val="0"/>
                                      <w:marBottom w:val="0"/>
                                      <w:divBdr>
                                        <w:top w:val="none" w:sz="0" w:space="0" w:color="auto"/>
                                        <w:left w:val="none" w:sz="0" w:space="0" w:color="auto"/>
                                        <w:bottom w:val="none" w:sz="0" w:space="0" w:color="auto"/>
                                        <w:right w:val="none" w:sz="0" w:space="0" w:color="auto"/>
                                      </w:divBdr>
                                      <w:divsChild>
                                        <w:div w:id="290793041">
                                          <w:marLeft w:val="0"/>
                                          <w:marRight w:val="0"/>
                                          <w:marTop w:val="0"/>
                                          <w:marBottom w:val="0"/>
                                          <w:divBdr>
                                            <w:top w:val="none" w:sz="0" w:space="0" w:color="auto"/>
                                            <w:left w:val="none" w:sz="0" w:space="0" w:color="auto"/>
                                            <w:bottom w:val="none" w:sz="0" w:space="0" w:color="auto"/>
                                            <w:right w:val="none" w:sz="0" w:space="0" w:color="auto"/>
                                          </w:divBdr>
                                          <w:divsChild>
                                            <w:div w:id="1591354017">
                                              <w:marLeft w:val="0"/>
                                              <w:marRight w:val="0"/>
                                              <w:marTop w:val="0"/>
                                              <w:marBottom w:val="0"/>
                                              <w:divBdr>
                                                <w:top w:val="none" w:sz="0" w:space="0" w:color="auto"/>
                                                <w:left w:val="none" w:sz="0" w:space="0" w:color="auto"/>
                                                <w:bottom w:val="none" w:sz="0" w:space="0" w:color="auto"/>
                                                <w:right w:val="none" w:sz="0" w:space="0" w:color="auto"/>
                                              </w:divBdr>
                                              <w:divsChild>
                                                <w:div w:id="566191914">
                                                  <w:marLeft w:val="0"/>
                                                  <w:marRight w:val="0"/>
                                                  <w:marTop w:val="0"/>
                                                  <w:marBottom w:val="0"/>
                                                  <w:divBdr>
                                                    <w:top w:val="none" w:sz="0" w:space="0" w:color="auto"/>
                                                    <w:left w:val="none" w:sz="0" w:space="0" w:color="auto"/>
                                                    <w:bottom w:val="none" w:sz="0" w:space="0" w:color="auto"/>
                                                    <w:right w:val="none" w:sz="0" w:space="0" w:color="auto"/>
                                                  </w:divBdr>
                                                  <w:divsChild>
                                                    <w:div w:id="13955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6319563">
      <w:bodyDiv w:val="1"/>
      <w:marLeft w:val="0"/>
      <w:marRight w:val="0"/>
      <w:marTop w:val="0"/>
      <w:marBottom w:val="0"/>
      <w:divBdr>
        <w:top w:val="none" w:sz="0" w:space="0" w:color="auto"/>
        <w:left w:val="none" w:sz="0" w:space="0" w:color="auto"/>
        <w:bottom w:val="none" w:sz="0" w:space="0" w:color="auto"/>
        <w:right w:val="none" w:sz="0" w:space="0" w:color="auto"/>
      </w:divBdr>
    </w:div>
    <w:div w:id="1888949120">
      <w:bodyDiv w:val="1"/>
      <w:marLeft w:val="0"/>
      <w:marRight w:val="0"/>
      <w:marTop w:val="0"/>
      <w:marBottom w:val="0"/>
      <w:divBdr>
        <w:top w:val="none" w:sz="0" w:space="0" w:color="auto"/>
        <w:left w:val="none" w:sz="0" w:space="0" w:color="auto"/>
        <w:bottom w:val="none" w:sz="0" w:space="0" w:color="auto"/>
        <w:right w:val="none" w:sz="0" w:space="0" w:color="auto"/>
      </w:divBdr>
    </w:div>
    <w:div w:id="2062097457">
      <w:bodyDiv w:val="1"/>
      <w:marLeft w:val="0"/>
      <w:marRight w:val="0"/>
      <w:marTop w:val="0"/>
      <w:marBottom w:val="0"/>
      <w:divBdr>
        <w:top w:val="none" w:sz="0" w:space="0" w:color="auto"/>
        <w:left w:val="none" w:sz="0" w:space="0" w:color="auto"/>
        <w:bottom w:val="none" w:sz="0" w:space="0" w:color="auto"/>
        <w:right w:val="none" w:sz="0" w:space="0" w:color="auto"/>
      </w:divBdr>
      <w:divsChild>
        <w:div w:id="1797605721">
          <w:marLeft w:val="0"/>
          <w:marRight w:val="0"/>
          <w:marTop w:val="0"/>
          <w:marBottom w:val="0"/>
          <w:divBdr>
            <w:top w:val="none" w:sz="0" w:space="0" w:color="auto"/>
            <w:left w:val="none" w:sz="0" w:space="0" w:color="auto"/>
            <w:bottom w:val="none" w:sz="0" w:space="0" w:color="auto"/>
            <w:right w:val="none" w:sz="0" w:space="0" w:color="auto"/>
          </w:divBdr>
          <w:divsChild>
            <w:div w:id="1729646874">
              <w:marLeft w:val="0"/>
              <w:marRight w:val="0"/>
              <w:marTop w:val="0"/>
              <w:marBottom w:val="0"/>
              <w:divBdr>
                <w:top w:val="none" w:sz="0" w:space="0" w:color="auto"/>
                <w:left w:val="none" w:sz="0" w:space="0" w:color="auto"/>
                <w:bottom w:val="none" w:sz="0" w:space="0" w:color="auto"/>
                <w:right w:val="none" w:sz="0" w:space="0" w:color="auto"/>
              </w:divBdr>
              <w:divsChild>
                <w:div w:id="958953513">
                  <w:marLeft w:val="0"/>
                  <w:marRight w:val="0"/>
                  <w:marTop w:val="0"/>
                  <w:marBottom w:val="0"/>
                  <w:divBdr>
                    <w:top w:val="none" w:sz="0" w:space="0" w:color="auto"/>
                    <w:left w:val="none" w:sz="0" w:space="0" w:color="auto"/>
                    <w:bottom w:val="none" w:sz="0" w:space="0" w:color="auto"/>
                    <w:right w:val="none" w:sz="0" w:space="0" w:color="auto"/>
                  </w:divBdr>
                  <w:divsChild>
                    <w:div w:id="717359620">
                      <w:marLeft w:val="0"/>
                      <w:marRight w:val="0"/>
                      <w:marTop w:val="0"/>
                      <w:marBottom w:val="0"/>
                      <w:divBdr>
                        <w:top w:val="none" w:sz="0" w:space="0" w:color="auto"/>
                        <w:left w:val="none" w:sz="0" w:space="0" w:color="auto"/>
                        <w:bottom w:val="none" w:sz="0" w:space="0" w:color="auto"/>
                        <w:right w:val="none" w:sz="0" w:space="0" w:color="auto"/>
                      </w:divBdr>
                      <w:divsChild>
                        <w:div w:id="768936154">
                          <w:marLeft w:val="0"/>
                          <w:marRight w:val="0"/>
                          <w:marTop w:val="0"/>
                          <w:marBottom w:val="0"/>
                          <w:divBdr>
                            <w:top w:val="none" w:sz="0" w:space="0" w:color="auto"/>
                            <w:left w:val="none" w:sz="0" w:space="0" w:color="auto"/>
                            <w:bottom w:val="none" w:sz="0" w:space="0" w:color="auto"/>
                            <w:right w:val="none" w:sz="0" w:space="0" w:color="auto"/>
                          </w:divBdr>
                          <w:divsChild>
                            <w:div w:id="1299647130">
                              <w:marLeft w:val="0"/>
                              <w:marRight w:val="0"/>
                              <w:marTop w:val="0"/>
                              <w:marBottom w:val="0"/>
                              <w:divBdr>
                                <w:top w:val="none" w:sz="0" w:space="0" w:color="auto"/>
                                <w:left w:val="none" w:sz="0" w:space="0" w:color="auto"/>
                                <w:bottom w:val="single" w:sz="4" w:space="0" w:color="4F4F4F"/>
                                <w:right w:val="none" w:sz="0" w:space="0" w:color="auto"/>
                              </w:divBdr>
                              <w:divsChild>
                                <w:div w:id="2060008125">
                                  <w:marLeft w:val="0"/>
                                  <w:marRight w:val="0"/>
                                  <w:marTop w:val="0"/>
                                  <w:marBottom w:val="0"/>
                                  <w:divBdr>
                                    <w:top w:val="none" w:sz="0" w:space="0" w:color="auto"/>
                                    <w:left w:val="none" w:sz="0" w:space="0" w:color="auto"/>
                                    <w:bottom w:val="none" w:sz="0" w:space="0" w:color="auto"/>
                                    <w:right w:val="none" w:sz="0" w:space="0" w:color="auto"/>
                                  </w:divBdr>
                                  <w:divsChild>
                                    <w:div w:id="817722626">
                                      <w:marLeft w:val="0"/>
                                      <w:marRight w:val="0"/>
                                      <w:marTop w:val="0"/>
                                      <w:marBottom w:val="0"/>
                                      <w:divBdr>
                                        <w:top w:val="none" w:sz="0" w:space="0" w:color="auto"/>
                                        <w:left w:val="none" w:sz="0" w:space="0" w:color="auto"/>
                                        <w:bottom w:val="none" w:sz="0" w:space="0" w:color="auto"/>
                                        <w:right w:val="none" w:sz="0" w:space="0" w:color="auto"/>
                                      </w:divBdr>
                                      <w:divsChild>
                                        <w:div w:id="1008026840">
                                          <w:marLeft w:val="0"/>
                                          <w:marRight w:val="0"/>
                                          <w:marTop w:val="0"/>
                                          <w:marBottom w:val="0"/>
                                          <w:divBdr>
                                            <w:top w:val="none" w:sz="0" w:space="0" w:color="auto"/>
                                            <w:left w:val="none" w:sz="0" w:space="0" w:color="auto"/>
                                            <w:bottom w:val="none" w:sz="0" w:space="0" w:color="auto"/>
                                            <w:right w:val="none" w:sz="0" w:space="0" w:color="auto"/>
                                          </w:divBdr>
                                          <w:divsChild>
                                            <w:div w:id="16580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10914">
                                  <w:marLeft w:val="0"/>
                                  <w:marRight w:val="0"/>
                                  <w:marTop w:val="0"/>
                                  <w:marBottom w:val="0"/>
                                  <w:divBdr>
                                    <w:top w:val="none" w:sz="0" w:space="0" w:color="auto"/>
                                    <w:left w:val="none" w:sz="0" w:space="0" w:color="auto"/>
                                    <w:bottom w:val="none" w:sz="0" w:space="0" w:color="auto"/>
                                    <w:right w:val="none" w:sz="0" w:space="0" w:color="auto"/>
                                  </w:divBdr>
                                  <w:divsChild>
                                    <w:div w:id="478958074">
                                      <w:marLeft w:val="0"/>
                                      <w:marRight w:val="0"/>
                                      <w:marTop w:val="0"/>
                                      <w:marBottom w:val="0"/>
                                      <w:divBdr>
                                        <w:top w:val="none" w:sz="0" w:space="0" w:color="auto"/>
                                        <w:left w:val="none" w:sz="0" w:space="0" w:color="auto"/>
                                        <w:bottom w:val="none" w:sz="0" w:space="0" w:color="auto"/>
                                        <w:right w:val="none" w:sz="0" w:space="0" w:color="auto"/>
                                      </w:divBdr>
                                      <w:divsChild>
                                        <w:div w:id="1393388572">
                                          <w:marLeft w:val="0"/>
                                          <w:marRight w:val="0"/>
                                          <w:marTop w:val="0"/>
                                          <w:marBottom w:val="0"/>
                                          <w:divBdr>
                                            <w:top w:val="none" w:sz="0" w:space="0" w:color="auto"/>
                                            <w:left w:val="none" w:sz="0" w:space="0" w:color="auto"/>
                                            <w:bottom w:val="none" w:sz="0" w:space="0" w:color="auto"/>
                                            <w:right w:val="none" w:sz="0" w:space="0" w:color="auto"/>
                                          </w:divBdr>
                                          <w:divsChild>
                                            <w:div w:id="1283269483">
                                              <w:marLeft w:val="0"/>
                                              <w:marRight w:val="0"/>
                                              <w:marTop w:val="0"/>
                                              <w:marBottom w:val="0"/>
                                              <w:divBdr>
                                                <w:top w:val="none" w:sz="0" w:space="0" w:color="auto"/>
                                                <w:left w:val="none" w:sz="0" w:space="0" w:color="auto"/>
                                                <w:bottom w:val="none" w:sz="0" w:space="0" w:color="auto"/>
                                                <w:right w:val="none" w:sz="0" w:space="0" w:color="auto"/>
                                              </w:divBdr>
                                              <w:divsChild>
                                                <w:div w:id="1382629439">
                                                  <w:marLeft w:val="0"/>
                                                  <w:marRight w:val="0"/>
                                                  <w:marTop w:val="0"/>
                                                  <w:marBottom w:val="0"/>
                                                  <w:divBdr>
                                                    <w:top w:val="none" w:sz="0" w:space="0" w:color="auto"/>
                                                    <w:left w:val="none" w:sz="0" w:space="0" w:color="auto"/>
                                                    <w:bottom w:val="none" w:sz="0" w:space="0" w:color="auto"/>
                                                    <w:right w:val="none" w:sz="0" w:space="0" w:color="auto"/>
                                                  </w:divBdr>
                                                  <w:divsChild>
                                                    <w:div w:id="18529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752527">
      <w:bodyDiv w:val="1"/>
      <w:marLeft w:val="0"/>
      <w:marRight w:val="0"/>
      <w:marTop w:val="0"/>
      <w:marBottom w:val="0"/>
      <w:divBdr>
        <w:top w:val="none" w:sz="0" w:space="0" w:color="auto"/>
        <w:left w:val="none" w:sz="0" w:space="0" w:color="auto"/>
        <w:bottom w:val="none" w:sz="0" w:space="0" w:color="auto"/>
        <w:right w:val="none" w:sz="0" w:space="0" w:color="auto"/>
      </w:divBdr>
    </w:div>
    <w:div w:id="2078434392">
      <w:bodyDiv w:val="1"/>
      <w:marLeft w:val="0"/>
      <w:marRight w:val="0"/>
      <w:marTop w:val="0"/>
      <w:marBottom w:val="0"/>
      <w:divBdr>
        <w:top w:val="none" w:sz="0" w:space="0" w:color="auto"/>
        <w:left w:val="none" w:sz="0" w:space="0" w:color="auto"/>
        <w:bottom w:val="none" w:sz="0" w:space="0" w:color="auto"/>
        <w:right w:val="none" w:sz="0" w:space="0" w:color="auto"/>
      </w:divBdr>
      <w:divsChild>
        <w:div w:id="1644696336">
          <w:marLeft w:val="0"/>
          <w:marRight w:val="0"/>
          <w:marTop w:val="0"/>
          <w:marBottom w:val="0"/>
          <w:divBdr>
            <w:top w:val="none" w:sz="0" w:space="0" w:color="auto"/>
            <w:left w:val="none" w:sz="0" w:space="0" w:color="auto"/>
            <w:bottom w:val="none" w:sz="0" w:space="0" w:color="auto"/>
            <w:right w:val="none" w:sz="0" w:space="0" w:color="auto"/>
          </w:divBdr>
          <w:divsChild>
            <w:div w:id="947010336">
              <w:marLeft w:val="0"/>
              <w:marRight w:val="0"/>
              <w:marTop w:val="0"/>
              <w:marBottom w:val="0"/>
              <w:divBdr>
                <w:top w:val="none" w:sz="0" w:space="0" w:color="auto"/>
                <w:left w:val="none" w:sz="0" w:space="0" w:color="auto"/>
                <w:bottom w:val="none" w:sz="0" w:space="0" w:color="auto"/>
                <w:right w:val="none" w:sz="0" w:space="0" w:color="auto"/>
              </w:divBdr>
              <w:divsChild>
                <w:div w:id="804665870">
                  <w:marLeft w:val="0"/>
                  <w:marRight w:val="0"/>
                  <w:marTop w:val="0"/>
                  <w:marBottom w:val="0"/>
                  <w:divBdr>
                    <w:top w:val="none" w:sz="0" w:space="0" w:color="auto"/>
                    <w:left w:val="none" w:sz="0" w:space="0" w:color="auto"/>
                    <w:bottom w:val="none" w:sz="0" w:space="0" w:color="auto"/>
                    <w:right w:val="none" w:sz="0" w:space="0" w:color="auto"/>
                  </w:divBdr>
                  <w:divsChild>
                    <w:div w:id="903878222">
                      <w:marLeft w:val="0"/>
                      <w:marRight w:val="0"/>
                      <w:marTop w:val="0"/>
                      <w:marBottom w:val="0"/>
                      <w:divBdr>
                        <w:top w:val="none" w:sz="0" w:space="0" w:color="auto"/>
                        <w:left w:val="none" w:sz="0" w:space="0" w:color="auto"/>
                        <w:bottom w:val="none" w:sz="0" w:space="0" w:color="auto"/>
                        <w:right w:val="none" w:sz="0" w:space="0" w:color="auto"/>
                      </w:divBdr>
                      <w:divsChild>
                        <w:div w:id="641808319">
                          <w:marLeft w:val="0"/>
                          <w:marRight w:val="0"/>
                          <w:marTop w:val="0"/>
                          <w:marBottom w:val="0"/>
                          <w:divBdr>
                            <w:top w:val="none" w:sz="0" w:space="0" w:color="auto"/>
                            <w:left w:val="none" w:sz="0" w:space="0" w:color="auto"/>
                            <w:bottom w:val="none" w:sz="0" w:space="0" w:color="auto"/>
                            <w:right w:val="none" w:sz="0" w:space="0" w:color="auto"/>
                          </w:divBdr>
                          <w:divsChild>
                            <w:div w:id="1332948149">
                              <w:marLeft w:val="0"/>
                              <w:marRight w:val="0"/>
                              <w:marTop w:val="0"/>
                              <w:marBottom w:val="0"/>
                              <w:divBdr>
                                <w:top w:val="none" w:sz="0" w:space="0" w:color="auto"/>
                                <w:left w:val="none" w:sz="0" w:space="0" w:color="auto"/>
                                <w:bottom w:val="single" w:sz="4" w:space="0" w:color="4F4F4F"/>
                                <w:right w:val="none" w:sz="0" w:space="0" w:color="auto"/>
                              </w:divBdr>
                              <w:divsChild>
                                <w:div w:id="406849220">
                                  <w:marLeft w:val="0"/>
                                  <w:marRight w:val="0"/>
                                  <w:marTop w:val="0"/>
                                  <w:marBottom w:val="0"/>
                                  <w:divBdr>
                                    <w:top w:val="none" w:sz="0" w:space="0" w:color="auto"/>
                                    <w:left w:val="none" w:sz="0" w:space="0" w:color="auto"/>
                                    <w:bottom w:val="none" w:sz="0" w:space="0" w:color="auto"/>
                                    <w:right w:val="none" w:sz="0" w:space="0" w:color="auto"/>
                                  </w:divBdr>
                                  <w:divsChild>
                                    <w:div w:id="1834178206">
                                      <w:marLeft w:val="0"/>
                                      <w:marRight w:val="0"/>
                                      <w:marTop w:val="0"/>
                                      <w:marBottom w:val="0"/>
                                      <w:divBdr>
                                        <w:top w:val="none" w:sz="0" w:space="0" w:color="auto"/>
                                        <w:left w:val="none" w:sz="0" w:space="0" w:color="auto"/>
                                        <w:bottom w:val="none" w:sz="0" w:space="0" w:color="auto"/>
                                        <w:right w:val="none" w:sz="0" w:space="0" w:color="auto"/>
                                      </w:divBdr>
                                      <w:divsChild>
                                        <w:div w:id="111363720">
                                          <w:marLeft w:val="0"/>
                                          <w:marRight w:val="0"/>
                                          <w:marTop w:val="0"/>
                                          <w:marBottom w:val="0"/>
                                          <w:divBdr>
                                            <w:top w:val="none" w:sz="0" w:space="0" w:color="auto"/>
                                            <w:left w:val="none" w:sz="0" w:space="0" w:color="auto"/>
                                            <w:bottom w:val="none" w:sz="0" w:space="0" w:color="auto"/>
                                            <w:right w:val="none" w:sz="0" w:space="0" w:color="auto"/>
                                          </w:divBdr>
                                          <w:divsChild>
                                            <w:div w:id="4790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91569">
                                  <w:marLeft w:val="0"/>
                                  <w:marRight w:val="0"/>
                                  <w:marTop w:val="0"/>
                                  <w:marBottom w:val="0"/>
                                  <w:divBdr>
                                    <w:top w:val="none" w:sz="0" w:space="0" w:color="auto"/>
                                    <w:left w:val="none" w:sz="0" w:space="0" w:color="auto"/>
                                    <w:bottom w:val="none" w:sz="0" w:space="0" w:color="auto"/>
                                    <w:right w:val="none" w:sz="0" w:space="0" w:color="auto"/>
                                  </w:divBdr>
                                  <w:divsChild>
                                    <w:div w:id="2096855210">
                                      <w:marLeft w:val="0"/>
                                      <w:marRight w:val="0"/>
                                      <w:marTop w:val="0"/>
                                      <w:marBottom w:val="0"/>
                                      <w:divBdr>
                                        <w:top w:val="none" w:sz="0" w:space="0" w:color="auto"/>
                                        <w:left w:val="none" w:sz="0" w:space="0" w:color="auto"/>
                                        <w:bottom w:val="none" w:sz="0" w:space="0" w:color="auto"/>
                                        <w:right w:val="none" w:sz="0" w:space="0" w:color="auto"/>
                                      </w:divBdr>
                                      <w:divsChild>
                                        <w:div w:id="1628849460">
                                          <w:marLeft w:val="0"/>
                                          <w:marRight w:val="0"/>
                                          <w:marTop w:val="0"/>
                                          <w:marBottom w:val="0"/>
                                          <w:divBdr>
                                            <w:top w:val="none" w:sz="0" w:space="0" w:color="auto"/>
                                            <w:left w:val="none" w:sz="0" w:space="0" w:color="auto"/>
                                            <w:bottom w:val="none" w:sz="0" w:space="0" w:color="auto"/>
                                            <w:right w:val="none" w:sz="0" w:space="0" w:color="auto"/>
                                          </w:divBdr>
                                          <w:divsChild>
                                            <w:div w:id="384333137">
                                              <w:marLeft w:val="0"/>
                                              <w:marRight w:val="0"/>
                                              <w:marTop w:val="0"/>
                                              <w:marBottom w:val="0"/>
                                              <w:divBdr>
                                                <w:top w:val="none" w:sz="0" w:space="0" w:color="auto"/>
                                                <w:left w:val="none" w:sz="0" w:space="0" w:color="auto"/>
                                                <w:bottom w:val="none" w:sz="0" w:space="0" w:color="auto"/>
                                                <w:right w:val="none" w:sz="0" w:space="0" w:color="auto"/>
                                              </w:divBdr>
                                              <w:divsChild>
                                                <w:div w:id="1594312629">
                                                  <w:marLeft w:val="0"/>
                                                  <w:marRight w:val="0"/>
                                                  <w:marTop w:val="0"/>
                                                  <w:marBottom w:val="0"/>
                                                  <w:divBdr>
                                                    <w:top w:val="none" w:sz="0" w:space="0" w:color="auto"/>
                                                    <w:left w:val="none" w:sz="0" w:space="0" w:color="auto"/>
                                                    <w:bottom w:val="none" w:sz="0" w:space="0" w:color="auto"/>
                                                    <w:right w:val="none" w:sz="0" w:space="0" w:color="auto"/>
                                                  </w:divBdr>
                                                  <w:divsChild>
                                                    <w:div w:id="3353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016/j.renene.2008.12.017" TargetMode="External"/><Relationship Id="rId39" Type="http://schemas.openxmlformats.org/officeDocument/2006/relationships/hyperlink" Target="https://doi.org/10.1007/978-3-642-20256-8_15" TargetMode="External"/><Relationship Id="rId21" Type="http://schemas.openxmlformats.org/officeDocument/2006/relationships/hyperlink" Target="https://doi.org/10.1021/es902266r" TargetMode="External"/><Relationship Id="rId34" Type="http://schemas.openxmlformats.org/officeDocument/2006/relationships/hyperlink" Target="https://doi.org/10.1002/jpln.201400058" TargetMode="External"/><Relationship Id="rId42" Type="http://schemas.openxmlformats.org/officeDocument/2006/relationships/hyperlink" Target="https://doi.org/10.1016/j.gca.2008.09.028" TargetMode="External"/><Relationship Id="rId47" Type="http://schemas.openxmlformats.org/officeDocument/2006/relationships/hyperlink" Target="https://doi.org/10.1007/s11104-010-0464-5" TargetMode="External"/><Relationship Id="rId50" Type="http://schemas.openxmlformats.org/officeDocument/2006/relationships/hyperlink" Target="https://doi.org/10.1016/S1364-0321(99)00007-6" TargetMode="External"/><Relationship Id="rId55" Type="http://schemas.openxmlformats.org/officeDocument/2006/relationships/hyperlink" Target="https://doi.org/10.1111/gcbb.12435" TargetMode="External"/><Relationship Id="rId63" Type="http://schemas.openxmlformats.org/officeDocument/2006/relationships/hyperlink" Target="https://doi.org/10.9734/ijecc/2025/v15i84989" TargetMode="External"/><Relationship Id="rId68" Type="http://schemas.openxmlformats.org/officeDocument/2006/relationships/hyperlink" Target="https://doi.org/10.1126/science.1225987"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111/j.1365-2389.2010.01342.x"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doi.org/10.1016/j.scitotenv.2018.07.402" TargetMode="External"/><Relationship Id="rId11" Type="http://schemas.openxmlformats.org/officeDocument/2006/relationships/diagramColors" Target="diagrams/colors1.xml"/><Relationship Id="rId24" Type="http://schemas.openxmlformats.org/officeDocument/2006/relationships/hyperlink" Target="https://doi.org/10.1016/j.agee.2011.08.015" TargetMode="External"/><Relationship Id="rId32" Type="http://schemas.openxmlformats.org/officeDocument/2006/relationships/hyperlink" Target="https://doi.org/10.2134/jeq2011.0069" TargetMode="External"/><Relationship Id="rId37" Type="http://schemas.openxmlformats.org/officeDocument/2006/relationships/hyperlink" Target="https://doi.org/10.1016/j.rser.2019.01.032" TargetMode="External"/><Relationship Id="rId40" Type="http://schemas.openxmlformats.org/officeDocument/2006/relationships/hyperlink" Target="https://doi.org/10.1111/gcbb.12266" TargetMode="External"/><Relationship Id="rId45" Type="http://schemas.openxmlformats.org/officeDocument/2006/relationships/hyperlink" Target="https://doi.org/10.1021/es903140c" TargetMode="External"/><Relationship Id="rId53" Type="http://schemas.openxmlformats.org/officeDocument/2006/relationships/hyperlink" Target="https://doi.org/10.1016/j.biortech.2012.03.022" TargetMode="External"/><Relationship Id="rId58" Type="http://schemas.openxmlformats.org/officeDocument/2006/relationships/hyperlink" Target="https://doi.org/10.1007/978-981-13-3426-9_19" TargetMode="External"/><Relationship Id="rId66" Type="http://schemas.openxmlformats.org/officeDocument/2006/relationships/hyperlink" Target="https://doi.org/10.1016/j.agee.2010.12.005" TargetMode="External"/><Relationship Id="rId74" Type="http://schemas.openxmlformats.org/officeDocument/2006/relationships/hyperlink" Target="https://doi.org/10.1021/es902266r"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4155/cmt.10.32" TargetMode="External"/><Relationship Id="rId28" Type="http://schemas.openxmlformats.org/officeDocument/2006/relationships/hyperlink" Target="https://doi.org/10.1166/jbmb.2025.2479" TargetMode="External"/><Relationship Id="rId36" Type="http://schemas.openxmlformats.org/officeDocument/2006/relationships/hyperlink" Target="https://doi.org/10.1111/gcb.13178" TargetMode="External"/><Relationship Id="rId49" Type="http://schemas.openxmlformats.org/officeDocument/2006/relationships/hyperlink" Target="https://doi.org/10.1016/j.envpol.2010.10.016" TargetMode="External"/><Relationship Id="rId57" Type="http://schemas.openxmlformats.org/officeDocument/2006/relationships/hyperlink" Target="https://doi.org/10.1007/978-981-13-7665-8_5" TargetMode="External"/><Relationship Id="rId61" Type="http://schemas.openxmlformats.org/officeDocument/2006/relationships/hyperlink" Target="https://doi.org/10.9734/jsrr/2025/v31i73316" TargetMode="Externa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hyperlink" Target="https://doi.org/10.3390/w17091389" TargetMode="External"/><Relationship Id="rId44" Type="http://schemas.openxmlformats.org/officeDocument/2006/relationships/hyperlink" Target="https://doi.org/10.1111/j.1365-2486.2009.02044.x" TargetMode="External"/><Relationship Id="rId52" Type="http://schemas.openxmlformats.org/officeDocument/2006/relationships/hyperlink" Target="https://doi.org/10.1021/es9031419" TargetMode="External"/><Relationship Id="rId60" Type="http://schemas.openxmlformats.org/officeDocument/2006/relationships/hyperlink" Target="https://doi.org/10.56557/upjoz/2025/v46i135107" TargetMode="External"/><Relationship Id="rId65" Type="http://schemas.openxmlformats.org/officeDocument/2006/relationships/hyperlink" Target="https://doi.org/10.1111/j.1747-0765.2007.00123.x" TargetMode="External"/><Relationship Id="rId73" Type="http://schemas.openxmlformats.org/officeDocument/2006/relationships/hyperlink" Target="https://doi.org/10.1038/nclimate1804"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hyperlink" Target="https://doi.org/10.4324/9780203762264" TargetMode="External"/><Relationship Id="rId27" Type="http://schemas.openxmlformats.org/officeDocument/2006/relationships/hyperlink" Target="https://doi.org/10.1007/s13399-024-05774-0" TargetMode="External"/><Relationship Id="rId30" Type="http://schemas.openxmlformats.org/officeDocument/2006/relationships/hyperlink" Target="https://doi.org/10.3390/toxics12110765" TargetMode="External"/><Relationship Id="rId35" Type="http://schemas.openxmlformats.org/officeDocument/2006/relationships/hyperlink" Target="https://doi.org/10.1007/978-3-030-40997-5_7" TargetMode="External"/><Relationship Id="rId43" Type="http://schemas.openxmlformats.org/officeDocument/2006/relationships/hyperlink" Target="https://doi.org/10.1016/j.soilbio.2008.10.016" TargetMode="External"/><Relationship Id="rId48" Type="http://schemas.openxmlformats.org/officeDocument/2006/relationships/hyperlink" Target="https://doi.org/10.1016/j.chemosphere.2013.10.071" TargetMode="External"/><Relationship Id="rId56" Type="http://schemas.openxmlformats.org/officeDocument/2006/relationships/hyperlink" Target="https://doi.org/10.1016/j.jenvman.2019.04.052" TargetMode="External"/><Relationship Id="rId64" Type="http://schemas.openxmlformats.org/officeDocument/2006/relationships/hyperlink" Target="https://doi.org/10.1007/s13399-023-04595-x" TargetMode="External"/><Relationship Id="rId69" Type="http://schemas.openxmlformats.org/officeDocument/2006/relationships/hyperlink" Target="https://doi.org/10.2134/jeq2011.0146" TargetMode="External"/><Relationship Id="rId77" Type="http://schemas.microsoft.com/office/2007/relationships/diagramDrawing" Target="diagrams/drawing1.xml"/><Relationship Id="rId8" Type="http://schemas.openxmlformats.org/officeDocument/2006/relationships/diagramData" Target="diagrams/data1.xml"/><Relationship Id="rId51" Type="http://schemas.openxmlformats.org/officeDocument/2006/relationships/hyperlink" Target="https://doi.org/10.4155/bfs.10.81" TargetMode="External"/><Relationship Id="rId72" Type="http://schemas.openxmlformats.org/officeDocument/2006/relationships/hyperlink" Target="https://doi.org/10.1016/j.agee.2012.10.001"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hdl.handle.net/10603/481599" TargetMode="External"/><Relationship Id="rId33" Type="http://schemas.openxmlformats.org/officeDocument/2006/relationships/hyperlink" Target="https://doi.org/10.1002/9781118529539.ch16" TargetMode="External"/><Relationship Id="rId38" Type="http://schemas.openxmlformats.org/officeDocument/2006/relationships/hyperlink" Target="https://doi.org/10.1007/s11027-005-9006-5" TargetMode="External"/><Relationship Id="rId46" Type="http://schemas.openxmlformats.org/officeDocument/2006/relationships/hyperlink" Target="https://doi.org/10.1016/j.jenvman.2014.08.003" TargetMode="External"/><Relationship Id="rId59" Type="http://schemas.openxmlformats.org/officeDocument/2006/relationships/hyperlink" Target="https://doi.org/10.1007/978-3-030-14463-0_1" TargetMode="External"/><Relationship Id="rId67" Type="http://schemas.openxmlformats.org/officeDocument/2006/relationships/hyperlink" Target="https://doi.org/10.1080/10643389.2010.507980" TargetMode="External"/><Relationship Id="rId20" Type="http://schemas.openxmlformats.org/officeDocument/2006/relationships/hyperlink" Target="https://doi.org/10.1038/ncomms1053" TargetMode="External"/><Relationship Id="rId41" Type="http://schemas.openxmlformats.org/officeDocument/2006/relationships/hyperlink" Target="https://doi.org/10.1016/j.jenvman.2019.109466" TargetMode="External"/><Relationship Id="rId54" Type="http://schemas.openxmlformats.org/officeDocument/2006/relationships/hyperlink" Target="https://doi.org/10.1016/j.biortech.2008.03.026" TargetMode="External"/><Relationship Id="rId62" Type="http://schemas.openxmlformats.org/officeDocument/2006/relationships/hyperlink" Target="https://doi.org/10.33545/26174693.2024.v8.i3j.847" TargetMode="External"/><Relationship Id="rId70" Type="http://schemas.openxmlformats.org/officeDocument/2006/relationships/hyperlink" Target="https://doi.org/10.1071/SR10009"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66890C-7388-4E88-B9E3-5F6EF6A9B5ED}" type="doc">
      <dgm:prSet loTypeId="urn:microsoft.com/office/officeart/2005/8/layout/radial3" loCatId="cycle" qsTypeId="urn:microsoft.com/office/officeart/2005/8/quickstyle/3d3" qsCatId="3D" csTypeId="urn:microsoft.com/office/officeart/2005/8/colors/colorful1#1" csCatId="colorful" phldr="1"/>
      <dgm:spPr/>
      <dgm:t>
        <a:bodyPr/>
        <a:lstStyle/>
        <a:p>
          <a:endParaRPr lang="en-US"/>
        </a:p>
      </dgm:t>
    </dgm:pt>
    <dgm:pt modelId="{3CE07C6C-9D64-4665-9ECD-11AA3A3D777C}">
      <dgm:prSet phldrT="[Text]"/>
      <dgm:spPr/>
      <dgm:t>
        <a:bodyPr/>
        <a:lstStyle/>
        <a:p>
          <a:r>
            <a:rPr lang="en-US"/>
            <a:t>Biochar</a:t>
          </a:r>
        </a:p>
      </dgm:t>
    </dgm:pt>
    <dgm:pt modelId="{23EB26A4-048D-4995-9542-6A55D470DDF8}" type="parTrans" cxnId="{080BAF4E-4AC7-4EA5-A504-26C17C9E6919}">
      <dgm:prSet/>
      <dgm:spPr/>
      <dgm:t>
        <a:bodyPr/>
        <a:lstStyle/>
        <a:p>
          <a:endParaRPr lang="en-US"/>
        </a:p>
      </dgm:t>
    </dgm:pt>
    <dgm:pt modelId="{ABA86E91-E86D-44A5-8BDD-D40DA6991F36}" type="sibTrans" cxnId="{080BAF4E-4AC7-4EA5-A504-26C17C9E6919}">
      <dgm:prSet/>
      <dgm:spPr/>
      <dgm:t>
        <a:bodyPr/>
        <a:lstStyle/>
        <a:p>
          <a:endParaRPr lang="en-US"/>
        </a:p>
      </dgm:t>
    </dgm:pt>
    <dgm:pt modelId="{4623F434-0F48-4397-B292-FF738F214F3C}">
      <dgm:prSet phldrT="[Text]"/>
      <dgm:spPr/>
      <dgm:t>
        <a:bodyPr/>
        <a:lstStyle/>
        <a:p>
          <a:r>
            <a:rPr lang="en-US" b="1"/>
            <a:t>Improved soil fertility</a:t>
          </a:r>
        </a:p>
      </dgm:t>
    </dgm:pt>
    <dgm:pt modelId="{3715ADF8-2168-412C-9224-7091B7FCD39D}" type="parTrans" cxnId="{2D17362B-115A-4550-87FA-9D8F0611C78B}">
      <dgm:prSet/>
      <dgm:spPr/>
      <dgm:t>
        <a:bodyPr/>
        <a:lstStyle/>
        <a:p>
          <a:endParaRPr lang="en-US"/>
        </a:p>
      </dgm:t>
    </dgm:pt>
    <dgm:pt modelId="{861DB79D-DAB2-4808-8FFD-57E23262C33F}" type="sibTrans" cxnId="{2D17362B-115A-4550-87FA-9D8F0611C78B}">
      <dgm:prSet/>
      <dgm:spPr/>
      <dgm:t>
        <a:bodyPr/>
        <a:lstStyle/>
        <a:p>
          <a:endParaRPr lang="en-US"/>
        </a:p>
      </dgm:t>
    </dgm:pt>
    <dgm:pt modelId="{306C5113-AC45-4D71-9F7A-BBEB8111E398}">
      <dgm:prSet phldrT="[Text]"/>
      <dgm:spPr/>
      <dgm:t>
        <a:bodyPr/>
        <a:lstStyle/>
        <a:p>
          <a:r>
            <a:rPr lang="en-US" b="1"/>
            <a:t>Enhanced soil capacity</a:t>
          </a:r>
        </a:p>
      </dgm:t>
    </dgm:pt>
    <dgm:pt modelId="{181FA567-6ED5-4857-8523-6D4D674DF88D}" type="parTrans" cxnId="{DDFBF6B3-FB5A-433E-82D1-C0CDD8DF4168}">
      <dgm:prSet/>
      <dgm:spPr/>
      <dgm:t>
        <a:bodyPr/>
        <a:lstStyle/>
        <a:p>
          <a:endParaRPr lang="en-US"/>
        </a:p>
      </dgm:t>
    </dgm:pt>
    <dgm:pt modelId="{2825C29B-CC7B-4367-8A72-55659C55EDB6}" type="sibTrans" cxnId="{DDFBF6B3-FB5A-433E-82D1-C0CDD8DF4168}">
      <dgm:prSet/>
      <dgm:spPr/>
      <dgm:t>
        <a:bodyPr/>
        <a:lstStyle/>
        <a:p>
          <a:endParaRPr lang="en-US"/>
        </a:p>
      </dgm:t>
    </dgm:pt>
    <dgm:pt modelId="{9ACD6C2E-AF37-4DEA-A294-A0AD529076DC}">
      <dgm:prSet phldrT="[Text]"/>
      <dgm:spPr/>
      <dgm:t>
        <a:bodyPr/>
        <a:lstStyle/>
        <a:p>
          <a:r>
            <a:rPr lang="en-US" b="1"/>
            <a:t>Nutrient adsorption and cation exchange</a:t>
          </a:r>
        </a:p>
      </dgm:t>
    </dgm:pt>
    <dgm:pt modelId="{81077B45-98BF-4F41-9AC2-1C634552B5FC}" type="parTrans" cxnId="{FD599DC9-19D2-4FDC-8BE4-F3FB65DEA7C8}">
      <dgm:prSet/>
      <dgm:spPr/>
      <dgm:t>
        <a:bodyPr/>
        <a:lstStyle/>
        <a:p>
          <a:endParaRPr lang="en-US"/>
        </a:p>
      </dgm:t>
    </dgm:pt>
    <dgm:pt modelId="{F9B773A4-E8BC-4214-A299-AB647CBEB6D1}" type="sibTrans" cxnId="{FD599DC9-19D2-4FDC-8BE4-F3FB65DEA7C8}">
      <dgm:prSet/>
      <dgm:spPr/>
      <dgm:t>
        <a:bodyPr/>
        <a:lstStyle/>
        <a:p>
          <a:endParaRPr lang="en-US"/>
        </a:p>
      </dgm:t>
    </dgm:pt>
    <dgm:pt modelId="{BFECDD96-87E4-416C-B537-55399FD69AF2}">
      <dgm:prSet phldrT="[Text]"/>
      <dgm:spPr/>
      <dgm:t>
        <a:bodyPr/>
        <a:lstStyle/>
        <a:p>
          <a:r>
            <a:rPr lang="en-US" b="1"/>
            <a:t>Pathogen control</a:t>
          </a:r>
        </a:p>
      </dgm:t>
    </dgm:pt>
    <dgm:pt modelId="{B46E2049-8D2C-4D0F-BDDF-1ADDD0A3B9E4}" type="parTrans" cxnId="{29D9148B-35AB-4AFC-91FB-D1B914E47A41}">
      <dgm:prSet/>
      <dgm:spPr/>
      <dgm:t>
        <a:bodyPr/>
        <a:lstStyle/>
        <a:p>
          <a:endParaRPr lang="en-US"/>
        </a:p>
      </dgm:t>
    </dgm:pt>
    <dgm:pt modelId="{2EDCE6D0-5E69-4E87-8E98-7C597736ED1B}" type="sibTrans" cxnId="{29D9148B-35AB-4AFC-91FB-D1B914E47A41}">
      <dgm:prSet/>
      <dgm:spPr/>
      <dgm:t>
        <a:bodyPr/>
        <a:lstStyle/>
        <a:p>
          <a:endParaRPr lang="en-US"/>
        </a:p>
      </dgm:t>
    </dgm:pt>
    <dgm:pt modelId="{CBCFA4F6-77BE-47E0-ADAE-F598BF512B9C}">
      <dgm:prSet phldrT="[Text]"/>
      <dgm:spPr/>
      <dgm:t>
        <a:bodyPr/>
        <a:lstStyle/>
        <a:p>
          <a:r>
            <a:rPr lang="en-US" b="1"/>
            <a:t>Removal of organic and inorganic contaminants</a:t>
          </a:r>
        </a:p>
      </dgm:t>
    </dgm:pt>
    <dgm:pt modelId="{0061BBA5-E6E2-4CF5-9F79-2E815BCFA1F4}" type="parTrans" cxnId="{A4E13471-547D-4336-B6FB-37DFC39B92FF}">
      <dgm:prSet/>
      <dgm:spPr/>
      <dgm:t>
        <a:bodyPr/>
        <a:lstStyle/>
        <a:p>
          <a:endParaRPr lang="en-US"/>
        </a:p>
      </dgm:t>
    </dgm:pt>
    <dgm:pt modelId="{1EF66F05-C7CE-4D2E-BB2B-5D672E7670BB}" type="sibTrans" cxnId="{A4E13471-547D-4336-B6FB-37DFC39B92FF}">
      <dgm:prSet/>
      <dgm:spPr/>
      <dgm:t>
        <a:bodyPr/>
        <a:lstStyle/>
        <a:p>
          <a:endParaRPr lang="en-US"/>
        </a:p>
      </dgm:t>
    </dgm:pt>
    <dgm:pt modelId="{B98E12EC-ABB8-4A7B-9223-B53E1A3A1A04}">
      <dgm:prSet phldrT="[Text]"/>
      <dgm:spPr/>
      <dgm:t>
        <a:bodyPr/>
        <a:lstStyle/>
        <a:p>
          <a:r>
            <a:rPr lang="en-US" b="1"/>
            <a:t>Increase soil nutrient availability</a:t>
          </a:r>
        </a:p>
      </dgm:t>
    </dgm:pt>
    <dgm:pt modelId="{D7958482-BD93-4448-9E90-4783E29251B3}" type="parTrans" cxnId="{EA4FCDA1-58E0-462D-B00C-7E47766F3A57}">
      <dgm:prSet/>
      <dgm:spPr/>
      <dgm:t>
        <a:bodyPr/>
        <a:lstStyle/>
        <a:p>
          <a:endParaRPr lang="en-US"/>
        </a:p>
      </dgm:t>
    </dgm:pt>
    <dgm:pt modelId="{5C53310F-A1EB-4D8A-BC9E-F28747188F11}" type="sibTrans" cxnId="{EA4FCDA1-58E0-462D-B00C-7E47766F3A57}">
      <dgm:prSet/>
      <dgm:spPr/>
      <dgm:t>
        <a:bodyPr/>
        <a:lstStyle/>
        <a:p>
          <a:endParaRPr lang="en-US"/>
        </a:p>
      </dgm:t>
    </dgm:pt>
    <dgm:pt modelId="{806C4257-EBB4-4001-AEE9-7C802F71602D}">
      <dgm:prSet phldrT="[Text]"/>
      <dgm:spPr/>
      <dgm:t>
        <a:bodyPr/>
        <a:lstStyle/>
        <a:p>
          <a:r>
            <a:rPr lang="en-US" b="1"/>
            <a:t>Soil amendment and conditioning</a:t>
          </a:r>
        </a:p>
      </dgm:t>
    </dgm:pt>
    <dgm:pt modelId="{043A9641-E1A6-4CF7-891F-83E70FABC2CD}" type="parTrans" cxnId="{6B6B86EB-92A6-4C37-A0B0-4DE621A30336}">
      <dgm:prSet/>
      <dgm:spPr/>
      <dgm:t>
        <a:bodyPr/>
        <a:lstStyle/>
        <a:p>
          <a:endParaRPr lang="en-US"/>
        </a:p>
      </dgm:t>
    </dgm:pt>
    <dgm:pt modelId="{E28BE8D1-FABC-4E10-9134-4594EE80E85D}" type="sibTrans" cxnId="{6B6B86EB-92A6-4C37-A0B0-4DE621A30336}">
      <dgm:prSet/>
      <dgm:spPr/>
      <dgm:t>
        <a:bodyPr/>
        <a:lstStyle/>
        <a:p>
          <a:endParaRPr lang="en-US"/>
        </a:p>
      </dgm:t>
    </dgm:pt>
    <dgm:pt modelId="{8E712FF9-31F9-4875-8C65-199988D117E4}">
      <dgm:prSet phldrT="[Text]"/>
      <dgm:spPr/>
      <dgm:t>
        <a:bodyPr/>
        <a:lstStyle/>
        <a:p>
          <a:r>
            <a:rPr lang="en-US" b="1"/>
            <a:t>Carbon sequestration</a:t>
          </a:r>
        </a:p>
      </dgm:t>
    </dgm:pt>
    <dgm:pt modelId="{EEB305EA-F74D-4BD5-AA7B-7447A393545F}" type="parTrans" cxnId="{6ED31A9D-298C-4C7F-B4E0-D870DCA64E1F}">
      <dgm:prSet/>
      <dgm:spPr/>
      <dgm:t>
        <a:bodyPr/>
        <a:lstStyle/>
        <a:p>
          <a:endParaRPr lang="en-US"/>
        </a:p>
      </dgm:t>
    </dgm:pt>
    <dgm:pt modelId="{87C8BA8A-D576-4F42-92CB-C0E75BD6FCB9}" type="sibTrans" cxnId="{6ED31A9D-298C-4C7F-B4E0-D870DCA64E1F}">
      <dgm:prSet/>
      <dgm:spPr/>
      <dgm:t>
        <a:bodyPr/>
        <a:lstStyle/>
        <a:p>
          <a:endParaRPr lang="en-US"/>
        </a:p>
      </dgm:t>
    </dgm:pt>
    <dgm:pt modelId="{705715EC-8160-4218-926A-F10D1A134D4D}">
      <dgm:prSet phldrT="[Text]"/>
      <dgm:spPr/>
      <dgm:t>
        <a:bodyPr/>
        <a:lstStyle/>
        <a:p>
          <a:r>
            <a:rPr lang="en-US" b="1"/>
            <a:t>Greenhouse gas mitigation</a:t>
          </a:r>
        </a:p>
      </dgm:t>
    </dgm:pt>
    <dgm:pt modelId="{5F55918D-03BF-4CDD-9E31-44CE468142EB}" type="parTrans" cxnId="{36F058CE-1A4F-45E1-BFCE-355B3A766955}">
      <dgm:prSet/>
      <dgm:spPr/>
      <dgm:t>
        <a:bodyPr/>
        <a:lstStyle/>
        <a:p>
          <a:endParaRPr lang="en-US"/>
        </a:p>
      </dgm:t>
    </dgm:pt>
    <dgm:pt modelId="{C3F8CAA9-5B06-431E-8888-DA1C0994731A}" type="sibTrans" cxnId="{36F058CE-1A4F-45E1-BFCE-355B3A766955}">
      <dgm:prSet/>
      <dgm:spPr/>
      <dgm:t>
        <a:bodyPr/>
        <a:lstStyle/>
        <a:p>
          <a:endParaRPr lang="en-US"/>
        </a:p>
      </dgm:t>
    </dgm:pt>
    <dgm:pt modelId="{1F107F68-E247-4E17-BAD2-1016B7961BD1}">
      <dgm:prSet phldrT="[Text]"/>
      <dgm:spPr/>
      <dgm:t>
        <a:bodyPr/>
        <a:lstStyle/>
        <a:p>
          <a:r>
            <a:rPr lang="en-US" b="1"/>
            <a:t>Renewable energy co-products</a:t>
          </a:r>
        </a:p>
      </dgm:t>
    </dgm:pt>
    <dgm:pt modelId="{EDB7DE46-F910-48BD-8869-56CDACB8579B}" type="parTrans" cxnId="{B33AE067-89E4-4D28-8B37-ADD1CBDD582C}">
      <dgm:prSet/>
      <dgm:spPr/>
      <dgm:t>
        <a:bodyPr/>
        <a:lstStyle/>
        <a:p>
          <a:endParaRPr lang="en-US"/>
        </a:p>
      </dgm:t>
    </dgm:pt>
    <dgm:pt modelId="{E4F91889-3941-4AE4-9CDF-852050E3C91D}" type="sibTrans" cxnId="{B33AE067-89E4-4D28-8B37-ADD1CBDD582C}">
      <dgm:prSet/>
      <dgm:spPr/>
      <dgm:t>
        <a:bodyPr/>
        <a:lstStyle/>
        <a:p>
          <a:endParaRPr lang="en-US"/>
        </a:p>
      </dgm:t>
    </dgm:pt>
    <dgm:pt modelId="{4E1754A1-F40D-4CA0-AEEE-73092E05339B}">
      <dgm:prSet phldrT="[Text]"/>
      <dgm:spPr/>
      <dgm:t>
        <a:bodyPr/>
        <a:lstStyle/>
        <a:p>
          <a:r>
            <a:rPr lang="en-US" b="1"/>
            <a:t>Boost crop productivity and yield</a:t>
          </a:r>
        </a:p>
      </dgm:t>
    </dgm:pt>
    <dgm:pt modelId="{F896ED5F-65DE-4ADB-A8C9-6D02E5FDD74D}" type="parTrans" cxnId="{464C25D8-2E2C-4D86-845D-A1031A12A52B}">
      <dgm:prSet/>
      <dgm:spPr/>
      <dgm:t>
        <a:bodyPr/>
        <a:lstStyle/>
        <a:p>
          <a:endParaRPr lang="en-US"/>
        </a:p>
      </dgm:t>
    </dgm:pt>
    <dgm:pt modelId="{109BFD1A-B5CB-4EB9-9CB4-0CACCEB53DE9}" type="sibTrans" cxnId="{464C25D8-2E2C-4D86-845D-A1031A12A52B}">
      <dgm:prSet/>
      <dgm:spPr/>
      <dgm:t>
        <a:bodyPr/>
        <a:lstStyle/>
        <a:p>
          <a:endParaRPr lang="en-US"/>
        </a:p>
      </dgm:t>
    </dgm:pt>
    <dgm:pt modelId="{70C23732-97F4-4AEA-9E8A-41E1FBA19EC2}" type="pres">
      <dgm:prSet presAssocID="{B466890C-7388-4E88-B9E3-5F6EF6A9B5ED}" presName="composite" presStyleCnt="0">
        <dgm:presLayoutVars>
          <dgm:chMax val="1"/>
          <dgm:dir/>
          <dgm:resizeHandles val="exact"/>
        </dgm:presLayoutVars>
      </dgm:prSet>
      <dgm:spPr/>
      <dgm:t>
        <a:bodyPr/>
        <a:lstStyle/>
        <a:p>
          <a:endParaRPr lang="en-US"/>
        </a:p>
      </dgm:t>
    </dgm:pt>
    <dgm:pt modelId="{A054B10F-9F79-4A16-91DC-89D683806708}" type="pres">
      <dgm:prSet presAssocID="{B466890C-7388-4E88-B9E3-5F6EF6A9B5ED}" presName="radial" presStyleCnt="0">
        <dgm:presLayoutVars>
          <dgm:animLvl val="ctr"/>
        </dgm:presLayoutVars>
      </dgm:prSet>
      <dgm:spPr/>
    </dgm:pt>
    <dgm:pt modelId="{314E6302-C741-44F7-BC35-90561601C5B8}" type="pres">
      <dgm:prSet presAssocID="{3CE07C6C-9D64-4665-9ECD-11AA3A3D777C}" presName="centerShape" presStyleLbl="vennNode1" presStyleIdx="0" presStyleCnt="12"/>
      <dgm:spPr/>
      <dgm:t>
        <a:bodyPr/>
        <a:lstStyle/>
        <a:p>
          <a:endParaRPr lang="en-US"/>
        </a:p>
      </dgm:t>
    </dgm:pt>
    <dgm:pt modelId="{CC2554D5-2042-4858-8451-EF52495EBD32}" type="pres">
      <dgm:prSet presAssocID="{4623F434-0F48-4397-B292-FF738F214F3C}" presName="node" presStyleLbl="vennNode1" presStyleIdx="1" presStyleCnt="12">
        <dgm:presLayoutVars>
          <dgm:bulletEnabled val="1"/>
        </dgm:presLayoutVars>
      </dgm:prSet>
      <dgm:spPr/>
      <dgm:t>
        <a:bodyPr/>
        <a:lstStyle/>
        <a:p>
          <a:endParaRPr lang="en-US"/>
        </a:p>
      </dgm:t>
    </dgm:pt>
    <dgm:pt modelId="{11A8E724-63D5-420C-A69B-5A5AA970516B}" type="pres">
      <dgm:prSet presAssocID="{306C5113-AC45-4D71-9F7A-BBEB8111E398}" presName="node" presStyleLbl="vennNode1" presStyleIdx="2" presStyleCnt="12">
        <dgm:presLayoutVars>
          <dgm:bulletEnabled val="1"/>
        </dgm:presLayoutVars>
      </dgm:prSet>
      <dgm:spPr/>
      <dgm:t>
        <a:bodyPr/>
        <a:lstStyle/>
        <a:p>
          <a:endParaRPr lang="en-US"/>
        </a:p>
      </dgm:t>
    </dgm:pt>
    <dgm:pt modelId="{19B68717-5C42-4574-BDDD-5C3097653D6A}" type="pres">
      <dgm:prSet presAssocID="{9ACD6C2E-AF37-4DEA-A294-A0AD529076DC}" presName="node" presStyleLbl="vennNode1" presStyleIdx="3" presStyleCnt="12">
        <dgm:presLayoutVars>
          <dgm:bulletEnabled val="1"/>
        </dgm:presLayoutVars>
      </dgm:prSet>
      <dgm:spPr/>
      <dgm:t>
        <a:bodyPr/>
        <a:lstStyle/>
        <a:p>
          <a:endParaRPr lang="en-US"/>
        </a:p>
      </dgm:t>
    </dgm:pt>
    <dgm:pt modelId="{0004310E-12C5-4F08-97A3-2F80B820696E}" type="pres">
      <dgm:prSet presAssocID="{BFECDD96-87E4-416C-B537-55399FD69AF2}" presName="node" presStyleLbl="vennNode1" presStyleIdx="4" presStyleCnt="12">
        <dgm:presLayoutVars>
          <dgm:bulletEnabled val="1"/>
        </dgm:presLayoutVars>
      </dgm:prSet>
      <dgm:spPr/>
      <dgm:t>
        <a:bodyPr/>
        <a:lstStyle/>
        <a:p>
          <a:endParaRPr lang="en-US"/>
        </a:p>
      </dgm:t>
    </dgm:pt>
    <dgm:pt modelId="{93F84031-4B2A-4167-B8F8-FB584C1BB59D}" type="pres">
      <dgm:prSet presAssocID="{CBCFA4F6-77BE-47E0-ADAE-F598BF512B9C}" presName="node" presStyleLbl="vennNode1" presStyleIdx="5" presStyleCnt="12">
        <dgm:presLayoutVars>
          <dgm:bulletEnabled val="1"/>
        </dgm:presLayoutVars>
      </dgm:prSet>
      <dgm:spPr/>
      <dgm:t>
        <a:bodyPr/>
        <a:lstStyle/>
        <a:p>
          <a:endParaRPr lang="en-US"/>
        </a:p>
      </dgm:t>
    </dgm:pt>
    <dgm:pt modelId="{C9EE9363-80C9-463E-80CB-6E4B9CB4FA3A}" type="pres">
      <dgm:prSet presAssocID="{B98E12EC-ABB8-4A7B-9223-B53E1A3A1A04}" presName="node" presStyleLbl="vennNode1" presStyleIdx="6" presStyleCnt="12">
        <dgm:presLayoutVars>
          <dgm:bulletEnabled val="1"/>
        </dgm:presLayoutVars>
      </dgm:prSet>
      <dgm:spPr/>
      <dgm:t>
        <a:bodyPr/>
        <a:lstStyle/>
        <a:p>
          <a:endParaRPr lang="en-US"/>
        </a:p>
      </dgm:t>
    </dgm:pt>
    <dgm:pt modelId="{621A127E-ABD1-47C7-90A2-9EDCBD909BC8}" type="pres">
      <dgm:prSet presAssocID="{806C4257-EBB4-4001-AEE9-7C802F71602D}" presName="node" presStyleLbl="vennNode1" presStyleIdx="7" presStyleCnt="12">
        <dgm:presLayoutVars>
          <dgm:bulletEnabled val="1"/>
        </dgm:presLayoutVars>
      </dgm:prSet>
      <dgm:spPr/>
      <dgm:t>
        <a:bodyPr/>
        <a:lstStyle/>
        <a:p>
          <a:endParaRPr lang="en-US"/>
        </a:p>
      </dgm:t>
    </dgm:pt>
    <dgm:pt modelId="{45F4FA1E-7E41-4CB2-AC90-474EDE8B3E11}" type="pres">
      <dgm:prSet presAssocID="{8E712FF9-31F9-4875-8C65-199988D117E4}" presName="node" presStyleLbl="vennNode1" presStyleIdx="8" presStyleCnt="12">
        <dgm:presLayoutVars>
          <dgm:bulletEnabled val="1"/>
        </dgm:presLayoutVars>
      </dgm:prSet>
      <dgm:spPr/>
      <dgm:t>
        <a:bodyPr/>
        <a:lstStyle/>
        <a:p>
          <a:endParaRPr lang="en-US"/>
        </a:p>
      </dgm:t>
    </dgm:pt>
    <dgm:pt modelId="{C2BC5706-7613-4B54-8576-84E30CD280EF}" type="pres">
      <dgm:prSet presAssocID="{705715EC-8160-4218-926A-F10D1A134D4D}" presName="node" presStyleLbl="vennNode1" presStyleIdx="9" presStyleCnt="12">
        <dgm:presLayoutVars>
          <dgm:bulletEnabled val="1"/>
        </dgm:presLayoutVars>
      </dgm:prSet>
      <dgm:spPr/>
      <dgm:t>
        <a:bodyPr/>
        <a:lstStyle/>
        <a:p>
          <a:endParaRPr lang="en-US"/>
        </a:p>
      </dgm:t>
    </dgm:pt>
    <dgm:pt modelId="{D7AFABB2-3C1F-42B8-910D-5BF32990DEC4}" type="pres">
      <dgm:prSet presAssocID="{1F107F68-E247-4E17-BAD2-1016B7961BD1}" presName="node" presStyleLbl="vennNode1" presStyleIdx="10" presStyleCnt="12">
        <dgm:presLayoutVars>
          <dgm:bulletEnabled val="1"/>
        </dgm:presLayoutVars>
      </dgm:prSet>
      <dgm:spPr/>
      <dgm:t>
        <a:bodyPr/>
        <a:lstStyle/>
        <a:p>
          <a:endParaRPr lang="en-US"/>
        </a:p>
      </dgm:t>
    </dgm:pt>
    <dgm:pt modelId="{6690A944-D014-4283-BA5F-C71B7FEFB806}" type="pres">
      <dgm:prSet presAssocID="{4E1754A1-F40D-4CA0-AEEE-73092E05339B}" presName="node" presStyleLbl="vennNode1" presStyleIdx="11" presStyleCnt="12">
        <dgm:presLayoutVars>
          <dgm:bulletEnabled val="1"/>
        </dgm:presLayoutVars>
      </dgm:prSet>
      <dgm:spPr/>
      <dgm:t>
        <a:bodyPr/>
        <a:lstStyle/>
        <a:p>
          <a:endParaRPr lang="en-US"/>
        </a:p>
      </dgm:t>
    </dgm:pt>
  </dgm:ptLst>
  <dgm:cxnLst>
    <dgm:cxn modelId="{FD599DC9-19D2-4FDC-8BE4-F3FB65DEA7C8}" srcId="{3CE07C6C-9D64-4665-9ECD-11AA3A3D777C}" destId="{9ACD6C2E-AF37-4DEA-A294-A0AD529076DC}" srcOrd="2" destOrd="0" parTransId="{81077B45-98BF-4F41-9AC2-1C634552B5FC}" sibTransId="{F9B773A4-E8BC-4214-A299-AB647CBEB6D1}"/>
    <dgm:cxn modelId="{E4A8DCC1-DD8E-40CF-AD9B-ACF3AB647F5A}" type="presOf" srcId="{306C5113-AC45-4D71-9F7A-BBEB8111E398}" destId="{11A8E724-63D5-420C-A69B-5A5AA970516B}" srcOrd="0" destOrd="0" presId="urn:microsoft.com/office/officeart/2005/8/layout/radial3"/>
    <dgm:cxn modelId="{6B6B86EB-92A6-4C37-A0B0-4DE621A30336}" srcId="{3CE07C6C-9D64-4665-9ECD-11AA3A3D777C}" destId="{806C4257-EBB4-4001-AEE9-7C802F71602D}" srcOrd="6" destOrd="0" parTransId="{043A9641-E1A6-4CF7-891F-83E70FABC2CD}" sibTransId="{E28BE8D1-FABC-4E10-9134-4594EE80E85D}"/>
    <dgm:cxn modelId="{537F471C-70CA-486A-A276-8EB8F2130B31}" type="presOf" srcId="{8E712FF9-31F9-4875-8C65-199988D117E4}" destId="{45F4FA1E-7E41-4CB2-AC90-474EDE8B3E11}" srcOrd="0" destOrd="0" presId="urn:microsoft.com/office/officeart/2005/8/layout/radial3"/>
    <dgm:cxn modelId="{A4E13471-547D-4336-B6FB-37DFC39B92FF}" srcId="{3CE07C6C-9D64-4665-9ECD-11AA3A3D777C}" destId="{CBCFA4F6-77BE-47E0-ADAE-F598BF512B9C}" srcOrd="4" destOrd="0" parTransId="{0061BBA5-E6E2-4CF5-9F79-2E815BCFA1F4}" sibTransId="{1EF66F05-C7CE-4D2E-BB2B-5D672E7670BB}"/>
    <dgm:cxn modelId="{2A347BAA-EEFD-4B42-80B7-F8540BDF2BA7}" type="presOf" srcId="{705715EC-8160-4218-926A-F10D1A134D4D}" destId="{C2BC5706-7613-4B54-8576-84E30CD280EF}" srcOrd="0" destOrd="0" presId="urn:microsoft.com/office/officeart/2005/8/layout/radial3"/>
    <dgm:cxn modelId="{4DEFF4C8-2369-4F3C-ADB8-14D991BC0813}" type="presOf" srcId="{1F107F68-E247-4E17-BAD2-1016B7961BD1}" destId="{D7AFABB2-3C1F-42B8-910D-5BF32990DEC4}" srcOrd="0" destOrd="0" presId="urn:microsoft.com/office/officeart/2005/8/layout/radial3"/>
    <dgm:cxn modelId="{B33AE067-89E4-4D28-8B37-ADD1CBDD582C}" srcId="{3CE07C6C-9D64-4665-9ECD-11AA3A3D777C}" destId="{1F107F68-E247-4E17-BAD2-1016B7961BD1}" srcOrd="9" destOrd="0" parTransId="{EDB7DE46-F910-48BD-8869-56CDACB8579B}" sibTransId="{E4F91889-3941-4AE4-9CDF-852050E3C91D}"/>
    <dgm:cxn modelId="{A636B403-687D-4057-BA50-826D85B7C713}" type="presOf" srcId="{4E1754A1-F40D-4CA0-AEEE-73092E05339B}" destId="{6690A944-D014-4283-BA5F-C71B7FEFB806}" srcOrd="0" destOrd="0" presId="urn:microsoft.com/office/officeart/2005/8/layout/radial3"/>
    <dgm:cxn modelId="{29D9148B-35AB-4AFC-91FB-D1B914E47A41}" srcId="{3CE07C6C-9D64-4665-9ECD-11AA3A3D777C}" destId="{BFECDD96-87E4-416C-B537-55399FD69AF2}" srcOrd="3" destOrd="0" parTransId="{B46E2049-8D2C-4D0F-BDDF-1ADDD0A3B9E4}" sibTransId="{2EDCE6D0-5E69-4E87-8E98-7C597736ED1B}"/>
    <dgm:cxn modelId="{080BAF4E-4AC7-4EA5-A504-26C17C9E6919}" srcId="{B466890C-7388-4E88-B9E3-5F6EF6A9B5ED}" destId="{3CE07C6C-9D64-4665-9ECD-11AA3A3D777C}" srcOrd="0" destOrd="0" parTransId="{23EB26A4-048D-4995-9542-6A55D470DDF8}" sibTransId="{ABA86E91-E86D-44A5-8BDD-D40DA6991F36}"/>
    <dgm:cxn modelId="{4561622E-8F79-4C34-9165-765885D19824}" type="presOf" srcId="{B98E12EC-ABB8-4A7B-9223-B53E1A3A1A04}" destId="{C9EE9363-80C9-463E-80CB-6E4B9CB4FA3A}" srcOrd="0" destOrd="0" presId="urn:microsoft.com/office/officeart/2005/8/layout/radial3"/>
    <dgm:cxn modelId="{798BB533-8F3D-447C-B801-E54387DA5CAF}" type="presOf" srcId="{3CE07C6C-9D64-4665-9ECD-11AA3A3D777C}" destId="{314E6302-C741-44F7-BC35-90561601C5B8}" srcOrd="0" destOrd="0" presId="urn:microsoft.com/office/officeart/2005/8/layout/radial3"/>
    <dgm:cxn modelId="{6ED31A9D-298C-4C7F-B4E0-D870DCA64E1F}" srcId="{3CE07C6C-9D64-4665-9ECD-11AA3A3D777C}" destId="{8E712FF9-31F9-4875-8C65-199988D117E4}" srcOrd="7" destOrd="0" parTransId="{EEB305EA-F74D-4BD5-AA7B-7447A393545F}" sibTransId="{87C8BA8A-D576-4F42-92CB-C0E75BD6FCB9}"/>
    <dgm:cxn modelId="{12FD1CC5-0B68-46F0-89E6-E72359750247}" type="presOf" srcId="{B466890C-7388-4E88-B9E3-5F6EF6A9B5ED}" destId="{70C23732-97F4-4AEA-9E8A-41E1FBA19EC2}" srcOrd="0" destOrd="0" presId="urn:microsoft.com/office/officeart/2005/8/layout/radial3"/>
    <dgm:cxn modelId="{DDFBF6B3-FB5A-433E-82D1-C0CDD8DF4168}" srcId="{3CE07C6C-9D64-4665-9ECD-11AA3A3D777C}" destId="{306C5113-AC45-4D71-9F7A-BBEB8111E398}" srcOrd="1" destOrd="0" parTransId="{181FA567-6ED5-4857-8523-6D4D674DF88D}" sibTransId="{2825C29B-CC7B-4367-8A72-55659C55EDB6}"/>
    <dgm:cxn modelId="{370117DB-C0A3-443A-A340-974BE2309612}" type="presOf" srcId="{CBCFA4F6-77BE-47E0-ADAE-F598BF512B9C}" destId="{93F84031-4B2A-4167-B8F8-FB584C1BB59D}" srcOrd="0" destOrd="0" presId="urn:microsoft.com/office/officeart/2005/8/layout/radial3"/>
    <dgm:cxn modelId="{2D17362B-115A-4550-87FA-9D8F0611C78B}" srcId="{3CE07C6C-9D64-4665-9ECD-11AA3A3D777C}" destId="{4623F434-0F48-4397-B292-FF738F214F3C}" srcOrd="0" destOrd="0" parTransId="{3715ADF8-2168-412C-9224-7091B7FCD39D}" sibTransId="{861DB79D-DAB2-4808-8FFD-57E23262C33F}"/>
    <dgm:cxn modelId="{FC21B311-F7F8-432B-8EFE-373C47AA5C9E}" type="presOf" srcId="{4623F434-0F48-4397-B292-FF738F214F3C}" destId="{CC2554D5-2042-4858-8451-EF52495EBD32}" srcOrd="0" destOrd="0" presId="urn:microsoft.com/office/officeart/2005/8/layout/radial3"/>
    <dgm:cxn modelId="{EA4FCDA1-58E0-462D-B00C-7E47766F3A57}" srcId="{3CE07C6C-9D64-4665-9ECD-11AA3A3D777C}" destId="{B98E12EC-ABB8-4A7B-9223-B53E1A3A1A04}" srcOrd="5" destOrd="0" parTransId="{D7958482-BD93-4448-9E90-4783E29251B3}" sibTransId="{5C53310F-A1EB-4D8A-BC9E-F28747188F11}"/>
    <dgm:cxn modelId="{36F058CE-1A4F-45E1-BFCE-355B3A766955}" srcId="{3CE07C6C-9D64-4665-9ECD-11AA3A3D777C}" destId="{705715EC-8160-4218-926A-F10D1A134D4D}" srcOrd="8" destOrd="0" parTransId="{5F55918D-03BF-4CDD-9E31-44CE468142EB}" sibTransId="{C3F8CAA9-5B06-431E-8888-DA1C0994731A}"/>
    <dgm:cxn modelId="{E8BE0FDB-D138-4834-997C-6A243D2DC63D}" type="presOf" srcId="{BFECDD96-87E4-416C-B537-55399FD69AF2}" destId="{0004310E-12C5-4F08-97A3-2F80B820696E}" srcOrd="0" destOrd="0" presId="urn:microsoft.com/office/officeart/2005/8/layout/radial3"/>
    <dgm:cxn modelId="{53439ABC-96CC-4D9A-B4C2-FA5B70A70848}" type="presOf" srcId="{806C4257-EBB4-4001-AEE9-7C802F71602D}" destId="{621A127E-ABD1-47C7-90A2-9EDCBD909BC8}" srcOrd="0" destOrd="0" presId="urn:microsoft.com/office/officeart/2005/8/layout/radial3"/>
    <dgm:cxn modelId="{D9707473-DCFD-43BE-A5F2-B9DC19A7AFE3}" type="presOf" srcId="{9ACD6C2E-AF37-4DEA-A294-A0AD529076DC}" destId="{19B68717-5C42-4574-BDDD-5C3097653D6A}" srcOrd="0" destOrd="0" presId="urn:microsoft.com/office/officeart/2005/8/layout/radial3"/>
    <dgm:cxn modelId="{464C25D8-2E2C-4D86-845D-A1031A12A52B}" srcId="{3CE07C6C-9D64-4665-9ECD-11AA3A3D777C}" destId="{4E1754A1-F40D-4CA0-AEEE-73092E05339B}" srcOrd="10" destOrd="0" parTransId="{F896ED5F-65DE-4ADB-A8C9-6D02E5FDD74D}" sibTransId="{109BFD1A-B5CB-4EB9-9CB4-0CACCEB53DE9}"/>
    <dgm:cxn modelId="{4DC4FF19-F27F-40ED-8162-B67FFA2680CE}" type="presParOf" srcId="{70C23732-97F4-4AEA-9E8A-41E1FBA19EC2}" destId="{A054B10F-9F79-4A16-91DC-89D683806708}" srcOrd="0" destOrd="0" presId="urn:microsoft.com/office/officeart/2005/8/layout/radial3"/>
    <dgm:cxn modelId="{D0393DCA-21FB-4C09-8B0A-5AEA183F4873}" type="presParOf" srcId="{A054B10F-9F79-4A16-91DC-89D683806708}" destId="{314E6302-C741-44F7-BC35-90561601C5B8}" srcOrd="0" destOrd="0" presId="urn:microsoft.com/office/officeart/2005/8/layout/radial3"/>
    <dgm:cxn modelId="{B923EDB5-51C1-4B8C-973C-0799FD8D43DF}" type="presParOf" srcId="{A054B10F-9F79-4A16-91DC-89D683806708}" destId="{CC2554D5-2042-4858-8451-EF52495EBD32}" srcOrd="1" destOrd="0" presId="urn:microsoft.com/office/officeart/2005/8/layout/radial3"/>
    <dgm:cxn modelId="{EE816000-7E8F-4C93-A902-3666BA6F5991}" type="presParOf" srcId="{A054B10F-9F79-4A16-91DC-89D683806708}" destId="{11A8E724-63D5-420C-A69B-5A5AA970516B}" srcOrd="2" destOrd="0" presId="urn:microsoft.com/office/officeart/2005/8/layout/radial3"/>
    <dgm:cxn modelId="{14201DE8-BD38-417F-A7EA-D7627D51BF89}" type="presParOf" srcId="{A054B10F-9F79-4A16-91DC-89D683806708}" destId="{19B68717-5C42-4574-BDDD-5C3097653D6A}" srcOrd="3" destOrd="0" presId="urn:microsoft.com/office/officeart/2005/8/layout/radial3"/>
    <dgm:cxn modelId="{27182B37-F99A-480E-90C8-38E0EFC033E9}" type="presParOf" srcId="{A054B10F-9F79-4A16-91DC-89D683806708}" destId="{0004310E-12C5-4F08-97A3-2F80B820696E}" srcOrd="4" destOrd="0" presId="urn:microsoft.com/office/officeart/2005/8/layout/radial3"/>
    <dgm:cxn modelId="{FB6368C8-AEEA-421F-8ED1-FF4724E9D095}" type="presParOf" srcId="{A054B10F-9F79-4A16-91DC-89D683806708}" destId="{93F84031-4B2A-4167-B8F8-FB584C1BB59D}" srcOrd="5" destOrd="0" presId="urn:microsoft.com/office/officeart/2005/8/layout/radial3"/>
    <dgm:cxn modelId="{D9DC4B00-E18D-4BF9-A53D-CEF539176948}" type="presParOf" srcId="{A054B10F-9F79-4A16-91DC-89D683806708}" destId="{C9EE9363-80C9-463E-80CB-6E4B9CB4FA3A}" srcOrd="6" destOrd="0" presId="urn:microsoft.com/office/officeart/2005/8/layout/radial3"/>
    <dgm:cxn modelId="{7C3494AF-1525-4FD6-8E4C-DA4B4AFB5ACA}" type="presParOf" srcId="{A054B10F-9F79-4A16-91DC-89D683806708}" destId="{621A127E-ABD1-47C7-90A2-9EDCBD909BC8}" srcOrd="7" destOrd="0" presId="urn:microsoft.com/office/officeart/2005/8/layout/radial3"/>
    <dgm:cxn modelId="{3ED17955-24E3-4041-ABE3-5D3A23C2D387}" type="presParOf" srcId="{A054B10F-9F79-4A16-91DC-89D683806708}" destId="{45F4FA1E-7E41-4CB2-AC90-474EDE8B3E11}" srcOrd="8" destOrd="0" presId="urn:microsoft.com/office/officeart/2005/8/layout/radial3"/>
    <dgm:cxn modelId="{EB88D5A5-15AC-4CA8-A1D0-BB3BD42D3508}" type="presParOf" srcId="{A054B10F-9F79-4A16-91DC-89D683806708}" destId="{C2BC5706-7613-4B54-8576-84E30CD280EF}" srcOrd="9" destOrd="0" presId="urn:microsoft.com/office/officeart/2005/8/layout/radial3"/>
    <dgm:cxn modelId="{13F5225D-BBE1-4C63-942C-D9062D1F44F3}" type="presParOf" srcId="{A054B10F-9F79-4A16-91DC-89D683806708}" destId="{D7AFABB2-3C1F-42B8-910D-5BF32990DEC4}" srcOrd="10" destOrd="0" presId="urn:microsoft.com/office/officeart/2005/8/layout/radial3"/>
    <dgm:cxn modelId="{1E5E1497-A2E5-4535-9681-65751BE5864B}" type="presParOf" srcId="{A054B10F-9F79-4A16-91DC-89D683806708}" destId="{6690A944-D014-4283-BA5F-C71B7FEFB806}" srcOrd="11" destOrd="0" presId="urn:microsoft.com/office/officeart/2005/8/layout/radial3"/>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4E6302-C741-44F7-BC35-90561601C5B8}">
      <dsp:nvSpPr>
        <dsp:cNvPr id="0" name=""/>
        <dsp:cNvSpPr/>
      </dsp:nvSpPr>
      <dsp:spPr>
        <a:xfrm>
          <a:off x="1708639" y="1074948"/>
          <a:ext cx="2297720" cy="2297720"/>
        </a:xfrm>
        <a:prstGeom prst="ellipse">
          <a:avLst/>
        </a:prstGeom>
        <a:solidFill>
          <a:schemeClr val="accent2">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1733550">
            <a:lnSpc>
              <a:spcPct val="90000"/>
            </a:lnSpc>
            <a:spcBef>
              <a:spcPct val="0"/>
            </a:spcBef>
            <a:spcAft>
              <a:spcPct val="35000"/>
            </a:spcAft>
            <a:buNone/>
          </a:pPr>
          <a:r>
            <a:rPr lang="en-US" sz="3900" kern="1200"/>
            <a:t>Biochar</a:t>
          </a:r>
        </a:p>
      </dsp:txBody>
      <dsp:txXfrm>
        <a:off x="2045132" y="1411441"/>
        <a:ext cx="1624734" cy="1624734"/>
      </dsp:txXfrm>
    </dsp:sp>
    <dsp:sp modelId="{CC2554D5-2042-4858-8451-EF52495EBD32}">
      <dsp:nvSpPr>
        <dsp:cNvPr id="0" name=""/>
        <dsp:cNvSpPr/>
      </dsp:nvSpPr>
      <dsp:spPr>
        <a:xfrm>
          <a:off x="2283069" y="17144"/>
          <a:ext cx="1148860" cy="1148860"/>
        </a:xfrm>
        <a:prstGeom prst="ellipse">
          <a:avLst/>
        </a:prstGeom>
        <a:solidFill>
          <a:schemeClr val="accent3">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Improved soil fertility</a:t>
          </a:r>
        </a:p>
      </dsp:txBody>
      <dsp:txXfrm>
        <a:off x="2451316" y="185391"/>
        <a:ext cx="812366" cy="812366"/>
      </dsp:txXfrm>
    </dsp:sp>
    <dsp:sp modelId="{11A8E724-63D5-420C-A69B-5A5AA970516B}">
      <dsp:nvSpPr>
        <dsp:cNvPr id="0" name=""/>
        <dsp:cNvSpPr/>
      </dsp:nvSpPr>
      <dsp:spPr>
        <a:xfrm>
          <a:off x="3165522" y="276255"/>
          <a:ext cx="1148860" cy="1148860"/>
        </a:xfrm>
        <a:prstGeom prst="ellipse">
          <a:avLst/>
        </a:prstGeom>
        <a:solidFill>
          <a:schemeClr val="accent4">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Enhanced soil capacity</a:t>
          </a:r>
        </a:p>
      </dsp:txBody>
      <dsp:txXfrm>
        <a:off x="3333769" y="444502"/>
        <a:ext cx="812366" cy="812366"/>
      </dsp:txXfrm>
    </dsp:sp>
    <dsp:sp modelId="{19B68717-5C42-4574-BDDD-5C3097653D6A}">
      <dsp:nvSpPr>
        <dsp:cNvPr id="0" name=""/>
        <dsp:cNvSpPr/>
      </dsp:nvSpPr>
      <dsp:spPr>
        <a:xfrm>
          <a:off x="3767802" y="971323"/>
          <a:ext cx="1148860" cy="1148860"/>
        </a:xfrm>
        <a:prstGeom prst="ellipse">
          <a:avLst/>
        </a:prstGeom>
        <a:solidFill>
          <a:schemeClr val="accent5">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Nutrient adsorption and cation exchange</a:t>
          </a:r>
        </a:p>
      </dsp:txBody>
      <dsp:txXfrm>
        <a:off x="3936049" y="1139570"/>
        <a:ext cx="812366" cy="812366"/>
      </dsp:txXfrm>
    </dsp:sp>
    <dsp:sp modelId="{0004310E-12C5-4F08-97A3-2F80B820696E}">
      <dsp:nvSpPr>
        <dsp:cNvPr id="0" name=""/>
        <dsp:cNvSpPr/>
      </dsp:nvSpPr>
      <dsp:spPr>
        <a:xfrm>
          <a:off x="3898690" y="1881669"/>
          <a:ext cx="1148860" cy="1148860"/>
        </a:xfrm>
        <a:prstGeom prst="ellipse">
          <a:avLst/>
        </a:prstGeom>
        <a:solidFill>
          <a:schemeClr val="accent6">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Pathogen control</a:t>
          </a:r>
        </a:p>
      </dsp:txBody>
      <dsp:txXfrm>
        <a:off x="4066937" y="2049916"/>
        <a:ext cx="812366" cy="812366"/>
      </dsp:txXfrm>
    </dsp:sp>
    <dsp:sp modelId="{93F84031-4B2A-4167-B8F8-FB584C1BB59D}">
      <dsp:nvSpPr>
        <dsp:cNvPr id="0" name=""/>
        <dsp:cNvSpPr/>
      </dsp:nvSpPr>
      <dsp:spPr>
        <a:xfrm>
          <a:off x="3516630" y="2718264"/>
          <a:ext cx="1148860" cy="1148860"/>
        </a:xfrm>
        <a:prstGeom prst="ellipse">
          <a:avLst/>
        </a:prstGeom>
        <a:solidFill>
          <a:schemeClr val="accent2">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Removal of organic and inorganic contaminants</a:t>
          </a:r>
        </a:p>
      </dsp:txBody>
      <dsp:txXfrm>
        <a:off x="3684877" y="2886511"/>
        <a:ext cx="812366" cy="812366"/>
      </dsp:txXfrm>
    </dsp:sp>
    <dsp:sp modelId="{C9EE9363-80C9-463E-80CB-6E4B9CB4FA3A}">
      <dsp:nvSpPr>
        <dsp:cNvPr id="0" name=""/>
        <dsp:cNvSpPr/>
      </dsp:nvSpPr>
      <dsp:spPr>
        <a:xfrm>
          <a:off x="2742923" y="3215495"/>
          <a:ext cx="1148860" cy="1148860"/>
        </a:xfrm>
        <a:prstGeom prst="ellipse">
          <a:avLst/>
        </a:prstGeom>
        <a:solidFill>
          <a:schemeClr val="accent3">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Increase soil nutrient availability</a:t>
          </a:r>
        </a:p>
      </dsp:txBody>
      <dsp:txXfrm>
        <a:off x="2911170" y="3383742"/>
        <a:ext cx="812366" cy="812366"/>
      </dsp:txXfrm>
    </dsp:sp>
    <dsp:sp modelId="{621A127E-ABD1-47C7-90A2-9EDCBD909BC8}">
      <dsp:nvSpPr>
        <dsp:cNvPr id="0" name=""/>
        <dsp:cNvSpPr/>
      </dsp:nvSpPr>
      <dsp:spPr>
        <a:xfrm>
          <a:off x="1823216" y="3215495"/>
          <a:ext cx="1148860" cy="1148860"/>
        </a:xfrm>
        <a:prstGeom prst="ellipse">
          <a:avLst/>
        </a:prstGeom>
        <a:solidFill>
          <a:schemeClr val="accent4">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Soil amendment and conditioning</a:t>
          </a:r>
        </a:p>
      </dsp:txBody>
      <dsp:txXfrm>
        <a:off x="1991463" y="3383742"/>
        <a:ext cx="812366" cy="812366"/>
      </dsp:txXfrm>
    </dsp:sp>
    <dsp:sp modelId="{45F4FA1E-7E41-4CB2-AC90-474EDE8B3E11}">
      <dsp:nvSpPr>
        <dsp:cNvPr id="0" name=""/>
        <dsp:cNvSpPr/>
      </dsp:nvSpPr>
      <dsp:spPr>
        <a:xfrm>
          <a:off x="1049509" y="2718264"/>
          <a:ext cx="1148860" cy="1148860"/>
        </a:xfrm>
        <a:prstGeom prst="ellipse">
          <a:avLst/>
        </a:prstGeom>
        <a:solidFill>
          <a:schemeClr val="accent5">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Carbon sequestration</a:t>
          </a:r>
        </a:p>
      </dsp:txBody>
      <dsp:txXfrm>
        <a:off x="1217756" y="2886511"/>
        <a:ext cx="812366" cy="812366"/>
      </dsp:txXfrm>
    </dsp:sp>
    <dsp:sp modelId="{C2BC5706-7613-4B54-8576-84E30CD280EF}">
      <dsp:nvSpPr>
        <dsp:cNvPr id="0" name=""/>
        <dsp:cNvSpPr/>
      </dsp:nvSpPr>
      <dsp:spPr>
        <a:xfrm>
          <a:off x="667449" y="1881669"/>
          <a:ext cx="1148860" cy="1148860"/>
        </a:xfrm>
        <a:prstGeom prst="ellipse">
          <a:avLst/>
        </a:prstGeom>
        <a:solidFill>
          <a:schemeClr val="accent6">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Greenhouse gas mitigation</a:t>
          </a:r>
        </a:p>
      </dsp:txBody>
      <dsp:txXfrm>
        <a:off x="835696" y="2049916"/>
        <a:ext cx="812366" cy="812366"/>
      </dsp:txXfrm>
    </dsp:sp>
    <dsp:sp modelId="{D7AFABB2-3C1F-42B8-910D-5BF32990DEC4}">
      <dsp:nvSpPr>
        <dsp:cNvPr id="0" name=""/>
        <dsp:cNvSpPr/>
      </dsp:nvSpPr>
      <dsp:spPr>
        <a:xfrm>
          <a:off x="798337" y="971323"/>
          <a:ext cx="1148860" cy="1148860"/>
        </a:xfrm>
        <a:prstGeom prst="ellipse">
          <a:avLst/>
        </a:prstGeom>
        <a:solidFill>
          <a:schemeClr val="accent2">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Renewable energy co-products</a:t>
          </a:r>
        </a:p>
      </dsp:txBody>
      <dsp:txXfrm>
        <a:off x="966584" y="1139570"/>
        <a:ext cx="812366" cy="812366"/>
      </dsp:txXfrm>
    </dsp:sp>
    <dsp:sp modelId="{6690A944-D014-4283-BA5F-C71B7FEFB806}">
      <dsp:nvSpPr>
        <dsp:cNvPr id="0" name=""/>
        <dsp:cNvSpPr/>
      </dsp:nvSpPr>
      <dsp:spPr>
        <a:xfrm>
          <a:off x="1400617" y="276255"/>
          <a:ext cx="1148860" cy="1148860"/>
        </a:xfrm>
        <a:prstGeom prst="ellipse">
          <a:avLst/>
        </a:prstGeom>
        <a:solidFill>
          <a:schemeClr val="accent3">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Boost crop productivity and yield</a:t>
          </a:r>
        </a:p>
      </dsp:txBody>
      <dsp:txXfrm>
        <a:off x="1568864" y="444502"/>
        <a:ext cx="812366" cy="8123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B12E-4B7B-426E-B14A-9B5572B1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9312</Words>
  <Characters>53082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dcterms:created xsi:type="dcterms:W3CDTF">2025-08-19T16:51:00Z</dcterms:created>
  <dcterms:modified xsi:type="dcterms:W3CDTF">2025-08-25T15:39:00Z</dcterms:modified>
</cp:coreProperties>
</file>