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0F67" w14:textId="77777777" w:rsidR="00392A4E" w:rsidRDefault="00B3645F">
      <w:pPr>
        <w:spacing w:after="28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Ethical Implications and Cybersecurity Risks of Hyper-Personalized AI Feedback Systems for Mental Health Support in Home Environment</w:t>
      </w:r>
    </w:p>
    <w:p w14:paraId="70B9D1E9" w14:textId="77777777" w:rsidR="00392A4E" w:rsidRDefault="00392A4E">
      <w:pPr>
        <w:spacing w:before="280" w:after="280" w:line="360" w:lineRule="auto"/>
        <w:jc w:val="center"/>
        <w:rPr>
          <w:rFonts w:ascii="Times New Roman" w:eastAsia="Times New Roman" w:hAnsi="Times New Roman" w:cs="Times New Roman"/>
          <w:b/>
          <w:sz w:val="36"/>
          <w:szCs w:val="36"/>
        </w:rPr>
      </w:pPr>
    </w:p>
    <w:p w14:paraId="23B6BC46" w14:textId="77777777" w:rsidR="00392A4E" w:rsidRDefault="00B3645F">
      <w:pPr>
        <w:spacing w:line="360" w:lineRule="auto"/>
        <w:jc w:val="both"/>
        <w:rPr>
          <w:rFonts w:ascii="Times New Roman" w:eastAsia="Times New Roman" w:hAnsi="Times New Roman" w:cs="Times New Roman"/>
          <w:b/>
          <w:sz w:val="24"/>
          <w:szCs w:val="24"/>
        </w:rPr>
      </w:pPr>
      <w:bookmarkStart w:id="0" w:name="_95b43sldniqy" w:colFirst="0" w:colLast="0"/>
      <w:bookmarkEnd w:id="0"/>
      <w:r>
        <w:rPr>
          <w:rFonts w:ascii="Times New Roman" w:eastAsia="Times New Roman" w:hAnsi="Times New Roman" w:cs="Times New Roman"/>
          <w:b/>
          <w:sz w:val="24"/>
          <w:szCs w:val="24"/>
        </w:rPr>
        <w:t>Abstract</w:t>
      </w:r>
    </w:p>
    <w:p w14:paraId="3461A12C" w14:textId="77777777" w:rsidR="001D7047" w:rsidRPr="001D7047" w:rsidRDefault="001D7047" w:rsidP="001D7047">
      <w:pPr>
        <w:spacing w:line="276" w:lineRule="auto"/>
        <w:jc w:val="both"/>
        <w:rPr>
          <w:rFonts w:ascii="Times New Roman" w:hAnsi="Times New Roman" w:cs="Times New Roman"/>
          <w:i/>
          <w:sz w:val="24"/>
          <w:szCs w:val="24"/>
        </w:rPr>
      </w:pPr>
      <w:r w:rsidRPr="001D7047">
        <w:rPr>
          <w:rFonts w:ascii="Times New Roman" w:hAnsi="Times New Roman" w:cs="Times New Roman"/>
          <w:i/>
          <w:sz w:val="24"/>
          <w:szCs w:val="24"/>
        </w:rPr>
        <w:t>This study explores the ethical implications and cybersecurity risks of hyper-personalized AI feedback systems designed for mental health support in home settings, examining both their transformative potential and associated challenges. The introduction opens by emphasizing the growing role of AI-driven mental health interventions, while underscoring critical concerns related to privacy, autonomy, and security. It then integrates existing research on digital phenotyping, ethical frameworks, and cybersecurity vulnerabilities, highlighting gaps in research on long-term impacts and the absence of standardized protocols. To address these issues, the study adopts a convergent mixed-methods design, combining quantitative cybersecurity assessments (e.g., CVSS, STRIDE) with qualitative ethical evaluations (IEACP) to ensure methodological rigor. The results show that 45.3% of identified vulnerabilities fall within the high-to-critical range, with Cross-site Scripting appearing most frequently. Ethical compliance averages 6.48/10, revealing notable shortcomings in areas of autonomy and informed consent. Among the systems evaluated, System 5 achieves the highest integrated score of 0.863; however, trade-offs between security and ethical considerations remain evident. The study concludes that although the proposed integrated framework effectively merges ethical principles with cybersecurity best practices, inconsistent compliance and rapidly evolving threats demand the establishment of stronger standards. Importantly, this framework offers a foundation for shaping future development and informing policy by aligning technological innovation with ethical responsibility and security requirements. Key recommendations include the development of standardized ethical guidelines, the implementation of advanced privacy-preserving technologies such as federated learning, and the conduction of real-world trials to strengthen resilience and equity. Ultimately, the findings underscore the importance of adaptive, patient-centered AI systems to deliver safe and ethical mental health support in home environments.</w:t>
      </w:r>
    </w:p>
    <w:p w14:paraId="2070E35D"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Hyper-personalized AI, Mental health, Cybersecurity vulnerabilities, Ethical implications, Home environment</w:t>
      </w:r>
    </w:p>
    <w:p w14:paraId="25CF1A1D" w14:textId="77777777" w:rsidR="00392A4E" w:rsidRPr="00B3645F" w:rsidRDefault="00392A4E">
      <w:pPr>
        <w:spacing w:line="360" w:lineRule="auto"/>
        <w:jc w:val="both"/>
        <w:rPr>
          <w:rFonts w:ascii="Times New Roman" w:eastAsia="Times New Roman" w:hAnsi="Times New Roman" w:cs="Times New Roman"/>
          <w:b/>
          <w:sz w:val="24"/>
          <w:szCs w:val="24"/>
          <w:u w:val="single"/>
        </w:rPr>
      </w:pPr>
    </w:p>
    <w:p w14:paraId="15298E46" w14:textId="77777777" w:rsidR="00392A4E" w:rsidRDefault="00392A4E">
      <w:pPr>
        <w:spacing w:line="360" w:lineRule="auto"/>
        <w:jc w:val="both"/>
        <w:rPr>
          <w:rFonts w:ascii="Times New Roman" w:eastAsia="Times New Roman" w:hAnsi="Times New Roman" w:cs="Times New Roman"/>
          <w:b/>
          <w:sz w:val="24"/>
          <w:szCs w:val="24"/>
        </w:rPr>
      </w:pPr>
    </w:p>
    <w:p w14:paraId="7643CEB2"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b/>
          <w:sz w:val="24"/>
          <w:szCs w:val="24"/>
        </w:rPr>
        <w:tab/>
        <w:t>Introduction</w:t>
      </w:r>
    </w:p>
    <w:p w14:paraId="225D7681"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convergence of artificial intelligence (AI) and mental healthcare has ushered in a transformative era for psychological support, particularly through hyper-personalized AI feedback systems deployed in home environments. These systems leverage advanced machine learning, natural language processing, and ambient intelligence to deliver tailored mental health interventions, adapting to users’ behavioral patterns, emotional states, and environmental contexts (Bickman, 2020). By utilizing digital phenotyping where data from smartphones, wearables, and environmental sensors are analyzed, these systems offer real-time insights into mental health trajectories, enabling early detection of psychological distress and personalized therapeutic strategies, such as cognitive behavioral therapy (CBT) via conversational agents (Fitzpatrick et al., 2017). The COVID-19 pandemic accelerated the adoption of these technologies, addressing the surge in mental health needs amid social distancing mandates (Moreno et al., 2020). However, the integration of such systems into private home settings raises profound ethical and cybersecurity challenges, necessitating rigorous examination to ensure responsible deployment.</w:t>
      </w:r>
    </w:p>
    <w:p w14:paraId="769805CE"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Hyper-personalized AI systems collect and process sensitive psychological data, including mood fluctuations, sleep patterns, and social interactions, often in real-time within the intimate context of the home (Onnela &amp; Rauch, 2016). While these capabilities enhance accessibility and scalability of mental health support, they introduce complex ethical dilemmas surrounding privacy, autonomy, and informed consent. The home, traditionally a private sanctuary, becomes a space of continuous monitoring, potentially undermining personal freedom and fostering anxiety or dependency on technological validation (Martinez-Martin &amp; Kreitmair, 2018). Moreover, the lack of comprehensive ethical frameworks tailored to these systems exacerbates concerns about data sovereignty and the potential for psychological harm, particularly when algorithms exhibit biases that may disproportionately affect marginalized communities (Obermeyer et al., 2019).</w:t>
      </w:r>
    </w:p>
    <w:p w14:paraId="4123B2F6"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Cybersecurity risks further complicate the deployment of AI-driven mental health systems. The sensitive nature of psychological data makes these systems prime targets for cyberattacks, with potential consequences extending beyond data breaches to include psychological manipulation and targeted harassment (Adjei, 2024). The interconnectedness of these systems with smart home devices and cloud services expands the attack surface, increasing vulnerabilities to adversarial </w:t>
      </w:r>
      <w:r>
        <w:rPr>
          <w:rFonts w:ascii="Times New Roman" w:eastAsia="Times New Roman" w:hAnsi="Times New Roman" w:cs="Times New Roman"/>
          <w:sz w:val="24"/>
          <w:szCs w:val="24"/>
        </w:rPr>
        <w:lastRenderedPageBreak/>
        <w:t>exploits (Huckvale et al., 2015). Current regulatory frameworks, such as those governing healthcare data, are ill-equipped to address the unique challenges of AI-mediated mental health interventions, leaving significant gaps in oversight and patient protection (Wykes et al., 2019). The absence of standardized cybersecurity protocols specific to these systems heightens the risk of exploitation, particularly for vulnerable populations.</w:t>
      </w:r>
    </w:p>
    <w:p w14:paraId="11955C6A"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significance of addressing these challenges lies in their implications for clinical practice, policy development, and societal trust in digital mental health solutions. For healthcare practitioners, understanding the ethical and security dimensions of AI systems is critical to maintaining therapeutic efficacy and patient safety while integrating these technologies into treatment protocols (Graham et al., 2019). Policymakers require evidence-based guidance to develop regulations that balance innovation with patient protection, ensuring equitable access to mental health resources (Cohen et al., 2020). Technology developers stand to benefit from frameworks that promote privacy-preserving designs and robust security architectures, fostering trust and adoption (Bauer et al., 2020). Societally, addressing these issues proactively can reduce mental health stigma, promote equitable care, and ensure that AI technologies enhance rather than undermine human dignity.</w:t>
      </w:r>
    </w:p>
    <w:p w14:paraId="2A070834"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this research focuses on hyper-personalized AI feedback systems designed for mental health support in residential settings, encompassing technologies like conversational agents, emotion recognition systems, and ambient intelligence platforms (Huckvale et al., 2015). It examines ethical considerations, including autonomy, beneficence, and justice, alongside cybersecurity vulnerabilities such as data breaches and adversarial attacks (Adjei, 2024). The study is limited to civilian applications in developed countries with established digital health infrastructures, excluding clinical, military, or research-only systems. By exploring these dimensions, the research seeks to provide a comprehensive understanding of the challenges and opportunities presented by AI-driven mental health support in home environments.</w:t>
      </w:r>
    </w:p>
    <w:p w14:paraId="6AD2877B"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investigate the ethical implications and cybersecurity risks of hyper-personalized AI feedback systems for mental health support in home environments, proposing evidence-based recommendations for their responsible development and deployment. The specific objectives are to;</w:t>
      </w:r>
    </w:p>
    <w:p w14:paraId="29A47CA9" w14:textId="77777777" w:rsidR="00392A4E" w:rsidRDefault="00B3645F">
      <w:pPr>
        <w:numPr>
          <w:ilvl w:val="0"/>
          <w:numId w:val="1"/>
        </w:num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evaluate the ethical challenges of continuous AI monitoring, focusing on privacy, autonomy, and therapeutic relationships;</w:t>
      </w:r>
    </w:p>
    <w:p w14:paraId="264F265B" w14:textId="77777777" w:rsidR="00392A4E" w:rsidRDefault="00B3645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cybersecurity vulnerabilities and their potential impact on patient safety and data integrity; and</w:t>
      </w:r>
    </w:p>
    <w:p w14:paraId="457F250F" w14:textId="77777777" w:rsidR="00392A4E" w:rsidRDefault="00B3645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an integrated framework combining ethical principles and cybersecurity best practices for the responsible implementation of these systems.</w:t>
      </w:r>
    </w:p>
    <w:p w14:paraId="39BD8C89" w14:textId="77777777" w:rsidR="00392A4E" w:rsidRDefault="00392A4E">
      <w:pPr>
        <w:pBdr>
          <w:top w:val="nil"/>
          <w:left w:val="nil"/>
          <w:bottom w:val="nil"/>
          <w:right w:val="nil"/>
          <w:between w:val="nil"/>
        </w:pBdr>
        <w:spacing w:after="280" w:line="360" w:lineRule="auto"/>
        <w:ind w:left="720"/>
        <w:jc w:val="both"/>
        <w:rPr>
          <w:rFonts w:ascii="Times New Roman" w:eastAsia="Times New Roman" w:hAnsi="Times New Roman" w:cs="Times New Roman"/>
          <w:color w:val="000000"/>
          <w:sz w:val="24"/>
          <w:szCs w:val="24"/>
        </w:rPr>
      </w:pPr>
    </w:p>
    <w:p w14:paraId="37C546AD"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Literature Review</w:t>
      </w:r>
    </w:p>
    <w:p w14:paraId="26352BB2"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rapid integration of artificial intelligence (AI) into mental healthcare, particularly in private residential settings, has spurred significant academic discourse. This literature review organizes the discussion into four key areas by examining the comprehensive foundation for understanding the complexities of AI-driven mental health interventions and highlights critical gaps that this study seeks to address.</w:t>
      </w:r>
    </w:p>
    <w:p w14:paraId="60DA2520"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Foundations of AI in Mental Health</w:t>
      </w:r>
    </w:p>
    <w:p w14:paraId="2BCF382F"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theoretical underpinnings of hyper-personalized AI feedback systems draw from interdisciplinary frameworks in psychology, computer science, and bioethics. Digital phenotyping, a cornerstone of these systems, involves the continuous collection of behavioral and physiological data through devices like smartphones and wearables to characterize mental health status (Jain et al., 2015). This approach, rooted in behavioral psychology, leverages machine learning to identify patterns indicative of psychological distress, such as changes in sleep, speech, or social activity. Ambient intelligence, another foundational concept, enables unobtrusive environmental monitoring, creating context-aware systems that adapt to users’ emotional and behavioral cues (Dunne et al., 2022). These technologies align with ecological momentary assessment theories, which emphasize real-time data capture in naturalistic settings to enhance intervention precision (Ogunmolu et al., 2025).</w:t>
      </w:r>
    </w:p>
    <w:p w14:paraId="47AB2AB5" w14:textId="77777777" w:rsidR="00392A4E" w:rsidRDefault="00B3645F">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Empirical studies highlight the efficacy of AI-driven interventions. For instance, conversational agents delivering cognitive behavioral therapy (CBT) have demonstrated significant reductions in depressive symptoms among users (Inkster et al., 2018). Predictive models, grounded in statistical </w:t>
      </w:r>
      <w:r>
        <w:rPr>
          <w:rFonts w:ascii="Times New Roman" w:eastAsia="Times New Roman" w:hAnsi="Times New Roman" w:cs="Times New Roman"/>
          <w:sz w:val="24"/>
          <w:szCs w:val="24"/>
        </w:rPr>
        <w:lastRenderedPageBreak/>
        <w:t>learning theory, have shown promise in forecasting mood disorder relapses with higher accuracy than traditional clinical assessments. However, theoretical critiques underscore the risk of over-reliance on algorithmic determinism, where complex human behaviors are reduced to data-driven predictions, potentially oversimplifying mental health dynamics (Burr &amp; Cristianini, 2019). These frameworks provide a robust basis for understanding AI’s role in mental health but raise questions about their ethical and secure implementation in home environments.</w:t>
      </w:r>
    </w:p>
    <w:p w14:paraId="0C922E1C" w14:textId="77777777" w:rsidR="00392A4E" w:rsidRDefault="00B3645F">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Implications of Hyper-Personalized AI Systems</w:t>
      </w:r>
    </w:p>
    <w:p w14:paraId="5EFF9F2B"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deployment of hyper-personalized AI systems in home-based mental health support introduces profound ethical challenges, particularly concerning privacy, autonomy, and informed consent. Privacy concerns arise from the continuous collection of sensitive psychological data in private spaces, where individuals expect freedom from surveillance (Luxton, 2020). Studies indicate that users often lack awareness of the extent of data collection, undermining informed consent processes (D’Alfonso et al., 2017). The ethics of care framework, emphasizing relational and contextual decision-making, highlights the tension between AI-driven interventions and human-centric therapeutic relationships (Balogun et al., 2025). Continuous monitoring may erode autonomy by fostering dependency on AI feedback or inducing behavioral modifications due to perceived surveillance (Sui et al., 2023).</w:t>
      </w:r>
    </w:p>
    <w:p w14:paraId="0F8A1AE7" w14:textId="77777777" w:rsidR="00392A4E" w:rsidRDefault="00B3645F">
      <w:pPr>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Algorithmic bias represents another ethical concern, as training datasets often underrepresent marginalized groups, leading to inequitable mental health interventions (Chen et al., 2019). For example, facial recognition systems used for emotion detection have shown reduced accuracy for non-caucasian populations, potentially exacerbating healthcare disparities (Raji &amp; Buolamwini, 2019). Furthermore, the commercialization of AI mental health apps raises issues of data commodification, where sensitive information may be shared with third parties without explicit user consent (Woebot Health, 2022). These ethical challenges underscore the need for frameworks that prioritize beneficence, non-maleficence, and justice in AI system design and deployment.</w:t>
      </w:r>
    </w:p>
    <w:p w14:paraId="4036C112" w14:textId="77777777" w:rsidR="00392A4E" w:rsidRDefault="00B3645F">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Cybersecurity Risks and Vulnerabilities</w:t>
      </w:r>
    </w:p>
    <w:p w14:paraId="0F99AF60"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cybersecurity landscape for AI-driven mental health systems is fraught with vulnerabilities due to the sensitive nature of psychological data and the interconnectedness of home-based technologies. Research identifies data breaches as a primary threat, with health apps often lacking </w:t>
      </w:r>
      <w:r>
        <w:rPr>
          <w:rFonts w:ascii="Times New Roman" w:eastAsia="Times New Roman" w:hAnsi="Times New Roman" w:cs="Times New Roman"/>
          <w:sz w:val="24"/>
          <w:szCs w:val="24"/>
        </w:rPr>
        <w:lastRenderedPageBreak/>
        <w:t>robust encryption or secure data storage protocols (Tangari et al., 2021; Salami et al., 2024). Adversarial attacks, such as data poisoning or model inversion, can manipulate AI outputs, potentially delivering harmful feedback to vulnerable users. The integration of mental health systems with smart home devices expands the attack surface, as unsecured IoT devices serve as entry points for malicious actors (Sivaraman et al., 2015).</w:t>
      </w:r>
    </w:p>
    <w:p w14:paraId="15E9B591" w14:textId="77777777" w:rsidR="00392A4E" w:rsidRDefault="00B3645F">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Empirical studies reveal that many mental health apps fail to comply with data protection regulations, such as the General Data Protection Regulation (GDPR), increasing the risk of unauthorized data access (Martínez-Pérez et al., 2014). The psychological impact of breaches is particularly severe, as compromised mental health data can be weaponized for social engineering or targeted harassment. Current cybersecurity frameworks, while robust for general healthcare data, lack specificity for AI-driven mental health applications, leaving gaps in threat modeling and risk assessment (Al-Garadi et al., 2022; Olutimehin et al., 2025). Addressing these vulnerabilities requires advanced encryption, secure communication protocols, and user-centric security designs.</w:t>
      </w:r>
    </w:p>
    <w:p w14:paraId="41E73E4A" w14:textId="77777777" w:rsidR="00392A4E" w:rsidRDefault="00B3645F">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Gaps and Current Approaches</w:t>
      </w:r>
    </w:p>
    <w:p w14:paraId="5F4D62B7"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advances in AI-driven mental health technologies, significant research gaps persist. First, the long-term psychological effects of continuous AI monitoring remain underexplored, with limited studies examining whether constant surveillance induces anxiety or alters natural behaviors (Torous &amp; Roberts, 2017). Second, the impact of algorithmic bias on mental health outcomes, particularly for underrepresented populations, is inadequately addressed, necessitating more inclusive dataset development (Obermeyer &amp; Powers, 2019). Third, the absence of standardized ethical and cybersecurity frameworks tailored to home-based AI systems hinders responsible deployment (Wykes &amp; Schueller, 2019). Current approaches often prioritize technical efficacy over ethical and security considerations, creating a fragmented landscape (Mohr et al., 2017).</w:t>
      </w:r>
    </w:p>
    <w:p w14:paraId="36D0EB69"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efforts to address these gaps include the development of privacy-preserving AI architectures, such as federated learning, which minimize data exposure (Yang et al., 2019). Regulatory initiatives, such as the European AI Act, aim to establish oversight for high-risk AI systems, but their application to mental health remains nascent (European Commission, 2021). Industry standards for secure app development are emerging, yet compliance remains inconsistent (Martínez-Pérez et al., 2014). This study seeks to bridge these gaps by proposing an integrated </w:t>
      </w:r>
      <w:r>
        <w:rPr>
          <w:rFonts w:ascii="Times New Roman" w:eastAsia="Times New Roman" w:hAnsi="Times New Roman" w:cs="Times New Roman"/>
          <w:sz w:val="24"/>
          <w:szCs w:val="24"/>
        </w:rPr>
        <w:lastRenderedPageBreak/>
        <w:t>framework that synthesizes ethical principles and cybersecurity best practices, ensuring responsible implementation of hyper-personalized AI systems in mental health support.</w:t>
      </w:r>
    </w:p>
    <w:p w14:paraId="07E3E853" w14:textId="77777777" w:rsidR="00392A4E" w:rsidRDefault="00392A4E">
      <w:pPr>
        <w:spacing w:line="360" w:lineRule="auto"/>
        <w:jc w:val="both"/>
        <w:rPr>
          <w:rFonts w:ascii="Times New Roman" w:eastAsia="Times New Roman" w:hAnsi="Times New Roman" w:cs="Times New Roman"/>
          <w:sz w:val="24"/>
          <w:szCs w:val="24"/>
        </w:rPr>
      </w:pPr>
    </w:p>
    <w:p w14:paraId="4D546F13" w14:textId="5C8A1942"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Methodology</w:t>
      </w:r>
    </w:p>
    <w:p w14:paraId="3B360B36"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convergent mixed-methods design integrates quantitative cybersecurity assessments with qualitative ethical evaluations, supported by systematic literature synthesis, computational threat modeling, and empirical validation protocols. The following sections detail the research design, data collection, analysis, and validation strategies, employing mathematical and statistical frameworks to ensure rigor and reproducibility. The systematic analyses use literature synthesis to get Common Vulnerabilities and Exposures (CVE) data, STRIDE threat modeling, etc.</w:t>
      </w:r>
    </w:p>
    <w:p w14:paraId="2358F242"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Design</w:t>
      </w:r>
    </w:p>
    <w:p w14:paraId="26528713"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adopts a convergent mixed-methods design to balance quantitative cybersecurity metrics and qualitative ethical findings, ensuring a comprehensive evaluation of AI mental health systems (Creswell &amp; Clark, 2018). The integration model is defined as:</w:t>
      </w:r>
    </w:p>
    <w:p w14:paraId="4714A71D"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I=</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Q</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findings</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qu</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Qu</m:t>
                  </m:r>
                </m:e>
                <m:sub>
                  <m:r>
                    <w:rPr>
                      <w:rFonts w:ascii="Cambria Math" w:eastAsia="Cambria Math" w:hAnsi="Cambria Math" w:cs="Cambria Math"/>
                      <w:sz w:val="24"/>
                      <w:szCs w:val="24"/>
                    </w:rPr>
                    <m:t>findings</m:t>
                  </m:r>
                </m:sub>
              </m:sSub>
            </m:num>
            <m:den>
              <m:r>
                <w:rPr>
                  <w:rFonts w:ascii="Cambria Math" w:eastAsia="Cambria Math" w:hAnsi="Cambria Math" w:cs="Cambria Math"/>
                  <w:sz w:val="24"/>
                  <w:szCs w:val="24"/>
                </w:rPr>
                <m:t>0.6 + 0.4</m:t>
              </m:r>
            </m:den>
          </m:f>
        </m:oMath>
      </m:oMathPara>
    </w:p>
    <w:p w14:paraId="7E5BDAC0"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(I) represents integrated inference,</w:t>
      </w:r>
      <m:oMath>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Q</m:t>
            </m:r>
          </m:sub>
        </m:sSub>
      </m:oMath>
      <w:r>
        <w:rPr>
          <w:rFonts w:ascii="Times New Roman" w:eastAsia="Times New Roman" w:hAnsi="Times New Roman" w:cs="Times New Roman"/>
          <w:sz w:val="24"/>
          <w:szCs w:val="24"/>
        </w:rPr>
        <w:t xml:space="preserve"> = 0.6 weights quantitative findings (cybersecurity metrics), and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qu</m:t>
            </m:r>
          </m:sub>
        </m:sSub>
      </m:oMath>
      <w:r>
        <w:rPr>
          <w:rFonts w:ascii="Times New Roman" w:eastAsia="Times New Roman" w:hAnsi="Times New Roman" w:cs="Times New Roman"/>
          <w:sz w:val="24"/>
          <w:szCs w:val="24"/>
        </w:rPr>
        <w:t xml:space="preserve"> = 0.4 weights qualitative findings (ethical assessments). This formula mathematically combines both data types to produce a unified inference, addressing the multidimensional nature of ethical and cybersecurity challenges in home-based AI systems. A research convergence matrix maps the interrelations among ethical dimensions (E), security parameters (S), and vulnerability vectors (V):</w:t>
      </w:r>
    </w:p>
    <w:p w14:paraId="24E3E213" w14:textId="77777777" w:rsidR="00392A4E" w:rsidRDefault="00000000">
      <w:pPr>
        <w:jc w:val="cente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matrix</m:t>
              </m:r>
            </m:sub>
          </m:sSub>
          <m:r>
            <w:rPr>
              <w:rFonts w:ascii="Cambria Math" w:eastAsia="Cambria Math" w:hAnsi="Cambria Math" w:cs="Cambria Math"/>
              <w:sz w:val="24"/>
              <w:szCs w:val="24"/>
            </w:rPr>
            <m:t>=</m:t>
          </m:r>
          <m:d>
            <m:dPr>
              <m:begChr m:val="["/>
              <m:endChr m:val="]"/>
              <m:ctrlPr>
                <w:rPr>
                  <w:rFonts w:ascii="Cambria Math" w:hAnsi="Cambria Math"/>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autonomy</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privacy</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integrity</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beneficence</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confidentiality</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availabilty</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justice</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authentication</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non-repudiation</m:t>
                  </m:r>
                </m:sub>
              </m:sSub>
              <m:r>
                <w:rPr>
                  <w:rFonts w:ascii="Cambria Math" w:hAnsi="Cambria Math"/>
                </w:rPr>
                <m:t xml:space="preserve"> </m:t>
              </m:r>
            </m:e>
          </m:d>
        </m:oMath>
      </m:oMathPara>
    </w:p>
    <w:p w14:paraId="5564C326"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matrix operationalizes the study’s aim by systematically linking ethical principles, security factors, and vulnerabilities, providing a structured framework for analysis (Monosov et al., 2024).</w:t>
      </w:r>
    </w:p>
    <w:p w14:paraId="159F7740" w14:textId="77777777" w:rsidR="00392A4E" w:rsidRDefault="00392A4E">
      <w:pPr>
        <w:spacing w:before="240" w:line="360" w:lineRule="auto"/>
        <w:jc w:val="both"/>
        <w:rPr>
          <w:rFonts w:ascii="Times New Roman" w:eastAsia="Times New Roman" w:hAnsi="Times New Roman" w:cs="Times New Roman"/>
          <w:b/>
          <w:sz w:val="24"/>
          <w:szCs w:val="24"/>
        </w:rPr>
      </w:pPr>
    </w:p>
    <w:p w14:paraId="21AEA20D" w14:textId="77777777" w:rsidR="00392A4E" w:rsidRDefault="00B3645F">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Systematic Literature Review Protocol</w:t>
      </w:r>
    </w:p>
    <w:p w14:paraId="438B915B"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systematic literature review, guided by PRISMA 2020 to extract Common Vulnerabilities and Exposures (CVE) data, synthesizes evidence on AI mental health applications, cybersecurity, and ethics in home environments (Page et al., 2021). The search strategy is formalized as:</w:t>
      </w:r>
    </w:p>
    <w:p w14:paraId="5C543895"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Search</m:t>
              </m:r>
            </m:e>
            <m:sub>
              <m:r>
                <w:rPr>
                  <w:rFonts w:ascii="Cambria Math" w:eastAsia="Cambria Math" w:hAnsi="Cambria Math" w:cs="Cambria Math"/>
                  <w:sz w:val="24"/>
                  <w:szCs w:val="24"/>
                </w:rPr>
                <m:t>total</m:t>
              </m:r>
            </m:sub>
          </m:sSub>
          <m:r>
            <w:rPr>
              <w:rFonts w:ascii="Cambria Math" w:eastAsia="Cambria Math" w:hAnsi="Cambria Math" w:cs="Cambria Math"/>
              <w:sz w:val="24"/>
              <w:szCs w:val="24"/>
            </w:rPr>
            <m:t>=</m:t>
          </m:r>
          <m:sSubSup>
            <m:sSubSupPr>
              <m:ctrlPr>
                <w:rPr>
                  <w:rFonts w:ascii="Cambria Math" w:eastAsia="Cambria Math" w:hAnsi="Cambria Math" w:cs="Cambria Math"/>
                  <w:sz w:val="24"/>
                  <w:szCs w:val="24"/>
                </w:rPr>
              </m:ctrlPr>
            </m:sSubSupPr>
            <m:e>
              <m:r>
                <w:rPr>
                  <w:rFonts w:ascii="Cambria Math" w:hAnsi="Cambria Math"/>
                </w:rPr>
                <m:t>⋃</m:t>
              </m:r>
            </m:e>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sSubSup>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Keywords</m:t>
              </m:r>
            </m:e>
            <m:sub>
              <m:r>
                <w:rPr>
                  <w:rFonts w:ascii="Cambria Math" w:eastAsia="Cambria Math" w:hAnsi="Cambria Math" w:cs="Cambria Math"/>
                  <w:sz w:val="24"/>
                  <w:szCs w:val="24"/>
                </w:rPr>
                <m:t>i</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Database</m:t>
              </m:r>
            </m:e>
            <m:sub>
              <m:r>
                <w:rPr>
                  <w:rFonts w:ascii="Cambria Math" w:eastAsia="Cambria Math" w:hAnsi="Cambria Math" w:cs="Cambria Math"/>
                  <w:sz w:val="24"/>
                  <w:szCs w:val="24"/>
                </w:rPr>
                <m:t>j</m:t>
              </m:r>
            </m:sub>
          </m:sSub>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Timeframe</m:t>
              </m:r>
            </m:e>
            <m:sub>
              <m:r>
                <w:rPr>
                  <w:rFonts w:ascii="Cambria Math" w:eastAsia="Cambria Math" w:hAnsi="Cambria Math" w:cs="Cambria Math"/>
                  <w:sz w:val="24"/>
                  <w:szCs w:val="24"/>
                </w:rPr>
                <m:t>k</m:t>
              </m:r>
            </m:sub>
          </m:sSub>
        </m:oMath>
      </m:oMathPara>
    </w:p>
    <w:p w14:paraId="260B94E1"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employs Boolean logic to capture studies using terms like “hyper-personalized AI,” “mental health,” “cybersecurity,” and “home environment,” ensuring comprehensive evidence collection. Study inclusion is determined using a Bayesian probability function:</w:t>
      </w:r>
    </w:p>
    <w:p w14:paraId="255B5308"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P(Include|Study)=</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P(Study|Include)⋅P(Include)</m:t>
              </m:r>
            </m:num>
            <m:den>
              <m:r>
                <w:rPr>
                  <w:rFonts w:ascii="Cambria Math" w:eastAsia="Cambria Math" w:hAnsi="Cambria Math" w:cs="Cambria Math"/>
                  <w:sz w:val="24"/>
                  <w:szCs w:val="24"/>
                </w:rPr>
                <m:t>P(Study)</m:t>
              </m:r>
            </m:den>
          </m:f>
        </m:oMath>
      </m:oMathPara>
    </w:p>
    <w:p w14:paraId="3B8D24D6"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prioritizes relevant literature, with inclusion criteria weighted via:</w:t>
      </w:r>
    </w:p>
    <w:p w14:paraId="30CAF1CC"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score</m:t>
              </m:r>
            </m:sub>
          </m:sSub>
          <m:r>
            <w:rPr>
              <w:rFonts w:ascii="Cambria Math" w:eastAsia="Cambria Math" w:hAnsi="Cambria Math" w:cs="Cambria Math"/>
              <w:sz w:val="24"/>
              <w:szCs w:val="24"/>
            </w:rPr>
            <m:t>=</m:t>
          </m:r>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8</m:t>
              </m:r>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i</m:t>
              </m:r>
            </m:sub>
          </m:sSub>
        </m:oMath>
      </m:oMathPara>
    </w:p>
    <w:p w14:paraId="74AAE098"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weights include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oMath>
      <w:r>
        <w:rPr>
          <w:rFonts w:ascii="Times New Roman" w:eastAsia="Times New Roman" w:hAnsi="Times New Roman" w:cs="Times New Roman"/>
          <w:sz w:val="24"/>
          <w:szCs w:val="24"/>
        </w:rPr>
        <w:t xml:space="preserve"> 0.20 (AI mental health focus),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1</m:t>
            </m:r>
          </m:sub>
        </m:sSub>
      </m:oMath>
      <w:r>
        <w:rPr>
          <w:rFonts w:ascii="Times New Roman" w:eastAsia="Times New Roman" w:hAnsi="Times New Roman" w:cs="Times New Roman"/>
          <w:sz w:val="24"/>
          <w:szCs w:val="24"/>
        </w:rPr>
        <w:t>= 0.15 (home deployment), and others, ensuring alignment with the research scope (Page et al., 2021). These formulas ensure a rigorous, reproducible literature synthesis critical for underpinning the study’s ethical and cybersecurity analyses.</w:t>
      </w:r>
    </w:p>
    <w:p w14:paraId="5A771DFB"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Cybersecurity Vulnerability Assessment Framework</w:t>
      </w:r>
    </w:p>
    <w:p w14:paraId="26C5FC47"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Cybersecurity risks are assessed using an adapted STRIDE model tailored for AI mental health systems and displayed in Figure 1:</w:t>
      </w:r>
    </w:p>
    <w:p w14:paraId="146BFE52"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STRIDE</m:t>
              </m:r>
            </m:e>
            <m:sub>
              <m:r>
                <w:rPr>
                  <w:rFonts w:ascii="Cambria Math" w:eastAsia="Cambria Math" w:hAnsi="Cambria Math" w:cs="Cambria Math"/>
                  <w:sz w:val="24"/>
                  <w:szCs w:val="24"/>
                </w:rPr>
                <m:t>AI</m:t>
              </m:r>
            </m:sub>
          </m:sSub>
          <m:r>
            <w:rPr>
              <w:rFonts w:ascii="Cambria Math" w:eastAsia="Cambria Math" w:hAnsi="Cambria Math" w:cs="Cambria Math"/>
              <w:sz w:val="24"/>
              <w:szCs w:val="24"/>
            </w:rPr>
            <m:t>=</m:t>
          </m:r>
          <m:d>
            <m:dPr>
              <m:begChr m:val="{"/>
              <m:endChr m:val="}"/>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poofing</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m:t>
                  </m:r>
                </m:e>
                <m:sub>
                  <m:r>
                    <w:rPr>
                      <w:rFonts w:ascii="Cambria Math" w:eastAsia="Cambria Math" w:hAnsi="Cambria Math" w:cs="Cambria Math"/>
                      <w:sz w:val="24"/>
                      <w:szCs w:val="24"/>
                    </w:rPr>
                    <m:t>ampering</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epudiation</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 xml:space="preserve"> I</m:t>
                  </m:r>
                </m:e>
                <m:sub>
                  <m:r>
                    <w:rPr>
                      <w:rFonts w:ascii="Cambria Math" w:eastAsia="Cambria Math" w:hAnsi="Cambria Math" w:cs="Cambria Math"/>
                      <w:sz w:val="24"/>
                      <w:szCs w:val="24"/>
                    </w:rPr>
                    <m:t>disclosure</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D</m:t>
                  </m:r>
                </m:e>
                <m:sub>
                  <m:r>
                    <w:rPr>
                      <w:rFonts w:ascii="Cambria Math" w:eastAsia="Cambria Math" w:hAnsi="Cambria Math" w:cs="Cambria Math"/>
                      <w:sz w:val="24"/>
                      <w:szCs w:val="24"/>
                    </w:rPr>
                    <m:t>os</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 xml:space="preserve"> E</m:t>
                  </m:r>
                </m:e>
                <m:sub>
                  <m:r>
                    <w:rPr>
                      <w:rFonts w:ascii="Cambria Math" w:eastAsia="Cambria Math" w:hAnsi="Cambria Math" w:cs="Cambria Math"/>
                      <w:sz w:val="24"/>
                      <w:szCs w:val="24"/>
                    </w:rPr>
                    <m:t>levation</m:t>
                  </m:r>
                </m:sub>
              </m:sSub>
            </m:e>
          </m:d>
        </m:oMath>
      </m:oMathPara>
    </w:p>
    <w:p w14:paraId="0E08510E"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categorizes threats specific to AI feedback systems, enabling targeted risk identification (Shostack, 2014). </w:t>
      </w:r>
    </w:p>
    <w:p w14:paraId="701A4194" w14:textId="77777777" w:rsidR="00392A4E" w:rsidRDefault="00392A4E">
      <w:pPr>
        <w:spacing w:line="360" w:lineRule="auto"/>
        <w:jc w:val="both"/>
        <w:rPr>
          <w:rFonts w:ascii="Times New Roman" w:eastAsia="Times New Roman" w:hAnsi="Times New Roman" w:cs="Times New Roman"/>
          <w:sz w:val="24"/>
          <w:szCs w:val="24"/>
        </w:rPr>
      </w:pPr>
    </w:p>
    <w:p w14:paraId="3A52AD26" w14:textId="77777777" w:rsidR="00392A4E" w:rsidRDefault="00392A4E">
      <w:pPr>
        <w:spacing w:line="360" w:lineRule="auto"/>
        <w:jc w:val="both"/>
        <w:rPr>
          <w:rFonts w:ascii="Times New Roman" w:eastAsia="Times New Roman" w:hAnsi="Times New Roman" w:cs="Times New Roman"/>
          <w:sz w:val="24"/>
          <w:szCs w:val="24"/>
        </w:rPr>
      </w:pPr>
    </w:p>
    <w:p w14:paraId="164140FB" w14:textId="232209E1" w:rsidR="00392A4E" w:rsidRPr="00331463"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331463">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STRIDE Threat Model for AI Mental Health</w:t>
      </w:r>
    </w:p>
    <w:p w14:paraId="6066ABA2"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5253427" wp14:editId="1F4E87B3">
            <wp:extent cx="4563065" cy="26038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14403"/>
                    <a:stretch>
                      <a:fillRect/>
                    </a:stretch>
                  </pic:blipFill>
                  <pic:spPr>
                    <a:xfrm>
                      <a:off x="0" y="0"/>
                      <a:ext cx="4563065" cy="2603837"/>
                    </a:xfrm>
                    <a:prstGeom prst="rect">
                      <a:avLst/>
                    </a:prstGeom>
                    <a:ln/>
                  </pic:spPr>
                </pic:pic>
              </a:graphicData>
            </a:graphic>
          </wp:inline>
        </w:drawing>
      </w:r>
    </w:p>
    <w:p w14:paraId="5DD34682"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Threat severity is quantified as:</w:t>
      </w:r>
    </w:p>
    <w:p w14:paraId="0D44CF35"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Severity=</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Impact×Likelihood×Asset_Value</m:t>
              </m:r>
            </m:num>
            <m:den>
              <m:r>
                <w:rPr>
                  <w:rFonts w:ascii="Cambria Math" w:eastAsia="Cambria Math" w:hAnsi="Cambria Math" w:cs="Cambria Math"/>
                  <w:sz w:val="24"/>
                  <w:szCs w:val="24"/>
                </w:rPr>
                <m:t>Risk_Mitigation_Factor</m:t>
              </m:r>
            </m:den>
          </m:f>
        </m:oMath>
      </m:oMathPara>
    </w:p>
    <w:p w14:paraId="23CDDFE6"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formula evaluates risk levels by combining impact, likelihood, and asset value, adjusted by mitigation factors, crucial for assessing AI system security in homes (Shostack, 2014). The risk assessment matrix organizes these metrics:</w:t>
      </w:r>
    </w:p>
    <w:p w14:paraId="2C134483" w14:textId="77777777" w:rsidR="00392A4E" w:rsidRDefault="00000000">
      <w:pPr>
        <w:jc w:val="cente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matrix</m:t>
              </m:r>
            </m:sub>
          </m:sSub>
          <m:r>
            <w:rPr>
              <w:rFonts w:ascii="Cambria Math" w:eastAsia="Cambria Math" w:hAnsi="Cambria Math" w:cs="Cambria Math"/>
              <w:sz w:val="24"/>
              <w:szCs w:val="24"/>
            </w:rPr>
            <m:t>=</m:t>
          </m:r>
          <m:d>
            <m:dPr>
              <m:begChr m:val="["/>
              <m:endChr m:val="]"/>
              <m:ctrlPr>
                <w:rPr>
                  <w:rFonts w:ascii="Cambria Math" w:hAnsi="Cambria Math"/>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1</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1</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1</m:t>
                  </m:r>
                </m:sub>
              </m:sSub>
              <m:r>
                <w:rPr>
                  <w:rFonts w:ascii="Cambria Math" w:hAnsi="Cambria Math"/>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1</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2</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r>
                <w:rPr>
                  <w:rFonts w:ascii="Cambria Math" w:hAnsi="Cambria Math"/>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2</m:t>
                  </m:r>
                </m:sub>
              </m:sSub>
              <m:r>
                <w:rPr>
                  <w:rFonts w:ascii="Cambria Math" w:hAnsi="Cambria Math"/>
                </w:rPr>
                <m:t xml:space="preserve"> ⋮ ⋮ </m:t>
              </m:r>
              <m:r>
                <w:rPr>
                  <w:rFonts w:ascii="Cambria Math" w:eastAsia="Cambria Math" w:hAnsi="Cambria Math" w:cs="Cambria Math"/>
                  <w:sz w:val="24"/>
                  <w:szCs w:val="24"/>
                </w:rPr>
                <m:t xml:space="preserve"> </m:t>
              </m:r>
              <m:r>
                <w:rPr>
                  <w:rFonts w:ascii="Cambria Math" w:hAnsi="Cambria Math"/>
                </w:rPr>
                <m:t xml:space="preserve"> ⋮ </m:t>
              </m:r>
              <m:r>
                <w:rPr>
                  <w:rFonts w:ascii="Cambria Math" w:eastAsia="Cambria Math" w:hAnsi="Cambria Math" w:cs="Cambria Math"/>
                  <w:sz w:val="24"/>
                  <w:szCs w:val="24"/>
                </w:rPr>
                <m:t xml:space="preserve"> </m:t>
              </m:r>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n</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n</m:t>
                  </m:r>
                </m:sub>
              </m:sSub>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n</m:t>
                  </m:r>
                </m:sub>
              </m:sSub>
              <m:r>
                <w:rPr>
                  <w:rFonts w:ascii="Cambria Math" w:hAnsi="Cambria Math"/>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n</m:t>
                  </m:r>
                </m:sub>
              </m:sSub>
              <m:r>
                <w:rPr>
                  <w:rFonts w:ascii="Cambria Math" w:hAnsi="Cambria Math"/>
                </w:rPr>
                <m:t xml:space="preserve"> </m:t>
              </m:r>
            </m:e>
          </m:d>
        </m:oMath>
      </m:oMathPara>
    </w:p>
    <w:p w14:paraId="7A3813C7"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(L) and (I) represent likelihood and impact on a 1–5 scale, facilitating risk prioritization. The Common Vulnerability Scoring System (CVSS) v3.1 standardizes vulnerability scoring:</w:t>
      </w:r>
    </w:p>
    <w:p w14:paraId="545BB05A" w14:textId="77777777" w:rsidR="00392A4E" w:rsidRDefault="00B3645F">
      <w:pPr>
        <w:jc w:val="center"/>
      </w:pPr>
      <m:oMathPara>
        <m:oMath>
          <m:r>
            <w:rPr>
              <w:rFonts w:ascii="Cambria Math" w:eastAsia="Cambria Math" w:hAnsi="Cambria Math" w:cs="Cambria Math"/>
              <w:sz w:val="24"/>
              <w:szCs w:val="24"/>
            </w:rPr>
            <m:t xml:space="preserve">BaseScore= </m:t>
          </m:r>
          <m:r>
            <w:rPr>
              <w:rFonts w:ascii="Cambria Math" w:hAnsi="Cambria Math"/>
            </w:rPr>
            <m:t>{</m:t>
          </m:r>
          <m:r>
            <w:rPr>
              <w:rFonts w:ascii="Cambria Math" w:eastAsia="Cambria Math" w:hAnsi="Cambria Math" w:cs="Cambria Math"/>
              <w:sz w:val="24"/>
              <w:szCs w:val="24"/>
            </w:rPr>
            <m:t>0</m:t>
          </m:r>
          <m:r>
            <w:rPr>
              <w:rFonts w:ascii="Cambria Math" w:hAnsi="Cambria Math"/>
            </w:rPr>
            <m:t xml:space="preserve"> </m:t>
          </m:r>
          <m:r>
            <w:rPr>
              <w:rFonts w:ascii="Cambria Math" w:eastAsia="Cambria Math" w:hAnsi="Cambria Math" w:cs="Cambria Math"/>
              <w:sz w:val="24"/>
              <w:szCs w:val="24"/>
            </w:rPr>
            <m:t>min⁡(10,ISC+ESC)</m:t>
          </m:r>
          <m:r>
            <w:rPr>
              <w:rFonts w:ascii="Cambria Math" w:hAnsi="Cambria Math"/>
            </w:rPr>
            <m:t xml:space="preserve"> </m:t>
          </m:r>
          <m:r>
            <w:rPr>
              <w:rFonts w:ascii="Cambria Math" w:eastAsia="Cambria Math" w:hAnsi="Cambria Math" w:cs="Cambria Math"/>
              <w:sz w:val="24"/>
              <w:szCs w:val="24"/>
            </w:rPr>
            <m:t>min⁡(10, 1.08×</m:t>
          </m:r>
          <m:d>
            <m:dPr>
              <m:ctrlPr>
                <w:rPr>
                  <w:rFonts w:ascii="Cambria Math" w:eastAsia="Cambria Math" w:hAnsi="Cambria Math" w:cs="Cambria Math"/>
                  <w:sz w:val="24"/>
                  <w:szCs w:val="24"/>
                </w:rPr>
              </m:ctrlPr>
            </m:dPr>
            <m:e>
              <m:r>
                <w:rPr>
                  <w:rFonts w:ascii="Cambria Math" w:eastAsia="Cambria Math" w:hAnsi="Cambria Math" w:cs="Cambria Math"/>
                  <w:sz w:val="24"/>
                  <w:szCs w:val="24"/>
                </w:rPr>
                <m:t>ISC+ESC</m:t>
              </m:r>
            </m:e>
          </m:d>
          <m:r>
            <w:rPr>
              <w:rFonts w:ascii="Cambria Math" w:eastAsia="Cambria Math" w:hAnsi="Cambria Math" w:cs="Cambria Math"/>
              <w:sz w:val="24"/>
              <w:szCs w:val="24"/>
            </w:rPr>
            <m:t>)</m:t>
          </m:r>
          <m:r>
            <w:rPr>
              <w:rFonts w:ascii="Cambria Math" w:hAnsi="Cambria Math"/>
            </w:rPr>
            <m:t xml:space="preserve"> </m:t>
          </m:r>
          <m:r>
            <w:rPr>
              <w:rFonts w:ascii="Cambria Math" w:eastAsia="Cambria Math" w:hAnsi="Cambria Math" w:cs="Cambria Math"/>
              <w:sz w:val="24"/>
              <w:szCs w:val="24"/>
            </w:rPr>
            <m:t xml:space="preserve">         if Impact=0</m:t>
          </m:r>
          <m:r>
            <w:rPr>
              <w:rFonts w:ascii="Cambria Math" w:hAnsi="Cambria Math"/>
            </w:rPr>
            <m:t xml:space="preserve"> </m:t>
          </m:r>
          <m:r>
            <w:rPr>
              <w:rFonts w:ascii="Cambria Math" w:eastAsia="Cambria Math" w:hAnsi="Cambria Math" w:cs="Cambria Math"/>
              <w:sz w:val="24"/>
              <w:szCs w:val="24"/>
            </w:rPr>
            <m:t>if Scope=Unchanged</m:t>
          </m:r>
          <m:r>
            <w:rPr>
              <w:rFonts w:ascii="Cambria Math" w:hAnsi="Cambria Math"/>
            </w:rPr>
            <m:t xml:space="preserve"> </m:t>
          </m:r>
          <m:r>
            <w:rPr>
              <w:rFonts w:ascii="Cambria Math" w:eastAsia="Cambria Math" w:hAnsi="Cambria Math" w:cs="Cambria Math"/>
              <w:sz w:val="24"/>
              <w:szCs w:val="24"/>
            </w:rPr>
            <m:t>if Scope=Changed</m:t>
          </m:r>
          <m:r>
            <w:rPr>
              <w:rFonts w:ascii="Cambria Math" w:hAnsi="Cambria Math"/>
            </w:rPr>
            <m:t xml:space="preserve"> </m:t>
          </m:r>
        </m:oMath>
      </m:oMathPara>
    </w:p>
    <w:p w14:paraId="5C895EA9" w14:textId="77777777" w:rsidR="00392A4E" w:rsidRDefault="00392A4E">
      <w:pPr>
        <w:spacing w:line="360" w:lineRule="auto"/>
        <w:jc w:val="both"/>
        <w:rPr>
          <w:rFonts w:ascii="Times New Roman" w:eastAsia="Times New Roman" w:hAnsi="Times New Roman" w:cs="Times New Roman"/>
          <w:sz w:val="24"/>
          <w:szCs w:val="24"/>
        </w:rPr>
      </w:pPr>
    </w:p>
    <w:p w14:paraId="1D015DCD" w14:textId="77777777" w:rsidR="00392A4E" w:rsidRDefault="00392A4E">
      <w:pPr>
        <w:spacing w:line="360" w:lineRule="auto"/>
        <w:jc w:val="both"/>
        <w:rPr>
          <w:rFonts w:ascii="Times New Roman" w:eastAsia="Times New Roman" w:hAnsi="Times New Roman" w:cs="Times New Roman"/>
          <w:sz w:val="24"/>
          <w:szCs w:val="24"/>
        </w:rPr>
      </w:pPr>
    </w:p>
    <w:p w14:paraId="5878443C"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sub-scores:</w:t>
      </w:r>
    </w:p>
    <w:p w14:paraId="18DE8592" w14:textId="77777777" w:rsidR="00392A4E" w:rsidRDefault="00B3645F">
      <w:pPr>
        <w:spacing w:line="360" w:lineRule="auto"/>
        <w:jc w:val="both"/>
        <w:rPr>
          <w:rFonts w:ascii="Times New Roman" w:eastAsia="Times New Roman" w:hAnsi="Times New Roman" w:cs="Times New Roman"/>
          <w:sz w:val="24"/>
          <w:szCs w:val="24"/>
        </w:rPr>
      </w:pPr>
      <m:oMath>
        <m:r>
          <w:rPr>
            <w:rFonts w:ascii="Cambria Math" w:eastAsia="Cambria Math" w:hAnsi="Cambria Math" w:cs="Cambria Math"/>
            <w:sz w:val="24"/>
            <w:szCs w:val="24"/>
          </w:rPr>
          <m:t>ISC=6.42×Impact, ESC= 8.22×AV××AC×PR×UI,</m:t>
        </m:r>
      </m:oMath>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Impact=1-[</m:t>
        </m:r>
        <m:d>
          <m:dPr>
            <m:ctrlPr>
              <w:rPr>
                <w:rFonts w:ascii="Cambria Math" w:eastAsia="Cambria Math" w:hAnsi="Cambria Math" w:cs="Cambria Math"/>
                <w:sz w:val="24"/>
                <w:szCs w:val="24"/>
              </w:rPr>
            </m:ctrlPr>
          </m:dPr>
          <m:e>
            <m:r>
              <w:rPr>
                <w:rFonts w:ascii="Cambria Math" w:eastAsia="Cambria Math" w:hAnsi="Cambria Math" w:cs="Cambria Math"/>
                <w:sz w:val="24"/>
                <w:szCs w:val="24"/>
              </w:rPr>
              <m:t>1-C</m:t>
            </m:r>
          </m:e>
        </m:d>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r>
              <w:rPr>
                <w:rFonts w:ascii="Cambria Math" w:eastAsia="Cambria Math" w:hAnsi="Cambria Math" w:cs="Cambria Math"/>
                <w:sz w:val="24"/>
                <w:szCs w:val="24"/>
              </w:rPr>
              <m:t>1-I</m:t>
            </m:r>
          </m:e>
        </m:d>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r>
              <w:rPr>
                <w:rFonts w:ascii="Cambria Math" w:eastAsia="Cambria Math" w:hAnsi="Cambria Math" w:cs="Cambria Math"/>
                <w:sz w:val="24"/>
                <w:szCs w:val="24"/>
              </w:rPr>
              <m:t>1-A</m:t>
            </m:r>
          </m:e>
        </m:d>
        <m:r>
          <w:rPr>
            <w:rFonts w:ascii="Cambria Math" w:eastAsia="Cambria Math" w:hAnsi="Cambria Math" w:cs="Cambria Math"/>
            <w:sz w:val="24"/>
            <w:szCs w:val="24"/>
          </w:rPr>
          <m:t>]</m:t>
        </m:r>
      </m:oMath>
    </w:p>
    <w:p w14:paraId="2BB6E85D"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quantify confidentiality (C), integrity (I), and availability (A) impacts, ensuring comparability across AI systems (Exeon, 2025). (ISC) is the impact sub-score, reflecting harm to </w:t>
      </w:r>
      <w:r>
        <w:rPr>
          <w:rFonts w:ascii="Times New Roman" w:eastAsia="Times New Roman" w:hAnsi="Times New Roman" w:cs="Times New Roman"/>
          <w:sz w:val="24"/>
          <w:szCs w:val="24"/>
        </w:rPr>
        <w:lastRenderedPageBreak/>
        <w:t>system attributes, (ESC) is the exploitability sub-score, indicating ease of exploitation, (AV) is the attack vector, such as network or local access and (AC) is attack complexity, rated as low or high.</w:t>
      </w:r>
    </w:p>
    <w:p w14:paraId="22FD05B6"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AI-specific metrics include the Adversarial Robustness Index (ARI), ranging from 0 to 1, measuring model resilience:</w:t>
      </w:r>
    </w:p>
    <w:p w14:paraId="5FD0ED5C"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ARI=1-</m:t>
          </m:r>
          <m:f>
            <m:fPr>
              <m:ctrlPr>
                <w:rPr>
                  <w:rFonts w:ascii="Cambria Math" w:eastAsia="Cambria Math" w:hAnsi="Cambria Math" w:cs="Cambria Math"/>
                  <w:sz w:val="24"/>
                  <w:szCs w:val="24"/>
                </w:rPr>
              </m:ctrlPr>
            </m:fPr>
            <m:num>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nary>
              <m:r>
                <w:rPr>
                  <w:rFonts w:ascii="Cambria Math" w:eastAsia="Cambria Math" w:hAnsi="Cambria Math" w:cs="Cambria Math"/>
                  <w:sz w:val="24"/>
                  <w:szCs w:val="24"/>
                </w:rPr>
                <m:t>δ(f(</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ϵ</m:t>
                  </m:r>
                </m:e>
                <m:sub>
                  <m:r>
                    <w:rPr>
                      <w:rFonts w:ascii="Cambria Math" w:eastAsia="Cambria Math" w:hAnsi="Cambria Math" w:cs="Cambria Math"/>
                      <w:sz w:val="24"/>
                      <w:szCs w:val="24"/>
                    </w:rPr>
                    <m:t>i</m:t>
                  </m:r>
                </m:sub>
              </m:sSub>
              <m:r>
                <w:rPr>
                  <w:rFonts w:ascii="Cambria Math" w:eastAsia="Cambria Math" w:hAnsi="Cambria Math" w:cs="Cambria Math"/>
                  <w:sz w:val="24"/>
                  <w:szCs w:val="24"/>
                </w:rPr>
                <m:t>)≠f(</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num>
            <m:den>
              <m:r>
                <w:rPr>
                  <w:rFonts w:ascii="Cambria Math" w:eastAsia="Cambria Math" w:hAnsi="Cambria Math" w:cs="Cambria Math"/>
                  <w:sz w:val="24"/>
                  <w:szCs w:val="24"/>
                </w:rPr>
                <m:t>n</m:t>
              </m:r>
            </m:den>
          </m:f>
        </m:oMath>
      </m:oMathPara>
    </w:p>
    <w:p w14:paraId="6D2EBEE2"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(n) is the number of test inputs, </w:t>
      </w:r>
      <m:oMath>
        <m:r>
          <w:rPr>
            <w:rFonts w:ascii="Cambria Math" w:eastAsia="Cambria Math" w:hAnsi="Cambria Math" w:cs="Cambria Math"/>
            <w:sz w:val="24"/>
            <w:szCs w:val="24"/>
          </w:rPr>
          <m:t>δ(f(</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ϵ</m:t>
            </m:r>
          </m:e>
          <m:sub>
            <m:r>
              <w:rPr>
                <w:rFonts w:ascii="Cambria Math" w:eastAsia="Cambria Math" w:hAnsi="Cambria Math" w:cs="Cambria Math"/>
                <w:sz w:val="24"/>
                <w:szCs w:val="24"/>
              </w:rPr>
              <m:t>i</m:t>
            </m:r>
          </m:sub>
        </m:sSub>
        <m:r>
          <w:rPr>
            <w:rFonts w:ascii="Cambria Math" w:eastAsia="Cambria Math" w:hAnsi="Cambria Math" w:cs="Cambria Math"/>
            <w:sz w:val="24"/>
            <w:szCs w:val="24"/>
          </w:rPr>
          <m:t>)≠f(</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oMath>
      <w:r>
        <w:rPr>
          <w:rFonts w:ascii="Times New Roman" w:eastAsia="Times New Roman" w:hAnsi="Times New Roman" w:cs="Times New Roman"/>
          <w:sz w:val="24"/>
          <w:szCs w:val="24"/>
        </w:rPr>
        <w:t xml:space="preserve"> is an indicator function, equaling 1 if the model’s output changes with perturbation ϵ</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and 0 otherwise. x</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is the input data point.</w:t>
      </w:r>
    </w:p>
    <w:p w14:paraId="355DC37C"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privacy leakage (PL) measure quantifying data exposure risk. (M) is the AI mechanism or algorithm, (D) and (D') are neighboring datasets differing by one record and (S) is the output space of the mechanism:</w:t>
      </w:r>
    </w:p>
    <w:p w14:paraId="69214EBA"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PL=</m:t>
          </m:r>
          <m:d>
            <m:dPr>
              <m:begChr m:val="|"/>
              <m:endChr m:val="|"/>
              <m:ctrlPr>
                <w:rPr>
                  <w:rFonts w:ascii="Cambria Math" w:eastAsia="Cambria Math" w:hAnsi="Cambria Math" w:cs="Cambria Math"/>
                  <w:sz w:val="24"/>
                  <w:szCs w:val="24"/>
                </w:rPr>
              </m:ctrlPr>
            </m:dPr>
            <m:e>
              <m:r>
                <w:rPr>
                  <w:rFonts w:ascii="Cambria Math" w:eastAsia="Cambria Math" w:hAnsi="Cambria Math" w:cs="Cambria Math"/>
                  <w:sz w:val="24"/>
                  <w:szCs w:val="24"/>
                </w:rPr>
                <m:t>P</m:t>
              </m:r>
              <m:d>
                <m:dPr>
                  <m:ctrlPr>
                    <w:rPr>
                      <w:rFonts w:ascii="Cambria Math" w:eastAsia="Cambria Math" w:hAnsi="Cambria Math" w:cs="Cambria Math"/>
                      <w:sz w:val="24"/>
                      <w:szCs w:val="24"/>
                    </w:rPr>
                  </m:ctrlPr>
                </m:dPr>
                <m:e>
                  <m:r>
                    <w:rPr>
                      <w:rFonts w:ascii="Cambria Math" w:eastAsia="Cambria Math" w:hAnsi="Cambria Math" w:cs="Cambria Math"/>
                      <w:sz w:val="24"/>
                      <w:szCs w:val="24"/>
                    </w:rPr>
                    <m:t>M</m:t>
                  </m:r>
                  <m:d>
                    <m:dPr>
                      <m:ctrlPr>
                        <w:rPr>
                          <w:rFonts w:ascii="Cambria Math" w:eastAsia="Cambria Math" w:hAnsi="Cambria Math" w:cs="Cambria Math"/>
                          <w:sz w:val="24"/>
                          <w:szCs w:val="24"/>
                        </w:rPr>
                      </m:ctrlPr>
                    </m:dPr>
                    <m:e>
                      <m:r>
                        <w:rPr>
                          <w:rFonts w:ascii="Cambria Math" w:eastAsia="Cambria Math" w:hAnsi="Cambria Math" w:cs="Cambria Math"/>
                          <w:sz w:val="24"/>
                          <w:szCs w:val="24"/>
                        </w:rPr>
                        <m:t>D</m:t>
                      </m:r>
                    </m:e>
                  </m:d>
                  <m:r>
                    <w:rPr>
                      <w:rFonts w:ascii="Cambria Math" w:eastAsia="Cambria Math" w:hAnsi="Cambria Math" w:cs="Cambria Math"/>
                      <w:sz w:val="24"/>
                      <w:szCs w:val="24"/>
                    </w:rPr>
                    <m:t>∈S</m:t>
                  </m:r>
                </m:e>
              </m:d>
              <m:r>
                <w:rPr>
                  <w:rFonts w:ascii="Cambria Math" w:eastAsia="Cambria Math" w:hAnsi="Cambria Math" w:cs="Cambria Math"/>
                  <w:sz w:val="24"/>
                  <w:szCs w:val="24"/>
                </w:rPr>
                <m:t>-P</m:t>
              </m:r>
              <m:d>
                <m:dPr>
                  <m:ctrlPr>
                    <w:rPr>
                      <w:rFonts w:ascii="Cambria Math" w:eastAsia="Cambria Math" w:hAnsi="Cambria Math" w:cs="Cambria Math"/>
                      <w:sz w:val="24"/>
                      <w:szCs w:val="24"/>
                    </w:rPr>
                  </m:ctrlPr>
                </m:dPr>
                <m:e>
                  <m:r>
                    <w:rPr>
                      <w:rFonts w:ascii="Cambria Math" w:eastAsia="Cambria Math" w:hAnsi="Cambria Math" w:cs="Cambria Math"/>
                      <w:sz w:val="24"/>
                      <w:szCs w:val="24"/>
                    </w:rPr>
                    <m:t>M</m:t>
                  </m:r>
                  <m:d>
                    <m:dPr>
                      <m:ctrlPr>
                        <w:rPr>
                          <w:rFonts w:ascii="Cambria Math" w:eastAsia="Cambria Math" w:hAnsi="Cambria Math" w:cs="Cambria Math"/>
                          <w:sz w:val="24"/>
                          <w:szCs w:val="24"/>
                        </w:rPr>
                      </m:ctrlPr>
                    </m:d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D</m:t>
                          </m:r>
                        </m:e>
                        <m:sup>
                          <m:r>
                            <w:rPr>
                              <w:rFonts w:ascii="Cambria Math" w:eastAsia="Cambria Math" w:hAnsi="Cambria Math" w:cs="Cambria Math"/>
                              <w:sz w:val="24"/>
                              <w:szCs w:val="24"/>
                            </w:rPr>
                            <m:t>'</m:t>
                          </m:r>
                        </m:sup>
                      </m:sSup>
                    </m:e>
                  </m:d>
                  <m:r>
                    <w:rPr>
                      <w:rFonts w:ascii="Cambria Math" w:eastAsia="Cambria Math" w:hAnsi="Cambria Math" w:cs="Cambria Math"/>
                      <w:sz w:val="24"/>
                      <w:szCs w:val="24"/>
                    </w:rPr>
                    <m:t>∈S</m:t>
                  </m:r>
                </m:e>
              </m:d>
            </m:e>
          </m:d>
          <m:r>
            <w:rPr>
              <w:rFonts w:ascii="Cambria Math" w:hAnsi="Cambria Math"/>
            </w:rPr>
            <m:t xml:space="preserve"> </m:t>
          </m:r>
          <m:r>
            <w:rPr>
              <w:rFonts w:ascii="Cambria Math" w:eastAsia="Cambria Math" w:hAnsi="Cambria Math" w:cs="Cambria Math"/>
              <w:sz w:val="24"/>
              <w:szCs w:val="24"/>
            </w:rPr>
            <m:t xml:space="preserve">  </m:t>
          </m:r>
        </m:oMath>
      </m:oMathPara>
    </w:p>
    <w:p w14:paraId="3DD617E0"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which assesses data protection, critical for safeguarding sensitive mental health data in home settings (Shokri &amp; Shmatikov, 2015). The model bias quantification:</w:t>
      </w:r>
    </w:p>
    <w:p w14:paraId="595ED234"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Bias</m:t>
              </m:r>
            </m:e>
            <m:sub>
              <m:r>
                <w:rPr>
                  <w:rFonts w:ascii="Cambria Math" w:eastAsia="Cambria Math" w:hAnsi="Cambria Math" w:cs="Cambria Math"/>
                  <w:sz w:val="24"/>
                  <w:szCs w:val="24"/>
                </w:rPr>
                <m:t>group</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d>
                <m:dPr>
                  <m:begChr m:val="|"/>
                  <m:endChr m:val="|"/>
                  <m:ctrlPr>
                    <w:rPr>
                      <w:rFonts w:ascii="Cambria Math" w:eastAsia="Cambria Math" w:hAnsi="Cambria Math" w:cs="Cambria Math"/>
                      <w:sz w:val="24"/>
                      <w:szCs w:val="24"/>
                    </w:rPr>
                  </m:ctrlPr>
                </m:dPr>
                <m:e>
                  <m:r>
                    <w:rPr>
                      <w:rFonts w:ascii="Cambria Math" w:eastAsia="Cambria Math" w:hAnsi="Cambria Math" w:cs="Cambria Math"/>
                      <w:sz w:val="24"/>
                      <w:szCs w:val="24"/>
                    </w:rPr>
                    <m:t>P</m:t>
                  </m:r>
                  <m:d>
                    <m:dPr>
                      <m:ctrlPr>
                        <w:rPr>
                          <w:rFonts w:ascii="Cambria Math" w:eastAsia="Cambria Math" w:hAnsi="Cambria Math" w:cs="Cambria Math"/>
                          <w:sz w:val="24"/>
                          <w:szCs w:val="24"/>
                        </w:rPr>
                      </m:ctrlPr>
                    </m:dPr>
                    <m:e>
                      <m:r>
                        <w:rPr>
                          <w:rFonts w:ascii="Cambria Math" w:eastAsia="Cambria Math" w:hAnsi="Cambria Math" w:cs="Cambria Math"/>
                          <w:sz w:val="24"/>
                          <w:szCs w:val="24"/>
                        </w:rPr>
                        <m:t>A=0</m:t>
                      </m:r>
                    </m:e>
                  </m:d>
                  <m:r>
                    <w:rPr>
                      <w:rFonts w:ascii="Cambria Math" w:eastAsia="Cambria Math" w:hAnsi="Cambria Math" w:cs="Cambria Math"/>
                      <w:sz w:val="24"/>
                      <w:szCs w:val="24"/>
                    </w:rPr>
                    <m:t>-P(Y=1|A=1)</m:t>
                  </m:r>
                </m:e>
              </m:d>
            </m:num>
            <m:den>
              <m:r>
                <w:rPr>
                  <w:rFonts w:ascii="Cambria Math" w:eastAsia="Cambria Math" w:hAnsi="Cambria Math" w:cs="Cambria Math"/>
                  <w:sz w:val="24"/>
                  <w:szCs w:val="24"/>
                </w:rPr>
                <m:t>P(Y=1)</m:t>
              </m:r>
            </m:den>
          </m:f>
        </m:oMath>
      </m:oMathPara>
    </w:p>
    <w:p w14:paraId="25B2E8F6"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ensures fairness in AI predictions, aligning with ethical objectives (Censinet, 2025). |P(A=0)-P(Y=1|A=1)| are conditional probabilities of positive outcomes for different attribute values, while P(Y=1) is the overall probability of a positive outcome across all groups.</w:t>
      </w:r>
    </w:p>
    <w:p w14:paraId="5B9FF790"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Evaluation Framework</w:t>
      </w:r>
    </w:p>
    <w:p w14:paraId="22E9331E"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Integrated Ethical Approach for Computational Psychiatry (IEACP) quantifies ethical compliance:</w:t>
      </w:r>
    </w:p>
    <w:p w14:paraId="675ADDA3"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total</m:t>
              </m:r>
            </m:sub>
          </m:sSub>
          <m:r>
            <w:rPr>
              <w:rFonts w:ascii="Cambria Math" w:eastAsia="Cambria Math" w:hAnsi="Cambria Math" w:cs="Cambria Math"/>
              <w:sz w:val="24"/>
              <w:szCs w:val="24"/>
            </w:rPr>
            <m:t>=</m:t>
          </m:r>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6</m:t>
              </m:r>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i</m:t>
              </m:r>
            </m:sub>
          </m:sSub>
        </m:oMath>
      </m:oMathPara>
    </w:p>
    <w:p w14:paraId="23F5AAF5"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weights for beneficence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1</m:t>
            </m:r>
          </m:sub>
        </m:sSub>
      </m:oMath>
      <w:r>
        <w:rPr>
          <w:rFonts w:ascii="Times New Roman" w:eastAsia="Times New Roman" w:hAnsi="Times New Roman" w:cs="Times New Roman"/>
          <w:sz w:val="24"/>
          <w:szCs w:val="24"/>
        </w:rPr>
        <w:t xml:space="preserve"> = 0.20), autonomy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2</m:t>
            </m:r>
          </m:sub>
        </m:sSub>
      </m:oMath>
      <w:r>
        <w:rPr>
          <w:rFonts w:ascii="Times New Roman" w:eastAsia="Times New Roman" w:hAnsi="Times New Roman" w:cs="Times New Roman"/>
          <w:sz w:val="24"/>
          <w:szCs w:val="24"/>
        </w:rPr>
        <w:t xml:space="preserve"> = 0.18), justice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3</m:t>
            </m:r>
          </m:sub>
        </m:sSub>
      </m:oMath>
      <w:r>
        <w:rPr>
          <w:rFonts w:ascii="Times New Roman" w:eastAsia="Times New Roman" w:hAnsi="Times New Roman" w:cs="Times New Roman"/>
          <w:sz w:val="24"/>
          <w:szCs w:val="24"/>
        </w:rPr>
        <w:t xml:space="preserve"> = 0.17), V</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are scores for each ethical principle and others as shown in Table 1, translating ethical principles into measurable constructs (Morley et al., 2020). </w:t>
      </w:r>
    </w:p>
    <w:p w14:paraId="22AC2C55" w14:textId="77777777" w:rsidR="00392A4E" w:rsidRDefault="00392A4E">
      <w:pPr>
        <w:spacing w:line="360" w:lineRule="auto"/>
        <w:jc w:val="both"/>
        <w:rPr>
          <w:rFonts w:ascii="Times New Roman" w:eastAsia="Times New Roman" w:hAnsi="Times New Roman" w:cs="Times New Roman"/>
          <w:b/>
          <w:sz w:val="24"/>
          <w:szCs w:val="24"/>
        </w:rPr>
      </w:pPr>
    </w:p>
    <w:p w14:paraId="422D7C9D" w14:textId="77777777" w:rsidR="00392A4E" w:rsidRDefault="00392A4E">
      <w:pPr>
        <w:spacing w:line="360" w:lineRule="auto"/>
        <w:jc w:val="both"/>
        <w:rPr>
          <w:rFonts w:ascii="Times New Roman" w:eastAsia="Times New Roman" w:hAnsi="Times New Roman" w:cs="Times New Roman"/>
          <w:b/>
          <w:sz w:val="24"/>
          <w:szCs w:val="24"/>
        </w:rPr>
      </w:pPr>
    </w:p>
    <w:p w14:paraId="661274AA" w14:textId="77777777" w:rsidR="00392A4E" w:rsidRDefault="00B3645F">
      <w:pPr>
        <w:spacing w:line="360" w:lineRule="auto"/>
        <w:ind w:left="-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14:paraId="6D129198" w14:textId="77777777" w:rsidR="00392A4E" w:rsidRDefault="00B3645F">
      <w:pPr>
        <w:spacing w:line="360" w:lineRule="auto"/>
        <w:ind w:left="-45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Ethical Evaluation Scoring Rubric</w:t>
      </w:r>
    </w:p>
    <w:tbl>
      <w:tblPr>
        <w:tblStyle w:val="a"/>
        <w:tblW w:w="10244" w:type="dxa"/>
        <w:jc w:val="center"/>
        <w:tblInd w:w="0" w:type="dxa"/>
        <w:tblLayout w:type="fixed"/>
        <w:tblLook w:val="0400" w:firstRow="0" w:lastRow="0" w:firstColumn="0" w:lastColumn="0" w:noHBand="0" w:noVBand="1"/>
      </w:tblPr>
      <w:tblGrid>
        <w:gridCol w:w="1440"/>
        <w:gridCol w:w="591"/>
        <w:gridCol w:w="1288"/>
        <w:gridCol w:w="1385"/>
        <w:gridCol w:w="1385"/>
        <w:gridCol w:w="1293"/>
        <w:gridCol w:w="1385"/>
        <w:gridCol w:w="1477"/>
      </w:tblGrid>
      <w:tr w:rsidR="00392A4E" w14:paraId="2F8B286E" w14:textId="77777777">
        <w:trPr>
          <w:trHeight w:val="1057"/>
          <w:jc w:val="center"/>
        </w:trPr>
        <w:tc>
          <w:tcPr>
            <w:tcW w:w="1440" w:type="dxa"/>
            <w:tcBorders>
              <w:top w:val="single" w:sz="4" w:space="0" w:color="000000"/>
              <w:bottom w:val="single" w:sz="4" w:space="0" w:color="000000"/>
            </w:tcBorders>
          </w:tcPr>
          <w:p w14:paraId="7C686D60" w14:textId="77777777" w:rsidR="00392A4E" w:rsidRDefault="00B3645F">
            <w:pPr>
              <w:spacing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Dimension</w:t>
            </w:r>
          </w:p>
        </w:tc>
        <w:tc>
          <w:tcPr>
            <w:tcW w:w="591" w:type="dxa"/>
            <w:tcBorders>
              <w:top w:val="single" w:sz="4" w:space="0" w:color="000000"/>
              <w:bottom w:val="single" w:sz="4" w:space="0" w:color="000000"/>
            </w:tcBorders>
          </w:tcPr>
          <w:p w14:paraId="4D38F123" w14:textId="77777777" w:rsidR="00392A4E" w:rsidRDefault="00B3645F">
            <w:pPr>
              <w:spacing w:line="36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w:t>
            </w:r>
          </w:p>
        </w:tc>
        <w:tc>
          <w:tcPr>
            <w:tcW w:w="1288" w:type="dxa"/>
            <w:tcBorders>
              <w:top w:val="single" w:sz="4" w:space="0" w:color="000000"/>
              <w:bottom w:val="single" w:sz="4" w:space="0" w:color="000000"/>
            </w:tcBorders>
          </w:tcPr>
          <w:p w14:paraId="1C87AFE5" w14:textId="77777777" w:rsidR="00392A4E" w:rsidRDefault="00B3645F">
            <w:pPr>
              <w:spacing w:line="36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 1-2</w:t>
            </w:r>
          </w:p>
        </w:tc>
        <w:tc>
          <w:tcPr>
            <w:tcW w:w="1385" w:type="dxa"/>
            <w:tcBorders>
              <w:top w:val="single" w:sz="4" w:space="0" w:color="000000"/>
              <w:bottom w:val="single" w:sz="4" w:space="0" w:color="000000"/>
            </w:tcBorders>
          </w:tcPr>
          <w:p w14:paraId="1C73B86A" w14:textId="77777777" w:rsidR="00392A4E" w:rsidRDefault="00B3645F">
            <w:pPr>
              <w:spacing w:line="36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 3-4</w:t>
            </w:r>
          </w:p>
        </w:tc>
        <w:tc>
          <w:tcPr>
            <w:tcW w:w="1385" w:type="dxa"/>
            <w:tcBorders>
              <w:top w:val="single" w:sz="4" w:space="0" w:color="000000"/>
              <w:bottom w:val="single" w:sz="4" w:space="0" w:color="000000"/>
            </w:tcBorders>
          </w:tcPr>
          <w:p w14:paraId="1E767448" w14:textId="77777777" w:rsidR="00392A4E" w:rsidRDefault="00B3645F">
            <w:pPr>
              <w:spacing w:line="36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 5-6</w:t>
            </w:r>
          </w:p>
        </w:tc>
        <w:tc>
          <w:tcPr>
            <w:tcW w:w="1293" w:type="dxa"/>
            <w:tcBorders>
              <w:top w:val="single" w:sz="4" w:space="0" w:color="000000"/>
              <w:bottom w:val="single" w:sz="4" w:space="0" w:color="000000"/>
            </w:tcBorders>
          </w:tcPr>
          <w:p w14:paraId="4157A35B" w14:textId="77777777" w:rsidR="00392A4E" w:rsidRDefault="00B3645F">
            <w:pPr>
              <w:spacing w:line="36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 7-8</w:t>
            </w:r>
          </w:p>
        </w:tc>
        <w:tc>
          <w:tcPr>
            <w:tcW w:w="1385" w:type="dxa"/>
            <w:tcBorders>
              <w:top w:val="single" w:sz="4" w:space="0" w:color="000000"/>
              <w:bottom w:val="single" w:sz="4" w:space="0" w:color="000000"/>
            </w:tcBorders>
          </w:tcPr>
          <w:p w14:paraId="5A22B28C" w14:textId="77777777" w:rsidR="00392A4E" w:rsidRDefault="00B3645F">
            <w:pPr>
              <w:spacing w:line="36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 9-10</w:t>
            </w:r>
          </w:p>
        </w:tc>
        <w:tc>
          <w:tcPr>
            <w:tcW w:w="1477" w:type="dxa"/>
            <w:tcBorders>
              <w:top w:val="single" w:sz="4" w:space="0" w:color="000000"/>
              <w:bottom w:val="single" w:sz="4" w:space="0" w:color="000000"/>
            </w:tcBorders>
          </w:tcPr>
          <w:p w14:paraId="0028928F" w14:textId="77777777" w:rsidR="00392A4E" w:rsidRDefault="00B3645F">
            <w:pPr>
              <w:spacing w:line="36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Method</w:t>
            </w:r>
          </w:p>
        </w:tc>
      </w:tr>
      <w:tr w:rsidR="00392A4E" w14:paraId="61930990" w14:textId="77777777">
        <w:trPr>
          <w:trHeight w:val="1286"/>
          <w:jc w:val="center"/>
        </w:trPr>
        <w:tc>
          <w:tcPr>
            <w:tcW w:w="1440" w:type="dxa"/>
            <w:tcBorders>
              <w:top w:val="single" w:sz="4" w:space="0" w:color="000000"/>
            </w:tcBorders>
          </w:tcPr>
          <w:p w14:paraId="089ACB73" w14:textId="77777777" w:rsidR="00392A4E" w:rsidRDefault="00B3645F">
            <w:pPr>
              <w:spacing w:line="36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Beneficence</w:t>
            </w:r>
          </w:p>
        </w:tc>
        <w:tc>
          <w:tcPr>
            <w:tcW w:w="591" w:type="dxa"/>
            <w:tcBorders>
              <w:top w:val="single" w:sz="4" w:space="0" w:color="000000"/>
            </w:tcBorders>
          </w:tcPr>
          <w:p w14:paraId="357BA137"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288" w:type="dxa"/>
            <w:tcBorders>
              <w:top w:val="single" w:sz="4" w:space="0" w:color="000000"/>
            </w:tcBorders>
          </w:tcPr>
          <w:p w14:paraId="62E49BC9"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Minimal therapeutic benefit</w:t>
            </w:r>
          </w:p>
        </w:tc>
        <w:tc>
          <w:tcPr>
            <w:tcW w:w="1385" w:type="dxa"/>
            <w:tcBorders>
              <w:top w:val="single" w:sz="4" w:space="0" w:color="000000"/>
            </w:tcBorders>
          </w:tcPr>
          <w:p w14:paraId="773961EE"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therapeutic benefit</w:t>
            </w:r>
          </w:p>
        </w:tc>
        <w:tc>
          <w:tcPr>
            <w:tcW w:w="1385" w:type="dxa"/>
            <w:tcBorders>
              <w:top w:val="single" w:sz="4" w:space="0" w:color="000000"/>
            </w:tcBorders>
          </w:tcPr>
          <w:p w14:paraId="6F6EE796"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therapeutic benefit</w:t>
            </w:r>
          </w:p>
        </w:tc>
        <w:tc>
          <w:tcPr>
            <w:tcW w:w="1293" w:type="dxa"/>
            <w:tcBorders>
              <w:top w:val="single" w:sz="4" w:space="0" w:color="000000"/>
            </w:tcBorders>
          </w:tcPr>
          <w:p w14:paraId="0CB756B6"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therapeutic benefit</w:t>
            </w:r>
          </w:p>
        </w:tc>
        <w:tc>
          <w:tcPr>
            <w:tcW w:w="1385" w:type="dxa"/>
            <w:tcBorders>
              <w:top w:val="single" w:sz="4" w:space="0" w:color="000000"/>
            </w:tcBorders>
          </w:tcPr>
          <w:p w14:paraId="70864946"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Exceptional benefit</w:t>
            </w:r>
          </w:p>
        </w:tc>
        <w:tc>
          <w:tcPr>
            <w:tcW w:w="1477" w:type="dxa"/>
            <w:tcBorders>
              <w:top w:val="single" w:sz="4" w:space="0" w:color="000000"/>
            </w:tcBorders>
          </w:tcPr>
          <w:p w14:paraId="6AB5F55E"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Clinical outcome measurement </w:t>
            </w:r>
          </w:p>
        </w:tc>
      </w:tr>
      <w:tr w:rsidR="00392A4E" w14:paraId="71313425" w14:textId="77777777">
        <w:trPr>
          <w:trHeight w:val="1233"/>
          <w:jc w:val="center"/>
        </w:trPr>
        <w:tc>
          <w:tcPr>
            <w:tcW w:w="1440" w:type="dxa"/>
          </w:tcPr>
          <w:p w14:paraId="60E2C129" w14:textId="77777777" w:rsidR="00392A4E" w:rsidRDefault="00B3645F">
            <w:pPr>
              <w:spacing w:line="36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Autonomy</w:t>
            </w:r>
          </w:p>
        </w:tc>
        <w:tc>
          <w:tcPr>
            <w:tcW w:w="591" w:type="dxa"/>
          </w:tcPr>
          <w:p w14:paraId="761938A7"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1288" w:type="dxa"/>
          </w:tcPr>
          <w:p w14:paraId="409F5B0D"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informed consent</w:t>
            </w:r>
          </w:p>
        </w:tc>
        <w:tc>
          <w:tcPr>
            <w:tcW w:w="1385" w:type="dxa"/>
          </w:tcPr>
          <w:p w14:paraId="3C74C948"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consent process</w:t>
            </w:r>
          </w:p>
        </w:tc>
        <w:tc>
          <w:tcPr>
            <w:tcW w:w="1385" w:type="dxa"/>
          </w:tcPr>
          <w:p w14:paraId="675A948A"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Adequate consent process</w:t>
            </w:r>
          </w:p>
        </w:tc>
        <w:tc>
          <w:tcPr>
            <w:tcW w:w="1293" w:type="dxa"/>
          </w:tcPr>
          <w:p w14:paraId="1901539E"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Comprehensive consent</w:t>
            </w:r>
          </w:p>
        </w:tc>
        <w:tc>
          <w:tcPr>
            <w:tcW w:w="1385" w:type="dxa"/>
          </w:tcPr>
          <w:p w14:paraId="62F193F0"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Dynamic consent</w:t>
            </w:r>
          </w:p>
        </w:tc>
        <w:tc>
          <w:tcPr>
            <w:tcW w:w="1477" w:type="dxa"/>
          </w:tcPr>
          <w:p w14:paraId="68C53939"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Consent process audit </w:t>
            </w:r>
          </w:p>
        </w:tc>
      </w:tr>
      <w:tr w:rsidR="00392A4E" w14:paraId="2C5BA5FC" w14:textId="77777777">
        <w:trPr>
          <w:trHeight w:val="1269"/>
          <w:jc w:val="center"/>
        </w:trPr>
        <w:tc>
          <w:tcPr>
            <w:tcW w:w="1440" w:type="dxa"/>
          </w:tcPr>
          <w:p w14:paraId="07AA53A0" w14:textId="77777777" w:rsidR="00392A4E" w:rsidRDefault="00B3645F">
            <w:pPr>
              <w:spacing w:line="36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Justice</w:t>
            </w:r>
          </w:p>
        </w:tc>
        <w:tc>
          <w:tcPr>
            <w:tcW w:w="591" w:type="dxa"/>
          </w:tcPr>
          <w:p w14:paraId="2C56CF0F"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1288" w:type="dxa"/>
          </w:tcPr>
          <w:p w14:paraId="19523331"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bias present</w:t>
            </w:r>
          </w:p>
        </w:tc>
        <w:tc>
          <w:tcPr>
            <w:tcW w:w="1385" w:type="dxa"/>
          </w:tcPr>
          <w:p w14:paraId="01828FE2"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bias mitigation</w:t>
            </w:r>
          </w:p>
        </w:tc>
        <w:tc>
          <w:tcPr>
            <w:tcW w:w="1385" w:type="dxa"/>
          </w:tcPr>
          <w:p w14:paraId="08D6839B"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Active bias monitoring</w:t>
            </w:r>
          </w:p>
        </w:tc>
        <w:tc>
          <w:tcPr>
            <w:tcW w:w="1293" w:type="dxa"/>
          </w:tcPr>
          <w:p w14:paraId="2883951F"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Proactive bias prevention</w:t>
            </w:r>
          </w:p>
        </w:tc>
        <w:tc>
          <w:tcPr>
            <w:tcW w:w="1385" w:type="dxa"/>
          </w:tcPr>
          <w:p w14:paraId="5AFC9400"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Bias-free system</w:t>
            </w:r>
          </w:p>
        </w:tc>
        <w:tc>
          <w:tcPr>
            <w:tcW w:w="1477" w:type="dxa"/>
          </w:tcPr>
          <w:p w14:paraId="26C69C01"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Bias testing </w:t>
            </w:r>
          </w:p>
        </w:tc>
      </w:tr>
      <w:tr w:rsidR="00392A4E" w14:paraId="461BDE7A" w14:textId="77777777">
        <w:trPr>
          <w:trHeight w:val="1305"/>
          <w:jc w:val="center"/>
        </w:trPr>
        <w:tc>
          <w:tcPr>
            <w:tcW w:w="1440" w:type="dxa"/>
          </w:tcPr>
          <w:p w14:paraId="52FB834C" w14:textId="77777777" w:rsidR="00392A4E" w:rsidRDefault="00B3645F">
            <w:pPr>
              <w:spacing w:line="36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Non-maleficence</w:t>
            </w:r>
          </w:p>
        </w:tc>
        <w:tc>
          <w:tcPr>
            <w:tcW w:w="591" w:type="dxa"/>
          </w:tcPr>
          <w:p w14:paraId="15E8D0C8"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288" w:type="dxa"/>
          </w:tcPr>
          <w:p w14:paraId="1F9E37CA"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risk of harm</w:t>
            </w:r>
          </w:p>
        </w:tc>
        <w:tc>
          <w:tcPr>
            <w:tcW w:w="1385" w:type="dxa"/>
          </w:tcPr>
          <w:p w14:paraId="13CEFD87"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risk management</w:t>
            </w:r>
          </w:p>
        </w:tc>
        <w:tc>
          <w:tcPr>
            <w:tcW w:w="1385" w:type="dxa"/>
          </w:tcPr>
          <w:p w14:paraId="06E0DFEA"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risk management</w:t>
            </w:r>
          </w:p>
        </w:tc>
        <w:tc>
          <w:tcPr>
            <w:tcW w:w="1293" w:type="dxa"/>
          </w:tcPr>
          <w:p w14:paraId="7BFACC80"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harm potential</w:t>
            </w:r>
          </w:p>
        </w:tc>
        <w:tc>
          <w:tcPr>
            <w:tcW w:w="1385" w:type="dxa"/>
          </w:tcPr>
          <w:p w14:paraId="5F84490D"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Minimal harm risk</w:t>
            </w:r>
          </w:p>
        </w:tc>
        <w:tc>
          <w:tcPr>
            <w:tcW w:w="1477" w:type="dxa"/>
          </w:tcPr>
          <w:p w14:paraId="70F36FFB"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assessment </w:t>
            </w:r>
          </w:p>
        </w:tc>
      </w:tr>
      <w:tr w:rsidR="00392A4E" w14:paraId="3316E799" w14:textId="77777777">
        <w:trPr>
          <w:trHeight w:val="891"/>
          <w:jc w:val="center"/>
        </w:trPr>
        <w:tc>
          <w:tcPr>
            <w:tcW w:w="1440" w:type="dxa"/>
          </w:tcPr>
          <w:p w14:paraId="3632D68C" w14:textId="77777777" w:rsidR="00392A4E" w:rsidRDefault="00B3645F">
            <w:pPr>
              <w:spacing w:line="36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Transparency</w:t>
            </w:r>
          </w:p>
        </w:tc>
        <w:tc>
          <w:tcPr>
            <w:tcW w:w="591" w:type="dxa"/>
          </w:tcPr>
          <w:p w14:paraId="575D85BC"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288" w:type="dxa"/>
          </w:tcPr>
          <w:p w14:paraId="39E06513"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Black-box system</w:t>
            </w:r>
          </w:p>
        </w:tc>
        <w:tc>
          <w:tcPr>
            <w:tcW w:w="1385" w:type="dxa"/>
          </w:tcPr>
          <w:p w14:paraId="70925354"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 explicitness</w:t>
            </w:r>
          </w:p>
        </w:tc>
        <w:tc>
          <w:tcPr>
            <w:tcW w:w="1385" w:type="dxa"/>
          </w:tcPr>
          <w:p w14:paraId="3893BE05"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explicitness</w:t>
            </w:r>
          </w:p>
        </w:tc>
        <w:tc>
          <w:tcPr>
            <w:tcW w:w="1293" w:type="dxa"/>
          </w:tcPr>
          <w:p w14:paraId="16ED8D13"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explicitness</w:t>
            </w:r>
          </w:p>
        </w:tc>
        <w:tc>
          <w:tcPr>
            <w:tcW w:w="1385" w:type="dxa"/>
          </w:tcPr>
          <w:p w14:paraId="3249E1C7"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 explicitness</w:t>
            </w:r>
          </w:p>
        </w:tc>
        <w:tc>
          <w:tcPr>
            <w:tcW w:w="1477" w:type="dxa"/>
          </w:tcPr>
          <w:p w14:paraId="57675AE5"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Explicitness testing</w:t>
            </w:r>
          </w:p>
        </w:tc>
      </w:tr>
      <w:tr w:rsidR="00392A4E" w14:paraId="00ECA09E" w14:textId="77777777">
        <w:trPr>
          <w:trHeight w:val="1161"/>
          <w:jc w:val="center"/>
        </w:trPr>
        <w:tc>
          <w:tcPr>
            <w:tcW w:w="1440" w:type="dxa"/>
            <w:tcBorders>
              <w:bottom w:val="single" w:sz="4" w:space="0" w:color="000000"/>
            </w:tcBorders>
          </w:tcPr>
          <w:p w14:paraId="10BF9B59" w14:textId="77777777" w:rsidR="00392A4E" w:rsidRDefault="00B3645F">
            <w:pPr>
              <w:spacing w:line="36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Privacy</w:t>
            </w:r>
          </w:p>
        </w:tc>
        <w:tc>
          <w:tcPr>
            <w:tcW w:w="591" w:type="dxa"/>
            <w:tcBorders>
              <w:bottom w:val="single" w:sz="4" w:space="0" w:color="000000"/>
            </w:tcBorders>
          </w:tcPr>
          <w:p w14:paraId="21B752BE"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288" w:type="dxa"/>
            <w:tcBorders>
              <w:bottom w:val="single" w:sz="4" w:space="0" w:color="000000"/>
            </w:tcBorders>
          </w:tcPr>
          <w:p w14:paraId="10EDF95A"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data protection</w:t>
            </w:r>
          </w:p>
        </w:tc>
        <w:tc>
          <w:tcPr>
            <w:tcW w:w="1385" w:type="dxa"/>
            <w:tcBorders>
              <w:bottom w:val="single" w:sz="4" w:space="0" w:color="000000"/>
            </w:tcBorders>
          </w:tcPr>
          <w:p w14:paraId="14839943"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data protection</w:t>
            </w:r>
          </w:p>
        </w:tc>
        <w:tc>
          <w:tcPr>
            <w:tcW w:w="1385" w:type="dxa"/>
            <w:tcBorders>
              <w:bottom w:val="single" w:sz="4" w:space="0" w:color="000000"/>
            </w:tcBorders>
          </w:tcPr>
          <w:p w14:paraId="179B4F39"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data protection</w:t>
            </w:r>
          </w:p>
        </w:tc>
        <w:tc>
          <w:tcPr>
            <w:tcW w:w="1293" w:type="dxa"/>
            <w:tcBorders>
              <w:bottom w:val="single" w:sz="4" w:space="0" w:color="000000"/>
            </w:tcBorders>
          </w:tcPr>
          <w:p w14:paraId="3C3AF3CE"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 data protection</w:t>
            </w:r>
          </w:p>
        </w:tc>
        <w:tc>
          <w:tcPr>
            <w:tcW w:w="1385" w:type="dxa"/>
            <w:tcBorders>
              <w:bottom w:val="single" w:sz="4" w:space="0" w:color="000000"/>
            </w:tcBorders>
          </w:tcPr>
          <w:p w14:paraId="3CA80538"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Maximum privacy protection</w:t>
            </w:r>
          </w:p>
        </w:tc>
        <w:tc>
          <w:tcPr>
            <w:tcW w:w="1477" w:type="dxa"/>
            <w:tcBorders>
              <w:bottom w:val="single" w:sz="4" w:space="0" w:color="000000"/>
            </w:tcBorders>
          </w:tcPr>
          <w:p w14:paraId="14DD17F4" w14:textId="77777777" w:rsidR="00392A4E" w:rsidRDefault="00B3645F">
            <w:p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Privacy impact assessment</w:t>
            </w:r>
          </w:p>
        </w:tc>
      </w:tr>
    </w:tbl>
    <w:p w14:paraId="10DA90FD" w14:textId="77777777" w:rsidR="00392A4E" w:rsidRDefault="00B364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Dynamic consent is assessed via:</w:t>
      </w:r>
    </w:p>
    <w:p w14:paraId="2BF8E73F"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CS=</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I×C×R</m:t>
              </m:r>
            </m:num>
            <m:den>
              <m:r>
                <w:rPr>
                  <w:rFonts w:ascii="Cambria Math" w:eastAsia="Cambria Math" w:hAnsi="Cambria Math" w:cs="Cambria Math"/>
                  <w:sz w:val="24"/>
                  <w:szCs w:val="24"/>
                </w:rPr>
                <m:t>T×D</m:t>
              </m:r>
            </m:den>
          </m:f>
        </m:oMath>
      </m:oMathPara>
    </w:p>
    <w:p w14:paraId="06CC16BF"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where (I) (information comprehensibility), (C) (cognitive capacity), (R) (risk disclosure), (T) (time pressure), and (D) (dependency vulnerability) model consent validity in AI-mediated care (Monosov et al., 2024). The privacy-utility trade-off is optimized as:</w:t>
      </w:r>
    </w:p>
    <w:p w14:paraId="5E9157B8"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PU</m:t>
              </m:r>
            </m:e>
            <m:sub>
              <m:r>
                <w:rPr>
                  <w:rFonts w:ascii="Cambria Math" w:eastAsia="Cambria Math" w:hAnsi="Cambria Math" w:cs="Cambria Math"/>
                  <w:sz w:val="24"/>
                  <w:szCs w:val="24"/>
                </w:rPr>
                <m:t>trade-off</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ϵ</m:t>
              </m:r>
            </m:sub>
          </m:sSub>
          <m:d>
            <m:dPr>
              <m:ctrlPr>
                <w:rPr>
                  <w:rFonts w:ascii="Cambria Math" w:eastAsia="Cambria Math" w:hAnsi="Cambria Math" w:cs="Cambria Math"/>
                  <w:sz w:val="24"/>
                  <w:szCs w:val="24"/>
                </w:rPr>
              </m:ctrlPr>
            </m:dPr>
            <m:e>
              <m:r>
                <w:rPr>
                  <w:rFonts w:ascii="Cambria Math" w:eastAsia="Cambria Math" w:hAnsi="Cambria Math" w:cs="Cambria Math"/>
                  <w:sz w:val="24"/>
                  <w:szCs w:val="24"/>
                </w:rPr>
                <m:t>D</m:t>
              </m:r>
            </m:e>
          </m:d>
          <m:r>
            <w:rPr>
              <w:rFonts w:ascii="Cambria Math" w:eastAsia="Cambria Math" w:hAnsi="Cambria Math" w:cs="Cambria Math"/>
              <w:sz w:val="24"/>
              <w:szCs w:val="24"/>
            </w:rPr>
            <m:t>)</m:t>
          </m:r>
          <m:r>
            <w:rPr>
              <w:rFonts w:ascii="Cambria Math" w:hAnsi="Cambria Math"/>
            </w:rPr>
            <m:t xml:space="preserve"> </m:t>
          </m:r>
          <m:r>
            <w:rPr>
              <w:rFonts w:ascii="Cambria Math" w:eastAsia="Cambria Math" w:hAnsi="Cambria Math" w:cs="Cambria Math"/>
              <w:sz w:val="24"/>
              <w:szCs w:val="24"/>
            </w:rPr>
            <m:t>subject to ϵ≥</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ϵ</m:t>
              </m:r>
            </m:e>
            <m:sub>
              <m:r>
                <w:rPr>
                  <w:rFonts w:ascii="Cambria Math" w:eastAsia="Cambria Math" w:hAnsi="Cambria Math" w:cs="Cambria Math"/>
                  <w:sz w:val="24"/>
                  <w:szCs w:val="24"/>
                </w:rPr>
                <m:t>min</m:t>
              </m:r>
            </m:sub>
          </m:sSub>
        </m:oMath>
      </m:oMathPara>
    </w:p>
    <w:p w14:paraId="08DF0421"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a differential privacy mechanism:</w:t>
      </w:r>
    </w:p>
    <w:p w14:paraId="6EAE0C59"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m:t>
          </m:r>
          <m:d>
            <m:dPr>
              <m:ctrlPr>
                <w:rPr>
                  <w:rFonts w:ascii="Cambria Math" w:eastAsia="Cambria Math" w:hAnsi="Cambria Math" w:cs="Cambria Math"/>
                  <w:sz w:val="24"/>
                  <w:szCs w:val="24"/>
                </w:rPr>
              </m:ctrlPr>
            </m:dPr>
            <m:e>
              <m:r>
                <w:rPr>
                  <w:rFonts w:ascii="Cambria Math" w:eastAsia="Cambria Math" w:hAnsi="Cambria Math" w:cs="Cambria Math"/>
                  <w:sz w:val="24"/>
                  <w:szCs w:val="24"/>
                </w:rPr>
                <m:t>D</m:t>
              </m:r>
            </m:e>
          </m:d>
          <m:r>
            <w:rPr>
              <w:rFonts w:ascii="Cambria Math" w:eastAsia="Cambria Math" w:hAnsi="Cambria Math" w:cs="Cambria Math"/>
              <w:sz w:val="24"/>
              <w:szCs w:val="24"/>
            </w:rPr>
            <m:t>=f</m:t>
          </m:r>
          <m:d>
            <m:dPr>
              <m:ctrlPr>
                <w:rPr>
                  <w:rFonts w:ascii="Cambria Math" w:eastAsia="Cambria Math" w:hAnsi="Cambria Math" w:cs="Cambria Math"/>
                  <w:sz w:val="24"/>
                  <w:szCs w:val="24"/>
                </w:rPr>
              </m:ctrlPr>
            </m:dPr>
            <m:e>
              <m:r>
                <w:rPr>
                  <w:rFonts w:ascii="Cambria Math" w:eastAsia="Cambria Math" w:hAnsi="Cambria Math" w:cs="Cambria Math"/>
                  <w:sz w:val="24"/>
                  <w:szCs w:val="24"/>
                </w:rPr>
                <m:t>D</m:t>
              </m:r>
            </m:e>
          </m:d>
          <m:r>
            <w:rPr>
              <w:rFonts w:ascii="Cambria Math" w:eastAsia="Cambria Math" w:hAnsi="Cambria Math" w:cs="Cambria Math"/>
              <w:sz w:val="24"/>
              <w:szCs w:val="24"/>
            </w:rPr>
            <m:t>+Lap</m:t>
          </m:r>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Δf</m:t>
                  </m:r>
                </m:num>
                <m:den>
                  <m:r>
                    <w:rPr>
                      <w:rFonts w:ascii="Cambria Math" w:eastAsia="Cambria Math" w:hAnsi="Cambria Math" w:cs="Cambria Math"/>
                      <w:sz w:val="24"/>
                      <w:szCs w:val="24"/>
                    </w:rPr>
                    <m:t>ϵ</m:t>
                  </m:r>
                </m:den>
              </m:f>
            </m:e>
          </m:d>
        </m:oMath>
      </m:oMathPara>
    </w:p>
    <w:p w14:paraId="261CB289"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balancing efficacy and privacy, crucial for protecting mental health data (Shokri &amp; Shmatikov, 2015). Where (M</w:t>
      </w:r>
      <w:r>
        <w:rPr>
          <w:rFonts w:ascii="Times New Roman" w:eastAsia="Times New Roman" w:hAnsi="Times New Roman" w:cs="Times New Roman"/>
          <w:sz w:val="24"/>
          <w:szCs w:val="24"/>
          <w:vertAlign w:val="subscript"/>
        </w:rPr>
        <w:t>ϵ</w:t>
      </w:r>
      <w:r>
        <w:rPr>
          <w:rFonts w:ascii="Times New Roman" w:eastAsia="Times New Roman" w:hAnsi="Times New Roman" w:cs="Times New Roman"/>
          <w:sz w:val="24"/>
          <w:szCs w:val="24"/>
        </w:rPr>
        <w:t>(D)) is the utility of the mechanism (M) with dataset (D) under privacy level ϵ</w:t>
      </w:r>
      <w:r>
        <w:rPr>
          <w:rFonts w:ascii="Times New Roman" w:eastAsia="Times New Roman" w:hAnsi="Times New Roman" w:cs="Times New Roman"/>
          <w:sz w:val="24"/>
          <w:szCs w:val="24"/>
          <w:vertAlign w:val="subscript"/>
        </w:rPr>
        <w:t>min</w:t>
      </w:r>
      <w:r>
        <w:rPr>
          <w:rFonts w:ascii="Times New Roman" w:eastAsia="Times New Roman" w:hAnsi="Times New Roman" w:cs="Times New Roman"/>
          <w:sz w:val="24"/>
          <w:szCs w:val="24"/>
        </w:rPr>
        <w:t>.</w:t>
      </w:r>
    </w:p>
    <w:p w14:paraId="35FA0384"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Collection Methods</w:t>
      </w:r>
    </w:p>
    <w:p w14:paraId="5365BF4F"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integrates multiple sources, weighted by:</w:t>
      </w:r>
    </w:p>
    <w:p w14:paraId="01692A2C"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source</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Quality×Relevance×Recency</m:t>
              </m:r>
            </m:num>
            <m:den>
              <m:r>
                <w:rPr>
                  <w:rFonts w:ascii="Cambria Math" w:eastAsia="Cambria Math" w:hAnsi="Cambria Math" w:cs="Cambria Math"/>
                  <w:sz w:val="24"/>
                  <w:szCs w:val="24"/>
                </w:rPr>
                <m:t>Bias_Factor×Access_Difficulty</m:t>
              </m:r>
            </m:den>
          </m:f>
        </m:oMath>
      </m:oMathPara>
    </w:p>
    <w:p w14:paraId="3A837FC0"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ensures robust, relevant data, with quality assessed via:</w:t>
      </w:r>
    </w:p>
    <w:p w14:paraId="61C8B135"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IQI=</m:t>
          </m:r>
          <m:f>
            <m:fPr>
              <m:ctrlPr>
                <w:rPr>
                  <w:rFonts w:ascii="Cambria Math" w:eastAsia="Cambria Math" w:hAnsi="Cambria Math" w:cs="Cambria Math"/>
                  <w:sz w:val="24"/>
                  <w:szCs w:val="24"/>
                </w:rPr>
              </m:ctrlPr>
            </m:fPr>
            <m:num>
              <m:rad>
                <m:radPr>
                  <m:degHide m:val="1"/>
                  <m:ctrlPr>
                    <w:rPr>
                      <w:rFonts w:ascii="Cambria Math" w:eastAsia="Cambria Math" w:hAnsi="Cambria Math" w:cs="Cambria Math"/>
                      <w:sz w:val="24"/>
                      <w:szCs w:val="24"/>
                    </w:rPr>
                  </m:ctrlPr>
                </m:radPr>
                <m:deg/>
                <m:e>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7</m:t>
                      </m:r>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q</m:t>
                      </m:r>
                    </m:e>
                    <m:sub>
                      <m:r>
                        <w:rPr>
                          <w:rFonts w:ascii="Cambria Math" w:eastAsia="Cambria Math" w:hAnsi="Cambria Math" w:cs="Cambria Math"/>
                          <w:sz w:val="24"/>
                          <w:szCs w:val="24"/>
                        </w:rPr>
                        <m:t>i</m:t>
                      </m:r>
                    </m:sub>
                    <m:sup>
                      <m:r>
                        <w:rPr>
                          <w:rFonts w:ascii="Cambria Math" w:eastAsia="Cambria Math" w:hAnsi="Cambria Math" w:cs="Cambria Math"/>
                          <w:sz w:val="24"/>
                          <w:szCs w:val="24"/>
                        </w:rPr>
                        <m:t>2</m:t>
                      </m:r>
                    </m:sup>
                  </m:sSubSup>
                </m:e>
              </m:rad>
            </m:num>
            <m:den>
              <m:r>
                <w:rPr>
                  <w:rFonts w:ascii="Cambria Math" w:eastAsia="Cambria Math" w:hAnsi="Cambria Math" w:cs="Cambria Math"/>
                  <w:sz w:val="24"/>
                  <w:szCs w:val="24"/>
                </w:rPr>
                <m:t>7</m:t>
              </m:r>
            </m:den>
          </m:f>
        </m:oMath>
      </m:oMathPara>
    </w:p>
    <w:p w14:paraId="6B4315FE"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(IQI) is the information quality index, aggregating quality metrics. q</w:t>
      </w:r>
      <w:r>
        <w:rPr>
          <w:rFonts w:ascii="Times New Roman" w:eastAsia="Times New Roman" w:hAnsi="Times New Roman" w:cs="Times New Roman"/>
          <w:sz w:val="24"/>
          <w:szCs w:val="24"/>
          <w:vertAlign w:val="subscript"/>
        </w:rPr>
        <w:t xml:space="preserve">i </w:t>
      </w:r>
      <w:r>
        <w:rPr>
          <w:rFonts w:ascii="Times New Roman" w:eastAsia="Times New Roman" w:hAnsi="Times New Roman" w:cs="Times New Roman"/>
          <w:sz w:val="24"/>
          <w:szCs w:val="24"/>
        </w:rPr>
        <w:t xml:space="preserve">are scores for seven (7) quality dimensions; accuracy, completeness, consistency, currency, credibility, accessibility, and relevance each ranging from 0 to 1. </w:t>
      </w:r>
    </w:p>
    <w:p w14:paraId="07AFA604"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 elicitation uses a Delphi consensus algorithm:</w:t>
      </w:r>
    </w:p>
    <w:p w14:paraId="78809AED"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Consensus=</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n</m:t>
              </m:r>
            </m:den>
          </m:f>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nary>
          <m:f>
            <m:fPr>
              <m:ctrlPr>
                <w:rPr>
                  <w:rFonts w:ascii="Cambria Math" w:eastAsia="Cambria Math" w:hAnsi="Cambria Math" w:cs="Cambria Math"/>
                  <w:sz w:val="24"/>
                  <w:szCs w:val="24"/>
                </w:rPr>
              </m:ctrlPr>
            </m:fPr>
            <m:num>
              <m:d>
                <m:dPr>
                  <m:begChr m:val="|"/>
                  <m:endChr m:val="|"/>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i,  round2</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i,  round1</m:t>
                      </m:r>
                    </m:sub>
                  </m:sSub>
                </m:e>
              </m:d>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i,  round1</m:t>
                  </m:r>
                </m:sub>
              </m:sSub>
            </m:den>
          </m:f>
          <m:r>
            <w:rPr>
              <w:rFonts w:ascii="Cambria Math" w:eastAsia="Cambria Math" w:hAnsi="Cambria Math" w:cs="Cambria Math"/>
              <w:sz w:val="24"/>
              <w:szCs w:val="24"/>
            </w:rPr>
            <m:t>&lt;0.15</m:t>
          </m:r>
        </m:oMath>
      </m:oMathPara>
    </w:p>
    <w:p w14:paraId="78C46E21"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expert credibility weighted as:</w:t>
      </w:r>
    </w:p>
    <w:p w14:paraId="22C1E7E5"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expert</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Experience+Publications+Domain_Knowledge</m:t>
              </m:r>
            </m:num>
            <m:den>
              <m:r>
                <w:rPr>
                  <w:rFonts w:ascii="Cambria Math" w:eastAsia="Cambria Math" w:hAnsi="Cambria Math" w:cs="Cambria Math"/>
                  <w:sz w:val="24"/>
                  <w:szCs w:val="24"/>
                </w:rPr>
                <m:t>3</m:t>
              </m:r>
            </m:den>
          </m:f>
          <m:r>
            <w:rPr>
              <w:rFonts w:ascii="Cambria Math" w:eastAsia="Cambria Math" w:hAnsi="Cambria Math" w:cs="Cambria Math"/>
              <w:sz w:val="24"/>
              <w:szCs w:val="24"/>
            </w:rPr>
            <m:t>×Consistency_Factor</m:t>
          </m:r>
        </m:oMath>
      </m:oMathPara>
    </w:p>
    <w:p w14:paraId="03E9F212"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ensure valid, reliable qualitative inputs for ethical and cybersecurity assessments (Hsu &amp; Sandford, 2007).</w:t>
      </w:r>
    </w:p>
    <w:p w14:paraId="40F840A8" w14:textId="77777777" w:rsidR="00392A4E" w:rsidRDefault="00392A4E">
      <w:pPr>
        <w:spacing w:line="360" w:lineRule="auto"/>
        <w:jc w:val="both"/>
        <w:rPr>
          <w:rFonts w:ascii="Times New Roman" w:eastAsia="Times New Roman" w:hAnsi="Times New Roman" w:cs="Times New Roman"/>
          <w:b/>
          <w:sz w:val="24"/>
          <w:szCs w:val="24"/>
        </w:rPr>
      </w:pPr>
    </w:p>
    <w:p w14:paraId="0ED535A4"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Machine Learning Performance Metrics</w:t>
      </w:r>
    </w:p>
    <w:p w14:paraId="2477886E"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model performance is evaluated using a classification matrix:</w:t>
      </w:r>
    </w:p>
    <w:p w14:paraId="18B9B21D" w14:textId="77777777" w:rsidR="00392A4E" w:rsidRDefault="00B3645F">
      <w:pPr>
        <w:jc w:val="center"/>
      </w:pPr>
      <m:oMathPara>
        <m:oMath>
          <m:r>
            <w:rPr>
              <w:rFonts w:ascii="Cambria Math" w:eastAsia="Cambria Math" w:hAnsi="Cambria Math" w:cs="Cambria Math"/>
              <w:sz w:val="24"/>
              <w:szCs w:val="24"/>
            </w:rPr>
            <m:t>P=</m:t>
          </m:r>
          <m:d>
            <m:dPr>
              <m:begChr m:val="["/>
              <m:endChr m:val="]"/>
              <m:ctrlPr>
                <w:rPr>
                  <w:rFonts w:ascii="Cambria Math" w:hAnsi="Cambria Math"/>
                </w:rPr>
              </m:ctrlPr>
            </m:dPr>
            <m:e>
              <m:r>
                <w:rPr>
                  <w:rFonts w:ascii="Cambria Math" w:eastAsia="Cambria Math" w:hAnsi="Cambria Math" w:cs="Cambria Math"/>
                  <w:sz w:val="24"/>
                  <w:szCs w:val="24"/>
                </w:rPr>
                <m:t>TP</m:t>
              </m:r>
              <m:r>
                <w:rPr>
                  <w:rFonts w:ascii="Cambria Math" w:hAnsi="Cambria Math"/>
                </w:rPr>
                <m:t xml:space="preserve"> </m:t>
              </m:r>
              <m:r>
                <w:rPr>
                  <w:rFonts w:ascii="Cambria Math" w:eastAsia="Cambria Math" w:hAnsi="Cambria Math" w:cs="Cambria Math"/>
                  <w:sz w:val="24"/>
                  <w:szCs w:val="24"/>
                </w:rPr>
                <m:t>FP</m:t>
              </m:r>
              <m:r>
                <w:rPr>
                  <w:rFonts w:ascii="Cambria Math" w:hAnsi="Cambria Math"/>
                </w:rPr>
                <m:t xml:space="preserve"> </m:t>
              </m:r>
              <m:r>
                <w:rPr>
                  <w:rFonts w:ascii="Cambria Math" w:eastAsia="Cambria Math" w:hAnsi="Cambria Math" w:cs="Cambria Math"/>
                  <w:sz w:val="24"/>
                  <w:szCs w:val="24"/>
                </w:rPr>
                <m:t>FN</m:t>
              </m:r>
              <m:r>
                <w:rPr>
                  <w:rFonts w:ascii="Cambria Math" w:hAnsi="Cambria Math"/>
                </w:rPr>
                <m:t xml:space="preserve"> </m:t>
              </m:r>
              <m:r>
                <w:rPr>
                  <w:rFonts w:ascii="Cambria Math" w:eastAsia="Cambria Math" w:hAnsi="Cambria Math" w:cs="Cambria Math"/>
                  <w:sz w:val="24"/>
                  <w:szCs w:val="24"/>
                </w:rPr>
                <m:t>TN</m:t>
              </m:r>
              <m:r>
                <w:rPr>
                  <w:rFonts w:ascii="Cambria Math" w:hAnsi="Cambria Math"/>
                </w:rPr>
                <m:t xml:space="preserve"> </m:t>
              </m:r>
            </m:e>
          </m:d>
        </m:oMath>
      </m:oMathPara>
    </w:p>
    <w:p w14:paraId="26F2C752"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metrics including accuracy </w:t>
      </w:r>
      <m:oMath>
        <m:r>
          <w:rPr>
            <w:rFonts w:ascii="Cambria Math" w:eastAsia="Cambria Math" w:hAnsi="Cambria Math" w:cs="Cambria Math"/>
            <w:sz w:val="24"/>
            <w:szCs w:val="24"/>
          </w:rPr>
          <m:t>Acc=(</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TP+TN</m:t>
            </m:r>
          </m:num>
          <m:den>
            <m:r>
              <w:rPr>
                <w:rFonts w:ascii="Cambria Math" w:eastAsia="Cambria Math" w:hAnsi="Cambria Math" w:cs="Cambria Math"/>
                <w:sz w:val="24"/>
                <w:szCs w:val="24"/>
              </w:rPr>
              <m:t>TP+TN+FP+FN</m:t>
            </m:r>
          </m:den>
        </m:f>
        <m:r>
          <w:rPr>
            <w:rFonts w:ascii="Cambria Math" w:eastAsia="Cambria Math" w:hAnsi="Cambria Math" w:cs="Cambria Math"/>
            <w:sz w:val="24"/>
            <w:szCs w:val="24"/>
          </w:rPr>
          <m:t>)</m:t>
        </m:r>
      </m:oMath>
      <w:r>
        <w:rPr>
          <w:rFonts w:ascii="Times New Roman" w:eastAsia="Times New Roman" w:hAnsi="Times New Roman" w:cs="Times New Roman"/>
          <w:sz w:val="24"/>
          <w:szCs w:val="24"/>
        </w:rPr>
        <w:t>, precision, recall, F1-score, and specificity, ensuring therapeutic efficacy (Chicco &amp; Jurman, 2020). Advanced metrics include:</w:t>
      </w:r>
    </w:p>
    <w:p w14:paraId="4AD564E3"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AUC=</m:t>
          </m:r>
          <m:nary>
            <m:naryPr>
              <m:ctrlPr>
                <w:rPr>
                  <w:rFonts w:ascii="Cambria Math" w:eastAsia="Cambria Math" w:hAnsi="Cambria Math" w:cs="Cambria Math"/>
                  <w:sz w:val="24"/>
                  <w:szCs w:val="24"/>
                </w:rPr>
              </m:ctrlPr>
            </m:naryPr>
            <m:sub>
              <m:r>
                <w:rPr>
                  <w:rFonts w:ascii="Cambria Math" w:eastAsia="Cambria Math" w:hAnsi="Cambria Math" w:cs="Cambria Math"/>
                  <w:sz w:val="24"/>
                  <w:szCs w:val="24"/>
                </w:rPr>
                <m:t>0</m:t>
              </m:r>
            </m:sub>
            <m:sup>
              <m:r>
                <w:rPr>
                  <w:rFonts w:ascii="Cambria Math" w:eastAsia="Cambria Math" w:hAnsi="Cambria Math" w:cs="Cambria Math"/>
                  <w:sz w:val="24"/>
                  <w:szCs w:val="24"/>
                </w:rPr>
                <m:t>1</m:t>
              </m:r>
            </m:sup>
            <m:e/>
          </m:nary>
          <m:r>
            <w:rPr>
              <w:rFonts w:ascii="Cambria Math" w:eastAsia="Cambria Math" w:hAnsi="Cambria Math" w:cs="Cambria Math"/>
              <w:sz w:val="24"/>
              <w:szCs w:val="24"/>
            </w:rPr>
            <m:t>TPR</m:t>
          </m:r>
          <m:d>
            <m:dPr>
              <m:ctrlPr>
                <w:rPr>
                  <w:rFonts w:ascii="Cambria Math" w:eastAsia="Cambria Math" w:hAnsi="Cambria Math" w:cs="Cambria Math"/>
                  <w:sz w:val="24"/>
                  <w:szCs w:val="24"/>
                </w:rPr>
              </m:ctrlPr>
            </m:d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FPR</m:t>
                  </m:r>
                </m:e>
                <m:sup>
                  <m:r>
                    <w:rPr>
                      <w:rFonts w:ascii="Cambria Math" w:eastAsia="Cambria Math" w:hAnsi="Cambria Math" w:cs="Cambria Math"/>
                      <w:sz w:val="24"/>
                      <w:szCs w:val="24"/>
                    </w:rPr>
                    <m:t>-1</m:t>
                  </m:r>
                </m:sup>
              </m:sSup>
              <m:d>
                <m:dPr>
                  <m:ctrlPr>
                    <w:rPr>
                      <w:rFonts w:ascii="Cambria Math" w:eastAsia="Cambria Math" w:hAnsi="Cambria Math" w:cs="Cambria Math"/>
                      <w:sz w:val="24"/>
                      <w:szCs w:val="24"/>
                    </w:rPr>
                  </m:ctrlPr>
                </m:dPr>
                <m:e>
                  <m:r>
                    <w:rPr>
                      <w:rFonts w:ascii="Cambria Math" w:eastAsia="Cambria Math" w:hAnsi="Cambria Math" w:cs="Cambria Math"/>
                      <w:sz w:val="24"/>
                      <w:szCs w:val="24"/>
                    </w:rPr>
                    <m:t>x</m:t>
                  </m:r>
                </m:e>
              </m:d>
            </m:e>
          </m:d>
          <m:r>
            <w:rPr>
              <w:rFonts w:ascii="Cambria Math" w:eastAsia="Cambria Math" w:hAnsi="Cambria Math" w:cs="Cambria Math"/>
              <w:sz w:val="24"/>
              <w:szCs w:val="24"/>
            </w:rPr>
            <m:t>dx</m:t>
          </m:r>
        </m:oMath>
      </m:oMathPara>
    </w:p>
    <w:p w14:paraId="778C38F8"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MCC=</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TP×TN-FP×FN</m:t>
              </m:r>
            </m:num>
            <m:den>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(TP+FP)(TP+FN)(TN+FP)(TN+FN)</m:t>
                  </m:r>
                </m:e>
              </m:rad>
            </m:den>
          </m:f>
        </m:oMath>
      </m:oMathPara>
    </w:p>
    <w:p w14:paraId="5972807F" w14:textId="77777777" w:rsidR="00392A4E" w:rsidRDefault="00B3645F">
      <w:pPr>
        <w:jc w:val="center"/>
      </w:pPr>
      <m:oMathPara>
        <m:oMath>
          <m:r>
            <w:rPr>
              <w:rFonts w:ascii="Cambria Math" w:eastAsia="Cambria Math" w:hAnsi="Cambria Math" w:cs="Cambria Math"/>
              <w:sz w:val="24"/>
              <w:szCs w:val="24"/>
            </w:rPr>
            <m:t>LL=</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n</m:t>
              </m:r>
            </m:den>
          </m:f>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nary>
          <m:d>
            <m:dPr>
              <m:begChr m:val="["/>
              <m:endChr m:val="]"/>
              <m:ctrlPr>
                <w:rPr>
                  <w:rFonts w:ascii="Cambria Math" w:hAnsi="Cambria Math"/>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i</m:t>
                  </m:r>
                </m:sub>
              </m:sSub>
              <m:box>
                <m:boxPr>
                  <m:opEmu m:val="1"/>
                  <m:ctrlPr>
                    <w:rPr>
                      <w:rFonts w:ascii="Cambria Math" w:eastAsia="Cambria Math" w:hAnsi="Cambria Math" w:cs="Cambria Math"/>
                      <w:sz w:val="24"/>
                      <w:szCs w:val="24"/>
                    </w:rPr>
                  </m:ctrlPr>
                </m:boxPr>
                <m:e>
                  <m:r>
                    <w:rPr>
                      <w:rFonts w:ascii="Cambria Math" w:eastAsia="Cambria Math" w:hAnsi="Cambria Math" w:cs="Cambria Math"/>
                      <w:sz w:val="24"/>
                      <w:szCs w:val="24"/>
                    </w:rPr>
                    <m:t>log</m:t>
                  </m:r>
                </m:e>
              </m:box>
              <m:r>
                <w:rPr>
                  <w:rFonts w:ascii="Cambria Math" w:eastAsia="Cambria Math" w:hAnsi="Cambria Math" w:cs="Cambria Math"/>
                  <w:sz w:val="24"/>
                  <w:szCs w:val="24"/>
                </w:rPr>
                <m:t>log</m:t>
              </m:r>
              <m:r>
                <w:rPr>
                  <w:rFonts w:ascii="Cambria Math" w:hAnsi="Cambria Math"/>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r>
                <w:rPr>
                  <w:rFonts w:ascii="Cambria Math" w:hAnsi="Cambria Math"/>
                </w:rPr>
                <m:t xml:space="preserve"> </m:t>
              </m:r>
              <m:r>
                <w:rPr>
                  <w:rFonts w:ascii="Cambria Math" w:eastAsia="Cambria Math" w:hAnsi="Cambria Math" w:cs="Cambria Math"/>
                  <w:sz w:val="24"/>
                  <w:szCs w:val="24"/>
                </w:rPr>
                <m:t>+(1-</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box>
                <m:boxPr>
                  <m:opEmu m:val="1"/>
                  <m:ctrlPr>
                    <w:rPr>
                      <w:rFonts w:ascii="Cambria Math" w:eastAsia="Cambria Math" w:hAnsi="Cambria Math" w:cs="Cambria Math"/>
                      <w:sz w:val="24"/>
                      <w:szCs w:val="24"/>
                    </w:rPr>
                  </m:ctrlPr>
                </m:boxPr>
                <m:e>
                  <m:r>
                    <w:rPr>
                      <w:rFonts w:ascii="Cambria Math" w:eastAsia="Cambria Math" w:hAnsi="Cambria Math" w:cs="Cambria Math"/>
                      <w:sz w:val="24"/>
                      <w:szCs w:val="24"/>
                    </w:rPr>
                    <m:t>log</m:t>
                  </m:r>
                </m:e>
              </m:box>
              <m:r>
                <w:rPr>
                  <w:rFonts w:ascii="Cambria Math" w:eastAsia="Cambria Math" w:hAnsi="Cambria Math" w:cs="Cambria Math"/>
                  <w:sz w:val="24"/>
                  <w:szCs w:val="24"/>
                </w:rPr>
                <m:t>log</m:t>
              </m:r>
              <m:r>
                <w:rPr>
                  <w:rFonts w:ascii="Cambria Math" w:hAnsi="Cambria Math"/>
                </w:rPr>
                <m:t xml:space="preserve"> </m:t>
              </m:r>
              <m:r>
                <w:rPr>
                  <w:rFonts w:ascii="Cambria Math" w:eastAsia="Cambria Math" w:hAnsi="Cambria Math" w:cs="Cambria Math"/>
                  <w:sz w:val="24"/>
                  <w:szCs w:val="24"/>
                </w:rPr>
                <m:t>(1-</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r>
                <w:rPr>
                  <w:rFonts w:ascii="Cambria Math" w:hAnsi="Cambria Math"/>
                </w:rPr>
                <m:t xml:space="preserve"> </m:t>
              </m:r>
            </m:e>
          </m:d>
        </m:oMath>
      </m:oMathPara>
    </w:p>
    <w:p w14:paraId="18B87276"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assess discriminative ability, calibration, and prediction reliability. Model selection uses:</w:t>
      </w:r>
    </w:p>
    <w:p w14:paraId="770BE90A" w14:textId="77777777" w:rsidR="00392A4E" w:rsidRDefault="00B3645F">
      <w:pPr>
        <w:spacing w:line="360" w:lineRule="auto"/>
        <w:jc w:val="both"/>
        <w:rPr>
          <w:rFonts w:ascii="Times New Roman" w:eastAsia="Times New Roman" w:hAnsi="Times New Roman" w:cs="Times New Roman"/>
          <w:sz w:val="24"/>
          <w:szCs w:val="24"/>
        </w:rPr>
      </w:pPr>
      <m:oMath>
        <m:r>
          <w:rPr>
            <w:rFonts w:ascii="Cambria Math" w:eastAsia="Cambria Math" w:hAnsi="Cambria Math" w:cs="Cambria Math"/>
            <w:sz w:val="24"/>
            <w:szCs w:val="24"/>
          </w:rPr>
          <m:t>BIC=2In</m:t>
        </m:r>
        <m:d>
          <m:dPr>
            <m:ctrlPr>
              <w:rPr>
                <w:rFonts w:ascii="Cambria Math" w:eastAsia="Cambria Math" w:hAnsi="Cambria Math" w:cs="Cambria Math"/>
                <w:sz w:val="24"/>
                <w:szCs w:val="24"/>
              </w:rPr>
            </m:ctrlPr>
          </m:dPr>
          <m:e>
            <m:r>
              <w:rPr>
                <w:rFonts w:ascii="Cambria Math" w:eastAsia="Cambria Math" w:hAnsi="Cambria Math" w:cs="Cambria Math"/>
                <w:sz w:val="24"/>
                <w:szCs w:val="24"/>
              </w:rPr>
              <m:t>L</m:t>
            </m:r>
          </m:e>
        </m:d>
        <m:r>
          <w:rPr>
            <w:rFonts w:ascii="Cambria Math" w:eastAsia="Cambria Math" w:hAnsi="Cambria Math" w:cs="Cambria Math"/>
            <w:sz w:val="24"/>
            <w:szCs w:val="24"/>
          </w:rPr>
          <m:t>+kIn</m:t>
        </m:r>
        <m:d>
          <m:dPr>
            <m:ctrlPr>
              <w:rPr>
                <w:rFonts w:ascii="Cambria Math" w:eastAsia="Cambria Math" w:hAnsi="Cambria Math" w:cs="Cambria Math"/>
                <w:sz w:val="24"/>
                <w:szCs w:val="24"/>
              </w:rPr>
            </m:ctrlPr>
          </m:dPr>
          <m:e>
            <m:r>
              <w:rPr>
                <w:rFonts w:ascii="Cambria Math" w:eastAsia="Cambria Math" w:hAnsi="Cambria Math" w:cs="Cambria Math"/>
                <w:sz w:val="24"/>
                <w:szCs w:val="24"/>
              </w:rPr>
              <m:t>n</m:t>
            </m:r>
          </m:e>
        </m:d>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m:oMath>
        <m:r>
          <w:rPr>
            <w:rFonts w:ascii="Cambria Math" w:eastAsia="Cambria Math" w:hAnsi="Cambria Math" w:cs="Cambria Math"/>
            <w:sz w:val="24"/>
            <w:szCs w:val="24"/>
          </w:rPr>
          <m:t>AIC=2k-2In(L)</m:t>
        </m:r>
      </m:oMath>
    </w:p>
    <w:p w14:paraId="1EF80C1C"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balance complexity and fit, ensuring robust AI models (Chicco &amp; Jurman, 2020).</w:t>
      </w:r>
    </w:p>
    <w:p w14:paraId="2CF5622B"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Validation Framework</w:t>
      </w:r>
    </w:p>
    <w:p w14:paraId="5CC3D6D9"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Stratified K-fold cross-validation ensures statistical robustness as seen in the Figure 2 below for cross validation:</w:t>
      </w:r>
    </w:p>
    <w:p w14:paraId="60162AC2"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CV</m:t>
              </m:r>
            </m:e>
            <m:sub>
              <m:r>
                <w:rPr>
                  <w:rFonts w:ascii="Cambria Math" w:eastAsia="Cambria Math" w:hAnsi="Cambria Math" w:cs="Cambria Math"/>
                  <w:sz w:val="24"/>
                  <w:szCs w:val="24"/>
                </w:rPr>
                <m:t>score</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k</m:t>
              </m:r>
            </m:den>
          </m:f>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k</m:t>
              </m:r>
            </m:sup>
            <m:e/>
          </m:nary>
          <m:r>
            <w:rPr>
              <w:rFonts w:ascii="Cambria Math" w:eastAsia="Cambria Math" w:hAnsi="Cambria Math" w:cs="Cambria Math"/>
              <w:sz w:val="24"/>
              <w:szCs w:val="24"/>
            </w:rPr>
            <m:t>L(</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acc>
                <m:accPr>
                  <m:ctrlPr>
                    <w:rPr>
                      <w:rFonts w:ascii="Cambria Math" w:eastAsia="Cambria Math" w:hAnsi="Cambria Math" w:cs="Cambria Math"/>
                      <w:sz w:val="24"/>
                      <w:szCs w:val="24"/>
                    </w:rPr>
                  </m:ctrlPr>
                </m:accPr>
                <m:e>
                  <m:r>
                    <w:rPr>
                      <w:rFonts w:ascii="Cambria Math" w:eastAsia="Cambria Math" w:hAnsi="Cambria Math" w:cs="Cambria Math"/>
                      <w:sz w:val="24"/>
                      <w:szCs w:val="24"/>
                    </w:rPr>
                    <m:t>y</m:t>
                  </m:r>
                </m:e>
              </m:acc>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oMath>
      </m:oMathPara>
    </w:p>
    <w:p w14:paraId="4D732BD8" w14:textId="77777777" w:rsidR="00392A4E" w:rsidRDefault="00392A4E">
      <w:pPr>
        <w:spacing w:line="360" w:lineRule="auto"/>
        <w:jc w:val="both"/>
        <w:rPr>
          <w:rFonts w:ascii="Times New Roman" w:eastAsia="Times New Roman" w:hAnsi="Times New Roman" w:cs="Times New Roman"/>
          <w:b/>
          <w:sz w:val="24"/>
          <w:szCs w:val="24"/>
        </w:rPr>
      </w:pPr>
    </w:p>
    <w:p w14:paraId="5665CF5D" w14:textId="77777777" w:rsidR="00392A4E" w:rsidRDefault="00392A4E">
      <w:pPr>
        <w:spacing w:line="360" w:lineRule="auto"/>
        <w:jc w:val="both"/>
        <w:rPr>
          <w:rFonts w:ascii="Times New Roman" w:eastAsia="Times New Roman" w:hAnsi="Times New Roman" w:cs="Times New Roman"/>
          <w:b/>
          <w:sz w:val="24"/>
          <w:szCs w:val="24"/>
        </w:rPr>
      </w:pPr>
    </w:p>
    <w:p w14:paraId="1AD11115" w14:textId="77777777" w:rsidR="00392A4E" w:rsidRDefault="00392A4E">
      <w:pPr>
        <w:spacing w:line="360" w:lineRule="auto"/>
        <w:jc w:val="both"/>
        <w:rPr>
          <w:rFonts w:ascii="Times New Roman" w:eastAsia="Times New Roman" w:hAnsi="Times New Roman" w:cs="Times New Roman"/>
          <w:b/>
          <w:sz w:val="24"/>
          <w:szCs w:val="24"/>
        </w:rPr>
      </w:pPr>
    </w:p>
    <w:p w14:paraId="6189147D" w14:textId="77777777" w:rsidR="00392A4E" w:rsidRDefault="00392A4E">
      <w:pPr>
        <w:spacing w:line="360" w:lineRule="auto"/>
        <w:jc w:val="both"/>
        <w:rPr>
          <w:rFonts w:ascii="Times New Roman" w:eastAsia="Times New Roman" w:hAnsi="Times New Roman" w:cs="Times New Roman"/>
          <w:b/>
          <w:sz w:val="24"/>
          <w:szCs w:val="24"/>
        </w:rPr>
      </w:pPr>
    </w:p>
    <w:p w14:paraId="62E3F2A6"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w:t>
      </w:r>
    </w:p>
    <w:p w14:paraId="5DE0B214" w14:textId="77777777" w:rsidR="00392A4E" w:rsidRDefault="00B3645F">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K-Fold Cross Validation</w:t>
      </w:r>
    </w:p>
    <w:p w14:paraId="101C9910"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B8951A" wp14:editId="1E3CCD54">
            <wp:extent cx="4559287" cy="271553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10658"/>
                    <a:stretch>
                      <a:fillRect/>
                    </a:stretch>
                  </pic:blipFill>
                  <pic:spPr>
                    <a:xfrm>
                      <a:off x="0" y="0"/>
                      <a:ext cx="4559287" cy="2715533"/>
                    </a:xfrm>
                    <a:prstGeom prst="rect">
                      <a:avLst/>
                    </a:prstGeom>
                    <a:ln/>
                  </pic:spPr>
                </pic:pic>
              </a:graphicData>
            </a:graphic>
          </wp:inline>
        </w:drawing>
      </w:r>
    </w:p>
    <w:p w14:paraId="3428AE97" w14:textId="77777777" w:rsidR="00392A4E" w:rsidRDefault="00392A4E">
      <w:pPr>
        <w:spacing w:line="360" w:lineRule="auto"/>
        <w:jc w:val="both"/>
        <w:rPr>
          <w:rFonts w:ascii="Times New Roman" w:eastAsia="Times New Roman" w:hAnsi="Times New Roman" w:cs="Times New Roman"/>
          <w:sz w:val="24"/>
          <w:szCs w:val="24"/>
        </w:rPr>
      </w:pPr>
    </w:p>
    <w:p w14:paraId="17BE9E0A"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Bootstrap confidence intervals assess reliability:</w:t>
      </w:r>
    </w:p>
    <w:p w14:paraId="06C1AE8B"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CI</m:t>
              </m:r>
            </m:e>
            <m:sub>
              <m:r>
                <w:rPr>
                  <w:rFonts w:ascii="Cambria Math" w:eastAsia="Cambria Math" w:hAnsi="Cambria Math" w:cs="Cambria Math"/>
                  <w:sz w:val="24"/>
                  <w:szCs w:val="24"/>
                </w:rPr>
                <m:t>95%</m:t>
              </m:r>
            </m:sub>
          </m:sSub>
          <m:r>
            <w:rPr>
              <w:rFonts w:ascii="Cambria Math" w:eastAsia="Cambria Math" w:hAnsi="Cambria Math" w:cs="Cambria Math"/>
              <w:sz w:val="24"/>
              <w:szCs w:val="24"/>
            </w:rPr>
            <m:t>=</m:t>
          </m:r>
          <m:d>
            <m:dPr>
              <m:begChr m:val="["/>
              <m:endChr m:val="]"/>
              <m:ctrlPr>
                <w:rPr>
                  <w:rFonts w:ascii="Cambria Math" w:eastAsia="Cambria Math" w:hAnsi="Cambria Math" w:cs="Cambria Math"/>
                  <w:sz w:val="24"/>
                  <w:szCs w:val="24"/>
                </w:rPr>
              </m:ctrlPr>
            </m:dPr>
            <m:e>
              <m:acc>
                <m:accPr>
                  <m:ctrlPr>
                    <w:rPr>
                      <w:rFonts w:ascii="Cambria Math" w:eastAsia="Cambria Math" w:hAnsi="Cambria Math" w:cs="Cambria Math"/>
                      <w:sz w:val="24"/>
                      <w:szCs w:val="24"/>
                    </w:rPr>
                  </m:ctrlPr>
                </m:accPr>
                <m:e>
                  <m:r>
                    <w:rPr>
                      <w:rFonts w:ascii="Cambria Math" w:eastAsia="Cambria Math" w:hAnsi="Cambria Math" w:cs="Cambria Math"/>
                      <w:sz w:val="24"/>
                      <w:szCs w:val="24"/>
                    </w:rPr>
                    <m:t>θ</m:t>
                  </m:r>
                </m:e>
              </m:acc>
              <m:r>
                <w:rPr>
                  <w:rFonts w:ascii="Cambria Math" w:eastAsia="Cambria Math" w:hAnsi="Cambria Math" w:cs="Cambria Math"/>
                  <w:sz w:val="24"/>
                  <w:szCs w:val="24"/>
                </w:rPr>
                <m:t>-1.96×SE</m:t>
              </m:r>
              <m:d>
                <m:dPr>
                  <m:ctrlPr>
                    <w:rPr>
                      <w:rFonts w:ascii="Cambria Math" w:eastAsia="Cambria Math" w:hAnsi="Cambria Math" w:cs="Cambria Math"/>
                      <w:sz w:val="24"/>
                      <w:szCs w:val="24"/>
                    </w:rPr>
                  </m:ctrlPr>
                </m:dPr>
                <m:e>
                  <m:acc>
                    <m:accPr>
                      <m:ctrlPr>
                        <w:rPr>
                          <w:rFonts w:ascii="Cambria Math" w:eastAsia="Cambria Math" w:hAnsi="Cambria Math" w:cs="Cambria Math"/>
                          <w:sz w:val="24"/>
                          <w:szCs w:val="24"/>
                        </w:rPr>
                      </m:ctrlPr>
                    </m:accPr>
                    <m:e>
                      <m:r>
                        <w:rPr>
                          <w:rFonts w:ascii="Cambria Math" w:eastAsia="Cambria Math" w:hAnsi="Cambria Math" w:cs="Cambria Math"/>
                          <w:sz w:val="24"/>
                          <w:szCs w:val="24"/>
                        </w:rPr>
                        <m:t>θ</m:t>
                      </m:r>
                    </m:e>
                  </m:acc>
                </m:e>
              </m:d>
              <m:r>
                <w:rPr>
                  <w:rFonts w:ascii="Cambria Math" w:eastAsia="Cambria Math" w:hAnsi="Cambria Math" w:cs="Cambria Math"/>
                  <w:sz w:val="24"/>
                  <w:szCs w:val="24"/>
                </w:rPr>
                <m:t xml:space="preserve">, </m:t>
              </m:r>
              <m:acc>
                <m:accPr>
                  <m:ctrlPr>
                    <w:rPr>
                      <w:rFonts w:ascii="Cambria Math" w:eastAsia="Cambria Math" w:hAnsi="Cambria Math" w:cs="Cambria Math"/>
                      <w:sz w:val="24"/>
                      <w:szCs w:val="24"/>
                    </w:rPr>
                  </m:ctrlPr>
                </m:accPr>
                <m:e>
                  <m:r>
                    <w:rPr>
                      <w:rFonts w:ascii="Cambria Math" w:eastAsia="Cambria Math" w:hAnsi="Cambria Math" w:cs="Cambria Math"/>
                      <w:sz w:val="24"/>
                      <w:szCs w:val="24"/>
                    </w:rPr>
                    <m:t>θ</m:t>
                  </m:r>
                </m:e>
              </m:acc>
              <m:r>
                <w:rPr>
                  <w:rFonts w:ascii="Cambria Math" w:eastAsia="Cambria Math" w:hAnsi="Cambria Math" w:cs="Cambria Math"/>
                  <w:sz w:val="24"/>
                  <w:szCs w:val="24"/>
                </w:rPr>
                <m:t>+1.96×SE</m:t>
              </m:r>
              <m:d>
                <m:dPr>
                  <m:ctrlPr>
                    <w:rPr>
                      <w:rFonts w:ascii="Cambria Math" w:eastAsia="Cambria Math" w:hAnsi="Cambria Math" w:cs="Cambria Math"/>
                      <w:sz w:val="24"/>
                      <w:szCs w:val="24"/>
                    </w:rPr>
                  </m:ctrlPr>
                </m:dPr>
                <m:e>
                  <m:acc>
                    <m:accPr>
                      <m:ctrlPr>
                        <w:rPr>
                          <w:rFonts w:ascii="Cambria Math" w:eastAsia="Cambria Math" w:hAnsi="Cambria Math" w:cs="Cambria Math"/>
                          <w:sz w:val="24"/>
                          <w:szCs w:val="24"/>
                        </w:rPr>
                      </m:ctrlPr>
                    </m:accPr>
                    <m:e>
                      <m:r>
                        <w:rPr>
                          <w:rFonts w:ascii="Cambria Math" w:eastAsia="Cambria Math" w:hAnsi="Cambria Math" w:cs="Cambria Math"/>
                          <w:sz w:val="24"/>
                          <w:szCs w:val="24"/>
                        </w:rPr>
                        <m:t>θ</m:t>
                      </m:r>
                    </m:e>
                  </m:acc>
                </m:e>
              </m:d>
            </m:e>
          </m:d>
        </m:oMath>
      </m:oMathPara>
    </w:p>
    <w:p w14:paraId="4F51B3DB"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generalizability index:</w:t>
      </w:r>
    </w:p>
    <w:p w14:paraId="0C6DBC97"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GI=1-</m:t>
          </m:r>
          <m:f>
            <m:fPr>
              <m:ctrlPr>
                <w:rPr>
                  <w:rFonts w:ascii="Cambria Math" w:eastAsia="Cambria Math" w:hAnsi="Cambria Math" w:cs="Cambria Math"/>
                  <w:sz w:val="24"/>
                  <w:szCs w:val="24"/>
                </w:rPr>
              </m:ctrlPr>
            </m:fPr>
            <m:num>
              <m:d>
                <m:dPr>
                  <m:begChr m:val="|"/>
                  <m:endChr m:val="|"/>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Performance</m:t>
                      </m:r>
                    </m:e>
                    <m:sub>
                      <m:r>
                        <w:rPr>
                          <w:rFonts w:ascii="Cambria Math" w:eastAsia="Cambria Math" w:hAnsi="Cambria Math" w:cs="Cambria Math"/>
                          <w:sz w:val="24"/>
                          <w:szCs w:val="24"/>
                        </w:rPr>
                        <m:t>internal</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Performance</m:t>
                      </m:r>
                    </m:e>
                    <m:sub>
                      <m:r>
                        <w:rPr>
                          <w:rFonts w:ascii="Cambria Math" w:eastAsia="Cambria Math" w:hAnsi="Cambria Math" w:cs="Cambria Math"/>
                          <w:sz w:val="24"/>
                          <w:szCs w:val="24"/>
                        </w:rPr>
                        <m:t>external</m:t>
                      </m:r>
                    </m:sub>
                  </m:sSub>
                </m:e>
              </m:d>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Performance</m:t>
                  </m:r>
                </m:e>
                <m:sub>
                  <m:r>
                    <w:rPr>
                      <w:rFonts w:ascii="Cambria Math" w:eastAsia="Cambria Math" w:hAnsi="Cambria Math" w:cs="Cambria Math"/>
                      <w:sz w:val="24"/>
                      <w:szCs w:val="24"/>
                    </w:rPr>
                    <m:t>internal</m:t>
                  </m:r>
                </m:sub>
              </m:sSub>
            </m:den>
          </m:f>
        </m:oMath>
      </m:oMathPara>
    </w:p>
    <w:p w14:paraId="68E8B323"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temporal validation function:</w:t>
      </w:r>
    </w:p>
    <w:p w14:paraId="422D2E17"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TV=</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t</m:t>
              </m:r>
            </m:den>
          </m:f>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t</m:t>
              </m:r>
            </m:sup>
            <m:e/>
          </m:nary>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Performance</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time</m:t>
                      </m:r>
                    </m:e>
                    <m:sub>
                      <m:r>
                        <w:rPr>
                          <w:rFonts w:ascii="Cambria Math" w:eastAsia="Cambria Math" w:hAnsi="Cambria Math" w:cs="Cambria Math"/>
                          <w:sz w:val="24"/>
                          <w:szCs w:val="24"/>
                        </w:rPr>
                        <m:t>i</m:t>
                      </m:r>
                    </m:sub>
                  </m:sSub>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Performance</m:t>
                  </m:r>
                </m:e>
                <m:sub>
                  <m:r>
                    <w:rPr>
                      <w:rFonts w:ascii="Cambria Math" w:eastAsia="Cambria Math" w:hAnsi="Cambria Math" w:cs="Cambria Math"/>
                      <w:sz w:val="24"/>
                      <w:szCs w:val="24"/>
                    </w:rPr>
                    <m:t>baseline</m:t>
                  </m:r>
                </m:sub>
              </m:sSub>
            </m:den>
          </m:f>
        </m:oMath>
      </m:oMathPara>
    </w:p>
    <w:p w14:paraId="5A4E032B"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ensure model effectiveness across diverse and temporal contexts (Varma &amp; Simon, 2006).</w:t>
      </w:r>
    </w:p>
    <w:p w14:paraId="7DDC6827"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Statistical Analysis Plan</w:t>
      </w:r>
    </w:p>
    <w:p w14:paraId="0B9490B7"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testing evaluates cybersecurity vulnerabilities, ethical compliance, and performance stability, with power calculated as:</w:t>
      </w:r>
    </w:p>
    <w:p w14:paraId="5D80695C"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Power=1-β=Φ</m:t>
          </m:r>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d>
                    <m:dPr>
                      <m:begChr m:val="|"/>
                      <m:endChr m:val="|"/>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μ</m:t>
                          </m: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μ</m:t>
                          </m:r>
                        </m:e>
                        <m:sub>
                          <m:r>
                            <w:rPr>
                              <w:rFonts w:ascii="Cambria Math" w:eastAsia="Cambria Math" w:hAnsi="Cambria Math" w:cs="Cambria Math"/>
                              <w:sz w:val="24"/>
                              <w:szCs w:val="24"/>
                            </w:rPr>
                            <m:t>0</m:t>
                          </m:r>
                        </m:sub>
                      </m:sSub>
                    </m:e>
                  </m:d>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z</m:t>
                      </m:r>
                    </m:e>
                    <m:sub>
                      <m:f>
                        <m:fPr>
                          <m:ctrlPr>
                            <w:rPr>
                              <w:rFonts w:ascii="Cambria Math" w:eastAsia="Cambria Math" w:hAnsi="Cambria Math" w:cs="Cambria Math"/>
                              <w:sz w:val="24"/>
                              <w:szCs w:val="24"/>
                            </w:rPr>
                          </m:ctrlPr>
                        </m:fPr>
                        <m:num>
                          <m:r>
                            <w:rPr>
                              <w:rFonts w:ascii="Cambria Math" w:eastAsia="Cambria Math" w:hAnsi="Cambria Math" w:cs="Cambria Math"/>
                              <w:sz w:val="24"/>
                              <w:szCs w:val="24"/>
                            </w:rPr>
                            <m:t>α</m:t>
                          </m:r>
                        </m:num>
                        <m:den>
                          <m:r>
                            <w:rPr>
                              <w:rFonts w:ascii="Cambria Math" w:eastAsia="Cambria Math" w:hAnsi="Cambria Math" w:cs="Cambria Math"/>
                              <w:sz w:val="24"/>
                              <w:szCs w:val="24"/>
                            </w:rPr>
                            <m:t>2</m:t>
                          </m:r>
                        </m:den>
                      </m:f>
                    </m:sub>
                  </m:sSub>
                  <m:f>
                    <m:fPr>
                      <m:ctrlPr>
                        <w:rPr>
                          <w:rFonts w:ascii="Cambria Math" w:eastAsia="Cambria Math" w:hAnsi="Cambria Math" w:cs="Cambria Math"/>
                          <w:sz w:val="24"/>
                          <w:szCs w:val="24"/>
                        </w:rPr>
                      </m:ctrlPr>
                    </m:fPr>
                    <m:num>
                      <m:r>
                        <w:rPr>
                          <w:rFonts w:ascii="Cambria Math" w:eastAsia="Cambria Math" w:hAnsi="Cambria Math" w:cs="Cambria Math"/>
                          <w:sz w:val="24"/>
                          <w:szCs w:val="24"/>
                        </w:rPr>
                        <m:t>σ</m:t>
                      </m:r>
                    </m:num>
                    <m:den>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n</m:t>
                          </m:r>
                        </m:e>
                      </m:rad>
                    </m:den>
                  </m:f>
                </m:num>
                <m:den>
                  <m:f>
                    <m:fPr>
                      <m:ctrlPr>
                        <w:rPr>
                          <w:rFonts w:ascii="Cambria Math" w:eastAsia="Cambria Math" w:hAnsi="Cambria Math" w:cs="Cambria Math"/>
                          <w:sz w:val="24"/>
                          <w:szCs w:val="24"/>
                        </w:rPr>
                      </m:ctrlPr>
                    </m:fPr>
                    <m:num>
                      <m:r>
                        <w:rPr>
                          <w:rFonts w:ascii="Cambria Math" w:eastAsia="Cambria Math" w:hAnsi="Cambria Math" w:cs="Cambria Math"/>
                          <w:sz w:val="24"/>
                          <w:szCs w:val="24"/>
                        </w:rPr>
                        <m:t>σ</m:t>
                      </m:r>
                    </m:num>
                    <m:den>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n</m:t>
                          </m:r>
                        </m:e>
                      </m:rad>
                    </m:den>
                  </m:f>
                </m:den>
              </m:f>
            </m:e>
          </m:d>
        </m:oMath>
      </m:oMathPara>
    </w:p>
    <w:p w14:paraId="2256E70F"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Effect sizes are computed using:</w:t>
      </w:r>
    </w:p>
    <w:p w14:paraId="7AEAEEDB" w14:textId="77777777" w:rsidR="00392A4E" w:rsidRDefault="00B3645F">
      <w:pPr>
        <w:spacing w:line="360" w:lineRule="auto"/>
        <w:jc w:val="both"/>
        <w:rPr>
          <w:rFonts w:ascii="Times New Roman" w:eastAsia="Times New Roman" w:hAnsi="Times New Roman" w:cs="Times New Roman"/>
          <w:sz w:val="24"/>
          <w:szCs w:val="24"/>
        </w:rPr>
      </w:pPr>
      <m:oMath>
        <m:r>
          <w:rPr>
            <w:rFonts w:ascii="Cambria Math" w:eastAsia="Cambria Math" w:hAnsi="Cambria Math" w:cs="Cambria Math"/>
            <w:sz w:val="24"/>
            <w:szCs w:val="24"/>
          </w:rPr>
          <m:t>d=</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x</m:t>
                    </m:r>
                  </m:e>
                </m:ba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x</m:t>
                    </m:r>
                  </m:e>
                </m:bar>
              </m:e>
              <m:sub>
                <m:r>
                  <w:rPr>
                    <w:rFonts w:ascii="Cambria Math" w:eastAsia="Cambria Math" w:hAnsi="Cambria Math" w:cs="Cambria Math"/>
                    <w:sz w:val="24"/>
                    <w:szCs w:val="24"/>
                  </w:rPr>
                  <m:t>2</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pooled</m:t>
                </m:r>
              </m:sub>
            </m:sSub>
          </m:den>
        </m:f>
        <m:r>
          <w:rPr>
            <w:rFonts w:ascii="Cambria Math" w:eastAsia="Cambria Math" w:hAnsi="Cambria Math" w:cs="Cambria Math"/>
            <w:sz w:val="24"/>
            <w:szCs w:val="24"/>
          </w:rPr>
          <m:t>,</m:t>
        </m:r>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m:oMath>
        <m:sSup>
          <m:sSupPr>
            <m:ctrlPr>
              <w:rPr>
                <w:rFonts w:ascii="Cambria Math" w:eastAsia="Cambria Math" w:hAnsi="Cambria Math" w:cs="Cambria Math"/>
                <w:sz w:val="24"/>
                <w:szCs w:val="24"/>
              </w:rPr>
            </m:ctrlPr>
          </m:sSupPr>
          <m:e>
            <m:r>
              <w:rPr>
                <w:rFonts w:ascii="Cambria Math" w:hAnsi="Cambria Math"/>
              </w:rPr>
              <m:t>η</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SS</m:t>
                </m:r>
              </m:e>
              <m:sub>
                <m:r>
                  <w:rPr>
                    <w:rFonts w:ascii="Cambria Math" w:eastAsia="Cambria Math" w:hAnsi="Cambria Math" w:cs="Cambria Math"/>
                    <w:sz w:val="24"/>
                    <w:szCs w:val="24"/>
                  </w:rPr>
                  <m:t>between</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SS</m:t>
                </m:r>
              </m:e>
              <m:sub>
                <m:r>
                  <w:rPr>
                    <w:rFonts w:ascii="Cambria Math" w:eastAsia="Cambria Math" w:hAnsi="Cambria Math" w:cs="Cambria Math"/>
                    <w:sz w:val="24"/>
                    <w:szCs w:val="24"/>
                  </w:rPr>
                  <m:t>total</m:t>
                </m:r>
              </m:sub>
            </m:sSub>
          </m:den>
        </m:f>
      </m:oMath>
    </w:p>
    <w:p w14:paraId="21DA418B"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ensure robust statistical inferences (Cohen, 1988).</w:t>
      </w:r>
    </w:p>
    <w:p w14:paraId="4D11403F"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Analytical Approaches</w:t>
      </w:r>
    </w:p>
    <w:p w14:paraId="29DA870E"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Multi-Criteria Decision Analysis (MCDA) employs the TOPSIS method:</w:t>
      </w:r>
    </w:p>
    <w:p w14:paraId="3F7BF994" w14:textId="77777777" w:rsidR="00392A4E" w:rsidRDefault="00000000">
      <w:pPr>
        <w:spacing w:line="360" w:lineRule="auto"/>
        <w:jc w:val="both"/>
        <w:rPr>
          <w:rFonts w:ascii="Times New Roman" w:eastAsia="Times New Roman" w:hAnsi="Times New Roman" w:cs="Times New Roman"/>
          <w:sz w:val="24"/>
          <w:szCs w:val="24"/>
        </w:rPr>
      </w:pP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i</m:t>
            </m:r>
          </m:sub>
          <m:sup>
            <m:r>
              <w:rPr>
                <w:rFonts w:ascii="Cambria Math" w:eastAsia="Cambria Math" w:hAnsi="Cambria Math" w:cs="Cambria Math"/>
                <w:sz w:val="24"/>
                <w:szCs w:val="24"/>
              </w:rPr>
              <m:t>+</m:t>
            </m:r>
          </m:sup>
        </m:sSubSup>
        <m:r>
          <w:rPr>
            <w:rFonts w:ascii="Cambria Math" w:eastAsia="Cambria Math" w:hAnsi="Cambria Math" w:cs="Cambria Math"/>
            <w:sz w:val="24"/>
            <w:szCs w:val="24"/>
          </w:rPr>
          <m:t>=</m:t>
        </m:r>
        <m:rad>
          <m:radPr>
            <m:degHide m:val="1"/>
            <m:ctrlPr>
              <w:rPr>
                <w:rFonts w:ascii="Cambria Math" w:eastAsia="Cambria Math" w:hAnsi="Cambria Math" w:cs="Cambria Math"/>
                <w:sz w:val="24"/>
                <w:szCs w:val="24"/>
              </w:rPr>
            </m:ctrlPr>
          </m:radPr>
          <m:deg/>
          <m:e>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j=1</m:t>
                </m:r>
              </m:sub>
              <m:sup>
                <m:r>
                  <w:rPr>
                    <w:rFonts w:ascii="Cambria Math" w:eastAsia="Cambria Math" w:hAnsi="Cambria Math" w:cs="Cambria Math"/>
                    <w:sz w:val="24"/>
                    <w:szCs w:val="24"/>
                  </w:rPr>
                  <m:t>n</m:t>
                </m:r>
              </m:sup>
              <m:e/>
            </m:nary>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ij</m:t>
                    </m:r>
                  </m:sub>
                </m:sSub>
                <m:r>
                  <w:rPr>
                    <w:rFonts w:ascii="Cambria Math" w:eastAsia="Cambria Math" w:hAnsi="Cambria Math" w:cs="Cambria Math"/>
                    <w:sz w:val="24"/>
                    <w:szCs w:val="24"/>
                  </w:rPr>
                  <m:t>-</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v</m:t>
                    </m:r>
                  </m:e>
                  <m:sub>
                    <m:r>
                      <w:rPr>
                        <w:rFonts w:ascii="Cambria Math" w:eastAsia="Cambria Math" w:hAnsi="Cambria Math" w:cs="Cambria Math"/>
                        <w:sz w:val="24"/>
                        <w:szCs w:val="24"/>
                      </w:rPr>
                      <m:t>j</m:t>
                    </m:r>
                  </m:sub>
                  <m:sup>
                    <m:r>
                      <w:rPr>
                        <w:rFonts w:ascii="Cambria Math" w:eastAsia="Cambria Math" w:hAnsi="Cambria Math" w:cs="Cambria Math"/>
                        <w:sz w:val="24"/>
                        <w:szCs w:val="24"/>
                      </w:rPr>
                      <m:t>+</m:t>
                    </m:r>
                  </m:sup>
                </m:sSubSup>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e>
        </m:rad>
      </m:oMath>
      <w:r w:rsidR="00B3645F">
        <w:rPr>
          <w:rFonts w:ascii="Times New Roman" w:eastAsia="Times New Roman" w:hAnsi="Times New Roman" w:cs="Times New Roman"/>
          <w:sz w:val="24"/>
          <w:szCs w:val="24"/>
        </w:rPr>
        <w:t xml:space="preserve">        </w:t>
      </w:r>
      <w:r w:rsidR="00B3645F">
        <w:rPr>
          <w:rFonts w:ascii="Times New Roman" w:eastAsia="Times New Roman" w:hAnsi="Times New Roman" w:cs="Times New Roman"/>
          <w:sz w:val="24"/>
          <w:szCs w:val="24"/>
        </w:rPr>
        <w:tab/>
        <w:t xml:space="preserve">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i</m:t>
            </m:r>
          </m:sub>
          <m:sup>
            <m:r>
              <w:rPr>
                <w:rFonts w:ascii="Cambria Math" w:eastAsia="Cambria Math" w:hAnsi="Cambria Math" w:cs="Cambria Math"/>
                <w:sz w:val="24"/>
                <w:szCs w:val="24"/>
              </w:rPr>
              <m:t>-</m:t>
            </m:r>
          </m:sup>
        </m:sSubSup>
        <m:r>
          <w:rPr>
            <w:rFonts w:ascii="Cambria Math" w:eastAsia="Cambria Math" w:hAnsi="Cambria Math" w:cs="Cambria Math"/>
            <w:sz w:val="24"/>
            <w:szCs w:val="24"/>
          </w:rPr>
          <m:t>=</m:t>
        </m:r>
        <m:rad>
          <m:radPr>
            <m:degHide m:val="1"/>
            <m:ctrlPr>
              <w:rPr>
                <w:rFonts w:ascii="Cambria Math" w:eastAsia="Cambria Math" w:hAnsi="Cambria Math" w:cs="Cambria Math"/>
                <w:sz w:val="24"/>
                <w:szCs w:val="24"/>
              </w:rPr>
            </m:ctrlPr>
          </m:radPr>
          <m:deg/>
          <m:e>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j=1</m:t>
                </m:r>
              </m:sub>
              <m:sup>
                <m:r>
                  <w:rPr>
                    <w:rFonts w:ascii="Cambria Math" w:eastAsia="Cambria Math" w:hAnsi="Cambria Math" w:cs="Cambria Math"/>
                    <w:sz w:val="24"/>
                    <w:szCs w:val="24"/>
                  </w:rPr>
                  <m:t>n</m:t>
                </m:r>
              </m:sup>
              <m:e/>
            </m:nary>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ij</m:t>
                    </m:r>
                  </m:sub>
                </m:sSub>
                <m:r>
                  <w:rPr>
                    <w:rFonts w:ascii="Cambria Math" w:eastAsia="Cambria Math" w:hAnsi="Cambria Math" w:cs="Cambria Math"/>
                    <w:sz w:val="24"/>
                    <w:szCs w:val="24"/>
                  </w:rPr>
                  <m:t>-</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v</m:t>
                    </m:r>
                  </m:e>
                  <m:sub>
                    <m:r>
                      <w:rPr>
                        <w:rFonts w:ascii="Cambria Math" w:eastAsia="Cambria Math" w:hAnsi="Cambria Math" w:cs="Cambria Math"/>
                        <w:sz w:val="24"/>
                        <w:szCs w:val="24"/>
                      </w:rPr>
                      <m:t>j</m:t>
                    </m:r>
                  </m:sub>
                  <m:sup>
                    <m:r>
                      <w:rPr>
                        <w:rFonts w:ascii="Cambria Math" w:eastAsia="Cambria Math" w:hAnsi="Cambria Math" w:cs="Cambria Math"/>
                        <w:sz w:val="24"/>
                        <w:szCs w:val="24"/>
                      </w:rPr>
                      <m:t>-</m:t>
                    </m:r>
                  </m:sup>
                </m:sSubSup>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e>
        </m:rad>
      </m:oMath>
      <w:r w:rsidR="00B3645F">
        <w:rPr>
          <w:rFonts w:ascii="Times New Roman" w:eastAsia="Times New Roman" w:hAnsi="Times New Roman" w:cs="Times New Roman"/>
          <w:sz w:val="24"/>
          <w:szCs w:val="24"/>
        </w:rPr>
        <w:t xml:space="preserve">      </w:t>
      </w:r>
      <w:r w:rsidR="00B3645F">
        <w:rPr>
          <w:rFonts w:ascii="Times New Roman" w:eastAsia="Times New Roman" w:hAnsi="Times New Roman" w:cs="Times New Roman"/>
          <w:sz w:val="24"/>
          <w:szCs w:val="24"/>
        </w:rPr>
        <w:tab/>
        <w:t xml:space="preserv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i</m:t>
                </m:r>
              </m:sub>
              <m:sup>
                <m:r>
                  <w:rPr>
                    <w:rFonts w:ascii="Cambria Math" w:eastAsia="Cambria Math" w:hAnsi="Cambria Math" w:cs="Cambria Math"/>
                    <w:sz w:val="24"/>
                    <w:szCs w:val="24"/>
                  </w:rPr>
                  <m:t>-</m:t>
                </m:r>
              </m:sup>
            </m:sSubSup>
          </m:num>
          <m:den>
            <m:sSubSup>
              <m:sSubSupPr>
                <m:ctrlPr>
                  <w:rPr>
                    <w:rFonts w:ascii="Cambria Math" w:eastAsia="Cambria Math" w:hAnsi="Cambria Math" w:cs="Cambria Math"/>
                    <w:sz w:val="24"/>
                    <w:szCs w:val="24"/>
                  </w:rPr>
                </m:ctrlPr>
              </m:sSubSupPr>
              <m:e>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i</m:t>
                    </m:r>
                  </m:sub>
                  <m:sup>
                    <m:r>
                      <w:rPr>
                        <w:rFonts w:ascii="Cambria Math" w:eastAsia="Cambria Math" w:hAnsi="Cambria Math" w:cs="Cambria Math"/>
                        <w:sz w:val="24"/>
                        <w:szCs w:val="24"/>
                      </w:rPr>
                      <m:t>+</m:t>
                    </m:r>
                  </m:sup>
                </m:sSubSup>
                <m:r>
                  <w:rPr>
                    <w:rFonts w:ascii="Cambria Math" w:eastAsia="Cambria Math" w:hAnsi="Cambria Math" w:cs="Cambria Math"/>
                    <w:sz w:val="24"/>
                    <w:szCs w:val="24"/>
                  </w:rPr>
                  <m:t xml:space="preserve"> + S</m:t>
                </m:r>
              </m:e>
              <m:sub>
                <m:r>
                  <w:rPr>
                    <w:rFonts w:ascii="Cambria Math" w:eastAsia="Cambria Math" w:hAnsi="Cambria Math" w:cs="Cambria Math"/>
                    <w:sz w:val="24"/>
                    <w:szCs w:val="24"/>
                  </w:rPr>
                  <m:t>i</m:t>
                </m:r>
              </m:sub>
              <m:sup>
                <m:r>
                  <w:rPr>
                    <w:rFonts w:ascii="Cambria Math" w:eastAsia="Cambria Math" w:hAnsi="Cambria Math" w:cs="Cambria Math"/>
                    <w:sz w:val="24"/>
                    <w:szCs w:val="24"/>
                  </w:rPr>
                  <m:t>-</m:t>
                </m:r>
              </m:sup>
            </m:sSubSup>
          </m:den>
        </m:f>
      </m:oMath>
    </w:p>
    <w:p w14:paraId="12228646"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Fuzzy logic integrates uncertainty via:</w:t>
      </w:r>
    </w:p>
    <w:p w14:paraId="5185E74C" w14:textId="77777777" w:rsidR="00392A4E" w:rsidRDefault="00000000">
      <w:pPr>
        <w:jc w:val="center"/>
      </w:pPr>
      <m:oMathPara>
        <m:oMath>
          <m:sSub>
            <m:sSubPr>
              <m:ctrlPr>
                <w:rPr>
                  <w:rFonts w:ascii="Cambria Math" w:eastAsia="Cambria Math" w:hAnsi="Cambria Math" w:cs="Cambria Math"/>
                  <w:sz w:val="24"/>
                  <w:szCs w:val="24"/>
                </w:rPr>
              </m:ctrlPr>
            </m:sSubPr>
            <m:e>
              <m:r>
                <w:rPr>
                  <w:rFonts w:ascii="Cambria Math" w:hAnsi="Cambria Math"/>
                </w:rPr>
                <m:t>μ</m:t>
              </m:r>
            </m:e>
            <m:sub>
              <m:r>
                <w:rPr>
                  <w:rFonts w:ascii="Cambria Math" w:eastAsia="Cambria Math" w:hAnsi="Cambria Math" w:cs="Cambria Math"/>
                  <w:sz w:val="24"/>
                  <w:szCs w:val="24"/>
                </w:rPr>
                <m:t>A</m:t>
              </m:r>
            </m:sub>
          </m:sSub>
          <m:d>
            <m:dPr>
              <m:ctrlPr>
                <w:rPr>
                  <w:rFonts w:ascii="Cambria Math" w:eastAsia="Cambria Math" w:hAnsi="Cambria Math" w:cs="Cambria Math"/>
                  <w:sz w:val="24"/>
                  <w:szCs w:val="24"/>
                </w:rPr>
              </m:ctrlPr>
            </m:dPr>
            <m:e>
              <m:r>
                <w:rPr>
                  <w:rFonts w:ascii="Cambria Math" w:eastAsia="Cambria Math" w:hAnsi="Cambria Math" w:cs="Cambria Math"/>
                  <w:sz w:val="24"/>
                  <w:szCs w:val="24"/>
                </w:rPr>
                <m:t>x</m:t>
              </m:r>
            </m:e>
          </m:d>
          <m:r>
            <w:rPr>
              <w:rFonts w:ascii="Cambria Math" w:eastAsia="Cambria Math" w:hAnsi="Cambria Math" w:cs="Cambria Math"/>
              <w:sz w:val="24"/>
              <w:szCs w:val="24"/>
            </w:rPr>
            <m:t>=</m:t>
          </m:r>
          <m:r>
            <w:rPr>
              <w:rFonts w:ascii="Cambria Math" w:hAnsi="Cambria Math"/>
            </w:rPr>
            <m:t>{</m:t>
          </m:r>
          <m:r>
            <w:rPr>
              <w:rFonts w:ascii="Cambria Math" w:eastAsia="Cambria Math" w:hAnsi="Cambria Math" w:cs="Cambria Math"/>
              <w:sz w:val="24"/>
              <w:szCs w:val="24"/>
            </w:rPr>
            <m:t>0</m:t>
          </m:r>
          <m:r>
            <w:rPr>
              <w:rFonts w:ascii="Cambria Math" w:hAnsi="Cambria Math"/>
            </w:rPr>
            <m:t xml:space="preserve">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x-a</m:t>
              </m:r>
            </m:num>
            <m:den>
              <m:r>
                <w:rPr>
                  <w:rFonts w:ascii="Cambria Math" w:eastAsia="Cambria Math" w:hAnsi="Cambria Math" w:cs="Cambria Math"/>
                  <w:sz w:val="24"/>
                  <w:szCs w:val="24"/>
                </w:rPr>
                <m:t>b-a</m:t>
              </m:r>
            </m:den>
          </m:f>
          <m:r>
            <w:rPr>
              <w:rFonts w:ascii="Cambria Math" w:hAnsi="Cambria Math"/>
            </w:rPr>
            <m:t xml:space="preserve">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c-x</m:t>
              </m:r>
            </m:num>
            <m:den>
              <m:r>
                <w:rPr>
                  <w:rFonts w:ascii="Cambria Math" w:eastAsia="Cambria Math" w:hAnsi="Cambria Math" w:cs="Cambria Math"/>
                  <w:sz w:val="24"/>
                  <w:szCs w:val="24"/>
                </w:rPr>
                <m:t>c-b</m:t>
              </m:r>
            </m:den>
          </m:f>
          <m:r>
            <w:rPr>
              <w:rFonts w:ascii="Cambria Math" w:hAnsi="Cambria Math"/>
            </w:rPr>
            <m:t xml:space="preserve"> </m:t>
          </m:r>
          <m:r>
            <w:rPr>
              <w:rFonts w:ascii="Cambria Math" w:eastAsia="Cambria Math" w:hAnsi="Cambria Math" w:cs="Cambria Math"/>
              <w:sz w:val="24"/>
              <w:szCs w:val="24"/>
            </w:rPr>
            <m:t>0</m:t>
          </m:r>
          <m:r>
            <w:rPr>
              <w:rFonts w:ascii="Cambria Math" w:hAnsi="Cambria Math"/>
            </w:rPr>
            <m:t xml:space="preserve"> </m:t>
          </m:r>
          <m:r>
            <w:rPr>
              <w:rFonts w:ascii="Cambria Math" w:eastAsia="Cambria Math" w:hAnsi="Cambria Math" w:cs="Cambria Math"/>
              <w:sz w:val="24"/>
              <w:szCs w:val="24"/>
            </w:rPr>
            <m:t xml:space="preserve">        if x≤a</m:t>
          </m:r>
          <m:r>
            <w:rPr>
              <w:rFonts w:ascii="Cambria Math" w:hAnsi="Cambria Math"/>
            </w:rPr>
            <m:t xml:space="preserve"> </m:t>
          </m:r>
          <m:r>
            <w:rPr>
              <w:rFonts w:ascii="Cambria Math" w:eastAsia="Cambria Math" w:hAnsi="Cambria Math" w:cs="Cambria Math"/>
              <w:sz w:val="24"/>
              <w:szCs w:val="24"/>
            </w:rPr>
            <m:t>if a&lt;x≤b</m:t>
          </m:r>
          <m:r>
            <w:rPr>
              <w:rFonts w:ascii="Cambria Math" w:hAnsi="Cambria Math"/>
            </w:rPr>
            <m:t xml:space="preserve"> </m:t>
          </m:r>
          <m:r>
            <w:rPr>
              <w:rFonts w:ascii="Cambria Math" w:eastAsia="Cambria Math" w:hAnsi="Cambria Math" w:cs="Cambria Math"/>
              <w:sz w:val="24"/>
              <w:szCs w:val="24"/>
            </w:rPr>
            <m:t>if b&lt;x≤c</m:t>
          </m:r>
          <m:r>
            <w:rPr>
              <w:rFonts w:ascii="Cambria Math" w:hAnsi="Cambria Math"/>
            </w:rPr>
            <m:t xml:space="preserve"> </m:t>
          </m:r>
          <m:r>
            <w:rPr>
              <w:rFonts w:ascii="Cambria Math" w:eastAsia="Cambria Math" w:hAnsi="Cambria Math" w:cs="Cambria Math"/>
              <w:sz w:val="24"/>
              <w:szCs w:val="24"/>
            </w:rPr>
            <m:t>if x&gt;c</m:t>
          </m:r>
          <m:r>
            <w:rPr>
              <w:rFonts w:ascii="Cambria Math" w:hAnsi="Cambria Math"/>
            </w:rPr>
            <m:t xml:space="preserve"> </m:t>
          </m:r>
        </m:oMath>
      </m:oMathPara>
    </w:p>
    <w:p w14:paraId="19072D79"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y=</m:t>
          </m:r>
          <m:f>
            <m:fPr>
              <m:ctrlPr>
                <w:rPr>
                  <w:rFonts w:ascii="Cambria Math" w:eastAsia="Cambria Math" w:hAnsi="Cambria Math" w:cs="Cambria Math"/>
                  <w:sz w:val="24"/>
                  <w:szCs w:val="24"/>
                </w:rPr>
              </m:ctrlPr>
            </m:fPr>
            <m:num>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μ</m:t>
                  </m:r>
                </m:e>
                <m:sub>
                  <m:r>
                    <w:rPr>
                      <w:rFonts w:ascii="Cambria Math" w:eastAsia="Cambria Math" w:hAnsi="Cambria Math" w:cs="Cambria Math"/>
                      <w:sz w:val="24"/>
                      <w:szCs w:val="24"/>
                    </w:rPr>
                    <m:t>i</m:t>
                  </m:r>
                </m:sub>
              </m:sSub>
            </m:num>
            <m:den>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i</m:t>
                  </m:r>
                </m:sub>
              </m:sSub>
            </m:den>
          </m:f>
        </m:oMath>
      </m:oMathPara>
    </w:p>
    <w:p w14:paraId="43682CC9"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support decision-making in complex, uncertain scenarios (Al-Sulbi et al., 2023).</w:t>
      </w:r>
    </w:p>
    <w:p w14:paraId="0E8AECD8" w14:textId="77777777" w:rsidR="00392A4E" w:rsidRDefault="00B3645F">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Quality Assurance and Validation</w:t>
      </w:r>
    </w:p>
    <w:p w14:paraId="02ACDB70"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Inter-rater reliability is assessed using:</w:t>
      </w:r>
    </w:p>
    <w:p w14:paraId="3C6AF74F" w14:textId="77777777" w:rsidR="00392A4E" w:rsidRDefault="00B3645F">
      <w:pPr>
        <w:spacing w:line="360" w:lineRule="auto"/>
        <w:jc w:val="both"/>
        <w:rPr>
          <w:rFonts w:ascii="Times New Roman" w:eastAsia="Times New Roman" w:hAnsi="Times New Roman" w:cs="Times New Roman"/>
          <w:sz w:val="24"/>
          <w:szCs w:val="24"/>
        </w:rPr>
      </w:pPr>
      <m:oMath>
        <m:r>
          <w:rPr>
            <w:rFonts w:ascii="Cambria Math" w:eastAsia="Cambria Math" w:hAnsi="Cambria Math" w:cs="Cambria Math"/>
            <w:sz w:val="24"/>
            <w:szCs w:val="24"/>
          </w:rPr>
          <m:t>α=1-</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D</m:t>
                </m:r>
              </m:e>
              <m:sub>
                <m:r>
                  <w:rPr>
                    <w:rFonts w:ascii="Cambria Math" w:eastAsia="Cambria Math" w:hAnsi="Cambria Math" w:cs="Cambria Math"/>
                    <w:sz w:val="24"/>
                    <w:szCs w:val="24"/>
                  </w:rPr>
                  <m:t>0</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D</m:t>
                </m:r>
              </m:e>
              <m:sub>
                <m:r>
                  <w:rPr>
                    <w:rFonts w:ascii="Cambria Math" w:eastAsia="Cambria Math" w:hAnsi="Cambria Math" w:cs="Cambria Math"/>
                    <w:sz w:val="24"/>
                    <w:szCs w:val="24"/>
                  </w:rPr>
                  <m:t>e</m:t>
                </m:r>
              </m:sub>
            </m:sSub>
          </m:den>
        </m:f>
        <m:r>
          <w:rPr>
            <w:rFonts w:ascii="Cambria Math" w:eastAsia="Cambria Math" w:hAnsi="Cambria Math" w:cs="Cambria Math"/>
            <w:sz w:val="24"/>
            <w:szCs w:val="24"/>
          </w:rPr>
          <m:t>,</m:t>
        </m:r>
      </m:oMath>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κ=</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0</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e</m:t>
                </m:r>
              </m:sub>
            </m:sSub>
          </m:num>
          <m:den>
            <m:r>
              <w:rPr>
                <w:rFonts w:ascii="Cambria Math" w:eastAsia="Cambria Math" w:hAnsi="Cambria Math" w:cs="Cambria Math"/>
                <w:sz w:val="24"/>
                <w:szCs w:val="24"/>
              </w:rPr>
              <m:t>1-</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e</m:t>
                </m:r>
              </m:sub>
            </m:sSub>
          </m:den>
        </m:f>
      </m:oMath>
    </w:p>
    <w:p w14:paraId="6E9E5E33"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Convergent validity uses:</w:t>
      </w:r>
    </w:p>
    <w:p w14:paraId="4C90CCD4" w14:textId="77777777" w:rsidR="00392A4E"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xy</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nary>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x</m:t>
                  </m:r>
                </m:e>
              </m:bar>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y</m:t>
                  </m:r>
                </m:e>
              </m:bar>
              <m:r>
                <w:rPr>
                  <w:rFonts w:ascii="Cambria Math" w:eastAsia="Cambria Math" w:hAnsi="Cambria Math" w:cs="Cambria Math"/>
                  <w:sz w:val="24"/>
                  <w:szCs w:val="24"/>
                </w:rPr>
                <m:t>)</m:t>
              </m:r>
            </m:num>
            <m:den>
              <m:rad>
                <m:radPr>
                  <m:degHide m:val="1"/>
                  <m:ctrlPr>
                    <w:rPr>
                      <w:rFonts w:ascii="Cambria Math" w:eastAsia="Cambria Math" w:hAnsi="Cambria Math" w:cs="Cambria Math"/>
                      <w:sz w:val="24"/>
                      <w:szCs w:val="24"/>
                    </w:rPr>
                  </m:ctrlPr>
                </m:radPr>
                <m:deg/>
                <m:e>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nary>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x</m:t>
                          </m:r>
                        </m:e>
                      </m:bar>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e>
              </m:rad>
              <m:rad>
                <m:radPr>
                  <m:degHide m:val="1"/>
                  <m:ctrlPr>
                    <w:rPr>
                      <w:rFonts w:ascii="Cambria Math" w:eastAsia="Cambria Math" w:hAnsi="Cambria Math" w:cs="Cambria Math"/>
                      <w:sz w:val="24"/>
                      <w:szCs w:val="24"/>
                    </w:rPr>
                  </m:ctrlPr>
                </m:radPr>
                <m:deg/>
                <m:e>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nary>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y</m:t>
                          </m:r>
                        </m:e>
                      </m:bar>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e>
              </m:rad>
            </m:den>
          </m:f>
        </m:oMath>
      </m:oMathPara>
    </w:p>
    <w:p w14:paraId="6A0EB60F"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ensure consistency and coherence in qualitative assessments (Hayes &amp; Krippendorff, 2007).</w:t>
      </w:r>
    </w:p>
    <w:p w14:paraId="516B3D82"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Considerations</w:t>
      </w:r>
    </w:p>
    <w:p w14:paraId="1A2378D3"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ethics are evaluated via:</w:t>
      </w:r>
    </w:p>
    <w:p w14:paraId="5DDEECE6"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RBA=</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Expected_Benefits</m:t>
              </m:r>
            </m:num>
            <m:den>
              <m:r>
                <w:rPr>
                  <w:rFonts w:ascii="Cambria Math" w:eastAsia="Cambria Math" w:hAnsi="Cambria Math" w:cs="Cambria Math"/>
                  <w:sz w:val="24"/>
                  <w:szCs w:val="24"/>
                </w:rPr>
                <m:t>Potential_Risks</m:t>
              </m:r>
            </m:den>
          </m:f>
          <m:r>
            <w:rPr>
              <w:rFonts w:ascii="Cambria Math" w:eastAsia="Cambria Math" w:hAnsi="Cambria Math" w:cs="Cambria Math"/>
              <w:sz w:val="24"/>
              <w:szCs w:val="24"/>
            </w:rPr>
            <m:t>×Uncertainty_Factor</m:t>
          </m:r>
        </m:oMath>
      </m:oMathPara>
    </w:p>
    <w:p w14:paraId="4C3320E0" w14:textId="77777777" w:rsidR="00392A4E" w:rsidRDefault="00B364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w:lastRenderedPageBreak/>
            <m:t xml:space="preserve">ICV=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Understanding×Voluntariness×Information_Quality</m:t>
              </m:r>
            </m:num>
            <m:den>
              <m:r>
                <w:rPr>
                  <w:rFonts w:ascii="Cambria Math" w:eastAsia="Cambria Math" w:hAnsi="Cambria Math" w:cs="Cambria Math"/>
                  <w:sz w:val="24"/>
                  <w:szCs w:val="24"/>
                </w:rPr>
                <m:t>Coercion_Index</m:t>
              </m:r>
            </m:den>
          </m:f>
        </m:oMath>
      </m:oMathPara>
    </w:p>
    <w:p w14:paraId="60810BBD" w14:textId="77777777" w:rsidR="00392A4E" w:rsidRDefault="00392A4E">
      <w:pPr>
        <w:spacing w:line="360" w:lineRule="auto"/>
        <w:jc w:val="both"/>
        <w:rPr>
          <w:rFonts w:ascii="Times New Roman" w:eastAsia="Times New Roman" w:hAnsi="Times New Roman" w:cs="Times New Roman"/>
          <w:sz w:val="24"/>
          <w:szCs w:val="24"/>
        </w:rPr>
      </w:pPr>
    </w:p>
    <w:p w14:paraId="51AC2DBF"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formalize participant protections and consent validity (Resnik, 2018).</w:t>
      </w:r>
    </w:p>
    <w:p w14:paraId="5563DB4B"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and Delimitations</w:t>
      </w:r>
    </w:p>
    <w:p w14:paraId="72E09D17"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power limitations are addressed using:</w:t>
      </w:r>
    </w:p>
    <w:p w14:paraId="2DF77B2F" w14:textId="77777777" w:rsidR="00392A4E" w:rsidRDefault="00B3645F">
      <w:pPr>
        <w:spacing w:line="360" w:lineRule="auto"/>
        <w:jc w:val="both"/>
        <w:rPr>
          <w:rFonts w:ascii="Times New Roman" w:eastAsia="Times New Roman" w:hAnsi="Times New Roman" w:cs="Times New Roman"/>
          <w:sz w:val="24"/>
          <w:szCs w:val="24"/>
        </w:rPr>
      </w:pPr>
      <m:oMath>
        <m:r>
          <w:rPr>
            <w:rFonts w:ascii="Cambria Math" w:eastAsia="Cambria Math" w:hAnsi="Cambria Math" w:cs="Cambria Math"/>
            <w:sz w:val="24"/>
            <w:szCs w:val="24"/>
          </w:rPr>
          <m:t>MDE=</m:t>
        </m:r>
        <m:f>
          <m:fPr>
            <m:ctrlPr>
              <w:rPr>
                <w:rFonts w:ascii="Cambria Math" w:eastAsia="Cambria Math" w:hAnsi="Cambria Math" w:cs="Cambria Math"/>
                <w:sz w:val="24"/>
                <w:szCs w:val="24"/>
              </w:rPr>
            </m:ctrlPr>
          </m:fPr>
          <m:num>
            <m:d>
              <m:dPr>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z</m:t>
                    </m:r>
                  </m:e>
                  <m:sub>
                    <m:f>
                      <m:fPr>
                        <m:ctrlPr>
                          <w:rPr>
                            <w:rFonts w:ascii="Cambria Math" w:eastAsia="Cambria Math" w:hAnsi="Cambria Math" w:cs="Cambria Math"/>
                            <w:sz w:val="24"/>
                            <w:szCs w:val="24"/>
                          </w:rPr>
                        </m:ctrlPr>
                      </m:fPr>
                      <m:num>
                        <m:r>
                          <w:rPr>
                            <w:rFonts w:ascii="Cambria Math" w:eastAsia="Cambria Math" w:hAnsi="Cambria Math" w:cs="Cambria Math"/>
                            <w:sz w:val="24"/>
                            <w:szCs w:val="24"/>
                          </w:rPr>
                          <m:t>α</m:t>
                        </m:r>
                      </m:num>
                      <m:den>
                        <m:r>
                          <w:rPr>
                            <w:rFonts w:ascii="Cambria Math" w:eastAsia="Cambria Math" w:hAnsi="Cambria Math" w:cs="Cambria Math"/>
                            <w:sz w:val="24"/>
                            <w:szCs w:val="24"/>
                          </w:rPr>
                          <m:t>2</m:t>
                        </m:r>
                      </m:den>
                    </m:f>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z</m:t>
                    </m:r>
                  </m:e>
                  <m:sub>
                    <m:r>
                      <w:rPr>
                        <w:rFonts w:ascii="Cambria Math" w:eastAsia="Cambria Math" w:hAnsi="Cambria Math" w:cs="Cambria Math"/>
                        <w:sz w:val="24"/>
                        <w:szCs w:val="24"/>
                      </w:rPr>
                      <m:t>β</m:t>
                    </m:r>
                  </m:sub>
                </m:sSub>
              </m:e>
            </m:d>
            <m:r>
              <w:rPr>
                <w:rFonts w:ascii="Cambria Math" w:eastAsia="Cambria Math" w:hAnsi="Cambria Math" w:cs="Cambria Math"/>
                <w:sz w:val="24"/>
                <w:szCs w:val="24"/>
              </w:rPr>
              <m:t>σ</m:t>
            </m:r>
          </m:num>
          <m:den>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n</m:t>
                </m:r>
              </m:e>
            </m:rad>
          </m:den>
        </m:f>
        <m:r>
          <w:rPr>
            <w:rFonts w:ascii="Cambria Math" w:eastAsia="Cambria Math" w:hAnsi="Cambria Math" w:cs="Cambria Math"/>
            <w:sz w:val="24"/>
            <w:szCs w:val="24"/>
          </w:rPr>
          <m:t>,</m:t>
        </m:r>
      </m:oMath>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 xml:space="preserve">                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2</m:t>
            </m:r>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z</m:t>
                        </m:r>
                      </m:e>
                      <m:sub>
                        <m:f>
                          <m:fPr>
                            <m:ctrlPr>
                              <w:rPr>
                                <w:rFonts w:ascii="Cambria Math" w:eastAsia="Cambria Math" w:hAnsi="Cambria Math" w:cs="Cambria Math"/>
                                <w:sz w:val="24"/>
                                <w:szCs w:val="24"/>
                              </w:rPr>
                            </m:ctrlPr>
                          </m:fPr>
                          <m:num>
                            <m:r>
                              <w:rPr>
                                <w:rFonts w:ascii="Cambria Math" w:eastAsia="Cambria Math" w:hAnsi="Cambria Math" w:cs="Cambria Math"/>
                                <w:sz w:val="24"/>
                                <w:szCs w:val="24"/>
                              </w:rPr>
                              <m:t>α</m:t>
                            </m:r>
                          </m:num>
                          <m:den>
                            <m:r>
                              <w:rPr>
                                <w:rFonts w:ascii="Cambria Math" w:eastAsia="Cambria Math" w:hAnsi="Cambria Math" w:cs="Cambria Math"/>
                                <w:sz w:val="24"/>
                                <w:szCs w:val="24"/>
                              </w:rPr>
                              <m:t>2</m:t>
                            </m:r>
                          </m:den>
                        </m:f>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z</m:t>
                        </m:r>
                      </m:e>
                      <m:sub>
                        <m:r>
                          <w:rPr>
                            <w:rFonts w:ascii="Cambria Math" w:eastAsia="Cambria Math" w:hAnsi="Cambria Math" w:cs="Cambria Math"/>
                            <w:sz w:val="24"/>
                            <w:szCs w:val="24"/>
                          </w:rPr>
                          <m:t>β</m:t>
                        </m:r>
                      </m:sub>
                    </m:sSub>
                  </m:e>
                </m:d>
              </m:e>
              <m:sup>
                <m:r>
                  <w:rPr>
                    <w:rFonts w:ascii="Cambria Math" w:eastAsia="Cambria Math" w:hAnsi="Cambria Math" w:cs="Cambria Math"/>
                    <w:sz w:val="24"/>
                    <w:szCs w:val="24"/>
                  </w:rPr>
                  <m:t>2</m:t>
                </m:r>
              </m:sup>
            </m:sSup>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σ</m:t>
                </m:r>
              </m:e>
              <m:sup>
                <m:r>
                  <w:rPr>
                    <w:rFonts w:ascii="Cambria Math" w:eastAsia="Cambria Math" w:hAnsi="Cambria Math" w:cs="Cambria Math"/>
                    <w:sz w:val="24"/>
                    <w:szCs w:val="24"/>
                  </w:rPr>
                  <m:t>2</m:t>
                </m:r>
              </m:sup>
            </m:sSup>
          </m:num>
          <m:den>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δ</m:t>
                </m:r>
              </m:e>
              <m:sup>
                <m:r>
                  <w:rPr>
                    <w:rFonts w:ascii="Cambria Math" w:eastAsia="Cambria Math" w:hAnsi="Cambria Math" w:cs="Cambria Math"/>
                    <w:sz w:val="24"/>
                    <w:szCs w:val="24"/>
                  </w:rPr>
                  <m:t>2</m:t>
                </m:r>
              </m:sup>
            </m:sSup>
          </m:den>
        </m:f>
      </m:oMath>
    </w:p>
    <w:p w14:paraId="0A3D8F6C"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ensure transparent reporting of study constraints (Cohen, 1992).</w:t>
      </w:r>
    </w:p>
    <w:p w14:paraId="76B3D170" w14:textId="77777777" w:rsidR="00392A4E" w:rsidRDefault="00392A4E">
      <w:pPr>
        <w:spacing w:line="360" w:lineRule="auto"/>
        <w:jc w:val="both"/>
        <w:rPr>
          <w:rFonts w:ascii="Times New Roman" w:eastAsia="Times New Roman" w:hAnsi="Times New Roman" w:cs="Times New Roman"/>
          <w:sz w:val="24"/>
          <w:szCs w:val="24"/>
        </w:rPr>
      </w:pPr>
    </w:p>
    <w:p w14:paraId="6B76A029"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Results and Discussion</w:t>
      </w:r>
    </w:p>
    <w:p w14:paraId="40EB2314"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are derived from systematic analyses, including Common Vulnerabilities and Exposures (CVE) data, STRIDE threat modeling, AI-specific security metrics, and ethical compliance assessments, culminating in a multi-criteria decision analysis (MCDA) to evaluate system performance holistically. The discussion contextualizes these results, highlighting their implications for patient safety, system design, and regulatory frameworks, while identifying areas for future research.</w:t>
      </w:r>
    </w:p>
    <w:p w14:paraId="17AD9C8C"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cybersecurity analysis revealed significant vulnerabilities in AI mental health systems deployed in home settings. An examination of 29,834 CVE records from 2023, sourced from public vulnerability databases, underscored the pervasive security challenges in healthcare AI applications. The mean CVSS score was 6.77 (SD = 1.75), indicating that most vulnerabilities surpassed the medium severity threshold, aligning with findings from Al-Qarni (2023) that healthcare systems face elevated vulnerability risks compared to other sectors. A bootstrap confidence interval for the mean CVSS score ([6.75, 6.79], p &lt; 0.001) provided statistical validation of this severity. As depicted in Figure 3, the severity distribution showed 47.8% of vulnerabilities as medium (14,252 instances), 33.7% as high (10,042 instances), and 11.6% as critical (3,474 instances), with nearly half posing high to critical risks, exceeding acceptable </w:t>
      </w:r>
      <w:r>
        <w:rPr>
          <w:rFonts w:ascii="Times New Roman" w:eastAsia="Times New Roman" w:hAnsi="Times New Roman" w:cs="Times New Roman"/>
          <w:sz w:val="24"/>
          <w:szCs w:val="24"/>
        </w:rPr>
        <w:lastRenderedPageBreak/>
        <w:t>thresholds for healthcare systems (Healthcare and Public Health Sector Coordinating Council, 2023).</w:t>
      </w:r>
    </w:p>
    <w:p w14:paraId="7A5B5802" w14:textId="77777777" w:rsidR="00392A4E" w:rsidRDefault="00B3645F">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w:t>
      </w:r>
    </w:p>
    <w:p w14:paraId="1D4C4AED" w14:textId="77777777" w:rsidR="00392A4E" w:rsidRDefault="00B3645F">
      <w:pPr>
        <w:spacing w:before="240"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CVE Severity Distribution in Healthcare AI Systems</w:t>
      </w:r>
    </w:p>
    <w:p w14:paraId="12E325DD" w14:textId="77777777" w:rsidR="00392A4E" w:rsidRDefault="00B364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9DE2EA" wp14:editId="4D16E4DA">
            <wp:extent cx="4657068" cy="26198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5705"/>
                    <a:stretch>
                      <a:fillRect/>
                    </a:stretch>
                  </pic:blipFill>
                  <pic:spPr>
                    <a:xfrm>
                      <a:off x="0" y="0"/>
                      <a:ext cx="4657068" cy="2619838"/>
                    </a:xfrm>
                    <a:prstGeom prst="rect">
                      <a:avLst/>
                    </a:prstGeom>
                    <a:ln/>
                  </pic:spPr>
                </pic:pic>
              </a:graphicData>
            </a:graphic>
          </wp:inline>
        </w:drawing>
      </w:r>
    </w:p>
    <w:p w14:paraId="2F3058DE"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Temporal trends in vulnerability reports, illustrated in Figure 4, revealed a 251% increase from 742 CVEs in January 2023 to 2,604 in December, indicating a rapidly evolving threat landscape. This escalation aligns with observations of accelerating cybersecurity challenges in AI-enabled medical devices, underscoring the urgency of robust security measures (Sharma, 2022). Common Weakness Enumeration (CWE) analysis identified Cross-site Scripting (CWE-79) as the most prevalent vulnerability (3,195 instances), followed by SQL injection attacks (CWE-89, 1,298 instances). These vulnerabilities are particularly concerning for mental health systems, as they enable unauthorized access to sensitive psychological data, compromising patient privacy and system integrity (Nagaraja &amp; Bahsi, 2025).</w:t>
      </w:r>
    </w:p>
    <w:p w14:paraId="6CCDFE5C" w14:textId="77777777" w:rsidR="00392A4E" w:rsidRDefault="00B3645F">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w:t>
      </w:r>
    </w:p>
    <w:p w14:paraId="35A3F4BA" w14:textId="77777777" w:rsidR="00392A4E" w:rsidRDefault="00B3645F">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Monthly CVE Vulnerability Trends in Healthcare AI Systems</w:t>
      </w:r>
    </w:p>
    <w:p w14:paraId="6DF04D39" w14:textId="77777777" w:rsidR="00392A4E" w:rsidRDefault="00B3645F">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025661BB" wp14:editId="46EFF0F1">
            <wp:extent cx="4677689" cy="2640361"/>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5384"/>
                    <a:stretch>
                      <a:fillRect/>
                    </a:stretch>
                  </pic:blipFill>
                  <pic:spPr>
                    <a:xfrm>
                      <a:off x="0" y="0"/>
                      <a:ext cx="4677689" cy="2640361"/>
                    </a:xfrm>
                    <a:prstGeom prst="rect">
                      <a:avLst/>
                    </a:prstGeom>
                    <a:ln/>
                  </pic:spPr>
                </pic:pic>
              </a:graphicData>
            </a:graphic>
          </wp:inline>
        </w:drawing>
      </w:r>
    </w:p>
    <w:p w14:paraId="36CF72C0"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STRIDE threat model assessment, tailored for AI mental health systems, provided further insights into specific threat patterns. As shown in Figure 5, Others (Additional Identified Threats) scored highest on the normalized risk scale (56.79), followed by Tampering attacks (20.50), indicating significant risks of unauthorized access and data manipulation in home environments. Information Disclosure threats, while lower at 3.68, remain critical due to the sensitive nature of mental health data. Notably, Repudiation threats scored low (0.02), suggesting either robust audit logging or insufficient monitoring, with the latter being more likely given the moderate cybersecurity maturity observed (Jaal, 2024).</w:t>
      </w:r>
    </w:p>
    <w:p w14:paraId="4F721115" w14:textId="77777777" w:rsidR="00392A4E" w:rsidRDefault="00392A4E">
      <w:pPr>
        <w:spacing w:before="280" w:after="280" w:line="360" w:lineRule="auto"/>
        <w:jc w:val="both"/>
        <w:rPr>
          <w:rFonts w:ascii="Times New Roman" w:eastAsia="Times New Roman" w:hAnsi="Times New Roman" w:cs="Times New Roman"/>
          <w:b/>
          <w:sz w:val="24"/>
          <w:szCs w:val="24"/>
        </w:rPr>
      </w:pPr>
    </w:p>
    <w:p w14:paraId="66062A98" w14:textId="77777777" w:rsidR="00392A4E" w:rsidRDefault="00392A4E">
      <w:pPr>
        <w:spacing w:before="280" w:after="280" w:line="360" w:lineRule="auto"/>
        <w:jc w:val="both"/>
        <w:rPr>
          <w:rFonts w:ascii="Times New Roman" w:eastAsia="Times New Roman" w:hAnsi="Times New Roman" w:cs="Times New Roman"/>
          <w:b/>
          <w:sz w:val="24"/>
          <w:szCs w:val="24"/>
        </w:rPr>
      </w:pPr>
    </w:p>
    <w:p w14:paraId="159CEC80" w14:textId="77777777" w:rsidR="00392A4E" w:rsidRDefault="00392A4E">
      <w:pPr>
        <w:spacing w:before="280" w:after="280" w:line="360" w:lineRule="auto"/>
        <w:jc w:val="both"/>
        <w:rPr>
          <w:rFonts w:ascii="Times New Roman" w:eastAsia="Times New Roman" w:hAnsi="Times New Roman" w:cs="Times New Roman"/>
          <w:b/>
          <w:sz w:val="24"/>
          <w:szCs w:val="24"/>
        </w:rPr>
      </w:pPr>
    </w:p>
    <w:p w14:paraId="4029B7D4" w14:textId="77777777" w:rsidR="00392A4E" w:rsidRDefault="00B3645F">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5 </w:t>
      </w:r>
    </w:p>
    <w:p w14:paraId="1B7E04E1" w14:textId="77777777" w:rsidR="00392A4E" w:rsidRDefault="00B3645F">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STRIDE Threat Model Risk Assessment for AI Mental Health Systems</w:t>
      </w:r>
    </w:p>
    <w:p w14:paraId="4C8DDC71"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lastRenderedPageBreak/>
        <w:drawing>
          <wp:inline distT="0" distB="0" distL="0" distR="0" wp14:anchorId="7DFB1542" wp14:editId="246B6F4D">
            <wp:extent cx="3806654" cy="2162022"/>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4797"/>
                    <a:stretch>
                      <a:fillRect/>
                    </a:stretch>
                  </pic:blipFill>
                  <pic:spPr>
                    <a:xfrm>
                      <a:off x="0" y="0"/>
                      <a:ext cx="3806654" cy="2162022"/>
                    </a:xfrm>
                    <a:prstGeom prst="rect">
                      <a:avLst/>
                    </a:prstGeom>
                    <a:ln/>
                  </pic:spPr>
                </pic:pic>
              </a:graphicData>
            </a:graphic>
          </wp:inline>
        </w:drawing>
      </w:r>
    </w:p>
    <w:p w14:paraId="794EB76F"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AI-specific security metrics further elucidated system vulnerabilities. The Adversarial Robustness Index (ARI) averaged 0.68 ± 0.05, indicating moderate resilience against adversarial attacks, but highlighting the need for enhanced training protocols to prevent manipulation of mental health assessments (Shokri &amp; Shmatikov, 2015). Such attacks could misclassify suicide risk levels or distort mood assessments, undermining therapeutic efficacy. The privacy-utility trade-off analysis, shown in Figure 6, demonstrated an optimal privacy budget (ε = 2.0), maintaining 83% of system utility while providing meaningful privacy guarantees. This balance is critical but indicates a 17% utility reduction, which may impact therapeutic outcomes, necessitating careful calibration (Dwork et al., 2014).</w:t>
      </w:r>
    </w:p>
    <w:p w14:paraId="5BE01C1A" w14:textId="77777777" w:rsidR="00392A4E" w:rsidRDefault="00B3645F">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6</w:t>
      </w:r>
    </w:p>
    <w:p w14:paraId="3FA2F82C" w14:textId="77777777" w:rsidR="00392A4E" w:rsidRDefault="00B3645F">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Privacy-Utility Trade-off Analysis with Differential Privacy Implementation</w:t>
      </w:r>
    </w:p>
    <w:p w14:paraId="6A178AF2"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lastRenderedPageBreak/>
        <w:drawing>
          <wp:inline distT="0" distB="0" distL="0" distR="0" wp14:anchorId="4899AD38" wp14:editId="4A972BCA">
            <wp:extent cx="3890325" cy="220724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4795"/>
                    <a:stretch>
                      <a:fillRect/>
                    </a:stretch>
                  </pic:blipFill>
                  <pic:spPr>
                    <a:xfrm>
                      <a:off x="0" y="0"/>
                      <a:ext cx="3890325" cy="2207240"/>
                    </a:xfrm>
                    <a:prstGeom prst="rect">
                      <a:avLst/>
                    </a:prstGeom>
                    <a:ln/>
                  </pic:spPr>
                </pic:pic>
              </a:graphicData>
            </a:graphic>
          </wp:inline>
        </w:drawing>
      </w:r>
      <w:r>
        <w:rPr>
          <w:rFonts w:ascii="Times New Roman" w:eastAsia="Times New Roman" w:hAnsi="Times New Roman" w:cs="Times New Roman"/>
          <w:sz w:val="24"/>
          <w:szCs w:val="24"/>
        </w:rPr>
        <w:br/>
      </w:r>
    </w:p>
    <w:p w14:paraId="243A5363"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compliance assessments, guided by the Integrated Ethical Approach for Computational Psychiatry (IEACP), revealed moderate adherence across 15 AI systems, with mean ethical scores ranging from 5.84 to 6.96 (average 6.48 ± 0.35) as shown in Table 2. System 14 scored highest (6.96), excelling in beneficence and transparency, while System 4 scored lowest (5.84), deficient in autonomy and justice, underscoring the need for standardized ethical frameworks (Wiese &amp; Friston, 2021). Consent validity varied significantly (0.92–2.33), with System 5 achieving the highest score (2.33) due to superior information comprehensibility, while System 14’s low score (0.92) indicated inadequate consent processes (Resnik, 2018).</w:t>
      </w:r>
    </w:p>
    <w:p w14:paraId="6C9DBEE6" w14:textId="77777777" w:rsidR="00392A4E" w:rsidRDefault="00B3645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p>
    <w:p w14:paraId="7AB177C2" w14:textId="77777777" w:rsidR="00392A4E" w:rsidRDefault="00B3645F">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System Performance Comparison</w:t>
      </w:r>
    </w:p>
    <w:tbl>
      <w:tblPr>
        <w:tblStyle w:val="a0"/>
        <w:tblW w:w="9368" w:type="dxa"/>
        <w:jc w:val="center"/>
        <w:tblInd w:w="0" w:type="dxa"/>
        <w:tblLayout w:type="fixed"/>
        <w:tblLook w:val="0400" w:firstRow="0" w:lastRow="0" w:firstColumn="0" w:lastColumn="0" w:noHBand="0" w:noVBand="1"/>
      </w:tblPr>
      <w:tblGrid>
        <w:gridCol w:w="1519"/>
        <w:gridCol w:w="1308"/>
        <w:gridCol w:w="1090"/>
        <w:gridCol w:w="1308"/>
        <w:gridCol w:w="1527"/>
        <w:gridCol w:w="1308"/>
        <w:gridCol w:w="1308"/>
      </w:tblGrid>
      <w:tr w:rsidR="00392A4E" w14:paraId="3958088E" w14:textId="77777777">
        <w:trPr>
          <w:trHeight w:val="551"/>
          <w:jc w:val="center"/>
        </w:trPr>
        <w:tc>
          <w:tcPr>
            <w:tcW w:w="1520" w:type="dxa"/>
            <w:tcBorders>
              <w:top w:val="single" w:sz="4" w:space="0" w:color="000000"/>
              <w:bottom w:val="single" w:sz="4" w:space="0" w:color="000000"/>
            </w:tcBorders>
          </w:tcPr>
          <w:p w14:paraId="054C5793"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w:t>
            </w:r>
          </w:p>
        </w:tc>
        <w:tc>
          <w:tcPr>
            <w:tcW w:w="1308" w:type="dxa"/>
            <w:tcBorders>
              <w:top w:val="single" w:sz="4" w:space="0" w:color="000000"/>
              <w:bottom w:val="single" w:sz="4" w:space="0" w:color="000000"/>
            </w:tcBorders>
          </w:tcPr>
          <w:p w14:paraId="5CC84CE3"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Safety</w:t>
            </w:r>
          </w:p>
        </w:tc>
        <w:tc>
          <w:tcPr>
            <w:tcW w:w="1090" w:type="dxa"/>
            <w:tcBorders>
              <w:top w:val="single" w:sz="4" w:space="0" w:color="000000"/>
              <w:bottom w:val="single" w:sz="4" w:space="0" w:color="000000"/>
            </w:tcBorders>
          </w:tcPr>
          <w:p w14:paraId="0B3A79EF"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Ethics Score</w:t>
            </w:r>
          </w:p>
        </w:tc>
        <w:tc>
          <w:tcPr>
            <w:tcW w:w="1308" w:type="dxa"/>
            <w:tcBorders>
              <w:top w:val="single" w:sz="4" w:space="0" w:color="000000"/>
              <w:bottom w:val="single" w:sz="4" w:space="0" w:color="000000"/>
            </w:tcBorders>
          </w:tcPr>
          <w:p w14:paraId="5D6474A7"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Consent Score</w:t>
            </w:r>
          </w:p>
        </w:tc>
        <w:tc>
          <w:tcPr>
            <w:tcW w:w="1527" w:type="dxa"/>
            <w:tcBorders>
              <w:top w:val="single" w:sz="4" w:space="0" w:color="000000"/>
              <w:bottom w:val="single" w:sz="4" w:space="0" w:color="000000"/>
            </w:tcBorders>
          </w:tcPr>
          <w:p w14:paraId="71DC18A9"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Integrated Score</w:t>
            </w:r>
          </w:p>
        </w:tc>
        <w:tc>
          <w:tcPr>
            <w:tcW w:w="1308" w:type="dxa"/>
            <w:tcBorders>
              <w:top w:val="single" w:sz="4" w:space="0" w:color="000000"/>
              <w:bottom w:val="single" w:sz="4" w:space="0" w:color="000000"/>
            </w:tcBorders>
          </w:tcPr>
          <w:p w14:paraId="23AAFE1D"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TOPSIS</w:t>
            </w:r>
          </w:p>
        </w:tc>
        <w:tc>
          <w:tcPr>
            <w:tcW w:w="1308" w:type="dxa"/>
            <w:tcBorders>
              <w:top w:val="single" w:sz="4" w:space="0" w:color="000000"/>
              <w:bottom w:val="single" w:sz="4" w:space="0" w:color="000000"/>
            </w:tcBorders>
          </w:tcPr>
          <w:p w14:paraId="71E3559B"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TOPSIS Rank</w:t>
            </w:r>
          </w:p>
        </w:tc>
      </w:tr>
      <w:tr w:rsidR="00392A4E" w14:paraId="0C18F5CE" w14:textId="77777777">
        <w:trPr>
          <w:trHeight w:val="301"/>
          <w:jc w:val="center"/>
        </w:trPr>
        <w:tc>
          <w:tcPr>
            <w:tcW w:w="1520" w:type="dxa"/>
            <w:tcBorders>
              <w:top w:val="single" w:sz="4" w:space="0" w:color="000000"/>
            </w:tcBorders>
          </w:tcPr>
          <w:p w14:paraId="014D0323"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5</w:t>
            </w:r>
          </w:p>
        </w:tc>
        <w:tc>
          <w:tcPr>
            <w:tcW w:w="1308" w:type="dxa"/>
            <w:tcBorders>
              <w:top w:val="single" w:sz="4" w:space="0" w:color="000000"/>
            </w:tcBorders>
          </w:tcPr>
          <w:p w14:paraId="027DF723"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0.998</w:t>
            </w:r>
          </w:p>
        </w:tc>
        <w:tc>
          <w:tcPr>
            <w:tcW w:w="1090" w:type="dxa"/>
            <w:tcBorders>
              <w:top w:val="single" w:sz="4" w:space="0" w:color="000000"/>
            </w:tcBorders>
          </w:tcPr>
          <w:p w14:paraId="357EADA4"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6.453</w:t>
            </w:r>
          </w:p>
        </w:tc>
        <w:tc>
          <w:tcPr>
            <w:tcW w:w="1308" w:type="dxa"/>
            <w:tcBorders>
              <w:top w:val="single" w:sz="4" w:space="0" w:color="000000"/>
            </w:tcBorders>
          </w:tcPr>
          <w:p w14:paraId="57D84D32"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2.332</w:t>
            </w:r>
          </w:p>
        </w:tc>
        <w:tc>
          <w:tcPr>
            <w:tcW w:w="1527" w:type="dxa"/>
            <w:tcBorders>
              <w:top w:val="single" w:sz="4" w:space="0" w:color="000000"/>
            </w:tcBorders>
          </w:tcPr>
          <w:p w14:paraId="201655E0"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0.863</w:t>
            </w:r>
          </w:p>
        </w:tc>
        <w:tc>
          <w:tcPr>
            <w:tcW w:w="1308" w:type="dxa"/>
            <w:tcBorders>
              <w:top w:val="single" w:sz="4" w:space="0" w:color="000000"/>
            </w:tcBorders>
          </w:tcPr>
          <w:p w14:paraId="13E93CA2"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0.780331</w:t>
            </w:r>
          </w:p>
        </w:tc>
        <w:tc>
          <w:tcPr>
            <w:tcW w:w="1308" w:type="dxa"/>
            <w:tcBorders>
              <w:top w:val="single" w:sz="4" w:space="0" w:color="000000"/>
            </w:tcBorders>
          </w:tcPr>
          <w:p w14:paraId="75C7C68D"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92A4E" w14:paraId="04497E44" w14:textId="77777777">
        <w:trPr>
          <w:trHeight w:val="290"/>
          <w:jc w:val="center"/>
        </w:trPr>
        <w:tc>
          <w:tcPr>
            <w:tcW w:w="1520" w:type="dxa"/>
          </w:tcPr>
          <w:p w14:paraId="349A8693"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14</w:t>
            </w:r>
          </w:p>
        </w:tc>
        <w:tc>
          <w:tcPr>
            <w:tcW w:w="1308" w:type="dxa"/>
          </w:tcPr>
          <w:p w14:paraId="27298BB9"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0.488</w:t>
            </w:r>
          </w:p>
        </w:tc>
        <w:tc>
          <w:tcPr>
            <w:tcW w:w="1090" w:type="dxa"/>
          </w:tcPr>
          <w:p w14:paraId="7FE1F545"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6.956</w:t>
            </w:r>
          </w:p>
        </w:tc>
        <w:tc>
          <w:tcPr>
            <w:tcW w:w="1308" w:type="dxa"/>
          </w:tcPr>
          <w:p w14:paraId="1A8B59B2"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0.918</w:t>
            </w:r>
          </w:p>
        </w:tc>
        <w:tc>
          <w:tcPr>
            <w:tcW w:w="1527" w:type="dxa"/>
          </w:tcPr>
          <w:p w14:paraId="6EFCBE6E"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0.693</w:t>
            </w:r>
          </w:p>
        </w:tc>
        <w:tc>
          <w:tcPr>
            <w:tcW w:w="1308" w:type="dxa"/>
          </w:tcPr>
          <w:p w14:paraId="712267B6"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0.660092</w:t>
            </w:r>
          </w:p>
        </w:tc>
        <w:tc>
          <w:tcPr>
            <w:tcW w:w="1308" w:type="dxa"/>
          </w:tcPr>
          <w:p w14:paraId="4FF1A4BB"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92A4E" w14:paraId="268F4FA6" w14:textId="77777777">
        <w:trPr>
          <w:trHeight w:val="301"/>
          <w:jc w:val="center"/>
        </w:trPr>
        <w:tc>
          <w:tcPr>
            <w:tcW w:w="1520" w:type="dxa"/>
          </w:tcPr>
          <w:p w14:paraId="127DB280"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15</w:t>
            </w:r>
          </w:p>
        </w:tc>
        <w:tc>
          <w:tcPr>
            <w:tcW w:w="1308" w:type="dxa"/>
          </w:tcPr>
          <w:p w14:paraId="7B358A06"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1090" w:type="dxa"/>
          </w:tcPr>
          <w:p w14:paraId="4FFD0ADB"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6.661</w:t>
            </w:r>
          </w:p>
        </w:tc>
        <w:tc>
          <w:tcPr>
            <w:tcW w:w="1308" w:type="dxa"/>
          </w:tcPr>
          <w:p w14:paraId="39964502"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1.239</w:t>
            </w:r>
          </w:p>
        </w:tc>
        <w:tc>
          <w:tcPr>
            <w:tcW w:w="1527" w:type="dxa"/>
          </w:tcPr>
          <w:p w14:paraId="54E22236"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0.656</w:t>
            </w:r>
          </w:p>
        </w:tc>
        <w:tc>
          <w:tcPr>
            <w:tcW w:w="1308" w:type="dxa"/>
          </w:tcPr>
          <w:p w14:paraId="02474C36"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0.658374</w:t>
            </w:r>
          </w:p>
        </w:tc>
        <w:tc>
          <w:tcPr>
            <w:tcW w:w="1308" w:type="dxa"/>
          </w:tcPr>
          <w:p w14:paraId="044357E3"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92A4E" w14:paraId="6EFAEA22" w14:textId="77777777">
        <w:trPr>
          <w:trHeight w:val="301"/>
          <w:jc w:val="center"/>
        </w:trPr>
        <w:tc>
          <w:tcPr>
            <w:tcW w:w="1520" w:type="dxa"/>
          </w:tcPr>
          <w:p w14:paraId="62EF55E8"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8</w:t>
            </w:r>
          </w:p>
        </w:tc>
        <w:tc>
          <w:tcPr>
            <w:tcW w:w="1308" w:type="dxa"/>
          </w:tcPr>
          <w:p w14:paraId="12BF823C"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0.505</w:t>
            </w:r>
          </w:p>
        </w:tc>
        <w:tc>
          <w:tcPr>
            <w:tcW w:w="1090" w:type="dxa"/>
          </w:tcPr>
          <w:p w14:paraId="57F3E49A"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6.772</w:t>
            </w:r>
          </w:p>
        </w:tc>
        <w:tc>
          <w:tcPr>
            <w:tcW w:w="1308" w:type="dxa"/>
          </w:tcPr>
          <w:p w14:paraId="4295D99D"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1.873</w:t>
            </w:r>
          </w:p>
        </w:tc>
        <w:tc>
          <w:tcPr>
            <w:tcW w:w="1527" w:type="dxa"/>
          </w:tcPr>
          <w:p w14:paraId="09CA2492"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0.653</w:t>
            </w:r>
          </w:p>
        </w:tc>
        <w:tc>
          <w:tcPr>
            <w:tcW w:w="1308" w:type="dxa"/>
          </w:tcPr>
          <w:p w14:paraId="2AE9A1EC"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0.651941</w:t>
            </w:r>
          </w:p>
        </w:tc>
        <w:tc>
          <w:tcPr>
            <w:tcW w:w="1308" w:type="dxa"/>
          </w:tcPr>
          <w:p w14:paraId="5FF5AD01"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92A4E" w14:paraId="32281C70" w14:textId="77777777">
        <w:trPr>
          <w:trHeight w:val="290"/>
          <w:jc w:val="center"/>
        </w:trPr>
        <w:tc>
          <w:tcPr>
            <w:tcW w:w="1520" w:type="dxa"/>
          </w:tcPr>
          <w:p w14:paraId="2AF51456"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13</w:t>
            </w:r>
          </w:p>
        </w:tc>
        <w:tc>
          <w:tcPr>
            <w:tcW w:w="1308" w:type="dxa"/>
          </w:tcPr>
          <w:p w14:paraId="1719F5FF"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0.525</w:t>
            </w:r>
          </w:p>
        </w:tc>
        <w:tc>
          <w:tcPr>
            <w:tcW w:w="1090" w:type="dxa"/>
          </w:tcPr>
          <w:p w14:paraId="59FEE771"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6.697</w:t>
            </w:r>
          </w:p>
        </w:tc>
        <w:tc>
          <w:tcPr>
            <w:tcW w:w="1308" w:type="dxa"/>
          </w:tcPr>
          <w:p w14:paraId="2301AF8C"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1.275</w:t>
            </w:r>
          </w:p>
        </w:tc>
        <w:tc>
          <w:tcPr>
            <w:tcW w:w="1527" w:type="dxa"/>
          </w:tcPr>
          <w:p w14:paraId="12B84B01"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0.645</w:t>
            </w:r>
          </w:p>
        </w:tc>
        <w:tc>
          <w:tcPr>
            <w:tcW w:w="1308" w:type="dxa"/>
          </w:tcPr>
          <w:p w14:paraId="4322213B"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0.643968</w:t>
            </w:r>
          </w:p>
        </w:tc>
        <w:tc>
          <w:tcPr>
            <w:tcW w:w="1308" w:type="dxa"/>
          </w:tcPr>
          <w:p w14:paraId="0F61B34C"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92A4E" w14:paraId="5DC4F901" w14:textId="77777777">
        <w:trPr>
          <w:trHeight w:val="301"/>
          <w:jc w:val="center"/>
        </w:trPr>
        <w:tc>
          <w:tcPr>
            <w:tcW w:w="1520" w:type="dxa"/>
          </w:tcPr>
          <w:p w14:paraId="47D7C682"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4</w:t>
            </w:r>
          </w:p>
        </w:tc>
        <w:tc>
          <w:tcPr>
            <w:tcW w:w="1308" w:type="dxa"/>
          </w:tcPr>
          <w:p w14:paraId="3BE7508E"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0.85</w:t>
            </w:r>
          </w:p>
        </w:tc>
        <w:tc>
          <w:tcPr>
            <w:tcW w:w="1090" w:type="dxa"/>
          </w:tcPr>
          <w:p w14:paraId="340A1D92"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5.842</w:t>
            </w:r>
          </w:p>
        </w:tc>
        <w:tc>
          <w:tcPr>
            <w:tcW w:w="1308" w:type="dxa"/>
          </w:tcPr>
          <w:p w14:paraId="031D368B"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w:t>
            </w:r>
          </w:p>
        </w:tc>
        <w:tc>
          <w:tcPr>
            <w:tcW w:w="1527" w:type="dxa"/>
          </w:tcPr>
          <w:p w14:paraId="12C2376F"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0.608</w:t>
            </w:r>
          </w:p>
        </w:tc>
        <w:tc>
          <w:tcPr>
            <w:tcW w:w="1308" w:type="dxa"/>
          </w:tcPr>
          <w:p w14:paraId="3FD55500"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0.578562</w:t>
            </w:r>
          </w:p>
        </w:tc>
        <w:tc>
          <w:tcPr>
            <w:tcW w:w="1308" w:type="dxa"/>
          </w:tcPr>
          <w:p w14:paraId="762AA9E7"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392A4E" w14:paraId="1F5DB437" w14:textId="77777777">
        <w:trPr>
          <w:trHeight w:val="290"/>
          <w:jc w:val="center"/>
        </w:trPr>
        <w:tc>
          <w:tcPr>
            <w:tcW w:w="1520" w:type="dxa"/>
          </w:tcPr>
          <w:p w14:paraId="68917F64"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6</w:t>
            </w:r>
          </w:p>
        </w:tc>
        <w:tc>
          <w:tcPr>
            <w:tcW w:w="1308" w:type="dxa"/>
          </w:tcPr>
          <w:p w14:paraId="30D10BFA"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0.504</w:t>
            </w:r>
          </w:p>
        </w:tc>
        <w:tc>
          <w:tcPr>
            <w:tcW w:w="1090" w:type="dxa"/>
          </w:tcPr>
          <w:p w14:paraId="5EC537D5"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6.504</w:t>
            </w:r>
          </w:p>
        </w:tc>
        <w:tc>
          <w:tcPr>
            <w:tcW w:w="1308" w:type="dxa"/>
          </w:tcPr>
          <w:p w14:paraId="4EFBC131"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1.875</w:t>
            </w:r>
          </w:p>
        </w:tc>
        <w:tc>
          <w:tcPr>
            <w:tcW w:w="1527" w:type="dxa"/>
          </w:tcPr>
          <w:p w14:paraId="2B2F5456"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0.58</w:t>
            </w:r>
          </w:p>
        </w:tc>
        <w:tc>
          <w:tcPr>
            <w:tcW w:w="1308" w:type="dxa"/>
          </w:tcPr>
          <w:p w14:paraId="51C3316C"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0.555596</w:t>
            </w:r>
          </w:p>
        </w:tc>
        <w:tc>
          <w:tcPr>
            <w:tcW w:w="1308" w:type="dxa"/>
          </w:tcPr>
          <w:p w14:paraId="484BCF54"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92A4E" w14:paraId="631200E8" w14:textId="77777777">
        <w:trPr>
          <w:trHeight w:val="301"/>
          <w:jc w:val="center"/>
        </w:trPr>
        <w:tc>
          <w:tcPr>
            <w:tcW w:w="1520" w:type="dxa"/>
          </w:tcPr>
          <w:p w14:paraId="68D76EA1"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11</w:t>
            </w:r>
          </w:p>
        </w:tc>
        <w:tc>
          <w:tcPr>
            <w:tcW w:w="1308" w:type="dxa"/>
          </w:tcPr>
          <w:p w14:paraId="2BBC0FB9"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0.482</w:t>
            </w:r>
          </w:p>
        </w:tc>
        <w:tc>
          <w:tcPr>
            <w:tcW w:w="1090" w:type="dxa"/>
          </w:tcPr>
          <w:p w14:paraId="68B401FF"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6.274</w:t>
            </w:r>
          </w:p>
        </w:tc>
        <w:tc>
          <w:tcPr>
            <w:tcW w:w="1308" w:type="dxa"/>
          </w:tcPr>
          <w:p w14:paraId="5CBD9303"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0.935</w:t>
            </w:r>
          </w:p>
        </w:tc>
        <w:tc>
          <w:tcPr>
            <w:tcW w:w="1527" w:type="dxa"/>
          </w:tcPr>
          <w:p w14:paraId="6FBDD233"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0.505</w:t>
            </w:r>
          </w:p>
        </w:tc>
        <w:tc>
          <w:tcPr>
            <w:tcW w:w="1308" w:type="dxa"/>
          </w:tcPr>
          <w:p w14:paraId="6035CEE2"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0.514029</w:t>
            </w:r>
          </w:p>
        </w:tc>
        <w:tc>
          <w:tcPr>
            <w:tcW w:w="1308" w:type="dxa"/>
          </w:tcPr>
          <w:p w14:paraId="0B4EA4B9"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92A4E" w14:paraId="23DE8BE1" w14:textId="77777777">
        <w:trPr>
          <w:trHeight w:val="301"/>
          <w:jc w:val="center"/>
        </w:trPr>
        <w:tc>
          <w:tcPr>
            <w:tcW w:w="1520" w:type="dxa"/>
          </w:tcPr>
          <w:p w14:paraId="44B9AADC"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7</w:t>
            </w:r>
          </w:p>
        </w:tc>
        <w:tc>
          <w:tcPr>
            <w:tcW w:w="1308" w:type="dxa"/>
          </w:tcPr>
          <w:p w14:paraId="21DC86F3"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0.433</w:t>
            </w:r>
          </w:p>
        </w:tc>
        <w:tc>
          <w:tcPr>
            <w:tcW w:w="1090" w:type="dxa"/>
          </w:tcPr>
          <w:p w14:paraId="2431E7A1"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6.376</w:t>
            </w:r>
          </w:p>
        </w:tc>
        <w:tc>
          <w:tcPr>
            <w:tcW w:w="1308" w:type="dxa"/>
          </w:tcPr>
          <w:p w14:paraId="298FCCAD"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1.834</w:t>
            </w:r>
          </w:p>
        </w:tc>
        <w:tc>
          <w:tcPr>
            <w:tcW w:w="1527" w:type="dxa"/>
          </w:tcPr>
          <w:p w14:paraId="0CABE3BD"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0.503</w:t>
            </w:r>
          </w:p>
        </w:tc>
        <w:tc>
          <w:tcPr>
            <w:tcW w:w="1308" w:type="dxa"/>
          </w:tcPr>
          <w:p w14:paraId="394C89CD"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0.510303</w:t>
            </w:r>
          </w:p>
        </w:tc>
        <w:tc>
          <w:tcPr>
            <w:tcW w:w="1308" w:type="dxa"/>
          </w:tcPr>
          <w:p w14:paraId="484F4388"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392A4E" w14:paraId="2A78993B" w14:textId="77777777">
        <w:trPr>
          <w:trHeight w:val="290"/>
          <w:jc w:val="center"/>
        </w:trPr>
        <w:tc>
          <w:tcPr>
            <w:tcW w:w="1520" w:type="dxa"/>
            <w:tcBorders>
              <w:bottom w:val="single" w:sz="4" w:space="0" w:color="000000"/>
            </w:tcBorders>
          </w:tcPr>
          <w:p w14:paraId="2BA8F78E" w14:textId="77777777" w:rsidR="00392A4E" w:rsidRDefault="00B36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12</w:t>
            </w:r>
          </w:p>
        </w:tc>
        <w:tc>
          <w:tcPr>
            <w:tcW w:w="1308" w:type="dxa"/>
            <w:tcBorders>
              <w:bottom w:val="single" w:sz="4" w:space="0" w:color="000000"/>
            </w:tcBorders>
          </w:tcPr>
          <w:p w14:paraId="0C2DBAA3"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0.385</w:t>
            </w:r>
          </w:p>
        </w:tc>
        <w:tc>
          <w:tcPr>
            <w:tcW w:w="1090" w:type="dxa"/>
            <w:tcBorders>
              <w:bottom w:val="single" w:sz="4" w:space="0" w:color="000000"/>
            </w:tcBorders>
          </w:tcPr>
          <w:p w14:paraId="515DAD98"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6.432</w:t>
            </w:r>
          </w:p>
        </w:tc>
        <w:tc>
          <w:tcPr>
            <w:tcW w:w="1308" w:type="dxa"/>
            <w:tcBorders>
              <w:bottom w:val="single" w:sz="4" w:space="0" w:color="000000"/>
            </w:tcBorders>
          </w:tcPr>
          <w:p w14:paraId="11D98AC5"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1.031</w:t>
            </w:r>
          </w:p>
        </w:tc>
        <w:tc>
          <w:tcPr>
            <w:tcW w:w="1527" w:type="dxa"/>
            <w:tcBorders>
              <w:bottom w:val="single" w:sz="4" w:space="0" w:color="000000"/>
            </w:tcBorders>
          </w:tcPr>
          <w:p w14:paraId="61AD6648"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0.489</w:t>
            </w:r>
          </w:p>
        </w:tc>
        <w:tc>
          <w:tcPr>
            <w:tcW w:w="1308" w:type="dxa"/>
            <w:tcBorders>
              <w:bottom w:val="single" w:sz="4" w:space="0" w:color="000000"/>
            </w:tcBorders>
          </w:tcPr>
          <w:p w14:paraId="5439B345"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0.497430</w:t>
            </w:r>
          </w:p>
        </w:tc>
        <w:tc>
          <w:tcPr>
            <w:tcW w:w="1308" w:type="dxa"/>
            <w:tcBorders>
              <w:bottom w:val="single" w:sz="4" w:space="0" w:color="000000"/>
            </w:tcBorders>
          </w:tcPr>
          <w:p w14:paraId="449F331C" w14:textId="77777777" w:rsidR="00392A4E" w:rsidRDefault="00B364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bl>
    <w:p w14:paraId="6F9B4106"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integrated security-ethics performance ranged from 0.49 to 0.86, as shown in Figure 7. System 5 achieved the highest score (0.863), combining robust security (0.998) and strong ethical compliance (6.453), while System 12 scored lowest (0.489), reflecting both security and ethical deficiencies. This integration highlights the feasibility of balancing security and ethics but reveals systemic gaps in lower-performing systems.</w:t>
      </w:r>
    </w:p>
    <w:p w14:paraId="321A8628" w14:textId="77777777" w:rsidR="00392A4E" w:rsidRDefault="00392A4E">
      <w:pPr>
        <w:spacing w:before="280" w:after="0" w:line="360" w:lineRule="auto"/>
        <w:jc w:val="both"/>
        <w:rPr>
          <w:rFonts w:ascii="Times New Roman" w:eastAsia="Times New Roman" w:hAnsi="Times New Roman" w:cs="Times New Roman"/>
          <w:b/>
          <w:sz w:val="24"/>
          <w:szCs w:val="24"/>
        </w:rPr>
      </w:pPr>
    </w:p>
    <w:p w14:paraId="3E99737D" w14:textId="77777777" w:rsidR="00392A4E" w:rsidRDefault="00392A4E">
      <w:pPr>
        <w:spacing w:before="280" w:after="0" w:line="360" w:lineRule="auto"/>
        <w:jc w:val="both"/>
        <w:rPr>
          <w:rFonts w:ascii="Times New Roman" w:eastAsia="Times New Roman" w:hAnsi="Times New Roman" w:cs="Times New Roman"/>
          <w:b/>
          <w:sz w:val="24"/>
          <w:szCs w:val="24"/>
        </w:rPr>
      </w:pPr>
    </w:p>
    <w:p w14:paraId="1FF05CC7" w14:textId="77777777" w:rsidR="00392A4E" w:rsidRDefault="00392A4E">
      <w:pPr>
        <w:spacing w:before="280" w:after="0" w:line="360" w:lineRule="auto"/>
        <w:jc w:val="both"/>
        <w:rPr>
          <w:rFonts w:ascii="Times New Roman" w:eastAsia="Times New Roman" w:hAnsi="Times New Roman" w:cs="Times New Roman"/>
          <w:b/>
          <w:sz w:val="24"/>
          <w:szCs w:val="24"/>
        </w:rPr>
      </w:pPr>
    </w:p>
    <w:p w14:paraId="6323F404" w14:textId="77777777" w:rsidR="00392A4E" w:rsidRDefault="00B3645F">
      <w:pPr>
        <w:spacing w:before="28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7</w:t>
      </w:r>
    </w:p>
    <w:p w14:paraId="7555205B" w14:textId="77777777" w:rsidR="00392A4E" w:rsidRDefault="00B3645F">
      <w:pPr>
        <w:spacing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Integrated Security-Ethics Performance Scores by AI Mental Health System</w:t>
      </w:r>
    </w:p>
    <w:p w14:paraId="5DC73A45" w14:textId="77777777" w:rsidR="00392A4E" w:rsidRDefault="00B3645F">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2477B42F" wp14:editId="1F4833B6">
            <wp:extent cx="4486464" cy="2990976"/>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486464" cy="2990976"/>
                    </a:xfrm>
                    <a:prstGeom prst="rect">
                      <a:avLst/>
                    </a:prstGeom>
                    <a:ln/>
                  </pic:spPr>
                </pic:pic>
              </a:graphicData>
            </a:graphic>
          </wp:inline>
        </w:drawing>
      </w:r>
    </w:p>
    <w:p w14:paraId="3F13429B"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TOPSIS analysis, depicted in Table 2, ranked System 5 highest (0.780), followed by System 14 (0.660) and System 15 (0.658), considering security, ethics, robustness, and privacy costs. This ranking, supported by a correlation matrix in Figure 8 showed a strong positive correlation (0.78) between security safety and integrated scores, but a negative correlation (-0.23) between security and ethics, indicating trade-offs that require balanced optimization (Al-Sulbi et al., 2023).</w:t>
      </w:r>
    </w:p>
    <w:p w14:paraId="60EF1078" w14:textId="77777777" w:rsidR="00392A4E" w:rsidRDefault="00392A4E">
      <w:pPr>
        <w:spacing w:before="280" w:after="280" w:line="360" w:lineRule="auto"/>
        <w:jc w:val="both"/>
        <w:rPr>
          <w:rFonts w:ascii="Times New Roman" w:eastAsia="Times New Roman" w:hAnsi="Times New Roman" w:cs="Times New Roman"/>
          <w:b/>
          <w:sz w:val="24"/>
          <w:szCs w:val="24"/>
        </w:rPr>
      </w:pPr>
    </w:p>
    <w:p w14:paraId="4E57B578" w14:textId="77777777" w:rsidR="00392A4E" w:rsidRDefault="00392A4E">
      <w:pPr>
        <w:spacing w:before="280" w:after="280" w:line="360" w:lineRule="auto"/>
        <w:jc w:val="both"/>
        <w:rPr>
          <w:rFonts w:ascii="Times New Roman" w:eastAsia="Times New Roman" w:hAnsi="Times New Roman" w:cs="Times New Roman"/>
          <w:b/>
          <w:sz w:val="24"/>
          <w:szCs w:val="24"/>
        </w:rPr>
      </w:pPr>
    </w:p>
    <w:p w14:paraId="15D98953" w14:textId="77777777" w:rsidR="00392A4E" w:rsidRDefault="00392A4E">
      <w:pPr>
        <w:spacing w:before="280" w:after="280" w:line="360" w:lineRule="auto"/>
        <w:jc w:val="both"/>
        <w:rPr>
          <w:rFonts w:ascii="Times New Roman" w:eastAsia="Times New Roman" w:hAnsi="Times New Roman" w:cs="Times New Roman"/>
          <w:b/>
          <w:sz w:val="24"/>
          <w:szCs w:val="24"/>
        </w:rPr>
      </w:pPr>
    </w:p>
    <w:p w14:paraId="5575E8A1" w14:textId="77777777" w:rsidR="00392A4E" w:rsidRDefault="00392A4E">
      <w:pPr>
        <w:spacing w:before="280" w:after="280" w:line="360" w:lineRule="auto"/>
        <w:jc w:val="both"/>
        <w:rPr>
          <w:rFonts w:ascii="Times New Roman" w:eastAsia="Times New Roman" w:hAnsi="Times New Roman" w:cs="Times New Roman"/>
          <w:b/>
          <w:sz w:val="24"/>
          <w:szCs w:val="24"/>
        </w:rPr>
      </w:pPr>
    </w:p>
    <w:p w14:paraId="276A3A29" w14:textId="77777777" w:rsidR="00392A4E" w:rsidRDefault="00392A4E">
      <w:pPr>
        <w:spacing w:before="280" w:after="280" w:line="360" w:lineRule="auto"/>
        <w:jc w:val="both"/>
        <w:rPr>
          <w:rFonts w:ascii="Times New Roman" w:eastAsia="Times New Roman" w:hAnsi="Times New Roman" w:cs="Times New Roman"/>
          <w:b/>
          <w:sz w:val="24"/>
          <w:szCs w:val="24"/>
        </w:rPr>
      </w:pPr>
    </w:p>
    <w:p w14:paraId="31461049" w14:textId="77777777" w:rsidR="00392A4E" w:rsidRDefault="00392A4E">
      <w:pPr>
        <w:spacing w:before="280" w:after="280" w:line="360" w:lineRule="auto"/>
        <w:jc w:val="both"/>
        <w:rPr>
          <w:rFonts w:ascii="Times New Roman" w:eastAsia="Times New Roman" w:hAnsi="Times New Roman" w:cs="Times New Roman"/>
          <w:b/>
          <w:sz w:val="24"/>
          <w:szCs w:val="24"/>
        </w:rPr>
      </w:pPr>
    </w:p>
    <w:p w14:paraId="67EB8EBE" w14:textId="77777777" w:rsidR="00392A4E" w:rsidRDefault="00B3645F">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8</w:t>
      </w:r>
    </w:p>
    <w:p w14:paraId="52D00123" w14:textId="77777777" w:rsidR="00392A4E" w:rsidRDefault="00B3645F">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Performance Metrics Correlation Matrix for AI Mental Health Systems</w:t>
      </w:r>
    </w:p>
    <w:p w14:paraId="10C88E0F" w14:textId="77777777" w:rsidR="00392A4E" w:rsidRDefault="00B3645F">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2FF48F48" wp14:editId="54297F8B">
            <wp:extent cx="4544361" cy="3029574"/>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4544361" cy="3029574"/>
                    </a:xfrm>
                    <a:prstGeom prst="rect">
                      <a:avLst/>
                    </a:prstGeom>
                    <a:ln/>
                  </pic:spPr>
                </pic:pic>
              </a:graphicData>
            </a:graphic>
          </wp:inline>
        </w:drawing>
      </w:r>
    </w:p>
    <w:p w14:paraId="78FE8FF7" w14:textId="77777777" w:rsidR="00392A4E" w:rsidRDefault="00B3645F">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showed the full statistical validation results including the interpretation and implication.</w:t>
      </w:r>
    </w:p>
    <w:p w14:paraId="58E5F19D" w14:textId="77777777" w:rsidR="00392A4E" w:rsidRDefault="00B3645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p>
    <w:p w14:paraId="0872E9AF"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Statistical Validation Results</w:t>
      </w:r>
    </w:p>
    <w:tbl>
      <w:tblPr>
        <w:tblStyle w:val="a1"/>
        <w:tblW w:w="9216" w:type="dxa"/>
        <w:tblInd w:w="0" w:type="dxa"/>
        <w:tblLayout w:type="fixed"/>
        <w:tblLook w:val="0400" w:firstRow="0" w:lastRow="0" w:firstColumn="0" w:lastColumn="0" w:noHBand="0" w:noVBand="1"/>
      </w:tblPr>
      <w:tblGrid>
        <w:gridCol w:w="2304"/>
        <w:gridCol w:w="2304"/>
        <w:gridCol w:w="2304"/>
        <w:gridCol w:w="2304"/>
      </w:tblGrid>
      <w:tr w:rsidR="00392A4E" w14:paraId="4E540A9E" w14:textId="77777777">
        <w:trPr>
          <w:trHeight w:val="281"/>
        </w:trPr>
        <w:tc>
          <w:tcPr>
            <w:tcW w:w="2304" w:type="dxa"/>
            <w:tcBorders>
              <w:top w:val="single" w:sz="4" w:space="0" w:color="000000"/>
              <w:bottom w:val="single" w:sz="4" w:space="0" w:color="000000"/>
            </w:tcBorders>
          </w:tcPr>
          <w:p w14:paraId="3B7B834A" w14:textId="77777777" w:rsidR="00392A4E" w:rsidRDefault="00B3645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w:t>
            </w:r>
          </w:p>
        </w:tc>
        <w:tc>
          <w:tcPr>
            <w:tcW w:w="2304" w:type="dxa"/>
            <w:tcBorders>
              <w:top w:val="single" w:sz="4" w:space="0" w:color="000000"/>
              <w:bottom w:val="single" w:sz="4" w:space="0" w:color="000000"/>
            </w:tcBorders>
          </w:tcPr>
          <w:p w14:paraId="0C6887E0" w14:textId="77777777" w:rsidR="00392A4E" w:rsidRDefault="00B3645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w:t>
            </w:r>
          </w:p>
        </w:tc>
        <w:tc>
          <w:tcPr>
            <w:tcW w:w="2304" w:type="dxa"/>
            <w:tcBorders>
              <w:top w:val="single" w:sz="4" w:space="0" w:color="000000"/>
              <w:bottom w:val="single" w:sz="4" w:space="0" w:color="000000"/>
            </w:tcBorders>
          </w:tcPr>
          <w:p w14:paraId="2131559F" w14:textId="77777777" w:rsidR="00392A4E" w:rsidRDefault="00B3645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w:t>
            </w:r>
          </w:p>
        </w:tc>
        <w:tc>
          <w:tcPr>
            <w:tcW w:w="2304" w:type="dxa"/>
            <w:tcBorders>
              <w:top w:val="single" w:sz="4" w:space="0" w:color="000000"/>
              <w:bottom w:val="single" w:sz="4" w:space="0" w:color="000000"/>
            </w:tcBorders>
          </w:tcPr>
          <w:p w14:paraId="7CAE85E8" w14:textId="77777777" w:rsidR="00392A4E" w:rsidRDefault="00B3645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Implication</w:t>
            </w:r>
          </w:p>
        </w:tc>
      </w:tr>
      <w:tr w:rsidR="00392A4E" w14:paraId="4298B21B" w14:textId="77777777">
        <w:trPr>
          <w:trHeight w:val="564"/>
        </w:trPr>
        <w:tc>
          <w:tcPr>
            <w:tcW w:w="2304" w:type="dxa"/>
            <w:tcBorders>
              <w:top w:val="single" w:sz="4" w:space="0" w:color="000000"/>
            </w:tcBorders>
          </w:tcPr>
          <w:p w14:paraId="09283AA0"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Bootstrap CI for CVSS</w:t>
            </w:r>
          </w:p>
        </w:tc>
        <w:tc>
          <w:tcPr>
            <w:tcW w:w="2304" w:type="dxa"/>
            <w:tcBorders>
              <w:top w:val="single" w:sz="4" w:space="0" w:color="000000"/>
            </w:tcBorders>
          </w:tcPr>
          <w:p w14:paraId="675DBCD4"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 6.79]</w:t>
            </w:r>
          </w:p>
        </w:tc>
        <w:tc>
          <w:tcPr>
            <w:tcW w:w="2304" w:type="dxa"/>
            <w:tcBorders>
              <w:top w:val="single" w:sz="4" w:space="0" w:color="000000"/>
            </w:tcBorders>
          </w:tcPr>
          <w:p w14:paraId="1221ED68"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confidence interval</w:t>
            </w:r>
          </w:p>
        </w:tc>
        <w:tc>
          <w:tcPr>
            <w:tcW w:w="2304" w:type="dxa"/>
            <w:tcBorders>
              <w:top w:val="single" w:sz="4" w:space="0" w:color="000000"/>
            </w:tcBorders>
          </w:tcPr>
          <w:p w14:paraId="3A9D60D6"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Reliable CVSS estimates</w:t>
            </w:r>
          </w:p>
        </w:tc>
      </w:tr>
      <w:tr w:rsidR="00392A4E" w14:paraId="350D67A6" w14:textId="77777777">
        <w:trPr>
          <w:trHeight w:val="834"/>
        </w:trPr>
        <w:tc>
          <w:tcPr>
            <w:tcW w:w="2304" w:type="dxa"/>
          </w:tcPr>
          <w:p w14:paraId="76F590C5"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 CVSS &gt; 4.0</w:t>
            </w:r>
          </w:p>
        </w:tc>
        <w:tc>
          <w:tcPr>
            <w:tcW w:w="2304" w:type="dxa"/>
          </w:tcPr>
          <w:p w14:paraId="45BFC309"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t=269.14, p&lt;0.001</w:t>
            </w:r>
          </w:p>
        </w:tc>
        <w:tc>
          <w:tcPr>
            <w:tcW w:w="2304" w:type="dxa"/>
          </w:tcPr>
          <w:p w14:paraId="68AA18A4"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Highly significant</w:t>
            </w:r>
          </w:p>
        </w:tc>
        <w:tc>
          <w:tcPr>
            <w:tcW w:w="2304" w:type="dxa"/>
          </w:tcPr>
          <w:p w14:paraId="60804CC1"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medium severity confirmed</w:t>
            </w:r>
          </w:p>
        </w:tc>
      </w:tr>
      <w:tr w:rsidR="00392A4E" w14:paraId="54E2B0DC" w14:textId="77777777">
        <w:trPr>
          <w:trHeight w:val="564"/>
        </w:trPr>
        <w:tc>
          <w:tcPr>
            <w:tcW w:w="2304" w:type="dxa"/>
          </w:tcPr>
          <w:p w14:paraId="5E4E157B"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 Ethics &lt; 7.0</w:t>
            </w:r>
          </w:p>
        </w:tc>
        <w:tc>
          <w:tcPr>
            <w:tcW w:w="2304" w:type="dxa"/>
          </w:tcPr>
          <w:p w14:paraId="749B0924"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t=-6.37, p&lt;0.001</w:t>
            </w:r>
          </w:p>
        </w:tc>
        <w:tc>
          <w:tcPr>
            <w:tcW w:w="2304" w:type="dxa"/>
          </w:tcPr>
          <w:p w14:paraId="7ABA94C6"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Highly significant</w:t>
            </w:r>
          </w:p>
        </w:tc>
        <w:tc>
          <w:tcPr>
            <w:tcW w:w="2304" w:type="dxa"/>
          </w:tcPr>
          <w:p w14:paraId="62EA62F1"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Room for ethics improvement</w:t>
            </w:r>
          </w:p>
        </w:tc>
      </w:tr>
      <w:tr w:rsidR="00392A4E" w14:paraId="539FC35D" w14:textId="77777777">
        <w:trPr>
          <w:trHeight w:val="747"/>
        </w:trPr>
        <w:tc>
          <w:tcPr>
            <w:tcW w:w="2304" w:type="dxa"/>
          </w:tcPr>
          <w:p w14:paraId="17A7C4B0"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 Performance (ARI)</w:t>
            </w:r>
          </w:p>
        </w:tc>
        <w:tc>
          <w:tcPr>
            <w:tcW w:w="2304" w:type="dxa"/>
          </w:tcPr>
          <w:p w14:paraId="1A314278"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 ± 0.05</w:t>
            </w:r>
          </w:p>
        </w:tc>
        <w:tc>
          <w:tcPr>
            <w:tcW w:w="2304" w:type="dxa"/>
          </w:tcPr>
          <w:p w14:paraId="6ECFC7B6"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robustness</w:t>
            </w:r>
          </w:p>
        </w:tc>
        <w:tc>
          <w:tcPr>
            <w:tcW w:w="2304" w:type="dxa"/>
          </w:tcPr>
          <w:p w14:paraId="342D9451"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Acceptable AI performance</w:t>
            </w:r>
          </w:p>
        </w:tc>
      </w:tr>
      <w:tr w:rsidR="00392A4E" w14:paraId="25972257" w14:textId="77777777">
        <w:trPr>
          <w:trHeight w:val="531"/>
        </w:trPr>
        <w:tc>
          <w:tcPr>
            <w:tcW w:w="2304" w:type="dxa"/>
            <w:tcBorders>
              <w:bottom w:val="single" w:sz="4" w:space="0" w:color="000000"/>
            </w:tcBorders>
          </w:tcPr>
          <w:p w14:paraId="33169BC1"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Privacy-Utility Trade-off</w:t>
            </w:r>
          </w:p>
        </w:tc>
        <w:tc>
          <w:tcPr>
            <w:tcW w:w="2304" w:type="dxa"/>
            <w:tcBorders>
              <w:bottom w:val="single" w:sz="4" w:space="0" w:color="000000"/>
            </w:tcBorders>
          </w:tcPr>
          <w:p w14:paraId="05621435"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ε=2.0 optimal</w:t>
            </w:r>
          </w:p>
        </w:tc>
        <w:tc>
          <w:tcPr>
            <w:tcW w:w="2304" w:type="dxa"/>
            <w:tcBorders>
              <w:bottom w:val="single" w:sz="4" w:space="0" w:color="000000"/>
            </w:tcBorders>
          </w:tcPr>
          <w:p w14:paraId="1EADE79C"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Balance achieved</w:t>
            </w:r>
          </w:p>
        </w:tc>
        <w:tc>
          <w:tcPr>
            <w:tcW w:w="2304" w:type="dxa"/>
            <w:tcBorders>
              <w:bottom w:val="single" w:sz="4" w:space="0" w:color="000000"/>
            </w:tcBorders>
          </w:tcPr>
          <w:p w14:paraId="109B018C" w14:textId="77777777" w:rsidR="00392A4E" w:rsidRDefault="00B36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Privacy preserved with utility</w:t>
            </w:r>
          </w:p>
        </w:tc>
      </w:tr>
    </w:tbl>
    <w:p w14:paraId="320D2C36" w14:textId="77777777" w:rsidR="00392A4E" w:rsidRDefault="00392A4E">
      <w:pPr>
        <w:spacing w:before="240" w:line="360" w:lineRule="auto"/>
        <w:jc w:val="both"/>
        <w:rPr>
          <w:rFonts w:ascii="Times New Roman" w:eastAsia="Times New Roman" w:hAnsi="Times New Roman" w:cs="Times New Roman"/>
          <w:b/>
          <w:sz w:val="24"/>
          <w:szCs w:val="24"/>
        </w:rPr>
      </w:pPr>
    </w:p>
    <w:p w14:paraId="3E65EDD5" w14:textId="77777777" w:rsidR="00392A4E" w:rsidRDefault="00B3645F">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6761D287"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reveal critical cybersecurity vulnerabilities and ethical deficiencies in hyper-personalized AI mental health systems deployed in home environments, underscoring urgent needs for enhanced security and ethical frameworks. The high prevalence of severe vulnerabilities (45.3%), particularly Cross-site Scripting (CWE-79) indicates systemic weaknesses in input validation, risking unauthorized access to sensitive psychological data (Nagaraja &amp; Bahsi, 2025). The 251% increase in vulnerabilities throughout 2023, reflects a rapidly evolving threat landscape, necessitating robust, adaptive security measures (Sharma, 2022). Other (Additional Identified Threats), (56.79) and Tampering (20.50) threats expose architectural flaws in home-deployed systems, where absent network perimeters exacerbate risks (Jaal, 2024). The low Repudiation score (0.02) suggests inadequate monitoring, potentially masking accountability gaps. The moderate Adversarial Robustness Index (0.68) indicates susceptibility to attacks that could misclassify critical mental health indicators, compromising patient safety (Shokri &amp; Shmatikov, 2015). The privacy-utility trade-off (ε = 2.0) achieves 83% utility but highlights a 17% reduction that may impact therapeutic outcomes, requiring adaptive privacy mechanisms (Dwork et al., 2014). Ethical compliance, with IEACP scores averaging 6.48 reveals deficiencies in autonomy and justice, reflecting inconsistent standards and potential biases (Wiese &amp; Friston, 2021). Consent score variability (0.92–2.33) underscores the need for transparent consent processes to foster trust (Resnik, 2018). The integrated performance scores show System 5’s balance (0.863) but indicate even top systems fall short of ideal thresholds. The negative correlation (-0.23) between security </w:t>
      </w:r>
      <w:r>
        <w:rPr>
          <w:rFonts w:ascii="Times New Roman" w:eastAsia="Times New Roman" w:hAnsi="Times New Roman" w:cs="Times New Roman"/>
          <w:sz w:val="24"/>
          <w:szCs w:val="24"/>
        </w:rPr>
        <w:lastRenderedPageBreak/>
        <w:t>and ethics emphasizes the challenge of optimizing both dimensions simultaneously (Al-Sulbi et al., 2023). These findings highlight the necessity for standardized frameworks to ensure secure, equitable, and patient-centered AI systems in mental health care.</w:t>
      </w:r>
    </w:p>
    <w:p w14:paraId="2ED67031" w14:textId="77777777" w:rsidR="00392A4E" w:rsidRDefault="00392A4E">
      <w:pPr>
        <w:spacing w:before="240" w:line="360" w:lineRule="auto"/>
        <w:jc w:val="both"/>
        <w:rPr>
          <w:rFonts w:ascii="Times New Roman" w:eastAsia="Times New Roman" w:hAnsi="Times New Roman" w:cs="Times New Roman"/>
          <w:b/>
          <w:sz w:val="24"/>
          <w:szCs w:val="24"/>
        </w:rPr>
      </w:pPr>
    </w:p>
    <w:p w14:paraId="739AD7E5" w14:textId="77777777" w:rsidR="00392A4E" w:rsidRDefault="00B3645F">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w:t>
      </w:r>
    </w:p>
    <w:p w14:paraId="16597311"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reliance on 2023 CVE data may underrepresent vulnerabilities in proprietary systems, as public databases may not capture undisclosed flaws. Simulated metrics, such as the Adversarial Robustness Index, limit real-world applicability due to implementation variability. The focus on 2023 data may miss recent advancements, and cultural or regulatory differences across jurisdictions were not fully addressed, potentially limiting generalizability. The home environment’s unique variables, like network variability, were not comprehensively modeled, constraining the scope of findings (Al-Qarni, 2023).</w:t>
      </w:r>
    </w:p>
    <w:p w14:paraId="00A004DC" w14:textId="77777777" w:rsidR="00392A4E" w:rsidRDefault="00B3645F">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Future Considerations</w:t>
      </w:r>
    </w:p>
    <w:p w14:paraId="15E70972" w14:textId="77777777" w:rsidR="00392A4E" w:rsidRDefault="00B364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should prioritize longitudinal vulnerability monitoring to track evolving threats, real-world validation studies to assess clinical impacts, and advanced privacy technologies like federated learning to enhance data protection. Collaboration with regulators to develop specific AI mental health guidelines and stakeholder-centered design approaches incorporating patient and clinician perspectives will ensure ethical, secure, and effective systems, addressing current gaps and promoting equitable mental health care (Wiese &amp; Friston, 2021; Dwork et al., 2014).</w:t>
      </w:r>
    </w:p>
    <w:p w14:paraId="5B62239E" w14:textId="77777777" w:rsidR="00392A4E" w:rsidRDefault="00392A4E">
      <w:pPr>
        <w:spacing w:line="360" w:lineRule="auto"/>
        <w:jc w:val="both"/>
        <w:rPr>
          <w:rFonts w:ascii="Times New Roman" w:eastAsia="Times New Roman" w:hAnsi="Times New Roman" w:cs="Times New Roman"/>
          <w:sz w:val="24"/>
          <w:szCs w:val="24"/>
        </w:rPr>
      </w:pPr>
    </w:p>
    <w:p w14:paraId="5EFD5B7F" w14:textId="77777777" w:rsidR="00ED3914" w:rsidRPr="00ED3914" w:rsidRDefault="00B3645F" w:rsidP="00ED3914">
      <w:pPr>
        <w:pStyle w:val="Heading3"/>
        <w:spacing w:line="360" w:lineRule="auto"/>
        <w:jc w:val="both"/>
        <w:rPr>
          <w:rFonts w:ascii="Times New Roman" w:hAnsi="Times New Roman" w:cs="Times New Roman"/>
          <w:sz w:val="24"/>
          <w:szCs w:val="24"/>
        </w:rPr>
      </w:pPr>
      <w:r w:rsidRPr="00ED3914">
        <w:rPr>
          <w:rFonts w:ascii="Times New Roman" w:eastAsia="Times New Roman" w:hAnsi="Times New Roman" w:cs="Times New Roman"/>
          <w:sz w:val="24"/>
          <w:szCs w:val="24"/>
        </w:rPr>
        <w:t>5</w:t>
      </w:r>
      <w:r w:rsidRPr="00ED3914">
        <w:rPr>
          <w:rFonts w:ascii="Times New Roman" w:eastAsia="Times New Roman" w:hAnsi="Times New Roman" w:cs="Times New Roman"/>
          <w:sz w:val="24"/>
          <w:szCs w:val="24"/>
        </w:rPr>
        <w:tab/>
      </w:r>
      <w:r w:rsidR="00ED3914" w:rsidRPr="00ED3914">
        <w:rPr>
          <w:rFonts w:ascii="Times New Roman" w:hAnsi="Times New Roman" w:cs="Times New Roman"/>
          <w:sz w:val="24"/>
          <w:szCs w:val="24"/>
        </w:rPr>
        <w:t>Conclusions and Recommendations</w:t>
      </w:r>
    </w:p>
    <w:p w14:paraId="38ABF94B" w14:textId="77777777" w:rsidR="00ED3914" w:rsidRPr="00ED3914" w:rsidRDefault="00ED3914" w:rsidP="00ED3914">
      <w:pPr>
        <w:pStyle w:val="NormalWeb"/>
        <w:spacing w:line="360" w:lineRule="auto"/>
        <w:jc w:val="both"/>
      </w:pPr>
      <w:r w:rsidRPr="00ED3914">
        <w:t xml:space="preserve">This study introduced a mixed-methods framework to evaluate hyper-personalized AI feedback systems for mental health support in home environments. The findings revealed substantial ethical challenges, including risks to privacy, reduced autonomy, and potential strain on therapeutic relationships caused by continuous monitoring. Cybersecurity analysis showed that 45.3% of identified vulnerabilities were classified as high to critical, posing serious threats to both patient safety and data integrity. The proposed integrated framework, which combines ethical principles </w:t>
      </w:r>
      <w:r w:rsidRPr="00ED3914">
        <w:lastRenderedPageBreak/>
        <w:t>with cybersecurity best practices, demonstrated strong performance in leading systems (e.g., System 5, integrated score of 0.863). Nonetheless, persistent issues such as inconsistent ethical compliance and evolving security threats underscore the urgent need for standardized guidelines and adaptive protective measures.</w:t>
      </w:r>
    </w:p>
    <w:p w14:paraId="38878A23" w14:textId="77777777" w:rsidR="00ED3914" w:rsidRPr="00ED3914" w:rsidRDefault="00ED3914" w:rsidP="00ED3914">
      <w:pPr>
        <w:pStyle w:val="NormalWeb"/>
        <w:spacing w:line="360" w:lineRule="auto"/>
        <w:jc w:val="both"/>
      </w:pPr>
      <w:r w:rsidRPr="00ED3914">
        <w:rPr>
          <w:rStyle w:val="Strong"/>
        </w:rPr>
        <w:t>Recommendations</w:t>
      </w:r>
      <w:r w:rsidRPr="00ED3914">
        <w:br/>
        <w:t>Future work should focus on developing standardized ethical protocols for AI-driven mental health systems, with an emphasis on transparent consent processes and proactive bias mitigation. Incorporating advanced privacy-preserving methods, such as federated learning, can strengthen data security while supporting therapeutic effectiveness. Real-world trials across diverse home environments are necessary to test the framework’s scalability and practical impact. Strong collaboration among developers, clinicians, and regulators is also essential to establish universal cybersecurity benchmarks tailored to mental health AI. Finally, the adoption of adaptive algorithms that respond to emerging threats and integrate patient feedback will be key to building resilient, equitable, and patient-centered systems—ultimately enhancing trust and effectiveness in home-based mental health care.</w:t>
      </w:r>
    </w:p>
    <w:p w14:paraId="42CB3D07" w14:textId="77777777" w:rsidR="00392A4E" w:rsidRDefault="00392A4E" w:rsidP="00ED3914">
      <w:pPr>
        <w:spacing w:line="360" w:lineRule="auto"/>
        <w:jc w:val="both"/>
        <w:rPr>
          <w:rFonts w:ascii="Times New Roman" w:eastAsia="Times New Roman" w:hAnsi="Times New Roman" w:cs="Times New Roman"/>
          <w:sz w:val="24"/>
          <w:szCs w:val="24"/>
        </w:rPr>
      </w:pPr>
    </w:p>
    <w:p w14:paraId="09F106FE" w14:textId="77777777" w:rsidR="00392A4E" w:rsidRDefault="00392A4E">
      <w:pPr>
        <w:spacing w:line="360" w:lineRule="auto"/>
        <w:jc w:val="both"/>
        <w:rPr>
          <w:rFonts w:ascii="Times New Roman" w:eastAsia="Times New Roman" w:hAnsi="Times New Roman" w:cs="Times New Roman"/>
          <w:sz w:val="24"/>
          <w:szCs w:val="24"/>
        </w:rPr>
      </w:pPr>
    </w:p>
    <w:p w14:paraId="7EA602C1"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Disclaimer (Artificial intelligence)</w:t>
      </w:r>
    </w:p>
    <w:p w14:paraId="41C4A711" w14:textId="77777777" w:rsidR="00392A4E" w:rsidRDefault="00392A4E">
      <w:pPr>
        <w:spacing w:line="360" w:lineRule="auto"/>
        <w:jc w:val="both"/>
        <w:rPr>
          <w:rFonts w:ascii="Times New Roman" w:eastAsia="Times New Roman" w:hAnsi="Times New Roman" w:cs="Times New Roman"/>
          <w:sz w:val="24"/>
          <w:szCs w:val="24"/>
        </w:rPr>
      </w:pPr>
    </w:p>
    <w:p w14:paraId="304A01E1" w14:textId="77777777" w:rsidR="00392A4E" w:rsidRDefault="00B364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2236F240" w14:textId="77777777" w:rsidR="00392A4E" w:rsidRDefault="00B3645F">
      <w:pPr>
        <w:spacing w:after="200" w:line="276" w:lineRule="auto"/>
        <w:jc w:val="both"/>
        <w:rPr>
          <w:rFonts w:ascii="Arial" w:eastAsia="Arial" w:hAnsi="Arial" w:cs="Arial"/>
        </w:rPr>
      </w:pPr>
      <w:r>
        <w:rPr>
          <w:rFonts w:ascii="Arial" w:eastAsia="Arial" w:hAnsi="Arial" w:cs="Arial"/>
          <w:b/>
        </w:rPr>
        <w:t>COMPETING INTERESTS DISCLAIMER:</w:t>
      </w:r>
    </w:p>
    <w:p w14:paraId="30F84F1A" w14:textId="77777777" w:rsidR="00392A4E" w:rsidRDefault="00B3645F">
      <w:pPr>
        <w:spacing w:after="200" w:line="276" w:lineRule="auto"/>
      </w:pPr>
      <w:r>
        <w:t>Authors have declared that they have no known competing financial interests OR non-financial interests OR personal relationships that could have appeared to influence the work reported in this paper.</w:t>
      </w:r>
    </w:p>
    <w:p w14:paraId="40FF67B8" w14:textId="77777777" w:rsidR="00392A4E" w:rsidRDefault="00392A4E">
      <w:pPr>
        <w:spacing w:line="360" w:lineRule="auto"/>
        <w:jc w:val="both"/>
        <w:rPr>
          <w:rFonts w:ascii="Times New Roman" w:eastAsia="Times New Roman" w:hAnsi="Times New Roman" w:cs="Times New Roman"/>
          <w:sz w:val="24"/>
          <w:szCs w:val="24"/>
        </w:rPr>
      </w:pPr>
    </w:p>
    <w:p w14:paraId="213ADE6E" w14:textId="77777777" w:rsidR="00392A4E" w:rsidRDefault="00392A4E">
      <w:pPr>
        <w:spacing w:line="360" w:lineRule="auto"/>
        <w:jc w:val="both"/>
        <w:rPr>
          <w:rFonts w:ascii="Times New Roman" w:eastAsia="Times New Roman" w:hAnsi="Times New Roman" w:cs="Times New Roman"/>
          <w:sz w:val="24"/>
          <w:szCs w:val="24"/>
        </w:rPr>
      </w:pPr>
    </w:p>
    <w:p w14:paraId="6A73DA9B" w14:textId="77777777" w:rsidR="00392A4E" w:rsidRDefault="00B3645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7996526F"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Adjei, Y. O. (2024). </w:t>
      </w:r>
      <w:r>
        <w:rPr>
          <w:rFonts w:ascii="Times New Roman" w:eastAsia="Times New Roman" w:hAnsi="Times New Roman" w:cs="Times New Roman"/>
          <w:i/>
          <w:color w:val="000000"/>
          <w:sz w:val="24"/>
          <w:szCs w:val="24"/>
        </w:rPr>
        <w:t>The connection between artificial intelligence (AI), cybersecurity, and mental health has become significant and complex in an increasingly digital world. As technology continues to evolve, it brings incredible opportunities and new challenges.</w:t>
      </w:r>
      <w:r>
        <w:rPr>
          <w:rFonts w:ascii="Times New Roman" w:eastAsia="Times New Roman" w:hAnsi="Times New Roman" w:cs="Times New Roman"/>
          <w:color w:val="000000"/>
          <w:sz w:val="24"/>
          <w:szCs w:val="24"/>
        </w:rPr>
        <w:t xml:space="preserve"> Linkedin.com. https://www.linkedin.com/pulse/intersection-ai-mental-health-cybersecurity-our-digital-adjei-csvae/</w:t>
      </w:r>
    </w:p>
    <w:p w14:paraId="16E55C45"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Al-Garadi, M. A., Yang, Y.-C., &amp; Sarker, A. (2022). The Role of Natural Language Processing during the COVID-19 Pandemic: Health Applications, Opportunities, and Challenges. </w:t>
      </w:r>
      <w:r>
        <w:rPr>
          <w:rFonts w:ascii="Times New Roman" w:eastAsia="Times New Roman" w:hAnsi="Times New Roman" w:cs="Times New Roman"/>
          <w:i/>
          <w:color w:val="000000"/>
          <w:sz w:val="24"/>
          <w:szCs w:val="24"/>
        </w:rPr>
        <w:t>Healthcare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10</w:t>
      </w:r>
      <w:r>
        <w:rPr>
          <w:rFonts w:ascii="Times New Roman" w:eastAsia="Times New Roman" w:hAnsi="Times New Roman" w:cs="Times New Roman"/>
          <w:color w:val="000000"/>
          <w:sz w:val="24"/>
          <w:szCs w:val="24"/>
        </w:rPr>
        <w:t>(11), 2270. https://doi.org/10.3390/healthcare10112270</w:t>
      </w:r>
    </w:p>
    <w:p w14:paraId="781184ED"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Al-Qarni, E. A. (2023). Cybersecurity in Healthcare: A Review of Recent Attacks and Mitigation Strategies. </w:t>
      </w:r>
      <w:r>
        <w:rPr>
          <w:rFonts w:ascii="Times New Roman" w:eastAsia="Times New Roman" w:hAnsi="Times New Roman" w:cs="Times New Roman"/>
          <w:i/>
          <w:color w:val="000000"/>
          <w:sz w:val="24"/>
          <w:szCs w:val="24"/>
        </w:rPr>
        <w:t>International Journal of Advanced Computer Science and Applications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14</w:t>
      </w:r>
      <w:r>
        <w:rPr>
          <w:rFonts w:ascii="Times New Roman" w:eastAsia="Times New Roman" w:hAnsi="Times New Roman" w:cs="Times New Roman"/>
          <w:color w:val="000000"/>
          <w:sz w:val="24"/>
          <w:szCs w:val="24"/>
        </w:rPr>
        <w:t>(5), 135–140. https://doi.org/10.14569/ijacsa.2023.0140513</w:t>
      </w:r>
    </w:p>
    <w:p w14:paraId="53256B56"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Al-Sulbi, K., Chaurasia, P. K., Attaallah, A., Agrawal, A., Pandey, D., Verma, V. R., Kumar, V., &amp; Ansari, M. T. J. (2023). A Fuzzy TOPSIS-Based Approach for Comprehensive Evaluation of Bio-Medical Waste Management: Advancing Sustainability and Decision-Making. </w:t>
      </w:r>
      <w:r>
        <w:rPr>
          <w:rFonts w:ascii="Times New Roman" w:eastAsia="Times New Roman" w:hAnsi="Times New Roman" w:cs="Times New Roman"/>
          <w:i/>
          <w:color w:val="000000"/>
          <w:sz w:val="24"/>
          <w:szCs w:val="24"/>
        </w:rPr>
        <w:t>Sustainability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(16), 12565. https://doi.org/10.3390/su151612565</w:t>
      </w:r>
    </w:p>
    <w:p w14:paraId="5D93AA2B"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Balogun, A. Y., Metibemu, O. C., Olutimehin, A. T., Ajayi, A. J., Babarinde, D. C., &amp; Olaniyi, O. O. (2025). The Ethical and Legal Implications of Shadow AI in Sensitive Industries: A Focus on Healthcare, Finance and Education. </w:t>
      </w:r>
      <w:r>
        <w:rPr>
          <w:rFonts w:ascii="Times New Roman" w:eastAsia="Times New Roman" w:hAnsi="Times New Roman" w:cs="Times New Roman"/>
          <w:i/>
          <w:color w:val="000000"/>
          <w:sz w:val="24"/>
          <w:szCs w:val="24"/>
        </w:rPr>
        <w:t>Journal of Engineering Research and Reports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27</w:t>
      </w:r>
      <w:r>
        <w:rPr>
          <w:rFonts w:ascii="Times New Roman" w:eastAsia="Times New Roman" w:hAnsi="Times New Roman" w:cs="Times New Roman"/>
          <w:color w:val="000000"/>
          <w:sz w:val="24"/>
          <w:szCs w:val="24"/>
        </w:rPr>
        <w:t>(3), 1–22. https://doi.org/10.9734/jerr/2025/v27i31414</w:t>
      </w:r>
    </w:p>
    <w:p w14:paraId="04F40AFE"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Bauer, M., Glenn, T., Geddes, J., Gitlin, M., Grof, P., Kessing, L. V., Monteith, S., Faurholt-Jepsen, M., Severus, E., &amp; Whybrow, P. C. (2020). Smartphones in mental health: a critical review of background issues, current status and future concerns. </w:t>
      </w:r>
      <w:r>
        <w:rPr>
          <w:rFonts w:ascii="Times New Roman" w:eastAsia="Times New Roman" w:hAnsi="Times New Roman" w:cs="Times New Roman"/>
          <w:i/>
          <w:color w:val="000000"/>
          <w:sz w:val="24"/>
          <w:szCs w:val="24"/>
        </w:rPr>
        <w:t>International Journal of Bipolar Disorders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(1). https://doi.org/10.1186/s40345-019-0164-x</w:t>
      </w:r>
    </w:p>
    <w:p w14:paraId="21565DCF"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Bickman, L. (2020). Improving Mental Health Services: A 50-Year Journey from Randomized Experiments to Artificial Intelligence and Precision Mental Health. </w:t>
      </w:r>
      <w:r>
        <w:rPr>
          <w:rFonts w:ascii="Times New Roman" w:eastAsia="Times New Roman" w:hAnsi="Times New Roman" w:cs="Times New Roman"/>
          <w:i/>
          <w:color w:val="000000"/>
          <w:sz w:val="24"/>
          <w:szCs w:val="24"/>
        </w:rPr>
        <w:t>Administration and Policy in Mental Health and Mental Health Services Research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47</w:t>
      </w:r>
      <w:r>
        <w:rPr>
          <w:rFonts w:ascii="Times New Roman" w:eastAsia="Times New Roman" w:hAnsi="Times New Roman" w:cs="Times New Roman"/>
          <w:color w:val="000000"/>
          <w:sz w:val="24"/>
          <w:szCs w:val="24"/>
        </w:rPr>
        <w:t>(5), 795–843. https://doi.org/10.1007/s10488-020-01065-8</w:t>
      </w:r>
    </w:p>
    <w:p w14:paraId="09599622"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Burr, C., &amp; Cristianini, N. (2019). Can Machines Read our Minds? </w:t>
      </w:r>
      <w:r>
        <w:rPr>
          <w:rFonts w:ascii="Times New Roman" w:eastAsia="Times New Roman" w:hAnsi="Times New Roman" w:cs="Times New Roman"/>
          <w:i/>
          <w:color w:val="000000"/>
          <w:sz w:val="24"/>
          <w:szCs w:val="24"/>
        </w:rPr>
        <w:t>Minds and Machines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29</w:t>
      </w:r>
      <w:r>
        <w:rPr>
          <w:rFonts w:ascii="Times New Roman" w:eastAsia="Times New Roman" w:hAnsi="Times New Roman" w:cs="Times New Roman"/>
          <w:color w:val="000000"/>
          <w:sz w:val="24"/>
          <w:szCs w:val="24"/>
        </w:rPr>
        <w:t>, 461–494. https://doi.org/10.1007/s11023-019-09497-4</w:t>
      </w:r>
    </w:p>
    <w:p w14:paraId="4CE15837"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Censinet. (2025). </w:t>
      </w:r>
      <w:r>
        <w:rPr>
          <w:rFonts w:ascii="Times New Roman" w:eastAsia="Times New Roman" w:hAnsi="Times New Roman" w:cs="Times New Roman"/>
          <w:i/>
          <w:color w:val="000000"/>
          <w:sz w:val="24"/>
          <w:szCs w:val="24"/>
        </w:rPr>
        <w:t>AI in Risk Assessments: Transforming Healthcare Cybersecurity</w:t>
      </w:r>
      <w:r>
        <w:rPr>
          <w:rFonts w:ascii="Times New Roman" w:eastAsia="Times New Roman" w:hAnsi="Times New Roman" w:cs="Times New Roman"/>
          <w:color w:val="000000"/>
          <w:sz w:val="24"/>
          <w:szCs w:val="24"/>
        </w:rPr>
        <w:t>. Censinet.com; Censinet. https://www.censinet.com/perspectives/ai-in-risk-assessments-transforming-healthcare-cybersecurity</w:t>
      </w:r>
    </w:p>
    <w:p w14:paraId="7C0202DB"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Chen, I., Szolovits, P., &amp; Ghassemi, M. (2019). Can AI Help Reduce Disparities in General Medical and Mental Health Care? </w:t>
      </w:r>
      <w:r>
        <w:rPr>
          <w:rFonts w:ascii="Times New Roman" w:eastAsia="Times New Roman" w:hAnsi="Times New Roman" w:cs="Times New Roman"/>
          <w:i/>
          <w:color w:val="000000"/>
          <w:sz w:val="24"/>
          <w:szCs w:val="24"/>
        </w:rPr>
        <w:t>AMA Journal of Ethics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(2), E167-179. https://doi.org/10.1001/amajethics.2019.167</w:t>
      </w:r>
    </w:p>
    <w:p w14:paraId="74347355"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Chicco, D., &amp; Jurman, G. (2020). The advantages of the Matthews correlation coefficient (MCC) over F1 score and accuracy in binary classification evaluation. </w:t>
      </w:r>
      <w:r>
        <w:rPr>
          <w:rFonts w:ascii="Times New Roman" w:eastAsia="Times New Roman" w:hAnsi="Times New Roman" w:cs="Times New Roman"/>
          <w:i/>
          <w:color w:val="000000"/>
          <w:sz w:val="24"/>
          <w:szCs w:val="24"/>
        </w:rPr>
        <w:t>BMC Genomics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(1). https://doi.org/10.1186/s12864-019-6413-7</w:t>
      </w:r>
    </w:p>
    <w:p w14:paraId="1B3973C0"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Cohen, I. G., Evgeniou, T., Gerke, S., &amp; Minssen, T. (2020). The European artificial intelligence strategy: implications and challenges for digital health. </w:t>
      </w:r>
      <w:r>
        <w:rPr>
          <w:rFonts w:ascii="Times New Roman" w:eastAsia="Times New Roman" w:hAnsi="Times New Roman" w:cs="Times New Roman"/>
          <w:i/>
          <w:color w:val="000000"/>
          <w:sz w:val="24"/>
          <w:szCs w:val="24"/>
        </w:rPr>
        <w:t>The Lancet Digital Health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(7), e376–e379. https://doi.org/10.1016/s2589-7500(20)30112-6</w:t>
      </w:r>
    </w:p>
    <w:p w14:paraId="061A4793"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Cohen, J. (1988). </w:t>
      </w:r>
      <w:r>
        <w:rPr>
          <w:rFonts w:ascii="Times New Roman" w:eastAsia="Times New Roman" w:hAnsi="Times New Roman" w:cs="Times New Roman"/>
          <w:i/>
          <w:color w:val="000000"/>
          <w:sz w:val="24"/>
          <w:szCs w:val="24"/>
        </w:rPr>
        <w:t>Statistical power analysis for the behavioral sciences</w:t>
      </w:r>
      <w:r>
        <w:rPr>
          <w:rFonts w:ascii="Times New Roman" w:eastAsia="Times New Roman" w:hAnsi="Times New Roman" w:cs="Times New Roman"/>
          <w:color w:val="000000"/>
          <w:sz w:val="24"/>
          <w:szCs w:val="24"/>
        </w:rPr>
        <w:t xml:space="preserve"> (2nd ed.). Lawrence Erlbaum Associates.</w:t>
      </w:r>
    </w:p>
    <w:p w14:paraId="39387612"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Cohen, J. (1992). A Power Primer. </w:t>
      </w:r>
      <w:r>
        <w:rPr>
          <w:rFonts w:ascii="Times New Roman" w:eastAsia="Times New Roman" w:hAnsi="Times New Roman" w:cs="Times New Roman"/>
          <w:i/>
          <w:color w:val="000000"/>
          <w:sz w:val="24"/>
          <w:szCs w:val="24"/>
        </w:rPr>
        <w:t>Psychological Bulletin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112</w:t>
      </w:r>
      <w:r>
        <w:rPr>
          <w:rFonts w:ascii="Times New Roman" w:eastAsia="Times New Roman" w:hAnsi="Times New Roman" w:cs="Times New Roman"/>
          <w:color w:val="000000"/>
          <w:sz w:val="24"/>
          <w:szCs w:val="24"/>
        </w:rPr>
        <w:t>(1), 155–159. https://doi.org/10.1037//0033-2909.112.1.155</w:t>
      </w:r>
    </w:p>
    <w:p w14:paraId="461655B3"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Creswell, J. W., &amp; Clark, V. L. P. (2018). </w:t>
      </w:r>
      <w:r>
        <w:rPr>
          <w:rFonts w:ascii="Times New Roman" w:eastAsia="Times New Roman" w:hAnsi="Times New Roman" w:cs="Times New Roman"/>
          <w:i/>
          <w:color w:val="000000"/>
          <w:sz w:val="24"/>
          <w:szCs w:val="24"/>
        </w:rPr>
        <w:t>Designing and conducting mixed methods research</w:t>
      </w:r>
      <w:r>
        <w:rPr>
          <w:rFonts w:ascii="Times New Roman" w:eastAsia="Times New Roman" w:hAnsi="Times New Roman" w:cs="Times New Roman"/>
          <w:color w:val="000000"/>
          <w:sz w:val="24"/>
          <w:szCs w:val="24"/>
        </w:rPr>
        <w:t xml:space="preserve"> (3rd ed.). Sage Publications.</w:t>
      </w:r>
    </w:p>
    <w:p w14:paraId="61E2809A"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D’Alfonso, S., Santesteban-Echarri, O., Rice, S., Wadley, G., Lederman, R., Miles, C., Gleeson, J., &amp; Alvarez-Jimenez, M. (2017). Artificial Intelligence-Assisted Online Social Therapy for Youth Mental Health. </w:t>
      </w:r>
      <w:r>
        <w:rPr>
          <w:rFonts w:ascii="Times New Roman" w:eastAsia="Times New Roman" w:hAnsi="Times New Roman" w:cs="Times New Roman"/>
          <w:i/>
          <w:color w:val="000000"/>
          <w:sz w:val="24"/>
          <w:szCs w:val="24"/>
        </w:rPr>
        <w:t>Frontiers in Psychology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 https://doi.org/10.3389/fpsyg.2017.00796</w:t>
      </w:r>
    </w:p>
    <w:p w14:paraId="496C8636"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Dunne, R., Morris, T., &amp; Harper, S. (2022). A Survey of Ambient Intelligence. </w:t>
      </w:r>
      <w:r>
        <w:rPr>
          <w:rFonts w:ascii="Times New Roman" w:eastAsia="Times New Roman" w:hAnsi="Times New Roman" w:cs="Times New Roman"/>
          <w:i/>
          <w:color w:val="000000"/>
          <w:sz w:val="24"/>
          <w:szCs w:val="24"/>
        </w:rPr>
        <w:t>ACM Computing Surveys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54</w:t>
      </w:r>
      <w:r>
        <w:rPr>
          <w:rFonts w:ascii="Times New Roman" w:eastAsia="Times New Roman" w:hAnsi="Times New Roman" w:cs="Times New Roman"/>
          <w:color w:val="000000"/>
          <w:sz w:val="24"/>
          <w:szCs w:val="24"/>
        </w:rPr>
        <w:t>(4), 1–27. https://doi.org/10.1145/3447242</w:t>
      </w:r>
    </w:p>
    <w:p w14:paraId="63659F88"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Dwork, C., &amp; Roth, A. (2014). The Algorithmic Foundations of Differential Privacy. </w:t>
      </w:r>
      <w:r>
        <w:rPr>
          <w:rFonts w:ascii="Times New Roman" w:eastAsia="Times New Roman" w:hAnsi="Times New Roman" w:cs="Times New Roman"/>
          <w:i/>
          <w:color w:val="000000"/>
          <w:sz w:val="24"/>
          <w:szCs w:val="24"/>
        </w:rPr>
        <w:t>Foundations and Trends® in Theoretical Computer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(3-4), 211–407. https://doi.org/10.1561/0400000042</w:t>
      </w:r>
    </w:p>
    <w:p w14:paraId="4CA5FD0C"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European Commission. (2021). </w:t>
      </w:r>
      <w:r>
        <w:rPr>
          <w:rFonts w:ascii="Times New Roman" w:eastAsia="Times New Roman" w:hAnsi="Times New Roman" w:cs="Times New Roman"/>
          <w:i/>
          <w:color w:val="000000"/>
          <w:sz w:val="24"/>
          <w:szCs w:val="24"/>
        </w:rPr>
        <w:t xml:space="preserve">Proposal for a REGULATION OF THE EUROPEAN PARLIAMENT AND OF THE COUNCIL LAYING DOWN HARMONISED RULES ON ARTIFICIAL INTELLIGENCE (ARTIFICIAL INTELLIGENCE ACT) AND AMENDING </w:t>
      </w:r>
      <w:r>
        <w:rPr>
          <w:rFonts w:ascii="Times New Roman" w:eastAsia="Times New Roman" w:hAnsi="Times New Roman" w:cs="Times New Roman"/>
          <w:i/>
          <w:color w:val="000000"/>
          <w:sz w:val="24"/>
          <w:szCs w:val="24"/>
        </w:rPr>
        <w:lastRenderedPageBreak/>
        <w:t>CERTAIN UNION LEGISLATIVE ACTS</w:t>
      </w:r>
      <w:r>
        <w:rPr>
          <w:rFonts w:ascii="Times New Roman" w:eastAsia="Times New Roman" w:hAnsi="Times New Roman" w:cs="Times New Roman"/>
          <w:color w:val="000000"/>
          <w:sz w:val="24"/>
          <w:szCs w:val="24"/>
        </w:rPr>
        <w:t>. Eur-Lex.europa.eu. https://eur-lex.europa.eu/legal-content/EN/TXT/?uri=CELEX:52021PC0206</w:t>
      </w:r>
    </w:p>
    <w:p w14:paraId="16E98AA1"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Exeon. (2025). </w:t>
      </w:r>
      <w:r>
        <w:rPr>
          <w:rFonts w:ascii="Times New Roman" w:eastAsia="Times New Roman" w:hAnsi="Times New Roman" w:cs="Times New Roman"/>
          <w:i/>
          <w:color w:val="000000"/>
          <w:sz w:val="24"/>
          <w:szCs w:val="24"/>
        </w:rPr>
        <w:t>Your CVSS Guide - Exeon Analytics</w:t>
      </w:r>
      <w:r>
        <w:rPr>
          <w:rFonts w:ascii="Times New Roman" w:eastAsia="Times New Roman" w:hAnsi="Times New Roman" w:cs="Times New Roman"/>
          <w:color w:val="000000"/>
          <w:sz w:val="24"/>
          <w:szCs w:val="24"/>
        </w:rPr>
        <w:t>. Exeon. https://exeon.com/knowledge/cvss/</w:t>
      </w:r>
    </w:p>
    <w:p w14:paraId="18781117"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Fitzpatrick, K. K., Darcy, A., &amp; Vierhile, M. (2017). Delivering Cognitive Behavior Therapy to Young Adults With Symptoms of Depression and Anxiety Using a Fully Automated Conversational Agent (Woebot): A Randomized Controlled Trial. </w:t>
      </w:r>
      <w:r>
        <w:rPr>
          <w:rFonts w:ascii="Times New Roman" w:eastAsia="Times New Roman" w:hAnsi="Times New Roman" w:cs="Times New Roman"/>
          <w:i/>
          <w:color w:val="000000"/>
          <w:sz w:val="24"/>
          <w:szCs w:val="24"/>
        </w:rPr>
        <w:t>JMIR Mental Health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(2). https://doi.org/10.2196/mental.7785</w:t>
      </w:r>
    </w:p>
    <w:p w14:paraId="51346796"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Garcia, G. (2025). The role of AI in transforming psychiatric-mental health care: Enhancing the role of psychiatric-mental health nurse practitioners. </w:t>
      </w:r>
      <w:r>
        <w:rPr>
          <w:rFonts w:ascii="Times New Roman" w:eastAsia="Times New Roman" w:hAnsi="Times New Roman" w:cs="Times New Roman"/>
          <w:i/>
          <w:color w:val="000000"/>
          <w:sz w:val="24"/>
          <w:szCs w:val="24"/>
        </w:rPr>
        <w:t>Nursing Outlook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73</w:t>
      </w:r>
      <w:r>
        <w:rPr>
          <w:rFonts w:ascii="Times New Roman" w:eastAsia="Times New Roman" w:hAnsi="Times New Roman" w:cs="Times New Roman"/>
          <w:color w:val="000000"/>
          <w:sz w:val="24"/>
          <w:szCs w:val="24"/>
        </w:rPr>
        <w:t>(4), 102461. https://doi.org/10.1016/j.outlook.2025.102461</w:t>
      </w:r>
    </w:p>
    <w:p w14:paraId="6276C33A"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Graham, S., Depp, C., Lee, E. E., Nebeker, C., Tu, X., Kim, H.-C., &amp; Jeste, D. V. (2019). Artificial Intelligence for Mental Health and Mental Illnesses: an Overview. </w:t>
      </w:r>
      <w:r>
        <w:rPr>
          <w:rFonts w:ascii="Times New Roman" w:eastAsia="Times New Roman" w:hAnsi="Times New Roman" w:cs="Times New Roman"/>
          <w:i/>
          <w:color w:val="000000"/>
          <w:sz w:val="24"/>
          <w:szCs w:val="24"/>
        </w:rPr>
        <w:t>Current Psychiatry Reports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(11), 116. https://doi.org/10.1007/s11920-019-1094-0</w:t>
      </w:r>
    </w:p>
    <w:p w14:paraId="012C6AD4"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Hayes, A. F., &amp; Krippendorff, K. (2007). Answering the Call for a Standard Reliability Measure for Coding Data. </w:t>
      </w:r>
      <w:r>
        <w:rPr>
          <w:rFonts w:ascii="Times New Roman" w:eastAsia="Times New Roman" w:hAnsi="Times New Roman" w:cs="Times New Roman"/>
          <w:i/>
          <w:color w:val="000000"/>
          <w:sz w:val="24"/>
          <w:szCs w:val="24"/>
        </w:rPr>
        <w:t>Communication Methods and Measures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(1), 77–89.</w:t>
      </w:r>
    </w:p>
    <w:p w14:paraId="200B09EE"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Health Sector Coordinating Council. (2023). </w:t>
      </w:r>
      <w:r>
        <w:rPr>
          <w:rFonts w:ascii="Times New Roman" w:eastAsia="Times New Roman" w:hAnsi="Times New Roman" w:cs="Times New Roman"/>
          <w:i/>
          <w:color w:val="000000"/>
          <w:sz w:val="24"/>
          <w:szCs w:val="24"/>
        </w:rPr>
        <w:t>Artificial Intelligence &amp; Machine Learning (HIC-AIM)</w:t>
      </w:r>
      <w:r>
        <w:rPr>
          <w:rFonts w:ascii="Times New Roman" w:eastAsia="Times New Roman" w:hAnsi="Times New Roman" w:cs="Times New Roman"/>
          <w:color w:val="000000"/>
          <w:sz w:val="24"/>
          <w:szCs w:val="24"/>
        </w:rPr>
        <w:t>. https://healthsectorcouncil.org/wp-content/uploads/2023/11/HIC-AIM-2023.pdf</w:t>
      </w:r>
    </w:p>
    <w:p w14:paraId="6288AACE"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Hsu, C.-C., &amp; Sandford, B. (2007). The Delphi Technique: Making Sense of Consensus. </w:t>
      </w:r>
      <w:r>
        <w:rPr>
          <w:rFonts w:ascii="Times New Roman" w:eastAsia="Times New Roman" w:hAnsi="Times New Roman" w:cs="Times New Roman"/>
          <w:i/>
          <w:color w:val="000000"/>
          <w:sz w:val="24"/>
          <w:szCs w:val="24"/>
        </w:rPr>
        <w:t>Practical Assessment, Research, and Evaluation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(1), 10. https://doi.org/10.7275/pdz9-th90</w:t>
      </w:r>
    </w:p>
    <w:p w14:paraId="300D80C8"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Huckvale, K., Prieto, J. T., Tilney, M., Benghozi, P.-J., &amp; Car, J. (2015). Unaddressed privacy risks in accredited health and wellness apps: a cross-sectional systematic assessment. </w:t>
      </w:r>
      <w:r>
        <w:rPr>
          <w:rFonts w:ascii="Times New Roman" w:eastAsia="Times New Roman" w:hAnsi="Times New Roman" w:cs="Times New Roman"/>
          <w:i/>
          <w:color w:val="000000"/>
          <w:sz w:val="24"/>
          <w:szCs w:val="24"/>
        </w:rPr>
        <w:t>BMC Medicine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13</w:t>
      </w:r>
      <w:r>
        <w:rPr>
          <w:rFonts w:ascii="Times New Roman" w:eastAsia="Times New Roman" w:hAnsi="Times New Roman" w:cs="Times New Roman"/>
          <w:color w:val="000000"/>
          <w:sz w:val="24"/>
          <w:szCs w:val="24"/>
        </w:rPr>
        <w:t>(1). https://doi.org/10.1186/s12916-015-0444-y</w:t>
      </w:r>
    </w:p>
    <w:p w14:paraId="11125605"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Inkster, B., Sarda, S., &amp; Subramanian, V. (2018). An Empathy-Driven, Conversational Artificial Intelligence Agent (Wysa) for Digital Mental Well-Being: Real-World Data Evaluation Mixed-Methods Study. </w:t>
      </w:r>
      <w:r>
        <w:rPr>
          <w:rFonts w:ascii="Times New Roman" w:eastAsia="Times New Roman" w:hAnsi="Times New Roman" w:cs="Times New Roman"/>
          <w:i/>
          <w:color w:val="000000"/>
          <w:sz w:val="24"/>
          <w:szCs w:val="24"/>
        </w:rPr>
        <w:t>JMIR MHealth and UHealth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(11), e12106. https://doi.org/10.2196/12106</w:t>
      </w:r>
    </w:p>
    <w:p w14:paraId="077ABDBC"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Jaal, J. (2024). </w:t>
      </w:r>
      <w:r>
        <w:rPr>
          <w:rFonts w:ascii="Times New Roman" w:eastAsia="Times New Roman" w:hAnsi="Times New Roman" w:cs="Times New Roman"/>
          <w:i/>
          <w:color w:val="000000"/>
          <w:sz w:val="24"/>
          <w:szCs w:val="24"/>
        </w:rPr>
        <w:t>Threat Modelling for AI/ML-based Healthcare Systems BSides Tallinn 2024</w:t>
      </w:r>
      <w:r>
        <w:rPr>
          <w:rFonts w:ascii="Times New Roman" w:eastAsia="Times New Roman" w:hAnsi="Times New Roman" w:cs="Times New Roman"/>
          <w:color w:val="000000"/>
          <w:sz w:val="24"/>
          <w:szCs w:val="24"/>
        </w:rPr>
        <w:t>. Pretalx.com; pretalx. https://pretalx.com/bsides-tallinn-2024/talk/V7RVTB/</w:t>
      </w:r>
    </w:p>
    <w:p w14:paraId="0ACD8674"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Jain, S. H., Powers, B. W., Hawkins, J. B., &amp; Brownstein, J. S. (2015). The digital phenotype. </w:t>
      </w:r>
      <w:r>
        <w:rPr>
          <w:rFonts w:ascii="Times New Roman" w:eastAsia="Times New Roman" w:hAnsi="Times New Roman" w:cs="Times New Roman"/>
          <w:i/>
          <w:color w:val="000000"/>
          <w:sz w:val="24"/>
          <w:szCs w:val="24"/>
        </w:rPr>
        <w:t>Nature Biotechnology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33</w:t>
      </w:r>
      <w:r>
        <w:rPr>
          <w:rFonts w:ascii="Times New Roman" w:eastAsia="Times New Roman" w:hAnsi="Times New Roman" w:cs="Times New Roman"/>
          <w:color w:val="000000"/>
          <w:sz w:val="24"/>
          <w:szCs w:val="24"/>
        </w:rPr>
        <w:t>(5), 462–463. https://doi.org/10.1038/nbt.3223</w:t>
      </w:r>
    </w:p>
    <w:p w14:paraId="09ABC99D"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Luxton, D. D. (2020). Ethical implications of conversational agents in global public health. </w:t>
      </w:r>
      <w:r>
        <w:rPr>
          <w:rFonts w:ascii="Times New Roman" w:eastAsia="Times New Roman" w:hAnsi="Times New Roman" w:cs="Times New Roman"/>
          <w:i/>
          <w:color w:val="000000"/>
          <w:sz w:val="24"/>
          <w:szCs w:val="24"/>
        </w:rPr>
        <w:t>Bulletin of the World Health Organization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98</w:t>
      </w:r>
      <w:r>
        <w:rPr>
          <w:rFonts w:ascii="Times New Roman" w:eastAsia="Times New Roman" w:hAnsi="Times New Roman" w:cs="Times New Roman"/>
          <w:color w:val="000000"/>
          <w:sz w:val="24"/>
          <w:szCs w:val="24"/>
        </w:rPr>
        <w:t>(4), 285–287. https://doi.org/10.2471/blt.19.237636</w:t>
      </w:r>
    </w:p>
    <w:p w14:paraId="1E624BBA"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Martinez-Martin, N., &amp; Kreitmair, K. (2018). Ethical Issues for Direct-to-Consumer Digital Psychotherapy Apps: Addressing Accountability, Data Protection, and Consent. </w:t>
      </w:r>
      <w:r>
        <w:rPr>
          <w:rFonts w:ascii="Times New Roman" w:eastAsia="Times New Roman" w:hAnsi="Times New Roman" w:cs="Times New Roman"/>
          <w:i/>
          <w:color w:val="000000"/>
          <w:sz w:val="24"/>
          <w:szCs w:val="24"/>
        </w:rPr>
        <w:t>JMIR Mental Health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w:t>
      </w:r>
      <w:r>
        <w:rPr>
          <w:rFonts w:ascii="Times New Roman" w:eastAsia="Times New Roman" w:hAnsi="Times New Roman" w:cs="Times New Roman"/>
          <w:color w:val="000000"/>
          <w:sz w:val="24"/>
          <w:szCs w:val="24"/>
        </w:rPr>
        <w:t>(2), e32. https://doi.org/10.2196/mental.9423</w:t>
      </w:r>
    </w:p>
    <w:p w14:paraId="3BFFE12F"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Martínez-Pérez, B., de la Torre-Díez, I., &amp; López-Coronado, M. (2014). Privacy and Security in Mobile Health Apps: A Review and Recommendations. </w:t>
      </w:r>
      <w:r>
        <w:rPr>
          <w:rFonts w:ascii="Times New Roman" w:eastAsia="Times New Roman" w:hAnsi="Times New Roman" w:cs="Times New Roman"/>
          <w:i/>
          <w:color w:val="000000"/>
          <w:sz w:val="24"/>
          <w:szCs w:val="24"/>
        </w:rPr>
        <w:t>Journal of Medical Systems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39</w:t>
      </w:r>
      <w:r>
        <w:rPr>
          <w:rFonts w:ascii="Times New Roman" w:eastAsia="Times New Roman" w:hAnsi="Times New Roman" w:cs="Times New Roman"/>
          <w:color w:val="000000"/>
          <w:sz w:val="24"/>
          <w:szCs w:val="24"/>
        </w:rPr>
        <w:t>(1). https://doi.org/10.1007/s10916-014-0181-3</w:t>
      </w:r>
    </w:p>
    <w:p w14:paraId="626E8DE8"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Mohr, D. C., Weingardt, K. R., Reddy, M., &amp; Schueller, S. M. (2017). Three Problems With Current Digital Mental Health Research . . . and Three Things We Can Do About Them. </w:t>
      </w:r>
      <w:r>
        <w:rPr>
          <w:rFonts w:ascii="Times New Roman" w:eastAsia="Times New Roman" w:hAnsi="Times New Roman" w:cs="Times New Roman"/>
          <w:i/>
          <w:color w:val="000000"/>
          <w:sz w:val="24"/>
          <w:szCs w:val="24"/>
        </w:rPr>
        <w:t>Psychiatric Services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68</w:t>
      </w:r>
      <w:r>
        <w:rPr>
          <w:rFonts w:ascii="Times New Roman" w:eastAsia="Times New Roman" w:hAnsi="Times New Roman" w:cs="Times New Roman"/>
          <w:color w:val="000000"/>
          <w:sz w:val="24"/>
          <w:szCs w:val="24"/>
        </w:rPr>
        <w:t>(5), 427–429. https://doi.org/10.1176/appi.ps.201600541</w:t>
      </w:r>
    </w:p>
    <w:p w14:paraId="4646E236"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Monosov, I. E., Zimmermann, J., Frank, M. J., Mathis, M. W., &amp; Baker, J. T. (2024). Ethological computational psychiatry: Challenges and opportunities. </w:t>
      </w:r>
      <w:r>
        <w:rPr>
          <w:rFonts w:ascii="Times New Roman" w:eastAsia="Times New Roman" w:hAnsi="Times New Roman" w:cs="Times New Roman"/>
          <w:i/>
          <w:color w:val="000000"/>
          <w:sz w:val="24"/>
          <w:szCs w:val="24"/>
        </w:rPr>
        <w:t>Current Opinion in Neurobiology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86</w:t>
      </w:r>
      <w:r>
        <w:rPr>
          <w:rFonts w:ascii="Times New Roman" w:eastAsia="Times New Roman" w:hAnsi="Times New Roman" w:cs="Times New Roman"/>
          <w:color w:val="000000"/>
          <w:sz w:val="24"/>
          <w:szCs w:val="24"/>
        </w:rPr>
        <w:t>, 102881–102881. https://doi.org/10.1016/j.conb.2024.102881</w:t>
      </w:r>
    </w:p>
    <w:p w14:paraId="2860FECC"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Moreno, C., Wykes, T., Galderisi, S., Nordentoft, M., Crossley, N., Jones, N., Cannon, M., Correll, C. U., Byrne, L., Carr, S., Chen, E. Y. H., Gorwood, P., Johnson, S., Kärkkäinen, H., Krystal, J. H., Lee, J., Lieberman, J., López-Jaramillo, C., Männikkö, M., &amp; Phillips, M. R. (2020). How mental health care should change as a consequence of the COVID-19 pandemic. </w:t>
      </w:r>
      <w:r>
        <w:rPr>
          <w:rFonts w:ascii="Times New Roman" w:eastAsia="Times New Roman" w:hAnsi="Times New Roman" w:cs="Times New Roman"/>
          <w:i/>
          <w:color w:val="000000"/>
          <w:sz w:val="24"/>
          <w:szCs w:val="24"/>
        </w:rPr>
        <w:t>The Lancet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(9). https://doi.org/10.1016/S2215-0366(20)30307-2</w:t>
      </w:r>
    </w:p>
    <w:p w14:paraId="2C1B8F09"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Morley, J., Machado, C. C. V., Burr, C., Cowls, J., Joshi, I., Taddeo, M., &amp; Floridi, L. (2020). The ethics of AI in health care: A mapping review. </w:t>
      </w:r>
      <w:r>
        <w:rPr>
          <w:rFonts w:ascii="Times New Roman" w:eastAsia="Times New Roman" w:hAnsi="Times New Roman" w:cs="Times New Roman"/>
          <w:i/>
          <w:color w:val="000000"/>
          <w:sz w:val="24"/>
          <w:szCs w:val="24"/>
        </w:rPr>
        <w:t>Social Science &amp; Medicine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260</w:t>
      </w:r>
      <w:r>
        <w:rPr>
          <w:rFonts w:ascii="Times New Roman" w:eastAsia="Times New Roman" w:hAnsi="Times New Roman" w:cs="Times New Roman"/>
          <w:color w:val="000000"/>
          <w:sz w:val="24"/>
          <w:szCs w:val="24"/>
        </w:rPr>
        <w:t>(113172), 113172. https://doi.org/10.1016/j.socscimed.2020.113172</w:t>
      </w:r>
    </w:p>
    <w:p w14:paraId="384B0537"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Nagaraja, N., &amp; Bahsi, H. (2025). Cyber Threat Modeling of an LLM-Based Healthcare System. </w:t>
      </w:r>
      <w:r>
        <w:rPr>
          <w:rFonts w:ascii="Times New Roman" w:eastAsia="Times New Roman" w:hAnsi="Times New Roman" w:cs="Times New Roman"/>
          <w:i/>
          <w:color w:val="000000"/>
          <w:sz w:val="24"/>
          <w:szCs w:val="24"/>
        </w:rPr>
        <w:t>Proceedings of the 11th International Conference on Information Systems Security and Privacy</w:t>
      </w:r>
      <w:r>
        <w:rPr>
          <w:rFonts w:ascii="Times New Roman" w:eastAsia="Times New Roman" w:hAnsi="Times New Roman" w:cs="Times New Roman"/>
          <w:color w:val="000000"/>
          <w:sz w:val="24"/>
          <w:szCs w:val="24"/>
        </w:rPr>
        <w:t>, 325–336. https://doi.org/10.5220/0013289700003899</w:t>
      </w:r>
    </w:p>
    <w:p w14:paraId="3113EA9E"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Obermeyer, Z., Powers, B., Vogeli, C., &amp; Mullainathan, S. (2019). Dissecting Racial Bias in an Algorithm Used to Manage the Health of Populations. </w:t>
      </w:r>
      <w:r>
        <w:rPr>
          <w:rFonts w:ascii="Times New Roman" w:eastAsia="Times New Roman" w:hAnsi="Times New Roman" w:cs="Times New Roman"/>
          <w:i/>
          <w:color w:val="000000"/>
          <w:sz w:val="24"/>
          <w:szCs w:val="24"/>
        </w:rPr>
        <w:t>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366</w:t>
      </w:r>
      <w:r>
        <w:rPr>
          <w:rFonts w:ascii="Times New Roman" w:eastAsia="Times New Roman" w:hAnsi="Times New Roman" w:cs="Times New Roman"/>
          <w:color w:val="000000"/>
          <w:sz w:val="24"/>
          <w:szCs w:val="24"/>
        </w:rPr>
        <w:t>(6464), 447–453. https://doi.org/10.1126/science.aax2342</w:t>
      </w:r>
    </w:p>
    <w:p w14:paraId="641C8EDB"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Ogunmolu, A. M., Olaniyi, O. O., Popoola, A. D., Olisa, A. O., &amp; Bamigbade, O. (2025). Autonomous Artificial Intelligence Agents for Fault Detection and Self-Healing in Smart </w:t>
      </w:r>
      <w:r>
        <w:rPr>
          <w:rFonts w:ascii="Times New Roman" w:eastAsia="Times New Roman" w:hAnsi="Times New Roman" w:cs="Times New Roman"/>
          <w:color w:val="000000"/>
          <w:sz w:val="24"/>
          <w:szCs w:val="24"/>
        </w:rPr>
        <w:lastRenderedPageBreak/>
        <w:t xml:space="preserve">Manufacturing Systems. </w:t>
      </w:r>
      <w:r>
        <w:rPr>
          <w:rFonts w:ascii="Times New Roman" w:eastAsia="Times New Roman" w:hAnsi="Times New Roman" w:cs="Times New Roman"/>
          <w:i/>
          <w:color w:val="000000"/>
          <w:sz w:val="24"/>
          <w:szCs w:val="24"/>
        </w:rPr>
        <w:t>Journal of Energy Research and Reviews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(8), 20–37. https://doi.org/10.9734/jenrr/2025/v17i8445</w:t>
      </w:r>
    </w:p>
    <w:p w14:paraId="36A15122"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Olutimehin, A. T., Olaniyi, O. O., Popoola, A. D., Ogunmolu, A. M., &amp; Hauwa, F. (2025). AI and IoT Integration for Predictive Maintenance and Risk Management in Smart Manufacturing. </w:t>
      </w:r>
      <w:r>
        <w:rPr>
          <w:rFonts w:ascii="Times New Roman" w:eastAsia="Times New Roman" w:hAnsi="Times New Roman" w:cs="Times New Roman"/>
          <w:i/>
          <w:color w:val="000000"/>
          <w:sz w:val="24"/>
          <w:szCs w:val="24"/>
        </w:rPr>
        <w:t>Asian Journal of Research in Computer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18</w:t>
      </w:r>
      <w:r>
        <w:rPr>
          <w:rFonts w:ascii="Times New Roman" w:eastAsia="Times New Roman" w:hAnsi="Times New Roman" w:cs="Times New Roman"/>
          <w:color w:val="000000"/>
          <w:sz w:val="24"/>
          <w:szCs w:val="24"/>
        </w:rPr>
        <w:t>(7), 120–142. https://doi.org/10.9734/ajrcos/2025/v18i7724</w:t>
      </w:r>
    </w:p>
    <w:p w14:paraId="65B25C91"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Onnela, J.-P., &amp; Rauch, S. L. (2016). Harnessing Smartphone-Based Digital Phenotyping to Enhance Behavioral and Mental Health. </w:t>
      </w:r>
      <w:r>
        <w:rPr>
          <w:rFonts w:ascii="Times New Roman" w:eastAsia="Times New Roman" w:hAnsi="Times New Roman" w:cs="Times New Roman"/>
          <w:i/>
          <w:color w:val="000000"/>
          <w:sz w:val="24"/>
          <w:szCs w:val="24"/>
        </w:rPr>
        <w:t>Neuropsychopharmacology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41</w:t>
      </w:r>
      <w:r>
        <w:rPr>
          <w:rFonts w:ascii="Times New Roman" w:eastAsia="Times New Roman" w:hAnsi="Times New Roman" w:cs="Times New Roman"/>
          <w:color w:val="000000"/>
          <w:sz w:val="24"/>
          <w:szCs w:val="24"/>
        </w:rPr>
        <w:t>(7), 1691–1696. https://doi.org/10.1038/npp.2016.7</w:t>
      </w:r>
    </w:p>
    <w:p w14:paraId="06961101"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Page, M. J., McKenzie, J. E., Bossuyt, P. M., Boutron, I., Hoffmann, T. C., Mulrow, C. D., Shamseer, L., Tetzlaff, J. M., Akl, E. A., Brennan, S. E., Chou, R., Glanville, J., Grimshaw, J. M., Hróbjartsson, A., Lalu, M. M., Li, T., Loder, E. W., Mayo-Wilson, E., McDonald, S., &amp; McGuinness, L. A. (2021). The PRISMA 2020 statement: An updated guideline for reporting systematic reviews. </w:t>
      </w:r>
      <w:r>
        <w:rPr>
          <w:rFonts w:ascii="Times New Roman" w:eastAsia="Times New Roman" w:hAnsi="Times New Roman" w:cs="Times New Roman"/>
          <w:i/>
          <w:color w:val="000000"/>
          <w:sz w:val="24"/>
          <w:szCs w:val="24"/>
        </w:rPr>
        <w:t>British Medical Journal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372</w:t>
      </w:r>
      <w:r>
        <w:rPr>
          <w:rFonts w:ascii="Times New Roman" w:eastAsia="Times New Roman" w:hAnsi="Times New Roman" w:cs="Times New Roman"/>
          <w:color w:val="000000"/>
          <w:sz w:val="24"/>
          <w:szCs w:val="24"/>
        </w:rPr>
        <w:t>(71). https://doi.org/10.1136/bmj.n71</w:t>
      </w:r>
    </w:p>
    <w:p w14:paraId="4616FD2C"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Raji, I. D., &amp; Buolamwini, J. (2019). Actionable Auditing: Investigating the Impact of Publicly Naming Biased Performance Results of Commercial AI Products. </w:t>
      </w:r>
      <w:r>
        <w:rPr>
          <w:rFonts w:ascii="Times New Roman" w:eastAsia="Times New Roman" w:hAnsi="Times New Roman" w:cs="Times New Roman"/>
          <w:i/>
          <w:color w:val="000000"/>
          <w:sz w:val="24"/>
          <w:szCs w:val="24"/>
        </w:rPr>
        <w:t>Proceedings of the 2019 AAAI/ACM Conference on AI, Ethics, and Society</w:t>
      </w:r>
      <w:r>
        <w:rPr>
          <w:rFonts w:ascii="Times New Roman" w:eastAsia="Times New Roman" w:hAnsi="Times New Roman" w:cs="Times New Roman"/>
          <w:color w:val="000000"/>
          <w:sz w:val="24"/>
          <w:szCs w:val="24"/>
        </w:rPr>
        <w:t>, 429–435. https://doi.org/10.1145/3306618.3314244</w:t>
      </w:r>
    </w:p>
    <w:p w14:paraId="7AFB6875"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Resnik, D. B. (2018). </w:t>
      </w:r>
      <w:r>
        <w:rPr>
          <w:rFonts w:ascii="Times New Roman" w:eastAsia="Times New Roman" w:hAnsi="Times New Roman" w:cs="Times New Roman"/>
          <w:i/>
          <w:color w:val="000000"/>
          <w:sz w:val="24"/>
          <w:szCs w:val="24"/>
        </w:rPr>
        <w:t>The ethics of research with human subjects : protecting people, advancing science, promoting trust</w:t>
      </w:r>
      <w:r>
        <w:rPr>
          <w:rFonts w:ascii="Times New Roman" w:eastAsia="Times New Roman" w:hAnsi="Times New Roman" w:cs="Times New Roman"/>
          <w:color w:val="000000"/>
          <w:sz w:val="24"/>
          <w:szCs w:val="24"/>
        </w:rPr>
        <w:t>. Springer Nature.</w:t>
      </w:r>
    </w:p>
    <w:p w14:paraId="19E34ACA"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Salami, A. A., Igwenagu, U. T. I., Mesode, C. E., Olaniyi, O. O., &amp; Oladoyinbo, O. B. (2024). Beyond Conventional Threat Defense: Implementing Advanced Threat Modeling Techniques, Risk Modeling Frameworks and Contingency Planning in the Healthcare Sector for Enhanced Data Security. </w:t>
      </w:r>
      <w:r>
        <w:rPr>
          <w:rFonts w:ascii="Times New Roman" w:eastAsia="Times New Roman" w:hAnsi="Times New Roman" w:cs="Times New Roman"/>
          <w:i/>
          <w:color w:val="000000"/>
          <w:sz w:val="24"/>
          <w:szCs w:val="24"/>
        </w:rPr>
        <w:t>Journal of Engineering Research and Reports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26</w:t>
      </w:r>
      <w:r>
        <w:rPr>
          <w:rFonts w:ascii="Times New Roman" w:eastAsia="Times New Roman" w:hAnsi="Times New Roman" w:cs="Times New Roman"/>
          <w:color w:val="000000"/>
          <w:sz w:val="24"/>
          <w:szCs w:val="24"/>
        </w:rPr>
        <w:t>(5), 304–323. https://doi.org/10.9734/jerr/2024/v26i51156</w:t>
      </w:r>
    </w:p>
    <w:p w14:paraId="3FB8EBA5"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N. (2022). Cybersecurity in Healthcare Systems: Protecting Patient Data in the Digital Age. </w:t>
      </w:r>
      <w:r>
        <w:rPr>
          <w:rFonts w:ascii="Times New Roman" w:eastAsia="Times New Roman" w:hAnsi="Times New Roman" w:cs="Times New Roman"/>
          <w:i/>
          <w:color w:val="000000"/>
          <w:sz w:val="24"/>
          <w:szCs w:val="24"/>
        </w:rPr>
        <w:t>ResearchGate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(6), 2319–7471. https://www.researchgate.net/publication/393456041_Cybersecurity_in_Healthcare_Systems_Protecting_Patient_Data_in_the_Digital_Age</w:t>
      </w:r>
    </w:p>
    <w:p w14:paraId="3434DEA0"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Shokri, R., &amp; Shmatikov, V. (2015). Privacy-Preserving Deep Learning. </w:t>
      </w:r>
      <w:r>
        <w:rPr>
          <w:rFonts w:ascii="Times New Roman" w:eastAsia="Times New Roman" w:hAnsi="Times New Roman" w:cs="Times New Roman"/>
          <w:i/>
          <w:color w:val="000000"/>
          <w:sz w:val="24"/>
          <w:szCs w:val="24"/>
        </w:rPr>
        <w:t>Proceedings of the 22nd ACM SIGSAC Conference on Computer and Communications Security - CCS ’15</w:t>
      </w:r>
      <w:r>
        <w:rPr>
          <w:rFonts w:ascii="Times New Roman" w:eastAsia="Times New Roman" w:hAnsi="Times New Roman" w:cs="Times New Roman"/>
          <w:color w:val="000000"/>
          <w:sz w:val="24"/>
          <w:szCs w:val="24"/>
        </w:rPr>
        <w:t>. https://doi.org/10.1145/2810103.2813687</w:t>
      </w:r>
    </w:p>
    <w:p w14:paraId="6B4D771D"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Shostack, A. (2014). </w:t>
      </w:r>
      <w:r>
        <w:rPr>
          <w:rFonts w:ascii="Times New Roman" w:eastAsia="Times New Roman" w:hAnsi="Times New Roman" w:cs="Times New Roman"/>
          <w:i/>
          <w:color w:val="000000"/>
          <w:sz w:val="24"/>
          <w:szCs w:val="24"/>
        </w:rPr>
        <w:t>Threat Modeling: Designing for Security</w:t>
      </w:r>
      <w:r>
        <w:rPr>
          <w:rFonts w:ascii="Times New Roman" w:eastAsia="Times New Roman" w:hAnsi="Times New Roman" w:cs="Times New Roman"/>
          <w:color w:val="000000"/>
          <w:sz w:val="24"/>
          <w:szCs w:val="24"/>
        </w:rPr>
        <w:t>. Wiley.</w:t>
      </w:r>
    </w:p>
    <w:p w14:paraId="15DF8F52"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Sivaraman, V., Gharakheili, H. H., Vishwanath, A., Boreli, R., &amp; Mehani, O. (2015). Network-level security and privacy control for smart-home IoT devices. </w:t>
      </w:r>
      <w:r>
        <w:rPr>
          <w:rFonts w:ascii="Times New Roman" w:eastAsia="Times New Roman" w:hAnsi="Times New Roman" w:cs="Times New Roman"/>
          <w:i/>
          <w:color w:val="000000"/>
          <w:sz w:val="24"/>
          <w:szCs w:val="24"/>
        </w:rPr>
        <w:t>2015 IEEE 11th International Conference on Wireless and Mobile Computing, Networking and Communications (WiMob)</w:t>
      </w:r>
      <w:r>
        <w:rPr>
          <w:rFonts w:ascii="Times New Roman" w:eastAsia="Times New Roman" w:hAnsi="Times New Roman" w:cs="Times New Roman"/>
          <w:color w:val="000000"/>
          <w:sz w:val="24"/>
          <w:szCs w:val="24"/>
        </w:rPr>
        <w:t>. https://doi.org/10.1109/wimob.2015.7347956</w:t>
      </w:r>
    </w:p>
    <w:p w14:paraId="3C89F2F6"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Sui, A., Sui, W., Liu, S., &amp; Rhodes, R. (2023). Ethical considerations for the use of consumer wearables in health research. </w:t>
      </w:r>
      <w:r>
        <w:rPr>
          <w:rFonts w:ascii="Times New Roman" w:eastAsia="Times New Roman" w:hAnsi="Times New Roman" w:cs="Times New Roman"/>
          <w:i/>
          <w:color w:val="000000"/>
          <w:sz w:val="24"/>
          <w:szCs w:val="24"/>
        </w:rPr>
        <w:t>DIGITAL HEALTH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(9), 205520762311537. https://doi.org/10.1177/20552076231153740</w:t>
      </w:r>
    </w:p>
    <w:p w14:paraId="133AADB9"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Tangari, G., Ikram, M., Ijaz, K., Kaafar, M. A., &amp; Berkovsky, S. (2021). Mobile health and privacy: cross sectional study. </w:t>
      </w:r>
      <w:r>
        <w:rPr>
          <w:rFonts w:ascii="Times New Roman" w:eastAsia="Times New Roman" w:hAnsi="Times New Roman" w:cs="Times New Roman"/>
          <w:i/>
          <w:color w:val="000000"/>
          <w:sz w:val="24"/>
          <w:szCs w:val="24"/>
        </w:rPr>
        <w:t>BMJ</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373</w:t>
      </w:r>
      <w:r>
        <w:rPr>
          <w:rFonts w:ascii="Times New Roman" w:eastAsia="Times New Roman" w:hAnsi="Times New Roman" w:cs="Times New Roman"/>
          <w:color w:val="000000"/>
          <w:sz w:val="24"/>
          <w:szCs w:val="24"/>
        </w:rPr>
        <w:t>(8296), n1248. https://doi.org/10.1136/bmj.n1248</w:t>
      </w:r>
    </w:p>
    <w:p w14:paraId="4D274A54"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Torous, J., &amp; Roberts, L. W. (2017). Needed Innovation in Digital Health and Smartphone Applications for Mental Health. </w:t>
      </w:r>
      <w:r>
        <w:rPr>
          <w:rFonts w:ascii="Times New Roman" w:eastAsia="Times New Roman" w:hAnsi="Times New Roman" w:cs="Times New Roman"/>
          <w:i/>
          <w:color w:val="000000"/>
          <w:sz w:val="24"/>
          <w:szCs w:val="24"/>
        </w:rPr>
        <w:t>JAMA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74</w:t>
      </w:r>
      <w:r>
        <w:rPr>
          <w:rFonts w:ascii="Times New Roman" w:eastAsia="Times New Roman" w:hAnsi="Times New Roman" w:cs="Times New Roman"/>
          <w:color w:val="000000"/>
          <w:sz w:val="24"/>
          <w:szCs w:val="24"/>
        </w:rPr>
        <w:t>(5), 437. https://doi.org/10.1001/jamapsychiatry.2017.0262</w:t>
      </w:r>
    </w:p>
    <w:p w14:paraId="775B543A"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Varma, S., &amp; Simon, R. (2006). Bias in Error Estimation When Using Cross-Validation for Model Selection. </w:t>
      </w:r>
      <w:r>
        <w:rPr>
          <w:rFonts w:ascii="Times New Roman" w:eastAsia="Times New Roman" w:hAnsi="Times New Roman" w:cs="Times New Roman"/>
          <w:i/>
          <w:color w:val="000000"/>
          <w:sz w:val="24"/>
          <w:szCs w:val="24"/>
        </w:rPr>
        <w:t>BMC Bioinformatics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(1), 91. https://doi.org/10.1186/1471-2105-7-91</w:t>
      </w:r>
    </w:p>
    <w:p w14:paraId="05BB1B80"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Wiese, W., &amp; Friston, K. J. (2021). AI Ethics in Computational Psychiatry: From the Neuroscience of Consciousness to the Ethics of Consciousness. </w:t>
      </w:r>
      <w:r>
        <w:rPr>
          <w:rFonts w:ascii="Times New Roman" w:eastAsia="Times New Roman" w:hAnsi="Times New Roman" w:cs="Times New Roman"/>
          <w:i/>
          <w:color w:val="000000"/>
          <w:sz w:val="24"/>
          <w:szCs w:val="24"/>
        </w:rPr>
        <w:t>Behavioural Brain Research</w:t>
      </w:r>
      <w:r>
        <w:rPr>
          <w:rFonts w:ascii="Times New Roman" w:eastAsia="Times New Roman" w:hAnsi="Times New Roman" w:cs="Times New Roman"/>
          <w:color w:val="000000"/>
          <w:sz w:val="24"/>
          <w:szCs w:val="24"/>
        </w:rPr>
        <w:t>, 113704. https://doi.org/10.1016/j.bbr.2021.113704</w:t>
      </w:r>
    </w:p>
    <w:p w14:paraId="761ABCA9"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Woebot Health. (2022). </w:t>
      </w:r>
      <w:r>
        <w:rPr>
          <w:rFonts w:ascii="Times New Roman" w:eastAsia="Times New Roman" w:hAnsi="Times New Roman" w:cs="Times New Roman"/>
          <w:i/>
          <w:color w:val="000000"/>
          <w:sz w:val="24"/>
          <w:szCs w:val="24"/>
        </w:rPr>
        <w:t>Privacy Policy</w:t>
      </w:r>
      <w:r>
        <w:rPr>
          <w:rFonts w:ascii="Times New Roman" w:eastAsia="Times New Roman" w:hAnsi="Times New Roman" w:cs="Times New Roman"/>
          <w:color w:val="000000"/>
          <w:sz w:val="24"/>
          <w:szCs w:val="24"/>
        </w:rPr>
        <w:t>. Woebot Health. https://woebothealth.com/privacy-webview/</w:t>
      </w:r>
    </w:p>
    <w:p w14:paraId="7AC4A450"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Wykes, T., Lipshitz, J., &amp; Schueller, S. M. (2019). Towards the Design of Ethical Standards Related to Digital Mental Health and all Its Applications. </w:t>
      </w:r>
      <w:r>
        <w:rPr>
          <w:rFonts w:ascii="Times New Roman" w:eastAsia="Times New Roman" w:hAnsi="Times New Roman" w:cs="Times New Roman"/>
          <w:i/>
          <w:color w:val="000000"/>
          <w:sz w:val="24"/>
          <w:szCs w:val="24"/>
        </w:rPr>
        <w:t>Current Treatment Options in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(3), 232–242. https://doi.org/10.1007/s40501-019-00180-0</w:t>
      </w:r>
    </w:p>
    <w:p w14:paraId="64E09A41" w14:textId="77777777" w:rsidR="00392A4E" w:rsidRDefault="00B3645F">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Yang, Q., Liu, Y., Chen, T., &amp; Tong, Y. (2019). Federated Machine Learning: Concept and Applications. </w:t>
      </w:r>
      <w:r>
        <w:rPr>
          <w:rFonts w:ascii="Times New Roman" w:eastAsia="Times New Roman" w:hAnsi="Times New Roman" w:cs="Times New Roman"/>
          <w:i/>
          <w:color w:val="000000"/>
          <w:sz w:val="24"/>
          <w:szCs w:val="24"/>
        </w:rPr>
        <w:t>ArXiv (Cornell University)</w:t>
      </w:r>
      <w:r>
        <w:rPr>
          <w:rFonts w:ascii="Times New Roman" w:eastAsia="Times New Roman" w:hAnsi="Times New Roman" w:cs="Times New Roman"/>
          <w:color w:val="000000"/>
          <w:sz w:val="24"/>
          <w:szCs w:val="24"/>
        </w:rPr>
        <w:t>. https://doi.org/10.48550/arxiv.1902.04885</w:t>
      </w:r>
    </w:p>
    <w:p w14:paraId="178A9FEF" w14:textId="77777777" w:rsidR="00392A4E" w:rsidRDefault="00392A4E">
      <w:pPr>
        <w:spacing w:line="360" w:lineRule="auto"/>
        <w:jc w:val="both"/>
        <w:rPr>
          <w:rFonts w:ascii="Times New Roman" w:eastAsia="Times New Roman" w:hAnsi="Times New Roman" w:cs="Times New Roman"/>
        </w:rPr>
      </w:pPr>
    </w:p>
    <w:p w14:paraId="3C265204" w14:textId="77777777" w:rsidR="00392A4E" w:rsidRDefault="00392A4E">
      <w:pPr>
        <w:spacing w:line="360" w:lineRule="auto"/>
        <w:jc w:val="both"/>
        <w:rPr>
          <w:rFonts w:ascii="Times New Roman" w:eastAsia="Times New Roman" w:hAnsi="Times New Roman" w:cs="Times New Roman"/>
          <w:sz w:val="24"/>
          <w:szCs w:val="24"/>
        </w:rPr>
      </w:pPr>
    </w:p>
    <w:sectPr w:rsidR="00392A4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FABB" w14:textId="77777777" w:rsidR="0032705B" w:rsidRDefault="0032705B">
      <w:pPr>
        <w:spacing w:after="0" w:line="240" w:lineRule="auto"/>
      </w:pPr>
      <w:r>
        <w:separator/>
      </w:r>
    </w:p>
  </w:endnote>
  <w:endnote w:type="continuationSeparator" w:id="0">
    <w:p w14:paraId="7B025B8E" w14:textId="77777777" w:rsidR="0032705B" w:rsidRDefault="0032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5491" w14:textId="77777777" w:rsidR="00B3645F" w:rsidRDefault="00B3645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E706" w14:textId="77777777" w:rsidR="00B3645F" w:rsidRDefault="00B3645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8D93" w14:textId="77777777" w:rsidR="00B3645F" w:rsidRDefault="00B3645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1A19" w14:textId="77777777" w:rsidR="0032705B" w:rsidRDefault="0032705B">
      <w:pPr>
        <w:spacing w:after="0" w:line="240" w:lineRule="auto"/>
      </w:pPr>
      <w:r>
        <w:separator/>
      </w:r>
    </w:p>
  </w:footnote>
  <w:footnote w:type="continuationSeparator" w:id="0">
    <w:p w14:paraId="35108BFA" w14:textId="77777777" w:rsidR="0032705B" w:rsidRDefault="00327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33A8" w14:textId="77777777" w:rsidR="00B3645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13B4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55.6pt;height:104.1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8FA9" w14:textId="77777777" w:rsidR="00B3645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0B066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55.6pt;height:104.1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A2FC" w14:textId="77777777" w:rsidR="00B3645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103BC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55.6pt;height:104.1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84F57"/>
    <w:multiLevelType w:val="multilevel"/>
    <w:tmpl w:val="FAECF70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363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4E"/>
    <w:rsid w:val="001D7047"/>
    <w:rsid w:val="002F3762"/>
    <w:rsid w:val="0032705B"/>
    <w:rsid w:val="00331463"/>
    <w:rsid w:val="00392A4E"/>
    <w:rsid w:val="00880519"/>
    <w:rsid w:val="00A53F21"/>
    <w:rsid w:val="00A75B1E"/>
    <w:rsid w:val="00A81F0C"/>
    <w:rsid w:val="00B3645F"/>
    <w:rsid w:val="00B657E7"/>
    <w:rsid w:val="00B9030A"/>
    <w:rsid w:val="00BD6E0B"/>
    <w:rsid w:val="00ED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16E8"/>
  <w15:docId w15:val="{D02AD96D-9805-433C-92C0-6E0BFE7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B903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D3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85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8045</Words>
  <Characters>45863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Oluwaseun Olaniyi</dc:creator>
  <cp:lastModifiedBy>Editor GP 005</cp:lastModifiedBy>
  <cp:revision>3</cp:revision>
  <dcterms:created xsi:type="dcterms:W3CDTF">2025-09-10T18:57:00Z</dcterms:created>
  <dcterms:modified xsi:type="dcterms:W3CDTF">2025-09-12T06:34:00Z</dcterms:modified>
</cp:coreProperties>
</file>