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45E9" w14:textId="6A175B91" w:rsidR="008C2552" w:rsidRDefault="008C2552" w:rsidP="007F44AF">
      <w:pPr>
        <w:spacing w:line="240" w:lineRule="auto"/>
        <w:jc w:val="both"/>
        <w:rPr>
          <w:rFonts w:ascii="Arial" w:hAnsi="Arial" w:cs="Arial"/>
          <w:b/>
          <w:bCs/>
          <w:sz w:val="36"/>
          <w:szCs w:val="36"/>
        </w:rPr>
      </w:pPr>
      <w:r w:rsidRPr="008C2552">
        <w:rPr>
          <w:rFonts w:ascii="Arial" w:hAnsi="Arial" w:cs="Arial"/>
          <w:b/>
          <w:bCs/>
          <w:sz w:val="36"/>
          <w:szCs w:val="36"/>
        </w:rPr>
        <w:t>Empirical Statistical Modelling of Angle of Internal Friction using SPT-N Value, Median Grain Size (D50), and Effective Overburden Stress</w:t>
      </w:r>
    </w:p>
    <w:p w14:paraId="1D20C828" w14:textId="77777777" w:rsidR="00571B68" w:rsidRDefault="00571B68" w:rsidP="007F44AF">
      <w:pPr>
        <w:spacing w:line="240" w:lineRule="auto"/>
        <w:jc w:val="both"/>
        <w:rPr>
          <w:rFonts w:ascii="Arial" w:hAnsi="Arial" w:cs="Arial"/>
          <w:b/>
          <w:bCs/>
          <w:sz w:val="36"/>
          <w:szCs w:val="36"/>
        </w:rPr>
      </w:pPr>
    </w:p>
    <w:p w14:paraId="4B98F7F6" w14:textId="2A737027" w:rsidR="00F27F35" w:rsidRDefault="00E779F5" w:rsidP="007F44AF">
      <w:pPr>
        <w:spacing w:line="240" w:lineRule="auto"/>
        <w:jc w:val="both"/>
        <w:rPr>
          <w:rFonts w:ascii="Arial" w:hAnsi="Arial" w:cs="Arial"/>
          <w:b/>
          <w:bCs/>
          <w:sz w:val="20"/>
          <w:szCs w:val="20"/>
        </w:rPr>
      </w:pPr>
      <w:r w:rsidRPr="00A71974">
        <w:rPr>
          <w:rFonts w:ascii="Arial" w:hAnsi="Arial" w:cs="Arial"/>
          <w:b/>
          <w:bCs/>
          <w:sz w:val="22"/>
          <w:szCs w:val="22"/>
        </w:rPr>
        <w:t>Abstract</w:t>
      </w:r>
      <w:r w:rsidR="00A71974" w:rsidRPr="00A71974">
        <w:rPr>
          <w:rFonts w:ascii="Arial" w:hAnsi="Arial" w:cs="Arial"/>
          <w:b/>
          <w:bCs/>
          <w:sz w:val="22"/>
          <w:szCs w:val="22"/>
        </w:rPr>
        <w:t>:</w:t>
      </w:r>
      <w:r w:rsidR="00A71974" w:rsidRPr="00A71974">
        <w:rPr>
          <w:rFonts w:ascii="Arial" w:hAnsi="Arial" w:cs="Arial"/>
          <w:b/>
          <w:bCs/>
          <w:sz w:val="20"/>
          <w:szCs w:val="20"/>
        </w:rPr>
        <w:t xml:space="preserve"> </w:t>
      </w:r>
      <w:r w:rsidR="00F27F35" w:rsidRPr="00F27F35">
        <w:rPr>
          <w:rFonts w:ascii="Arial" w:hAnsi="Arial" w:cs="Arial"/>
          <w:sz w:val="20"/>
          <w:szCs w:val="20"/>
        </w:rPr>
        <w:t xml:space="preserve">The study aimed to create statistical models that relate the angle of internal friction to predictor factors including median grain size (D50), effective overburden stress, and Standard Penetration Test (SPT-N) values for soil deposits at </w:t>
      </w:r>
      <w:proofErr w:type="spellStart"/>
      <w:r w:rsidR="00F27F35" w:rsidRPr="00F27F35">
        <w:rPr>
          <w:rFonts w:ascii="Arial" w:hAnsi="Arial" w:cs="Arial"/>
          <w:sz w:val="20"/>
          <w:szCs w:val="20"/>
        </w:rPr>
        <w:t>Rumuibekwe</w:t>
      </w:r>
      <w:proofErr w:type="spellEnd"/>
      <w:r w:rsidR="00F27F35" w:rsidRPr="00F27F35">
        <w:rPr>
          <w:rFonts w:ascii="Arial" w:hAnsi="Arial" w:cs="Arial"/>
          <w:sz w:val="20"/>
          <w:szCs w:val="20"/>
        </w:rPr>
        <w:t xml:space="preserve"> Bridge in the Niger Delta. A total of 16 SPT tests were conducted within depths of 0–30 m, and soil samples were collected at each stratum. Laboratory analyses included sieve tests for D50 and consolidated drained triaxial tests for internal friction angle determination. The soils were classified mainly as fine to medium sands with variable fines content, reflecting the heterogeneous depositional profile of the Niger Delta. Statistical regression models, both simple and multiple, were developed to connect predictor variables with the response variable. Effective overburden stress emerged as the most significant predictor (R² = 0.921), outperforming SPT-N (R² = 0.807), while D50 exhibited weak predictive capability. Model validation confirmed that effective stress–based models provide more reliable predictions of friction angle than conventional SPT-only correlations. The findings highlight the importance of localized, stress-dependent models for geotechnical design in complex soil environments.</w:t>
      </w:r>
    </w:p>
    <w:p w14:paraId="6A373992" w14:textId="77777777" w:rsidR="00E779F5" w:rsidRPr="00A71974" w:rsidRDefault="00E779F5" w:rsidP="00A71974">
      <w:pPr>
        <w:spacing w:line="240" w:lineRule="auto"/>
        <w:jc w:val="both"/>
        <w:rPr>
          <w:rFonts w:ascii="Arial" w:hAnsi="Arial" w:cs="Arial"/>
          <w:sz w:val="20"/>
          <w:szCs w:val="20"/>
        </w:rPr>
      </w:pPr>
      <w:r w:rsidRPr="003656A0">
        <w:rPr>
          <w:rFonts w:ascii="Arial" w:hAnsi="Arial" w:cs="Arial"/>
          <w:b/>
          <w:bCs/>
          <w:sz w:val="22"/>
          <w:szCs w:val="22"/>
        </w:rPr>
        <w:t>Keywords:</w:t>
      </w:r>
      <w:r w:rsidRPr="00A71974">
        <w:rPr>
          <w:rFonts w:ascii="Arial" w:hAnsi="Arial" w:cs="Arial"/>
          <w:sz w:val="20"/>
          <w:szCs w:val="20"/>
        </w:rPr>
        <w:t xml:space="preserve"> friction angle, SPT-N values, effective stress, median grain size, multiple regression, Niger Delta</w:t>
      </w:r>
    </w:p>
    <w:p w14:paraId="63A890C5" w14:textId="79C07378" w:rsidR="00E779F5" w:rsidRPr="00A71974" w:rsidRDefault="00A71974" w:rsidP="00A71974">
      <w:pPr>
        <w:spacing w:line="240" w:lineRule="auto"/>
        <w:jc w:val="both"/>
        <w:rPr>
          <w:rFonts w:ascii="Arial" w:hAnsi="Arial" w:cs="Arial"/>
          <w:b/>
          <w:bCs/>
          <w:sz w:val="20"/>
          <w:szCs w:val="20"/>
        </w:rPr>
      </w:pPr>
      <w:r w:rsidRPr="00A71974">
        <w:rPr>
          <w:rFonts w:ascii="Arial" w:hAnsi="Arial" w:cs="Arial"/>
          <w:b/>
          <w:bCs/>
          <w:sz w:val="20"/>
          <w:szCs w:val="20"/>
        </w:rPr>
        <w:t>1</w:t>
      </w:r>
      <w:r w:rsidRPr="00A71974">
        <w:rPr>
          <w:rFonts w:ascii="Arial" w:hAnsi="Arial" w:cs="Arial"/>
          <w:b/>
          <w:bCs/>
          <w:sz w:val="22"/>
          <w:szCs w:val="22"/>
        </w:rPr>
        <w:t>. INTRODUCTION</w:t>
      </w:r>
    </w:p>
    <w:p w14:paraId="0795798F" w14:textId="1D9778F9"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A crucial design parameter for the majority of geotechnical design processes, including earth structure design, slope stability analysis, and bearing capacity calculation, is the angle of internal friction (Ullah et al., 2025). Laboratory experiments like the triaxial test or the direct shear box test are still the most accurate way to determine and estimate the angle of internal friction of soil (Brown &amp; Hettiarachchi, 2008; Ullah et al., 2025). Engineers now use empirical correlation for estimate, nevertheless, due to a number of issues, including laboratory error and maintaining the soil's condition prior to the experiment.</w:t>
      </w:r>
      <w:r>
        <w:rPr>
          <w:rFonts w:ascii="Arial" w:hAnsi="Arial" w:cs="Arial"/>
          <w:sz w:val="20"/>
          <w:szCs w:val="20"/>
        </w:rPr>
        <w:t xml:space="preserve"> </w:t>
      </w:r>
      <w:r w:rsidRPr="007F44AF">
        <w:rPr>
          <w:rFonts w:ascii="Arial" w:hAnsi="Arial" w:cs="Arial"/>
          <w:sz w:val="20"/>
          <w:szCs w:val="20"/>
        </w:rPr>
        <w:t xml:space="preserve">Additionally, the expense of the test and the number of man hours needed, particularly when doing several tests, have led engineers to search for a quicker and less costly way to estimate the angle of friction. Currently, the angle of friction is determined by comparing the friction angle to the N-values from the Standard Penetration Test. Since the beginning of the 20th century, Standard Penetration Test (SPT) N-values have been the main in-situ testing parameter for characterizing soil. Several correlations have been established to estimate shear strength parameters from penetration resistance (Peck et al., 1953; </w:t>
      </w:r>
      <w:proofErr w:type="spellStart"/>
      <w:r w:rsidRPr="007F44AF">
        <w:rPr>
          <w:rFonts w:ascii="Arial" w:hAnsi="Arial" w:cs="Arial"/>
          <w:sz w:val="20"/>
          <w:szCs w:val="20"/>
        </w:rPr>
        <w:t>Ohsaki</w:t>
      </w:r>
      <w:proofErr w:type="spellEnd"/>
      <w:r w:rsidRPr="007F44AF">
        <w:rPr>
          <w:rFonts w:ascii="Arial" w:hAnsi="Arial" w:cs="Arial"/>
          <w:sz w:val="20"/>
          <w:szCs w:val="20"/>
        </w:rPr>
        <w:t xml:space="preserve"> et al., 1959; Hatanaka &amp; Uchida, 1996; </w:t>
      </w:r>
      <w:proofErr w:type="spellStart"/>
      <w:r w:rsidRPr="007F44AF">
        <w:rPr>
          <w:rFonts w:ascii="Arial" w:hAnsi="Arial" w:cs="Arial"/>
          <w:sz w:val="20"/>
          <w:szCs w:val="20"/>
        </w:rPr>
        <w:t>Cubrinovski</w:t>
      </w:r>
      <w:proofErr w:type="spellEnd"/>
      <w:r w:rsidRPr="007F44AF">
        <w:rPr>
          <w:rFonts w:ascii="Arial" w:hAnsi="Arial" w:cs="Arial"/>
          <w:sz w:val="20"/>
          <w:szCs w:val="20"/>
        </w:rPr>
        <w:t xml:space="preserve"> &amp; Ishihara, 1999).</w:t>
      </w:r>
    </w:p>
    <w:p w14:paraId="541A299C"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 xml:space="preserve">The angle of internal friction is often </w:t>
      </w:r>
      <w:proofErr w:type="spellStart"/>
      <w:r w:rsidRPr="007F44AF">
        <w:rPr>
          <w:rFonts w:ascii="Arial" w:hAnsi="Arial" w:cs="Arial"/>
          <w:sz w:val="20"/>
          <w:szCs w:val="20"/>
        </w:rPr>
        <w:t>modeled</w:t>
      </w:r>
      <w:proofErr w:type="spellEnd"/>
      <w:r w:rsidRPr="007F44AF">
        <w:rPr>
          <w:rFonts w:ascii="Arial" w:hAnsi="Arial" w:cs="Arial"/>
          <w:sz w:val="20"/>
          <w:szCs w:val="20"/>
        </w:rPr>
        <w:t xml:space="preserve"> using just SPT-N values (Peck et al., 1957; </w:t>
      </w:r>
      <w:proofErr w:type="spellStart"/>
      <w:r w:rsidRPr="007F44AF">
        <w:rPr>
          <w:rFonts w:ascii="Arial" w:hAnsi="Arial" w:cs="Arial"/>
          <w:sz w:val="20"/>
          <w:szCs w:val="20"/>
        </w:rPr>
        <w:t>Ohsaki</w:t>
      </w:r>
      <w:proofErr w:type="spellEnd"/>
      <w:r w:rsidRPr="007F44AF">
        <w:rPr>
          <w:rFonts w:ascii="Arial" w:hAnsi="Arial" w:cs="Arial"/>
          <w:sz w:val="20"/>
          <w:szCs w:val="20"/>
        </w:rPr>
        <w:t xml:space="preserve"> et al., 1959; Hatanaka &amp; Uchida, 1996). Nevertheless, these models have not been very successful, particularly when applied to localized or regional soil (Sahab et al., 2022). In order to increase the accuracy of the angle of internal friction prediction, additional predictive factors must be included. When applied to certain geological conditions, the addition of factors beyond SPT-N values has shown notable gains in correlation accuracy and dependability (Sahab et al., 2022). Granular soils' mechanical </w:t>
      </w:r>
      <w:proofErr w:type="spellStart"/>
      <w:r w:rsidRPr="007F44AF">
        <w:rPr>
          <w:rFonts w:ascii="Arial" w:hAnsi="Arial" w:cs="Arial"/>
          <w:sz w:val="20"/>
          <w:szCs w:val="20"/>
        </w:rPr>
        <w:t>behavior</w:t>
      </w:r>
      <w:proofErr w:type="spellEnd"/>
      <w:r w:rsidRPr="007F44AF">
        <w:rPr>
          <w:rFonts w:ascii="Arial" w:hAnsi="Arial" w:cs="Arial"/>
          <w:sz w:val="20"/>
          <w:szCs w:val="20"/>
        </w:rPr>
        <w:t xml:space="preserve"> is significantly influenced by grain size features, especially median grain size (D50)</w:t>
      </w:r>
      <w:r w:rsidR="009F587D" w:rsidRPr="00A71974">
        <w:rPr>
          <w:rFonts w:ascii="Arial" w:hAnsi="Arial" w:cs="Arial"/>
          <w:sz w:val="20"/>
          <w:szCs w:val="20"/>
        </w:rPr>
        <w:t xml:space="preserve">. </w:t>
      </w:r>
      <w:r w:rsidRPr="007F44AF">
        <w:rPr>
          <w:rFonts w:ascii="Arial" w:hAnsi="Arial" w:cs="Arial"/>
          <w:sz w:val="20"/>
          <w:szCs w:val="20"/>
        </w:rPr>
        <w:t>Particle features influence friction angle mobilization in sandy soils, and laboratory investigations have shown a strong correlation between shear strength and particle size distribution (Li, 2013; Wang et al., 2013). According to Wang et al. (2013), the angle of internal friction rises as the soil's median size increases. Nevertheless, there is still little integration of grain size data into SPT-based friction angle correlations, especially for regional geological contexts. Another factor that affects the angle of internal friction is effective overburden stress (Liao &amp; Whitman, 1986).</w:t>
      </w:r>
    </w:p>
    <w:p w14:paraId="5C543177"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 xml:space="preserve">Because of its complicated geological past and varied depositional settings, the Niger Delta area poses particular difficulties for the development of geotechnical correlations. An angle of friction should be estimated using a localized model due to the variance in the soil profile in the Niger Delta area (Kennedy &amp; </w:t>
      </w:r>
      <w:proofErr w:type="spellStart"/>
      <w:r w:rsidRPr="007F44AF">
        <w:rPr>
          <w:rFonts w:ascii="Arial" w:hAnsi="Arial" w:cs="Arial"/>
          <w:sz w:val="20"/>
          <w:szCs w:val="20"/>
        </w:rPr>
        <w:t>TrustGod</w:t>
      </w:r>
      <w:proofErr w:type="spellEnd"/>
      <w:r w:rsidRPr="007F44AF">
        <w:rPr>
          <w:rFonts w:ascii="Arial" w:hAnsi="Arial" w:cs="Arial"/>
          <w:sz w:val="20"/>
          <w:szCs w:val="20"/>
        </w:rPr>
        <w:t>, 2024). The goal of the study is to create statistical models for estimating the angle of internal friction for sandy soils in the Niger Delta by utilizing a number of predictor factors, such as SPT-N values, median particle size (D50), and effective overburden stress.</w:t>
      </w:r>
    </w:p>
    <w:p w14:paraId="1C9162D2" w14:textId="44A8F1A9"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2. MATERIALS AND METHOD</w:t>
      </w:r>
    </w:p>
    <w:p w14:paraId="1088D427" w14:textId="0CAE36AB"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lastRenderedPageBreak/>
        <w:t>2.1 Study Area</w:t>
      </w:r>
    </w:p>
    <w:p w14:paraId="4E5CF05B"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 xml:space="preserve">The site of the </w:t>
      </w:r>
      <w:proofErr w:type="spellStart"/>
      <w:r w:rsidRPr="007F44AF">
        <w:rPr>
          <w:rFonts w:ascii="Arial" w:hAnsi="Arial" w:cs="Arial"/>
          <w:sz w:val="20"/>
          <w:szCs w:val="20"/>
        </w:rPr>
        <w:t>Rumuibekwe</w:t>
      </w:r>
      <w:proofErr w:type="spellEnd"/>
      <w:r w:rsidRPr="007F44AF">
        <w:rPr>
          <w:rFonts w:ascii="Arial" w:hAnsi="Arial" w:cs="Arial"/>
          <w:sz w:val="20"/>
          <w:szCs w:val="20"/>
        </w:rPr>
        <w:t xml:space="preserve"> Bridge in the Niger Delta, as seen in Figure 1, is the study's main emphasis. The </w:t>
      </w:r>
      <w:proofErr w:type="spellStart"/>
      <w:r w:rsidRPr="007F44AF">
        <w:rPr>
          <w:rFonts w:ascii="Arial" w:hAnsi="Arial" w:cs="Arial"/>
          <w:sz w:val="20"/>
          <w:szCs w:val="20"/>
        </w:rPr>
        <w:t>Rumuibekwe</w:t>
      </w:r>
      <w:proofErr w:type="spellEnd"/>
      <w:r w:rsidRPr="007F44AF">
        <w:rPr>
          <w:rFonts w:ascii="Arial" w:hAnsi="Arial" w:cs="Arial"/>
          <w:sz w:val="20"/>
          <w:szCs w:val="20"/>
        </w:rPr>
        <w:t xml:space="preserve"> Bridge is located in Rivers State's Obio/Akpor Local Government Area. Latitude 4.843N and longitude 7.0575E are the location's geographic coordinates. The site is rather flat, with elevations typically below 15.24 meters above mean sea level. The area has a tropical monsoon climate, with typical annual temperatures of around 28.64°C and 2,000–2,900 </w:t>
      </w:r>
      <w:proofErr w:type="spellStart"/>
      <w:r w:rsidRPr="007F44AF">
        <w:rPr>
          <w:rFonts w:ascii="Arial" w:hAnsi="Arial" w:cs="Arial"/>
          <w:sz w:val="20"/>
          <w:szCs w:val="20"/>
        </w:rPr>
        <w:t>millimeters</w:t>
      </w:r>
      <w:proofErr w:type="spellEnd"/>
      <w:r w:rsidRPr="007F44AF">
        <w:rPr>
          <w:rFonts w:ascii="Arial" w:hAnsi="Arial" w:cs="Arial"/>
          <w:sz w:val="20"/>
          <w:szCs w:val="20"/>
        </w:rPr>
        <w:t xml:space="preserve"> of precipitation per year.</w:t>
      </w:r>
    </w:p>
    <w:p w14:paraId="2DDB4B43" w14:textId="5302D407" w:rsidR="0034288D" w:rsidRPr="00A71974" w:rsidRDefault="00B3312D" w:rsidP="00A71974">
      <w:pPr>
        <w:spacing w:line="240" w:lineRule="auto"/>
        <w:jc w:val="both"/>
        <w:rPr>
          <w:rFonts w:ascii="Arial" w:hAnsi="Arial" w:cs="Arial"/>
          <w:sz w:val="20"/>
          <w:szCs w:val="20"/>
        </w:rPr>
      </w:pPr>
      <w:r w:rsidRPr="00A71974">
        <w:rPr>
          <w:rFonts w:ascii="Arial" w:hAnsi="Arial" w:cs="Arial"/>
          <w:noProof/>
          <w:sz w:val="20"/>
          <w:szCs w:val="20"/>
          <w:lang w:val="en-US"/>
        </w:rPr>
        <w:drawing>
          <wp:inline distT="0" distB="0" distL="0" distR="0" wp14:anchorId="2E8CF120" wp14:editId="70CD5221">
            <wp:extent cx="4933950" cy="3142984"/>
            <wp:effectExtent l="19050" t="19050" r="19050" b="19685"/>
            <wp:docPr id="2036551176" name="Picture 3" descr="A map of nigeria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51176" name="Picture 3" descr="A map of nigeria with a red l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950647" cy="3153620"/>
                    </a:xfrm>
                    <a:prstGeom prst="rect">
                      <a:avLst/>
                    </a:prstGeom>
                    <a:ln>
                      <a:solidFill>
                        <a:schemeClr val="bg1">
                          <a:lumMod val="85000"/>
                        </a:schemeClr>
                      </a:solidFill>
                    </a:ln>
                  </pic:spPr>
                </pic:pic>
              </a:graphicData>
            </a:graphic>
          </wp:inline>
        </w:drawing>
      </w:r>
    </w:p>
    <w:p w14:paraId="2FFB24BC" w14:textId="617A6194" w:rsidR="0034288D" w:rsidRPr="00A71974" w:rsidRDefault="00B3312D" w:rsidP="00A71974">
      <w:pPr>
        <w:spacing w:line="240" w:lineRule="auto"/>
        <w:jc w:val="both"/>
        <w:rPr>
          <w:rFonts w:ascii="Arial" w:hAnsi="Arial" w:cs="Arial"/>
          <w:sz w:val="20"/>
          <w:szCs w:val="20"/>
        </w:rPr>
      </w:pPr>
      <w:r w:rsidRPr="00A71974">
        <w:rPr>
          <w:rFonts w:ascii="Arial" w:hAnsi="Arial" w:cs="Arial"/>
          <w:b/>
          <w:bCs/>
          <w:sz w:val="20"/>
          <w:szCs w:val="20"/>
        </w:rPr>
        <w:t>Figure 1</w:t>
      </w:r>
      <w:r w:rsidRPr="00A71974">
        <w:rPr>
          <w:rFonts w:ascii="Arial" w:hAnsi="Arial" w:cs="Arial"/>
          <w:sz w:val="20"/>
          <w:szCs w:val="20"/>
        </w:rPr>
        <w:t>: Map of study Area</w:t>
      </w:r>
    </w:p>
    <w:p w14:paraId="3F5BA499" w14:textId="77777777" w:rsidR="00F27F35" w:rsidRPr="00F27F35" w:rsidRDefault="00F27F35" w:rsidP="00F27F35">
      <w:pPr>
        <w:spacing w:line="240" w:lineRule="auto"/>
        <w:jc w:val="both"/>
        <w:rPr>
          <w:rFonts w:ascii="Arial" w:hAnsi="Arial" w:cs="Arial"/>
          <w:b/>
          <w:bCs/>
          <w:sz w:val="22"/>
          <w:szCs w:val="22"/>
        </w:rPr>
      </w:pPr>
      <w:r>
        <w:rPr>
          <w:rFonts w:ascii="Arial" w:hAnsi="Arial" w:cs="Arial"/>
          <w:b/>
          <w:bCs/>
          <w:sz w:val="22"/>
          <w:szCs w:val="22"/>
        </w:rPr>
        <w:t xml:space="preserve">2.2 </w:t>
      </w:r>
      <w:r w:rsidRPr="00F27F35">
        <w:rPr>
          <w:rFonts w:ascii="Arial" w:hAnsi="Arial" w:cs="Arial"/>
          <w:b/>
          <w:bCs/>
          <w:sz w:val="22"/>
          <w:szCs w:val="22"/>
        </w:rPr>
        <w:t>Soil Parameters and Laboratory Characterization</w:t>
      </w:r>
    </w:p>
    <w:p w14:paraId="39C654E7" w14:textId="77777777" w:rsidR="00F27F35" w:rsidRPr="00F27F35" w:rsidRDefault="00F27F35" w:rsidP="00F27F35">
      <w:pPr>
        <w:spacing w:line="240" w:lineRule="auto"/>
        <w:jc w:val="both"/>
        <w:rPr>
          <w:rFonts w:ascii="Arial" w:hAnsi="Arial" w:cs="Arial"/>
          <w:sz w:val="20"/>
          <w:szCs w:val="20"/>
        </w:rPr>
      </w:pPr>
      <w:r w:rsidRPr="00F27F35">
        <w:rPr>
          <w:rFonts w:ascii="Arial" w:hAnsi="Arial" w:cs="Arial"/>
          <w:sz w:val="20"/>
          <w:szCs w:val="20"/>
        </w:rPr>
        <w:t xml:space="preserve">Before </w:t>
      </w:r>
      <w:proofErr w:type="spellStart"/>
      <w:r w:rsidRPr="00F27F35">
        <w:rPr>
          <w:rFonts w:ascii="Arial" w:hAnsi="Arial" w:cs="Arial"/>
          <w:sz w:val="20"/>
          <w:szCs w:val="20"/>
        </w:rPr>
        <w:t>analyzing</w:t>
      </w:r>
      <w:proofErr w:type="spellEnd"/>
      <w:r w:rsidRPr="00F27F35">
        <w:rPr>
          <w:rFonts w:ascii="Arial" w:hAnsi="Arial" w:cs="Arial"/>
          <w:sz w:val="20"/>
          <w:szCs w:val="20"/>
        </w:rPr>
        <w:t xml:space="preserve"> soil parameters, it was important to classify and describe the soils tested in this study. The subsoils at </w:t>
      </w:r>
      <w:proofErr w:type="spellStart"/>
      <w:r w:rsidRPr="00F27F35">
        <w:rPr>
          <w:rFonts w:ascii="Arial" w:hAnsi="Arial" w:cs="Arial"/>
          <w:sz w:val="20"/>
          <w:szCs w:val="20"/>
        </w:rPr>
        <w:t>Rumuibekwe</w:t>
      </w:r>
      <w:proofErr w:type="spellEnd"/>
      <w:r w:rsidRPr="00F27F35">
        <w:rPr>
          <w:rFonts w:ascii="Arial" w:hAnsi="Arial" w:cs="Arial"/>
          <w:sz w:val="20"/>
          <w:szCs w:val="20"/>
        </w:rPr>
        <w:t xml:space="preserve"> Bridge were heterogeneous, reflecting the depositional complexity of the Niger Delta. According to the Unified Soil Classification System (USCS), the soils ranged from poorly graded fine sands (SP) to silty sands (SM), with occasional clay-sized particles. The median grain size (D50) varied from 0.002 mm to 2.008 mm, representing clay to medium sand fractions, while the mean D50 was 0.52 mm, indicating that fine sand dominated the profile. The soils were generally compacted with Standard Penetration Test (SPT-N) values ranging from very loose (N &lt; 4) to dense sands (N &gt; 30). Effective overburden stress across the strata ranged from 56.00 kPa to 276.55 kPa, confirming significant variation in stress conditions with depth.</w:t>
      </w:r>
    </w:p>
    <w:p w14:paraId="08B3FB29" w14:textId="77777777" w:rsidR="00F27F35" w:rsidRPr="00F27F35" w:rsidRDefault="00F27F35" w:rsidP="00F27F35">
      <w:pPr>
        <w:spacing w:line="240" w:lineRule="auto"/>
        <w:jc w:val="both"/>
        <w:rPr>
          <w:rFonts w:ascii="Arial" w:hAnsi="Arial" w:cs="Arial"/>
          <w:sz w:val="20"/>
          <w:szCs w:val="20"/>
        </w:rPr>
      </w:pPr>
      <w:r w:rsidRPr="00F27F35">
        <w:rPr>
          <w:rFonts w:ascii="Arial" w:hAnsi="Arial" w:cs="Arial"/>
          <w:sz w:val="20"/>
          <w:szCs w:val="20"/>
        </w:rPr>
        <w:t xml:space="preserve">The angle of internal friction (φ′) was determined through Consolidated Drained (CD) triaxial compression tests, in line with ASTM D4767 standards. This test was selected because it allows for full dissipation of pore pressures, thereby producing shear strength values that represent effective stress conditions typical of sandy soils. The CD triaxial results provided reliable estimates of the friction angle, which were then correlated with field-based SPT results. Together, these data formed the foundation for developing statistical models that connect SPT-N values, effective overburden stress, and grain size characteristics to soil shear strength </w:t>
      </w:r>
      <w:proofErr w:type="spellStart"/>
      <w:r w:rsidRPr="00F27F35">
        <w:rPr>
          <w:rFonts w:ascii="Arial" w:hAnsi="Arial" w:cs="Arial"/>
          <w:sz w:val="20"/>
          <w:szCs w:val="20"/>
        </w:rPr>
        <w:t>behavior</w:t>
      </w:r>
      <w:proofErr w:type="spellEnd"/>
      <w:r w:rsidRPr="00F27F35">
        <w:rPr>
          <w:rFonts w:ascii="Arial" w:hAnsi="Arial" w:cs="Arial"/>
          <w:sz w:val="20"/>
          <w:szCs w:val="20"/>
        </w:rPr>
        <w:t>.</w:t>
      </w:r>
    </w:p>
    <w:p w14:paraId="07679364" w14:textId="4660EA3A"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2.</w:t>
      </w:r>
      <w:r w:rsidR="00F27F35">
        <w:rPr>
          <w:rFonts w:ascii="Arial" w:hAnsi="Arial" w:cs="Arial"/>
          <w:b/>
          <w:bCs/>
          <w:sz w:val="22"/>
          <w:szCs w:val="22"/>
        </w:rPr>
        <w:t>3</w:t>
      </w:r>
      <w:r w:rsidRPr="00A71974">
        <w:rPr>
          <w:rFonts w:ascii="Arial" w:hAnsi="Arial" w:cs="Arial"/>
          <w:b/>
          <w:bCs/>
          <w:sz w:val="22"/>
          <w:szCs w:val="22"/>
        </w:rPr>
        <w:t xml:space="preserve"> Data Collection and Laboratory Testing</w:t>
      </w:r>
    </w:p>
    <w:p w14:paraId="1AC1721D"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 xml:space="preserve">By performing the Standard Penetration Test (SPT) in accordance with ASTM D1586 guidelines, the N-values for different subsoil layers were determined. 16 subsurface strata, ranging in depth from 0 to 30 meters, were subjected to SPT, and the SPT-N values for each layer were noted. A total of sixteen samples were taken from </w:t>
      </w:r>
      <w:proofErr w:type="spellStart"/>
      <w:r w:rsidRPr="007F44AF">
        <w:rPr>
          <w:rFonts w:ascii="Arial" w:hAnsi="Arial" w:cs="Arial"/>
          <w:sz w:val="20"/>
          <w:szCs w:val="20"/>
        </w:rPr>
        <w:t>Rumuibekwe</w:t>
      </w:r>
      <w:proofErr w:type="spellEnd"/>
      <w:r w:rsidRPr="007F44AF">
        <w:rPr>
          <w:rFonts w:ascii="Arial" w:hAnsi="Arial" w:cs="Arial"/>
          <w:sz w:val="20"/>
          <w:szCs w:val="20"/>
        </w:rPr>
        <w:t xml:space="preserve"> Bridge in order to get further soil parameters at each tier. After being collected, the dirt was placed in an airtight container and brought to the lab for analysis. Programs for laboratory testing included sieve and triaxial tests. Standard sieve analytical methods were carried out in accordance with ASTM D6913 to acquire median grain size (D50) values, and consolidated </w:t>
      </w:r>
      <w:r w:rsidRPr="007F44AF">
        <w:rPr>
          <w:rFonts w:ascii="Arial" w:hAnsi="Arial" w:cs="Arial"/>
          <w:sz w:val="20"/>
          <w:szCs w:val="20"/>
        </w:rPr>
        <w:lastRenderedPageBreak/>
        <w:t>drained triaxial compression tests were conducted in accordance with ASTM D4767 to determine the angle of internal friction.</w:t>
      </w:r>
    </w:p>
    <w:p w14:paraId="117FCC54" w14:textId="1949BE28" w:rsidR="00530610"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2.</w:t>
      </w:r>
      <w:r w:rsidR="00F27F35">
        <w:rPr>
          <w:rFonts w:ascii="Arial" w:hAnsi="Arial" w:cs="Arial"/>
          <w:b/>
          <w:bCs/>
          <w:sz w:val="22"/>
          <w:szCs w:val="22"/>
        </w:rPr>
        <w:t>4</w:t>
      </w:r>
      <w:r w:rsidRPr="00A71974">
        <w:rPr>
          <w:rFonts w:ascii="Arial" w:hAnsi="Arial" w:cs="Arial"/>
          <w:b/>
          <w:bCs/>
          <w:sz w:val="22"/>
          <w:szCs w:val="22"/>
        </w:rPr>
        <w:t xml:space="preserve"> Data Analysis</w:t>
      </w:r>
    </w:p>
    <w:p w14:paraId="56D68C47" w14:textId="1B4C2C21"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A major component of the data analysis approach was the creation of statistical models. Descriptive and correlational analyses of the soil characteristics were conducted, however. To compile the values of the soil parameters derived from the field and laboratory tests, descriptive statistics were used. Using Pearson correlation as a basis for feature selection, the connection between the soil metrics was examined. To create prediction models for the angle of internal friction, multiple linear regression analysis was utilized. The response variable for the model development was the angle of internal friction, while the predictor factors were the median grain size, effective overburden pressure, and SPT-N values. Root mean square error (RMSE), mean squared error (MSE), adjusted R2, and coefficient of determination (R2) were used to evaluate the model's performance.</w:t>
      </w:r>
      <w:r>
        <w:rPr>
          <w:rFonts w:ascii="Arial" w:hAnsi="Arial" w:cs="Arial"/>
          <w:sz w:val="20"/>
          <w:szCs w:val="20"/>
        </w:rPr>
        <w:t xml:space="preserve"> </w:t>
      </w:r>
      <w:r w:rsidRPr="007F44AF">
        <w:rPr>
          <w:rFonts w:ascii="Arial" w:hAnsi="Arial" w:cs="Arial"/>
          <w:sz w:val="20"/>
          <w:szCs w:val="20"/>
        </w:rPr>
        <w:t>Three independent data sets that weren't utilized to build the model were evaluated.</w:t>
      </w:r>
    </w:p>
    <w:p w14:paraId="3D0A7567" w14:textId="54F93660"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3. RESULTS</w:t>
      </w:r>
    </w:p>
    <w:p w14:paraId="5546B86C" w14:textId="17E7F311"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3.1 Geotechnical Parameters</w:t>
      </w:r>
      <w:r w:rsidR="009F63F6" w:rsidRPr="00A71974">
        <w:rPr>
          <w:rFonts w:ascii="Arial" w:hAnsi="Arial" w:cs="Arial"/>
          <w:b/>
          <w:bCs/>
          <w:sz w:val="22"/>
          <w:szCs w:val="22"/>
        </w:rPr>
        <w:t xml:space="preserve"> for </w:t>
      </w:r>
      <w:proofErr w:type="spellStart"/>
      <w:r w:rsidR="009F63F6" w:rsidRPr="00A71974">
        <w:rPr>
          <w:rFonts w:ascii="Arial" w:hAnsi="Arial" w:cs="Arial"/>
          <w:b/>
          <w:bCs/>
          <w:sz w:val="22"/>
          <w:szCs w:val="22"/>
        </w:rPr>
        <w:t>Rumuibekwe</w:t>
      </w:r>
      <w:proofErr w:type="spellEnd"/>
      <w:r w:rsidR="009F63F6" w:rsidRPr="00A71974">
        <w:rPr>
          <w:rFonts w:ascii="Arial" w:hAnsi="Arial" w:cs="Arial"/>
          <w:b/>
          <w:bCs/>
          <w:sz w:val="22"/>
          <w:szCs w:val="22"/>
        </w:rPr>
        <w:t xml:space="preserve"> Bridge</w:t>
      </w:r>
    </w:p>
    <w:p w14:paraId="25A25093" w14:textId="77777777" w:rsidR="00F43BD3" w:rsidRPr="00F43BD3" w:rsidRDefault="007F44AF" w:rsidP="00F43BD3">
      <w:pPr>
        <w:spacing w:line="240" w:lineRule="auto"/>
        <w:jc w:val="both"/>
        <w:rPr>
          <w:rFonts w:ascii="Arial" w:hAnsi="Arial" w:cs="Arial"/>
          <w:sz w:val="20"/>
          <w:szCs w:val="20"/>
        </w:rPr>
      </w:pPr>
      <w:r w:rsidRPr="007F44AF">
        <w:rPr>
          <w:rFonts w:ascii="Arial" w:hAnsi="Arial" w:cs="Arial"/>
          <w:sz w:val="20"/>
          <w:szCs w:val="20"/>
        </w:rPr>
        <w:t xml:space="preserve">At </w:t>
      </w:r>
      <w:proofErr w:type="spellStart"/>
      <w:r w:rsidRPr="007F44AF">
        <w:rPr>
          <w:rFonts w:ascii="Arial" w:hAnsi="Arial" w:cs="Arial"/>
          <w:sz w:val="20"/>
          <w:szCs w:val="20"/>
        </w:rPr>
        <w:t>Rumuibekwe</w:t>
      </w:r>
      <w:proofErr w:type="spellEnd"/>
      <w:r w:rsidRPr="007F44AF">
        <w:rPr>
          <w:rFonts w:ascii="Arial" w:hAnsi="Arial" w:cs="Arial"/>
          <w:sz w:val="20"/>
          <w:szCs w:val="20"/>
        </w:rPr>
        <w:t xml:space="preserve"> Bridge, Table 1 displays the findings of the descriptive statistic for the soil parameters derived from 16 samples. N-values for the standard penetration test showed a mean of 20.25±11.43, with a broad range of 4 to 36. Meyerhoff (1956) defined compact soil as having an SPT-N value between 10 and 30 and cohesionless soil with SPT values less than 4 as primarily very loose soil. Across the sampling depths, the soil at </w:t>
      </w:r>
      <w:proofErr w:type="spellStart"/>
      <w:r w:rsidRPr="007F44AF">
        <w:rPr>
          <w:rFonts w:ascii="Arial" w:hAnsi="Arial" w:cs="Arial"/>
          <w:sz w:val="20"/>
          <w:szCs w:val="20"/>
        </w:rPr>
        <w:t>Rumuibekwe</w:t>
      </w:r>
      <w:proofErr w:type="spellEnd"/>
      <w:r w:rsidRPr="007F44AF">
        <w:rPr>
          <w:rFonts w:ascii="Arial" w:hAnsi="Arial" w:cs="Arial"/>
          <w:sz w:val="20"/>
          <w:szCs w:val="20"/>
        </w:rPr>
        <w:t xml:space="preserve"> Bridge showed notable variation in soil density conditions, according to the SPT-N values. The mean angle of internal friction was 32.25±3.75°, which is normal for sandy soils and ranged from 26° to 38°.</w:t>
      </w:r>
      <w:r>
        <w:rPr>
          <w:rFonts w:ascii="Arial" w:hAnsi="Arial" w:cs="Arial"/>
          <w:sz w:val="20"/>
          <w:szCs w:val="20"/>
        </w:rPr>
        <w:t xml:space="preserve"> </w:t>
      </w:r>
      <w:r w:rsidR="00F43BD3" w:rsidRPr="00F43BD3">
        <w:rPr>
          <w:rFonts w:ascii="Arial" w:hAnsi="Arial" w:cs="Arial"/>
          <w:sz w:val="20"/>
          <w:szCs w:val="20"/>
        </w:rPr>
        <w:t xml:space="preserve">With a mean of 163.98 kPa, effective overburden stress varied from 56.00 to 276.55 kPa. Diverse particle size distributions were found within the soil layers, as evidenced by the median grain size (D50), which varied significantly from 0.002 to 2.008 mm with a mean of 0.52±0.67 mm. As per the Unified Soil Classification System (USCS), the D50 values indicate a diverse soil profile that includes medium sand (D50 = 2.008 mm) and fine-grained soils (D50 = 0.002 mm, which correspond to clay-sized particles). The conditions are primarily fine sand, as shown by the median value of 0.20mm. The subsoils at </w:t>
      </w:r>
      <w:proofErr w:type="spellStart"/>
      <w:r w:rsidR="00F43BD3" w:rsidRPr="00F43BD3">
        <w:rPr>
          <w:rFonts w:ascii="Arial" w:hAnsi="Arial" w:cs="Arial"/>
          <w:sz w:val="20"/>
          <w:szCs w:val="20"/>
        </w:rPr>
        <w:t>Rumuibekwe</w:t>
      </w:r>
      <w:proofErr w:type="spellEnd"/>
      <w:r w:rsidR="00F43BD3" w:rsidRPr="00F43BD3">
        <w:rPr>
          <w:rFonts w:ascii="Arial" w:hAnsi="Arial" w:cs="Arial"/>
          <w:sz w:val="20"/>
          <w:szCs w:val="20"/>
        </w:rPr>
        <w:t xml:space="preserve"> Bridge are primarily fine particles that are compacted, according to the soil conditions. This indicates that clay soils make up the majority of the </w:t>
      </w:r>
      <w:proofErr w:type="spellStart"/>
      <w:r w:rsidR="00F43BD3" w:rsidRPr="00F43BD3">
        <w:rPr>
          <w:rFonts w:ascii="Arial" w:hAnsi="Arial" w:cs="Arial"/>
          <w:sz w:val="20"/>
          <w:szCs w:val="20"/>
        </w:rPr>
        <w:t>subsurfaces</w:t>
      </w:r>
      <w:proofErr w:type="spellEnd"/>
      <w:r w:rsidR="00F43BD3" w:rsidRPr="00F43BD3">
        <w:rPr>
          <w:rFonts w:ascii="Arial" w:hAnsi="Arial" w:cs="Arial"/>
          <w:sz w:val="20"/>
          <w:szCs w:val="20"/>
        </w:rPr>
        <w:t xml:space="preserve"> at that site.</w:t>
      </w:r>
    </w:p>
    <w:p w14:paraId="6ABC4761" w14:textId="5EF9D943" w:rsidR="00F63CE3" w:rsidRPr="00A71974" w:rsidRDefault="00F63CE3"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1</w:t>
      </w:r>
      <w:r w:rsidRPr="00A71974">
        <w:rPr>
          <w:rFonts w:ascii="Arial" w:hAnsi="Arial" w:cs="Arial"/>
          <w:b/>
          <w:bCs/>
          <w:sz w:val="20"/>
          <w:szCs w:val="20"/>
        </w:rPr>
        <w:t xml:space="preserve">: </w:t>
      </w:r>
      <w:r w:rsidRPr="00A71974">
        <w:rPr>
          <w:rFonts w:ascii="Arial" w:hAnsi="Arial" w:cs="Arial"/>
          <w:sz w:val="20"/>
          <w:szCs w:val="20"/>
        </w:rPr>
        <w:t>Parameter Statistics by Location</w:t>
      </w:r>
    </w:p>
    <w:tbl>
      <w:tblPr>
        <w:tblW w:w="9005" w:type="dxa"/>
        <w:tblCellSpacing w:w="15" w:type="dxa"/>
        <w:tblCellMar>
          <w:top w:w="15" w:type="dxa"/>
          <w:left w:w="15" w:type="dxa"/>
          <w:bottom w:w="15" w:type="dxa"/>
          <w:right w:w="15" w:type="dxa"/>
        </w:tblCellMar>
        <w:tblLook w:val="04A0" w:firstRow="1" w:lastRow="0" w:firstColumn="1" w:lastColumn="0" w:noHBand="0" w:noVBand="1"/>
      </w:tblPr>
      <w:tblGrid>
        <w:gridCol w:w="2959"/>
        <w:gridCol w:w="938"/>
        <w:gridCol w:w="989"/>
        <w:gridCol w:w="1104"/>
        <w:gridCol w:w="1188"/>
        <w:gridCol w:w="823"/>
        <w:gridCol w:w="1004"/>
      </w:tblGrid>
      <w:tr w:rsidR="00BB7B90" w:rsidRPr="00A71974" w14:paraId="7333CA5D" w14:textId="77777777" w:rsidTr="00BB7B90">
        <w:trPr>
          <w:trHeight w:val="302"/>
          <w:tblHeader/>
          <w:tblCellSpacing w:w="15" w:type="dxa"/>
        </w:trPr>
        <w:tc>
          <w:tcPr>
            <w:tcW w:w="0" w:type="auto"/>
            <w:tcBorders>
              <w:top w:val="single" w:sz="4" w:space="0" w:color="auto"/>
              <w:bottom w:val="single" w:sz="4" w:space="0" w:color="auto"/>
            </w:tcBorders>
            <w:vAlign w:val="center"/>
            <w:hideMark/>
          </w:tcPr>
          <w:p w14:paraId="3D3F31A0"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Parameter</w:t>
            </w:r>
          </w:p>
        </w:tc>
        <w:tc>
          <w:tcPr>
            <w:tcW w:w="0" w:type="auto"/>
            <w:tcBorders>
              <w:top w:val="single" w:sz="4" w:space="0" w:color="auto"/>
              <w:bottom w:val="single" w:sz="4" w:space="0" w:color="auto"/>
            </w:tcBorders>
            <w:vAlign w:val="center"/>
            <w:hideMark/>
          </w:tcPr>
          <w:p w14:paraId="3C5F9E1E"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Count</w:t>
            </w:r>
          </w:p>
        </w:tc>
        <w:tc>
          <w:tcPr>
            <w:tcW w:w="0" w:type="auto"/>
            <w:tcBorders>
              <w:top w:val="single" w:sz="4" w:space="0" w:color="auto"/>
              <w:bottom w:val="single" w:sz="4" w:space="0" w:color="auto"/>
            </w:tcBorders>
            <w:vAlign w:val="center"/>
            <w:hideMark/>
          </w:tcPr>
          <w:p w14:paraId="3B41BA51"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Mean</w:t>
            </w:r>
          </w:p>
        </w:tc>
        <w:tc>
          <w:tcPr>
            <w:tcW w:w="0" w:type="auto"/>
            <w:tcBorders>
              <w:top w:val="single" w:sz="4" w:space="0" w:color="auto"/>
              <w:bottom w:val="single" w:sz="4" w:space="0" w:color="auto"/>
            </w:tcBorders>
            <w:vAlign w:val="center"/>
            <w:hideMark/>
          </w:tcPr>
          <w:p w14:paraId="639591F6"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Median</w:t>
            </w:r>
          </w:p>
        </w:tc>
        <w:tc>
          <w:tcPr>
            <w:tcW w:w="0" w:type="auto"/>
            <w:tcBorders>
              <w:top w:val="single" w:sz="4" w:space="0" w:color="auto"/>
              <w:bottom w:val="single" w:sz="4" w:space="0" w:color="auto"/>
            </w:tcBorders>
            <w:vAlign w:val="center"/>
            <w:hideMark/>
          </w:tcPr>
          <w:p w14:paraId="7C0D70B7"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Std Dev</w:t>
            </w:r>
          </w:p>
        </w:tc>
        <w:tc>
          <w:tcPr>
            <w:tcW w:w="0" w:type="auto"/>
            <w:tcBorders>
              <w:top w:val="single" w:sz="4" w:space="0" w:color="auto"/>
              <w:bottom w:val="single" w:sz="4" w:space="0" w:color="auto"/>
            </w:tcBorders>
            <w:vAlign w:val="center"/>
            <w:hideMark/>
          </w:tcPr>
          <w:p w14:paraId="2AAA2154"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Min</w:t>
            </w:r>
          </w:p>
        </w:tc>
        <w:tc>
          <w:tcPr>
            <w:tcW w:w="0" w:type="auto"/>
            <w:tcBorders>
              <w:top w:val="single" w:sz="4" w:space="0" w:color="auto"/>
              <w:bottom w:val="single" w:sz="4" w:space="0" w:color="auto"/>
            </w:tcBorders>
            <w:vAlign w:val="center"/>
            <w:hideMark/>
          </w:tcPr>
          <w:p w14:paraId="5BCD6F4D"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Max</w:t>
            </w:r>
          </w:p>
        </w:tc>
      </w:tr>
      <w:tr w:rsidR="00BB7B90" w:rsidRPr="00A71974" w14:paraId="13EB46A1" w14:textId="77777777" w:rsidTr="00BB7B90">
        <w:trPr>
          <w:trHeight w:val="312"/>
          <w:tblCellSpacing w:w="15" w:type="dxa"/>
        </w:trPr>
        <w:tc>
          <w:tcPr>
            <w:tcW w:w="0" w:type="auto"/>
            <w:vAlign w:val="center"/>
            <w:hideMark/>
          </w:tcPr>
          <w:p w14:paraId="24E7597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SPT-N</w:t>
            </w:r>
          </w:p>
        </w:tc>
        <w:tc>
          <w:tcPr>
            <w:tcW w:w="0" w:type="auto"/>
            <w:vAlign w:val="center"/>
            <w:hideMark/>
          </w:tcPr>
          <w:p w14:paraId="5A609BB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4742F27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20.25</w:t>
            </w:r>
          </w:p>
        </w:tc>
        <w:tc>
          <w:tcPr>
            <w:tcW w:w="0" w:type="auto"/>
            <w:vAlign w:val="center"/>
            <w:hideMark/>
          </w:tcPr>
          <w:p w14:paraId="6E5C3BB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23.5</w:t>
            </w:r>
          </w:p>
        </w:tc>
        <w:tc>
          <w:tcPr>
            <w:tcW w:w="0" w:type="auto"/>
            <w:vAlign w:val="center"/>
            <w:hideMark/>
          </w:tcPr>
          <w:p w14:paraId="636B7A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11.43</w:t>
            </w:r>
          </w:p>
        </w:tc>
        <w:tc>
          <w:tcPr>
            <w:tcW w:w="0" w:type="auto"/>
            <w:vAlign w:val="center"/>
            <w:hideMark/>
          </w:tcPr>
          <w:p w14:paraId="2D41A2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4</w:t>
            </w:r>
          </w:p>
        </w:tc>
        <w:tc>
          <w:tcPr>
            <w:tcW w:w="0" w:type="auto"/>
            <w:vAlign w:val="center"/>
            <w:hideMark/>
          </w:tcPr>
          <w:p w14:paraId="49F9EC4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36</w:t>
            </w:r>
          </w:p>
        </w:tc>
      </w:tr>
      <w:tr w:rsidR="00BB7B90" w:rsidRPr="00A71974" w14:paraId="704BF03F" w14:textId="77777777" w:rsidTr="00BB7B90">
        <w:trPr>
          <w:trHeight w:val="312"/>
          <w:tblCellSpacing w:w="15" w:type="dxa"/>
        </w:trPr>
        <w:tc>
          <w:tcPr>
            <w:tcW w:w="0" w:type="auto"/>
            <w:vAlign w:val="center"/>
            <w:hideMark/>
          </w:tcPr>
          <w:p w14:paraId="44013D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Friction Angle (°)</w:t>
            </w:r>
          </w:p>
        </w:tc>
        <w:tc>
          <w:tcPr>
            <w:tcW w:w="0" w:type="auto"/>
            <w:vAlign w:val="center"/>
            <w:hideMark/>
          </w:tcPr>
          <w:p w14:paraId="7E975A8C"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0F79A3B3"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32.25</w:t>
            </w:r>
          </w:p>
        </w:tc>
        <w:tc>
          <w:tcPr>
            <w:tcW w:w="0" w:type="auto"/>
            <w:vAlign w:val="center"/>
            <w:hideMark/>
          </w:tcPr>
          <w:p w14:paraId="4889C0CD"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32.5</w:t>
            </w:r>
          </w:p>
        </w:tc>
        <w:tc>
          <w:tcPr>
            <w:tcW w:w="0" w:type="auto"/>
            <w:vAlign w:val="center"/>
            <w:hideMark/>
          </w:tcPr>
          <w:p w14:paraId="67B649D8"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3.75</w:t>
            </w:r>
          </w:p>
        </w:tc>
        <w:tc>
          <w:tcPr>
            <w:tcW w:w="0" w:type="auto"/>
            <w:vAlign w:val="center"/>
            <w:hideMark/>
          </w:tcPr>
          <w:p w14:paraId="573BC7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26</w:t>
            </w:r>
          </w:p>
        </w:tc>
        <w:tc>
          <w:tcPr>
            <w:tcW w:w="0" w:type="auto"/>
            <w:vAlign w:val="center"/>
            <w:hideMark/>
          </w:tcPr>
          <w:p w14:paraId="2B5B800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38</w:t>
            </w:r>
          </w:p>
        </w:tc>
      </w:tr>
      <w:tr w:rsidR="00BB7B90" w:rsidRPr="00A71974" w14:paraId="33C8045F" w14:textId="77777777" w:rsidTr="00BB7B90">
        <w:trPr>
          <w:trHeight w:val="312"/>
          <w:tblCellSpacing w:w="15" w:type="dxa"/>
        </w:trPr>
        <w:tc>
          <w:tcPr>
            <w:tcW w:w="0" w:type="auto"/>
            <w:vAlign w:val="center"/>
            <w:hideMark/>
          </w:tcPr>
          <w:p w14:paraId="2C4CA151"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Effective Stress (kPa)</w:t>
            </w:r>
          </w:p>
        </w:tc>
        <w:tc>
          <w:tcPr>
            <w:tcW w:w="0" w:type="auto"/>
            <w:vAlign w:val="center"/>
            <w:hideMark/>
          </w:tcPr>
          <w:p w14:paraId="12D560C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1EEF00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163.98</w:t>
            </w:r>
          </w:p>
        </w:tc>
        <w:tc>
          <w:tcPr>
            <w:tcW w:w="0" w:type="auto"/>
            <w:vAlign w:val="center"/>
            <w:hideMark/>
          </w:tcPr>
          <w:p w14:paraId="51ED1D70"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160.77</w:t>
            </w:r>
          </w:p>
        </w:tc>
        <w:tc>
          <w:tcPr>
            <w:tcW w:w="0" w:type="auto"/>
            <w:vAlign w:val="center"/>
            <w:hideMark/>
          </w:tcPr>
          <w:p w14:paraId="108F39F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73.75</w:t>
            </w:r>
          </w:p>
        </w:tc>
        <w:tc>
          <w:tcPr>
            <w:tcW w:w="0" w:type="auto"/>
            <w:vAlign w:val="center"/>
            <w:hideMark/>
          </w:tcPr>
          <w:p w14:paraId="61B072C1"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56.00</w:t>
            </w:r>
          </w:p>
        </w:tc>
        <w:tc>
          <w:tcPr>
            <w:tcW w:w="0" w:type="auto"/>
            <w:vAlign w:val="center"/>
            <w:hideMark/>
          </w:tcPr>
          <w:p w14:paraId="492F39C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276.55</w:t>
            </w:r>
          </w:p>
        </w:tc>
      </w:tr>
      <w:tr w:rsidR="00BB7B90" w:rsidRPr="00A71974" w14:paraId="229A20F8" w14:textId="77777777" w:rsidTr="00BB7B90">
        <w:trPr>
          <w:trHeight w:val="302"/>
          <w:tblCellSpacing w:w="15" w:type="dxa"/>
        </w:trPr>
        <w:tc>
          <w:tcPr>
            <w:tcW w:w="0" w:type="auto"/>
            <w:tcBorders>
              <w:bottom w:val="single" w:sz="4" w:space="0" w:color="auto"/>
            </w:tcBorders>
            <w:vAlign w:val="center"/>
            <w:hideMark/>
          </w:tcPr>
          <w:p w14:paraId="1B5C8722"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D50 (mm)</w:t>
            </w:r>
          </w:p>
        </w:tc>
        <w:tc>
          <w:tcPr>
            <w:tcW w:w="0" w:type="auto"/>
            <w:tcBorders>
              <w:bottom w:val="single" w:sz="4" w:space="0" w:color="auto"/>
            </w:tcBorders>
            <w:vAlign w:val="center"/>
            <w:hideMark/>
          </w:tcPr>
          <w:p w14:paraId="47B8D5E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tcBorders>
              <w:bottom w:val="single" w:sz="4" w:space="0" w:color="auto"/>
            </w:tcBorders>
            <w:vAlign w:val="center"/>
            <w:hideMark/>
          </w:tcPr>
          <w:p w14:paraId="18F3D6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0.52</w:t>
            </w:r>
          </w:p>
        </w:tc>
        <w:tc>
          <w:tcPr>
            <w:tcW w:w="0" w:type="auto"/>
            <w:tcBorders>
              <w:bottom w:val="single" w:sz="4" w:space="0" w:color="auto"/>
            </w:tcBorders>
            <w:vAlign w:val="center"/>
            <w:hideMark/>
          </w:tcPr>
          <w:p w14:paraId="5D6EC6A3"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0.20</w:t>
            </w:r>
          </w:p>
        </w:tc>
        <w:tc>
          <w:tcPr>
            <w:tcW w:w="0" w:type="auto"/>
            <w:tcBorders>
              <w:bottom w:val="single" w:sz="4" w:space="0" w:color="auto"/>
            </w:tcBorders>
            <w:vAlign w:val="center"/>
            <w:hideMark/>
          </w:tcPr>
          <w:p w14:paraId="7DC74B4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0.67</w:t>
            </w:r>
          </w:p>
        </w:tc>
        <w:tc>
          <w:tcPr>
            <w:tcW w:w="0" w:type="auto"/>
            <w:tcBorders>
              <w:bottom w:val="single" w:sz="4" w:space="0" w:color="auto"/>
            </w:tcBorders>
            <w:vAlign w:val="center"/>
            <w:hideMark/>
          </w:tcPr>
          <w:p w14:paraId="61A0E5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0.002</w:t>
            </w:r>
          </w:p>
        </w:tc>
        <w:tc>
          <w:tcPr>
            <w:tcW w:w="0" w:type="auto"/>
            <w:tcBorders>
              <w:bottom w:val="single" w:sz="4" w:space="0" w:color="auto"/>
            </w:tcBorders>
            <w:vAlign w:val="center"/>
            <w:hideMark/>
          </w:tcPr>
          <w:p w14:paraId="748B6477"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2.008</w:t>
            </w:r>
          </w:p>
        </w:tc>
      </w:tr>
    </w:tbl>
    <w:p w14:paraId="5B980420" w14:textId="77777777" w:rsidR="00762CEF" w:rsidRPr="00A71974" w:rsidRDefault="00762CEF" w:rsidP="00A71974">
      <w:pPr>
        <w:spacing w:line="240" w:lineRule="auto"/>
        <w:jc w:val="both"/>
        <w:rPr>
          <w:rFonts w:ascii="Arial" w:hAnsi="Arial" w:cs="Arial"/>
          <w:sz w:val="20"/>
          <w:szCs w:val="20"/>
        </w:rPr>
      </w:pPr>
    </w:p>
    <w:p w14:paraId="072C7617" w14:textId="0859A66E"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w:t>
      </w:r>
      <w:r w:rsidR="00F63CE3" w:rsidRPr="00A71974">
        <w:rPr>
          <w:rFonts w:ascii="Arial" w:hAnsi="Arial" w:cs="Arial"/>
          <w:b/>
          <w:bCs/>
          <w:sz w:val="22"/>
          <w:szCs w:val="22"/>
        </w:rPr>
        <w:t>2</w:t>
      </w:r>
      <w:r w:rsidRPr="00A71974">
        <w:rPr>
          <w:rFonts w:ascii="Arial" w:hAnsi="Arial" w:cs="Arial"/>
          <w:b/>
          <w:bCs/>
          <w:sz w:val="22"/>
          <w:szCs w:val="22"/>
        </w:rPr>
        <w:t xml:space="preserve"> Correlation Analysis</w:t>
      </w:r>
    </w:p>
    <w:p w14:paraId="2B83284C" w14:textId="77777777" w:rsidR="00F43BD3" w:rsidRPr="00F43BD3" w:rsidRDefault="00F43BD3" w:rsidP="00F43BD3">
      <w:pPr>
        <w:spacing w:line="240" w:lineRule="auto"/>
        <w:jc w:val="both"/>
        <w:rPr>
          <w:rFonts w:ascii="Arial" w:hAnsi="Arial" w:cs="Arial"/>
          <w:sz w:val="20"/>
          <w:szCs w:val="20"/>
        </w:rPr>
      </w:pPr>
      <w:r w:rsidRPr="00F43BD3">
        <w:rPr>
          <w:rFonts w:ascii="Arial" w:hAnsi="Arial" w:cs="Arial"/>
          <w:sz w:val="20"/>
          <w:szCs w:val="20"/>
        </w:rPr>
        <w:t xml:space="preserve">The association between the soil characteristics and the outcome shown in Table 2 was determined using Pearson correlation. Several of the soil characteristics and the angle of internal friction showed remarkably significant linear connections, according to the Pearson correlation study. The strongest association between friction angle and effective overburden pressure (r = 0.96, p &lt; 0.001) was found, indicating that the soils' shear strength is essentially stress-dependent. The theoretical underpinnings of employing penetration resistance as an indication of shear strength features were supported by the very significant connection between SPT-N and friction angle (r = 0.90, p &lt; 0.001). The median grain size and the angle of internal friction did, however, exhibit a somewhat </w:t>
      </w:r>
      <w:proofErr w:type="spellStart"/>
      <w:r w:rsidRPr="00F43BD3">
        <w:rPr>
          <w:rFonts w:ascii="Arial" w:hAnsi="Arial" w:cs="Arial"/>
          <w:sz w:val="20"/>
          <w:szCs w:val="20"/>
        </w:rPr>
        <w:t>favorable</w:t>
      </w:r>
      <w:proofErr w:type="spellEnd"/>
      <w:r w:rsidRPr="00F43BD3">
        <w:rPr>
          <w:rFonts w:ascii="Arial" w:hAnsi="Arial" w:cs="Arial"/>
          <w:sz w:val="20"/>
          <w:szCs w:val="20"/>
        </w:rPr>
        <w:t xml:space="preserve"> correlation.</w:t>
      </w:r>
    </w:p>
    <w:p w14:paraId="4FBAF6CB" w14:textId="49576A94"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2</w:t>
      </w:r>
      <w:r w:rsidRPr="00A71974">
        <w:rPr>
          <w:rFonts w:ascii="Arial" w:hAnsi="Arial" w:cs="Arial"/>
          <w:b/>
          <w:bCs/>
          <w:sz w:val="20"/>
          <w:szCs w:val="20"/>
        </w:rPr>
        <w:t xml:space="preserve">: </w:t>
      </w:r>
      <w:r w:rsidRPr="00A71974">
        <w:rPr>
          <w:rFonts w:ascii="Arial" w:hAnsi="Arial" w:cs="Arial"/>
          <w:sz w:val="20"/>
          <w:szCs w:val="20"/>
        </w:rPr>
        <w:t>Pearson Correlation Matrix</w:t>
      </w:r>
    </w:p>
    <w:tbl>
      <w:tblPr>
        <w:tblW w:w="8952" w:type="dxa"/>
        <w:tblLook w:val="04A0" w:firstRow="1" w:lastRow="0" w:firstColumn="1" w:lastColumn="0" w:noHBand="0" w:noVBand="1"/>
      </w:tblPr>
      <w:tblGrid>
        <w:gridCol w:w="3417"/>
        <w:gridCol w:w="1758"/>
        <w:gridCol w:w="1259"/>
        <w:gridCol w:w="1259"/>
        <w:gridCol w:w="1259"/>
      </w:tblGrid>
      <w:tr w:rsidR="00CE7F4E" w:rsidRPr="00A71974" w14:paraId="507EF471" w14:textId="77777777" w:rsidTr="00CE7F4E">
        <w:trPr>
          <w:trHeight w:val="260"/>
        </w:trPr>
        <w:tc>
          <w:tcPr>
            <w:tcW w:w="3417" w:type="dxa"/>
            <w:tcBorders>
              <w:top w:val="single" w:sz="8" w:space="0" w:color="auto"/>
              <w:left w:val="nil"/>
              <w:bottom w:val="nil"/>
              <w:right w:val="nil"/>
            </w:tcBorders>
            <w:noWrap/>
            <w:vAlign w:val="center"/>
            <w:hideMark/>
          </w:tcPr>
          <w:p w14:paraId="1E6601AA"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Variables</w:t>
            </w:r>
          </w:p>
        </w:tc>
        <w:tc>
          <w:tcPr>
            <w:tcW w:w="1758" w:type="dxa"/>
            <w:tcBorders>
              <w:top w:val="single" w:sz="8" w:space="0" w:color="auto"/>
              <w:left w:val="nil"/>
              <w:bottom w:val="nil"/>
              <w:right w:val="nil"/>
            </w:tcBorders>
            <w:noWrap/>
            <w:vAlign w:val="center"/>
            <w:hideMark/>
          </w:tcPr>
          <w:p w14:paraId="4A5A8D3B"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Effective Overburden pressure</w:t>
            </w:r>
          </w:p>
        </w:tc>
        <w:tc>
          <w:tcPr>
            <w:tcW w:w="1259" w:type="dxa"/>
            <w:tcBorders>
              <w:top w:val="single" w:sz="8" w:space="0" w:color="auto"/>
              <w:left w:val="nil"/>
              <w:bottom w:val="nil"/>
              <w:right w:val="nil"/>
            </w:tcBorders>
            <w:noWrap/>
            <w:vAlign w:val="center"/>
            <w:hideMark/>
          </w:tcPr>
          <w:p w14:paraId="0EE8EC4D" w14:textId="73DE37F5" w:rsidR="00CE7F4E" w:rsidRPr="00A71974" w:rsidRDefault="002743EA"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259" w:type="dxa"/>
            <w:tcBorders>
              <w:top w:val="single" w:sz="8" w:space="0" w:color="auto"/>
              <w:left w:val="nil"/>
              <w:bottom w:val="nil"/>
              <w:right w:val="nil"/>
            </w:tcBorders>
            <w:noWrap/>
            <w:vAlign w:val="center"/>
            <w:hideMark/>
          </w:tcPr>
          <w:p w14:paraId="18BDED9D"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259" w:type="dxa"/>
            <w:tcBorders>
              <w:top w:val="single" w:sz="8" w:space="0" w:color="auto"/>
              <w:left w:val="nil"/>
              <w:bottom w:val="nil"/>
              <w:right w:val="nil"/>
            </w:tcBorders>
            <w:noWrap/>
            <w:vAlign w:val="center"/>
            <w:hideMark/>
          </w:tcPr>
          <w:p w14:paraId="495156E2"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Ø</w:t>
            </w:r>
          </w:p>
        </w:tc>
      </w:tr>
      <w:tr w:rsidR="00CE7F4E" w:rsidRPr="00A71974" w14:paraId="64A2D9B1" w14:textId="77777777" w:rsidTr="00CE7F4E">
        <w:trPr>
          <w:trHeight w:val="260"/>
        </w:trPr>
        <w:tc>
          <w:tcPr>
            <w:tcW w:w="3417" w:type="dxa"/>
            <w:tcBorders>
              <w:top w:val="single" w:sz="4" w:space="0" w:color="auto"/>
              <w:left w:val="nil"/>
              <w:bottom w:val="nil"/>
              <w:right w:val="nil"/>
            </w:tcBorders>
            <w:noWrap/>
            <w:vAlign w:val="center"/>
            <w:hideMark/>
          </w:tcPr>
          <w:p w14:paraId="317472CF"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lastRenderedPageBreak/>
              <w:t>Effective Overburden pressure</w:t>
            </w:r>
          </w:p>
        </w:tc>
        <w:tc>
          <w:tcPr>
            <w:tcW w:w="1758" w:type="dxa"/>
            <w:tcBorders>
              <w:top w:val="single" w:sz="4" w:space="0" w:color="auto"/>
              <w:left w:val="nil"/>
              <w:bottom w:val="nil"/>
              <w:right w:val="nil"/>
            </w:tcBorders>
            <w:noWrap/>
            <w:vAlign w:val="center"/>
            <w:hideMark/>
          </w:tcPr>
          <w:p w14:paraId="5B654E4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single" w:sz="4" w:space="0" w:color="auto"/>
              <w:left w:val="nil"/>
              <w:bottom w:val="nil"/>
              <w:right w:val="nil"/>
            </w:tcBorders>
            <w:noWrap/>
            <w:vAlign w:val="center"/>
            <w:hideMark/>
          </w:tcPr>
          <w:p w14:paraId="58790D40" w14:textId="29ED6BFD"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c>
          <w:tcPr>
            <w:tcW w:w="1259" w:type="dxa"/>
            <w:tcBorders>
              <w:top w:val="single" w:sz="4" w:space="0" w:color="auto"/>
              <w:left w:val="nil"/>
              <w:bottom w:val="nil"/>
              <w:right w:val="nil"/>
            </w:tcBorders>
            <w:noWrap/>
            <w:vAlign w:val="center"/>
            <w:hideMark/>
          </w:tcPr>
          <w:p w14:paraId="36FE3C13" w14:textId="145486E1"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p>
        </w:tc>
        <w:tc>
          <w:tcPr>
            <w:tcW w:w="1259" w:type="dxa"/>
            <w:tcBorders>
              <w:top w:val="single" w:sz="4" w:space="0" w:color="auto"/>
              <w:left w:val="nil"/>
              <w:bottom w:val="nil"/>
              <w:right w:val="nil"/>
            </w:tcBorders>
            <w:noWrap/>
            <w:vAlign w:val="center"/>
            <w:hideMark/>
          </w:tcPr>
          <w:p w14:paraId="525366FD" w14:textId="09C72189"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r>
      <w:tr w:rsidR="00CE7F4E" w:rsidRPr="00A71974" w14:paraId="1609E827" w14:textId="77777777" w:rsidTr="00CE7F4E">
        <w:trPr>
          <w:trHeight w:val="260"/>
        </w:trPr>
        <w:tc>
          <w:tcPr>
            <w:tcW w:w="3417" w:type="dxa"/>
            <w:tcBorders>
              <w:top w:val="nil"/>
              <w:left w:val="nil"/>
              <w:bottom w:val="nil"/>
              <w:right w:val="nil"/>
            </w:tcBorders>
            <w:noWrap/>
            <w:vAlign w:val="center"/>
            <w:hideMark/>
          </w:tcPr>
          <w:p w14:paraId="568636B6" w14:textId="21CA1F44" w:rsidR="00CE7F4E" w:rsidRPr="00A71974" w:rsidRDefault="00DB3F91"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758" w:type="dxa"/>
            <w:tcBorders>
              <w:top w:val="nil"/>
              <w:left w:val="nil"/>
              <w:bottom w:val="nil"/>
              <w:right w:val="nil"/>
            </w:tcBorders>
            <w:noWrap/>
            <w:vAlign w:val="center"/>
            <w:hideMark/>
          </w:tcPr>
          <w:p w14:paraId="75EDD50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0.96</w:t>
            </w:r>
          </w:p>
        </w:tc>
        <w:tc>
          <w:tcPr>
            <w:tcW w:w="1259" w:type="dxa"/>
            <w:tcBorders>
              <w:top w:val="nil"/>
              <w:left w:val="nil"/>
              <w:bottom w:val="nil"/>
              <w:right w:val="nil"/>
            </w:tcBorders>
            <w:noWrap/>
            <w:vAlign w:val="center"/>
            <w:hideMark/>
          </w:tcPr>
          <w:p w14:paraId="401289D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nil"/>
              <w:left w:val="nil"/>
              <w:bottom w:val="nil"/>
              <w:right w:val="nil"/>
            </w:tcBorders>
            <w:noWrap/>
            <w:vAlign w:val="center"/>
            <w:hideMark/>
          </w:tcPr>
          <w:p w14:paraId="223EF9B7"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c>
          <w:tcPr>
            <w:tcW w:w="1259" w:type="dxa"/>
            <w:tcBorders>
              <w:top w:val="nil"/>
              <w:left w:val="nil"/>
              <w:bottom w:val="nil"/>
              <w:right w:val="nil"/>
            </w:tcBorders>
            <w:noWrap/>
            <w:vAlign w:val="center"/>
            <w:hideMark/>
          </w:tcPr>
          <w:p w14:paraId="64FE9794" w14:textId="77777777" w:rsidR="00CE7F4E" w:rsidRPr="00A71974" w:rsidRDefault="00CE7F4E" w:rsidP="00A71974">
            <w:pPr>
              <w:spacing w:after="0" w:line="240" w:lineRule="auto"/>
              <w:jc w:val="both"/>
              <w:rPr>
                <w:rFonts w:ascii="Arial" w:eastAsia="Times New Roman" w:hAnsi="Arial" w:cs="Arial"/>
                <w:kern w:val="0"/>
                <w:sz w:val="20"/>
                <w:szCs w:val="20"/>
                <w:lang w:eastAsia="en-GB"/>
                <w14:ligatures w14:val="none"/>
              </w:rPr>
            </w:pPr>
          </w:p>
        </w:tc>
      </w:tr>
      <w:tr w:rsidR="00CE7F4E" w:rsidRPr="00A71974" w14:paraId="2D7184AF" w14:textId="77777777" w:rsidTr="00CE7F4E">
        <w:trPr>
          <w:trHeight w:val="260"/>
        </w:trPr>
        <w:tc>
          <w:tcPr>
            <w:tcW w:w="3417" w:type="dxa"/>
            <w:tcBorders>
              <w:top w:val="nil"/>
              <w:left w:val="nil"/>
              <w:bottom w:val="nil"/>
              <w:right w:val="nil"/>
            </w:tcBorders>
            <w:noWrap/>
            <w:vAlign w:val="center"/>
            <w:hideMark/>
          </w:tcPr>
          <w:p w14:paraId="151BDC6A"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758" w:type="dxa"/>
            <w:tcBorders>
              <w:top w:val="nil"/>
              <w:left w:val="nil"/>
              <w:bottom w:val="nil"/>
              <w:right w:val="nil"/>
            </w:tcBorders>
            <w:noWrap/>
            <w:vAlign w:val="center"/>
            <w:hideMark/>
          </w:tcPr>
          <w:p w14:paraId="68E3837B"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0.53</w:t>
            </w:r>
          </w:p>
        </w:tc>
        <w:tc>
          <w:tcPr>
            <w:tcW w:w="1259" w:type="dxa"/>
            <w:tcBorders>
              <w:top w:val="nil"/>
              <w:left w:val="nil"/>
              <w:bottom w:val="nil"/>
              <w:right w:val="nil"/>
            </w:tcBorders>
            <w:noWrap/>
            <w:vAlign w:val="center"/>
            <w:hideMark/>
          </w:tcPr>
          <w:p w14:paraId="7B37EFA1"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0.61</w:t>
            </w:r>
          </w:p>
        </w:tc>
        <w:tc>
          <w:tcPr>
            <w:tcW w:w="1259" w:type="dxa"/>
            <w:tcBorders>
              <w:top w:val="nil"/>
              <w:left w:val="nil"/>
              <w:bottom w:val="nil"/>
              <w:right w:val="nil"/>
            </w:tcBorders>
            <w:noWrap/>
            <w:vAlign w:val="center"/>
            <w:hideMark/>
          </w:tcPr>
          <w:p w14:paraId="2BF0ED8C"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nil"/>
              <w:left w:val="nil"/>
              <w:bottom w:val="nil"/>
              <w:right w:val="nil"/>
            </w:tcBorders>
            <w:noWrap/>
            <w:vAlign w:val="center"/>
            <w:hideMark/>
          </w:tcPr>
          <w:p w14:paraId="54D5E9A7"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r>
      <w:tr w:rsidR="00CE7F4E" w:rsidRPr="00A71974" w14:paraId="09A110A7" w14:textId="77777777" w:rsidTr="00CE7F4E">
        <w:trPr>
          <w:trHeight w:val="273"/>
        </w:trPr>
        <w:tc>
          <w:tcPr>
            <w:tcW w:w="3417" w:type="dxa"/>
            <w:tcBorders>
              <w:top w:val="nil"/>
              <w:left w:val="nil"/>
              <w:bottom w:val="single" w:sz="8" w:space="0" w:color="auto"/>
              <w:right w:val="nil"/>
            </w:tcBorders>
            <w:noWrap/>
            <w:vAlign w:val="center"/>
            <w:hideMark/>
          </w:tcPr>
          <w:p w14:paraId="76FBFF51"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Ø</w:t>
            </w:r>
          </w:p>
        </w:tc>
        <w:tc>
          <w:tcPr>
            <w:tcW w:w="1758" w:type="dxa"/>
            <w:tcBorders>
              <w:top w:val="nil"/>
              <w:left w:val="nil"/>
              <w:bottom w:val="single" w:sz="8" w:space="0" w:color="auto"/>
              <w:right w:val="nil"/>
            </w:tcBorders>
            <w:noWrap/>
            <w:vAlign w:val="center"/>
            <w:hideMark/>
          </w:tcPr>
          <w:p w14:paraId="3C7ECD26"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0.96</w:t>
            </w:r>
          </w:p>
        </w:tc>
        <w:tc>
          <w:tcPr>
            <w:tcW w:w="1259" w:type="dxa"/>
            <w:tcBorders>
              <w:top w:val="nil"/>
              <w:left w:val="nil"/>
              <w:bottom w:val="single" w:sz="8" w:space="0" w:color="auto"/>
              <w:right w:val="nil"/>
            </w:tcBorders>
            <w:noWrap/>
            <w:vAlign w:val="center"/>
            <w:hideMark/>
          </w:tcPr>
          <w:p w14:paraId="6790F50E"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0.90</w:t>
            </w:r>
          </w:p>
        </w:tc>
        <w:tc>
          <w:tcPr>
            <w:tcW w:w="1259" w:type="dxa"/>
            <w:tcBorders>
              <w:top w:val="nil"/>
              <w:left w:val="nil"/>
              <w:bottom w:val="single" w:sz="8" w:space="0" w:color="auto"/>
              <w:right w:val="nil"/>
            </w:tcBorders>
            <w:noWrap/>
            <w:vAlign w:val="center"/>
            <w:hideMark/>
          </w:tcPr>
          <w:p w14:paraId="3F161A83"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0.49</w:t>
            </w:r>
          </w:p>
        </w:tc>
        <w:tc>
          <w:tcPr>
            <w:tcW w:w="1259" w:type="dxa"/>
            <w:tcBorders>
              <w:top w:val="nil"/>
              <w:left w:val="nil"/>
              <w:bottom w:val="single" w:sz="8" w:space="0" w:color="auto"/>
              <w:right w:val="nil"/>
            </w:tcBorders>
            <w:noWrap/>
            <w:vAlign w:val="center"/>
            <w:hideMark/>
          </w:tcPr>
          <w:p w14:paraId="4E03FA2B"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r>
      <w:tr w:rsidR="00CE7F4E" w:rsidRPr="00A71974" w14:paraId="78161137" w14:textId="77777777" w:rsidTr="00CE7F4E">
        <w:trPr>
          <w:trHeight w:val="260"/>
        </w:trPr>
        <w:tc>
          <w:tcPr>
            <w:tcW w:w="8952" w:type="dxa"/>
            <w:gridSpan w:val="5"/>
            <w:tcBorders>
              <w:top w:val="nil"/>
              <w:left w:val="nil"/>
              <w:bottom w:val="nil"/>
              <w:right w:val="nil"/>
            </w:tcBorders>
            <w:noWrap/>
            <w:vAlign w:val="center"/>
            <w:hideMark/>
          </w:tcPr>
          <w:p w14:paraId="03087FA8" w14:textId="77777777" w:rsidR="00CE7F4E" w:rsidRPr="00A71974" w:rsidRDefault="00CE7F4E" w:rsidP="00A71974">
            <w:pPr>
              <w:spacing w:after="0" w:line="240" w:lineRule="auto"/>
              <w:jc w:val="both"/>
              <w:rPr>
                <w:rFonts w:ascii="Arial" w:eastAsia="Times New Roman" w:hAnsi="Arial" w:cs="Arial"/>
                <w:i/>
                <w:iCs/>
                <w:color w:val="000000"/>
                <w:kern w:val="0"/>
                <w:sz w:val="20"/>
                <w:szCs w:val="20"/>
                <w:lang w:eastAsia="en-GB"/>
                <w14:ligatures w14:val="none"/>
              </w:rPr>
            </w:pPr>
            <w:r w:rsidRPr="00A71974">
              <w:rPr>
                <w:rFonts w:ascii="Arial" w:eastAsia="Times New Roman" w:hAnsi="Arial" w:cs="Arial"/>
                <w:i/>
                <w:iCs/>
                <w:color w:val="000000"/>
                <w:kern w:val="0"/>
                <w:sz w:val="20"/>
                <w:szCs w:val="20"/>
                <w:lang w:eastAsia="en-GB"/>
                <w14:ligatures w14:val="none"/>
              </w:rPr>
              <w:t>Values in bold are different from 0 with a significance level alpha=0.05</w:t>
            </w:r>
          </w:p>
        </w:tc>
      </w:tr>
    </w:tbl>
    <w:p w14:paraId="4D1A2A42" w14:textId="77777777" w:rsidR="00CE7F4E" w:rsidRPr="00A71974" w:rsidRDefault="00CE7F4E" w:rsidP="00A71974">
      <w:pPr>
        <w:spacing w:line="240" w:lineRule="auto"/>
        <w:jc w:val="both"/>
        <w:rPr>
          <w:rFonts w:ascii="Arial" w:hAnsi="Arial" w:cs="Arial"/>
          <w:sz w:val="20"/>
          <w:szCs w:val="20"/>
        </w:rPr>
      </w:pPr>
    </w:p>
    <w:p w14:paraId="5C2200E1" w14:textId="4D94179E"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w:t>
      </w:r>
      <w:r w:rsidR="00F63CE3" w:rsidRPr="00A71974">
        <w:rPr>
          <w:rFonts w:ascii="Arial" w:hAnsi="Arial" w:cs="Arial"/>
          <w:b/>
          <w:bCs/>
          <w:sz w:val="22"/>
          <w:szCs w:val="22"/>
        </w:rPr>
        <w:t>3</w:t>
      </w:r>
      <w:r w:rsidRPr="00A71974">
        <w:rPr>
          <w:rFonts w:ascii="Arial" w:hAnsi="Arial" w:cs="Arial"/>
          <w:b/>
          <w:bCs/>
          <w:sz w:val="22"/>
          <w:szCs w:val="22"/>
        </w:rPr>
        <w:t xml:space="preserve"> </w:t>
      </w:r>
      <w:r w:rsidR="00C77559" w:rsidRPr="00A71974">
        <w:rPr>
          <w:rFonts w:ascii="Arial" w:hAnsi="Arial" w:cs="Arial"/>
          <w:b/>
          <w:bCs/>
          <w:sz w:val="22"/>
          <w:szCs w:val="22"/>
        </w:rPr>
        <w:t>Development</w:t>
      </w:r>
      <w:r w:rsidR="00121B6A" w:rsidRPr="00A71974">
        <w:rPr>
          <w:rFonts w:ascii="Arial" w:hAnsi="Arial" w:cs="Arial"/>
          <w:b/>
          <w:bCs/>
          <w:sz w:val="22"/>
          <w:szCs w:val="22"/>
        </w:rPr>
        <w:t xml:space="preserve"> of Models</w:t>
      </w:r>
    </w:p>
    <w:p w14:paraId="3899A569" w14:textId="53FB0C5E"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model was developed in stages. First, a straightforward linear regression model was created that connected each soil parameter to the angle of internal friction. A multiple linear regression model was created that established a relationship between the angle of internal friction and all soil characteristics. To assess each parameter's predictive power for estimating friction angle, three straightforward linear regression models were created. Table 3 displays the model's goodness of fit results. With a coefficient of determination R2 = 0.921, the effective overburden pressure model showed remarkable performance, explaining 92.1% of the variance in friction angle through effective stress alone.</w:t>
      </w:r>
      <w:r>
        <w:rPr>
          <w:rFonts w:ascii="Arial" w:hAnsi="Arial" w:cs="Arial"/>
          <w:sz w:val="20"/>
          <w:szCs w:val="20"/>
        </w:rPr>
        <w:t xml:space="preserve"> </w:t>
      </w:r>
      <w:r w:rsidRPr="001A26C3">
        <w:rPr>
          <w:rFonts w:ascii="Arial" w:hAnsi="Arial" w:cs="Arial"/>
          <w:sz w:val="20"/>
          <w:szCs w:val="20"/>
        </w:rPr>
        <w:t>The model was extremely significant (F = 128.479, p &lt; 0.0001) and had a root mean square error of 1.091°. Additionally, the model showed that the angle of internal friction increases by 0.047° for every 1KPa rise in the effective stress. At R2 = 0.807, the SPT-N model had statistically significant predictive performance, accounting for 80.7% of the variance in the friction angle with an RMSE of 1.708°. According to the model, the angle of internal friction will rise by 0.286° for every unit change in the SPT-N value. With R2 = 0.242 and an RMSE of 3.383°, the median grain size model performed noticeably worse, accounting for just 24.2% of the variance in the friction angle.</w:t>
      </w:r>
      <w:r>
        <w:rPr>
          <w:rFonts w:ascii="Arial" w:hAnsi="Arial" w:cs="Arial"/>
          <w:sz w:val="20"/>
          <w:szCs w:val="20"/>
        </w:rPr>
        <w:t xml:space="preserve"> </w:t>
      </w:r>
      <w:r w:rsidRPr="001A26C3">
        <w:rPr>
          <w:rFonts w:ascii="Arial" w:hAnsi="Arial" w:cs="Arial"/>
          <w:sz w:val="20"/>
          <w:szCs w:val="20"/>
        </w:rPr>
        <w:t>At a significance level of 10%, this model demonstrated a significant association, but at a 5% level, it was not significant (F = 3.507, p = 0.088). The outcome demonstrated the median grain size's poor predictive power. Given the heterogeneous character of the soil profile and the large range of particle sizes (from medium sand to clay-sized particles), the poor prediction accuracy of D50 may be explained by the complex interactions that are not sufficiently reflected by median grain size alone</w:t>
      </w:r>
      <w:r w:rsidR="00BD7CFC">
        <w:rPr>
          <w:rFonts w:ascii="Arial" w:hAnsi="Arial" w:cs="Arial"/>
          <w:sz w:val="20"/>
          <w:szCs w:val="20"/>
        </w:rPr>
        <w:t xml:space="preserve"> (Table 4)</w:t>
      </w:r>
      <w:r w:rsidRPr="001A26C3">
        <w:rPr>
          <w:rFonts w:ascii="Arial" w:hAnsi="Arial" w:cs="Arial"/>
          <w:sz w:val="20"/>
          <w:szCs w:val="20"/>
        </w:rPr>
        <w:t>.</w:t>
      </w:r>
    </w:p>
    <w:p w14:paraId="3F63EC01" w14:textId="796B8BA0" w:rsidR="00E779F5" w:rsidRPr="00A71974" w:rsidRDefault="00E779F5" w:rsidP="001A26C3">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3</w:t>
      </w:r>
      <w:r w:rsidRPr="00A71974">
        <w:rPr>
          <w:rFonts w:ascii="Arial" w:hAnsi="Arial" w:cs="Arial"/>
          <w:b/>
          <w:bCs/>
          <w:sz w:val="20"/>
          <w:szCs w:val="20"/>
        </w:rPr>
        <w:t xml:space="preserve">: </w:t>
      </w:r>
      <w:r w:rsidR="008A41AB" w:rsidRPr="00A71974">
        <w:rPr>
          <w:rFonts w:ascii="Arial" w:hAnsi="Arial" w:cs="Arial"/>
          <w:sz w:val="20"/>
          <w:szCs w:val="20"/>
        </w:rPr>
        <w:t>Goodness of Fit Statistics for Simple Linear Regression Models</w:t>
      </w:r>
    </w:p>
    <w:tbl>
      <w:tblPr>
        <w:tblW w:w="9156" w:type="dxa"/>
        <w:tblLook w:val="04A0" w:firstRow="1" w:lastRow="0" w:firstColumn="1" w:lastColumn="0" w:noHBand="0" w:noVBand="1"/>
      </w:tblPr>
      <w:tblGrid>
        <w:gridCol w:w="2948"/>
        <w:gridCol w:w="2192"/>
        <w:gridCol w:w="2321"/>
        <w:gridCol w:w="1695"/>
      </w:tblGrid>
      <w:tr w:rsidR="00E3438F" w:rsidRPr="00A71974" w14:paraId="3DF642FB" w14:textId="77777777" w:rsidTr="00CB3338">
        <w:trPr>
          <w:trHeight w:val="326"/>
        </w:trPr>
        <w:tc>
          <w:tcPr>
            <w:tcW w:w="2948" w:type="dxa"/>
            <w:tcBorders>
              <w:top w:val="single" w:sz="4" w:space="0" w:color="auto"/>
              <w:bottom w:val="single" w:sz="4" w:space="0" w:color="auto"/>
            </w:tcBorders>
            <w:shd w:val="clear" w:color="000000" w:fill="F8F9FA"/>
            <w:vAlign w:val="center"/>
            <w:hideMark/>
          </w:tcPr>
          <w:p w14:paraId="37BF6852" w14:textId="77777777" w:rsidR="00E3438F" w:rsidRPr="00A71974" w:rsidRDefault="00E3438F" w:rsidP="00A71974">
            <w:pPr>
              <w:spacing w:after="0" w:line="240" w:lineRule="auto"/>
              <w:ind w:firstLineChars="100" w:firstLine="201"/>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Statistic</w:t>
            </w:r>
          </w:p>
        </w:tc>
        <w:tc>
          <w:tcPr>
            <w:tcW w:w="2192" w:type="dxa"/>
            <w:tcBorders>
              <w:top w:val="single" w:sz="4" w:space="0" w:color="auto"/>
              <w:bottom w:val="single" w:sz="4" w:space="0" w:color="auto"/>
            </w:tcBorders>
            <w:shd w:val="clear" w:color="000000" w:fill="F8F9FA"/>
            <w:vAlign w:val="center"/>
            <w:hideMark/>
          </w:tcPr>
          <w:p w14:paraId="4511E1BD" w14:textId="77777777" w:rsidR="00E3438F" w:rsidRPr="00A71974" w:rsidRDefault="00E3438F"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Effective Overburden Pressure</w:t>
            </w:r>
          </w:p>
        </w:tc>
        <w:tc>
          <w:tcPr>
            <w:tcW w:w="2321" w:type="dxa"/>
            <w:tcBorders>
              <w:top w:val="single" w:sz="4" w:space="0" w:color="auto"/>
              <w:bottom w:val="single" w:sz="4" w:space="0" w:color="auto"/>
            </w:tcBorders>
            <w:shd w:val="clear" w:color="000000" w:fill="F8F9FA"/>
            <w:vAlign w:val="center"/>
            <w:hideMark/>
          </w:tcPr>
          <w:p w14:paraId="5A0DE23B" w14:textId="052A837B" w:rsidR="00E3438F" w:rsidRPr="00A71974" w:rsidRDefault="00DB3F91"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SPT-N</w:t>
            </w:r>
          </w:p>
        </w:tc>
        <w:tc>
          <w:tcPr>
            <w:tcW w:w="1695" w:type="dxa"/>
            <w:tcBorders>
              <w:top w:val="single" w:sz="4" w:space="0" w:color="auto"/>
              <w:bottom w:val="single" w:sz="4" w:space="0" w:color="auto"/>
            </w:tcBorders>
            <w:shd w:val="clear" w:color="000000" w:fill="F8F9FA"/>
            <w:vAlign w:val="center"/>
            <w:hideMark/>
          </w:tcPr>
          <w:p w14:paraId="61ACD1B7" w14:textId="77777777" w:rsidR="00E3438F" w:rsidRPr="00A71974" w:rsidRDefault="00E3438F"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D50</w:t>
            </w:r>
          </w:p>
        </w:tc>
      </w:tr>
      <w:tr w:rsidR="00E3438F" w:rsidRPr="00A71974" w14:paraId="57324F5D" w14:textId="77777777" w:rsidTr="00CB3338">
        <w:trPr>
          <w:trHeight w:val="218"/>
        </w:trPr>
        <w:tc>
          <w:tcPr>
            <w:tcW w:w="2948" w:type="dxa"/>
            <w:tcBorders>
              <w:top w:val="single" w:sz="4" w:space="0" w:color="auto"/>
            </w:tcBorders>
            <w:shd w:val="clear" w:color="000000" w:fill="FFFFFF"/>
            <w:vAlign w:val="center"/>
            <w:hideMark/>
          </w:tcPr>
          <w:p w14:paraId="2B74676F"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Observations (n)</w:t>
            </w:r>
          </w:p>
        </w:tc>
        <w:tc>
          <w:tcPr>
            <w:tcW w:w="2192" w:type="dxa"/>
            <w:tcBorders>
              <w:top w:val="single" w:sz="4" w:space="0" w:color="auto"/>
            </w:tcBorders>
            <w:shd w:val="clear" w:color="000000" w:fill="FFFFFF"/>
            <w:vAlign w:val="center"/>
            <w:hideMark/>
          </w:tcPr>
          <w:p w14:paraId="2BB0D568"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c>
          <w:tcPr>
            <w:tcW w:w="2321" w:type="dxa"/>
            <w:tcBorders>
              <w:top w:val="single" w:sz="4" w:space="0" w:color="auto"/>
            </w:tcBorders>
            <w:shd w:val="clear" w:color="000000" w:fill="FFFFFF"/>
            <w:vAlign w:val="center"/>
            <w:hideMark/>
          </w:tcPr>
          <w:p w14:paraId="39F7C695"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c>
          <w:tcPr>
            <w:tcW w:w="1695" w:type="dxa"/>
            <w:tcBorders>
              <w:top w:val="single" w:sz="4" w:space="0" w:color="auto"/>
            </w:tcBorders>
            <w:shd w:val="clear" w:color="000000" w:fill="FFFFFF"/>
            <w:vAlign w:val="center"/>
            <w:hideMark/>
          </w:tcPr>
          <w:p w14:paraId="718A06C3"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r>
      <w:tr w:rsidR="00E3438F" w:rsidRPr="00A71974" w14:paraId="17948EFF" w14:textId="77777777" w:rsidTr="00CB3338">
        <w:trPr>
          <w:trHeight w:val="218"/>
        </w:trPr>
        <w:tc>
          <w:tcPr>
            <w:tcW w:w="2948" w:type="dxa"/>
            <w:shd w:val="clear" w:color="000000" w:fill="FFFFFF"/>
            <w:vAlign w:val="center"/>
            <w:hideMark/>
          </w:tcPr>
          <w:p w14:paraId="401B8B9C"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Degrees of Freedom</w:t>
            </w:r>
          </w:p>
        </w:tc>
        <w:tc>
          <w:tcPr>
            <w:tcW w:w="2192" w:type="dxa"/>
            <w:shd w:val="clear" w:color="000000" w:fill="FFFFFF"/>
            <w:vAlign w:val="center"/>
            <w:hideMark/>
          </w:tcPr>
          <w:p w14:paraId="7BC7BDE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c>
          <w:tcPr>
            <w:tcW w:w="2321" w:type="dxa"/>
            <w:shd w:val="clear" w:color="000000" w:fill="FFFFFF"/>
            <w:vAlign w:val="center"/>
            <w:hideMark/>
          </w:tcPr>
          <w:p w14:paraId="38CE40A2"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c>
          <w:tcPr>
            <w:tcW w:w="1695" w:type="dxa"/>
            <w:shd w:val="clear" w:color="000000" w:fill="FFFFFF"/>
            <w:vAlign w:val="center"/>
            <w:hideMark/>
          </w:tcPr>
          <w:p w14:paraId="5B92535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r>
      <w:tr w:rsidR="00E3438F" w:rsidRPr="00A71974" w14:paraId="3F35AE0A" w14:textId="77777777" w:rsidTr="00CB3338">
        <w:trPr>
          <w:trHeight w:val="111"/>
        </w:trPr>
        <w:tc>
          <w:tcPr>
            <w:tcW w:w="2948" w:type="dxa"/>
            <w:shd w:val="clear" w:color="000000" w:fill="FFFFFF"/>
            <w:vAlign w:val="center"/>
            <w:hideMark/>
          </w:tcPr>
          <w:p w14:paraId="393E844F"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R²</w:t>
            </w:r>
          </w:p>
        </w:tc>
        <w:tc>
          <w:tcPr>
            <w:tcW w:w="2192" w:type="dxa"/>
            <w:shd w:val="clear" w:color="000000" w:fill="FFFFFF"/>
            <w:vAlign w:val="center"/>
            <w:hideMark/>
          </w:tcPr>
          <w:p w14:paraId="2E66A2F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0.921</w:t>
            </w:r>
          </w:p>
        </w:tc>
        <w:tc>
          <w:tcPr>
            <w:tcW w:w="2321" w:type="dxa"/>
            <w:shd w:val="clear" w:color="000000" w:fill="FFFFFF"/>
            <w:vAlign w:val="center"/>
            <w:hideMark/>
          </w:tcPr>
          <w:p w14:paraId="3286B686"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0.807</w:t>
            </w:r>
          </w:p>
        </w:tc>
        <w:tc>
          <w:tcPr>
            <w:tcW w:w="1695" w:type="dxa"/>
            <w:shd w:val="clear" w:color="000000" w:fill="FFFFFF"/>
            <w:vAlign w:val="center"/>
            <w:hideMark/>
          </w:tcPr>
          <w:p w14:paraId="7514EF85"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0.242</w:t>
            </w:r>
          </w:p>
        </w:tc>
      </w:tr>
      <w:tr w:rsidR="00E3438F" w:rsidRPr="00A71974" w14:paraId="2868ACD4" w14:textId="77777777" w:rsidTr="00CB3338">
        <w:trPr>
          <w:trHeight w:val="111"/>
        </w:trPr>
        <w:tc>
          <w:tcPr>
            <w:tcW w:w="2948" w:type="dxa"/>
            <w:shd w:val="clear" w:color="000000" w:fill="FFFFFF"/>
            <w:vAlign w:val="center"/>
            <w:hideMark/>
          </w:tcPr>
          <w:p w14:paraId="09627EB1"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Adjusted R²</w:t>
            </w:r>
          </w:p>
        </w:tc>
        <w:tc>
          <w:tcPr>
            <w:tcW w:w="2192" w:type="dxa"/>
            <w:shd w:val="clear" w:color="000000" w:fill="FFFFFF"/>
            <w:vAlign w:val="center"/>
            <w:hideMark/>
          </w:tcPr>
          <w:p w14:paraId="22A3039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0.914</w:t>
            </w:r>
          </w:p>
        </w:tc>
        <w:tc>
          <w:tcPr>
            <w:tcW w:w="2321" w:type="dxa"/>
            <w:shd w:val="clear" w:color="000000" w:fill="FFFFFF"/>
            <w:vAlign w:val="center"/>
            <w:hideMark/>
          </w:tcPr>
          <w:p w14:paraId="62CDE05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0.789</w:t>
            </w:r>
          </w:p>
        </w:tc>
        <w:tc>
          <w:tcPr>
            <w:tcW w:w="1695" w:type="dxa"/>
            <w:shd w:val="clear" w:color="000000" w:fill="FFFFFF"/>
            <w:vAlign w:val="center"/>
            <w:hideMark/>
          </w:tcPr>
          <w:p w14:paraId="0F25638C"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0.173</w:t>
            </w:r>
          </w:p>
        </w:tc>
      </w:tr>
      <w:tr w:rsidR="00E3438F" w:rsidRPr="00A71974" w14:paraId="1E0E5058" w14:textId="77777777" w:rsidTr="00CB3338">
        <w:trPr>
          <w:trHeight w:val="111"/>
        </w:trPr>
        <w:tc>
          <w:tcPr>
            <w:tcW w:w="2948" w:type="dxa"/>
            <w:shd w:val="clear" w:color="000000" w:fill="FFFFFF"/>
            <w:vAlign w:val="center"/>
            <w:hideMark/>
          </w:tcPr>
          <w:p w14:paraId="52BB18FB"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MSE</w:t>
            </w:r>
          </w:p>
        </w:tc>
        <w:tc>
          <w:tcPr>
            <w:tcW w:w="2192" w:type="dxa"/>
            <w:shd w:val="clear" w:color="000000" w:fill="FFFFFF"/>
            <w:vAlign w:val="center"/>
            <w:hideMark/>
          </w:tcPr>
          <w:p w14:paraId="6EBA3876"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1.19</w:t>
            </w:r>
          </w:p>
        </w:tc>
        <w:tc>
          <w:tcPr>
            <w:tcW w:w="2321" w:type="dxa"/>
            <w:shd w:val="clear" w:color="000000" w:fill="FFFFFF"/>
            <w:vAlign w:val="center"/>
            <w:hideMark/>
          </w:tcPr>
          <w:p w14:paraId="7914FA8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2.918</w:t>
            </w:r>
          </w:p>
        </w:tc>
        <w:tc>
          <w:tcPr>
            <w:tcW w:w="1695" w:type="dxa"/>
            <w:shd w:val="clear" w:color="000000" w:fill="FFFFFF"/>
            <w:vAlign w:val="center"/>
            <w:hideMark/>
          </w:tcPr>
          <w:p w14:paraId="34DD04CF"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11.443</w:t>
            </w:r>
          </w:p>
        </w:tc>
      </w:tr>
      <w:tr w:rsidR="00E3438F" w:rsidRPr="00A71974" w14:paraId="0204C4A2" w14:textId="77777777" w:rsidTr="00CB3338">
        <w:trPr>
          <w:trHeight w:val="111"/>
        </w:trPr>
        <w:tc>
          <w:tcPr>
            <w:tcW w:w="2948" w:type="dxa"/>
            <w:shd w:val="clear" w:color="000000" w:fill="FFFFFF"/>
            <w:vAlign w:val="center"/>
            <w:hideMark/>
          </w:tcPr>
          <w:p w14:paraId="262CFCF6"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RMSE</w:t>
            </w:r>
          </w:p>
        </w:tc>
        <w:tc>
          <w:tcPr>
            <w:tcW w:w="2192" w:type="dxa"/>
            <w:shd w:val="clear" w:color="000000" w:fill="FFFFFF"/>
            <w:vAlign w:val="center"/>
            <w:hideMark/>
          </w:tcPr>
          <w:p w14:paraId="26F13DA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1.091</w:t>
            </w:r>
          </w:p>
        </w:tc>
        <w:tc>
          <w:tcPr>
            <w:tcW w:w="2321" w:type="dxa"/>
            <w:shd w:val="clear" w:color="000000" w:fill="FFFFFF"/>
            <w:vAlign w:val="center"/>
            <w:hideMark/>
          </w:tcPr>
          <w:p w14:paraId="0FD76380"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1.708</w:t>
            </w:r>
          </w:p>
        </w:tc>
        <w:tc>
          <w:tcPr>
            <w:tcW w:w="1695" w:type="dxa"/>
            <w:shd w:val="clear" w:color="000000" w:fill="FFFFFF"/>
            <w:vAlign w:val="center"/>
            <w:hideMark/>
          </w:tcPr>
          <w:p w14:paraId="5510D694"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3.383</w:t>
            </w:r>
          </w:p>
        </w:tc>
      </w:tr>
      <w:tr w:rsidR="00E3438F" w:rsidRPr="00A71974" w14:paraId="6AB46EF6" w14:textId="77777777" w:rsidTr="00CB3338">
        <w:trPr>
          <w:trHeight w:val="111"/>
        </w:trPr>
        <w:tc>
          <w:tcPr>
            <w:tcW w:w="2948" w:type="dxa"/>
            <w:shd w:val="clear" w:color="000000" w:fill="FFFFFF"/>
            <w:vAlign w:val="center"/>
            <w:hideMark/>
          </w:tcPr>
          <w:p w14:paraId="0BF83EAA"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F-statistic</w:t>
            </w:r>
          </w:p>
        </w:tc>
        <w:tc>
          <w:tcPr>
            <w:tcW w:w="2192" w:type="dxa"/>
            <w:shd w:val="clear" w:color="000000" w:fill="FFFFFF"/>
            <w:vAlign w:val="center"/>
            <w:hideMark/>
          </w:tcPr>
          <w:p w14:paraId="4D88C1FF"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128.479</w:t>
            </w:r>
          </w:p>
        </w:tc>
        <w:tc>
          <w:tcPr>
            <w:tcW w:w="2321" w:type="dxa"/>
            <w:shd w:val="clear" w:color="000000" w:fill="FFFFFF"/>
            <w:vAlign w:val="center"/>
            <w:hideMark/>
          </w:tcPr>
          <w:p w14:paraId="128733FD"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45.89</w:t>
            </w:r>
          </w:p>
        </w:tc>
        <w:tc>
          <w:tcPr>
            <w:tcW w:w="1695" w:type="dxa"/>
            <w:shd w:val="clear" w:color="000000" w:fill="FFFFFF"/>
            <w:vAlign w:val="center"/>
            <w:hideMark/>
          </w:tcPr>
          <w:p w14:paraId="67E22BB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3.507</w:t>
            </w:r>
          </w:p>
        </w:tc>
      </w:tr>
      <w:tr w:rsidR="00E3438F" w:rsidRPr="00A71974" w14:paraId="77DC74FE" w14:textId="77777777" w:rsidTr="00CB3338">
        <w:trPr>
          <w:trHeight w:val="218"/>
        </w:trPr>
        <w:tc>
          <w:tcPr>
            <w:tcW w:w="2948" w:type="dxa"/>
            <w:shd w:val="clear" w:color="000000" w:fill="FFFFFF"/>
            <w:vAlign w:val="center"/>
            <w:hideMark/>
          </w:tcPr>
          <w:p w14:paraId="2711BEE4"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p-value (model)</w:t>
            </w:r>
          </w:p>
        </w:tc>
        <w:tc>
          <w:tcPr>
            <w:tcW w:w="2192" w:type="dxa"/>
            <w:shd w:val="clear" w:color="000000" w:fill="FFFFFF"/>
            <w:vAlign w:val="center"/>
            <w:hideMark/>
          </w:tcPr>
          <w:p w14:paraId="6ED4FD6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2321" w:type="dxa"/>
            <w:shd w:val="clear" w:color="000000" w:fill="FFFFFF"/>
            <w:vAlign w:val="center"/>
            <w:hideMark/>
          </w:tcPr>
          <w:p w14:paraId="7C0A4AA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95" w:type="dxa"/>
            <w:shd w:val="clear" w:color="000000" w:fill="FFFFFF"/>
            <w:vAlign w:val="center"/>
            <w:hideMark/>
          </w:tcPr>
          <w:p w14:paraId="31DFF590"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0.088</w:t>
            </w:r>
          </w:p>
        </w:tc>
      </w:tr>
      <w:tr w:rsidR="00E3438F" w:rsidRPr="00A71974" w14:paraId="38BFA28E" w14:textId="77777777" w:rsidTr="00CB3338">
        <w:trPr>
          <w:trHeight w:val="111"/>
        </w:trPr>
        <w:tc>
          <w:tcPr>
            <w:tcW w:w="2948" w:type="dxa"/>
            <w:tcBorders>
              <w:bottom w:val="single" w:sz="4" w:space="0" w:color="auto"/>
            </w:tcBorders>
            <w:shd w:val="clear" w:color="000000" w:fill="FFFFFF"/>
            <w:vAlign w:val="center"/>
            <w:hideMark/>
          </w:tcPr>
          <w:p w14:paraId="5F8132C0"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Durbin-Watson</w:t>
            </w:r>
          </w:p>
        </w:tc>
        <w:tc>
          <w:tcPr>
            <w:tcW w:w="2192" w:type="dxa"/>
            <w:tcBorders>
              <w:bottom w:val="single" w:sz="4" w:space="0" w:color="auto"/>
            </w:tcBorders>
            <w:shd w:val="clear" w:color="000000" w:fill="FFFFFF"/>
            <w:vAlign w:val="center"/>
            <w:hideMark/>
          </w:tcPr>
          <w:p w14:paraId="7A84E0F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2.677</w:t>
            </w:r>
          </w:p>
        </w:tc>
        <w:tc>
          <w:tcPr>
            <w:tcW w:w="2321" w:type="dxa"/>
            <w:tcBorders>
              <w:bottom w:val="single" w:sz="4" w:space="0" w:color="auto"/>
            </w:tcBorders>
            <w:shd w:val="clear" w:color="000000" w:fill="FFFFFF"/>
            <w:vAlign w:val="center"/>
            <w:hideMark/>
          </w:tcPr>
          <w:p w14:paraId="56B74F2D"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2.787</w:t>
            </w:r>
          </w:p>
        </w:tc>
        <w:tc>
          <w:tcPr>
            <w:tcW w:w="1695" w:type="dxa"/>
            <w:tcBorders>
              <w:bottom w:val="single" w:sz="4" w:space="0" w:color="auto"/>
            </w:tcBorders>
            <w:shd w:val="clear" w:color="000000" w:fill="FFFFFF"/>
            <w:vAlign w:val="center"/>
            <w:hideMark/>
          </w:tcPr>
          <w:p w14:paraId="51655D78"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1.489</w:t>
            </w:r>
          </w:p>
        </w:tc>
      </w:tr>
    </w:tbl>
    <w:p w14:paraId="4F8AA8ED" w14:textId="77777777" w:rsidR="00960529" w:rsidRPr="00A71974" w:rsidRDefault="00960529" w:rsidP="00A71974">
      <w:pPr>
        <w:spacing w:line="240" w:lineRule="auto"/>
        <w:jc w:val="both"/>
        <w:rPr>
          <w:rFonts w:ascii="Arial" w:hAnsi="Arial" w:cs="Arial"/>
          <w:b/>
          <w:bCs/>
          <w:sz w:val="20"/>
          <w:szCs w:val="20"/>
        </w:rPr>
      </w:pPr>
    </w:p>
    <w:p w14:paraId="03693CD7" w14:textId="77777777" w:rsidR="00A53F29" w:rsidRPr="00A71974" w:rsidRDefault="00A53F29" w:rsidP="00A71974">
      <w:pPr>
        <w:spacing w:line="240" w:lineRule="auto"/>
        <w:jc w:val="both"/>
        <w:rPr>
          <w:rFonts w:ascii="Arial" w:hAnsi="Arial" w:cs="Arial"/>
          <w:b/>
          <w:bCs/>
          <w:sz w:val="20"/>
          <w:szCs w:val="20"/>
        </w:rPr>
      </w:pPr>
    </w:p>
    <w:p w14:paraId="03742D95" w14:textId="55046792"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4</w:t>
      </w:r>
      <w:r w:rsidRPr="00A71974">
        <w:rPr>
          <w:rFonts w:ascii="Arial" w:hAnsi="Arial" w:cs="Arial"/>
          <w:b/>
          <w:bCs/>
          <w:sz w:val="20"/>
          <w:szCs w:val="20"/>
        </w:rPr>
        <w:t xml:space="preserve">: </w:t>
      </w:r>
      <w:r w:rsidR="006D75FD" w:rsidRPr="00A71974">
        <w:rPr>
          <w:rFonts w:ascii="Arial" w:hAnsi="Arial" w:cs="Arial"/>
          <w:sz w:val="20"/>
          <w:szCs w:val="20"/>
        </w:rPr>
        <w:t>Model Parameters for Simple Linear Regression Models</w:t>
      </w:r>
    </w:p>
    <w:tbl>
      <w:tblPr>
        <w:tblW w:w="9689" w:type="dxa"/>
        <w:tblLayout w:type="fixed"/>
        <w:tblLook w:val="04A0" w:firstRow="1" w:lastRow="0" w:firstColumn="1" w:lastColumn="0" w:noHBand="0" w:noVBand="1"/>
      </w:tblPr>
      <w:tblGrid>
        <w:gridCol w:w="1563"/>
        <w:gridCol w:w="1140"/>
        <w:gridCol w:w="1125"/>
        <w:gridCol w:w="1212"/>
        <w:gridCol w:w="889"/>
        <w:gridCol w:w="1001"/>
        <w:gridCol w:w="1080"/>
        <w:gridCol w:w="1679"/>
      </w:tblGrid>
      <w:tr w:rsidR="00BE2E2E" w:rsidRPr="00A71974" w14:paraId="51688885" w14:textId="77777777" w:rsidTr="00CB3338">
        <w:trPr>
          <w:trHeight w:val="417"/>
        </w:trPr>
        <w:tc>
          <w:tcPr>
            <w:tcW w:w="1563" w:type="dxa"/>
            <w:vMerge w:val="restart"/>
            <w:tcBorders>
              <w:top w:val="single" w:sz="4" w:space="0" w:color="auto"/>
            </w:tcBorders>
            <w:shd w:val="clear" w:color="000000" w:fill="F8F9FA"/>
            <w:vAlign w:val="center"/>
            <w:hideMark/>
          </w:tcPr>
          <w:p w14:paraId="5E974094" w14:textId="77777777" w:rsidR="00BE2E2E" w:rsidRPr="00A71974" w:rsidRDefault="00BE2E2E" w:rsidP="00A71974">
            <w:pPr>
              <w:spacing w:after="0" w:line="240" w:lineRule="auto"/>
              <w:ind w:firstLineChars="100" w:firstLine="201"/>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Model</w:t>
            </w:r>
          </w:p>
        </w:tc>
        <w:tc>
          <w:tcPr>
            <w:tcW w:w="2265" w:type="dxa"/>
            <w:gridSpan w:val="2"/>
            <w:tcBorders>
              <w:top w:val="single" w:sz="4" w:space="0" w:color="auto"/>
              <w:bottom w:val="single" w:sz="4" w:space="0" w:color="auto"/>
            </w:tcBorders>
            <w:shd w:val="clear" w:color="000000" w:fill="F8F9FA"/>
            <w:vAlign w:val="center"/>
            <w:hideMark/>
          </w:tcPr>
          <w:p w14:paraId="6B95531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Intercept</w:t>
            </w:r>
          </w:p>
        </w:tc>
        <w:tc>
          <w:tcPr>
            <w:tcW w:w="4182" w:type="dxa"/>
            <w:gridSpan w:val="4"/>
            <w:tcBorders>
              <w:top w:val="single" w:sz="4" w:space="0" w:color="auto"/>
              <w:bottom w:val="single" w:sz="4" w:space="0" w:color="auto"/>
            </w:tcBorders>
            <w:shd w:val="clear" w:color="000000" w:fill="F8F9FA"/>
            <w:vAlign w:val="center"/>
            <w:hideMark/>
          </w:tcPr>
          <w:p w14:paraId="5AA0A33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Slope Coefficient</w:t>
            </w:r>
          </w:p>
        </w:tc>
        <w:tc>
          <w:tcPr>
            <w:tcW w:w="1679" w:type="dxa"/>
            <w:vMerge w:val="restart"/>
            <w:tcBorders>
              <w:top w:val="single" w:sz="4" w:space="0" w:color="auto"/>
            </w:tcBorders>
            <w:shd w:val="clear" w:color="000000" w:fill="F8F9FA"/>
            <w:vAlign w:val="center"/>
            <w:hideMark/>
          </w:tcPr>
          <w:p w14:paraId="5FA17DEB"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Equation</w:t>
            </w:r>
          </w:p>
        </w:tc>
      </w:tr>
      <w:tr w:rsidR="00CB3338" w:rsidRPr="00A71974" w14:paraId="26819FD9" w14:textId="77777777" w:rsidTr="00CB3338">
        <w:trPr>
          <w:trHeight w:val="142"/>
        </w:trPr>
        <w:tc>
          <w:tcPr>
            <w:tcW w:w="1563" w:type="dxa"/>
            <w:vMerge/>
            <w:tcBorders>
              <w:bottom w:val="single" w:sz="4" w:space="0" w:color="auto"/>
            </w:tcBorders>
            <w:vAlign w:val="center"/>
            <w:hideMark/>
          </w:tcPr>
          <w:p w14:paraId="324A4297"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p>
        </w:tc>
        <w:tc>
          <w:tcPr>
            <w:tcW w:w="1140" w:type="dxa"/>
            <w:tcBorders>
              <w:top w:val="single" w:sz="4" w:space="0" w:color="auto"/>
              <w:bottom w:val="single" w:sz="4" w:space="0" w:color="auto"/>
            </w:tcBorders>
            <w:shd w:val="clear" w:color="000000" w:fill="F8F9FA"/>
            <w:vAlign w:val="center"/>
            <w:hideMark/>
          </w:tcPr>
          <w:p w14:paraId="65E96063"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Estimate</w:t>
            </w:r>
          </w:p>
        </w:tc>
        <w:tc>
          <w:tcPr>
            <w:tcW w:w="1125" w:type="dxa"/>
            <w:tcBorders>
              <w:top w:val="single" w:sz="4" w:space="0" w:color="auto"/>
              <w:bottom w:val="single" w:sz="4" w:space="0" w:color="auto"/>
            </w:tcBorders>
            <w:shd w:val="clear" w:color="000000" w:fill="F8F9FA"/>
            <w:vAlign w:val="center"/>
            <w:hideMark/>
          </w:tcPr>
          <w:p w14:paraId="4523A562"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p-value</w:t>
            </w:r>
          </w:p>
        </w:tc>
        <w:tc>
          <w:tcPr>
            <w:tcW w:w="1212" w:type="dxa"/>
            <w:tcBorders>
              <w:top w:val="single" w:sz="4" w:space="0" w:color="auto"/>
              <w:bottom w:val="single" w:sz="4" w:space="0" w:color="auto"/>
            </w:tcBorders>
            <w:shd w:val="clear" w:color="000000" w:fill="F8F9FA"/>
            <w:vAlign w:val="center"/>
            <w:hideMark/>
          </w:tcPr>
          <w:p w14:paraId="038C7E44"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Estimate</w:t>
            </w:r>
          </w:p>
        </w:tc>
        <w:tc>
          <w:tcPr>
            <w:tcW w:w="889" w:type="dxa"/>
            <w:tcBorders>
              <w:top w:val="single" w:sz="4" w:space="0" w:color="auto"/>
              <w:bottom w:val="single" w:sz="4" w:space="0" w:color="auto"/>
            </w:tcBorders>
            <w:shd w:val="clear" w:color="000000" w:fill="F8F9FA"/>
            <w:vAlign w:val="center"/>
            <w:hideMark/>
          </w:tcPr>
          <w:p w14:paraId="3FD4AC2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Std. Error</w:t>
            </w:r>
          </w:p>
        </w:tc>
        <w:tc>
          <w:tcPr>
            <w:tcW w:w="1001" w:type="dxa"/>
            <w:tcBorders>
              <w:top w:val="single" w:sz="4" w:space="0" w:color="auto"/>
              <w:bottom w:val="single" w:sz="4" w:space="0" w:color="auto"/>
            </w:tcBorders>
            <w:shd w:val="clear" w:color="000000" w:fill="F8F9FA"/>
            <w:vAlign w:val="center"/>
            <w:hideMark/>
          </w:tcPr>
          <w:p w14:paraId="5CDC3505"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t-value</w:t>
            </w:r>
          </w:p>
        </w:tc>
        <w:tc>
          <w:tcPr>
            <w:tcW w:w="1080" w:type="dxa"/>
            <w:tcBorders>
              <w:top w:val="single" w:sz="4" w:space="0" w:color="auto"/>
              <w:bottom w:val="single" w:sz="4" w:space="0" w:color="auto"/>
            </w:tcBorders>
            <w:shd w:val="clear" w:color="000000" w:fill="F8F9FA"/>
            <w:vAlign w:val="center"/>
            <w:hideMark/>
          </w:tcPr>
          <w:p w14:paraId="06EAE227"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p-value</w:t>
            </w:r>
          </w:p>
        </w:tc>
        <w:tc>
          <w:tcPr>
            <w:tcW w:w="1679" w:type="dxa"/>
            <w:vMerge/>
            <w:tcBorders>
              <w:bottom w:val="single" w:sz="4" w:space="0" w:color="auto"/>
            </w:tcBorders>
            <w:vAlign w:val="center"/>
            <w:hideMark/>
          </w:tcPr>
          <w:p w14:paraId="7BF2A3C4"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p>
        </w:tc>
      </w:tr>
      <w:tr w:rsidR="00CB3338" w:rsidRPr="00A71974" w14:paraId="17B60F29" w14:textId="77777777" w:rsidTr="00CB3338">
        <w:trPr>
          <w:trHeight w:val="445"/>
        </w:trPr>
        <w:tc>
          <w:tcPr>
            <w:tcW w:w="1563" w:type="dxa"/>
            <w:tcBorders>
              <w:top w:val="single" w:sz="4" w:space="0" w:color="auto"/>
            </w:tcBorders>
            <w:shd w:val="clear" w:color="000000" w:fill="FFFFFF"/>
            <w:vAlign w:val="center"/>
            <w:hideMark/>
          </w:tcPr>
          <w:p w14:paraId="55DE153B" w14:textId="77777777" w:rsidR="00BE2E2E" w:rsidRPr="00A71974" w:rsidRDefault="00BE2E2E"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Effective Overburden Pressure</w:t>
            </w:r>
          </w:p>
        </w:tc>
        <w:tc>
          <w:tcPr>
            <w:tcW w:w="1140" w:type="dxa"/>
            <w:tcBorders>
              <w:top w:val="single" w:sz="4" w:space="0" w:color="auto"/>
            </w:tcBorders>
            <w:shd w:val="clear" w:color="000000" w:fill="FFFFFF"/>
            <w:vAlign w:val="center"/>
            <w:hideMark/>
          </w:tcPr>
          <w:p w14:paraId="43E16AA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24.683</w:t>
            </w:r>
          </w:p>
        </w:tc>
        <w:tc>
          <w:tcPr>
            <w:tcW w:w="1125" w:type="dxa"/>
            <w:tcBorders>
              <w:top w:val="single" w:sz="4" w:space="0" w:color="auto"/>
            </w:tcBorders>
            <w:shd w:val="clear" w:color="000000" w:fill="FFFFFF"/>
            <w:vAlign w:val="center"/>
            <w:hideMark/>
          </w:tcPr>
          <w:p w14:paraId="39C44F12"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tcBorders>
              <w:top w:val="single" w:sz="4" w:space="0" w:color="auto"/>
            </w:tcBorders>
            <w:shd w:val="clear" w:color="000000" w:fill="FFFFFF"/>
            <w:vAlign w:val="center"/>
            <w:hideMark/>
          </w:tcPr>
          <w:p w14:paraId="3B1A424D"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0.047</w:t>
            </w:r>
          </w:p>
        </w:tc>
        <w:tc>
          <w:tcPr>
            <w:tcW w:w="889" w:type="dxa"/>
            <w:tcBorders>
              <w:top w:val="single" w:sz="4" w:space="0" w:color="auto"/>
            </w:tcBorders>
            <w:shd w:val="clear" w:color="000000" w:fill="FFFFFF"/>
            <w:vAlign w:val="center"/>
            <w:hideMark/>
          </w:tcPr>
          <w:p w14:paraId="796E58DD"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0.004</w:t>
            </w:r>
          </w:p>
        </w:tc>
        <w:tc>
          <w:tcPr>
            <w:tcW w:w="1001" w:type="dxa"/>
            <w:tcBorders>
              <w:top w:val="single" w:sz="4" w:space="0" w:color="auto"/>
            </w:tcBorders>
            <w:shd w:val="clear" w:color="000000" w:fill="FFFFFF"/>
            <w:vAlign w:val="center"/>
            <w:hideMark/>
          </w:tcPr>
          <w:p w14:paraId="19540EC6"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11.335</w:t>
            </w:r>
          </w:p>
        </w:tc>
        <w:tc>
          <w:tcPr>
            <w:tcW w:w="1080" w:type="dxa"/>
            <w:tcBorders>
              <w:top w:val="single" w:sz="4" w:space="0" w:color="auto"/>
            </w:tcBorders>
            <w:shd w:val="clear" w:color="000000" w:fill="FFFFFF"/>
            <w:vAlign w:val="center"/>
            <w:hideMark/>
          </w:tcPr>
          <w:p w14:paraId="48C77867"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79" w:type="dxa"/>
            <w:tcBorders>
              <w:top w:val="single" w:sz="4" w:space="0" w:color="auto"/>
            </w:tcBorders>
            <w:shd w:val="clear" w:color="000000" w:fill="FFFFFF"/>
            <w:vAlign w:val="center"/>
            <w:hideMark/>
          </w:tcPr>
          <w:p w14:paraId="2762E348"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24.683 + 0.047×EOP</w:t>
            </w:r>
          </w:p>
        </w:tc>
      </w:tr>
      <w:tr w:rsidR="00CB3338" w:rsidRPr="00A71974" w14:paraId="7549482E" w14:textId="77777777" w:rsidTr="00CB3338">
        <w:trPr>
          <w:trHeight w:val="445"/>
        </w:trPr>
        <w:tc>
          <w:tcPr>
            <w:tcW w:w="1563" w:type="dxa"/>
            <w:shd w:val="clear" w:color="000000" w:fill="FFFFFF"/>
            <w:vAlign w:val="center"/>
            <w:hideMark/>
          </w:tcPr>
          <w:p w14:paraId="3E704EBE" w14:textId="6CEF9DC2" w:rsidR="00BE2E2E" w:rsidRPr="00A71974" w:rsidRDefault="002743EA"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SPT-N</w:t>
            </w:r>
          </w:p>
        </w:tc>
        <w:tc>
          <w:tcPr>
            <w:tcW w:w="1140" w:type="dxa"/>
            <w:shd w:val="clear" w:color="000000" w:fill="FFFFFF"/>
            <w:vAlign w:val="center"/>
            <w:hideMark/>
          </w:tcPr>
          <w:p w14:paraId="7589A75C"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26.661</w:t>
            </w:r>
          </w:p>
        </w:tc>
        <w:tc>
          <w:tcPr>
            <w:tcW w:w="1125" w:type="dxa"/>
            <w:shd w:val="clear" w:color="000000" w:fill="FFFFFF"/>
            <w:vAlign w:val="center"/>
            <w:hideMark/>
          </w:tcPr>
          <w:p w14:paraId="3CE67A8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shd w:val="clear" w:color="000000" w:fill="FFFFFF"/>
            <w:vAlign w:val="center"/>
            <w:hideMark/>
          </w:tcPr>
          <w:p w14:paraId="70F805BA"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0.286</w:t>
            </w:r>
          </w:p>
        </w:tc>
        <w:tc>
          <w:tcPr>
            <w:tcW w:w="889" w:type="dxa"/>
            <w:shd w:val="clear" w:color="000000" w:fill="FFFFFF"/>
            <w:vAlign w:val="center"/>
            <w:hideMark/>
          </w:tcPr>
          <w:p w14:paraId="7600AB99"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0.042</w:t>
            </w:r>
          </w:p>
        </w:tc>
        <w:tc>
          <w:tcPr>
            <w:tcW w:w="1001" w:type="dxa"/>
            <w:shd w:val="clear" w:color="000000" w:fill="FFFFFF"/>
            <w:vAlign w:val="center"/>
            <w:hideMark/>
          </w:tcPr>
          <w:p w14:paraId="12C416AE"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6.774</w:t>
            </w:r>
          </w:p>
        </w:tc>
        <w:tc>
          <w:tcPr>
            <w:tcW w:w="1080" w:type="dxa"/>
            <w:shd w:val="clear" w:color="000000" w:fill="FFFFFF"/>
            <w:vAlign w:val="center"/>
            <w:hideMark/>
          </w:tcPr>
          <w:p w14:paraId="07A6BBB3"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79" w:type="dxa"/>
            <w:shd w:val="clear" w:color="000000" w:fill="FFFFFF"/>
            <w:vAlign w:val="center"/>
            <w:hideMark/>
          </w:tcPr>
          <w:p w14:paraId="227B7521" w14:textId="459A8869"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26.661 + 0.286×</w:t>
            </w:r>
            <w:r w:rsidR="002743EA" w:rsidRPr="00A71974">
              <w:rPr>
                <w:rFonts w:ascii="Arial" w:eastAsia="Times New Roman" w:hAnsi="Arial" w:cs="Arial"/>
                <w:color w:val="333333"/>
                <w:kern w:val="0"/>
                <w:sz w:val="20"/>
                <w:szCs w:val="20"/>
                <w:lang w:eastAsia="en-GB"/>
                <w14:ligatures w14:val="none"/>
              </w:rPr>
              <w:t>SPT-N</w:t>
            </w:r>
          </w:p>
        </w:tc>
      </w:tr>
      <w:tr w:rsidR="00CB3338" w:rsidRPr="00A71974" w14:paraId="696732B7" w14:textId="77777777" w:rsidTr="00CB3338">
        <w:trPr>
          <w:trHeight w:val="334"/>
        </w:trPr>
        <w:tc>
          <w:tcPr>
            <w:tcW w:w="1563" w:type="dxa"/>
            <w:tcBorders>
              <w:bottom w:val="single" w:sz="4" w:space="0" w:color="auto"/>
            </w:tcBorders>
            <w:shd w:val="clear" w:color="000000" w:fill="FFFFFF"/>
            <w:vAlign w:val="center"/>
            <w:hideMark/>
          </w:tcPr>
          <w:p w14:paraId="1762FAB5" w14:textId="77777777" w:rsidR="00BE2E2E" w:rsidRPr="00A71974" w:rsidRDefault="00BE2E2E"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D50</w:t>
            </w:r>
          </w:p>
        </w:tc>
        <w:tc>
          <w:tcPr>
            <w:tcW w:w="1140" w:type="dxa"/>
            <w:tcBorders>
              <w:bottom w:val="single" w:sz="4" w:space="0" w:color="auto"/>
            </w:tcBorders>
            <w:shd w:val="clear" w:color="000000" w:fill="FFFFFF"/>
            <w:vAlign w:val="center"/>
            <w:hideMark/>
          </w:tcPr>
          <w:p w14:paraId="4B38BE1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31.392</w:t>
            </w:r>
          </w:p>
        </w:tc>
        <w:tc>
          <w:tcPr>
            <w:tcW w:w="1125" w:type="dxa"/>
            <w:tcBorders>
              <w:bottom w:val="single" w:sz="4" w:space="0" w:color="auto"/>
            </w:tcBorders>
            <w:shd w:val="clear" w:color="000000" w:fill="FFFFFF"/>
            <w:vAlign w:val="center"/>
            <w:hideMark/>
          </w:tcPr>
          <w:p w14:paraId="5AE1EF2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tcBorders>
              <w:bottom w:val="single" w:sz="4" w:space="0" w:color="auto"/>
            </w:tcBorders>
            <w:shd w:val="clear" w:color="000000" w:fill="FFFFFF"/>
            <w:vAlign w:val="center"/>
            <w:hideMark/>
          </w:tcPr>
          <w:p w14:paraId="28A12AE6"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2.59</w:t>
            </w:r>
          </w:p>
        </w:tc>
        <w:tc>
          <w:tcPr>
            <w:tcW w:w="889" w:type="dxa"/>
            <w:tcBorders>
              <w:bottom w:val="single" w:sz="4" w:space="0" w:color="auto"/>
            </w:tcBorders>
            <w:shd w:val="clear" w:color="000000" w:fill="FFFFFF"/>
            <w:vAlign w:val="center"/>
            <w:hideMark/>
          </w:tcPr>
          <w:p w14:paraId="49F79112"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1.383</w:t>
            </w:r>
          </w:p>
        </w:tc>
        <w:tc>
          <w:tcPr>
            <w:tcW w:w="1001" w:type="dxa"/>
            <w:tcBorders>
              <w:bottom w:val="single" w:sz="4" w:space="0" w:color="auto"/>
            </w:tcBorders>
            <w:shd w:val="clear" w:color="000000" w:fill="FFFFFF"/>
            <w:vAlign w:val="center"/>
            <w:hideMark/>
          </w:tcPr>
          <w:p w14:paraId="39853F6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1.873</w:t>
            </w:r>
          </w:p>
        </w:tc>
        <w:tc>
          <w:tcPr>
            <w:tcW w:w="1080" w:type="dxa"/>
            <w:tcBorders>
              <w:bottom w:val="single" w:sz="4" w:space="0" w:color="auto"/>
            </w:tcBorders>
            <w:shd w:val="clear" w:color="000000" w:fill="FFFFFF"/>
            <w:vAlign w:val="center"/>
            <w:hideMark/>
          </w:tcPr>
          <w:p w14:paraId="47DD059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0.088</w:t>
            </w:r>
          </w:p>
        </w:tc>
        <w:tc>
          <w:tcPr>
            <w:tcW w:w="1679" w:type="dxa"/>
            <w:tcBorders>
              <w:bottom w:val="single" w:sz="4" w:space="0" w:color="auto"/>
            </w:tcBorders>
            <w:shd w:val="clear" w:color="000000" w:fill="FFFFFF"/>
            <w:vAlign w:val="center"/>
            <w:hideMark/>
          </w:tcPr>
          <w:p w14:paraId="052B4E4A"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31.392 + 2.590×D50</w:t>
            </w:r>
          </w:p>
        </w:tc>
      </w:tr>
    </w:tbl>
    <w:p w14:paraId="7509239B" w14:textId="77777777" w:rsidR="00720F97" w:rsidRPr="00A71974" w:rsidRDefault="00720F97" w:rsidP="00A71974">
      <w:pPr>
        <w:spacing w:line="240" w:lineRule="auto"/>
        <w:jc w:val="both"/>
        <w:rPr>
          <w:rFonts w:ascii="Arial" w:hAnsi="Arial" w:cs="Arial"/>
          <w:b/>
          <w:bCs/>
          <w:sz w:val="20"/>
          <w:szCs w:val="20"/>
        </w:rPr>
      </w:pPr>
    </w:p>
    <w:p w14:paraId="2D6A6ED2" w14:textId="5BB89808"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lastRenderedPageBreak/>
        <w:t>The best single-parameter model performed marginally worse than the multiple linear regression model that included all three predictor variables, with R2 = 0.929 and adjusted R2 = 0.905. A little improvement over the effective overburden pressure model alone, the model described 92.9% of the variance in the friction angle with an RMSE of 1.146°. However, analysis of individual parameter significance within the multiple regression model revealed important insights into parameter interactions.</w:t>
      </w:r>
      <w:r>
        <w:rPr>
          <w:rFonts w:ascii="Arial" w:hAnsi="Arial" w:cs="Arial"/>
          <w:sz w:val="20"/>
          <w:szCs w:val="20"/>
        </w:rPr>
        <w:t xml:space="preserve"> </w:t>
      </w:r>
      <w:r w:rsidRPr="001A26C3">
        <w:rPr>
          <w:rFonts w:ascii="Arial" w:hAnsi="Arial" w:cs="Arial"/>
          <w:sz w:val="20"/>
          <w:szCs w:val="20"/>
        </w:rPr>
        <w:t>In predicting friction angle, the effective overburden pressure coefficient (0.062°/kPa) continued to play a dominant role, being highly significant (t = 3.860, p = 0.004). On the other hand, when paired with the effective overburden pressure, SPT-N and D50 were both statistically invalid, suggesting little predictive potential. A D50 coefficient of 0.108°/mm (t = 0.178, p = 0.863) and an SPT-N coefficient of -0.107°/unit (t = -0.959, p = 0.363) were found. Multicollinearity effects may be shown by the nonsignificant influence of both the SPT-N and D50, where the effective overburden pressure parameter fully captures the predictive information found in all three measures</w:t>
      </w:r>
      <w:r w:rsidR="00BD7CFC">
        <w:rPr>
          <w:rFonts w:ascii="Arial" w:hAnsi="Arial" w:cs="Arial"/>
          <w:sz w:val="20"/>
          <w:szCs w:val="20"/>
        </w:rPr>
        <w:t xml:space="preserve"> </w:t>
      </w:r>
      <w:r w:rsidR="00BD7CFC">
        <w:rPr>
          <w:rFonts w:ascii="Arial" w:hAnsi="Arial" w:cs="Arial"/>
          <w:sz w:val="20"/>
          <w:szCs w:val="20"/>
        </w:rPr>
        <w:t xml:space="preserve">(Table </w:t>
      </w:r>
      <w:r w:rsidR="00BD7CFC">
        <w:rPr>
          <w:rFonts w:ascii="Arial" w:hAnsi="Arial" w:cs="Arial"/>
          <w:sz w:val="20"/>
          <w:szCs w:val="20"/>
        </w:rPr>
        <w:t>5</w:t>
      </w:r>
      <w:r w:rsidR="00BD7CFC">
        <w:rPr>
          <w:rFonts w:ascii="Arial" w:hAnsi="Arial" w:cs="Arial"/>
          <w:sz w:val="20"/>
          <w:szCs w:val="20"/>
        </w:rPr>
        <w:t>)</w:t>
      </w:r>
      <w:r w:rsidR="00BD7CFC" w:rsidRPr="001A26C3">
        <w:rPr>
          <w:rFonts w:ascii="Arial" w:hAnsi="Arial" w:cs="Arial"/>
          <w:sz w:val="20"/>
          <w:szCs w:val="20"/>
        </w:rPr>
        <w:t>.</w:t>
      </w:r>
      <w:bookmarkStart w:id="0" w:name="_GoBack"/>
      <w:bookmarkEnd w:id="0"/>
    </w:p>
    <w:p w14:paraId="1363C7E8"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SPT-N values were the second most significant predictor of the angle of internal friction, after the effective overburden pressure, as shown by the Pareto chart in Figure 2. But only the effective overburden pressure was statistically significant, according to the figure.</w:t>
      </w:r>
    </w:p>
    <w:p w14:paraId="5E2BA256" w14:textId="409D0552"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5</w:t>
      </w:r>
      <w:r w:rsidRPr="00A71974">
        <w:rPr>
          <w:rFonts w:ascii="Arial" w:hAnsi="Arial" w:cs="Arial"/>
          <w:b/>
          <w:bCs/>
          <w:sz w:val="20"/>
          <w:szCs w:val="20"/>
        </w:rPr>
        <w:t xml:space="preserve">: </w:t>
      </w:r>
      <w:r w:rsidR="008574DE" w:rsidRPr="00A71974">
        <w:rPr>
          <w:rFonts w:ascii="Arial" w:hAnsi="Arial" w:cs="Arial"/>
          <w:sz w:val="20"/>
          <w:szCs w:val="20"/>
        </w:rPr>
        <w:t>Goodness of Fit Statistics for Multiple Linear Regression Models</w:t>
      </w:r>
    </w:p>
    <w:tbl>
      <w:tblPr>
        <w:tblW w:w="5000" w:type="pct"/>
        <w:tblLook w:val="04A0" w:firstRow="1" w:lastRow="0" w:firstColumn="1" w:lastColumn="0" w:noHBand="0" w:noVBand="1"/>
      </w:tblPr>
      <w:tblGrid>
        <w:gridCol w:w="5443"/>
        <w:gridCol w:w="3583"/>
      </w:tblGrid>
      <w:tr w:rsidR="00FA53D2" w:rsidRPr="00A71974" w14:paraId="156EE065" w14:textId="77777777" w:rsidTr="001A26C3">
        <w:trPr>
          <w:trHeight w:val="248"/>
        </w:trPr>
        <w:tc>
          <w:tcPr>
            <w:tcW w:w="3015" w:type="pct"/>
            <w:tcBorders>
              <w:top w:val="single" w:sz="8" w:space="0" w:color="auto"/>
              <w:left w:val="nil"/>
              <w:bottom w:val="nil"/>
              <w:right w:val="nil"/>
            </w:tcBorders>
            <w:noWrap/>
            <w:vAlign w:val="bottom"/>
            <w:hideMark/>
          </w:tcPr>
          <w:p w14:paraId="0864023C"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Observations</w:t>
            </w:r>
          </w:p>
        </w:tc>
        <w:tc>
          <w:tcPr>
            <w:tcW w:w="1985" w:type="pct"/>
            <w:tcBorders>
              <w:top w:val="single" w:sz="8" w:space="0" w:color="auto"/>
              <w:left w:val="nil"/>
              <w:bottom w:val="nil"/>
              <w:right w:val="nil"/>
            </w:tcBorders>
            <w:noWrap/>
            <w:vAlign w:val="bottom"/>
            <w:hideMark/>
          </w:tcPr>
          <w:p w14:paraId="7FB67336"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13.000</w:t>
            </w:r>
          </w:p>
        </w:tc>
      </w:tr>
      <w:tr w:rsidR="00FA53D2" w:rsidRPr="00A71974" w14:paraId="23C439F6" w14:textId="77777777" w:rsidTr="001A26C3">
        <w:trPr>
          <w:trHeight w:val="248"/>
        </w:trPr>
        <w:tc>
          <w:tcPr>
            <w:tcW w:w="3015" w:type="pct"/>
            <w:tcBorders>
              <w:top w:val="nil"/>
              <w:left w:val="nil"/>
              <w:bottom w:val="nil"/>
              <w:right w:val="nil"/>
            </w:tcBorders>
            <w:noWrap/>
            <w:vAlign w:val="bottom"/>
            <w:hideMark/>
          </w:tcPr>
          <w:p w14:paraId="59A34D3E"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Sum of weights</w:t>
            </w:r>
          </w:p>
        </w:tc>
        <w:tc>
          <w:tcPr>
            <w:tcW w:w="1985" w:type="pct"/>
            <w:tcBorders>
              <w:top w:val="nil"/>
              <w:left w:val="nil"/>
              <w:bottom w:val="nil"/>
              <w:right w:val="nil"/>
            </w:tcBorders>
            <w:noWrap/>
            <w:vAlign w:val="bottom"/>
            <w:hideMark/>
          </w:tcPr>
          <w:p w14:paraId="68D7397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13.000</w:t>
            </w:r>
          </w:p>
        </w:tc>
      </w:tr>
      <w:tr w:rsidR="00FA53D2" w:rsidRPr="00A71974" w14:paraId="0C7F2E00" w14:textId="77777777" w:rsidTr="001A26C3">
        <w:trPr>
          <w:trHeight w:val="248"/>
        </w:trPr>
        <w:tc>
          <w:tcPr>
            <w:tcW w:w="3015" w:type="pct"/>
            <w:tcBorders>
              <w:top w:val="nil"/>
              <w:left w:val="nil"/>
              <w:bottom w:val="nil"/>
              <w:right w:val="nil"/>
            </w:tcBorders>
            <w:noWrap/>
            <w:vAlign w:val="bottom"/>
            <w:hideMark/>
          </w:tcPr>
          <w:p w14:paraId="39F060E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DF</w:t>
            </w:r>
          </w:p>
        </w:tc>
        <w:tc>
          <w:tcPr>
            <w:tcW w:w="1985" w:type="pct"/>
            <w:tcBorders>
              <w:top w:val="nil"/>
              <w:left w:val="nil"/>
              <w:bottom w:val="nil"/>
              <w:right w:val="nil"/>
            </w:tcBorders>
            <w:noWrap/>
            <w:vAlign w:val="bottom"/>
            <w:hideMark/>
          </w:tcPr>
          <w:p w14:paraId="55C1F274"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9.000</w:t>
            </w:r>
          </w:p>
        </w:tc>
      </w:tr>
      <w:tr w:rsidR="00FA53D2" w:rsidRPr="00A71974" w14:paraId="5D1B9732" w14:textId="77777777" w:rsidTr="001A26C3">
        <w:trPr>
          <w:trHeight w:val="248"/>
        </w:trPr>
        <w:tc>
          <w:tcPr>
            <w:tcW w:w="3015" w:type="pct"/>
            <w:tcBorders>
              <w:top w:val="nil"/>
              <w:left w:val="nil"/>
              <w:bottom w:val="nil"/>
              <w:right w:val="nil"/>
            </w:tcBorders>
            <w:noWrap/>
            <w:vAlign w:val="bottom"/>
            <w:hideMark/>
          </w:tcPr>
          <w:p w14:paraId="0614720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R²</w:t>
            </w:r>
          </w:p>
        </w:tc>
        <w:tc>
          <w:tcPr>
            <w:tcW w:w="1985" w:type="pct"/>
            <w:tcBorders>
              <w:top w:val="nil"/>
              <w:left w:val="nil"/>
              <w:bottom w:val="nil"/>
              <w:right w:val="nil"/>
            </w:tcBorders>
            <w:noWrap/>
            <w:vAlign w:val="bottom"/>
            <w:hideMark/>
          </w:tcPr>
          <w:p w14:paraId="5966F03F"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0.929</w:t>
            </w:r>
          </w:p>
        </w:tc>
      </w:tr>
      <w:tr w:rsidR="00FA53D2" w:rsidRPr="00A71974" w14:paraId="642CFE48" w14:textId="77777777" w:rsidTr="001A26C3">
        <w:trPr>
          <w:trHeight w:val="248"/>
        </w:trPr>
        <w:tc>
          <w:tcPr>
            <w:tcW w:w="3015" w:type="pct"/>
            <w:tcBorders>
              <w:top w:val="nil"/>
              <w:left w:val="nil"/>
              <w:bottom w:val="nil"/>
              <w:right w:val="nil"/>
            </w:tcBorders>
            <w:noWrap/>
            <w:vAlign w:val="bottom"/>
            <w:hideMark/>
          </w:tcPr>
          <w:p w14:paraId="0684521A"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Adjusted R²</w:t>
            </w:r>
          </w:p>
        </w:tc>
        <w:tc>
          <w:tcPr>
            <w:tcW w:w="1985" w:type="pct"/>
            <w:tcBorders>
              <w:top w:val="nil"/>
              <w:left w:val="nil"/>
              <w:bottom w:val="nil"/>
              <w:right w:val="nil"/>
            </w:tcBorders>
            <w:noWrap/>
            <w:vAlign w:val="bottom"/>
            <w:hideMark/>
          </w:tcPr>
          <w:p w14:paraId="1D4E695E"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0.905</w:t>
            </w:r>
          </w:p>
        </w:tc>
      </w:tr>
      <w:tr w:rsidR="00FA53D2" w:rsidRPr="00A71974" w14:paraId="44A85F1A" w14:textId="77777777" w:rsidTr="001A26C3">
        <w:trPr>
          <w:trHeight w:val="248"/>
        </w:trPr>
        <w:tc>
          <w:tcPr>
            <w:tcW w:w="3015" w:type="pct"/>
            <w:tcBorders>
              <w:top w:val="nil"/>
              <w:left w:val="nil"/>
              <w:bottom w:val="nil"/>
              <w:right w:val="nil"/>
            </w:tcBorders>
            <w:noWrap/>
            <w:vAlign w:val="bottom"/>
            <w:hideMark/>
          </w:tcPr>
          <w:p w14:paraId="2D2406C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MSE</w:t>
            </w:r>
          </w:p>
        </w:tc>
        <w:tc>
          <w:tcPr>
            <w:tcW w:w="1985" w:type="pct"/>
            <w:tcBorders>
              <w:top w:val="nil"/>
              <w:left w:val="nil"/>
              <w:bottom w:val="nil"/>
              <w:right w:val="nil"/>
            </w:tcBorders>
            <w:noWrap/>
            <w:vAlign w:val="bottom"/>
            <w:hideMark/>
          </w:tcPr>
          <w:p w14:paraId="5A247BA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1.312</w:t>
            </w:r>
          </w:p>
        </w:tc>
      </w:tr>
      <w:tr w:rsidR="00FA53D2" w:rsidRPr="00A71974" w14:paraId="6B293626" w14:textId="77777777" w:rsidTr="001A26C3">
        <w:trPr>
          <w:trHeight w:val="248"/>
        </w:trPr>
        <w:tc>
          <w:tcPr>
            <w:tcW w:w="3015" w:type="pct"/>
            <w:tcBorders>
              <w:top w:val="nil"/>
              <w:left w:val="nil"/>
              <w:bottom w:val="nil"/>
              <w:right w:val="nil"/>
            </w:tcBorders>
            <w:noWrap/>
            <w:vAlign w:val="bottom"/>
            <w:hideMark/>
          </w:tcPr>
          <w:p w14:paraId="0A555372"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RMSE</w:t>
            </w:r>
          </w:p>
        </w:tc>
        <w:tc>
          <w:tcPr>
            <w:tcW w:w="1985" w:type="pct"/>
            <w:tcBorders>
              <w:top w:val="nil"/>
              <w:left w:val="nil"/>
              <w:bottom w:val="nil"/>
              <w:right w:val="nil"/>
            </w:tcBorders>
            <w:noWrap/>
            <w:vAlign w:val="bottom"/>
            <w:hideMark/>
          </w:tcPr>
          <w:p w14:paraId="066EFE94"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1.146</w:t>
            </w:r>
          </w:p>
        </w:tc>
      </w:tr>
      <w:tr w:rsidR="00FA53D2" w:rsidRPr="00A71974" w14:paraId="6512A808" w14:textId="77777777" w:rsidTr="001A26C3">
        <w:trPr>
          <w:trHeight w:val="260"/>
        </w:trPr>
        <w:tc>
          <w:tcPr>
            <w:tcW w:w="3015" w:type="pct"/>
            <w:tcBorders>
              <w:top w:val="nil"/>
              <w:left w:val="nil"/>
              <w:bottom w:val="single" w:sz="8" w:space="0" w:color="auto"/>
              <w:right w:val="nil"/>
            </w:tcBorders>
            <w:noWrap/>
            <w:vAlign w:val="bottom"/>
            <w:hideMark/>
          </w:tcPr>
          <w:p w14:paraId="270F4D76"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DW</w:t>
            </w:r>
          </w:p>
        </w:tc>
        <w:tc>
          <w:tcPr>
            <w:tcW w:w="1985" w:type="pct"/>
            <w:tcBorders>
              <w:top w:val="nil"/>
              <w:left w:val="nil"/>
              <w:bottom w:val="single" w:sz="8" w:space="0" w:color="auto"/>
              <w:right w:val="nil"/>
            </w:tcBorders>
            <w:noWrap/>
            <w:vAlign w:val="bottom"/>
            <w:hideMark/>
          </w:tcPr>
          <w:p w14:paraId="111B72E0"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2.231</w:t>
            </w:r>
          </w:p>
        </w:tc>
      </w:tr>
    </w:tbl>
    <w:p w14:paraId="50F5F4CB" w14:textId="77777777" w:rsidR="00DF65AC" w:rsidRPr="00A71974" w:rsidRDefault="00DF65AC" w:rsidP="00A71974">
      <w:pPr>
        <w:spacing w:line="240" w:lineRule="auto"/>
        <w:jc w:val="both"/>
        <w:rPr>
          <w:rFonts w:ascii="Arial" w:hAnsi="Arial" w:cs="Arial"/>
          <w:b/>
          <w:bCs/>
          <w:sz w:val="20"/>
          <w:szCs w:val="20"/>
        </w:rPr>
      </w:pPr>
    </w:p>
    <w:p w14:paraId="10517338" w14:textId="0E987703" w:rsidR="008574DE" w:rsidRPr="00A71974" w:rsidRDefault="008574DE"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6</w:t>
      </w:r>
      <w:r w:rsidRPr="00A71974">
        <w:rPr>
          <w:rFonts w:ascii="Arial" w:hAnsi="Arial" w:cs="Arial"/>
          <w:b/>
          <w:bCs/>
          <w:sz w:val="20"/>
          <w:szCs w:val="20"/>
        </w:rPr>
        <w:t xml:space="preserve">: </w:t>
      </w:r>
      <w:r w:rsidRPr="00A71974">
        <w:rPr>
          <w:rFonts w:ascii="Arial" w:hAnsi="Arial" w:cs="Arial"/>
          <w:sz w:val="20"/>
          <w:szCs w:val="20"/>
        </w:rPr>
        <w:t>Model Parameters for Multiple Linear Regression Models</w:t>
      </w:r>
    </w:p>
    <w:tbl>
      <w:tblPr>
        <w:tblW w:w="9462" w:type="dxa"/>
        <w:tblLook w:val="04A0" w:firstRow="1" w:lastRow="0" w:firstColumn="1" w:lastColumn="0" w:noHBand="0" w:noVBand="1"/>
      </w:tblPr>
      <w:tblGrid>
        <w:gridCol w:w="2912"/>
        <w:gridCol w:w="1072"/>
        <w:gridCol w:w="1175"/>
        <w:gridCol w:w="889"/>
        <w:gridCol w:w="1270"/>
        <w:gridCol w:w="1072"/>
        <w:gridCol w:w="1072"/>
      </w:tblGrid>
      <w:tr w:rsidR="00DF65AC" w:rsidRPr="00A71974" w14:paraId="7F8FCB31" w14:textId="77777777" w:rsidTr="00FD42D4">
        <w:trPr>
          <w:trHeight w:val="214"/>
        </w:trPr>
        <w:tc>
          <w:tcPr>
            <w:tcW w:w="2912" w:type="dxa"/>
            <w:tcBorders>
              <w:top w:val="single" w:sz="8" w:space="0" w:color="auto"/>
              <w:left w:val="nil"/>
              <w:bottom w:val="nil"/>
              <w:right w:val="nil"/>
            </w:tcBorders>
            <w:noWrap/>
            <w:vAlign w:val="bottom"/>
            <w:hideMark/>
          </w:tcPr>
          <w:p w14:paraId="4EADABE8"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Source</w:t>
            </w:r>
          </w:p>
        </w:tc>
        <w:tc>
          <w:tcPr>
            <w:tcW w:w="1072" w:type="dxa"/>
            <w:tcBorders>
              <w:top w:val="single" w:sz="8" w:space="0" w:color="auto"/>
              <w:left w:val="nil"/>
              <w:bottom w:val="nil"/>
              <w:right w:val="nil"/>
            </w:tcBorders>
            <w:noWrap/>
            <w:vAlign w:val="bottom"/>
            <w:hideMark/>
          </w:tcPr>
          <w:p w14:paraId="77A8BED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Value</w:t>
            </w:r>
          </w:p>
        </w:tc>
        <w:tc>
          <w:tcPr>
            <w:tcW w:w="1175" w:type="dxa"/>
            <w:tcBorders>
              <w:top w:val="single" w:sz="8" w:space="0" w:color="auto"/>
              <w:left w:val="nil"/>
              <w:bottom w:val="nil"/>
              <w:right w:val="nil"/>
            </w:tcBorders>
            <w:noWrap/>
            <w:vAlign w:val="bottom"/>
            <w:hideMark/>
          </w:tcPr>
          <w:p w14:paraId="1FAE3CF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Standard error</w:t>
            </w:r>
          </w:p>
        </w:tc>
        <w:tc>
          <w:tcPr>
            <w:tcW w:w="889" w:type="dxa"/>
            <w:tcBorders>
              <w:top w:val="single" w:sz="8" w:space="0" w:color="auto"/>
              <w:left w:val="nil"/>
              <w:bottom w:val="nil"/>
              <w:right w:val="nil"/>
            </w:tcBorders>
            <w:noWrap/>
            <w:vAlign w:val="bottom"/>
            <w:hideMark/>
          </w:tcPr>
          <w:p w14:paraId="7A6570C5"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w:t>
            </w:r>
          </w:p>
        </w:tc>
        <w:tc>
          <w:tcPr>
            <w:tcW w:w="1270" w:type="dxa"/>
            <w:tcBorders>
              <w:top w:val="single" w:sz="8" w:space="0" w:color="auto"/>
              <w:left w:val="nil"/>
              <w:bottom w:val="nil"/>
              <w:right w:val="nil"/>
            </w:tcBorders>
            <w:noWrap/>
            <w:vAlign w:val="bottom"/>
            <w:hideMark/>
          </w:tcPr>
          <w:p w14:paraId="20A439B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proofErr w:type="spellStart"/>
            <w:r w:rsidRPr="00A71974">
              <w:rPr>
                <w:rFonts w:ascii="Arial" w:eastAsia="Times New Roman" w:hAnsi="Arial" w:cs="Arial"/>
                <w:color w:val="000000"/>
                <w:kern w:val="0"/>
                <w:sz w:val="20"/>
                <w:szCs w:val="20"/>
                <w:lang w:eastAsia="en-GB"/>
                <w14:ligatures w14:val="none"/>
              </w:rPr>
              <w:t>Pr</w:t>
            </w:r>
            <w:proofErr w:type="spellEnd"/>
            <w:r w:rsidRPr="00A71974">
              <w:rPr>
                <w:rFonts w:ascii="Arial" w:eastAsia="Times New Roman" w:hAnsi="Arial" w:cs="Arial"/>
                <w:color w:val="000000"/>
                <w:kern w:val="0"/>
                <w:sz w:val="20"/>
                <w:szCs w:val="20"/>
                <w:lang w:eastAsia="en-GB"/>
                <w14:ligatures w14:val="none"/>
              </w:rPr>
              <w:t xml:space="preserve"> &gt; |t|</w:t>
            </w:r>
          </w:p>
        </w:tc>
        <w:tc>
          <w:tcPr>
            <w:tcW w:w="1072" w:type="dxa"/>
            <w:tcBorders>
              <w:top w:val="single" w:sz="8" w:space="0" w:color="auto"/>
              <w:left w:val="nil"/>
              <w:bottom w:val="nil"/>
              <w:right w:val="nil"/>
            </w:tcBorders>
            <w:noWrap/>
            <w:vAlign w:val="bottom"/>
            <w:hideMark/>
          </w:tcPr>
          <w:p w14:paraId="5747F162"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Lower bound (95%)</w:t>
            </w:r>
          </w:p>
        </w:tc>
        <w:tc>
          <w:tcPr>
            <w:tcW w:w="1072" w:type="dxa"/>
            <w:tcBorders>
              <w:top w:val="single" w:sz="8" w:space="0" w:color="auto"/>
              <w:left w:val="nil"/>
              <w:bottom w:val="nil"/>
              <w:right w:val="nil"/>
            </w:tcBorders>
            <w:noWrap/>
            <w:vAlign w:val="bottom"/>
            <w:hideMark/>
          </w:tcPr>
          <w:p w14:paraId="7E0421C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Upper bound (95%)</w:t>
            </w:r>
          </w:p>
        </w:tc>
      </w:tr>
      <w:tr w:rsidR="00DF65AC" w:rsidRPr="00A71974" w14:paraId="04D56AB8" w14:textId="77777777" w:rsidTr="00FD42D4">
        <w:trPr>
          <w:trHeight w:val="214"/>
        </w:trPr>
        <w:tc>
          <w:tcPr>
            <w:tcW w:w="2912" w:type="dxa"/>
            <w:tcBorders>
              <w:top w:val="single" w:sz="4" w:space="0" w:color="auto"/>
              <w:left w:val="nil"/>
              <w:bottom w:val="nil"/>
              <w:right w:val="nil"/>
            </w:tcBorders>
            <w:noWrap/>
            <w:vAlign w:val="bottom"/>
            <w:hideMark/>
          </w:tcPr>
          <w:p w14:paraId="4A730E29"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Intercept</w:t>
            </w:r>
          </w:p>
        </w:tc>
        <w:tc>
          <w:tcPr>
            <w:tcW w:w="1072" w:type="dxa"/>
            <w:tcBorders>
              <w:top w:val="single" w:sz="4" w:space="0" w:color="auto"/>
              <w:left w:val="nil"/>
              <w:bottom w:val="nil"/>
              <w:right w:val="nil"/>
            </w:tcBorders>
            <w:noWrap/>
            <w:vAlign w:val="bottom"/>
            <w:hideMark/>
          </w:tcPr>
          <w:p w14:paraId="3AF3225F"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24.282</w:t>
            </w:r>
          </w:p>
        </w:tc>
        <w:tc>
          <w:tcPr>
            <w:tcW w:w="1175" w:type="dxa"/>
            <w:tcBorders>
              <w:top w:val="single" w:sz="4" w:space="0" w:color="auto"/>
              <w:left w:val="nil"/>
              <w:bottom w:val="nil"/>
              <w:right w:val="nil"/>
            </w:tcBorders>
            <w:noWrap/>
            <w:vAlign w:val="bottom"/>
            <w:hideMark/>
          </w:tcPr>
          <w:p w14:paraId="1C7A6A6F"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0.928</w:t>
            </w:r>
          </w:p>
        </w:tc>
        <w:tc>
          <w:tcPr>
            <w:tcW w:w="889" w:type="dxa"/>
            <w:tcBorders>
              <w:top w:val="single" w:sz="4" w:space="0" w:color="auto"/>
              <w:left w:val="nil"/>
              <w:bottom w:val="nil"/>
              <w:right w:val="nil"/>
            </w:tcBorders>
            <w:noWrap/>
            <w:vAlign w:val="bottom"/>
            <w:hideMark/>
          </w:tcPr>
          <w:p w14:paraId="1F51E89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26.170</w:t>
            </w:r>
          </w:p>
        </w:tc>
        <w:tc>
          <w:tcPr>
            <w:tcW w:w="1270" w:type="dxa"/>
            <w:tcBorders>
              <w:top w:val="single" w:sz="4" w:space="0" w:color="auto"/>
              <w:left w:val="nil"/>
              <w:bottom w:val="nil"/>
              <w:right w:val="nil"/>
            </w:tcBorders>
            <w:noWrap/>
            <w:vAlign w:val="bottom"/>
            <w:hideMark/>
          </w:tcPr>
          <w:p w14:paraId="2454882D"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&lt; 0.0001</w:t>
            </w:r>
          </w:p>
        </w:tc>
        <w:tc>
          <w:tcPr>
            <w:tcW w:w="1072" w:type="dxa"/>
            <w:tcBorders>
              <w:top w:val="single" w:sz="4" w:space="0" w:color="auto"/>
              <w:left w:val="nil"/>
              <w:bottom w:val="nil"/>
              <w:right w:val="nil"/>
            </w:tcBorders>
            <w:noWrap/>
            <w:vAlign w:val="bottom"/>
            <w:hideMark/>
          </w:tcPr>
          <w:p w14:paraId="59F8FD5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22.183</w:t>
            </w:r>
          </w:p>
        </w:tc>
        <w:tc>
          <w:tcPr>
            <w:tcW w:w="1072" w:type="dxa"/>
            <w:tcBorders>
              <w:top w:val="single" w:sz="4" w:space="0" w:color="auto"/>
              <w:left w:val="nil"/>
              <w:bottom w:val="nil"/>
              <w:right w:val="nil"/>
            </w:tcBorders>
            <w:noWrap/>
            <w:vAlign w:val="bottom"/>
            <w:hideMark/>
          </w:tcPr>
          <w:p w14:paraId="401BC80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26.381</w:t>
            </w:r>
          </w:p>
        </w:tc>
      </w:tr>
      <w:tr w:rsidR="00DF65AC" w:rsidRPr="00A71974" w14:paraId="39D2B84B" w14:textId="77777777" w:rsidTr="00FD42D4">
        <w:trPr>
          <w:trHeight w:val="214"/>
        </w:trPr>
        <w:tc>
          <w:tcPr>
            <w:tcW w:w="2912" w:type="dxa"/>
            <w:tcBorders>
              <w:top w:val="nil"/>
              <w:left w:val="nil"/>
              <w:bottom w:val="nil"/>
              <w:right w:val="nil"/>
            </w:tcBorders>
            <w:noWrap/>
            <w:vAlign w:val="bottom"/>
            <w:hideMark/>
          </w:tcPr>
          <w:p w14:paraId="0A6BD4D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Effective Overburden pressure</w:t>
            </w:r>
          </w:p>
        </w:tc>
        <w:tc>
          <w:tcPr>
            <w:tcW w:w="1072" w:type="dxa"/>
            <w:tcBorders>
              <w:top w:val="nil"/>
              <w:left w:val="nil"/>
              <w:bottom w:val="nil"/>
              <w:right w:val="nil"/>
            </w:tcBorders>
            <w:noWrap/>
            <w:vAlign w:val="bottom"/>
            <w:hideMark/>
          </w:tcPr>
          <w:p w14:paraId="65D0CDDD"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0.062</w:t>
            </w:r>
          </w:p>
        </w:tc>
        <w:tc>
          <w:tcPr>
            <w:tcW w:w="1175" w:type="dxa"/>
            <w:tcBorders>
              <w:top w:val="nil"/>
              <w:left w:val="nil"/>
              <w:bottom w:val="nil"/>
              <w:right w:val="nil"/>
            </w:tcBorders>
            <w:noWrap/>
            <w:vAlign w:val="bottom"/>
            <w:hideMark/>
          </w:tcPr>
          <w:p w14:paraId="1676730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0.016</w:t>
            </w:r>
          </w:p>
        </w:tc>
        <w:tc>
          <w:tcPr>
            <w:tcW w:w="889" w:type="dxa"/>
            <w:tcBorders>
              <w:top w:val="nil"/>
              <w:left w:val="nil"/>
              <w:bottom w:val="nil"/>
              <w:right w:val="nil"/>
            </w:tcBorders>
            <w:noWrap/>
            <w:vAlign w:val="bottom"/>
            <w:hideMark/>
          </w:tcPr>
          <w:p w14:paraId="5926871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3.860</w:t>
            </w:r>
          </w:p>
        </w:tc>
        <w:tc>
          <w:tcPr>
            <w:tcW w:w="1270" w:type="dxa"/>
            <w:tcBorders>
              <w:top w:val="nil"/>
              <w:left w:val="nil"/>
              <w:bottom w:val="nil"/>
              <w:right w:val="nil"/>
            </w:tcBorders>
            <w:noWrap/>
            <w:vAlign w:val="bottom"/>
            <w:hideMark/>
          </w:tcPr>
          <w:p w14:paraId="36185644"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0.004</w:t>
            </w:r>
          </w:p>
        </w:tc>
        <w:tc>
          <w:tcPr>
            <w:tcW w:w="1072" w:type="dxa"/>
            <w:tcBorders>
              <w:top w:val="nil"/>
              <w:left w:val="nil"/>
              <w:bottom w:val="nil"/>
              <w:right w:val="nil"/>
            </w:tcBorders>
            <w:noWrap/>
            <w:vAlign w:val="bottom"/>
            <w:hideMark/>
          </w:tcPr>
          <w:p w14:paraId="5EB2464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0.026</w:t>
            </w:r>
          </w:p>
        </w:tc>
        <w:tc>
          <w:tcPr>
            <w:tcW w:w="1072" w:type="dxa"/>
            <w:tcBorders>
              <w:top w:val="nil"/>
              <w:left w:val="nil"/>
              <w:bottom w:val="nil"/>
              <w:right w:val="nil"/>
            </w:tcBorders>
            <w:noWrap/>
            <w:vAlign w:val="bottom"/>
            <w:hideMark/>
          </w:tcPr>
          <w:p w14:paraId="783F920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0.099</w:t>
            </w:r>
          </w:p>
        </w:tc>
      </w:tr>
      <w:tr w:rsidR="00DF65AC" w:rsidRPr="00A71974" w14:paraId="794784DB" w14:textId="77777777" w:rsidTr="00FD42D4">
        <w:trPr>
          <w:trHeight w:val="214"/>
        </w:trPr>
        <w:tc>
          <w:tcPr>
            <w:tcW w:w="2912" w:type="dxa"/>
            <w:tcBorders>
              <w:top w:val="nil"/>
              <w:left w:val="nil"/>
              <w:bottom w:val="nil"/>
              <w:right w:val="nil"/>
            </w:tcBorders>
            <w:noWrap/>
            <w:vAlign w:val="bottom"/>
            <w:hideMark/>
          </w:tcPr>
          <w:p w14:paraId="63F4D84E" w14:textId="669DA7A8" w:rsidR="004303D2" w:rsidRPr="00A71974" w:rsidRDefault="002743EA"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072" w:type="dxa"/>
            <w:tcBorders>
              <w:top w:val="nil"/>
              <w:left w:val="nil"/>
              <w:bottom w:val="nil"/>
              <w:right w:val="nil"/>
            </w:tcBorders>
            <w:noWrap/>
            <w:vAlign w:val="bottom"/>
            <w:hideMark/>
          </w:tcPr>
          <w:p w14:paraId="431B17F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-0.107</w:t>
            </w:r>
          </w:p>
        </w:tc>
        <w:tc>
          <w:tcPr>
            <w:tcW w:w="1175" w:type="dxa"/>
            <w:tcBorders>
              <w:top w:val="nil"/>
              <w:left w:val="nil"/>
              <w:bottom w:val="nil"/>
              <w:right w:val="nil"/>
            </w:tcBorders>
            <w:noWrap/>
            <w:vAlign w:val="bottom"/>
            <w:hideMark/>
          </w:tcPr>
          <w:p w14:paraId="0173C464"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0.112</w:t>
            </w:r>
          </w:p>
        </w:tc>
        <w:tc>
          <w:tcPr>
            <w:tcW w:w="889" w:type="dxa"/>
            <w:tcBorders>
              <w:top w:val="nil"/>
              <w:left w:val="nil"/>
              <w:bottom w:val="nil"/>
              <w:right w:val="nil"/>
            </w:tcBorders>
            <w:noWrap/>
            <w:vAlign w:val="bottom"/>
            <w:hideMark/>
          </w:tcPr>
          <w:p w14:paraId="5141D963"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-0.959</w:t>
            </w:r>
          </w:p>
        </w:tc>
        <w:tc>
          <w:tcPr>
            <w:tcW w:w="1270" w:type="dxa"/>
            <w:tcBorders>
              <w:top w:val="nil"/>
              <w:left w:val="nil"/>
              <w:bottom w:val="nil"/>
              <w:right w:val="nil"/>
            </w:tcBorders>
            <w:noWrap/>
            <w:vAlign w:val="bottom"/>
            <w:hideMark/>
          </w:tcPr>
          <w:p w14:paraId="663D997C"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0.363</w:t>
            </w:r>
          </w:p>
        </w:tc>
        <w:tc>
          <w:tcPr>
            <w:tcW w:w="1072" w:type="dxa"/>
            <w:tcBorders>
              <w:top w:val="nil"/>
              <w:left w:val="nil"/>
              <w:bottom w:val="nil"/>
              <w:right w:val="nil"/>
            </w:tcBorders>
            <w:noWrap/>
            <w:vAlign w:val="bottom"/>
            <w:hideMark/>
          </w:tcPr>
          <w:p w14:paraId="64360C4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-0.361</w:t>
            </w:r>
          </w:p>
        </w:tc>
        <w:tc>
          <w:tcPr>
            <w:tcW w:w="1072" w:type="dxa"/>
            <w:tcBorders>
              <w:top w:val="nil"/>
              <w:left w:val="nil"/>
              <w:bottom w:val="nil"/>
              <w:right w:val="nil"/>
            </w:tcBorders>
            <w:noWrap/>
            <w:vAlign w:val="bottom"/>
            <w:hideMark/>
          </w:tcPr>
          <w:p w14:paraId="0881DEA8"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0.146</w:t>
            </w:r>
          </w:p>
        </w:tc>
      </w:tr>
      <w:tr w:rsidR="00DF65AC" w:rsidRPr="00A71974" w14:paraId="76BA4CA0" w14:textId="77777777" w:rsidTr="00FD42D4">
        <w:trPr>
          <w:trHeight w:val="224"/>
        </w:trPr>
        <w:tc>
          <w:tcPr>
            <w:tcW w:w="2912" w:type="dxa"/>
            <w:tcBorders>
              <w:top w:val="nil"/>
              <w:left w:val="nil"/>
              <w:bottom w:val="single" w:sz="8" w:space="0" w:color="auto"/>
              <w:right w:val="nil"/>
            </w:tcBorders>
            <w:noWrap/>
            <w:vAlign w:val="bottom"/>
            <w:hideMark/>
          </w:tcPr>
          <w:p w14:paraId="47C0BDB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072" w:type="dxa"/>
            <w:tcBorders>
              <w:top w:val="nil"/>
              <w:left w:val="nil"/>
              <w:bottom w:val="single" w:sz="8" w:space="0" w:color="auto"/>
              <w:right w:val="nil"/>
            </w:tcBorders>
            <w:noWrap/>
            <w:vAlign w:val="bottom"/>
            <w:hideMark/>
          </w:tcPr>
          <w:p w14:paraId="483C0959"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0.108</w:t>
            </w:r>
          </w:p>
        </w:tc>
        <w:tc>
          <w:tcPr>
            <w:tcW w:w="1175" w:type="dxa"/>
            <w:tcBorders>
              <w:top w:val="nil"/>
              <w:left w:val="nil"/>
              <w:bottom w:val="single" w:sz="8" w:space="0" w:color="auto"/>
              <w:right w:val="nil"/>
            </w:tcBorders>
            <w:noWrap/>
            <w:vAlign w:val="bottom"/>
            <w:hideMark/>
          </w:tcPr>
          <w:p w14:paraId="423F87A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0.606</w:t>
            </w:r>
          </w:p>
        </w:tc>
        <w:tc>
          <w:tcPr>
            <w:tcW w:w="889" w:type="dxa"/>
            <w:tcBorders>
              <w:top w:val="nil"/>
              <w:left w:val="nil"/>
              <w:bottom w:val="single" w:sz="8" w:space="0" w:color="auto"/>
              <w:right w:val="nil"/>
            </w:tcBorders>
            <w:noWrap/>
            <w:vAlign w:val="bottom"/>
            <w:hideMark/>
          </w:tcPr>
          <w:p w14:paraId="1A44EAB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0.178</w:t>
            </w:r>
          </w:p>
        </w:tc>
        <w:tc>
          <w:tcPr>
            <w:tcW w:w="1270" w:type="dxa"/>
            <w:tcBorders>
              <w:top w:val="nil"/>
              <w:left w:val="nil"/>
              <w:bottom w:val="single" w:sz="8" w:space="0" w:color="auto"/>
              <w:right w:val="nil"/>
            </w:tcBorders>
            <w:noWrap/>
            <w:vAlign w:val="bottom"/>
            <w:hideMark/>
          </w:tcPr>
          <w:p w14:paraId="60ED336A"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0.863</w:t>
            </w:r>
          </w:p>
        </w:tc>
        <w:tc>
          <w:tcPr>
            <w:tcW w:w="1072" w:type="dxa"/>
            <w:tcBorders>
              <w:top w:val="nil"/>
              <w:left w:val="nil"/>
              <w:bottom w:val="single" w:sz="8" w:space="0" w:color="auto"/>
              <w:right w:val="nil"/>
            </w:tcBorders>
            <w:noWrap/>
            <w:vAlign w:val="bottom"/>
            <w:hideMark/>
          </w:tcPr>
          <w:p w14:paraId="06DA478C"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-1.263</w:t>
            </w:r>
          </w:p>
        </w:tc>
        <w:tc>
          <w:tcPr>
            <w:tcW w:w="1072" w:type="dxa"/>
            <w:tcBorders>
              <w:top w:val="nil"/>
              <w:left w:val="nil"/>
              <w:bottom w:val="single" w:sz="8" w:space="0" w:color="auto"/>
              <w:right w:val="nil"/>
            </w:tcBorders>
            <w:noWrap/>
            <w:vAlign w:val="bottom"/>
            <w:hideMark/>
          </w:tcPr>
          <w:p w14:paraId="7EF777C2"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1.478</w:t>
            </w:r>
          </w:p>
        </w:tc>
      </w:tr>
    </w:tbl>
    <w:p w14:paraId="54BD91A6" w14:textId="77777777" w:rsidR="00FA53D2" w:rsidRPr="00A71974" w:rsidRDefault="00FA53D2" w:rsidP="00A71974">
      <w:pPr>
        <w:spacing w:line="240" w:lineRule="auto"/>
        <w:jc w:val="both"/>
        <w:rPr>
          <w:rFonts w:ascii="Arial" w:hAnsi="Arial" w:cs="Arial"/>
          <w:b/>
          <w:bCs/>
          <w:sz w:val="20"/>
          <w:szCs w:val="20"/>
        </w:rPr>
      </w:pPr>
    </w:p>
    <w:p w14:paraId="50CA91C1" w14:textId="2119FFE3" w:rsidR="007A4663" w:rsidRPr="00A71974" w:rsidRDefault="008574DE" w:rsidP="00A71974">
      <w:pPr>
        <w:spacing w:line="240" w:lineRule="auto"/>
        <w:jc w:val="both"/>
        <w:rPr>
          <w:rFonts w:ascii="Arial" w:hAnsi="Arial" w:cs="Arial"/>
          <w:b/>
          <w:bCs/>
          <w:sz w:val="20"/>
          <w:szCs w:val="20"/>
        </w:rPr>
      </w:pPr>
      <w:r w:rsidRPr="00A71974">
        <w:rPr>
          <w:rFonts w:ascii="Arial" w:hAnsi="Arial" w:cs="Arial"/>
          <w:b/>
          <w:bCs/>
          <w:noProof/>
          <w:sz w:val="20"/>
          <w:szCs w:val="20"/>
          <w:lang w:val="en-US"/>
        </w:rPr>
        <w:drawing>
          <wp:inline distT="0" distB="0" distL="0" distR="0" wp14:anchorId="7D7A79CF" wp14:editId="49A4965A">
            <wp:extent cx="5905500" cy="2927350"/>
            <wp:effectExtent l="0" t="0" r="0" b="6350"/>
            <wp:docPr id="1062396493"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96493" name="Picture 1" descr="A graph with blue squares&#10;&#10;AI-generated content may be incorrect."/>
                    <pic:cNvPicPr/>
                  </pic:nvPicPr>
                  <pic:blipFill>
                    <a:blip r:embed="rId8"/>
                    <a:stretch>
                      <a:fillRect/>
                    </a:stretch>
                  </pic:blipFill>
                  <pic:spPr>
                    <a:xfrm>
                      <a:off x="0" y="0"/>
                      <a:ext cx="5905500" cy="2927350"/>
                    </a:xfrm>
                    <a:prstGeom prst="rect">
                      <a:avLst/>
                    </a:prstGeom>
                  </pic:spPr>
                </pic:pic>
              </a:graphicData>
            </a:graphic>
          </wp:inline>
        </w:drawing>
      </w:r>
    </w:p>
    <w:p w14:paraId="56C3572D" w14:textId="68AB7478" w:rsidR="007A4663" w:rsidRPr="00A71974" w:rsidRDefault="008574DE" w:rsidP="00A71974">
      <w:pPr>
        <w:spacing w:line="240" w:lineRule="auto"/>
        <w:jc w:val="both"/>
        <w:rPr>
          <w:rFonts w:ascii="Arial" w:hAnsi="Arial" w:cs="Arial"/>
          <w:sz w:val="20"/>
          <w:szCs w:val="20"/>
        </w:rPr>
      </w:pPr>
      <w:r w:rsidRPr="00A71974">
        <w:rPr>
          <w:rFonts w:ascii="Arial" w:hAnsi="Arial" w:cs="Arial"/>
          <w:b/>
          <w:bCs/>
          <w:sz w:val="20"/>
          <w:szCs w:val="20"/>
        </w:rPr>
        <w:t xml:space="preserve">Figure 2: </w:t>
      </w:r>
      <w:r w:rsidRPr="00A71974">
        <w:rPr>
          <w:rFonts w:ascii="Arial" w:hAnsi="Arial" w:cs="Arial"/>
          <w:sz w:val="20"/>
          <w:szCs w:val="20"/>
        </w:rPr>
        <w:t xml:space="preserve">Pareto for </w:t>
      </w:r>
      <w:r w:rsidR="00164DAE" w:rsidRPr="00A71974">
        <w:rPr>
          <w:rFonts w:ascii="Arial" w:hAnsi="Arial" w:cs="Arial"/>
          <w:sz w:val="20"/>
          <w:szCs w:val="20"/>
        </w:rPr>
        <w:t>important predictors for angle of internal friction</w:t>
      </w:r>
    </w:p>
    <w:p w14:paraId="55575810" w14:textId="77777777" w:rsidR="009022C6" w:rsidRPr="00A71974" w:rsidRDefault="009022C6" w:rsidP="00A71974">
      <w:pPr>
        <w:spacing w:line="240" w:lineRule="auto"/>
        <w:jc w:val="both"/>
        <w:rPr>
          <w:rFonts w:ascii="Arial" w:hAnsi="Arial" w:cs="Arial"/>
          <w:b/>
          <w:bCs/>
          <w:sz w:val="20"/>
          <w:szCs w:val="20"/>
        </w:rPr>
      </w:pPr>
    </w:p>
    <w:p w14:paraId="1C6F12EA" w14:textId="44DC8449" w:rsidR="00F63CE3" w:rsidRPr="00A71974" w:rsidRDefault="00F63CE3" w:rsidP="00A71974">
      <w:pPr>
        <w:spacing w:line="240" w:lineRule="auto"/>
        <w:jc w:val="both"/>
        <w:rPr>
          <w:rFonts w:ascii="Arial" w:hAnsi="Arial" w:cs="Arial"/>
          <w:b/>
          <w:bCs/>
          <w:sz w:val="22"/>
          <w:szCs w:val="22"/>
        </w:rPr>
      </w:pPr>
      <w:r w:rsidRPr="00A71974">
        <w:rPr>
          <w:rFonts w:ascii="Arial" w:hAnsi="Arial" w:cs="Arial"/>
          <w:b/>
          <w:bCs/>
          <w:sz w:val="22"/>
          <w:szCs w:val="22"/>
        </w:rPr>
        <w:t>3.</w:t>
      </w:r>
      <w:r w:rsidR="00121B6A" w:rsidRPr="00A71974">
        <w:rPr>
          <w:rFonts w:ascii="Arial" w:hAnsi="Arial" w:cs="Arial"/>
          <w:b/>
          <w:bCs/>
          <w:sz w:val="22"/>
          <w:szCs w:val="22"/>
        </w:rPr>
        <w:t>4</w:t>
      </w:r>
      <w:r w:rsidRPr="00A71974">
        <w:rPr>
          <w:rFonts w:ascii="Arial" w:hAnsi="Arial" w:cs="Arial"/>
          <w:b/>
          <w:bCs/>
          <w:sz w:val="22"/>
          <w:szCs w:val="22"/>
        </w:rPr>
        <w:t xml:space="preserve"> Model Evaluation</w:t>
      </w:r>
    </w:p>
    <w:p w14:paraId="49E8EC8D"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To assess prediction accuracy in real-world scenarios, three separate test samples were used for model validation. The validation performance of the effective overburden pressure model was superior, with mean absolute error (MAE) = 0.84°, mean absolute percentage error (MAPE) = 2.9%, and RMSE = 0.88°. With an RMSE of 0.91°, MAE of 0.81°, and MAPE of 2.9%, the multiple linear regression model demonstrated comparable performance, indicating that the practical prediction accuracy was only marginally improved by the increased complexity of many factors.</w:t>
      </w:r>
    </w:p>
    <w:p w14:paraId="4C9C2F29"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 xml:space="preserve">The SPT-N model performed much worse than the stress-based model, although it nevertheless demonstrated satisfactory validation performance with RMSE = 1.1°, MAE = 1.09°, and MAPE = 3.8%. Due to its poor validation performance (RMSE = 2.99°, MAE = 2.64°, and MAPE = 9.4%), the D50 model was found to be of limited use in predicting friction angles in the diverse soil profile found at </w:t>
      </w:r>
      <w:proofErr w:type="spellStart"/>
      <w:r w:rsidRPr="001A26C3">
        <w:rPr>
          <w:rFonts w:ascii="Arial" w:hAnsi="Arial" w:cs="Arial"/>
          <w:sz w:val="20"/>
          <w:szCs w:val="20"/>
        </w:rPr>
        <w:t>Rumuibekwe</w:t>
      </w:r>
      <w:proofErr w:type="spellEnd"/>
      <w:r w:rsidRPr="001A26C3">
        <w:rPr>
          <w:rFonts w:ascii="Arial" w:hAnsi="Arial" w:cs="Arial"/>
          <w:sz w:val="20"/>
          <w:szCs w:val="20"/>
        </w:rPr>
        <w:t xml:space="preserve"> Bridge. Grain size effects are less constant across different soil types than stress-dependent </w:t>
      </w:r>
      <w:proofErr w:type="spellStart"/>
      <w:r w:rsidRPr="001A26C3">
        <w:rPr>
          <w:rFonts w:ascii="Arial" w:hAnsi="Arial" w:cs="Arial"/>
          <w:sz w:val="20"/>
          <w:szCs w:val="20"/>
        </w:rPr>
        <w:t>behavior</w:t>
      </w:r>
      <w:proofErr w:type="spellEnd"/>
      <w:r w:rsidRPr="001A26C3">
        <w:rPr>
          <w:rFonts w:ascii="Arial" w:hAnsi="Arial" w:cs="Arial"/>
          <w:sz w:val="20"/>
          <w:szCs w:val="20"/>
        </w:rPr>
        <w:t>, and the validation results confirm that effective overburden pressure is the main predictive variable for friction angle estimate in Niger Delta mixed soil deposits.</w:t>
      </w:r>
    </w:p>
    <w:p w14:paraId="7E4330C9" w14:textId="32B0373E" w:rsidR="003429ED" w:rsidRPr="00A71974" w:rsidRDefault="005763AC"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7</w:t>
      </w:r>
      <w:r w:rsidRPr="00A71974">
        <w:rPr>
          <w:rFonts w:ascii="Arial" w:hAnsi="Arial" w:cs="Arial"/>
          <w:b/>
          <w:bCs/>
          <w:sz w:val="20"/>
          <w:szCs w:val="20"/>
        </w:rPr>
        <w:t xml:space="preserve">: </w:t>
      </w:r>
      <w:r w:rsidRPr="00A71974">
        <w:rPr>
          <w:rFonts w:ascii="Arial" w:hAnsi="Arial" w:cs="Arial"/>
          <w:sz w:val="20"/>
          <w:szCs w:val="20"/>
        </w:rPr>
        <w:t>Model Predictions</w:t>
      </w:r>
    </w:p>
    <w:tbl>
      <w:tblPr>
        <w:tblW w:w="9431" w:type="dxa"/>
        <w:tblLook w:val="04A0" w:firstRow="1" w:lastRow="0" w:firstColumn="1" w:lastColumn="0" w:noHBand="0" w:noVBand="1"/>
      </w:tblPr>
      <w:tblGrid>
        <w:gridCol w:w="872"/>
        <w:gridCol w:w="914"/>
        <w:gridCol w:w="1004"/>
        <w:gridCol w:w="706"/>
        <w:gridCol w:w="1550"/>
        <w:gridCol w:w="991"/>
        <w:gridCol w:w="991"/>
        <w:gridCol w:w="991"/>
        <w:gridCol w:w="1412"/>
      </w:tblGrid>
      <w:tr w:rsidR="00AE1719" w:rsidRPr="00A71974" w14:paraId="2AF971E8" w14:textId="77777777" w:rsidTr="002743EA">
        <w:trPr>
          <w:trHeight w:val="438"/>
        </w:trPr>
        <w:tc>
          <w:tcPr>
            <w:tcW w:w="872" w:type="dxa"/>
            <w:tcBorders>
              <w:top w:val="single" w:sz="4" w:space="0" w:color="auto"/>
              <w:left w:val="nil"/>
              <w:bottom w:val="single" w:sz="4" w:space="0" w:color="auto"/>
              <w:right w:val="nil"/>
            </w:tcBorders>
            <w:vAlign w:val="center"/>
            <w:hideMark/>
          </w:tcPr>
          <w:p w14:paraId="4FD3E215"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Test</w:t>
            </w:r>
          </w:p>
        </w:tc>
        <w:tc>
          <w:tcPr>
            <w:tcW w:w="914" w:type="dxa"/>
            <w:tcBorders>
              <w:top w:val="single" w:sz="4" w:space="0" w:color="auto"/>
              <w:left w:val="nil"/>
              <w:bottom w:val="single" w:sz="4" w:space="0" w:color="auto"/>
              <w:right w:val="nil"/>
            </w:tcBorders>
            <w:vAlign w:val="center"/>
            <w:hideMark/>
          </w:tcPr>
          <w:p w14:paraId="0E952982"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EOP</w:t>
            </w:r>
          </w:p>
        </w:tc>
        <w:tc>
          <w:tcPr>
            <w:tcW w:w="1004" w:type="dxa"/>
            <w:tcBorders>
              <w:top w:val="single" w:sz="4" w:space="0" w:color="auto"/>
              <w:left w:val="nil"/>
              <w:bottom w:val="single" w:sz="4" w:space="0" w:color="auto"/>
              <w:right w:val="nil"/>
            </w:tcBorders>
            <w:vAlign w:val="center"/>
            <w:hideMark/>
          </w:tcPr>
          <w:p w14:paraId="0B660698" w14:textId="0B8629EF" w:rsidR="00036D45" w:rsidRPr="00A71974" w:rsidRDefault="002743EA"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SPT-N</w:t>
            </w:r>
          </w:p>
        </w:tc>
        <w:tc>
          <w:tcPr>
            <w:tcW w:w="706" w:type="dxa"/>
            <w:tcBorders>
              <w:top w:val="single" w:sz="4" w:space="0" w:color="auto"/>
              <w:left w:val="nil"/>
              <w:bottom w:val="single" w:sz="4" w:space="0" w:color="auto"/>
              <w:right w:val="nil"/>
            </w:tcBorders>
            <w:vAlign w:val="center"/>
            <w:hideMark/>
          </w:tcPr>
          <w:p w14:paraId="6417A8B1"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D50</w:t>
            </w:r>
          </w:p>
        </w:tc>
        <w:tc>
          <w:tcPr>
            <w:tcW w:w="1550" w:type="dxa"/>
            <w:tcBorders>
              <w:top w:val="single" w:sz="4" w:space="0" w:color="auto"/>
              <w:left w:val="nil"/>
              <w:bottom w:val="single" w:sz="4" w:space="0" w:color="auto"/>
              <w:right w:val="nil"/>
            </w:tcBorders>
            <w:vAlign w:val="center"/>
            <w:hideMark/>
          </w:tcPr>
          <w:p w14:paraId="7AAF8655"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Observed Ø</w:t>
            </w:r>
          </w:p>
        </w:tc>
        <w:tc>
          <w:tcPr>
            <w:tcW w:w="991" w:type="dxa"/>
            <w:tcBorders>
              <w:top w:val="single" w:sz="4" w:space="0" w:color="auto"/>
              <w:left w:val="nil"/>
              <w:bottom w:val="single" w:sz="4" w:space="0" w:color="auto"/>
              <w:right w:val="nil"/>
            </w:tcBorders>
            <w:vAlign w:val="center"/>
            <w:hideMark/>
          </w:tcPr>
          <w:p w14:paraId="3AC16AA2" w14:textId="5F380AF9"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B21ADA"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EOP</w:t>
            </w:r>
            <w:r w:rsidR="00AE1719" w:rsidRPr="00A71974">
              <w:rPr>
                <w:rFonts w:ascii="Arial" w:eastAsia="Times New Roman" w:hAnsi="Arial" w:cs="Arial"/>
                <w:b/>
                <w:bCs/>
                <w:color w:val="000000"/>
                <w:kern w:val="0"/>
                <w:sz w:val="20"/>
                <w:szCs w:val="20"/>
                <w:lang w:eastAsia="en-GB"/>
                <w14:ligatures w14:val="none"/>
              </w:rPr>
              <w:t xml:space="preserve"> SLR</w:t>
            </w:r>
          </w:p>
        </w:tc>
        <w:tc>
          <w:tcPr>
            <w:tcW w:w="991" w:type="dxa"/>
            <w:tcBorders>
              <w:top w:val="single" w:sz="4" w:space="0" w:color="auto"/>
              <w:left w:val="nil"/>
              <w:bottom w:val="single" w:sz="4" w:space="0" w:color="auto"/>
              <w:right w:val="nil"/>
            </w:tcBorders>
            <w:vAlign w:val="center"/>
            <w:hideMark/>
          </w:tcPr>
          <w:p w14:paraId="29249727" w14:textId="02001A21"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AE1719" w:rsidRPr="00A71974">
              <w:rPr>
                <w:rFonts w:ascii="Arial" w:eastAsia="Times New Roman" w:hAnsi="Arial" w:cs="Arial"/>
                <w:b/>
                <w:bCs/>
                <w:color w:val="000000"/>
                <w:kern w:val="0"/>
                <w:sz w:val="20"/>
                <w:szCs w:val="20"/>
                <w:lang w:eastAsia="en-GB"/>
                <w14:ligatures w14:val="none"/>
              </w:rPr>
              <w:t xml:space="preserve">from </w:t>
            </w:r>
            <w:r w:rsidR="002743EA" w:rsidRPr="00A71974">
              <w:rPr>
                <w:rFonts w:ascii="Arial" w:eastAsia="Times New Roman" w:hAnsi="Arial" w:cs="Arial"/>
                <w:b/>
                <w:bCs/>
                <w:color w:val="000000"/>
                <w:kern w:val="0"/>
                <w:sz w:val="20"/>
                <w:szCs w:val="20"/>
                <w:lang w:eastAsia="en-GB"/>
                <w14:ligatures w14:val="none"/>
              </w:rPr>
              <w:t>SPT-N</w:t>
            </w:r>
            <w:r w:rsidR="00AE1719" w:rsidRPr="00A71974">
              <w:rPr>
                <w:rFonts w:ascii="Arial" w:eastAsia="Times New Roman" w:hAnsi="Arial" w:cs="Arial"/>
                <w:b/>
                <w:bCs/>
                <w:color w:val="000000"/>
                <w:kern w:val="0"/>
                <w:sz w:val="20"/>
                <w:szCs w:val="20"/>
                <w:lang w:eastAsia="en-GB"/>
                <w14:ligatures w14:val="none"/>
              </w:rPr>
              <w:t xml:space="preserve"> SLR</w:t>
            </w:r>
          </w:p>
        </w:tc>
        <w:tc>
          <w:tcPr>
            <w:tcW w:w="991" w:type="dxa"/>
            <w:tcBorders>
              <w:top w:val="single" w:sz="4" w:space="0" w:color="auto"/>
              <w:left w:val="nil"/>
              <w:bottom w:val="single" w:sz="4" w:space="0" w:color="auto"/>
              <w:right w:val="nil"/>
            </w:tcBorders>
            <w:vAlign w:val="center"/>
            <w:hideMark/>
          </w:tcPr>
          <w:p w14:paraId="7BC785E3" w14:textId="6B15679C"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AE1719"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D50</w:t>
            </w:r>
            <w:r w:rsidR="00AE1719" w:rsidRPr="00A71974">
              <w:rPr>
                <w:rFonts w:ascii="Arial" w:eastAsia="Times New Roman" w:hAnsi="Arial" w:cs="Arial"/>
                <w:b/>
                <w:bCs/>
                <w:color w:val="000000"/>
                <w:kern w:val="0"/>
                <w:sz w:val="20"/>
                <w:szCs w:val="20"/>
                <w:lang w:eastAsia="en-GB"/>
                <w14:ligatures w14:val="none"/>
              </w:rPr>
              <w:t xml:space="preserve"> SLR</w:t>
            </w:r>
          </w:p>
        </w:tc>
        <w:tc>
          <w:tcPr>
            <w:tcW w:w="1412" w:type="dxa"/>
            <w:tcBorders>
              <w:top w:val="single" w:sz="4" w:space="0" w:color="auto"/>
              <w:left w:val="nil"/>
              <w:bottom w:val="single" w:sz="4" w:space="0" w:color="auto"/>
              <w:right w:val="nil"/>
            </w:tcBorders>
            <w:vAlign w:val="center"/>
            <w:hideMark/>
          </w:tcPr>
          <w:p w14:paraId="306843B0" w14:textId="0B26E128"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 xml:space="preserve">Pred </w:t>
            </w:r>
            <w:r w:rsidR="00B21ADA" w:rsidRPr="00A71974">
              <w:rPr>
                <w:rFonts w:ascii="Arial" w:eastAsia="Times New Roman" w:hAnsi="Arial" w:cs="Arial"/>
                <w:b/>
                <w:bCs/>
                <w:color w:val="000000"/>
                <w:kern w:val="0"/>
                <w:sz w:val="20"/>
                <w:szCs w:val="20"/>
                <w:lang w:eastAsia="en-GB"/>
                <w14:ligatures w14:val="none"/>
              </w:rPr>
              <w:t>Ø</w:t>
            </w:r>
            <w:r w:rsidR="00AE1719" w:rsidRPr="00A71974">
              <w:rPr>
                <w:rFonts w:ascii="Arial" w:eastAsia="Times New Roman" w:hAnsi="Arial" w:cs="Arial"/>
                <w:b/>
                <w:bCs/>
                <w:color w:val="000000"/>
                <w:kern w:val="0"/>
                <w:sz w:val="20"/>
                <w:szCs w:val="20"/>
                <w:lang w:eastAsia="en-GB"/>
                <w14:ligatures w14:val="none"/>
              </w:rPr>
              <w:t xml:space="preserve"> </w:t>
            </w:r>
            <w:r w:rsidR="00416AA8"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M</w:t>
            </w:r>
            <w:r w:rsidR="00416AA8" w:rsidRPr="00A71974">
              <w:rPr>
                <w:rFonts w:ascii="Arial" w:eastAsia="Times New Roman" w:hAnsi="Arial" w:cs="Arial"/>
                <w:b/>
                <w:bCs/>
                <w:color w:val="000000"/>
                <w:kern w:val="0"/>
                <w:sz w:val="20"/>
                <w:szCs w:val="20"/>
                <w:lang w:eastAsia="en-GB"/>
                <w14:ligatures w14:val="none"/>
              </w:rPr>
              <w:t>LR</w:t>
            </w:r>
          </w:p>
        </w:tc>
      </w:tr>
      <w:tr w:rsidR="00AE1719" w:rsidRPr="00A71974" w14:paraId="4A5795D5" w14:textId="77777777" w:rsidTr="002743EA">
        <w:trPr>
          <w:trHeight w:val="218"/>
        </w:trPr>
        <w:tc>
          <w:tcPr>
            <w:tcW w:w="872" w:type="dxa"/>
            <w:tcBorders>
              <w:top w:val="single" w:sz="4" w:space="0" w:color="auto"/>
              <w:left w:val="nil"/>
              <w:bottom w:val="nil"/>
              <w:right w:val="nil"/>
            </w:tcBorders>
            <w:vAlign w:val="center"/>
            <w:hideMark/>
          </w:tcPr>
          <w:p w14:paraId="3E93A93F"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1</w:t>
            </w:r>
          </w:p>
        </w:tc>
        <w:tc>
          <w:tcPr>
            <w:tcW w:w="914" w:type="dxa"/>
            <w:tcBorders>
              <w:top w:val="single" w:sz="4" w:space="0" w:color="auto"/>
              <w:left w:val="nil"/>
              <w:bottom w:val="nil"/>
              <w:right w:val="nil"/>
            </w:tcBorders>
            <w:vAlign w:val="center"/>
            <w:hideMark/>
          </w:tcPr>
          <w:p w14:paraId="41D0B92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92.4</w:t>
            </w:r>
          </w:p>
        </w:tc>
        <w:tc>
          <w:tcPr>
            <w:tcW w:w="1004" w:type="dxa"/>
            <w:tcBorders>
              <w:top w:val="single" w:sz="4" w:space="0" w:color="auto"/>
              <w:left w:val="nil"/>
              <w:bottom w:val="nil"/>
              <w:right w:val="nil"/>
            </w:tcBorders>
            <w:vAlign w:val="center"/>
            <w:hideMark/>
          </w:tcPr>
          <w:p w14:paraId="7F5C73F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w:t>
            </w:r>
          </w:p>
        </w:tc>
        <w:tc>
          <w:tcPr>
            <w:tcW w:w="706" w:type="dxa"/>
            <w:tcBorders>
              <w:top w:val="single" w:sz="4" w:space="0" w:color="auto"/>
              <w:left w:val="nil"/>
              <w:bottom w:val="nil"/>
              <w:right w:val="nil"/>
            </w:tcBorders>
            <w:vAlign w:val="center"/>
            <w:hideMark/>
          </w:tcPr>
          <w:p w14:paraId="18D8F62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single" w:sz="4" w:space="0" w:color="auto"/>
              <w:left w:val="nil"/>
              <w:bottom w:val="nil"/>
              <w:right w:val="nil"/>
            </w:tcBorders>
            <w:vAlign w:val="center"/>
            <w:hideMark/>
          </w:tcPr>
          <w:p w14:paraId="566773D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w:t>
            </w:r>
          </w:p>
        </w:tc>
        <w:tc>
          <w:tcPr>
            <w:tcW w:w="991" w:type="dxa"/>
            <w:tcBorders>
              <w:top w:val="single" w:sz="4" w:space="0" w:color="auto"/>
              <w:left w:val="nil"/>
              <w:bottom w:val="nil"/>
              <w:right w:val="nil"/>
            </w:tcBorders>
            <w:vAlign w:val="center"/>
            <w:hideMark/>
          </w:tcPr>
          <w:p w14:paraId="59D47BEA"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29.03</w:t>
            </w:r>
          </w:p>
        </w:tc>
        <w:tc>
          <w:tcPr>
            <w:tcW w:w="991" w:type="dxa"/>
            <w:tcBorders>
              <w:top w:val="single" w:sz="4" w:space="0" w:color="auto"/>
              <w:left w:val="nil"/>
              <w:bottom w:val="nil"/>
              <w:right w:val="nil"/>
            </w:tcBorders>
            <w:vAlign w:val="center"/>
            <w:hideMark/>
          </w:tcPr>
          <w:p w14:paraId="47A2944D"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29.23</w:t>
            </w:r>
          </w:p>
        </w:tc>
        <w:tc>
          <w:tcPr>
            <w:tcW w:w="991" w:type="dxa"/>
            <w:tcBorders>
              <w:top w:val="single" w:sz="4" w:space="0" w:color="auto"/>
              <w:left w:val="nil"/>
              <w:bottom w:val="nil"/>
              <w:right w:val="nil"/>
            </w:tcBorders>
            <w:vAlign w:val="center"/>
            <w:hideMark/>
          </w:tcPr>
          <w:p w14:paraId="4320351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w:t>
            </w:r>
          </w:p>
        </w:tc>
        <w:tc>
          <w:tcPr>
            <w:tcW w:w="1412" w:type="dxa"/>
            <w:tcBorders>
              <w:top w:val="single" w:sz="4" w:space="0" w:color="auto"/>
              <w:left w:val="nil"/>
              <w:bottom w:val="nil"/>
              <w:right w:val="nil"/>
            </w:tcBorders>
            <w:vAlign w:val="center"/>
            <w:hideMark/>
          </w:tcPr>
          <w:p w14:paraId="45A0F158"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29.06</w:t>
            </w:r>
          </w:p>
        </w:tc>
      </w:tr>
      <w:tr w:rsidR="00AE1719" w:rsidRPr="00A71974" w14:paraId="05031DAA" w14:textId="77777777" w:rsidTr="002743EA">
        <w:trPr>
          <w:trHeight w:val="218"/>
        </w:trPr>
        <w:tc>
          <w:tcPr>
            <w:tcW w:w="872" w:type="dxa"/>
            <w:tcBorders>
              <w:top w:val="nil"/>
              <w:left w:val="nil"/>
              <w:bottom w:val="nil"/>
              <w:right w:val="nil"/>
            </w:tcBorders>
            <w:vAlign w:val="center"/>
            <w:hideMark/>
          </w:tcPr>
          <w:p w14:paraId="1D1BF68E"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2</w:t>
            </w:r>
          </w:p>
        </w:tc>
        <w:tc>
          <w:tcPr>
            <w:tcW w:w="914" w:type="dxa"/>
            <w:tcBorders>
              <w:top w:val="nil"/>
              <w:left w:val="nil"/>
              <w:bottom w:val="nil"/>
              <w:right w:val="nil"/>
            </w:tcBorders>
            <w:vAlign w:val="center"/>
            <w:hideMark/>
          </w:tcPr>
          <w:p w14:paraId="54CE67D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145</w:t>
            </w:r>
          </w:p>
        </w:tc>
        <w:tc>
          <w:tcPr>
            <w:tcW w:w="1004" w:type="dxa"/>
            <w:tcBorders>
              <w:top w:val="nil"/>
              <w:left w:val="nil"/>
              <w:bottom w:val="nil"/>
              <w:right w:val="nil"/>
            </w:tcBorders>
            <w:vAlign w:val="center"/>
            <w:hideMark/>
          </w:tcPr>
          <w:p w14:paraId="0D71D30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19</w:t>
            </w:r>
          </w:p>
        </w:tc>
        <w:tc>
          <w:tcPr>
            <w:tcW w:w="706" w:type="dxa"/>
            <w:tcBorders>
              <w:top w:val="nil"/>
              <w:left w:val="nil"/>
              <w:bottom w:val="nil"/>
              <w:right w:val="nil"/>
            </w:tcBorders>
            <w:vAlign w:val="center"/>
            <w:hideMark/>
          </w:tcPr>
          <w:p w14:paraId="62B8C6E5"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nil"/>
              <w:left w:val="nil"/>
              <w:bottom w:val="nil"/>
              <w:right w:val="nil"/>
            </w:tcBorders>
            <w:vAlign w:val="center"/>
            <w:hideMark/>
          </w:tcPr>
          <w:p w14:paraId="65B330D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w:t>
            </w:r>
          </w:p>
        </w:tc>
        <w:tc>
          <w:tcPr>
            <w:tcW w:w="991" w:type="dxa"/>
            <w:tcBorders>
              <w:top w:val="nil"/>
              <w:left w:val="nil"/>
              <w:bottom w:val="nil"/>
              <w:right w:val="nil"/>
            </w:tcBorders>
            <w:vAlign w:val="center"/>
            <w:hideMark/>
          </w:tcPr>
          <w:p w14:paraId="2666307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31.48</w:t>
            </w:r>
          </w:p>
        </w:tc>
        <w:tc>
          <w:tcPr>
            <w:tcW w:w="991" w:type="dxa"/>
            <w:tcBorders>
              <w:top w:val="nil"/>
              <w:left w:val="nil"/>
              <w:bottom w:val="nil"/>
              <w:right w:val="nil"/>
            </w:tcBorders>
            <w:vAlign w:val="center"/>
            <w:hideMark/>
          </w:tcPr>
          <w:p w14:paraId="395DA56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32.09</w:t>
            </w:r>
          </w:p>
        </w:tc>
        <w:tc>
          <w:tcPr>
            <w:tcW w:w="991" w:type="dxa"/>
            <w:tcBorders>
              <w:top w:val="nil"/>
              <w:left w:val="nil"/>
              <w:bottom w:val="nil"/>
              <w:right w:val="nil"/>
            </w:tcBorders>
            <w:vAlign w:val="center"/>
            <w:hideMark/>
          </w:tcPr>
          <w:p w14:paraId="589E993C"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31.67</w:t>
            </w:r>
          </w:p>
        </w:tc>
        <w:tc>
          <w:tcPr>
            <w:tcW w:w="1412" w:type="dxa"/>
            <w:tcBorders>
              <w:top w:val="nil"/>
              <w:left w:val="nil"/>
              <w:bottom w:val="nil"/>
              <w:right w:val="nil"/>
            </w:tcBorders>
            <w:vAlign w:val="center"/>
            <w:hideMark/>
          </w:tcPr>
          <w:p w14:paraId="57697D9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31.23</w:t>
            </w:r>
          </w:p>
        </w:tc>
      </w:tr>
      <w:tr w:rsidR="00AE1719" w:rsidRPr="00A71974" w14:paraId="1868BCAD" w14:textId="77777777" w:rsidTr="002743EA">
        <w:trPr>
          <w:trHeight w:val="218"/>
        </w:trPr>
        <w:tc>
          <w:tcPr>
            <w:tcW w:w="872" w:type="dxa"/>
            <w:tcBorders>
              <w:top w:val="nil"/>
              <w:left w:val="nil"/>
              <w:bottom w:val="single" w:sz="4" w:space="0" w:color="auto"/>
              <w:right w:val="nil"/>
            </w:tcBorders>
            <w:vAlign w:val="center"/>
            <w:hideMark/>
          </w:tcPr>
          <w:p w14:paraId="6395AB2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3</w:t>
            </w:r>
          </w:p>
        </w:tc>
        <w:tc>
          <w:tcPr>
            <w:tcW w:w="914" w:type="dxa"/>
            <w:tcBorders>
              <w:top w:val="nil"/>
              <w:left w:val="nil"/>
              <w:bottom w:val="single" w:sz="4" w:space="0" w:color="auto"/>
              <w:right w:val="nil"/>
            </w:tcBorders>
            <w:vAlign w:val="center"/>
            <w:hideMark/>
          </w:tcPr>
          <w:p w14:paraId="7FD3809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92.1</w:t>
            </w:r>
          </w:p>
        </w:tc>
        <w:tc>
          <w:tcPr>
            <w:tcW w:w="1004" w:type="dxa"/>
            <w:tcBorders>
              <w:top w:val="nil"/>
              <w:left w:val="nil"/>
              <w:bottom w:val="single" w:sz="4" w:space="0" w:color="auto"/>
              <w:right w:val="nil"/>
            </w:tcBorders>
            <w:vAlign w:val="center"/>
            <w:hideMark/>
          </w:tcPr>
          <w:p w14:paraId="6FF9B62A"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8</w:t>
            </w:r>
          </w:p>
        </w:tc>
        <w:tc>
          <w:tcPr>
            <w:tcW w:w="706" w:type="dxa"/>
            <w:tcBorders>
              <w:top w:val="nil"/>
              <w:left w:val="nil"/>
              <w:bottom w:val="single" w:sz="4" w:space="0" w:color="auto"/>
              <w:right w:val="nil"/>
            </w:tcBorders>
            <w:vAlign w:val="center"/>
            <w:hideMark/>
          </w:tcPr>
          <w:p w14:paraId="59CE4CD6"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nil"/>
              <w:left w:val="nil"/>
              <w:bottom w:val="single" w:sz="4" w:space="0" w:color="auto"/>
              <w:right w:val="nil"/>
            </w:tcBorders>
            <w:vAlign w:val="center"/>
            <w:hideMark/>
          </w:tcPr>
          <w:p w14:paraId="5A66970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w:t>
            </w:r>
          </w:p>
        </w:tc>
        <w:tc>
          <w:tcPr>
            <w:tcW w:w="991" w:type="dxa"/>
            <w:tcBorders>
              <w:top w:val="nil"/>
              <w:left w:val="nil"/>
              <w:bottom w:val="single" w:sz="4" w:space="0" w:color="auto"/>
              <w:right w:val="nil"/>
            </w:tcBorders>
            <w:vAlign w:val="center"/>
            <w:hideMark/>
          </w:tcPr>
          <w:p w14:paraId="2CBC5629"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29.01</w:t>
            </w:r>
          </w:p>
        </w:tc>
        <w:tc>
          <w:tcPr>
            <w:tcW w:w="991" w:type="dxa"/>
            <w:tcBorders>
              <w:top w:val="nil"/>
              <w:left w:val="nil"/>
              <w:bottom w:val="single" w:sz="4" w:space="0" w:color="auto"/>
              <w:right w:val="nil"/>
            </w:tcBorders>
            <w:vAlign w:val="center"/>
            <w:hideMark/>
          </w:tcPr>
          <w:p w14:paraId="50423757"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28.95</w:t>
            </w:r>
          </w:p>
        </w:tc>
        <w:tc>
          <w:tcPr>
            <w:tcW w:w="991" w:type="dxa"/>
            <w:tcBorders>
              <w:top w:val="nil"/>
              <w:left w:val="nil"/>
              <w:bottom w:val="single" w:sz="4" w:space="0" w:color="auto"/>
              <w:right w:val="nil"/>
            </w:tcBorders>
            <w:vAlign w:val="center"/>
            <w:hideMark/>
          </w:tcPr>
          <w:p w14:paraId="1751D348"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31.66</w:t>
            </w:r>
          </w:p>
        </w:tc>
        <w:tc>
          <w:tcPr>
            <w:tcW w:w="1412" w:type="dxa"/>
            <w:tcBorders>
              <w:top w:val="nil"/>
              <w:left w:val="nil"/>
              <w:bottom w:val="single" w:sz="4" w:space="0" w:color="auto"/>
              <w:right w:val="nil"/>
            </w:tcBorders>
            <w:vAlign w:val="center"/>
            <w:hideMark/>
          </w:tcPr>
          <w:p w14:paraId="3923405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29.14</w:t>
            </w:r>
          </w:p>
        </w:tc>
      </w:tr>
    </w:tbl>
    <w:p w14:paraId="2AF642CE" w14:textId="7979F3CF" w:rsidR="00036D45" w:rsidRPr="00A71974" w:rsidRDefault="009022C6" w:rsidP="00A71974">
      <w:pPr>
        <w:spacing w:after="0" w:line="240" w:lineRule="auto"/>
        <w:jc w:val="both"/>
        <w:rPr>
          <w:rFonts w:ascii="Arial" w:hAnsi="Arial" w:cs="Arial"/>
          <w:i/>
          <w:iCs/>
          <w:sz w:val="20"/>
          <w:szCs w:val="20"/>
        </w:rPr>
      </w:pPr>
      <w:r w:rsidRPr="00A71974">
        <w:rPr>
          <w:rFonts w:ascii="Arial" w:hAnsi="Arial" w:cs="Arial"/>
          <w:i/>
          <w:iCs/>
          <w:sz w:val="20"/>
          <w:szCs w:val="20"/>
        </w:rPr>
        <w:t>Note. EOP = Effective Overburden Pressure; SPT-N = Standard Penetration Test value; D50 = Median particle size; Ø = Angle of internal friction; SLR = Simple Linear Regression; MLR = Multiple Linear Regression</w:t>
      </w:r>
    </w:p>
    <w:p w14:paraId="7C1C9F98" w14:textId="77777777" w:rsidR="00F63CE3" w:rsidRPr="00A71974" w:rsidRDefault="00F63CE3" w:rsidP="00A71974">
      <w:pPr>
        <w:spacing w:line="240" w:lineRule="auto"/>
        <w:jc w:val="both"/>
        <w:rPr>
          <w:rFonts w:ascii="Arial" w:hAnsi="Arial" w:cs="Arial"/>
          <w:b/>
          <w:bCs/>
          <w:sz w:val="20"/>
          <w:szCs w:val="20"/>
        </w:rPr>
      </w:pPr>
    </w:p>
    <w:p w14:paraId="100C76C6" w14:textId="31E03E9D" w:rsidR="008D5A86" w:rsidRPr="00A71974" w:rsidRDefault="005763AC"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8</w:t>
      </w:r>
      <w:r w:rsidRPr="00A71974">
        <w:rPr>
          <w:rFonts w:ascii="Arial" w:hAnsi="Arial" w:cs="Arial"/>
          <w:b/>
          <w:bCs/>
          <w:sz w:val="20"/>
          <w:szCs w:val="20"/>
        </w:rPr>
        <w:t xml:space="preserve">: </w:t>
      </w:r>
      <w:r w:rsidRPr="00A71974">
        <w:rPr>
          <w:rFonts w:ascii="Arial" w:hAnsi="Arial" w:cs="Arial"/>
          <w:sz w:val="20"/>
          <w:szCs w:val="20"/>
        </w:rPr>
        <w:t>Model Performance Metrics on Test Data</w:t>
      </w:r>
    </w:p>
    <w:tbl>
      <w:tblPr>
        <w:tblW w:w="5000" w:type="pct"/>
        <w:tblLook w:val="04A0" w:firstRow="1" w:lastRow="0" w:firstColumn="1" w:lastColumn="0" w:noHBand="0" w:noVBand="1"/>
      </w:tblPr>
      <w:tblGrid>
        <w:gridCol w:w="1885"/>
        <w:gridCol w:w="1491"/>
        <w:gridCol w:w="1242"/>
        <w:gridCol w:w="1486"/>
        <w:gridCol w:w="1462"/>
        <w:gridCol w:w="1460"/>
      </w:tblGrid>
      <w:tr w:rsidR="008D5A86" w:rsidRPr="00A71974" w14:paraId="7C563295" w14:textId="77777777" w:rsidTr="001A26C3">
        <w:trPr>
          <w:trHeight w:val="924"/>
        </w:trPr>
        <w:tc>
          <w:tcPr>
            <w:tcW w:w="1044" w:type="pct"/>
            <w:tcBorders>
              <w:top w:val="single" w:sz="4" w:space="0" w:color="auto"/>
              <w:left w:val="nil"/>
              <w:bottom w:val="single" w:sz="4" w:space="0" w:color="auto"/>
              <w:right w:val="nil"/>
            </w:tcBorders>
            <w:vAlign w:val="center"/>
            <w:hideMark/>
          </w:tcPr>
          <w:p w14:paraId="02D78B83"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Model</w:t>
            </w:r>
          </w:p>
        </w:tc>
        <w:tc>
          <w:tcPr>
            <w:tcW w:w="826" w:type="pct"/>
            <w:tcBorders>
              <w:top w:val="single" w:sz="4" w:space="0" w:color="auto"/>
              <w:left w:val="nil"/>
              <w:bottom w:val="single" w:sz="4" w:space="0" w:color="auto"/>
              <w:right w:val="nil"/>
            </w:tcBorders>
            <w:vAlign w:val="center"/>
            <w:hideMark/>
          </w:tcPr>
          <w:p w14:paraId="220FDF9B"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RMSE (°)</w:t>
            </w:r>
          </w:p>
        </w:tc>
        <w:tc>
          <w:tcPr>
            <w:tcW w:w="688" w:type="pct"/>
            <w:tcBorders>
              <w:top w:val="single" w:sz="4" w:space="0" w:color="auto"/>
              <w:left w:val="nil"/>
              <w:bottom w:val="single" w:sz="4" w:space="0" w:color="auto"/>
              <w:right w:val="nil"/>
            </w:tcBorders>
            <w:vAlign w:val="center"/>
            <w:hideMark/>
          </w:tcPr>
          <w:p w14:paraId="56020DEF"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MAE (°)</w:t>
            </w:r>
          </w:p>
        </w:tc>
        <w:tc>
          <w:tcPr>
            <w:tcW w:w="823" w:type="pct"/>
            <w:tcBorders>
              <w:top w:val="single" w:sz="4" w:space="0" w:color="auto"/>
              <w:left w:val="nil"/>
              <w:bottom w:val="single" w:sz="4" w:space="0" w:color="auto"/>
              <w:right w:val="nil"/>
            </w:tcBorders>
            <w:vAlign w:val="center"/>
            <w:hideMark/>
          </w:tcPr>
          <w:p w14:paraId="27DD6563"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MAPE (%)</w:t>
            </w:r>
          </w:p>
        </w:tc>
        <w:tc>
          <w:tcPr>
            <w:tcW w:w="810" w:type="pct"/>
            <w:tcBorders>
              <w:top w:val="single" w:sz="4" w:space="0" w:color="auto"/>
              <w:left w:val="nil"/>
              <w:bottom w:val="single" w:sz="4" w:space="0" w:color="auto"/>
              <w:right w:val="nil"/>
            </w:tcBorders>
            <w:vAlign w:val="center"/>
            <w:hideMark/>
          </w:tcPr>
          <w:p w14:paraId="73875F74"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Bias (°)</w:t>
            </w:r>
          </w:p>
        </w:tc>
        <w:tc>
          <w:tcPr>
            <w:tcW w:w="810" w:type="pct"/>
            <w:tcBorders>
              <w:top w:val="single" w:sz="4" w:space="0" w:color="auto"/>
              <w:left w:val="nil"/>
              <w:bottom w:val="single" w:sz="4" w:space="0" w:color="auto"/>
              <w:right w:val="nil"/>
            </w:tcBorders>
            <w:vAlign w:val="center"/>
            <w:hideMark/>
          </w:tcPr>
          <w:p w14:paraId="2B65D2D6"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Max Error (°)</w:t>
            </w:r>
          </w:p>
        </w:tc>
      </w:tr>
      <w:tr w:rsidR="008D5A86" w:rsidRPr="00A71974" w14:paraId="25650E85" w14:textId="77777777" w:rsidTr="001A26C3">
        <w:trPr>
          <w:trHeight w:val="307"/>
        </w:trPr>
        <w:tc>
          <w:tcPr>
            <w:tcW w:w="1044" w:type="pct"/>
            <w:tcBorders>
              <w:top w:val="single" w:sz="4" w:space="0" w:color="auto"/>
              <w:left w:val="nil"/>
              <w:bottom w:val="nil"/>
              <w:right w:val="nil"/>
            </w:tcBorders>
            <w:vAlign w:val="center"/>
            <w:hideMark/>
          </w:tcPr>
          <w:p w14:paraId="11DF6BFA"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EOP</w:t>
            </w:r>
          </w:p>
        </w:tc>
        <w:tc>
          <w:tcPr>
            <w:tcW w:w="826" w:type="pct"/>
            <w:tcBorders>
              <w:top w:val="single" w:sz="4" w:space="0" w:color="auto"/>
              <w:left w:val="nil"/>
              <w:bottom w:val="nil"/>
              <w:right w:val="nil"/>
            </w:tcBorders>
            <w:vAlign w:val="center"/>
            <w:hideMark/>
          </w:tcPr>
          <w:p w14:paraId="433E146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0.88</w:t>
            </w:r>
          </w:p>
        </w:tc>
        <w:tc>
          <w:tcPr>
            <w:tcW w:w="688" w:type="pct"/>
            <w:tcBorders>
              <w:top w:val="single" w:sz="4" w:space="0" w:color="auto"/>
              <w:left w:val="nil"/>
              <w:bottom w:val="nil"/>
              <w:right w:val="nil"/>
            </w:tcBorders>
            <w:vAlign w:val="center"/>
            <w:hideMark/>
          </w:tcPr>
          <w:p w14:paraId="3FA0E72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0.84</w:t>
            </w:r>
          </w:p>
        </w:tc>
        <w:tc>
          <w:tcPr>
            <w:tcW w:w="823" w:type="pct"/>
            <w:tcBorders>
              <w:top w:val="single" w:sz="4" w:space="0" w:color="auto"/>
              <w:left w:val="nil"/>
              <w:bottom w:val="nil"/>
              <w:right w:val="nil"/>
            </w:tcBorders>
            <w:vAlign w:val="center"/>
            <w:hideMark/>
          </w:tcPr>
          <w:p w14:paraId="1AD02D5E"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w:t>
            </w:r>
          </w:p>
        </w:tc>
        <w:tc>
          <w:tcPr>
            <w:tcW w:w="810" w:type="pct"/>
            <w:tcBorders>
              <w:top w:val="single" w:sz="4" w:space="0" w:color="auto"/>
              <w:left w:val="nil"/>
              <w:bottom w:val="nil"/>
              <w:right w:val="nil"/>
            </w:tcBorders>
            <w:vAlign w:val="center"/>
            <w:hideMark/>
          </w:tcPr>
          <w:p w14:paraId="3F692818"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0.838</w:t>
            </w:r>
          </w:p>
        </w:tc>
        <w:tc>
          <w:tcPr>
            <w:tcW w:w="810" w:type="pct"/>
            <w:tcBorders>
              <w:top w:val="single" w:sz="4" w:space="0" w:color="auto"/>
              <w:left w:val="nil"/>
              <w:bottom w:val="nil"/>
              <w:right w:val="nil"/>
            </w:tcBorders>
            <w:vAlign w:val="center"/>
            <w:hideMark/>
          </w:tcPr>
          <w:p w14:paraId="4033FC5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1.026</w:t>
            </w:r>
          </w:p>
        </w:tc>
      </w:tr>
      <w:tr w:rsidR="008D5A86" w:rsidRPr="00A71974" w14:paraId="5F908B81" w14:textId="77777777" w:rsidTr="001A26C3">
        <w:trPr>
          <w:trHeight w:val="307"/>
        </w:trPr>
        <w:tc>
          <w:tcPr>
            <w:tcW w:w="1044" w:type="pct"/>
            <w:tcBorders>
              <w:top w:val="nil"/>
              <w:left w:val="nil"/>
              <w:bottom w:val="nil"/>
              <w:right w:val="nil"/>
            </w:tcBorders>
            <w:vAlign w:val="center"/>
            <w:hideMark/>
          </w:tcPr>
          <w:p w14:paraId="30EAC787" w14:textId="1C0E586B" w:rsidR="008D5A86"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826" w:type="pct"/>
            <w:tcBorders>
              <w:top w:val="nil"/>
              <w:left w:val="nil"/>
              <w:bottom w:val="nil"/>
              <w:right w:val="nil"/>
            </w:tcBorders>
            <w:vAlign w:val="center"/>
            <w:hideMark/>
          </w:tcPr>
          <w:p w14:paraId="39F55D4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w:t>
            </w:r>
          </w:p>
        </w:tc>
        <w:tc>
          <w:tcPr>
            <w:tcW w:w="688" w:type="pct"/>
            <w:tcBorders>
              <w:top w:val="nil"/>
              <w:left w:val="nil"/>
              <w:bottom w:val="nil"/>
              <w:right w:val="nil"/>
            </w:tcBorders>
            <w:vAlign w:val="center"/>
            <w:hideMark/>
          </w:tcPr>
          <w:p w14:paraId="1507974E"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1.09</w:t>
            </w:r>
          </w:p>
        </w:tc>
        <w:tc>
          <w:tcPr>
            <w:tcW w:w="823" w:type="pct"/>
            <w:tcBorders>
              <w:top w:val="nil"/>
              <w:left w:val="nil"/>
              <w:bottom w:val="nil"/>
              <w:right w:val="nil"/>
            </w:tcBorders>
            <w:vAlign w:val="center"/>
            <w:hideMark/>
          </w:tcPr>
          <w:p w14:paraId="5F443525"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3.8</w:t>
            </w:r>
          </w:p>
        </w:tc>
        <w:tc>
          <w:tcPr>
            <w:tcW w:w="810" w:type="pct"/>
            <w:tcBorders>
              <w:top w:val="nil"/>
              <w:left w:val="nil"/>
              <w:bottom w:val="nil"/>
              <w:right w:val="nil"/>
            </w:tcBorders>
            <w:vAlign w:val="center"/>
            <w:hideMark/>
          </w:tcPr>
          <w:p w14:paraId="56B7B3E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1.093</w:t>
            </w:r>
          </w:p>
        </w:tc>
        <w:tc>
          <w:tcPr>
            <w:tcW w:w="810" w:type="pct"/>
            <w:tcBorders>
              <w:top w:val="nil"/>
              <w:left w:val="nil"/>
              <w:bottom w:val="nil"/>
              <w:right w:val="nil"/>
            </w:tcBorders>
            <w:vAlign w:val="center"/>
            <w:hideMark/>
          </w:tcPr>
          <w:p w14:paraId="607E124A"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1.235</w:t>
            </w:r>
          </w:p>
        </w:tc>
      </w:tr>
      <w:tr w:rsidR="008D5A86" w:rsidRPr="00A71974" w14:paraId="71E0A45B" w14:textId="77777777" w:rsidTr="001A26C3">
        <w:trPr>
          <w:trHeight w:val="307"/>
        </w:trPr>
        <w:tc>
          <w:tcPr>
            <w:tcW w:w="1044" w:type="pct"/>
            <w:tcBorders>
              <w:top w:val="nil"/>
              <w:left w:val="nil"/>
              <w:bottom w:val="nil"/>
              <w:right w:val="nil"/>
            </w:tcBorders>
            <w:vAlign w:val="center"/>
            <w:hideMark/>
          </w:tcPr>
          <w:p w14:paraId="4744BFE9"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826" w:type="pct"/>
            <w:tcBorders>
              <w:top w:val="nil"/>
              <w:left w:val="nil"/>
              <w:bottom w:val="nil"/>
              <w:right w:val="nil"/>
            </w:tcBorders>
            <w:vAlign w:val="center"/>
            <w:hideMark/>
          </w:tcPr>
          <w:p w14:paraId="338324A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2.99</w:t>
            </w:r>
          </w:p>
        </w:tc>
        <w:tc>
          <w:tcPr>
            <w:tcW w:w="688" w:type="pct"/>
            <w:tcBorders>
              <w:top w:val="nil"/>
              <w:left w:val="nil"/>
              <w:bottom w:val="nil"/>
              <w:right w:val="nil"/>
            </w:tcBorders>
            <w:vAlign w:val="center"/>
            <w:hideMark/>
          </w:tcPr>
          <w:p w14:paraId="492156A2"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2.64</w:t>
            </w:r>
          </w:p>
        </w:tc>
        <w:tc>
          <w:tcPr>
            <w:tcW w:w="823" w:type="pct"/>
            <w:tcBorders>
              <w:top w:val="nil"/>
              <w:left w:val="nil"/>
              <w:bottom w:val="nil"/>
              <w:right w:val="nil"/>
            </w:tcBorders>
            <w:vAlign w:val="center"/>
            <w:hideMark/>
          </w:tcPr>
          <w:p w14:paraId="1F05616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9.4</w:t>
            </w:r>
          </w:p>
        </w:tc>
        <w:tc>
          <w:tcPr>
            <w:tcW w:w="810" w:type="pct"/>
            <w:tcBorders>
              <w:top w:val="nil"/>
              <w:left w:val="nil"/>
              <w:bottom w:val="nil"/>
              <w:right w:val="nil"/>
            </w:tcBorders>
            <w:vAlign w:val="center"/>
            <w:hideMark/>
          </w:tcPr>
          <w:p w14:paraId="2C75F952"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2.642</w:t>
            </w:r>
          </w:p>
        </w:tc>
        <w:tc>
          <w:tcPr>
            <w:tcW w:w="810" w:type="pct"/>
            <w:tcBorders>
              <w:top w:val="nil"/>
              <w:left w:val="nil"/>
              <w:bottom w:val="nil"/>
              <w:right w:val="nil"/>
            </w:tcBorders>
            <w:vAlign w:val="center"/>
            <w:hideMark/>
          </w:tcPr>
          <w:p w14:paraId="44EA76E9"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3.656</w:t>
            </w:r>
          </w:p>
        </w:tc>
      </w:tr>
      <w:tr w:rsidR="008D5A86" w:rsidRPr="00A71974" w14:paraId="78E0E7FE" w14:textId="77777777" w:rsidTr="001A26C3">
        <w:trPr>
          <w:trHeight w:val="307"/>
        </w:trPr>
        <w:tc>
          <w:tcPr>
            <w:tcW w:w="1044" w:type="pct"/>
            <w:tcBorders>
              <w:top w:val="nil"/>
              <w:left w:val="nil"/>
              <w:bottom w:val="single" w:sz="4" w:space="0" w:color="auto"/>
              <w:right w:val="nil"/>
            </w:tcBorders>
            <w:vAlign w:val="center"/>
            <w:hideMark/>
          </w:tcPr>
          <w:p w14:paraId="520E1D7C"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Multiple</w:t>
            </w:r>
          </w:p>
        </w:tc>
        <w:tc>
          <w:tcPr>
            <w:tcW w:w="826" w:type="pct"/>
            <w:tcBorders>
              <w:top w:val="nil"/>
              <w:left w:val="nil"/>
              <w:bottom w:val="single" w:sz="4" w:space="0" w:color="auto"/>
              <w:right w:val="nil"/>
            </w:tcBorders>
            <w:vAlign w:val="center"/>
            <w:hideMark/>
          </w:tcPr>
          <w:p w14:paraId="028E039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0.91</w:t>
            </w:r>
          </w:p>
        </w:tc>
        <w:tc>
          <w:tcPr>
            <w:tcW w:w="688" w:type="pct"/>
            <w:tcBorders>
              <w:top w:val="nil"/>
              <w:left w:val="nil"/>
              <w:bottom w:val="single" w:sz="4" w:space="0" w:color="auto"/>
              <w:right w:val="nil"/>
            </w:tcBorders>
            <w:vAlign w:val="center"/>
            <w:hideMark/>
          </w:tcPr>
          <w:p w14:paraId="1D2BFCF7"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0.81</w:t>
            </w:r>
          </w:p>
        </w:tc>
        <w:tc>
          <w:tcPr>
            <w:tcW w:w="823" w:type="pct"/>
            <w:tcBorders>
              <w:top w:val="nil"/>
              <w:left w:val="nil"/>
              <w:bottom w:val="single" w:sz="4" w:space="0" w:color="auto"/>
              <w:right w:val="nil"/>
            </w:tcBorders>
            <w:vAlign w:val="center"/>
            <w:hideMark/>
          </w:tcPr>
          <w:p w14:paraId="3B944C0D"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w:t>
            </w:r>
          </w:p>
        </w:tc>
        <w:tc>
          <w:tcPr>
            <w:tcW w:w="810" w:type="pct"/>
            <w:tcBorders>
              <w:top w:val="nil"/>
              <w:left w:val="nil"/>
              <w:bottom w:val="single" w:sz="4" w:space="0" w:color="auto"/>
              <w:right w:val="nil"/>
            </w:tcBorders>
            <w:vAlign w:val="center"/>
            <w:hideMark/>
          </w:tcPr>
          <w:p w14:paraId="433661A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0.809</w:t>
            </w:r>
          </w:p>
        </w:tc>
        <w:tc>
          <w:tcPr>
            <w:tcW w:w="810" w:type="pct"/>
            <w:tcBorders>
              <w:top w:val="nil"/>
              <w:left w:val="nil"/>
              <w:bottom w:val="single" w:sz="4" w:space="0" w:color="auto"/>
              <w:right w:val="nil"/>
            </w:tcBorders>
            <w:vAlign w:val="center"/>
            <w:hideMark/>
          </w:tcPr>
          <w:p w14:paraId="184DB9E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1.144</w:t>
            </w:r>
          </w:p>
        </w:tc>
      </w:tr>
    </w:tbl>
    <w:p w14:paraId="18F2026F" w14:textId="43DF142B" w:rsidR="008D5A86" w:rsidRPr="00A71974" w:rsidRDefault="00606A00" w:rsidP="00A71974">
      <w:pPr>
        <w:spacing w:after="0" w:line="240" w:lineRule="auto"/>
        <w:jc w:val="both"/>
        <w:rPr>
          <w:rFonts w:ascii="Arial" w:hAnsi="Arial" w:cs="Arial"/>
          <w:i/>
          <w:iCs/>
          <w:sz w:val="20"/>
          <w:szCs w:val="20"/>
        </w:rPr>
      </w:pPr>
      <w:r w:rsidRPr="00A71974">
        <w:rPr>
          <w:rFonts w:ascii="Arial" w:hAnsi="Arial" w:cs="Arial"/>
          <w:i/>
          <w:iCs/>
          <w:sz w:val="20"/>
          <w:szCs w:val="20"/>
        </w:rPr>
        <w:t>Note. RMSE = Root Mean Square Error; MAE = Mean Absolute Error; MAPE = Mean Absolute Percentage Error; Bias = Mean prediction error; Max Error = Maximum absolute error.</w:t>
      </w:r>
    </w:p>
    <w:p w14:paraId="5A94811B" w14:textId="77777777" w:rsidR="008D5A86" w:rsidRPr="00A71974" w:rsidRDefault="008D5A86" w:rsidP="00A71974">
      <w:pPr>
        <w:spacing w:line="240" w:lineRule="auto"/>
        <w:jc w:val="both"/>
        <w:rPr>
          <w:rFonts w:ascii="Arial" w:hAnsi="Arial" w:cs="Arial"/>
          <w:b/>
          <w:bCs/>
          <w:sz w:val="20"/>
          <w:szCs w:val="20"/>
        </w:rPr>
      </w:pPr>
    </w:p>
    <w:p w14:paraId="7BA32E8F" w14:textId="50E95B25" w:rsidR="003429ED" w:rsidRPr="00A71974" w:rsidRDefault="00B21ADA"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9</w:t>
      </w:r>
      <w:r w:rsidRPr="00A71974">
        <w:rPr>
          <w:rFonts w:ascii="Arial" w:hAnsi="Arial" w:cs="Arial"/>
          <w:b/>
          <w:bCs/>
          <w:sz w:val="20"/>
          <w:szCs w:val="20"/>
        </w:rPr>
        <w:t xml:space="preserve">: </w:t>
      </w:r>
      <w:r w:rsidRPr="00A71974">
        <w:rPr>
          <w:rFonts w:ascii="Arial" w:hAnsi="Arial" w:cs="Arial"/>
          <w:sz w:val="20"/>
          <w:szCs w:val="20"/>
        </w:rPr>
        <w:t>Model Performance Ranking Summary</w:t>
      </w:r>
    </w:p>
    <w:tbl>
      <w:tblPr>
        <w:tblW w:w="8855" w:type="dxa"/>
        <w:tblLook w:val="04A0" w:firstRow="1" w:lastRow="0" w:firstColumn="1" w:lastColumn="0" w:noHBand="0" w:noVBand="1"/>
      </w:tblPr>
      <w:tblGrid>
        <w:gridCol w:w="3330"/>
        <w:gridCol w:w="1800"/>
        <w:gridCol w:w="1260"/>
        <w:gridCol w:w="1260"/>
        <w:gridCol w:w="1205"/>
      </w:tblGrid>
      <w:tr w:rsidR="003429ED" w:rsidRPr="00A71974" w14:paraId="10DA16D9" w14:textId="77777777" w:rsidTr="0034288D">
        <w:trPr>
          <w:trHeight w:val="452"/>
        </w:trPr>
        <w:tc>
          <w:tcPr>
            <w:tcW w:w="3330" w:type="dxa"/>
            <w:tcBorders>
              <w:top w:val="single" w:sz="4" w:space="0" w:color="auto"/>
              <w:left w:val="nil"/>
              <w:bottom w:val="single" w:sz="4" w:space="0" w:color="auto"/>
              <w:right w:val="nil"/>
            </w:tcBorders>
            <w:vAlign w:val="center"/>
            <w:hideMark/>
          </w:tcPr>
          <w:p w14:paraId="3CE0316E"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Model</w:t>
            </w:r>
          </w:p>
        </w:tc>
        <w:tc>
          <w:tcPr>
            <w:tcW w:w="1800" w:type="dxa"/>
            <w:tcBorders>
              <w:top w:val="single" w:sz="4" w:space="0" w:color="auto"/>
              <w:left w:val="nil"/>
              <w:bottom w:val="single" w:sz="4" w:space="0" w:color="auto"/>
              <w:right w:val="nil"/>
            </w:tcBorders>
            <w:vAlign w:val="center"/>
            <w:hideMark/>
          </w:tcPr>
          <w:p w14:paraId="7FD52292"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RMSE Rank</w:t>
            </w:r>
          </w:p>
        </w:tc>
        <w:tc>
          <w:tcPr>
            <w:tcW w:w="1260" w:type="dxa"/>
            <w:tcBorders>
              <w:top w:val="single" w:sz="4" w:space="0" w:color="auto"/>
              <w:left w:val="nil"/>
              <w:bottom w:val="single" w:sz="4" w:space="0" w:color="auto"/>
              <w:right w:val="nil"/>
            </w:tcBorders>
            <w:vAlign w:val="center"/>
            <w:hideMark/>
          </w:tcPr>
          <w:p w14:paraId="2E9C4489"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MAE Rank</w:t>
            </w:r>
          </w:p>
        </w:tc>
        <w:tc>
          <w:tcPr>
            <w:tcW w:w="1260" w:type="dxa"/>
            <w:tcBorders>
              <w:top w:val="single" w:sz="4" w:space="0" w:color="auto"/>
              <w:left w:val="nil"/>
              <w:bottom w:val="single" w:sz="4" w:space="0" w:color="auto"/>
              <w:right w:val="nil"/>
            </w:tcBorders>
            <w:vAlign w:val="center"/>
            <w:hideMark/>
          </w:tcPr>
          <w:p w14:paraId="3BFDFB3C"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MAPE Rank</w:t>
            </w:r>
          </w:p>
        </w:tc>
        <w:tc>
          <w:tcPr>
            <w:tcW w:w="1205" w:type="dxa"/>
            <w:tcBorders>
              <w:top w:val="single" w:sz="4" w:space="0" w:color="auto"/>
              <w:left w:val="nil"/>
              <w:bottom w:val="single" w:sz="4" w:space="0" w:color="auto"/>
              <w:right w:val="nil"/>
            </w:tcBorders>
            <w:vAlign w:val="center"/>
            <w:hideMark/>
          </w:tcPr>
          <w:p w14:paraId="199C00DE"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Overall Score</w:t>
            </w:r>
          </w:p>
        </w:tc>
      </w:tr>
      <w:tr w:rsidR="003429ED" w:rsidRPr="00A71974" w14:paraId="729202B2" w14:textId="77777777" w:rsidTr="0034288D">
        <w:trPr>
          <w:trHeight w:val="112"/>
        </w:trPr>
        <w:tc>
          <w:tcPr>
            <w:tcW w:w="3330" w:type="dxa"/>
            <w:tcBorders>
              <w:top w:val="single" w:sz="4" w:space="0" w:color="auto"/>
              <w:left w:val="nil"/>
              <w:bottom w:val="nil"/>
              <w:right w:val="nil"/>
            </w:tcBorders>
            <w:vAlign w:val="center"/>
            <w:hideMark/>
          </w:tcPr>
          <w:p w14:paraId="19AB4047" w14:textId="11C4CE41"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Multiple</w:t>
            </w:r>
            <w:r w:rsidR="0034288D" w:rsidRPr="00A71974">
              <w:rPr>
                <w:rFonts w:ascii="Arial" w:eastAsia="Times New Roman" w:hAnsi="Arial" w:cs="Arial"/>
                <w:color w:val="000000"/>
                <w:kern w:val="0"/>
                <w:sz w:val="20"/>
                <w:szCs w:val="20"/>
                <w:lang w:eastAsia="en-GB"/>
                <w14:ligatures w14:val="none"/>
              </w:rPr>
              <w:t xml:space="preserve"> Regression Model</w:t>
            </w:r>
          </w:p>
        </w:tc>
        <w:tc>
          <w:tcPr>
            <w:tcW w:w="1800" w:type="dxa"/>
            <w:tcBorders>
              <w:top w:val="single" w:sz="4" w:space="0" w:color="auto"/>
              <w:left w:val="nil"/>
              <w:bottom w:val="nil"/>
              <w:right w:val="nil"/>
            </w:tcBorders>
            <w:vAlign w:val="center"/>
            <w:hideMark/>
          </w:tcPr>
          <w:p w14:paraId="59CD952B"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60" w:type="dxa"/>
            <w:tcBorders>
              <w:top w:val="single" w:sz="4" w:space="0" w:color="auto"/>
              <w:left w:val="nil"/>
              <w:bottom w:val="nil"/>
              <w:right w:val="nil"/>
            </w:tcBorders>
            <w:vAlign w:val="center"/>
            <w:hideMark/>
          </w:tcPr>
          <w:p w14:paraId="3EE0875C"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60" w:type="dxa"/>
            <w:tcBorders>
              <w:top w:val="single" w:sz="4" w:space="0" w:color="auto"/>
              <w:left w:val="nil"/>
              <w:bottom w:val="nil"/>
              <w:right w:val="nil"/>
            </w:tcBorders>
            <w:vAlign w:val="center"/>
            <w:hideMark/>
          </w:tcPr>
          <w:p w14:paraId="46B5AE1C"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05" w:type="dxa"/>
            <w:tcBorders>
              <w:top w:val="single" w:sz="4" w:space="0" w:color="auto"/>
              <w:left w:val="nil"/>
              <w:bottom w:val="nil"/>
              <w:right w:val="nil"/>
            </w:tcBorders>
            <w:vAlign w:val="center"/>
            <w:hideMark/>
          </w:tcPr>
          <w:p w14:paraId="42E55245"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r>
      <w:tr w:rsidR="003429ED" w:rsidRPr="00A71974" w14:paraId="4028C7B4" w14:textId="77777777" w:rsidTr="0034288D">
        <w:trPr>
          <w:trHeight w:val="112"/>
        </w:trPr>
        <w:tc>
          <w:tcPr>
            <w:tcW w:w="3330" w:type="dxa"/>
            <w:tcBorders>
              <w:top w:val="nil"/>
              <w:left w:val="nil"/>
              <w:bottom w:val="nil"/>
              <w:right w:val="nil"/>
            </w:tcBorders>
            <w:vAlign w:val="center"/>
            <w:hideMark/>
          </w:tcPr>
          <w:p w14:paraId="667E5A80" w14:textId="6035A4D3"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EOP</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nil"/>
              <w:right w:val="nil"/>
            </w:tcBorders>
            <w:vAlign w:val="center"/>
            <w:hideMark/>
          </w:tcPr>
          <w:p w14:paraId="1862D9D0"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60" w:type="dxa"/>
            <w:tcBorders>
              <w:top w:val="nil"/>
              <w:left w:val="nil"/>
              <w:bottom w:val="nil"/>
              <w:right w:val="nil"/>
            </w:tcBorders>
            <w:vAlign w:val="center"/>
            <w:hideMark/>
          </w:tcPr>
          <w:p w14:paraId="234AB6F6"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60" w:type="dxa"/>
            <w:tcBorders>
              <w:top w:val="nil"/>
              <w:left w:val="nil"/>
              <w:bottom w:val="nil"/>
              <w:right w:val="nil"/>
            </w:tcBorders>
            <w:vAlign w:val="center"/>
            <w:hideMark/>
          </w:tcPr>
          <w:p w14:paraId="0459D044"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05" w:type="dxa"/>
            <w:tcBorders>
              <w:top w:val="nil"/>
              <w:left w:val="nil"/>
              <w:bottom w:val="nil"/>
              <w:right w:val="nil"/>
            </w:tcBorders>
            <w:vAlign w:val="center"/>
            <w:hideMark/>
          </w:tcPr>
          <w:p w14:paraId="04976C77"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5</w:t>
            </w:r>
          </w:p>
        </w:tc>
      </w:tr>
      <w:tr w:rsidR="003429ED" w:rsidRPr="00A71974" w14:paraId="3C34A44E" w14:textId="77777777" w:rsidTr="0034288D">
        <w:trPr>
          <w:trHeight w:val="112"/>
        </w:trPr>
        <w:tc>
          <w:tcPr>
            <w:tcW w:w="3330" w:type="dxa"/>
            <w:tcBorders>
              <w:top w:val="nil"/>
              <w:left w:val="nil"/>
              <w:bottom w:val="nil"/>
              <w:right w:val="nil"/>
            </w:tcBorders>
            <w:vAlign w:val="center"/>
            <w:hideMark/>
          </w:tcPr>
          <w:p w14:paraId="77822040" w14:textId="04AC432C"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nil"/>
              <w:right w:val="nil"/>
            </w:tcBorders>
            <w:vAlign w:val="center"/>
            <w:hideMark/>
          </w:tcPr>
          <w:p w14:paraId="561C2B9D"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60" w:type="dxa"/>
            <w:tcBorders>
              <w:top w:val="nil"/>
              <w:left w:val="nil"/>
              <w:bottom w:val="nil"/>
              <w:right w:val="nil"/>
            </w:tcBorders>
            <w:vAlign w:val="center"/>
            <w:hideMark/>
          </w:tcPr>
          <w:p w14:paraId="11C20353"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60" w:type="dxa"/>
            <w:tcBorders>
              <w:top w:val="nil"/>
              <w:left w:val="nil"/>
              <w:bottom w:val="nil"/>
              <w:right w:val="nil"/>
            </w:tcBorders>
            <w:vAlign w:val="center"/>
            <w:hideMark/>
          </w:tcPr>
          <w:p w14:paraId="5B064019"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05" w:type="dxa"/>
            <w:tcBorders>
              <w:top w:val="nil"/>
              <w:left w:val="nil"/>
              <w:bottom w:val="nil"/>
              <w:right w:val="nil"/>
            </w:tcBorders>
            <w:vAlign w:val="center"/>
            <w:hideMark/>
          </w:tcPr>
          <w:p w14:paraId="19D5DAB9"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w:t>
            </w:r>
          </w:p>
        </w:tc>
      </w:tr>
      <w:tr w:rsidR="003429ED" w:rsidRPr="00A71974" w14:paraId="41E402FF" w14:textId="77777777" w:rsidTr="0034288D">
        <w:trPr>
          <w:trHeight w:val="112"/>
        </w:trPr>
        <w:tc>
          <w:tcPr>
            <w:tcW w:w="3330" w:type="dxa"/>
            <w:tcBorders>
              <w:top w:val="nil"/>
              <w:left w:val="nil"/>
              <w:bottom w:val="single" w:sz="4" w:space="0" w:color="auto"/>
              <w:right w:val="nil"/>
            </w:tcBorders>
            <w:vAlign w:val="center"/>
            <w:hideMark/>
          </w:tcPr>
          <w:p w14:paraId="4A90078C" w14:textId="0ACC1E5C"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single" w:sz="4" w:space="0" w:color="auto"/>
              <w:right w:val="nil"/>
            </w:tcBorders>
            <w:vAlign w:val="center"/>
            <w:hideMark/>
          </w:tcPr>
          <w:p w14:paraId="127E5D14"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60" w:type="dxa"/>
            <w:tcBorders>
              <w:top w:val="nil"/>
              <w:left w:val="nil"/>
              <w:bottom w:val="single" w:sz="4" w:space="0" w:color="auto"/>
              <w:right w:val="nil"/>
            </w:tcBorders>
            <w:vAlign w:val="center"/>
            <w:hideMark/>
          </w:tcPr>
          <w:p w14:paraId="14C58C3B"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60" w:type="dxa"/>
            <w:tcBorders>
              <w:top w:val="nil"/>
              <w:left w:val="nil"/>
              <w:bottom w:val="single" w:sz="4" w:space="0" w:color="auto"/>
              <w:right w:val="nil"/>
            </w:tcBorders>
            <w:vAlign w:val="center"/>
            <w:hideMark/>
          </w:tcPr>
          <w:p w14:paraId="79A15D3E"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05" w:type="dxa"/>
            <w:tcBorders>
              <w:top w:val="nil"/>
              <w:left w:val="nil"/>
              <w:bottom w:val="single" w:sz="4" w:space="0" w:color="auto"/>
              <w:right w:val="nil"/>
            </w:tcBorders>
            <w:vAlign w:val="center"/>
            <w:hideMark/>
          </w:tcPr>
          <w:p w14:paraId="3E82FB00"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w:t>
            </w:r>
          </w:p>
        </w:tc>
      </w:tr>
    </w:tbl>
    <w:p w14:paraId="3C114711" w14:textId="77777777" w:rsidR="0034288D" w:rsidRDefault="0034288D" w:rsidP="00A71974">
      <w:pPr>
        <w:spacing w:line="240" w:lineRule="auto"/>
        <w:jc w:val="both"/>
        <w:rPr>
          <w:rFonts w:ascii="Arial" w:hAnsi="Arial" w:cs="Arial"/>
          <w:b/>
          <w:bCs/>
          <w:sz w:val="20"/>
          <w:szCs w:val="20"/>
        </w:rPr>
      </w:pPr>
    </w:p>
    <w:p w14:paraId="5896A03D" w14:textId="2E5BE7C2" w:rsidR="007108B1" w:rsidRPr="00A71974" w:rsidRDefault="007108B1" w:rsidP="00A71974">
      <w:pPr>
        <w:spacing w:line="240" w:lineRule="auto"/>
        <w:jc w:val="both"/>
        <w:rPr>
          <w:rFonts w:ascii="Arial" w:hAnsi="Arial" w:cs="Arial"/>
          <w:b/>
          <w:bCs/>
          <w:sz w:val="20"/>
          <w:szCs w:val="20"/>
        </w:rPr>
      </w:pPr>
    </w:p>
    <w:p w14:paraId="37DF8519" w14:textId="007DEDA0"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4. DISCUSSION</w:t>
      </w:r>
    </w:p>
    <w:p w14:paraId="0A40875D" w14:textId="2BDFE41E" w:rsidR="00132FD1" w:rsidRPr="00132FD1" w:rsidRDefault="001A26C3" w:rsidP="00132FD1">
      <w:pPr>
        <w:spacing w:line="240" w:lineRule="auto"/>
        <w:jc w:val="both"/>
        <w:rPr>
          <w:rFonts w:ascii="Arial" w:hAnsi="Arial" w:cs="Arial"/>
          <w:sz w:val="20"/>
          <w:szCs w:val="20"/>
        </w:rPr>
      </w:pPr>
      <w:r w:rsidRPr="001A26C3">
        <w:rPr>
          <w:rFonts w:ascii="Arial" w:hAnsi="Arial" w:cs="Arial"/>
          <w:sz w:val="20"/>
          <w:szCs w:val="20"/>
        </w:rPr>
        <w:t xml:space="preserve">With an outstanding performance (R2 = 0.921) that outperforms conventional SPT-N based correlations, the results show that effective overburden stress is the primary predictor of friction angle for the heterogeneous soil deposits at </w:t>
      </w:r>
      <w:proofErr w:type="spellStart"/>
      <w:r w:rsidRPr="001A26C3">
        <w:rPr>
          <w:rFonts w:ascii="Arial" w:hAnsi="Arial" w:cs="Arial"/>
          <w:sz w:val="20"/>
          <w:szCs w:val="20"/>
        </w:rPr>
        <w:t>Rumuibekwe</w:t>
      </w:r>
      <w:proofErr w:type="spellEnd"/>
      <w:r w:rsidRPr="001A26C3">
        <w:rPr>
          <w:rFonts w:ascii="Arial" w:hAnsi="Arial" w:cs="Arial"/>
          <w:sz w:val="20"/>
          <w:szCs w:val="20"/>
        </w:rPr>
        <w:t xml:space="preserve"> Bridge. SPT-N values are often regarded as the </w:t>
      </w:r>
      <w:r w:rsidRPr="001A26C3">
        <w:rPr>
          <w:rFonts w:ascii="Arial" w:hAnsi="Arial" w:cs="Arial"/>
          <w:sz w:val="20"/>
          <w:szCs w:val="20"/>
        </w:rPr>
        <w:lastRenderedPageBreak/>
        <w:t>main parameter for estimating friction angle, although this conclusion contradicts standard geotechnical practice. Stress levels and soil properties have a significant impact on the relationship between SPT-N and friction angle (Hatanaka &amp; Uchida, 1996).</w:t>
      </w:r>
      <w:r w:rsidR="00132FD1">
        <w:rPr>
          <w:rFonts w:ascii="Arial" w:hAnsi="Arial" w:cs="Arial"/>
          <w:sz w:val="20"/>
          <w:szCs w:val="20"/>
        </w:rPr>
        <w:t xml:space="preserve"> </w:t>
      </w:r>
      <w:r w:rsidRPr="001A26C3">
        <w:rPr>
          <w:rFonts w:ascii="Arial" w:hAnsi="Arial" w:cs="Arial"/>
          <w:sz w:val="20"/>
          <w:szCs w:val="20"/>
        </w:rPr>
        <w:t xml:space="preserve">Because Niger Delta deltaic deposits are complex and have varied soil profiles that range from medium sand to clay-sized particles, median grain size alone is insufficient to accurately depict mechanical </w:t>
      </w:r>
      <w:proofErr w:type="spellStart"/>
      <w:r w:rsidRPr="001A26C3">
        <w:rPr>
          <w:rFonts w:ascii="Arial" w:hAnsi="Arial" w:cs="Arial"/>
          <w:sz w:val="20"/>
          <w:szCs w:val="20"/>
        </w:rPr>
        <w:t>behavior</w:t>
      </w:r>
      <w:proofErr w:type="spellEnd"/>
      <w:r w:rsidRPr="001A26C3">
        <w:rPr>
          <w:rFonts w:ascii="Arial" w:hAnsi="Arial" w:cs="Arial"/>
          <w:sz w:val="20"/>
          <w:szCs w:val="20"/>
        </w:rPr>
        <w:t>. This is shown in the D50 model's low performance (R2 = 0.242). Its practical value for engineering applications is demonstrated by the effective overburden pressure model's exceptional validation performance (RMSE = 0.88°, MAPE = 2.9%). The majority of slope stability and foundation design assessments may be completed with this level of precision, which is a significant improvement over conventional correlations with generally greater errors.</w:t>
      </w:r>
      <w:r w:rsidR="00132FD1">
        <w:rPr>
          <w:rFonts w:ascii="Arial" w:hAnsi="Arial" w:cs="Arial"/>
          <w:sz w:val="20"/>
          <w:szCs w:val="20"/>
        </w:rPr>
        <w:t xml:space="preserve"> </w:t>
      </w:r>
      <w:r w:rsidR="00132FD1" w:rsidRPr="00132FD1">
        <w:rPr>
          <w:rFonts w:ascii="Arial" w:hAnsi="Arial" w:cs="Arial"/>
          <w:sz w:val="20"/>
          <w:szCs w:val="20"/>
        </w:rPr>
        <w:t>Because of their location-specificity, these correlations highlight how crucial regional calibration is to the establishment of geotechnical correlations. In contrast to relationships that are generally employed, empirical correlations between SPT N-values and soil characteristics show better performance when created for particular geological settings (</w:t>
      </w:r>
      <w:proofErr w:type="spellStart"/>
      <w:r w:rsidR="00132FD1" w:rsidRPr="00132FD1">
        <w:rPr>
          <w:rFonts w:ascii="Arial" w:hAnsi="Arial" w:cs="Arial"/>
          <w:sz w:val="20"/>
          <w:szCs w:val="20"/>
        </w:rPr>
        <w:t>Cubrinovski</w:t>
      </w:r>
      <w:proofErr w:type="spellEnd"/>
      <w:r w:rsidR="00132FD1" w:rsidRPr="00132FD1">
        <w:rPr>
          <w:rFonts w:ascii="Arial" w:hAnsi="Arial" w:cs="Arial"/>
          <w:sz w:val="20"/>
          <w:szCs w:val="20"/>
        </w:rPr>
        <w:t xml:space="preserve"> &amp; Ishihara, 1999).</w:t>
      </w:r>
    </w:p>
    <w:p w14:paraId="005D8B07" w14:textId="564E9463" w:rsidR="001A5F14" w:rsidRDefault="00FA5036" w:rsidP="001A5F14">
      <w:pPr>
        <w:spacing w:line="240" w:lineRule="auto"/>
        <w:jc w:val="both"/>
        <w:rPr>
          <w:rFonts w:ascii="Arial" w:hAnsi="Arial" w:cs="Arial"/>
          <w:b/>
          <w:bCs/>
          <w:sz w:val="20"/>
          <w:szCs w:val="20"/>
        </w:rPr>
      </w:pPr>
      <w:r>
        <w:rPr>
          <w:rFonts w:ascii="Arial" w:hAnsi="Arial" w:cs="Arial"/>
          <w:b/>
          <w:bCs/>
          <w:sz w:val="22"/>
          <w:szCs w:val="22"/>
        </w:rPr>
        <w:br w:type="page"/>
      </w:r>
      <w:r w:rsidR="001A5F14">
        <w:rPr>
          <w:rFonts w:ascii="Arial" w:hAnsi="Arial" w:cs="Arial"/>
          <w:b/>
          <w:bCs/>
          <w:sz w:val="20"/>
          <w:szCs w:val="20"/>
        </w:rPr>
        <w:lastRenderedPageBreak/>
        <w:t xml:space="preserve"> </w:t>
      </w:r>
      <w:r w:rsidR="001A5F14" w:rsidRPr="007108B1">
        <w:rPr>
          <w:rFonts w:ascii="Arial" w:hAnsi="Arial" w:cs="Arial"/>
          <w:b/>
          <w:bCs/>
          <w:sz w:val="20"/>
          <w:szCs w:val="20"/>
        </w:rPr>
        <w:t>Limitations</w:t>
      </w:r>
    </w:p>
    <w:p w14:paraId="1FAB38CD" w14:textId="77777777" w:rsidR="001A5F14" w:rsidRPr="007108B1" w:rsidRDefault="001A5F14" w:rsidP="001A5F14">
      <w:pPr>
        <w:spacing w:line="240" w:lineRule="auto"/>
        <w:jc w:val="both"/>
        <w:rPr>
          <w:rFonts w:ascii="Arial" w:hAnsi="Arial" w:cs="Arial"/>
          <w:sz w:val="20"/>
          <w:szCs w:val="20"/>
        </w:rPr>
      </w:pPr>
      <w:r w:rsidRPr="007108B1">
        <w:rPr>
          <w:rFonts w:ascii="Arial" w:hAnsi="Arial" w:cs="Arial"/>
          <w:sz w:val="20"/>
          <w:szCs w:val="20"/>
        </w:rPr>
        <w:t>This study developed statistical models linking Standard Penetration Test (SPT) values, effective overburden stress, and median particle size (D50) to the angle of internal friction in Niger Delta soils. While the findings are valuable, several limitations should be noted.</w:t>
      </w:r>
    </w:p>
    <w:p w14:paraId="06AEDF3A" w14:textId="77777777" w:rsidR="001A5F14" w:rsidRPr="007108B1" w:rsidRDefault="001A5F14" w:rsidP="001A5F14">
      <w:pPr>
        <w:pStyle w:val="ListParagraph"/>
        <w:numPr>
          <w:ilvl w:val="0"/>
          <w:numId w:val="4"/>
        </w:numPr>
        <w:spacing w:line="240" w:lineRule="auto"/>
        <w:jc w:val="both"/>
        <w:rPr>
          <w:rFonts w:ascii="Arial" w:hAnsi="Arial" w:cs="Arial"/>
          <w:sz w:val="20"/>
          <w:szCs w:val="20"/>
        </w:rPr>
      </w:pPr>
      <w:r w:rsidRPr="007108B1">
        <w:rPr>
          <w:rFonts w:ascii="Arial" w:hAnsi="Arial" w:cs="Arial"/>
          <w:sz w:val="20"/>
          <w:szCs w:val="20"/>
        </w:rPr>
        <w:t xml:space="preserve">The first limitation concerns sample size. Only sixteen samples from the </w:t>
      </w:r>
      <w:proofErr w:type="spellStart"/>
      <w:r w:rsidRPr="007108B1">
        <w:rPr>
          <w:rFonts w:ascii="Arial" w:hAnsi="Arial" w:cs="Arial"/>
          <w:sz w:val="20"/>
          <w:szCs w:val="20"/>
        </w:rPr>
        <w:t>Rumuibekwe</w:t>
      </w:r>
      <w:proofErr w:type="spellEnd"/>
      <w:r w:rsidRPr="007108B1">
        <w:rPr>
          <w:rFonts w:ascii="Arial" w:hAnsi="Arial" w:cs="Arial"/>
          <w:sz w:val="20"/>
          <w:szCs w:val="20"/>
        </w:rPr>
        <w:t xml:space="preserve"> Bridge site were </w:t>
      </w:r>
      <w:proofErr w:type="spellStart"/>
      <w:r w:rsidRPr="007108B1">
        <w:rPr>
          <w:rFonts w:ascii="Arial" w:hAnsi="Arial" w:cs="Arial"/>
          <w:sz w:val="20"/>
          <w:szCs w:val="20"/>
        </w:rPr>
        <w:t>analyzed</w:t>
      </w:r>
      <w:proofErr w:type="spellEnd"/>
      <w:r w:rsidRPr="007108B1">
        <w:rPr>
          <w:rFonts w:ascii="Arial" w:hAnsi="Arial" w:cs="Arial"/>
          <w:sz w:val="20"/>
          <w:szCs w:val="20"/>
        </w:rPr>
        <w:t xml:space="preserve">. Although sufficient for preliminary </w:t>
      </w:r>
      <w:proofErr w:type="spellStart"/>
      <w:r w:rsidRPr="007108B1">
        <w:rPr>
          <w:rFonts w:ascii="Arial" w:hAnsi="Arial" w:cs="Arial"/>
          <w:sz w:val="20"/>
          <w:szCs w:val="20"/>
        </w:rPr>
        <w:t>modeling</w:t>
      </w:r>
      <w:proofErr w:type="spellEnd"/>
      <w:r w:rsidRPr="007108B1">
        <w:rPr>
          <w:rFonts w:ascii="Arial" w:hAnsi="Arial" w:cs="Arial"/>
          <w:sz w:val="20"/>
          <w:szCs w:val="20"/>
        </w:rPr>
        <w:t>, this number may not fully represent the variability of Niger Delta soils, which are known for their heterogeneity. A larger dataset covering multiple sites would provide stronger validation and improve generalizability.</w:t>
      </w:r>
    </w:p>
    <w:p w14:paraId="7DB67242" w14:textId="77777777" w:rsidR="001A5F14" w:rsidRPr="007108B1" w:rsidRDefault="001A5F14" w:rsidP="001A5F14">
      <w:pPr>
        <w:pStyle w:val="ListParagraph"/>
        <w:numPr>
          <w:ilvl w:val="0"/>
          <w:numId w:val="4"/>
        </w:numPr>
        <w:spacing w:line="240" w:lineRule="auto"/>
        <w:jc w:val="both"/>
        <w:rPr>
          <w:rFonts w:ascii="Arial" w:hAnsi="Arial" w:cs="Arial"/>
          <w:sz w:val="20"/>
          <w:szCs w:val="20"/>
        </w:rPr>
      </w:pPr>
      <w:r w:rsidRPr="007108B1">
        <w:rPr>
          <w:rFonts w:ascii="Arial" w:hAnsi="Arial" w:cs="Arial"/>
          <w:sz w:val="20"/>
          <w:szCs w:val="20"/>
        </w:rPr>
        <w:t>A second limitation relates to multicollinearity among predictor variables. Effective overburden stress emerged as the dominant factor, while SPT-N and D50 lost significance in combined models, suggesting redundancy. Although discussed qualitatively, no diagnostic measures such as Variance Inflation Factor (VIF) were reported. Including such tests in future studies would improve the robustness of regression models.</w:t>
      </w:r>
    </w:p>
    <w:p w14:paraId="5B4A4509" w14:textId="77777777" w:rsidR="001A5F14" w:rsidRPr="007108B1" w:rsidRDefault="001A5F14" w:rsidP="001A5F14">
      <w:pPr>
        <w:pStyle w:val="ListParagraph"/>
        <w:numPr>
          <w:ilvl w:val="0"/>
          <w:numId w:val="4"/>
        </w:numPr>
        <w:spacing w:line="240" w:lineRule="auto"/>
        <w:jc w:val="both"/>
        <w:rPr>
          <w:rFonts w:ascii="Arial" w:hAnsi="Arial" w:cs="Arial"/>
          <w:sz w:val="20"/>
          <w:szCs w:val="20"/>
        </w:rPr>
      </w:pPr>
      <w:r w:rsidRPr="007108B1">
        <w:rPr>
          <w:rFonts w:ascii="Arial" w:hAnsi="Arial" w:cs="Arial"/>
          <w:sz w:val="20"/>
          <w:szCs w:val="20"/>
        </w:rPr>
        <w:t>Another limitation is the absence of uncertainty quantification. Predictions were presented as point estimates without confidence intervals or error bounds. Given the variability of soils, incorporating uncertainty analysis would enhance the reliability of the models and provide clearer guidance for engineering applications.</w:t>
      </w:r>
    </w:p>
    <w:p w14:paraId="4B475C3C" w14:textId="77777777" w:rsidR="001A5F14" w:rsidRPr="007108B1" w:rsidRDefault="001A5F14" w:rsidP="001A5F14">
      <w:pPr>
        <w:pStyle w:val="ListParagraph"/>
        <w:numPr>
          <w:ilvl w:val="0"/>
          <w:numId w:val="4"/>
        </w:numPr>
        <w:spacing w:line="240" w:lineRule="auto"/>
        <w:jc w:val="both"/>
        <w:rPr>
          <w:rFonts w:ascii="Arial" w:hAnsi="Arial" w:cs="Arial"/>
          <w:sz w:val="20"/>
          <w:szCs w:val="20"/>
        </w:rPr>
      </w:pPr>
      <w:r w:rsidRPr="007108B1">
        <w:rPr>
          <w:rFonts w:ascii="Arial" w:hAnsi="Arial" w:cs="Arial"/>
          <w:sz w:val="20"/>
          <w:szCs w:val="20"/>
        </w:rPr>
        <w:t xml:space="preserve">The regional scope of the study also limits applicability. The models reflect conditions specific to </w:t>
      </w:r>
      <w:proofErr w:type="spellStart"/>
      <w:r w:rsidRPr="007108B1">
        <w:rPr>
          <w:rFonts w:ascii="Arial" w:hAnsi="Arial" w:cs="Arial"/>
          <w:sz w:val="20"/>
          <w:szCs w:val="20"/>
        </w:rPr>
        <w:t>Rumuibekwe</w:t>
      </w:r>
      <w:proofErr w:type="spellEnd"/>
      <w:r w:rsidRPr="007108B1">
        <w:rPr>
          <w:rFonts w:ascii="Arial" w:hAnsi="Arial" w:cs="Arial"/>
          <w:sz w:val="20"/>
          <w:szCs w:val="20"/>
        </w:rPr>
        <w:t xml:space="preserve"> Bridge and may not transfer directly to other parts of the Niger Delta or beyond. Broader validation across sites and environments is needed to extend their relevance.</w:t>
      </w:r>
    </w:p>
    <w:p w14:paraId="0BAA4E34" w14:textId="77777777" w:rsidR="001A5F14" w:rsidRPr="007108B1" w:rsidRDefault="001A5F14" w:rsidP="001A5F14">
      <w:pPr>
        <w:pStyle w:val="ListParagraph"/>
        <w:numPr>
          <w:ilvl w:val="0"/>
          <w:numId w:val="4"/>
        </w:numPr>
        <w:spacing w:line="240" w:lineRule="auto"/>
        <w:jc w:val="both"/>
        <w:rPr>
          <w:rFonts w:ascii="Arial" w:hAnsi="Arial" w:cs="Arial"/>
          <w:sz w:val="20"/>
          <w:szCs w:val="20"/>
        </w:rPr>
      </w:pPr>
      <w:r w:rsidRPr="007108B1">
        <w:rPr>
          <w:rFonts w:ascii="Arial" w:hAnsi="Arial" w:cs="Arial"/>
          <w:sz w:val="20"/>
          <w:szCs w:val="20"/>
        </w:rPr>
        <w:t xml:space="preserve">Finally, the study did not include a detailed comparison with established correlations such as those by Peck et al. (1957) or </w:t>
      </w:r>
      <w:proofErr w:type="spellStart"/>
      <w:r w:rsidRPr="007108B1">
        <w:rPr>
          <w:rFonts w:ascii="Arial" w:hAnsi="Arial" w:cs="Arial"/>
          <w:sz w:val="20"/>
          <w:szCs w:val="20"/>
        </w:rPr>
        <w:t>Ohsaki</w:t>
      </w:r>
      <w:proofErr w:type="spellEnd"/>
      <w:r w:rsidRPr="007108B1">
        <w:rPr>
          <w:rFonts w:ascii="Arial" w:hAnsi="Arial" w:cs="Arial"/>
          <w:sz w:val="20"/>
          <w:szCs w:val="20"/>
        </w:rPr>
        <w:t xml:space="preserve"> et al. (1959). Benchmarking against classical models would have highlighted more explicitly the advantages of the proposed approach.</w:t>
      </w:r>
    </w:p>
    <w:p w14:paraId="3C9736C7" w14:textId="1F86E3A7" w:rsidR="00FA5036" w:rsidRDefault="00FA5036">
      <w:pPr>
        <w:rPr>
          <w:rFonts w:ascii="Arial" w:hAnsi="Arial" w:cs="Arial"/>
          <w:b/>
          <w:bCs/>
          <w:sz w:val="22"/>
          <w:szCs w:val="22"/>
        </w:rPr>
      </w:pPr>
    </w:p>
    <w:p w14:paraId="525CD33F" w14:textId="17268A60" w:rsidR="00E779F5" w:rsidRPr="00FA5036" w:rsidRDefault="00FA5036" w:rsidP="00A71974">
      <w:pPr>
        <w:spacing w:line="240" w:lineRule="auto"/>
        <w:jc w:val="both"/>
        <w:rPr>
          <w:rFonts w:ascii="Arial" w:hAnsi="Arial" w:cs="Arial"/>
          <w:b/>
          <w:bCs/>
          <w:sz w:val="22"/>
          <w:szCs w:val="22"/>
        </w:rPr>
      </w:pPr>
      <w:r w:rsidRPr="00FA5036">
        <w:rPr>
          <w:rFonts w:ascii="Arial" w:hAnsi="Arial" w:cs="Arial"/>
          <w:b/>
          <w:bCs/>
          <w:sz w:val="22"/>
          <w:szCs w:val="22"/>
        </w:rPr>
        <w:t>5. CONCLUSION</w:t>
      </w:r>
    </w:p>
    <w:p w14:paraId="461FDF37" w14:textId="0901BA98" w:rsidR="00132FD1" w:rsidRDefault="00132FD1" w:rsidP="00132FD1">
      <w:pPr>
        <w:spacing w:line="240" w:lineRule="auto"/>
        <w:jc w:val="both"/>
        <w:rPr>
          <w:rFonts w:ascii="Arial" w:hAnsi="Arial" w:cs="Arial"/>
          <w:sz w:val="20"/>
          <w:szCs w:val="20"/>
        </w:rPr>
      </w:pPr>
      <w:r w:rsidRPr="00132FD1">
        <w:rPr>
          <w:rFonts w:ascii="Arial" w:hAnsi="Arial" w:cs="Arial"/>
          <w:sz w:val="20"/>
          <w:szCs w:val="20"/>
        </w:rPr>
        <w:t xml:space="preserve">Developing a statistical model that can accurately forecast the angle of internal friction based on soil properties and SPT-N values was the goal of this work. At </w:t>
      </w:r>
      <w:proofErr w:type="spellStart"/>
      <w:r w:rsidRPr="00132FD1">
        <w:rPr>
          <w:rFonts w:ascii="Arial" w:hAnsi="Arial" w:cs="Arial"/>
          <w:sz w:val="20"/>
          <w:szCs w:val="20"/>
        </w:rPr>
        <w:t>Rumuibekwe</w:t>
      </w:r>
      <w:proofErr w:type="spellEnd"/>
      <w:r w:rsidRPr="00132FD1">
        <w:rPr>
          <w:rFonts w:ascii="Arial" w:hAnsi="Arial" w:cs="Arial"/>
          <w:sz w:val="20"/>
          <w:szCs w:val="20"/>
        </w:rPr>
        <w:t xml:space="preserve"> Bridge, statistical models were created to forecast the friction angle for Niger Delta soils based on SPT-N values, median particle size, and effective overburden stress. In comparison to conventional SPT-based correlations, the basic linear effective overburden pressure model performed quite well (R2 = 0.921, RMSE = 1.091°).</w:t>
      </w:r>
      <w:r>
        <w:rPr>
          <w:rFonts w:ascii="Arial" w:hAnsi="Arial" w:cs="Arial"/>
          <w:sz w:val="20"/>
          <w:szCs w:val="20"/>
        </w:rPr>
        <w:t xml:space="preserve"> </w:t>
      </w:r>
      <w:r w:rsidRPr="00132FD1">
        <w:rPr>
          <w:rFonts w:ascii="Arial" w:hAnsi="Arial" w:cs="Arial"/>
          <w:sz w:val="20"/>
          <w:szCs w:val="20"/>
        </w:rPr>
        <w:t>Due to multicollinearity effects, the multiple regression model (R2 = 0.929) only marginally improved the single-parameter effective stress model; only the effective overburden pressure remained statistically significant (p = 0.004). For geotechnical applications in the Niger Delta, the results highlight the significance of location-specific correlations and stress-dependent design methodologies.</w:t>
      </w:r>
    </w:p>
    <w:p w14:paraId="22601CBB" w14:textId="5C3AFEA9" w:rsidR="008F2414" w:rsidRDefault="008F2414" w:rsidP="00132FD1">
      <w:pPr>
        <w:spacing w:line="240" w:lineRule="auto"/>
        <w:jc w:val="both"/>
        <w:rPr>
          <w:rFonts w:ascii="Arial" w:hAnsi="Arial" w:cs="Arial"/>
          <w:sz w:val="20"/>
          <w:szCs w:val="20"/>
        </w:rPr>
      </w:pPr>
    </w:p>
    <w:p w14:paraId="5E48733B" w14:textId="1C799679" w:rsidR="008F2414" w:rsidRDefault="008F2414" w:rsidP="00132FD1">
      <w:pPr>
        <w:spacing w:line="240" w:lineRule="auto"/>
        <w:jc w:val="both"/>
        <w:rPr>
          <w:rFonts w:ascii="Arial" w:hAnsi="Arial" w:cs="Arial"/>
          <w:sz w:val="20"/>
          <w:szCs w:val="20"/>
        </w:rPr>
      </w:pPr>
    </w:p>
    <w:p w14:paraId="12125BC6" w14:textId="77777777" w:rsidR="008F2414" w:rsidRPr="00270720" w:rsidRDefault="008F2414" w:rsidP="008F2414">
      <w:pPr>
        <w:rPr>
          <w:highlight w:val="yellow"/>
        </w:rPr>
      </w:pPr>
      <w:r w:rsidRPr="00270720">
        <w:rPr>
          <w:highlight w:val="yellow"/>
        </w:rPr>
        <w:t>Disclaimer (Artificial intelligence)</w:t>
      </w:r>
    </w:p>
    <w:p w14:paraId="655786AE" w14:textId="77777777" w:rsidR="008F2414" w:rsidRPr="00270720" w:rsidRDefault="008F2414" w:rsidP="008F2414">
      <w:pPr>
        <w:rPr>
          <w:highlight w:val="yellow"/>
        </w:rPr>
      </w:pPr>
    </w:p>
    <w:p w14:paraId="69D6B38D" w14:textId="77777777" w:rsidR="008F2414" w:rsidRPr="00270720" w:rsidRDefault="008F2414" w:rsidP="008F2414">
      <w:pPr>
        <w:rPr>
          <w:highlight w:val="yellow"/>
        </w:rPr>
      </w:pPr>
      <w:r w:rsidRPr="00270720">
        <w:rPr>
          <w:highlight w:val="yellow"/>
        </w:rPr>
        <w:t xml:space="preserve">Option 1: </w:t>
      </w:r>
    </w:p>
    <w:p w14:paraId="6CB3091A" w14:textId="77777777" w:rsidR="008F2414" w:rsidRPr="00270720" w:rsidRDefault="008F2414" w:rsidP="008F2414">
      <w:pPr>
        <w:rPr>
          <w:highlight w:val="yellow"/>
        </w:rPr>
      </w:pPr>
    </w:p>
    <w:p w14:paraId="2B712554" w14:textId="77777777" w:rsidR="008F2414" w:rsidRPr="00270720" w:rsidRDefault="008F2414" w:rsidP="008F241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EB1DD29" w14:textId="77777777" w:rsidR="008F2414" w:rsidRPr="00270720" w:rsidRDefault="008F2414" w:rsidP="008F2414">
      <w:pPr>
        <w:rPr>
          <w:highlight w:val="yellow"/>
        </w:rPr>
      </w:pPr>
    </w:p>
    <w:p w14:paraId="787E38F8" w14:textId="77777777" w:rsidR="008F2414" w:rsidRPr="00270720" w:rsidRDefault="008F2414" w:rsidP="008F2414">
      <w:pPr>
        <w:rPr>
          <w:highlight w:val="yellow"/>
        </w:rPr>
      </w:pPr>
      <w:r w:rsidRPr="00270720">
        <w:rPr>
          <w:highlight w:val="yellow"/>
        </w:rPr>
        <w:t xml:space="preserve">Option 2: </w:t>
      </w:r>
    </w:p>
    <w:p w14:paraId="1D5C8273" w14:textId="77777777" w:rsidR="008F2414" w:rsidRPr="00270720" w:rsidRDefault="008F2414" w:rsidP="008F2414">
      <w:pPr>
        <w:rPr>
          <w:highlight w:val="yellow"/>
        </w:rPr>
      </w:pPr>
    </w:p>
    <w:p w14:paraId="01052F1A" w14:textId="77777777" w:rsidR="008F2414" w:rsidRPr="00270720" w:rsidRDefault="008F2414" w:rsidP="008F2414">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ECAA33" w14:textId="77777777" w:rsidR="008F2414" w:rsidRPr="00270720" w:rsidRDefault="008F2414" w:rsidP="008F2414">
      <w:pPr>
        <w:rPr>
          <w:highlight w:val="yellow"/>
        </w:rPr>
      </w:pPr>
    </w:p>
    <w:p w14:paraId="184A3162" w14:textId="77777777" w:rsidR="008F2414" w:rsidRPr="00270720" w:rsidRDefault="008F2414" w:rsidP="008F2414">
      <w:pPr>
        <w:rPr>
          <w:highlight w:val="yellow"/>
        </w:rPr>
      </w:pPr>
      <w:r w:rsidRPr="00270720">
        <w:rPr>
          <w:highlight w:val="yellow"/>
        </w:rPr>
        <w:t>Details of the AI usage are given below:</w:t>
      </w:r>
    </w:p>
    <w:p w14:paraId="71554D26" w14:textId="77777777" w:rsidR="008F2414" w:rsidRPr="00270720" w:rsidRDefault="008F2414" w:rsidP="008F2414">
      <w:pPr>
        <w:rPr>
          <w:highlight w:val="yellow"/>
        </w:rPr>
      </w:pPr>
      <w:r w:rsidRPr="00270720">
        <w:rPr>
          <w:highlight w:val="yellow"/>
        </w:rPr>
        <w:t>1.</w:t>
      </w:r>
    </w:p>
    <w:p w14:paraId="707D8EC2" w14:textId="77777777" w:rsidR="008F2414" w:rsidRPr="00270720" w:rsidRDefault="008F2414" w:rsidP="008F2414">
      <w:pPr>
        <w:rPr>
          <w:highlight w:val="yellow"/>
        </w:rPr>
      </w:pPr>
      <w:r w:rsidRPr="00270720">
        <w:rPr>
          <w:highlight w:val="yellow"/>
        </w:rPr>
        <w:t>2.</w:t>
      </w:r>
    </w:p>
    <w:p w14:paraId="1BDA8E4F" w14:textId="77777777" w:rsidR="008F2414" w:rsidRPr="00270720" w:rsidRDefault="008F2414" w:rsidP="008F2414">
      <w:r w:rsidRPr="00270720">
        <w:rPr>
          <w:highlight w:val="yellow"/>
        </w:rPr>
        <w:t>3.</w:t>
      </w:r>
    </w:p>
    <w:p w14:paraId="7F8E52FB" w14:textId="77777777" w:rsidR="008F2414" w:rsidRDefault="008F2414" w:rsidP="00132FD1">
      <w:pPr>
        <w:spacing w:line="240" w:lineRule="auto"/>
        <w:jc w:val="both"/>
        <w:rPr>
          <w:rFonts w:ascii="Arial" w:hAnsi="Arial" w:cs="Arial"/>
          <w:sz w:val="20"/>
          <w:szCs w:val="20"/>
        </w:rPr>
      </w:pPr>
    </w:p>
    <w:p w14:paraId="109C1CB2" w14:textId="77777777" w:rsidR="00443CB3" w:rsidRPr="00132FD1" w:rsidRDefault="00443CB3" w:rsidP="00443CB3">
      <w:pPr>
        <w:spacing w:line="240" w:lineRule="auto"/>
        <w:jc w:val="both"/>
        <w:rPr>
          <w:rFonts w:ascii="Arial" w:hAnsi="Arial" w:cs="Arial"/>
          <w:sz w:val="20"/>
          <w:szCs w:val="20"/>
        </w:rPr>
      </w:pPr>
    </w:p>
    <w:p w14:paraId="1C0764A1" w14:textId="3C4FB5C7" w:rsidR="00E779F5" w:rsidRPr="00FA5036" w:rsidRDefault="00FA5036" w:rsidP="00A71974">
      <w:pPr>
        <w:spacing w:line="240" w:lineRule="auto"/>
        <w:jc w:val="both"/>
        <w:rPr>
          <w:rFonts w:ascii="Arial" w:hAnsi="Arial" w:cs="Arial"/>
          <w:b/>
          <w:bCs/>
          <w:sz w:val="22"/>
          <w:szCs w:val="22"/>
        </w:rPr>
      </w:pPr>
      <w:r w:rsidRPr="00FA5036">
        <w:rPr>
          <w:rFonts w:ascii="Arial" w:hAnsi="Arial" w:cs="Arial"/>
          <w:b/>
          <w:bCs/>
          <w:sz w:val="22"/>
          <w:szCs w:val="22"/>
        </w:rPr>
        <w:t>REFERENCES</w:t>
      </w:r>
    </w:p>
    <w:p w14:paraId="62AC451C"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Anbazhagan, P., &amp; </w:t>
      </w:r>
      <w:proofErr w:type="spellStart"/>
      <w:r w:rsidRPr="00A71974">
        <w:rPr>
          <w:rFonts w:ascii="Arial" w:hAnsi="Arial" w:cs="Arial"/>
          <w:sz w:val="20"/>
          <w:szCs w:val="20"/>
        </w:rPr>
        <w:t>Sitharam</w:t>
      </w:r>
      <w:proofErr w:type="spellEnd"/>
      <w:r w:rsidRPr="00A71974">
        <w:rPr>
          <w:rFonts w:ascii="Arial" w:hAnsi="Arial" w:cs="Arial"/>
          <w:sz w:val="20"/>
          <w:szCs w:val="20"/>
        </w:rPr>
        <w:t xml:space="preserve">, T. G. (2010). Relationship between shear wave velocity and SPT-N for different types of soils in India.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28</w:t>
      </w:r>
      <w:r w:rsidRPr="00A71974">
        <w:rPr>
          <w:rFonts w:ascii="Arial" w:hAnsi="Arial" w:cs="Arial"/>
          <w:sz w:val="20"/>
          <w:szCs w:val="20"/>
        </w:rPr>
        <w:t xml:space="preserve">(1), 119-137. </w:t>
      </w:r>
      <w:hyperlink r:id="rId9" w:history="1">
        <w:r w:rsidRPr="00A71974">
          <w:rPr>
            <w:rStyle w:val="Hyperlink"/>
            <w:rFonts w:ascii="Arial" w:hAnsi="Arial" w:cs="Arial"/>
            <w:sz w:val="20"/>
            <w:szCs w:val="20"/>
          </w:rPr>
          <w:t>https://doi.org/10.1007/s10706-009-9285-4</w:t>
        </w:r>
      </w:hyperlink>
    </w:p>
    <w:p w14:paraId="05E42E19"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Arifuzzaman</w:t>
      </w:r>
      <w:proofErr w:type="spellEnd"/>
      <w:r w:rsidRPr="00A71974">
        <w:rPr>
          <w:rFonts w:ascii="Arial" w:hAnsi="Arial" w:cs="Arial"/>
          <w:sz w:val="20"/>
          <w:szCs w:val="20"/>
        </w:rPr>
        <w:t xml:space="preserve">, A., &amp; </w:t>
      </w:r>
      <w:proofErr w:type="spellStart"/>
      <w:r w:rsidRPr="00A71974">
        <w:rPr>
          <w:rFonts w:ascii="Arial" w:hAnsi="Arial" w:cs="Arial"/>
          <w:sz w:val="20"/>
          <w:szCs w:val="20"/>
        </w:rPr>
        <w:t>Anisuzzaman</w:t>
      </w:r>
      <w:proofErr w:type="spellEnd"/>
      <w:r w:rsidRPr="00A71974">
        <w:rPr>
          <w:rFonts w:ascii="Arial" w:hAnsi="Arial" w:cs="Arial"/>
          <w:sz w:val="20"/>
          <w:szCs w:val="20"/>
        </w:rPr>
        <w:t xml:space="preserve">, M. (2022). An initiative to correlate the SPT and CPT data for an alluvial deposit of Dhaka city. </w:t>
      </w:r>
      <w:r w:rsidRPr="00A71974">
        <w:rPr>
          <w:rFonts w:ascii="Arial" w:hAnsi="Arial" w:cs="Arial"/>
          <w:i/>
          <w:iCs/>
          <w:sz w:val="20"/>
          <w:szCs w:val="20"/>
        </w:rPr>
        <w:t>International Journal of Geo-Engineering</w:t>
      </w:r>
      <w:r w:rsidRPr="00A71974">
        <w:rPr>
          <w:rFonts w:ascii="Arial" w:hAnsi="Arial" w:cs="Arial"/>
          <w:sz w:val="20"/>
          <w:szCs w:val="20"/>
        </w:rPr>
        <w:t xml:space="preserve">, </w:t>
      </w:r>
      <w:r w:rsidRPr="00A71974">
        <w:rPr>
          <w:rFonts w:ascii="Arial" w:hAnsi="Arial" w:cs="Arial"/>
          <w:i/>
          <w:iCs/>
          <w:sz w:val="20"/>
          <w:szCs w:val="20"/>
        </w:rPr>
        <w:t>13</w:t>
      </w:r>
      <w:r w:rsidRPr="00A71974">
        <w:rPr>
          <w:rFonts w:ascii="Arial" w:hAnsi="Arial" w:cs="Arial"/>
          <w:sz w:val="20"/>
          <w:szCs w:val="20"/>
        </w:rPr>
        <w:t xml:space="preserve">(5), 1-13. </w:t>
      </w:r>
      <w:hyperlink r:id="rId10" w:history="1">
        <w:r w:rsidRPr="00A71974">
          <w:rPr>
            <w:rStyle w:val="Hyperlink"/>
            <w:rFonts w:ascii="Arial" w:hAnsi="Arial" w:cs="Arial"/>
            <w:sz w:val="20"/>
            <w:szCs w:val="20"/>
          </w:rPr>
          <w:t>https://doi.org/10.1186/s40703-021-00170-3</w:t>
        </w:r>
      </w:hyperlink>
    </w:p>
    <w:p w14:paraId="1DC9304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Asci, M., Kurtulus, C., </w:t>
      </w:r>
      <w:proofErr w:type="spellStart"/>
      <w:r w:rsidRPr="00A71974">
        <w:rPr>
          <w:rFonts w:ascii="Arial" w:hAnsi="Arial" w:cs="Arial"/>
          <w:sz w:val="20"/>
          <w:szCs w:val="20"/>
        </w:rPr>
        <w:t>Kaplanvural</w:t>
      </w:r>
      <w:proofErr w:type="spellEnd"/>
      <w:r w:rsidRPr="00A71974">
        <w:rPr>
          <w:rFonts w:ascii="Arial" w:hAnsi="Arial" w:cs="Arial"/>
          <w:sz w:val="20"/>
          <w:szCs w:val="20"/>
        </w:rPr>
        <w:t xml:space="preserve">, I., &amp; </w:t>
      </w:r>
      <w:proofErr w:type="spellStart"/>
      <w:r w:rsidRPr="00A71974">
        <w:rPr>
          <w:rFonts w:ascii="Arial" w:hAnsi="Arial" w:cs="Arial"/>
          <w:sz w:val="20"/>
          <w:szCs w:val="20"/>
        </w:rPr>
        <w:t>Mataracioglu</w:t>
      </w:r>
      <w:proofErr w:type="spellEnd"/>
      <w:r w:rsidRPr="00A71974">
        <w:rPr>
          <w:rFonts w:ascii="Arial" w:hAnsi="Arial" w:cs="Arial"/>
          <w:sz w:val="20"/>
          <w:szCs w:val="20"/>
        </w:rPr>
        <w:t xml:space="preserve">, M. O. (2014). Correlation of SPT-CPT data from the subsidence area in </w:t>
      </w:r>
      <w:proofErr w:type="spellStart"/>
      <w:r w:rsidRPr="00A71974">
        <w:rPr>
          <w:rFonts w:ascii="Arial" w:hAnsi="Arial" w:cs="Arial"/>
          <w:sz w:val="20"/>
          <w:szCs w:val="20"/>
        </w:rPr>
        <w:t>Golcuk</w:t>
      </w:r>
      <w:proofErr w:type="spellEnd"/>
      <w:r w:rsidRPr="00A71974">
        <w:rPr>
          <w:rFonts w:ascii="Arial" w:hAnsi="Arial" w:cs="Arial"/>
          <w:sz w:val="20"/>
          <w:szCs w:val="20"/>
        </w:rPr>
        <w:t xml:space="preserve">, Turkey. </w:t>
      </w:r>
      <w:r w:rsidRPr="00A71974">
        <w:rPr>
          <w:rFonts w:ascii="Arial" w:hAnsi="Arial" w:cs="Arial"/>
          <w:i/>
          <w:iCs/>
          <w:sz w:val="20"/>
          <w:szCs w:val="20"/>
        </w:rPr>
        <w:t>Soil Mechanics and Foundation Engineering</w:t>
      </w:r>
      <w:r w:rsidRPr="00A71974">
        <w:rPr>
          <w:rFonts w:ascii="Arial" w:hAnsi="Arial" w:cs="Arial"/>
          <w:sz w:val="20"/>
          <w:szCs w:val="20"/>
        </w:rPr>
        <w:t xml:space="preserve">, </w:t>
      </w:r>
      <w:r w:rsidRPr="00A71974">
        <w:rPr>
          <w:rFonts w:ascii="Arial" w:hAnsi="Arial" w:cs="Arial"/>
          <w:i/>
          <w:iCs/>
          <w:sz w:val="20"/>
          <w:szCs w:val="20"/>
        </w:rPr>
        <w:t>51</w:t>
      </w:r>
      <w:r w:rsidRPr="00A71974">
        <w:rPr>
          <w:rFonts w:ascii="Arial" w:hAnsi="Arial" w:cs="Arial"/>
          <w:sz w:val="20"/>
          <w:szCs w:val="20"/>
        </w:rPr>
        <w:t xml:space="preserve">(6), 268-272. </w:t>
      </w:r>
      <w:hyperlink r:id="rId11" w:history="1">
        <w:r w:rsidRPr="00A71974">
          <w:rPr>
            <w:rStyle w:val="Hyperlink"/>
            <w:rFonts w:ascii="Arial" w:hAnsi="Arial" w:cs="Arial"/>
            <w:sz w:val="20"/>
            <w:szCs w:val="20"/>
          </w:rPr>
          <w:t>https://doi.org/10.1007/s11204-015-9294-y</w:t>
        </w:r>
      </w:hyperlink>
    </w:p>
    <w:p w14:paraId="4A4DDA4D"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Chen, J. (2004). </w:t>
      </w:r>
      <w:r w:rsidRPr="00A71974">
        <w:rPr>
          <w:rFonts w:ascii="Arial" w:hAnsi="Arial" w:cs="Arial"/>
          <w:i/>
          <w:iCs/>
          <w:sz w:val="20"/>
          <w:szCs w:val="20"/>
        </w:rPr>
        <w:t xml:space="preserve">Axial </w:t>
      </w:r>
      <w:proofErr w:type="spellStart"/>
      <w:r w:rsidRPr="00A71974">
        <w:rPr>
          <w:rFonts w:ascii="Arial" w:hAnsi="Arial" w:cs="Arial"/>
          <w:i/>
          <w:iCs/>
          <w:sz w:val="20"/>
          <w:szCs w:val="20"/>
        </w:rPr>
        <w:t>behavior</w:t>
      </w:r>
      <w:proofErr w:type="spellEnd"/>
      <w:r w:rsidRPr="00A71974">
        <w:rPr>
          <w:rFonts w:ascii="Arial" w:hAnsi="Arial" w:cs="Arial"/>
          <w:i/>
          <w:iCs/>
          <w:sz w:val="20"/>
          <w:szCs w:val="20"/>
        </w:rPr>
        <w:t xml:space="preserve"> of drilled shafts in gravelly soils</w:t>
      </w:r>
      <w:r w:rsidRPr="00A71974">
        <w:rPr>
          <w:rFonts w:ascii="Arial" w:hAnsi="Arial" w:cs="Arial"/>
          <w:sz w:val="20"/>
          <w:szCs w:val="20"/>
        </w:rPr>
        <w:t xml:space="preserve"> [Doctoral dissertation, Cornell University].</w:t>
      </w:r>
    </w:p>
    <w:p w14:paraId="27BC92E4"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Cubrinovski</w:t>
      </w:r>
      <w:proofErr w:type="spellEnd"/>
      <w:r w:rsidRPr="00A71974">
        <w:rPr>
          <w:rFonts w:ascii="Arial" w:hAnsi="Arial" w:cs="Arial"/>
          <w:sz w:val="20"/>
          <w:szCs w:val="20"/>
        </w:rPr>
        <w:t xml:space="preserve">, M., &amp; Ishihara, K. (1999). Empirical correlation between SPT N-value and relative density for sandy soils. </w:t>
      </w:r>
      <w:r w:rsidRPr="00A71974">
        <w:rPr>
          <w:rFonts w:ascii="Arial" w:hAnsi="Arial" w:cs="Arial"/>
          <w:i/>
          <w:iCs/>
          <w:sz w:val="20"/>
          <w:szCs w:val="20"/>
        </w:rPr>
        <w:t>Soils and Foundations</w:t>
      </w:r>
      <w:r w:rsidRPr="00A71974">
        <w:rPr>
          <w:rFonts w:ascii="Arial" w:hAnsi="Arial" w:cs="Arial"/>
          <w:sz w:val="20"/>
          <w:szCs w:val="20"/>
        </w:rPr>
        <w:t xml:space="preserve">, </w:t>
      </w:r>
      <w:r w:rsidRPr="00A71974">
        <w:rPr>
          <w:rFonts w:ascii="Arial" w:hAnsi="Arial" w:cs="Arial"/>
          <w:i/>
          <w:iCs/>
          <w:sz w:val="20"/>
          <w:szCs w:val="20"/>
        </w:rPr>
        <w:t>39</w:t>
      </w:r>
      <w:r w:rsidRPr="00A71974">
        <w:rPr>
          <w:rFonts w:ascii="Arial" w:hAnsi="Arial" w:cs="Arial"/>
          <w:sz w:val="20"/>
          <w:szCs w:val="20"/>
        </w:rPr>
        <w:t xml:space="preserve">(5), 61-71. </w:t>
      </w:r>
      <w:hyperlink r:id="rId12" w:history="1">
        <w:r w:rsidRPr="00A71974">
          <w:rPr>
            <w:rStyle w:val="Hyperlink"/>
            <w:rFonts w:ascii="Arial" w:hAnsi="Arial" w:cs="Arial"/>
            <w:sz w:val="20"/>
            <w:szCs w:val="20"/>
          </w:rPr>
          <w:t>https://doi.org/10.3208/sandf.39.5_61</w:t>
        </w:r>
      </w:hyperlink>
    </w:p>
    <w:p w14:paraId="085C034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Demir, S., &amp; Sahin, E. K. (2022). Comparison of tree-based machine learning algorithms for predicting liquefaction potential using canonical correlation forest, rotation forest, and random forest based on CPT data. </w:t>
      </w:r>
      <w:r w:rsidRPr="00A71974">
        <w:rPr>
          <w:rFonts w:ascii="Arial" w:hAnsi="Arial" w:cs="Arial"/>
          <w:i/>
          <w:iCs/>
          <w:sz w:val="20"/>
          <w:szCs w:val="20"/>
        </w:rPr>
        <w:t>Soil Dynamics and Earthquake Engineering</w:t>
      </w:r>
      <w:r w:rsidRPr="00A71974">
        <w:rPr>
          <w:rFonts w:ascii="Arial" w:hAnsi="Arial" w:cs="Arial"/>
          <w:sz w:val="20"/>
          <w:szCs w:val="20"/>
        </w:rPr>
        <w:t xml:space="preserve">, </w:t>
      </w:r>
      <w:r w:rsidRPr="00A71974">
        <w:rPr>
          <w:rFonts w:ascii="Arial" w:hAnsi="Arial" w:cs="Arial"/>
          <w:i/>
          <w:iCs/>
          <w:sz w:val="20"/>
          <w:szCs w:val="20"/>
        </w:rPr>
        <w:t>154</w:t>
      </w:r>
      <w:r w:rsidRPr="00A71974">
        <w:rPr>
          <w:rFonts w:ascii="Arial" w:hAnsi="Arial" w:cs="Arial"/>
          <w:sz w:val="20"/>
          <w:szCs w:val="20"/>
        </w:rPr>
        <w:t xml:space="preserve">, 107130. </w:t>
      </w:r>
      <w:hyperlink r:id="rId13" w:history="1">
        <w:r w:rsidRPr="00A71974">
          <w:rPr>
            <w:rStyle w:val="Hyperlink"/>
            <w:rFonts w:ascii="Arial" w:hAnsi="Arial" w:cs="Arial"/>
            <w:sz w:val="20"/>
            <w:szCs w:val="20"/>
          </w:rPr>
          <w:t>https://doi.org/10.1016/j.soildyn.2021.107130</w:t>
        </w:r>
      </w:hyperlink>
    </w:p>
    <w:p w14:paraId="4CF69B7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Demir, S., &amp; Sahin, E. K. (2023). An investigation of feature selection methods for soil liquefaction prediction based on tree-based ensemble algorithms using AdaBoost, gradient boosting, and </w:t>
      </w:r>
      <w:proofErr w:type="spellStart"/>
      <w:r w:rsidRPr="00A71974">
        <w:rPr>
          <w:rFonts w:ascii="Arial" w:hAnsi="Arial" w:cs="Arial"/>
          <w:sz w:val="20"/>
          <w:szCs w:val="20"/>
        </w:rPr>
        <w:t>XGBoost</w:t>
      </w:r>
      <w:proofErr w:type="spellEnd"/>
      <w:r w:rsidRPr="00A71974">
        <w:rPr>
          <w:rFonts w:ascii="Arial" w:hAnsi="Arial" w:cs="Arial"/>
          <w:sz w:val="20"/>
          <w:szCs w:val="20"/>
        </w:rPr>
        <w:t xml:space="preserve">. </w:t>
      </w:r>
      <w:r w:rsidRPr="00A71974">
        <w:rPr>
          <w:rFonts w:ascii="Arial" w:hAnsi="Arial" w:cs="Arial"/>
          <w:i/>
          <w:iCs/>
          <w:sz w:val="20"/>
          <w:szCs w:val="20"/>
        </w:rPr>
        <w:t>Neural Computing and Applications</w:t>
      </w:r>
      <w:r w:rsidRPr="00A71974">
        <w:rPr>
          <w:rFonts w:ascii="Arial" w:hAnsi="Arial" w:cs="Arial"/>
          <w:sz w:val="20"/>
          <w:szCs w:val="20"/>
        </w:rPr>
        <w:t xml:space="preserve">, </w:t>
      </w:r>
      <w:r w:rsidRPr="00A71974">
        <w:rPr>
          <w:rFonts w:ascii="Arial" w:hAnsi="Arial" w:cs="Arial"/>
          <w:i/>
          <w:iCs/>
          <w:sz w:val="20"/>
          <w:szCs w:val="20"/>
        </w:rPr>
        <w:t>35</w:t>
      </w:r>
      <w:r w:rsidRPr="00A71974">
        <w:rPr>
          <w:rFonts w:ascii="Arial" w:hAnsi="Arial" w:cs="Arial"/>
          <w:sz w:val="20"/>
          <w:szCs w:val="20"/>
        </w:rPr>
        <w:t xml:space="preserve">, 3173-3190. </w:t>
      </w:r>
      <w:hyperlink r:id="rId14" w:history="1">
        <w:r w:rsidRPr="00A71974">
          <w:rPr>
            <w:rStyle w:val="Hyperlink"/>
            <w:rFonts w:ascii="Arial" w:hAnsi="Arial" w:cs="Arial"/>
            <w:sz w:val="20"/>
            <w:szCs w:val="20"/>
          </w:rPr>
          <w:t>https://doi.org/10.1007/s00521-022-07856-4</w:t>
        </w:r>
      </w:hyperlink>
    </w:p>
    <w:p w14:paraId="2BB670C2"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Dos Santos, M. D., &amp; Bicalho, K. V. (2017). Proposals of SPT-CPT and DPL-CPT correlations for sandy soils in Brazil. </w:t>
      </w:r>
      <w:r w:rsidRPr="00A71974">
        <w:rPr>
          <w:rFonts w:ascii="Arial" w:hAnsi="Arial" w:cs="Arial"/>
          <w:i/>
          <w:iCs/>
          <w:sz w:val="20"/>
          <w:szCs w:val="20"/>
        </w:rPr>
        <w:t>Journal of Rock Mechanics and Geotechnical Engineering</w:t>
      </w:r>
      <w:r w:rsidRPr="00A71974">
        <w:rPr>
          <w:rFonts w:ascii="Arial" w:hAnsi="Arial" w:cs="Arial"/>
          <w:sz w:val="20"/>
          <w:szCs w:val="20"/>
        </w:rPr>
        <w:t xml:space="preserve">, </w:t>
      </w:r>
      <w:r w:rsidRPr="00A71974">
        <w:rPr>
          <w:rFonts w:ascii="Arial" w:hAnsi="Arial" w:cs="Arial"/>
          <w:i/>
          <w:iCs/>
          <w:sz w:val="20"/>
          <w:szCs w:val="20"/>
        </w:rPr>
        <w:t>9</w:t>
      </w:r>
      <w:r w:rsidRPr="00A71974">
        <w:rPr>
          <w:rFonts w:ascii="Arial" w:hAnsi="Arial" w:cs="Arial"/>
          <w:sz w:val="20"/>
          <w:szCs w:val="20"/>
        </w:rPr>
        <w:t xml:space="preserve">(6), 1152-1158. </w:t>
      </w:r>
      <w:hyperlink r:id="rId15" w:history="1">
        <w:r w:rsidRPr="00A71974">
          <w:rPr>
            <w:rStyle w:val="Hyperlink"/>
            <w:rFonts w:ascii="Arial" w:hAnsi="Arial" w:cs="Arial"/>
            <w:sz w:val="20"/>
            <w:szCs w:val="20"/>
          </w:rPr>
          <w:t>https://doi.org/10.1016/j.jrmge.2017.08.001</w:t>
        </w:r>
      </w:hyperlink>
    </w:p>
    <w:p w14:paraId="11107E1F"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Fernando, H., Nugroho, S. A., </w:t>
      </w:r>
      <w:proofErr w:type="spellStart"/>
      <w:r w:rsidRPr="00A71974">
        <w:rPr>
          <w:rFonts w:ascii="Arial" w:hAnsi="Arial" w:cs="Arial"/>
          <w:sz w:val="20"/>
          <w:szCs w:val="20"/>
        </w:rPr>
        <w:t>Suryanita</w:t>
      </w:r>
      <w:proofErr w:type="spellEnd"/>
      <w:r w:rsidRPr="00A71974">
        <w:rPr>
          <w:rFonts w:ascii="Arial" w:hAnsi="Arial" w:cs="Arial"/>
          <w:sz w:val="20"/>
          <w:szCs w:val="20"/>
        </w:rPr>
        <w:t xml:space="preserve">, R., &amp; Kikumoto, M. (2021). Prediction of SPT value based on CPT data and soil physical properties using ANN with and without data normalization. </w:t>
      </w:r>
      <w:r w:rsidRPr="00A71974">
        <w:rPr>
          <w:rFonts w:ascii="Arial" w:hAnsi="Arial" w:cs="Arial"/>
          <w:i/>
          <w:iCs/>
          <w:sz w:val="20"/>
          <w:szCs w:val="20"/>
        </w:rPr>
        <w:t>International Journal of Artificial Intelligence Research</w:t>
      </w:r>
      <w:r w:rsidRPr="00A71974">
        <w:rPr>
          <w:rFonts w:ascii="Arial" w:hAnsi="Arial" w:cs="Arial"/>
          <w:sz w:val="20"/>
          <w:szCs w:val="20"/>
        </w:rPr>
        <w:t xml:space="preserve">, </w:t>
      </w:r>
      <w:r w:rsidRPr="00A71974">
        <w:rPr>
          <w:rFonts w:ascii="Arial" w:hAnsi="Arial" w:cs="Arial"/>
          <w:i/>
          <w:iCs/>
          <w:sz w:val="20"/>
          <w:szCs w:val="20"/>
        </w:rPr>
        <w:t>5</w:t>
      </w:r>
      <w:r w:rsidRPr="00A71974">
        <w:rPr>
          <w:rFonts w:ascii="Arial" w:hAnsi="Arial" w:cs="Arial"/>
          <w:sz w:val="20"/>
          <w:szCs w:val="20"/>
        </w:rPr>
        <w:t xml:space="preserve">(2), 123-131. </w:t>
      </w:r>
      <w:hyperlink r:id="rId16" w:history="1">
        <w:r w:rsidRPr="00A71974">
          <w:rPr>
            <w:rStyle w:val="Hyperlink"/>
            <w:rFonts w:ascii="Arial" w:hAnsi="Arial" w:cs="Arial"/>
            <w:sz w:val="20"/>
            <w:szCs w:val="20"/>
          </w:rPr>
          <w:t>https://doi.org/10.29099/ijair.v5i2.192</w:t>
        </w:r>
      </w:hyperlink>
    </w:p>
    <w:p w14:paraId="40C3353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Ghali, M., </w:t>
      </w:r>
      <w:proofErr w:type="spellStart"/>
      <w:r w:rsidRPr="00A71974">
        <w:rPr>
          <w:rFonts w:ascii="Arial" w:hAnsi="Arial" w:cs="Arial"/>
          <w:sz w:val="20"/>
          <w:szCs w:val="20"/>
        </w:rPr>
        <w:t>Chekired</w:t>
      </w:r>
      <w:proofErr w:type="spellEnd"/>
      <w:r w:rsidRPr="00A71974">
        <w:rPr>
          <w:rFonts w:ascii="Arial" w:hAnsi="Arial" w:cs="Arial"/>
          <w:sz w:val="20"/>
          <w:szCs w:val="20"/>
        </w:rPr>
        <w:t xml:space="preserve">, M., &amp; </w:t>
      </w:r>
      <w:proofErr w:type="spellStart"/>
      <w:r w:rsidRPr="00A71974">
        <w:rPr>
          <w:rFonts w:ascii="Arial" w:hAnsi="Arial" w:cs="Arial"/>
          <w:sz w:val="20"/>
          <w:szCs w:val="20"/>
        </w:rPr>
        <w:t>Karray</w:t>
      </w:r>
      <w:proofErr w:type="spellEnd"/>
      <w:r w:rsidRPr="00A71974">
        <w:rPr>
          <w:rFonts w:ascii="Arial" w:hAnsi="Arial" w:cs="Arial"/>
          <w:sz w:val="20"/>
          <w:szCs w:val="20"/>
        </w:rPr>
        <w:t xml:space="preserve">, M. (2018). Framework to improve the correlation of SPT-N and geotechnical parameters in sand. </w:t>
      </w:r>
      <w:r w:rsidRPr="00A71974">
        <w:rPr>
          <w:rFonts w:ascii="Arial" w:hAnsi="Arial" w:cs="Arial"/>
          <w:i/>
          <w:iCs/>
          <w:sz w:val="20"/>
          <w:szCs w:val="20"/>
        </w:rPr>
        <w:t xml:space="preserve">Acta </w:t>
      </w:r>
      <w:proofErr w:type="spellStart"/>
      <w:r w:rsidRPr="00A71974">
        <w:rPr>
          <w:rFonts w:ascii="Arial" w:hAnsi="Arial" w:cs="Arial"/>
          <w:i/>
          <w:iCs/>
          <w:sz w:val="20"/>
          <w:szCs w:val="20"/>
        </w:rPr>
        <w:t>Geotechnica</w:t>
      </w:r>
      <w:proofErr w:type="spellEnd"/>
      <w:r w:rsidRPr="00A71974">
        <w:rPr>
          <w:rFonts w:ascii="Arial" w:hAnsi="Arial" w:cs="Arial"/>
          <w:sz w:val="20"/>
          <w:szCs w:val="20"/>
        </w:rPr>
        <w:t xml:space="preserve">, </w:t>
      </w:r>
      <w:r w:rsidRPr="00A71974">
        <w:rPr>
          <w:rFonts w:ascii="Arial" w:hAnsi="Arial" w:cs="Arial"/>
          <w:i/>
          <w:iCs/>
          <w:sz w:val="20"/>
          <w:szCs w:val="20"/>
        </w:rPr>
        <w:t>13</w:t>
      </w:r>
      <w:r w:rsidRPr="00A71974">
        <w:rPr>
          <w:rFonts w:ascii="Arial" w:hAnsi="Arial" w:cs="Arial"/>
          <w:sz w:val="20"/>
          <w:szCs w:val="20"/>
        </w:rPr>
        <w:t xml:space="preserve">(6), 1445-1458. </w:t>
      </w:r>
      <w:hyperlink r:id="rId17" w:history="1">
        <w:r w:rsidRPr="00A71974">
          <w:rPr>
            <w:rStyle w:val="Hyperlink"/>
            <w:rFonts w:ascii="Arial" w:hAnsi="Arial" w:cs="Arial"/>
            <w:sz w:val="20"/>
            <w:szCs w:val="20"/>
          </w:rPr>
          <w:t>https://doi.org/10.1007/s11440-018-0745-3</w:t>
        </w:r>
      </w:hyperlink>
    </w:p>
    <w:p w14:paraId="1BDD638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lastRenderedPageBreak/>
        <w:t xml:space="preserve">Hatanaka, M., &amp; Uchida, A. (1996). Empirical correlation between penetration resistance and internal friction angle of sandy soils. </w:t>
      </w:r>
      <w:r w:rsidRPr="00A71974">
        <w:rPr>
          <w:rFonts w:ascii="Arial" w:hAnsi="Arial" w:cs="Arial"/>
          <w:i/>
          <w:iCs/>
          <w:sz w:val="20"/>
          <w:szCs w:val="20"/>
        </w:rPr>
        <w:t>Soils and Foundations</w:t>
      </w:r>
      <w:r w:rsidRPr="00A71974">
        <w:rPr>
          <w:rFonts w:ascii="Arial" w:hAnsi="Arial" w:cs="Arial"/>
          <w:sz w:val="20"/>
          <w:szCs w:val="20"/>
        </w:rPr>
        <w:t xml:space="preserve">, </w:t>
      </w:r>
      <w:r w:rsidRPr="00A71974">
        <w:rPr>
          <w:rFonts w:ascii="Arial" w:hAnsi="Arial" w:cs="Arial"/>
          <w:i/>
          <w:iCs/>
          <w:sz w:val="20"/>
          <w:szCs w:val="20"/>
        </w:rPr>
        <w:t>36</w:t>
      </w:r>
      <w:r w:rsidRPr="00A71974">
        <w:rPr>
          <w:rFonts w:ascii="Arial" w:hAnsi="Arial" w:cs="Arial"/>
          <w:sz w:val="20"/>
          <w:szCs w:val="20"/>
        </w:rPr>
        <w:t xml:space="preserve">(4), 1-9. </w:t>
      </w:r>
      <w:hyperlink r:id="rId18" w:history="1">
        <w:r w:rsidRPr="00A71974">
          <w:rPr>
            <w:rStyle w:val="Hyperlink"/>
            <w:rFonts w:ascii="Arial" w:hAnsi="Arial" w:cs="Arial"/>
            <w:sz w:val="20"/>
            <w:szCs w:val="20"/>
          </w:rPr>
          <w:t>https://doi.org/10.3208/sandf.36.4_1</w:t>
        </w:r>
      </w:hyperlink>
    </w:p>
    <w:p w14:paraId="17404F7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Hettiarachchi, H., &amp; Brown, T. (2009). Use of SPT blow counts to estimate shear strength properties of soils: Energy balance approach. </w:t>
      </w:r>
      <w:r w:rsidRPr="00A71974">
        <w:rPr>
          <w:rFonts w:ascii="Arial" w:hAnsi="Arial" w:cs="Arial"/>
          <w:i/>
          <w:iCs/>
          <w:sz w:val="20"/>
          <w:szCs w:val="20"/>
        </w:rPr>
        <w:t>Journal of Geotechnical and Geoenvironmental Engineering</w:t>
      </w:r>
      <w:r w:rsidRPr="00A71974">
        <w:rPr>
          <w:rFonts w:ascii="Arial" w:hAnsi="Arial" w:cs="Arial"/>
          <w:sz w:val="20"/>
          <w:szCs w:val="20"/>
        </w:rPr>
        <w:t xml:space="preserve">, </w:t>
      </w:r>
      <w:r w:rsidRPr="00A71974">
        <w:rPr>
          <w:rFonts w:ascii="Arial" w:hAnsi="Arial" w:cs="Arial"/>
          <w:i/>
          <w:iCs/>
          <w:sz w:val="20"/>
          <w:szCs w:val="20"/>
        </w:rPr>
        <w:t>135</w:t>
      </w:r>
      <w:r w:rsidRPr="00A71974">
        <w:rPr>
          <w:rFonts w:ascii="Arial" w:hAnsi="Arial" w:cs="Arial"/>
          <w:sz w:val="20"/>
          <w:szCs w:val="20"/>
        </w:rPr>
        <w:t xml:space="preserve">(6), 830-834. </w:t>
      </w:r>
      <w:hyperlink r:id="rId19" w:history="1">
        <w:r w:rsidRPr="00A71974">
          <w:rPr>
            <w:rStyle w:val="Hyperlink"/>
            <w:rFonts w:ascii="Arial" w:hAnsi="Arial" w:cs="Arial"/>
            <w:sz w:val="20"/>
            <w:szCs w:val="20"/>
          </w:rPr>
          <w:t>https://doi.org/10.1061/(ASCE)GT.1943-5606.0000016</w:t>
        </w:r>
      </w:hyperlink>
    </w:p>
    <w:p w14:paraId="19357A20"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Jarushi, F., AlKaabi, S., &amp; Cosentino, P. (2015). A new correlation between SPT and CPT for various soils. </w:t>
      </w:r>
      <w:r w:rsidRPr="00A71974">
        <w:rPr>
          <w:rFonts w:ascii="Arial" w:hAnsi="Arial" w:cs="Arial"/>
          <w:i/>
          <w:iCs/>
          <w:sz w:val="20"/>
          <w:szCs w:val="20"/>
        </w:rPr>
        <w:t>International Journal of Geological and Environmental Engineering</w:t>
      </w:r>
      <w:r w:rsidRPr="00A71974">
        <w:rPr>
          <w:rFonts w:ascii="Arial" w:hAnsi="Arial" w:cs="Arial"/>
          <w:sz w:val="20"/>
          <w:szCs w:val="20"/>
        </w:rPr>
        <w:t xml:space="preserve">, </w:t>
      </w:r>
      <w:r w:rsidRPr="00A71974">
        <w:rPr>
          <w:rFonts w:ascii="Arial" w:hAnsi="Arial" w:cs="Arial"/>
          <w:i/>
          <w:iCs/>
          <w:sz w:val="20"/>
          <w:szCs w:val="20"/>
        </w:rPr>
        <w:t>9</w:t>
      </w:r>
      <w:r w:rsidRPr="00A71974">
        <w:rPr>
          <w:rFonts w:ascii="Arial" w:hAnsi="Arial" w:cs="Arial"/>
          <w:sz w:val="20"/>
          <w:szCs w:val="20"/>
        </w:rPr>
        <w:t>(2), 101-107.</w:t>
      </w:r>
    </w:p>
    <w:p w14:paraId="339AD4B3" w14:textId="6D789278"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Kalantary</w:t>
      </w:r>
      <w:proofErr w:type="spellEnd"/>
      <w:r w:rsidRPr="00A71974">
        <w:rPr>
          <w:rFonts w:ascii="Arial" w:hAnsi="Arial" w:cs="Arial"/>
          <w:sz w:val="20"/>
          <w:szCs w:val="20"/>
        </w:rPr>
        <w:t>, F., Ardalan, H., &amp; Nariman-Zadeh, N. (2009). An investigation on the Su-</w:t>
      </w:r>
      <w:r w:rsidR="002743EA" w:rsidRPr="00A71974">
        <w:rPr>
          <w:rFonts w:ascii="Arial" w:hAnsi="Arial" w:cs="Arial"/>
          <w:sz w:val="20"/>
          <w:szCs w:val="20"/>
        </w:rPr>
        <w:t>SPT-N</w:t>
      </w:r>
      <w:r w:rsidRPr="00A71974">
        <w:rPr>
          <w:rFonts w:ascii="Arial" w:hAnsi="Arial" w:cs="Arial"/>
          <w:sz w:val="20"/>
          <w:szCs w:val="20"/>
        </w:rPr>
        <w:t xml:space="preserve"> correlation using GMDH type neural networks and genetic algorithms. </w:t>
      </w:r>
      <w:r w:rsidRPr="00A71974">
        <w:rPr>
          <w:rFonts w:ascii="Arial" w:hAnsi="Arial" w:cs="Arial"/>
          <w:i/>
          <w:iCs/>
          <w:sz w:val="20"/>
          <w:szCs w:val="20"/>
        </w:rPr>
        <w:t>Engineering Geology</w:t>
      </w:r>
      <w:r w:rsidRPr="00A71974">
        <w:rPr>
          <w:rFonts w:ascii="Arial" w:hAnsi="Arial" w:cs="Arial"/>
          <w:sz w:val="20"/>
          <w:szCs w:val="20"/>
        </w:rPr>
        <w:t xml:space="preserve">, </w:t>
      </w:r>
      <w:r w:rsidRPr="00A71974">
        <w:rPr>
          <w:rFonts w:ascii="Arial" w:hAnsi="Arial" w:cs="Arial"/>
          <w:i/>
          <w:iCs/>
          <w:sz w:val="20"/>
          <w:szCs w:val="20"/>
        </w:rPr>
        <w:t>104</w:t>
      </w:r>
      <w:r w:rsidRPr="00A71974">
        <w:rPr>
          <w:rFonts w:ascii="Arial" w:hAnsi="Arial" w:cs="Arial"/>
          <w:sz w:val="20"/>
          <w:szCs w:val="20"/>
        </w:rPr>
        <w:t xml:space="preserve">(1-2), 144-155. </w:t>
      </w:r>
      <w:hyperlink r:id="rId20" w:history="1">
        <w:r w:rsidRPr="00A71974">
          <w:rPr>
            <w:rStyle w:val="Hyperlink"/>
            <w:rFonts w:ascii="Arial" w:hAnsi="Arial" w:cs="Arial"/>
            <w:sz w:val="20"/>
            <w:szCs w:val="20"/>
          </w:rPr>
          <w:t>https://doi.org/10.1016/j.enggeo.2008.09.006</w:t>
        </w:r>
      </w:hyperlink>
    </w:p>
    <w:p w14:paraId="55DE9DE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Kara, O., &amp; Gunduz, Z. (2010). Correlation between CPT and SPT in </w:t>
      </w:r>
      <w:proofErr w:type="spellStart"/>
      <w:r w:rsidRPr="00A71974">
        <w:rPr>
          <w:rFonts w:ascii="Arial" w:hAnsi="Arial" w:cs="Arial"/>
          <w:sz w:val="20"/>
          <w:szCs w:val="20"/>
        </w:rPr>
        <w:t>Adapazari</w:t>
      </w:r>
      <w:proofErr w:type="spellEnd"/>
      <w:r w:rsidRPr="00A71974">
        <w:rPr>
          <w:rFonts w:ascii="Arial" w:hAnsi="Arial" w:cs="Arial"/>
          <w:sz w:val="20"/>
          <w:szCs w:val="20"/>
        </w:rPr>
        <w:t xml:space="preserve">, Turkey. In </w:t>
      </w:r>
      <w:r w:rsidRPr="00A71974">
        <w:rPr>
          <w:rFonts w:ascii="Arial" w:hAnsi="Arial" w:cs="Arial"/>
          <w:i/>
          <w:iCs/>
          <w:sz w:val="20"/>
          <w:szCs w:val="20"/>
        </w:rPr>
        <w:t>Proceedings of the 2nd International Symposium on Cone Penetration Testing</w:t>
      </w:r>
      <w:r w:rsidRPr="00A71974">
        <w:rPr>
          <w:rFonts w:ascii="Arial" w:hAnsi="Arial" w:cs="Arial"/>
          <w:sz w:val="20"/>
          <w:szCs w:val="20"/>
        </w:rPr>
        <w:t xml:space="preserve"> (pp. 1-8). CPT'10.</w:t>
      </w:r>
    </w:p>
    <w:p w14:paraId="4C3C4193" w14:textId="37D0C0D5" w:rsidR="00865D70" w:rsidRPr="00A71974" w:rsidRDefault="00865D70"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Kennedy, C., &amp; </w:t>
      </w:r>
      <w:proofErr w:type="spellStart"/>
      <w:r w:rsidRPr="00A71974">
        <w:rPr>
          <w:rFonts w:ascii="Arial" w:hAnsi="Arial" w:cs="Arial"/>
          <w:sz w:val="20"/>
          <w:szCs w:val="20"/>
        </w:rPr>
        <w:t>TrustGod</w:t>
      </w:r>
      <w:proofErr w:type="spellEnd"/>
      <w:r w:rsidRPr="00A71974">
        <w:rPr>
          <w:rFonts w:ascii="Arial" w:hAnsi="Arial" w:cs="Arial"/>
          <w:sz w:val="20"/>
          <w:szCs w:val="20"/>
        </w:rPr>
        <w:t xml:space="preserve">, J. A. (2024). Comparison of SPT-N correlations for different geological formations in the Niger Delta region of Nigeria. Research Square. </w:t>
      </w:r>
      <w:hyperlink r:id="rId21" w:history="1">
        <w:r w:rsidRPr="00A71974">
          <w:rPr>
            <w:rStyle w:val="Hyperlink"/>
            <w:rFonts w:ascii="Arial" w:hAnsi="Arial" w:cs="Arial"/>
            <w:sz w:val="20"/>
            <w:szCs w:val="20"/>
          </w:rPr>
          <w:t>https://doi.org/10.21203/rs.3.rs-4602554/v1</w:t>
        </w:r>
      </w:hyperlink>
      <w:r w:rsidRPr="00A71974">
        <w:rPr>
          <w:rFonts w:ascii="Arial" w:hAnsi="Arial" w:cs="Arial"/>
          <w:sz w:val="20"/>
          <w:szCs w:val="20"/>
        </w:rPr>
        <w:t>.</w:t>
      </w:r>
    </w:p>
    <w:p w14:paraId="585CC70A"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Khan, Z., Yamin, M., </w:t>
      </w:r>
      <w:proofErr w:type="spellStart"/>
      <w:r w:rsidRPr="00A71974">
        <w:rPr>
          <w:rFonts w:ascii="Arial" w:hAnsi="Arial" w:cs="Arial"/>
          <w:sz w:val="20"/>
          <w:szCs w:val="20"/>
        </w:rPr>
        <w:t>Attom</w:t>
      </w:r>
      <w:proofErr w:type="spellEnd"/>
      <w:r w:rsidRPr="00A71974">
        <w:rPr>
          <w:rFonts w:ascii="Arial" w:hAnsi="Arial" w:cs="Arial"/>
          <w:sz w:val="20"/>
          <w:szCs w:val="20"/>
        </w:rPr>
        <w:t xml:space="preserve">, M., &amp; Al Hai, N. (2022). Correlations between SPT, CPT, and Vs for reclaimed lands near Dubai.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40</w:t>
      </w:r>
      <w:r w:rsidRPr="00A71974">
        <w:rPr>
          <w:rFonts w:ascii="Arial" w:hAnsi="Arial" w:cs="Arial"/>
          <w:sz w:val="20"/>
          <w:szCs w:val="20"/>
        </w:rPr>
        <w:t xml:space="preserve">, 4109-4120. </w:t>
      </w:r>
      <w:hyperlink r:id="rId22" w:history="1">
        <w:r w:rsidRPr="00A71974">
          <w:rPr>
            <w:rStyle w:val="Hyperlink"/>
            <w:rFonts w:ascii="Arial" w:hAnsi="Arial" w:cs="Arial"/>
            <w:sz w:val="20"/>
            <w:szCs w:val="20"/>
          </w:rPr>
          <w:t>https://doi.org/10.1007/s10706-022-02143-4</w:t>
        </w:r>
      </w:hyperlink>
    </w:p>
    <w:p w14:paraId="7A4CAAD6"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Kim, M., Okuyucu, O., </w:t>
      </w:r>
      <w:proofErr w:type="spellStart"/>
      <w:r w:rsidRPr="00A71974">
        <w:rPr>
          <w:rFonts w:ascii="Arial" w:hAnsi="Arial" w:cs="Arial"/>
          <w:sz w:val="20"/>
          <w:szCs w:val="20"/>
        </w:rPr>
        <w:t>Ordu</w:t>
      </w:r>
      <w:proofErr w:type="spellEnd"/>
      <w:r w:rsidRPr="00A71974">
        <w:rPr>
          <w:rFonts w:ascii="Arial" w:hAnsi="Arial" w:cs="Arial"/>
          <w:sz w:val="20"/>
          <w:szCs w:val="20"/>
        </w:rPr>
        <w:t xml:space="preserve">, E., </w:t>
      </w:r>
      <w:proofErr w:type="spellStart"/>
      <w:r w:rsidRPr="00A71974">
        <w:rPr>
          <w:rFonts w:ascii="Arial" w:hAnsi="Arial" w:cs="Arial"/>
          <w:sz w:val="20"/>
          <w:szCs w:val="20"/>
        </w:rPr>
        <w:t>Ordu</w:t>
      </w:r>
      <w:proofErr w:type="spellEnd"/>
      <w:r w:rsidRPr="00A71974">
        <w:rPr>
          <w:rFonts w:ascii="Arial" w:hAnsi="Arial" w:cs="Arial"/>
          <w:sz w:val="20"/>
          <w:szCs w:val="20"/>
        </w:rPr>
        <w:t xml:space="preserve">, S., Arslan, Ö., &amp; Ko, J. (2022). Prediction of undrained shear strength by the GMDH-type neural network using SPT-value and soil physical properties. </w:t>
      </w:r>
      <w:r w:rsidRPr="00A71974">
        <w:rPr>
          <w:rFonts w:ascii="Arial" w:hAnsi="Arial" w:cs="Arial"/>
          <w:i/>
          <w:iCs/>
          <w:sz w:val="20"/>
          <w:szCs w:val="20"/>
        </w:rPr>
        <w:t>Materials</w:t>
      </w:r>
      <w:r w:rsidRPr="00A71974">
        <w:rPr>
          <w:rFonts w:ascii="Arial" w:hAnsi="Arial" w:cs="Arial"/>
          <w:sz w:val="20"/>
          <w:szCs w:val="20"/>
        </w:rPr>
        <w:t xml:space="preserve">, </w:t>
      </w:r>
      <w:r w:rsidRPr="00A71974">
        <w:rPr>
          <w:rFonts w:ascii="Arial" w:hAnsi="Arial" w:cs="Arial"/>
          <w:i/>
          <w:iCs/>
          <w:sz w:val="20"/>
          <w:szCs w:val="20"/>
        </w:rPr>
        <w:t>15</w:t>
      </w:r>
      <w:r w:rsidRPr="00A71974">
        <w:rPr>
          <w:rFonts w:ascii="Arial" w:hAnsi="Arial" w:cs="Arial"/>
          <w:sz w:val="20"/>
          <w:szCs w:val="20"/>
        </w:rPr>
        <w:t xml:space="preserve">(18), 6385. </w:t>
      </w:r>
      <w:hyperlink r:id="rId23" w:history="1">
        <w:r w:rsidRPr="00A71974">
          <w:rPr>
            <w:rStyle w:val="Hyperlink"/>
            <w:rFonts w:ascii="Arial" w:hAnsi="Arial" w:cs="Arial"/>
            <w:sz w:val="20"/>
            <w:szCs w:val="20"/>
          </w:rPr>
          <w:t>https://doi.org/10.3390/ma15186385</w:t>
        </w:r>
      </w:hyperlink>
    </w:p>
    <w:p w14:paraId="6A42DCA2"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Khodaparast</w:t>
      </w:r>
      <w:proofErr w:type="spellEnd"/>
      <w:r w:rsidRPr="00A71974">
        <w:rPr>
          <w:rFonts w:ascii="Arial" w:hAnsi="Arial" w:cs="Arial"/>
          <w:sz w:val="20"/>
          <w:szCs w:val="20"/>
        </w:rPr>
        <w:t xml:space="preserve">, M., Rajabi, A. M., &amp; Derakhshan, M. (2020). Development of practical correlations between cone penetration resistance and SPT values for various types of soils. </w:t>
      </w:r>
      <w:r w:rsidRPr="00A71974">
        <w:rPr>
          <w:rFonts w:ascii="Arial" w:hAnsi="Arial" w:cs="Arial"/>
          <w:i/>
          <w:iCs/>
          <w:sz w:val="20"/>
          <w:szCs w:val="20"/>
        </w:rPr>
        <w:t>Iranian Journal of Science and Technology, Transactions of Civil Engineering</w:t>
      </w:r>
      <w:r w:rsidRPr="00A71974">
        <w:rPr>
          <w:rFonts w:ascii="Arial" w:hAnsi="Arial" w:cs="Arial"/>
          <w:sz w:val="20"/>
          <w:szCs w:val="20"/>
        </w:rPr>
        <w:t xml:space="preserve">, </w:t>
      </w:r>
      <w:r w:rsidRPr="00A71974">
        <w:rPr>
          <w:rFonts w:ascii="Arial" w:hAnsi="Arial" w:cs="Arial"/>
          <w:i/>
          <w:iCs/>
          <w:sz w:val="20"/>
          <w:szCs w:val="20"/>
        </w:rPr>
        <w:t>44</w:t>
      </w:r>
      <w:r w:rsidRPr="00A71974">
        <w:rPr>
          <w:rFonts w:ascii="Arial" w:hAnsi="Arial" w:cs="Arial"/>
          <w:sz w:val="20"/>
          <w:szCs w:val="20"/>
        </w:rPr>
        <w:t>(</w:t>
      </w:r>
      <w:proofErr w:type="spellStart"/>
      <w:r w:rsidRPr="00A71974">
        <w:rPr>
          <w:rFonts w:ascii="Arial" w:hAnsi="Arial" w:cs="Arial"/>
          <w:sz w:val="20"/>
          <w:szCs w:val="20"/>
        </w:rPr>
        <w:t>Suppl</w:t>
      </w:r>
      <w:proofErr w:type="spellEnd"/>
      <w:r w:rsidRPr="00A71974">
        <w:rPr>
          <w:rFonts w:ascii="Arial" w:hAnsi="Arial" w:cs="Arial"/>
          <w:sz w:val="20"/>
          <w:szCs w:val="20"/>
        </w:rPr>
        <w:t xml:space="preserve"> 1), 471-481. </w:t>
      </w:r>
      <w:hyperlink r:id="rId24" w:history="1">
        <w:r w:rsidRPr="00A71974">
          <w:rPr>
            <w:rStyle w:val="Hyperlink"/>
            <w:rFonts w:ascii="Arial" w:hAnsi="Arial" w:cs="Arial"/>
            <w:sz w:val="20"/>
            <w:szCs w:val="20"/>
          </w:rPr>
          <w:t>https://doi.org/10.1007/s40996-019-00319-2</w:t>
        </w:r>
      </w:hyperlink>
    </w:p>
    <w:p w14:paraId="22172DA9"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Kulhawy</w:t>
      </w:r>
      <w:proofErr w:type="spellEnd"/>
      <w:r w:rsidRPr="00A71974">
        <w:rPr>
          <w:rFonts w:ascii="Arial" w:hAnsi="Arial" w:cs="Arial"/>
          <w:sz w:val="20"/>
          <w:szCs w:val="20"/>
        </w:rPr>
        <w:t xml:space="preserve">, F. H., &amp; Mayne, P. W. (1990). </w:t>
      </w:r>
      <w:r w:rsidRPr="00A71974">
        <w:rPr>
          <w:rFonts w:ascii="Arial" w:hAnsi="Arial" w:cs="Arial"/>
          <w:i/>
          <w:iCs/>
          <w:sz w:val="20"/>
          <w:szCs w:val="20"/>
        </w:rPr>
        <w:t>Manual on estimating soil properties for foundation design</w:t>
      </w:r>
      <w:r w:rsidRPr="00A71974">
        <w:rPr>
          <w:rFonts w:ascii="Arial" w:hAnsi="Arial" w:cs="Arial"/>
          <w:sz w:val="20"/>
          <w:szCs w:val="20"/>
        </w:rPr>
        <w:t xml:space="preserve"> (Report No. EL-6800). Electric Power Research Institute.</w:t>
      </w:r>
    </w:p>
    <w:p w14:paraId="6E3F7B11"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Kumar, R., Bhargava, K., &amp; Choudhury, D. (2016). Estimation of engineering properties of soils from field SPT using random number generation. </w:t>
      </w:r>
      <w:r w:rsidRPr="00A71974">
        <w:rPr>
          <w:rFonts w:ascii="Arial" w:hAnsi="Arial" w:cs="Arial"/>
          <w:i/>
          <w:iCs/>
          <w:sz w:val="20"/>
          <w:szCs w:val="20"/>
        </w:rPr>
        <w:t>Transactions of the Indian National Academy of Engineering</w:t>
      </w:r>
      <w:r w:rsidRPr="00A71974">
        <w:rPr>
          <w:rFonts w:ascii="Arial" w:hAnsi="Arial" w:cs="Arial"/>
          <w:sz w:val="20"/>
          <w:szCs w:val="20"/>
        </w:rPr>
        <w:t xml:space="preserve">, </w:t>
      </w:r>
      <w:r w:rsidRPr="00A71974">
        <w:rPr>
          <w:rFonts w:ascii="Arial" w:hAnsi="Arial" w:cs="Arial"/>
          <w:i/>
          <w:iCs/>
          <w:sz w:val="20"/>
          <w:szCs w:val="20"/>
        </w:rPr>
        <w:t>1</w:t>
      </w:r>
      <w:r w:rsidRPr="00A71974">
        <w:rPr>
          <w:rFonts w:ascii="Arial" w:hAnsi="Arial" w:cs="Arial"/>
          <w:sz w:val="20"/>
          <w:szCs w:val="20"/>
        </w:rPr>
        <w:t xml:space="preserve">(2), 77-84. </w:t>
      </w:r>
      <w:hyperlink r:id="rId25" w:history="1">
        <w:r w:rsidRPr="00A71974">
          <w:rPr>
            <w:rStyle w:val="Hyperlink"/>
            <w:rFonts w:ascii="Arial" w:hAnsi="Arial" w:cs="Arial"/>
            <w:sz w:val="20"/>
            <w:szCs w:val="20"/>
          </w:rPr>
          <w:t>https://doi.org/10.1007/s41403-016-0012-6</w:t>
        </w:r>
      </w:hyperlink>
    </w:p>
    <w:p w14:paraId="1DD3AA7C" w14:textId="06400177" w:rsidR="00281F60" w:rsidRPr="00A71974" w:rsidRDefault="00281F60"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Li, Y. (2013). Effects of particle shape and size distribution on the shear strength </w:t>
      </w:r>
      <w:proofErr w:type="spellStart"/>
      <w:r w:rsidRPr="00A71974">
        <w:rPr>
          <w:rFonts w:ascii="Arial" w:hAnsi="Arial" w:cs="Arial"/>
          <w:sz w:val="20"/>
          <w:szCs w:val="20"/>
        </w:rPr>
        <w:t>behavior</w:t>
      </w:r>
      <w:proofErr w:type="spellEnd"/>
      <w:r w:rsidRPr="00A71974">
        <w:rPr>
          <w:rFonts w:ascii="Arial" w:hAnsi="Arial" w:cs="Arial"/>
          <w:sz w:val="20"/>
          <w:szCs w:val="20"/>
        </w:rPr>
        <w:t xml:space="preserve"> of composite soils. Bulletin of Engineering Geology and the Environment, 72(3), 371-381.</w:t>
      </w:r>
    </w:p>
    <w:p w14:paraId="146130BE"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Liao, S. S. C., &amp; Whitman, R. V. (1986). Overburden correction factors for SPT in sand. </w:t>
      </w:r>
      <w:r w:rsidRPr="00A71974">
        <w:rPr>
          <w:rFonts w:ascii="Arial" w:hAnsi="Arial" w:cs="Arial"/>
          <w:i/>
          <w:iCs/>
          <w:sz w:val="20"/>
          <w:szCs w:val="20"/>
        </w:rPr>
        <w:t>Journal of Geotechnical Engineering</w:t>
      </w:r>
      <w:r w:rsidRPr="00A71974">
        <w:rPr>
          <w:rFonts w:ascii="Arial" w:hAnsi="Arial" w:cs="Arial"/>
          <w:sz w:val="20"/>
          <w:szCs w:val="20"/>
        </w:rPr>
        <w:t xml:space="preserve">, </w:t>
      </w:r>
      <w:r w:rsidRPr="00A71974">
        <w:rPr>
          <w:rFonts w:ascii="Arial" w:hAnsi="Arial" w:cs="Arial"/>
          <w:i/>
          <w:iCs/>
          <w:sz w:val="20"/>
          <w:szCs w:val="20"/>
        </w:rPr>
        <w:t>112</w:t>
      </w:r>
      <w:r w:rsidRPr="00A71974">
        <w:rPr>
          <w:rFonts w:ascii="Arial" w:hAnsi="Arial" w:cs="Arial"/>
          <w:sz w:val="20"/>
          <w:szCs w:val="20"/>
        </w:rPr>
        <w:t xml:space="preserve">(3), 373-377. </w:t>
      </w:r>
      <w:hyperlink r:id="rId26" w:history="1">
        <w:r w:rsidRPr="00A71974">
          <w:rPr>
            <w:rStyle w:val="Hyperlink"/>
            <w:rFonts w:ascii="Arial" w:hAnsi="Arial" w:cs="Arial"/>
            <w:sz w:val="20"/>
            <w:szCs w:val="20"/>
          </w:rPr>
          <w:t>https://doi.org/10.1061/(ASCE)0733-9410(1986)112:3(373)</w:t>
        </w:r>
      </w:hyperlink>
    </w:p>
    <w:p w14:paraId="6F979C59"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Lingwanda</w:t>
      </w:r>
      <w:proofErr w:type="spellEnd"/>
      <w:r w:rsidRPr="00A71974">
        <w:rPr>
          <w:rFonts w:ascii="Arial" w:hAnsi="Arial" w:cs="Arial"/>
          <w:sz w:val="20"/>
          <w:szCs w:val="20"/>
        </w:rPr>
        <w:t xml:space="preserve">, M. I., Larsson, S., &amp; Nyaoro, D. L. (2015). Correlations of SPT, CPT and DPL data for sandy soil in Tanzania.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33</w:t>
      </w:r>
      <w:r w:rsidRPr="00A71974">
        <w:rPr>
          <w:rFonts w:ascii="Arial" w:hAnsi="Arial" w:cs="Arial"/>
          <w:sz w:val="20"/>
          <w:szCs w:val="20"/>
        </w:rPr>
        <w:t xml:space="preserve">, 1221-1233. </w:t>
      </w:r>
      <w:hyperlink r:id="rId27" w:history="1">
        <w:r w:rsidRPr="00A71974">
          <w:rPr>
            <w:rStyle w:val="Hyperlink"/>
            <w:rFonts w:ascii="Arial" w:hAnsi="Arial" w:cs="Arial"/>
            <w:sz w:val="20"/>
            <w:szCs w:val="20"/>
          </w:rPr>
          <w:t>https://doi.org/10.1007/s10706-015-9897-1</w:t>
        </w:r>
      </w:hyperlink>
    </w:p>
    <w:p w14:paraId="2655EC6F"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Mayne, P. W., &amp; </w:t>
      </w:r>
      <w:proofErr w:type="spellStart"/>
      <w:r w:rsidRPr="00A71974">
        <w:rPr>
          <w:rFonts w:ascii="Arial" w:hAnsi="Arial" w:cs="Arial"/>
          <w:sz w:val="20"/>
          <w:szCs w:val="20"/>
        </w:rPr>
        <w:t>Kulhawy</w:t>
      </w:r>
      <w:proofErr w:type="spellEnd"/>
      <w:r w:rsidRPr="00A71974">
        <w:rPr>
          <w:rFonts w:ascii="Arial" w:hAnsi="Arial" w:cs="Arial"/>
          <w:sz w:val="20"/>
          <w:szCs w:val="20"/>
        </w:rPr>
        <w:t xml:space="preserve">, F. H. (1982). K0-OCR relationships in soil. </w:t>
      </w:r>
      <w:r w:rsidRPr="00A71974">
        <w:rPr>
          <w:rFonts w:ascii="Arial" w:hAnsi="Arial" w:cs="Arial"/>
          <w:i/>
          <w:iCs/>
          <w:sz w:val="20"/>
          <w:szCs w:val="20"/>
        </w:rPr>
        <w:t>Journal of the Geotechnical Engineering Division</w:t>
      </w:r>
      <w:r w:rsidRPr="00A71974">
        <w:rPr>
          <w:rFonts w:ascii="Arial" w:hAnsi="Arial" w:cs="Arial"/>
          <w:sz w:val="20"/>
          <w:szCs w:val="20"/>
        </w:rPr>
        <w:t xml:space="preserve">, </w:t>
      </w:r>
      <w:r w:rsidRPr="00A71974">
        <w:rPr>
          <w:rFonts w:ascii="Arial" w:hAnsi="Arial" w:cs="Arial"/>
          <w:i/>
          <w:iCs/>
          <w:sz w:val="20"/>
          <w:szCs w:val="20"/>
        </w:rPr>
        <w:t>108</w:t>
      </w:r>
      <w:r w:rsidRPr="00A71974">
        <w:rPr>
          <w:rFonts w:ascii="Arial" w:hAnsi="Arial" w:cs="Arial"/>
          <w:sz w:val="20"/>
          <w:szCs w:val="20"/>
        </w:rPr>
        <w:t xml:space="preserve">(6), 851-872. </w:t>
      </w:r>
      <w:hyperlink r:id="rId28" w:history="1">
        <w:r w:rsidRPr="00A71974">
          <w:rPr>
            <w:rStyle w:val="Hyperlink"/>
            <w:rFonts w:ascii="Arial" w:hAnsi="Arial" w:cs="Arial"/>
            <w:sz w:val="20"/>
            <w:szCs w:val="20"/>
          </w:rPr>
          <w:t>https://doi.org/10.1061/AJGEB6.0001306</w:t>
        </w:r>
      </w:hyperlink>
    </w:p>
    <w:p w14:paraId="495C199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Meyerhof, G. G. (1956). Penetration tests and bearing capacity of cohesionless soils. </w:t>
      </w:r>
      <w:r w:rsidRPr="00A71974">
        <w:rPr>
          <w:rFonts w:ascii="Arial" w:hAnsi="Arial" w:cs="Arial"/>
          <w:i/>
          <w:iCs/>
          <w:sz w:val="20"/>
          <w:szCs w:val="20"/>
        </w:rPr>
        <w:t>Journal of the Soil Mechanics and Foundation Division, ASCE</w:t>
      </w:r>
      <w:r w:rsidRPr="00A71974">
        <w:rPr>
          <w:rFonts w:ascii="Arial" w:hAnsi="Arial" w:cs="Arial"/>
          <w:sz w:val="20"/>
          <w:szCs w:val="20"/>
        </w:rPr>
        <w:t xml:space="preserve">, </w:t>
      </w:r>
      <w:r w:rsidRPr="00A71974">
        <w:rPr>
          <w:rFonts w:ascii="Arial" w:hAnsi="Arial" w:cs="Arial"/>
          <w:i/>
          <w:iCs/>
          <w:sz w:val="20"/>
          <w:szCs w:val="20"/>
        </w:rPr>
        <w:t>82</w:t>
      </w:r>
      <w:r w:rsidRPr="00A71974">
        <w:rPr>
          <w:rFonts w:ascii="Arial" w:hAnsi="Arial" w:cs="Arial"/>
          <w:sz w:val="20"/>
          <w:szCs w:val="20"/>
        </w:rPr>
        <w:t xml:space="preserve">(SM1), 1-19. </w:t>
      </w:r>
      <w:hyperlink r:id="rId29" w:history="1">
        <w:r w:rsidRPr="00A71974">
          <w:rPr>
            <w:rStyle w:val="Hyperlink"/>
            <w:rFonts w:ascii="Arial" w:hAnsi="Arial" w:cs="Arial"/>
            <w:sz w:val="20"/>
            <w:szCs w:val="20"/>
          </w:rPr>
          <w:t>https://doi.org/10.1061/JSFEAQ.0000074</w:t>
        </w:r>
      </w:hyperlink>
    </w:p>
    <w:p w14:paraId="6D4EA9B1"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Meyerhof, G. G. (1957). Discussion on research on determining the density of sands by spoon penetration testing. In </w:t>
      </w:r>
      <w:r w:rsidRPr="00A71974">
        <w:rPr>
          <w:rFonts w:ascii="Arial" w:hAnsi="Arial" w:cs="Arial"/>
          <w:i/>
          <w:iCs/>
          <w:sz w:val="20"/>
          <w:szCs w:val="20"/>
        </w:rPr>
        <w:t>Proceedings of the 4th International Conference on Soil Mechanics and Foundation Engineering</w:t>
      </w:r>
      <w:r w:rsidRPr="00A71974">
        <w:rPr>
          <w:rFonts w:ascii="Arial" w:hAnsi="Arial" w:cs="Arial"/>
          <w:sz w:val="20"/>
          <w:szCs w:val="20"/>
        </w:rPr>
        <w:t xml:space="preserve"> (Vol. 3, pp. 110-115). Butterworths Scientific Publications.</w:t>
      </w:r>
    </w:p>
    <w:p w14:paraId="7DD0E475"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Mujtaba, H., Farooq, K., </w:t>
      </w:r>
      <w:proofErr w:type="spellStart"/>
      <w:r w:rsidRPr="00A71974">
        <w:rPr>
          <w:rFonts w:ascii="Arial" w:hAnsi="Arial" w:cs="Arial"/>
          <w:sz w:val="20"/>
          <w:szCs w:val="20"/>
        </w:rPr>
        <w:t>Sivakugan</w:t>
      </w:r>
      <w:proofErr w:type="spellEnd"/>
      <w:r w:rsidRPr="00A71974">
        <w:rPr>
          <w:rFonts w:ascii="Arial" w:hAnsi="Arial" w:cs="Arial"/>
          <w:sz w:val="20"/>
          <w:szCs w:val="20"/>
        </w:rPr>
        <w:t xml:space="preserve">, N., &amp; Das, B. M. (2018). Evaluation of relative density and friction angle based on SPT-N values. </w:t>
      </w:r>
      <w:r w:rsidRPr="00A71974">
        <w:rPr>
          <w:rFonts w:ascii="Arial" w:hAnsi="Arial" w:cs="Arial"/>
          <w:i/>
          <w:iCs/>
          <w:sz w:val="20"/>
          <w:szCs w:val="20"/>
        </w:rPr>
        <w:t>KSCE Journal of Civil Engineering</w:t>
      </w:r>
      <w:r w:rsidRPr="00A71974">
        <w:rPr>
          <w:rFonts w:ascii="Arial" w:hAnsi="Arial" w:cs="Arial"/>
          <w:sz w:val="20"/>
          <w:szCs w:val="20"/>
        </w:rPr>
        <w:t xml:space="preserve">, </w:t>
      </w:r>
      <w:r w:rsidRPr="00A71974">
        <w:rPr>
          <w:rFonts w:ascii="Arial" w:hAnsi="Arial" w:cs="Arial"/>
          <w:i/>
          <w:iCs/>
          <w:sz w:val="20"/>
          <w:szCs w:val="20"/>
        </w:rPr>
        <w:t>22</w:t>
      </w:r>
      <w:r w:rsidRPr="00A71974">
        <w:rPr>
          <w:rFonts w:ascii="Arial" w:hAnsi="Arial" w:cs="Arial"/>
          <w:sz w:val="20"/>
          <w:szCs w:val="20"/>
        </w:rPr>
        <w:t xml:space="preserve">(2), 572-581. </w:t>
      </w:r>
      <w:hyperlink r:id="rId30" w:history="1">
        <w:r w:rsidRPr="00A71974">
          <w:rPr>
            <w:rStyle w:val="Hyperlink"/>
            <w:rFonts w:ascii="Arial" w:hAnsi="Arial" w:cs="Arial"/>
            <w:sz w:val="20"/>
            <w:szCs w:val="20"/>
          </w:rPr>
          <w:t>https://doi.org/10.1007/s12205-017-1899-5</w:t>
        </w:r>
      </w:hyperlink>
    </w:p>
    <w:p w14:paraId="51D951C4"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lastRenderedPageBreak/>
        <w:t xml:space="preserve">Peck, R. B., Hanson, W. E., &amp; Thornburn, T. H. (1974). </w:t>
      </w:r>
      <w:r w:rsidRPr="00A71974">
        <w:rPr>
          <w:rFonts w:ascii="Arial" w:hAnsi="Arial" w:cs="Arial"/>
          <w:i/>
          <w:iCs/>
          <w:sz w:val="20"/>
          <w:szCs w:val="20"/>
        </w:rPr>
        <w:t>Foundation engineering handbook</w:t>
      </w:r>
      <w:r w:rsidRPr="00A71974">
        <w:rPr>
          <w:rFonts w:ascii="Arial" w:hAnsi="Arial" w:cs="Arial"/>
          <w:sz w:val="20"/>
          <w:szCs w:val="20"/>
        </w:rPr>
        <w:t>. John Wiley &amp; Sons.</w:t>
      </w:r>
    </w:p>
    <w:p w14:paraId="1922B06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Phoon, K. K., &amp; </w:t>
      </w:r>
      <w:proofErr w:type="spellStart"/>
      <w:r w:rsidRPr="00A71974">
        <w:rPr>
          <w:rFonts w:ascii="Arial" w:hAnsi="Arial" w:cs="Arial"/>
          <w:sz w:val="20"/>
          <w:szCs w:val="20"/>
        </w:rPr>
        <w:t>Kulhawy</w:t>
      </w:r>
      <w:proofErr w:type="spellEnd"/>
      <w:r w:rsidRPr="00A71974">
        <w:rPr>
          <w:rFonts w:ascii="Arial" w:hAnsi="Arial" w:cs="Arial"/>
          <w:sz w:val="20"/>
          <w:szCs w:val="20"/>
        </w:rPr>
        <w:t xml:space="preserve">, F. H. (1999). Characterization of geotechnical variability. </w:t>
      </w:r>
      <w:r w:rsidRPr="00A71974">
        <w:rPr>
          <w:rFonts w:ascii="Arial" w:hAnsi="Arial" w:cs="Arial"/>
          <w:i/>
          <w:iCs/>
          <w:sz w:val="20"/>
          <w:szCs w:val="20"/>
        </w:rPr>
        <w:t>Canadian Geotechnical Journal</w:t>
      </w:r>
      <w:r w:rsidRPr="00A71974">
        <w:rPr>
          <w:rFonts w:ascii="Arial" w:hAnsi="Arial" w:cs="Arial"/>
          <w:sz w:val="20"/>
          <w:szCs w:val="20"/>
        </w:rPr>
        <w:t xml:space="preserve">, </w:t>
      </w:r>
      <w:r w:rsidRPr="00A71974">
        <w:rPr>
          <w:rFonts w:ascii="Arial" w:hAnsi="Arial" w:cs="Arial"/>
          <w:i/>
          <w:iCs/>
          <w:sz w:val="20"/>
          <w:szCs w:val="20"/>
        </w:rPr>
        <w:t>36</w:t>
      </w:r>
      <w:r w:rsidRPr="00A71974">
        <w:rPr>
          <w:rFonts w:ascii="Arial" w:hAnsi="Arial" w:cs="Arial"/>
          <w:sz w:val="20"/>
          <w:szCs w:val="20"/>
        </w:rPr>
        <w:t xml:space="preserve">(4), 612-624. </w:t>
      </w:r>
      <w:hyperlink r:id="rId31" w:history="1">
        <w:r w:rsidRPr="00A71974">
          <w:rPr>
            <w:rStyle w:val="Hyperlink"/>
            <w:rFonts w:ascii="Arial" w:hAnsi="Arial" w:cs="Arial"/>
            <w:sz w:val="20"/>
            <w:szCs w:val="20"/>
          </w:rPr>
          <w:t>https://doi.org/10.1139/t99-038</w:t>
        </w:r>
      </w:hyperlink>
    </w:p>
    <w:p w14:paraId="62D573D2"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Robertson, P. K., &amp; Campanella, R. G. (1983). Interpretation of cone penetration tests: Sands and clays. </w:t>
      </w:r>
      <w:r w:rsidRPr="00A71974">
        <w:rPr>
          <w:rFonts w:ascii="Arial" w:hAnsi="Arial" w:cs="Arial"/>
          <w:i/>
          <w:iCs/>
          <w:sz w:val="20"/>
          <w:szCs w:val="20"/>
        </w:rPr>
        <w:t>Canadian Geotechnical Journal</w:t>
      </w:r>
      <w:r w:rsidRPr="00A71974">
        <w:rPr>
          <w:rFonts w:ascii="Arial" w:hAnsi="Arial" w:cs="Arial"/>
          <w:sz w:val="20"/>
          <w:szCs w:val="20"/>
        </w:rPr>
        <w:t xml:space="preserve">, </w:t>
      </w:r>
      <w:r w:rsidRPr="00A71974">
        <w:rPr>
          <w:rFonts w:ascii="Arial" w:hAnsi="Arial" w:cs="Arial"/>
          <w:i/>
          <w:iCs/>
          <w:sz w:val="20"/>
          <w:szCs w:val="20"/>
        </w:rPr>
        <w:t>20</w:t>
      </w:r>
      <w:r w:rsidRPr="00A71974">
        <w:rPr>
          <w:rFonts w:ascii="Arial" w:hAnsi="Arial" w:cs="Arial"/>
          <w:sz w:val="20"/>
          <w:szCs w:val="20"/>
        </w:rPr>
        <w:t xml:space="preserve">, 719-745. </w:t>
      </w:r>
      <w:hyperlink r:id="rId32" w:history="1">
        <w:r w:rsidRPr="00A71974">
          <w:rPr>
            <w:rStyle w:val="Hyperlink"/>
            <w:rFonts w:ascii="Arial" w:hAnsi="Arial" w:cs="Arial"/>
            <w:sz w:val="20"/>
            <w:szCs w:val="20"/>
          </w:rPr>
          <w:t>https://doi.org/10.1139/t83-079</w:t>
        </w:r>
      </w:hyperlink>
    </w:p>
    <w:p w14:paraId="31C91F6C"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Sabab</w:t>
      </w:r>
      <w:proofErr w:type="spellEnd"/>
      <w:r w:rsidRPr="00A71974">
        <w:rPr>
          <w:rFonts w:ascii="Arial" w:hAnsi="Arial" w:cs="Arial"/>
          <w:sz w:val="20"/>
          <w:szCs w:val="20"/>
        </w:rPr>
        <w:t xml:space="preserve">, A. B., Islam, M. S., &amp; Haque, M. N. (2022). Machine learning approach to predict the friction angle of silty sand from standard penetration test. </w:t>
      </w:r>
      <w:r w:rsidRPr="00A71974">
        <w:rPr>
          <w:rFonts w:ascii="Arial" w:hAnsi="Arial" w:cs="Arial"/>
          <w:i/>
          <w:iCs/>
          <w:sz w:val="20"/>
          <w:szCs w:val="20"/>
        </w:rPr>
        <w:t>Engineering Research Express</w:t>
      </w:r>
      <w:r w:rsidRPr="00A71974">
        <w:rPr>
          <w:rFonts w:ascii="Arial" w:hAnsi="Arial" w:cs="Arial"/>
          <w:sz w:val="20"/>
          <w:szCs w:val="20"/>
        </w:rPr>
        <w:t xml:space="preserve">, </w:t>
      </w:r>
      <w:r w:rsidRPr="00A71974">
        <w:rPr>
          <w:rFonts w:ascii="Arial" w:hAnsi="Arial" w:cs="Arial"/>
          <w:i/>
          <w:iCs/>
          <w:sz w:val="20"/>
          <w:szCs w:val="20"/>
        </w:rPr>
        <w:t>4</w:t>
      </w:r>
      <w:r w:rsidRPr="00A71974">
        <w:rPr>
          <w:rFonts w:ascii="Arial" w:hAnsi="Arial" w:cs="Arial"/>
          <w:sz w:val="20"/>
          <w:szCs w:val="20"/>
        </w:rPr>
        <w:t xml:space="preserve">(3), 035018. </w:t>
      </w:r>
      <w:hyperlink r:id="rId33" w:history="1">
        <w:r w:rsidRPr="00A71974">
          <w:rPr>
            <w:rStyle w:val="Hyperlink"/>
            <w:rFonts w:ascii="Arial" w:hAnsi="Arial" w:cs="Arial"/>
            <w:sz w:val="20"/>
            <w:szCs w:val="20"/>
          </w:rPr>
          <w:t>https://doi.org/10.1088/2631-8695/ac7f49</w:t>
        </w:r>
      </w:hyperlink>
    </w:p>
    <w:p w14:paraId="0BC74DCD"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Schmertmann, J. H. (1970). Static cone to compute static settlement over sand. </w:t>
      </w:r>
      <w:r w:rsidRPr="00A71974">
        <w:rPr>
          <w:rFonts w:ascii="Arial" w:hAnsi="Arial" w:cs="Arial"/>
          <w:i/>
          <w:iCs/>
          <w:sz w:val="20"/>
          <w:szCs w:val="20"/>
        </w:rPr>
        <w:t>Journal of the Soil Mechanics and Foundations Division</w:t>
      </w:r>
      <w:r w:rsidRPr="00A71974">
        <w:rPr>
          <w:rFonts w:ascii="Arial" w:hAnsi="Arial" w:cs="Arial"/>
          <w:sz w:val="20"/>
          <w:szCs w:val="20"/>
        </w:rPr>
        <w:t xml:space="preserve">, </w:t>
      </w:r>
      <w:r w:rsidRPr="00A71974">
        <w:rPr>
          <w:rFonts w:ascii="Arial" w:hAnsi="Arial" w:cs="Arial"/>
          <w:i/>
          <w:iCs/>
          <w:sz w:val="20"/>
          <w:szCs w:val="20"/>
        </w:rPr>
        <w:t>96</w:t>
      </w:r>
      <w:r w:rsidRPr="00A71974">
        <w:rPr>
          <w:rFonts w:ascii="Arial" w:hAnsi="Arial" w:cs="Arial"/>
          <w:sz w:val="20"/>
          <w:szCs w:val="20"/>
        </w:rPr>
        <w:t xml:space="preserve">(3), 1011-1043. </w:t>
      </w:r>
      <w:hyperlink r:id="rId34" w:history="1">
        <w:r w:rsidRPr="00A71974">
          <w:rPr>
            <w:rStyle w:val="Hyperlink"/>
            <w:rFonts w:ascii="Arial" w:hAnsi="Arial" w:cs="Arial"/>
            <w:sz w:val="20"/>
            <w:szCs w:val="20"/>
          </w:rPr>
          <w:t>https://doi.org/10.1061/JSFEAQ.0001418</w:t>
        </w:r>
      </w:hyperlink>
    </w:p>
    <w:p w14:paraId="7800639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Schmertmann, J. H. (1975). Measurement of in-situ shear strength. In </w:t>
      </w:r>
      <w:r w:rsidRPr="00A71974">
        <w:rPr>
          <w:rFonts w:ascii="Arial" w:hAnsi="Arial" w:cs="Arial"/>
          <w:i/>
          <w:iCs/>
          <w:sz w:val="20"/>
          <w:szCs w:val="20"/>
        </w:rPr>
        <w:t>Proceedings of the ASCE Specialty Conference on In Situ Measurement of Soil Properties</w:t>
      </w:r>
      <w:r w:rsidRPr="00A71974">
        <w:rPr>
          <w:rFonts w:ascii="Arial" w:hAnsi="Arial" w:cs="Arial"/>
          <w:sz w:val="20"/>
          <w:szCs w:val="20"/>
        </w:rPr>
        <w:t xml:space="preserve"> (Vol. 2, pp. 57-138). American Society of Civil Engineers.</w:t>
      </w:r>
    </w:p>
    <w:p w14:paraId="41F9D24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Terzaghi, K., &amp; Peck, R. B. (1967). </w:t>
      </w:r>
      <w:r w:rsidRPr="00A71974">
        <w:rPr>
          <w:rFonts w:ascii="Arial" w:hAnsi="Arial" w:cs="Arial"/>
          <w:i/>
          <w:iCs/>
          <w:sz w:val="20"/>
          <w:szCs w:val="20"/>
        </w:rPr>
        <w:t>Soil mechanics in engineering practice</w:t>
      </w:r>
      <w:r w:rsidRPr="00A71974">
        <w:rPr>
          <w:rFonts w:ascii="Arial" w:hAnsi="Arial" w:cs="Arial"/>
          <w:sz w:val="20"/>
          <w:szCs w:val="20"/>
        </w:rPr>
        <w:t xml:space="preserve"> (2nd ed.). John Wiley &amp; Sons.</w:t>
      </w:r>
    </w:p>
    <w:p w14:paraId="2804C4A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Ullah, S., Khan, L., Hussain, B., Ullah, B., Ullah, I., Rahman, M. U., Khan, M. A., &amp; Ahmad, I. (2025). Machine learning approach for the prediction of angle of internal friction of granular soils using SPT records. </w:t>
      </w:r>
      <w:r w:rsidRPr="00A71974">
        <w:rPr>
          <w:rFonts w:ascii="Arial" w:hAnsi="Arial" w:cs="Arial"/>
          <w:i/>
          <w:iCs/>
          <w:sz w:val="20"/>
          <w:szCs w:val="20"/>
        </w:rPr>
        <w:t>Engineering Research Express</w:t>
      </w:r>
      <w:r w:rsidRPr="00A71974">
        <w:rPr>
          <w:rFonts w:ascii="Arial" w:hAnsi="Arial" w:cs="Arial"/>
          <w:sz w:val="20"/>
          <w:szCs w:val="20"/>
        </w:rPr>
        <w:t xml:space="preserve">, </w:t>
      </w:r>
      <w:r w:rsidRPr="00A71974">
        <w:rPr>
          <w:rFonts w:ascii="Arial" w:hAnsi="Arial" w:cs="Arial"/>
          <w:i/>
          <w:iCs/>
          <w:sz w:val="20"/>
          <w:szCs w:val="20"/>
        </w:rPr>
        <w:t>7</w:t>
      </w:r>
      <w:r w:rsidRPr="00A71974">
        <w:rPr>
          <w:rFonts w:ascii="Arial" w:hAnsi="Arial" w:cs="Arial"/>
          <w:sz w:val="20"/>
          <w:szCs w:val="20"/>
        </w:rPr>
        <w:t xml:space="preserve">(1), 015502. </w:t>
      </w:r>
      <w:hyperlink r:id="rId35" w:history="1">
        <w:r w:rsidRPr="00A71974">
          <w:rPr>
            <w:rStyle w:val="Hyperlink"/>
            <w:rFonts w:ascii="Arial" w:hAnsi="Arial" w:cs="Arial"/>
            <w:sz w:val="20"/>
            <w:szCs w:val="20"/>
          </w:rPr>
          <w:t>https://doi.org/10.1088/2631-8695/add858</w:t>
        </w:r>
      </w:hyperlink>
    </w:p>
    <w:p w14:paraId="6A3AA79F" w14:textId="0648B0D7" w:rsidR="00F807BB" w:rsidRPr="00A71974" w:rsidRDefault="00F807BB" w:rsidP="00FA5036">
      <w:pPr>
        <w:spacing w:line="240" w:lineRule="auto"/>
        <w:ind w:left="567" w:hanging="567"/>
        <w:jc w:val="both"/>
        <w:rPr>
          <w:rFonts w:ascii="Arial" w:hAnsi="Arial" w:cs="Arial"/>
          <w:sz w:val="20"/>
          <w:szCs w:val="20"/>
        </w:rPr>
      </w:pPr>
      <w:r w:rsidRPr="00A71974">
        <w:rPr>
          <w:rFonts w:ascii="Arial" w:hAnsi="Arial" w:cs="Arial"/>
          <w:sz w:val="20"/>
          <w:szCs w:val="20"/>
        </w:rPr>
        <w:t>Wang, J. J., Zhang, H. P., Tang, S. C., &amp; Liang, Y. (2013). Effects of particle size distribution on shear strength of accumulation soil. Journal of Geotechnical and Geoenvironmental Engineering, 139(11), 1994-1997.</w:t>
      </w:r>
    </w:p>
    <w:p w14:paraId="76021F94" w14:textId="109C55C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Wolff, T. F. (1989). Pile capacity prediction using parameter functions. In </w:t>
      </w:r>
      <w:r w:rsidRPr="00A71974">
        <w:rPr>
          <w:rFonts w:ascii="Arial" w:hAnsi="Arial" w:cs="Arial"/>
          <w:i/>
          <w:iCs/>
          <w:sz w:val="20"/>
          <w:szCs w:val="20"/>
        </w:rPr>
        <w:t xml:space="preserve">Predicted and observed axial </w:t>
      </w:r>
      <w:proofErr w:type="spellStart"/>
      <w:r w:rsidRPr="00A71974">
        <w:rPr>
          <w:rFonts w:ascii="Arial" w:hAnsi="Arial" w:cs="Arial"/>
          <w:i/>
          <w:iCs/>
          <w:sz w:val="20"/>
          <w:szCs w:val="20"/>
        </w:rPr>
        <w:t>behavior</w:t>
      </w:r>
      <w:proofErr w:type="spellEnd"/>
      <w:r w:rsidRPr="00A71974">
        <w:rPr>
          <w:rFonts w:ascii="Arial" w:hAnsi="Arial" w:cs="Arial"/>
          <w:i/>
          <w:iCs/>
          <w:sz w:val="20"/>
          <w:szCs w:val="20"/>
        </w:rPr>
        <w:t xml:space="preserve"> of piles</w:t>
      </w:r>
      <w:r w:rsidRPr="00A71974">
        <w:rPr>
          <w:rFonts w:ascii="Arial" w:hAnsi="Arial" w:cs="Arial"/>
          <w:sz w:val="20"/>
          <w:szCs w:val="20"/>
        </w:rPr>
        <w:t xml:space="preserve"> (ASCE Geotechnical Special Publication No. 23, pp. 96-106). American Society of Civil Engineers.</w:t>
      </w:r>
    </w:p>
    <w:sectPr w:rsidR="00E779F5" w:rsidRPr="00A71974" w:rsidSect="00FA5036">
      <w:headerReference w:type="even" r:id="rId36"/>
      <w:headerReference w:type="default" r:id="rId37"/>
      <w:footerReference w:type="even" r:id="rId38"/>
      <w:footerReference w:type="default" r:id="rId39"/>
      <w:headerReference w:type="first" r:id="rId40"/>
      <w:footerReference w:type="first" r:id="rId41"/>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1C2F" w14:textId="77777777" w:rsidR="0000132F" w:rsidRDefault="0000132F" w:rsidP="00AC6250">
      <w:pPr>
        <w:spacing w:after="0" w:line="240" w:lineRule="auto"/>
      </w:pPr>
      <w:r>
        <w:separator/>
      </w:r>
    </w:p>
  </w:endnote>
  <w:endnote w:type="continuationSeparator" w:id="0">
    <w:p w14:paraId="16740488" w14:textId="77777777" w:rsidR="0000132F" w:rsidRDefault="0000132F" w:rsidP="00AC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FAB6" w14:textId="77777777" w:rsidR="00AC6250" w:rsidRDefault="00AC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7610" w14:textId="77777777" w:rsidR="00AC6250" w:rsidRDefault="00AC6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181A" w14:textId="77777777" w:rsidR="00AC6250" w:rsidRDefault="00AC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75EB0" w14:textId="77777777" w:rsidR="0000132F" w:rsidRDefault="0000132F" w:rsidP="00AC6250">
      <w:pPr>
        <w:spacing w:after="0" w:line="240" w:lineRule="auto"/>
      </w:pPr>
      <w:r>
        <w:separator/>
      </w:r>
    </w:p>
  </w:footnote>
  <w:footnote w:type="continuationSeparator" w:id="0">
    <w:p w14:paraId="52C2F531" w14:textId="77777777" w:rsidR="0000132F" w:rsidRDefault="0000132F" w:rsidP="00AC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1F4C3" w14:textId="7A8C99A7" w:rsidR="00AC6250" w:rsidRDefault="00BD7CFC">
    <w:pPr>
      <w:pStyle w:val="Header"/>
    </w:pPr>
    <w:r>
      <w:rPr>
        <w:noProof/>
      </w:rPr>
      <w:pict w14:anchorId="199EC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3059" w14:textId="20D1814E" w:rsidR="00AC6250" w:rsidRDefault="00BD7CFC">
    <w:pPr>
      <w:pStyle w:val="Header"/>
    </w:pPr>
    <w:r>
      <w:rPr>
        <w:noProof/>
      </w:rPr>
      <w:pict w14:anchorId="1F2D1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6CC7" w14:textId="1F8A52EF" w:rsidR="00AC6250" w:rsidRDefault="00BD7CFC">
    <w:pPr>
      <w:pStyle w:val="Header"/>
    </w:pPr>
    <w:r>
      <w:rPr>
        <w:noProof/>
      </w:rPr>
      <w:pict w14:anchorId="52444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737B2"/>
    <w:multiLevelType w:val="multilevel"/>
    <w:tmpl w:val="AF0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32AD6"/>
    <w:multiLevelType w:val="hybridMultilevel"/>
    <w:tmpl w:val="311435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F1B3817"/>
    <w:multiLevelType w:val="multilevel"/>
    <w:tmpl w:val="F2E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97180"/>
    <w:multiLevelType w:val="multilevel"/>
    <w:tmpl w:val="F4D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MzU3MTc1NDcDspV0lIJTi4sz8/NACgxrARmvh4QsAAAA"/>
  </w:docVars>
  <w:rsids>
    <w:rsidRoot w:val="009C0559"/>
    <w:rsid w:val="0000132F"/>
    <w:rsid w:val="0000486F"/>
    <w:rsid w:val="00011D0A"/>
    <w:rsid w:val="00011FFA"/>
    <w:rsid w:val="00036D45"/>
    <w:rsid w:val="00052BAE"/>
    <w:rsid w:val="000707E4"/>
    <w:rsid w:val="00083802"/>
    <w:rsid w:val="00085CD4"/>
    <w:rsid w:val="00097BE0"/>
    <w:rsid w:val="000A2DAA"/>
    <w:rsid w:val="000B45F1"/>
    <w:rsid w:val="000B79BC"/>
    <w:rsid w:val="000F50D5"/>
    <w:rsid w:val="00105A33"/>
    <w:rsid w:val="001101D5"/>
    <w:rsid w:val="0012122E"/>
    <w:rsid w:val="00121B6A"/>
    <w:rsid w:val="00124982"/>
    <w:rsid w:val="00132FD1"/>
    <w:rsid w:val="001442FD"/>
    <w:rsid w:val="001557E2"/>
    <w:rsid w:val="001641C1"/>
    <w:rsid w:val="00164DAE"/>
    <w:rsid w:val="001749AA"/>
    <w:rsid w:val="00183C54"/>
    <w:rsid w:val="001A26C3"/>
    <w:rsid w:val="001A5F14"/>
    <w:rsid w:val="001B0979"/>
    <w:rsid w:val="001B6327"/>
    <w:rsid w:val="001C69C3"/>
    <w:rsid w:val="001C6ED2"/>
    <w:rsid w:val="001D0C96"/>
    <w:rsid w:val="001D293D"/>
    <w:rsid w:val="001F127E"/>
    <w:rsid w:val="00205C1C"/>
    <w:rsid w:val="00213B93"/>
    <w:rsid w:val="00217907"/>
    <w:rsid w:val="00233E97"/>
    <w:rsid w:val="00235B76"/>
    <w:rsid w:val="0025059C"/>
    <w:rsid w:val="002743EA"/>
    <w:rsid w:val="00281F60"/>
    <w:rsid w:val="0029228D"/>
    <w:rsid w:val="002A1CAF"/>
    <w:rsid w:val="002A7643"/>
    <w:rsid w:val="002C0C0F"/>
    <w:rsid w:val="002C54C1"/>
    <w:rsid w:val="002E376C"/>
    <w:rsid w:val="002E4169"/>
    <w:rsid w:val="002E526C"/>
    <w:rsid w:val="002F33B8"/>
    <w:rsid w:val="00310D37"/>
    <w:rsid w:val="003230C5"/>
    <w:rsid w:val="003258A9"/>
    <w:rsid w:val="00326A8D"/>
    <w:rsid w:val="00331D9E"/>
    <w:rsid w:val="0034288D"/>
    <w:rsid w:val="003429ED"/>
    <w:rsid w:val="00363621"/>
    <w:rsid w:val="003656A0"/>
    <w:rsid w:val="003855FB"/>
    <w:rsid w:val="00394ED3"/>
    <w:rsid w:val="003B47C0"/>
    <w:rsid w:val="003C641F"/>
    <w:rsid w:val="003D309E"/>
    <w:rsid w:val="003F4BCD"/>
    <w:rsid w:val="003F763F"/>
    <w:rsid w:val="00416AA8"/>
    <w:rsid w:val="004303D2"/>
    <w:rsid w:val="004427D1"/>
    <w:rsid w:val="00443CB3"/>
    <w:rsid w:val="004606E6"/>
    <w:rsid w:val="004702FB"/>
    <w:rsid w:val="004731F9"/>
    <w:rsid w:val="0047494E"/>
    <w:rsid w:val="004760CE"/>
    <w:rsid w:val="004760EC"/>
    <w:rsid w:val="004900D7"/>
    <w:rsid w:val="004B6902"/>
    <w:rsid w:val="004C6486"/>
    <w:rsid w:val="004D78C7"/>
    <w:rsid w:val="00530610"/>
    <w:rsid w:val="00541CBF"/>
    <w:rsid w:val="00547857"/>
    <w:rsid w:val="00551D8A"/>
    <w:rsid w:val="00571B68"/>
    <w:rsid w:val="005763AC"/>
    <w:rsid w:val="00602045"/>
    <w:rsid w:val="00606A00"/>
    <w:rsid w:val="006075B6"/>
    <w:rsid w:val="006120FF"/>
    <w:rsid w:val="00612C71"/>
    <w:rsid w:val="006161EB"/>
    <w:rsid w:val="00621DD0"/>
    <w:rsid w:val="0063261E"/>
    <w:rsid w:val="006427C2"/>
    <w:rsid w:val="00642C06"/>
    <w:rsid w:val="00653453"/>
    <w:rsid w:val="00655ABE"/>
    <w:rsid w:val="006776DD"/>
    <w:rsid w:val="00680F88"/>
    <w:rsid w:val="00681248"/>
    <w:rsid w:val="006867B0"/>
    <w:rsid w:val="006A1EB7"/>
    <w:rsid w:val="006D7024"/>
    <w:rsid w:val="006D75FD"/>
    <w:rsid w:val="006E3C8B"/>
    <w:rsid w:val="006F333C"/>
    <w:rsid w:val="00700499"/>
    <w:rsid w:val="007108B1"/>
    <w:rsid w:val="00713D01"/>
    <w:rsid w:val="00720F97"/>
    <w:rsid w:val="00724338"/>
    <w:rsid w:val="0073210C"/>
    <w:rsid w:val="00736A3E"/>
    <w:rsid w:val="00742DF6"/>
    <w:rsid w:val="007503FB"/>
    <w:rsid w:val="0075074E"/>
    <w:rsid w:val="00751130"/>
    <w:rsid w:val="00762CEF"/>
    <w:rsid w:val="00766D48"/>
    <w:rsid w:val="007A4663"/>
    <w:rsid w:val="007B7617"/>
    <w:rsid w:val="007C2DFC"/>
    <w:rsid w:val="007C2E7E"/>
    <w:rsid w:val="007C4E7D"/>
    <w:rsid w:val="007D75E3"/>
    <w:rsid w:val="007E409B"/>
    <w:rsid w:val="007F44AF"/>
    <w:rsid w:val="00802BB8"/>
    <w:rsid w:val="00823127"/>
    <w:rsid w:val="0085188E"/>
    <w:rsid w:val="008574DE"/>
    <w:rsid w:val="008633B1"/>
    <w:rsid w:val="00865D70"/>
    <w:rsid w:val="00873A5F"/>
    <w:rsid w:val="00873A92"/>
    <w:rsid w:val="008A0DC4"/>
    <w:rsid w:val="008A332B"/>
    <w:rsid w:val="008A41AB"/>
    <w:rsid w:val="008C2552"/>
    <w:rsid w:val="008C2BC7"/>
    <w:rsid w:val="008C2E5F"/>
    <w:rsid w:val="008D0F22"/>
    <w:rsid w:val="008D5A86"/>
    <w:rsid w:val="008E008B"/>
    <w:rsid w:val="008E47B2"/>
    <w:rsid w:val="008F2414"/>
    <w:rsid w:val="00900368"/>
    <w:rsid w:val="009022C6"/>
    <w:rsid w:val="009042BE"/>
    <w:rsid w:val="00910D21"/>
    <w:rsid w:val="00911EED"/>
    <w:rsid w:val="00942548"/>
    <w:rsid w:val="00960529"/>
    <w:rsid w:val="00961692"/>
    <w:rsid w:val="009978A2"/>
    <w:rsid w:val="009A4C89"/>
    <w:rsid w:val="009C0559"/>
    <w:rsid w:val="009C3B26"/>
    <w:rsid w:val="009D7FFD"/>
    <w:rsid w:val="009E2260"/>
    <w:rsid w:val="009F3CBA"/>
    <w:rsid w:val="009F587D"/>
    <w:rsid w:val="009F63F6"/>
    <w:rsid w:val="00A1256C"/>
    <w:rsid w:val="00A15609"/>
    <w:rsid w:val="00A27B66"/>
    <w:rsid w:val="00A35BF9"/>
    <w:rsid w:val="00A43C46"/>
    <w:rsid w:val="00A53F29"/>
    <w:rsid w:val="00A64F4A"/>
    <w:rsid w:val="00A70D79"/>
    <w:rsid w:val="00A71974"/>
    <w:rsid w:val="00A7241F"/>
    <w:rsid w:val="00AC6250"/>
    <w:rsid w:val="00AE1719"/>
    <w:rsid w:val="00B2146B"/>
    <w:rsid w:val="00B21ADA"/>
    <w:rsid w:val="00B24D13"/>
    <w:rsid w:val="00B3312D"/>
    <w:rsid w:val="00B35BA0"/>
    <w:rsid w:val="00B4078A"/>
    <w:rsid w:val="00B54714"/>
    <w:rsid w:val="00B966BD"/>
    <w:rsid w:val="00BA01A1"/>
    <w:rsid w:val="00BA0893"/>
    <w:rsid w:val="00BA69A1"/>
    <w:rsid w:val="00BB7B90"/>
    <w:rsid w:val="00BC1D64"/>
    <w:rsid w:val="00BD7CFC"/>
    <w:rsid w:val="00BE0C8B"/>
    <w:rsid w:val="00BE2E2E"/>
    <w:rsid w:val="00C01C7B"/>
    <w:rsid w:val="00C1193B"/>
    <w:rsid w:val="00C20DFA"/>
    <w:rsid w:val="00C238CD"/>
    <w:rsid w:val="00C35C66"/>
    <w:rsid w:val="00C419AB"/>
    <w:rsid w:val="00C44BB5"/>
    <w:rsid w:val="00C45951"/>
    <w:rsid w:val="00C4754B"/>
    <w:rsid w:val="00C516F3"/>
    <w:rsid w:val="00C54EB3"/>
    <w:rsid w:val="00C6019C"/>
    <w:rsid w:val="00C702EF"/>
    <w:rsid w:val="00C77559"/>
    <w:rsid w:val="00C86541"/>
    <w:rsid w:val="00C94F0B"/>
    <w:rsid w:val="00CA6D3A"/>
    <w:rsid w:val="00CB0F41"/>
    <w:rsid w:val="00CB1550"/>
    <w:rsid w:val="00CB1750"/>
    <w:rsid w:val="00CB3338"/>
    <w:rsid w:val="00CD6F3B"/>
    <w:rsid w:val="00CE7F4E"/>
    <w:rsid w:val="00D22942"/>
    <w:rsid w:val="00D351F3"/>
    <w:rsid w:val="00D73A9D"/>
    <w:rsid w:val="00DA399A"/>
    <w:rsid w:val="00DB3F91"/>
    <w:rsid w:val="00DC07B5"/>
    <w:rsid w:val="00DE3D4B"/>
    <w:rsid w:val="00DF51DD"/>
    <w:rsid w:val="00DF65AC"/>
    <w:rsid w:val="00E32CBB"/>
    <w:rsid w:val="00E33608"/>
    <w:rsid w:val="00E3438F"/>
    <w:rsid w:val="00E40195"/>
    <w:rsid w:val="00E55149"/>
    <w:rsid w:val="00E779F5"/>
    <w:rsid w:val="00E836C6"/>
    <w:rsid w:val="00E86DBF"/>
    <w:rsid w:val="00E87D13"/>
    <w:rsid w:val="00EA482D"/>
    <w:rsid w:val="00EB63AC"/>
    <w:rsid w:val="00EC026E"/>
    <w:rsid w:val="00EC782C"/>
    <w:rsid w:val="00EF6527"/>
    <w:rsid w:val="00F01739"/>
    <w:rsid w:val="00F2637E"/>
    <w:rsid w:val="00F27F35"/>
    <w:rsid w:val="00F43BD3"/>
    <w:rsid w:val="00F614E0"/>
    <w:rsid w:val="00F63CE3"/>
    <w:rsid w:val="00F64092"/>
    <w:rsid w:val="00F67173"/>
    <w:rsid w:val="00F80431"/>
    <w:rsid w:val="00F807BB"/>
    <w:rsid w:val="00F82170"/>
    <w:rsid w:val="00F8257F"/>
    <w:rsid w:val="00F86DC2"/>
    <w:rsid w:val="00FA5036"/>
    <w:rsid w:val="00FA53D2"/>
    <w:rsid w:val="00FC11AE"/>
    <w:rsid w:val="00FC2580"/>
    <w:rsid w:val="00FD42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97C71"/>
  <w15:chartTrackingRefBased/>
  <w15:docId w15:val="{165F791E-FD6A-4189-A7C6-FA666CFE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5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05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055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055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C055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C0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05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05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055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055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0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559"/>
    <w:rPr>
      <w:rFonts w:eastAsiaTheme="majorEastAsia" w:cstheme="majorBidi"/>
      <w:color w:val="272727" w:themeColor="text1" w:themeTint="D8"/>
    </w:rPr>
  </w:style>
  <w:style w:type="paragraph" w:styleId="Title">
    <w:name w:val="Title"/>
    <w:basedOn w:val="Normal"/>
    <w:next w:val="Normal"/>
    <w:link w:val="TitleChar"/>
    <w:uiPriority w:val="10"/>
    <w:qFormat/>
    <w:rsid w:val="009C0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59"/>
    <w:pPr>
      <w:spacing w:before="160"/>
      <w:jc w:val="center"/>
    </w:pPr>
    <w:rPr>
      <w:i/>
      <w:iCs/>
      <w:color w:val="404040" w:themeColor="text1" w:themeTint="BF"/>
    </w:rPr>
  </w:style>
  <w:style w:type="character" w:customStyle="1" w:styleId="QuoteChar">
    <w:name w:val="Quote Char"/>
    <w:basedOn w:val="DefaultParagraphFont"/>
    <w:link w:val="Quote"/>
    <w:uiPriority w:val="29"/>
    <w:rsid w:val="009C0559"/>
    <w:rPr>
      <w:i/>
      <w:iCs/>
      <w:color w:val="404040" w:themeColor="text1" w:themeTint="BF"/>
    </w:rPr>
  </w:style>
  <w:style w:type="paragraph" w:styleId="ListParagraph">
    <w:name w:val="List Paragraph"/>
    <w:basedOn w:val="Normal"/>
    <w:uiPriority w:val="34"/>
    <w:qFormat/>
    <w:rsid w:val="009C0559"/>
    <w:pPr>
      <w:ind w:left="720"/>
      <w:contextualSpacing/>
    </w:pPr>
  </w:style>
  <w:style w:type="character" w:styleId="IntenseEmphasis">
    <w:name w:val="Intense Emphasis"/>
    <w:basedOn w:val="DefaultParagraphFont"/>
    <w:uiPriority w:val="21"/>
    <w:qFormat/>
    <w:rsid w:val="009C0559"/>
    <w:rPr>
      <w:i/>
      <w:iCs/>
      <w:color w:val="2E74B5" w:themeColor="accent1" w:themeShade="BF"/>
    </w:rPr>
  </w:style>
  <w:style w:type="paragraph" w:styleId="IntenseQuote">
    <w:name w:val="Intense Quote"/>
    <w:basedOn w:val="Normal"/>
    <w:next w:val="Normal"/>
    <w:link w:val="IntenseQuoteChar"/>
    <w:uiPriority w:val="30"/>
    <w:qFormat/>
    <w:rsid w:val="009C05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C0559"/>
    <w:rPr>
      <w:i/>
      <w:iCs/>
      <w:color w:val="2E74B5" w:themeColor="accent1" w:themeShade="BF"/>
    </w:rPr>
  </w:style>
  <w:style w:type="character" w:styleId="IntenseReference">
    <w:name w:val="Intense Reference"/>
    <w:basedOn w:val="DefaultParagraphFont"/>
    <w:uiPriority w:val="32"/>
    <w:qFormat/>
    <w:rsid w:val="009C0559"/>
    <w:rPr>
      <w:b/>
      <w:bCs/>
      <w:smallCaps/>
      <w:color w:val="2E74B5" w:themeColor="accent1" w:themeShade="BF"/>
      <w:spacing w:val="5"/>
    </w:rPr>
  </w:style>
  <w:style w:type="character" w:styleId="Hyperlink">
    <w:name w:val="Hyperlink"/>
    <w:basedOn w:val="DefaultParagraphFont"/>
    <w:uiPriority w:val="99"/>
    <w:unhideWhenUsed/>
    <w:rsid w:val="00E779F5"/>
    <w:rPr>
      <w:color w:val="0563C1" w:themeColor="hyperlink"/>
      <w:u w:val="single"/>
    </w:rPr>
  </w:style>
  <w:style w:type="character" w:customStyle="1" w:styleId="UnresolvedMention1">
    <w:name w:val="Unresolved Mention1"/>
    <w:basedOn w:val="DefaultParagraphFont"/>
    <w:uiPriority w:val="99"/>
    <w:semiHidden/>
    <w:unhideWhenUsed/>
    <w:rsid w:val="00E779F5"/>
    <w:rPr>
      <w:color w:val="605E5C"/>
      <w:shd w:val="clear" w:color="auto" w:fill="E1DFDD"/>
    </w:rPr>
  </w:style>
  <w:style w:type="character" w:styleId="PlaceholderText">
    <w:name w:val="Placeholder Text"/>
    <w:basedOn w:val="DefaultParagraphFont"/>
    <w:uiPriority w:val="99"/>
    <w:semiHidden/>
    <w:rsid w:val="006A1EB7"/>
    <w:rPr>
      <w:color w:val="666666"/>
    </w:rPr>
  </w:style>
  <w:style w:type="paragraph" w:customStyle="1" w:styleId="ReferHead">
    <w:name w:val="Refer Head"/>
    <w:basedOn w:val="Normal"/>
    <w:rsid w:val="00FA5036"/>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AC6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50"/>
  </w:style>
  <w:style w:type="paragraph" w:styleId="Footer">
    <w:name w:val="footer"/>
    <w:basedOn w:val="Normal"/>
    <w:link w:val="FooterChar"/>
    <w:uiPriority w:val="99"/>
    <w:unhideWhenUsed/>
    <w:rsid w:val="00AC6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50"/>
  </w:style>
  <w:style w:type="paragraph" w:styleId="NormalWeb">
    <w:name w:val="Normal (Web)"/>
    <w:basedOn w:val="Normal"/>
    <w:uiPriority w:val="99"/>
    <w:semiHidden/>
    <w:unhideWhenUsed/>
    <w:rsid w:val="007108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99930">
      <w:bodyDiv w:val="1"/>
      <w:marLeft w:val="0"/>
      <w:marRight w:val="0"/>
      <w:marTop w:val="0"/>
      <w:marBottom w:val="0"/>
      <w:divBdr>
        <w:top w:val="none" w:sz="0" w:space="0" w:color="auto"/>
        <w:left w:val="none" w:sz="0" w:space="0" w:color="auto"/>
        <w:bottom w:val="none" w:sz="0" w:space="0" w:color="auto"/>
        <w:right w:val="none" w:sz="0" w:space="0" w:color="auto"/>
      </w:divBdr>
      <w:divsChild>
        <w:div w:id="1258446995">
          <w:marLeft w:val="0"/>
          <w:marRight w:val="0"/>
          <w:marTop w:val="0"/>
          <w:marBottom w:val="0"/>
          <w:divBdr>
            <w:top w:val="none" w:sz="0" w:space="0" w:color="auto"/>
            <w:left w:val="none" w:sz="0" w:space="0" w:color="auto"/>
            <w:bottom w:val="none" w:sz="0" w:space="0" w:color="auto"/>
            <w:right w:val="none" w:sz="0" w:space="0" w:color="auto"/>
          </w:divBdr>
          <w:divsChild>
            <w:div w:id="20902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3241">
      <w:bodyDiv w:val="1"/>
      <w:marLeft w:val="0"/>
      <w:marRight w:val="0"/>
      <w:marTop w:val="0"/>
      <w:marBottom w:val="0"/>
      <w:divBdr>
        <w:top w:val="none" w:sz="0" w:space="0" w:color="auto"/>
        <w:left w:val="none" w:sz="0" w:space="0" w:color="auto"/>
        <w:bottom w:val="none" w:sz="0" w:space="0" w:color="auto"/>
        <w:right w:val="none" w:sz="0" w:space="0" w:color="auto"/>
      </w:divBdr>
      <w:divsChild>
        <w:div w:id="1921064006">
          <w:marLeft w:val="0"/>
          <w:marRight w:val="0"/>
          <w:marTop w:val="0"/>
          <w:marBottom w:val="0"/>
          <w:divBdr>
            <w:top w:val="none" w:sz="0" w:space="0" w:color="auto"/>
            <w:left w:val="none" w:sz="0" w:space="0" w:color="auto"/>
            <w:bottom w:val="none" w:sz="0" w:space="0" w:color="auto"/>
            <w:right w:val="none" w:sz="0" w:space="0" w:color="auto"/>
          </w:divBdr>
          <w:divsChild>
            <w:div w:id="13588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dyn.2021.107130" TargetMode="External"/><Relationship Id="rId18" Type="http://schemas.openxmlformats.org/officeDocument/2006/relationships/hyperlink" Target="https://doi.org/10.3208/sandf.36.4_1" TargetMode="External"/><Relationship Id="rId26" Type="http://schemas.openxmlformats.org/officeDocument/2006/relationships/hyperlink" Target="https://doi.org/10.1061/(ASCE)0733-9410(1986)112:3(373)" TargetMode="External"/><Relationship Id="rId39" Type="http://schemas.openxmlformats.org/officeDocument/2006/relationships/footer" Target="footer2.xml"/><Relationship Id="rId21" Type="http://schemas.openxmlformats.org/officeDocument/2006/relationships/hyperlink" Target="https://doi.org/10.21203/rs.3.rs-4602554/v1" TargetMode="External"/><Relationship Id="rId34" Type="http://schemas.openxmlformats.org/officeDocument/2006/relationships/hyperlink" Target="https://doi.org/10.1061/JSFEAQ.0001418"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9099/ijair.v5i2.192" TargetMode="External"/><Relationship Id="rId20" Type="http://schemas.openxmlformats.org/officeDocument/2006/relationships/hyperlink" Target="https://doi.org/10.1016/j.enggeo.2008.09.006" TargetMode="External"/><Relationship Id="rId29" Type="http://schemas.openxmlformats.org/officeDocument/2006/relationships/hyperlink" Target="https://doi.org/10.1061/JSFEAQ.000007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04-015-9294-y" TargetMode="External"/><Relationship Id="rId24" Type="http://schemas.openxmlformats.org/officeDocument/2006/relationships/hyperlink" Target="https://doi.org/10.1007/s40996-019-00319-2" TargetMode="External"/><Relationship Id="rId32" Type="http://schemas.openxmlformats.org/officeDocument/2006/relationships/hyperlink" Target="https://doi.org/10.1139/t83-07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jrmge.2017.08.001" TargetMode="External"/><Relationship Id="rId23" Type="http://schemas.openxmlformats.org/officeDocument/2006/relationships/hyperlink" Target="https://doi.org/10.3390/ma15186385" TargetMode="External"/><Relationship Id="rId28" Type="http://schemas.openxmlformats.org/officeDocument/2006/relationships/hyperlink" Target="https://doi.org/10.1061/AJGEB6.0001306" TargetMode="External"/><Relationship Id="rId36" Type="http://schemas.openxmlformats.org/officeDocument/2006/relationships/header" Target="header1.xml"/><Relationship Id="rId10" Type="http://schemas.openxmlformats.org/officeDocument/2006/relationships/hyperlink" Target="https://doi.org/10.1186/s40703-021-00170-3" TargetMode="External"/><Relationship Id="rId19" Type="http://schemas.openxmlformats.org/officeDocument/2006/relationships/hyperlink" Target="https://doi.org/10.1061/(ASCE)GT.1943-5606.0000016" TargetMode="External"/><Relationship Id="rId31" Type="http://schemas.openxmlformats.org/officeDocument/2006/relationships/hyperlink" Target="https://doi.org/10.1139/t99-038" TargetMode="External"/><Relationship Id="rId4" Type="http://schemas.openxmlformats.org/officeDocument/2006/relationships/webSettings" Target="webSettings.xml"/><Relationship Id="rId9" Type="http://schemas.openxmlformats.org/officeDocument/2006/relationships/hyperlink" Target="https://doi.org/10.1007/s10706-009-9285-4" TargetMode="External"/><Relationship Id="rId14" Type="http://schemas.openxmlformats.org/officeDocument/2006/relationships/hyperlink" Target="https://doi.org/10.1007/s00521-022-07856-4" TargetMode="External"/><Relationship Id="rId22" Type="http://schemas.openxmlformats.org/officeDocument/2006/relationships/hyperlink" Target="https://doi.org/10.1007/s10706-022-02143-4" TargetMode="External"/><Relationship Id="rId27" Type="http://schemas.openxmlformats.org/officeDocument/2006/relationships/hyperlink" Target="https://doi.org/10.1007/s10706-015-9897-1" TargetMode="External"/><Relationship Id="rId30" Type="http://schemas.openxmlformats.org/officeDocument/2006/relationships/hyperlink" Target="https://doi.org/10.1007/s12205-017-1899-5" TargetMode="External"/><Relationship Id="rId35" Type="http://schemas.openxmlformats.org/officeDocument/2006/relationships/hyperlink" Target="https://doi.org/10.1088/2631-8695/add858"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3208/sandf.39.5_61" TargetMode="External"/><Relationship Id="rId17" Type="http://schemas.openxmlformats.org/officeDocument/2006/relationships/hyperlink" Target="https://doi.org/10.1007/s11440-018-0745-3" TargetMode="External"/><Relationship Id="rId25" Type="http://schemas.openxmlformats.org/officeDocument/2006/relationships/hyperlink" Target="https://doi.org/10.1007/s41403-016-0012-6" TargetMode="External"/><Relationship Id="rId33" Type="http://schemas.openxmlformats.org/officeDocument/2006/relationships/hyperlink" Target="https://doi.org/10.1088/2631-8695/ac7f4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11</Pages>
  <Words>4685</Words>
  <Characters>29047</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Eyenike</dc:creator>
  <cp:keywords/>
  <dc:description/>
  <cp:lastModifiedBy>SDI PC New 16</cp:lastModifiedBy>
  <cp:revision>270</cp:revision>
  <dcterms:created xsi:type="dcterms:W3CDTF">2025-08-04T19:12:00Z</dcterms:created>
  <dcterms:modified xsi:type="dcterms:W3CDTF">2025-09-10T08:17:00Z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1feee121-4f21-4592-8eea-121b2e89af31</vt:lpwstr>
  </property>
</Properties>
</file>