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D0708" w14:textId="77777777" w:rsidR="00DD1896" w:rsidRDefault="00000000">
      <w:pPr>
        <w:spacing w:before="100" w:beforeAutospacing="1" w:after="100" w:afterAutospacing="1"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Review Article</w:t>
      </w:r>
    </w:p>
    <w:p w14:paraId="75B393EC" w14:textId="749D9391" w:rsidR="00DD1896" w:rsidRDefault="00000000">
      <w:pPr>
        <w:spacing w:before="100" w:beforeAutospacing="1" w:after="100" w:afterAutospacing="1"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AI-Powered Digital Twin Platforms for Next-Generation Structural Health Monitoring: From Concept to Intelligent Decision-Making</w:t>
      </w:r>
    </w:p>
    <w:p w14:paraId="053EC9A9" w14:textId="77777777" w:rsidR="00DD1896" w:rsidRDefault="00DD1896">
      <w:pPr>
        <w:spacing w:before="100" w:beforeAutospacing="1" w:after="100" w:afterAutospacing="1" w:line="240" w:lineRule="auto"/>
        <w:rPr>
          <w:rFonts w:ascii="Times New Roman" w:eastAsia="Times New Roman" w:hAnsi="Times New Roman" w:cs="Times New Roman"/>
          <w:b/>
          <w:bCs/>
          <w:sz w:val="24"/>
          <w:szCs w:val="24"/>
        </w:rPr>
      </w:pPr>
    </w:p>
    <w:p w14:paraId="54CB14DC" w14:textId="77777777" w:rsidR="00DD1896" w:rsidRDefault="00000000">
      <w:pPr>
        <w:pStyle w:val="Heading2"/>
        <w:rPr>
          <w:b w:val="0"/>
          <w:bCs w:val="0"/>
          <w:sz w:val="28"/>
          <w:szCs w:val="28"/>
        </w:rPr>
      </w:pPr>
      <w:r>
        <w:rPr>
          <w:rStyle w:val="Strong"/>
          <w:rFonts w:eastAsiaTheme="majorEastAsia"/>
          <w:b/>
          <w:bCs/>
          <w:sz w:val="28"/>
          <w:szCs w:val="28"/>
        </w:rPr>
        <w:t>Abstract</w:t>
      </w:r>
    </w:p>
    <w:p w14:paraId="0DEC2C2B" w14:textId="77777777" w:rsidR="00DD189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Combining the Artificial Intelligence (AI) together with Digital Twin (DT) technologies is redefining Structural Health Monitoring (SHM) to shift maintenance of the infrastructure to proactive across aspects. The design of a digital twin framework that incorporates a cadre of machine learning and neural-network-based tools into a predictive maintenance approach that can continuously sense, learn, and respond through closed-loop feedback. The framework is based on sensor networks using the IoT, sophisticated models of AI, and immersive visualizations and can provide real-time knowledge about the structural state. Field applications within civil infrastructure, aerospace and renewable energy have proven it to be effective at predicting remaining useful life and limit downtime, improve safety and minimize costs of operations. The results indicate the potential of AI-powered digital twins to establish self-sustaining SHM systems and lead to more resistant and intelligent infrastructure.</w:t>
      </w:r>
    </w:p>
    <w:p w14:paraId="386724D8" w14:textId="77777777" w:rsidR="00DD1896" w:rsidRDefault="00DD1896">
      <w:pPr>
        <w:pStyle w:val="NormalWeb"/>
        <w:rPr>
          <w:b/>
          <w:bCs/>
        </w:rPr>
      </w:pPr>
    </w:p>
    <w:p w14:paraId="67FD4749" w14:textId="77777777" w:rsidR="00DD1896" w:rsidRDefault="00DD1896">
      <w:pPr>
        <w:pStyle w:val="NormalWeb"/>
        <w:rPr>
          <w:b/>
          <w:bCs/>
        </w:rPr>
      </w:pPr>
    </w:p>
    <w:p w14:paraId="7AA4AD08" w14:textId="77777777" w:rsidR="00DD1896" w:rsidRDefault="00DD1896">
      <w:pPr>
        <w:pStyle w:val="NormalWeb"/>
        <w:rPr>
          <w:b/>
          <w:bCs/>
        </w:rPr>
      </w:pPr>
    </w:p>
    <w:p w14:paraId="1A8F133B" w14:textId="77777777" w:rsidR="00DD1896" w:rsidRDefault="00DD1896">
      <w:pPr>
        <w:pStyle w:val="NormalWeb"/>
        <w:rPr>
          <w:b/>
          <w:bCs/>
        </w:rPr>
      </w:pPr>
    </w:p>
    <w:p w14:paraId="7DE173B4" w14:textId="77777777" w:rsidR="00DD1896" w:rsidRDefault="00DD1896">
      <w:pPr>
        <w:pStyle w:val="NormalWeb"/>
        <w:rPr>
          <w:b/>
          <w:bCs/>
        </w:rPr>
      </w:pPr>
    </w:p>
    <w:p w14:paraId="4D20C636" w14:textId="77777777" w:rsidR="00DD1896" w:rsidRDefault="00DD1896">
      <w:pPr>
        <w:pStyle w:val="NormalWeb"/>
        <w:rPr>
          <w:b/>
          <w:bCs/>
        </w:rPr>
      </w:pPr>
    </w:p>
    <w:p w14:paraId="7D60EF56" w14:textId="77777777" w:rsidR="00DD1896" w:rsidRDefault="00DD1896">
      <w:pPr>
        <w:pStyle w:val="NormalWeb"/>
        <w:rPr>
          <w:b/>
          <w:bCs/>
        </w:rPr>
      </w:pPr>
    </w:p>
    <w:p w14:paraId="0ACAC1C3" w14:textId="77777777" w:rsidR="00DD1896" w:rsidRDefault="00DD1896">
      <w:pPr>
        <w:pStyle w:val="NormalWeb"/>
        <w:rPr>
          <w:b/>
          <w:bCs/>
        </w:rPr>
      </w:pPr>
    </w:p>
    <w:p w14:paraId="1F7811B6" w14:textId="77777777" w:rsidR="00DD1896" w:rsidRDefault="00DD1896">
      <w:pPr>
        <w:pStyle w:val="NormalWeb"/>
        <w:rPr>
          <w:b/>
          <w:bCs/>
        </w:rPr>
      </w:pPr>
    </w:p>
    <w:p w14:paraId="5C4C2B9D" w14:textId="77777777" w:rsidR="00DD1896" w:rsidRDefault="00DD1896">
      <w:pPr>
        <w:pStyle w:val="NormalWeb"/>
        <w:rPr>
          <w:b/>
          <w:bCs/>
        </w:rPr>
      </w:pPr>
    </w:p>
    <w:p w14:paraId="7131FE39" w14:textId="77777777" w:rsidR="00DD1896" w:rsidRDefault="00DD1896">
      <w:pPr>
        <w:pStyle w:val="NormalWeb"/>
        <w:rPr>
          <w:b/>
          <w:bCs/>
        </w:rPr>
      </w:pPr>
    </w:p>
    <w:p w14:paraId="25F2C8E5" w14:textId="77777777" w:rsidR="00DD1896" w:rsidRDefault="00000000">
      <w:pPr>
        <w:pStyle w:val="NormalWeb"/>
        <w:rPr>
          <w:b/>
          <w:bCs/>
        </w:rPr>
      </w:pPr>
      <w:r>
        <w:rPr>
          <w:b/>
          <w:bCs/>
        </w:rPr>
        <w:t>Keywords:</w:t>
      </w:r>
      <w:r>
        <w:t xml:space="preserve"> </w:t>
      </w:r>
      <w:r>
        <w:rPr>
          <w:rStyle w:val="Strong"/>
          <w:rFonts w:eastAsiaTheme="majorEastAsia"/>
          <w:b w:val="0"/>
          <w:bCs w:val="0"/>
        </w:rPr>
        <w:t>Artificial Intelligence</w:t>
      </w:r>
      <w:r>
        <w:rPr>
          <w:b/>
          <w:bCs/>
        </w:rPr>
        <w:t xml:space="preserve">, </w:t>
      </w:r>
      <w:r>
        <w:rPr>
          <w:rStyle w:val="Strong"/>
          <w:rFonts w:eastAsiaTheme="majorEastAsia"/>
          <w:b w:val="0"/>
          <w:bCs w:val="0"/>
        </w:rPr>
        <w:t>Digital Twin</w:t>
      </w:r>
      <w:r>
        <w:rPr>
          <w:b/>
          <w:bCs/>
        </w:rPr>
        <w:t xml:space="preserve">, </w:t>
      </w:r>
      <w:r>
        <w:rPr>
          <w:rStyle w:val="Strong"/>
          <w:rFonts w:eastAsiaTheme="majorEastAsia"/>
          <w:b w:val="0"/>
          <w:bCs w:val="0"/>
        </w:rPr>
        <w:t>Infrastructure Resilience,</w:t>
      </w:r>
      <w:r>
        <w:rPr>
          <w:b/>
          <w:bCs/>
        </w:rPr>
        <w:t xml:space="preserve"> </w:t>
      </w:r>
      <w:r>
        <w:rPr>
          <w:rStyle w:val="Strong"/>
          <w:rFonts w:eastAsiaTheme="majorEastAsia"/>
          <w:b w:val="0"/>
          <w:bCs w:val="0"/>
        </w:rPr>
        <w:t>Predictive Maintenance, Structural Health Monitoring</w:t>
      </w:r>
      <w:r>
        <w:rPr>
          <w:b/>
          <w:bCs/>
        </w:rPr>
        <w:t xml:space="preserve"> </w:t>
      </w:r>
    </w:p>
    <w:tbl>
      <w:tblPr>
        <w:tblW w:w="0" w:type="auto"/>
        <w:tblLook w:val="04A0" w:firstRow="1" w:lastRow="0" w:firstColumn="1" w:lastColumn="0" w:noHBand="0" w:noVBand="1"/>
      </w:tblPr>
      <w:tblGrid>
        <w:gridCol w:w="1030"/>
        <w:gridCol w:w="4995"/>
      </w:tblGrid>
      <w:tr w:rsidR="00DD1896" w14:paraId="391F5684" w14:textId="77777777">
        <w:tc>
          <w:tcPr>
            <w:tcW w:w="0" w:type="auto"/>
            <w:gridSpan w:val="2"/>
          </w:tcPr>
          <w:p w14:paraId="6E11BA27" w14:textId="77777777" w:rsidR="00DD189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Abbreviations</w:t>
            </w:r>
          </w:p>
        </w:tc>
      </w:tr>
      <w:tr w:rsidR="00DD1896" w14:paraId="11BF5582" w14:textId="77777777">
        <w:tc>
          <w:tcPr>
            <w:tcW w:w="0" w:type="auto"/>
          </w:tcPr>
          <w:p w14:paraId="0246D29C"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AI</w:t>
            </w:r>
          </w:p>
        </w:tc>
        <w:tc>
          <w:tcPr>
            <w:tcW w:w="0" w:type="auto"/>
          </w:tcPr>
          <w:p w14:paraId="720A572D"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w:t>
            </w:r>
          </w:p>
        </w:tc>
      </w:tr>
      <w:tr w:rsidR="00DD1896" w14:paraId="246F34FD" w14:textId="77777777">
        <w:tc>
          <w:tcPr>
            <w:tcW w:w="0" w:type="auto"/>
          </w:tcPr>
          <w:p w14:paraId="744025E1"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DT</w:t>
            </w:r>
          </w:p>
        </w:tc>
        <w:tc>
          <w:tcPr>
            <w:tcW w:w="0" w:type="auto"/>
          </w:tcPr>
          <w:p w14:paraId="5BFA17C8"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Twin</w:t>
            </w:r>
          </w:p>
        </w:tc>
      </w:tr>
      <w:tr w:rsidR="00DD1896" w14:paraId="2560AB5C" w14:textId="77777777">
        <w:tc>
          <w:tcPr>
            <w:tcW w:w="0" w:type="auto"/>
          </w:tcPr>
          <w:p w14:paraId="5950A5E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SHM</w:t>
            </w:r>
          </w:p>
        </w:tc>
        <w:tc>
          <w:tcPr>
            <w:tcW w:w="0" w:type="auto"/>
          </w:tcPr>
          <w:p w14:paraId="05F865A9"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Health Monitoring</w:t>
            </w:r>
          </w:p>
        </w:tc>
      </w:tr>
      <w:tr w:rsidR="00DD1896" w14:paraId="7ABBB917" w14:textId="77777777">
        <w:tc>
          <w:tcPr>
            <w:tcW w:w="0" w:type="auto"/>
          </w:tcPr>
          <w:p w14:paraId="089AAD49"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PIML</w:t>
            </w:r>
          </w:p>
        </w:tc>
        <w:tc>
          <w:tcPr>
            <w:tcW w:w="0" w:type="auto"/>
          </w:tcPr>
          <w:p w14:paraId="30F67A39"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Physics-Informed Machine Learning</w:t>
            </w:r>
          </w:p>
        </w:tc>
      </w:tr>
      <w:tr w:rsidR="00DD1896" w14:paraId="57FBD33A" w14:textId="77777777">
        <w:tc>
          <w:tcPr>
            <w:tcW w:w="0" w:type="auto"/>
          </w:tcPr>
          <w:p w14:paraId="0EB8A623"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GNN</w:t>
            </w:r>
          </w:p>
        </w:tc>
        <w:tc>
          <w:tcPr>
            <w:tcW w:w="0" w:type="auto"/>
          </w:tcPr>
          <w:p w14:paraId="5CCA4D14"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Graph Neural Network</w:t>
            </w:r>
          </w:p>
        </w:tc>
      </w:tr>
      <w:tr w:rsidR="00DD1896" w14:paraId="6BF7212B" w14:textId="77777777">
        <w:tc>
          <w:tcPr>
            <w:tcW w:w="0" w:type="auto"/>
          </w:tcPr>
          <w:p w14:paraId="72E3458A"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BDL</w:t>
            </w:r>
          </w:p>
        </w:tc>
        <w:tc>
          <w:tcPr>
            <w:tcW w:w="0" w:type="auto"/>
          </w:tcPr>
          <w:p w14:paraId="13EFA77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Bayesian Deep Learning</w:t>
            </w:r>
          </w:p>
        </w:tc>
      </w:tr>
      <w:tr w:rsidR="00DD1896" w14:paraId="40647EF1" w14:textId="77777777">
        <w:tc>
          <w:tcPr>
            <w:tcW w:w="0" w:type="auto"/>
          </w:tcPr>
          <w:p w14:paraId="02C05248"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RL</w:t>
            </w:r>
          </w:p>
        </w:tc>
        <w:tc>
          <w:tcPr>
            <w:tcW w:w="0" w:type="auto"/>
          </w:tcPr>
          <w:p w14:paraId="272137C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Reinforcement Learning</w:t>
            </w:r>
          </w:p>
        </w:tc>
      </w:tr>
      <w:tr w:rsidR="00DD1896" w14:paraId="2CD09A2A" w14:textId="77777777">
        <w:tc>
          <w:tcPr>
            <w:tcW w:w="0" w:type="auto"/>
          </w:tcPr>
          <w:p w14:paraId="6A66CB4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XAI</w:t>
            </w:r>
          </w:p>
        </w:tc>
        <w:tc>
          <w:tcPr>
            <w:tcW w:w="0" w:type="auto"/>
          </w:tcPr>
          <w:p w14:paraId="04903F14"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Explainable Artificial Intelligence</w:t>
            </w:r>
          </w:p>
        </w:tc>
      </w:tr>
      <w:tr w:rsidR="00DD1896" w14:paraId="416D1446" w14:textId="77777777">
        <w:tc>
          <w:tcPr>
            <w:tcW w:w="0" w:type="auto"/>
          </w:tcPr>
          <w:p w14:paraId="59B7041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RUL</w:t>
            </w:r>
          </w:p>
        </w:tc>
        <w:tc>
          <w:tcPr>
            <w:tcW w:w="0" w:type="auto"/>
          </w:tcPr>
          <w:p w14:paraId="5D23CC9A"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Remaining Useful Life</w:t>
            </w:r>
          </w:p>
        </w:tc>
      </w:tr>
      <w:tr w:rsidR="00DD1896" w14:paraId="175A50EB" w14:textId="77777777">
        <w:tc>
          <w:tcPr>
            <w:tcW w:w="0" w:type="auto"/>
          </w:tcPr>
          <w:p w14:paraId="10AFA397"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IoT</w:t>
            </w:r>
          </w:p>
        </w:tc>
        <w:tc>
          <w:tcPr>
            <w:tcW w:w="0" w:type="auto"/>
          </w:tcPr>
          <w:p w14:paraId="3D238962"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Things</w:t>
            </w:r>
          </w:p>
        </w:tc>
      </w:tr>
      <w:tr w:rsidR="00DD1896" w14:paraId="383262A6" w14:textId="77777777">
        <w:tc>
          <w:tcPr>
            <w:tcW w:w="0" w:type="auto"/>
          </w:tcPr>
          <w:p w14:paraId="7EDEF274"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FEA</w:t>
            </w:r>
          </w:p>
        </w:tc>
        <w:tc>
          <w:tcPr>
            <w:tcW w:w="0" w:type="auto"/>
          </w:tcPr>
          <w:p w14:paraId="4A0836FD"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Finite Element Analysis</w:t>
            </w:r>
          </w:p>
        </w:tc>
      </w:tr>
      <w:tr w:rsidR="00DD1896" w14:paraId="045AE6DD" w14:textId="77777777">
        <w:tc>
          <w:tcPr>
            <w:tcW w:w="0" w:type="auto"/>
          </w:tcPr>
          <w:p w14:paraId="7FFF52DE"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GPU</w:t>
            </w:r>
          </w:p>
        </w:tc>
        <w:tc>
          <w:tcPr>
            <w:tcW w:w="0" w:type="auto"/>
          </w:tcPr>
          <w:p w14:paraId="011B0351"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Graphics Processing Unit</w:t>
            </w:r>
          </w:p>
        </w:tc>
      </w:tr>
      <w:tr w:rsidR="00DD1896" w14:paraId="2AE8F432" w14:textId="77777777">
        <w:tc>
          <w:tcPr>
            <w:tcW w:w="0" w:type="auto"/>
          </w:tcPr>
          <w:p w14:paraId="2E5754C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TPU</w:t>
            </w:r>
          </w:p>
        </w:tc>
        <w:tc>
          <w:tcPr>
            <w:tcW w:w="0" w:type="auto"/>
          </w:tcPr>
          <w:p w14:paraId="675B0C04"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Tensor Processing Unit</w:t>
            </w:r>
          </w:p>
        </w:tc>
      </w:tr>
      <w:tr w:rsidR="00DD1896" w14:paraId="4EA9F6FB" w14:textId="77777777">
        <w:tc>
          <w:tcPr>
            <w:tcW w:w="0" w:type="auto"/>
          </w:tcPr>
          <w:p w14:paraId="45ECF23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IFC</w:t>
            </w:r>
          </w:p>
        </w:tc>
        <w:tc>
          <w:tcPr>
            <w:tcW w:w="0" w:type="auto"/>
          </w:tcPr>
          <w:p w14:paraId="2E13F4FA"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Industry Foundation Classes</w:t>
            </w:r>
          </w:p>
        </w:tc>
      </w:tr>
      <w:tr w:rsidR="00DD1896" w14:paraId="202BC130" w14:textId="77777777">
        <w:tc>
          <w:tcPr>
            <w:tcW w:w="0" w:type="auto"/>
          </w:tcPr>
          <w:p w14:paraId="6974E50E"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CNN</w:t>
            </w:r>
          </w:p>
        </w:tc>
        <w:tc>
          <w:tcPr>
            <w:tcW w:w="0" w:type="auto"/>
          </w:tcPr>
          <w:p w14:paraId="44843D2D"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Convolutional Neural Network</w:t>
            </w:r>
          </w:p>
        </w:tc>
      </w:tr>
      <w:tr w:rsidR="00DD1896" w14:paraId="2085818A" w14:textId="77777777">
        <w:tc>
          <w:tcPr>
            <w:tcW w:w="0" w:type="auto"/>
          </w:tcPr>
          <w:p w14:paraId="499F201C"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RNN</w:t>
            </w:r>
          </w:p>
        </w:tc>
        <w:tc>
          <w:tcPr>
            <w:tcW w:w="0" w:type="auto"/>
          </w:tcPr>
          <w:p w14:paraId="789FAB8F"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Recurrent Neural Network</w:t>
            </w:r>
          </w:p>
        </w:tc>
      </w:tr>
      <w:tr w:rsidR="00DD1896" w14:paraId="7AFFE5EE" w14:textId="77777777">
        <w:tc>
          <w:tcPr>
            <w:tcW w:w="0" w:type="auto"/>
          </w:tcPr>
          <w:p w14:paraId="3CC756E3"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LSTM</w:t>
            </w:r>
          </w:p>
        </w:tc>
        <w:tc>
          <w:tcPr>
            <w:tcW w:w="0" w:type="auto"/>
          </w:tcPr>
          <w:p w14:paraId="465D0E71"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Long Short-Term Memory</w:t>
            </w:r>
          </w:p>
        </w:tc>
      </w:tr>
      <w:tr w:rsidR="00DD1896" w14:paraId="3F40291D" w14:textId="77777777">
        <w:tc>
          <w:tcPr>
            <w:tcW w:w="0" w:type="auto"/>
          </w:tcPr>
          <w:p w14:paraId="4624D658"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SMOTE</w:t>
            </w:r>
          </w:p>
        </w:tc>
        <w:tc>
          <w:tcPr>
            <w:tcW w:w="0" w:type="auto"/>
          </w:tcPr>
          <w:p w14:paraId="0E3FC39D"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Synthetic Minority Oversampling Technique</w:t>
            </w:r>
          </w:p>
        </w:tc>
      </w:tr>
      <w:tr w:rsidR="00DD1896" w14:paraId="41FB9B08" w14:textId="77777777">
        <w:tc>
          <w:tcPr>
            <w:tcW w:w="0" w:type="auto"/>
          </w:tcPr>
          <w:p w14:paraId="1B761787"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MSE</w:t>
            </w:r>
          </w:p>
        </w:tc>
        <w:tc>
          <w:tcPr>
            <w:tcW w:w="0" w:type="auto"/>
          </w:tcPr>
          <w:p w14:paraId="1C714F4A"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 Error</w:t>
            </w:r>
          </w:p>
        </w:tc>
      </w:tr>
      <w:tr w:rsidR="00DD1896" w14:paraId="56E69EC4" w14:textId="77777777">
        <w:tc>
          <w:tcPr>
            <w:tcW w:w="0" w:type="auto"/>
          </w:tcPr>
          <w:p w14:paraId="6C7750E1"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SHAP</w:t>
            </w:r>
          </w:p>
        </w:tc>
        <w:tc>
          <w:tcPr>
            <w:tcW w:w="0" w:type="auto"/>
          </w:tcPr>
          <w:p w14:paraId="3866B2D0"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Shapley Additive </w:t>
            </w:r>
            <w:proofErr w:type="spellStart"/>
            <w:r>
              <w:rPr>
                <w:rFonts w:ascii="Times New Roman" w:eastAsia="Times New Roman" w:hAnsi="Times New Roman" w:cs="Times New Roman"/>
                <w:sz w:val="24"/>
                <w:szCs w:val="24"/>
              </w:rPr>
              <w:t>exPlanations</w:t>
            </w:r>
            <w:proofErr w:type="spellEnd"/>
          </w:p>
        </w:tc>
      </w:tr>
      <w:tr w:rsidR="00DD1896" w14:paraId="4B6E9399" w14:textId="77777777">
        <w:tc>
          <w:tcPr>
            <w:tcW w:w="0" w:type="auto"/>
          </w:tcPr>
          <w:p w14:paraId="6865B0CC"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LIME</w:t>
            </w:r>
          </w:p>
        </w:tc>
        <w:tc>
          <w:tcPr>
            <w:tcW w:w="0" w:type="auto"/>
          </w:tcPr>
          <w:p w14:paraId="203C7C05"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Local Interpretable Model-Agnostic Explanations</w:t>
            </w:r>
          </w:p>
        </w:tc>
      </w:tr>
    </w:tbl>
    <w:p w14:paraId="6C212EDE" w14:textId="77777777" w:rsidR="00DD1896" w:rsidRDefault="00DD1896">
      <w:pPr>
        <w:pStyle w:val="NormalWeb"/>
        <w:rPr>
          <w:b/>
          <w:bCs/>
        </w:rPr>
      </w:pPr>
    </w:p>
    <w:p w14:paraId="500FF621" w14:textId="77777777" w:rsidR="00DD1896" w:rsidRDefault="00DD1896">
      <w:pPr>
        <w:pStyle w:val="NormalWeb"/>
        <w:rPr>
          <w:b/>
          <w:bCs/>
        </w:rPr>
      </w:pPr>
    </w:p>
    <w:p w14:paraId="0F623705" w14:textId="77777777" w:rsidR="00DD1896" w:rsidRDefault="00DD1896">
      <w:pPr>
        <w:pStyle w:val="NormalWeb"/>
        <w:rPr>
          <w:b/>
          <w:bCs/>
        </w:rPr>
      </w:pPr>
    </w:p>
    <w:p w14:paraId="45E564ED" w14:textId="77777777" w:rsidR="00DD1896" w:rsidRDefault="00DD1896">
      <w:pPr>
        <w:pStyle w:val="NormalWeb"/>
        <w:rPr>
          <w:b/>
          <w:bCs/>
        </w:rPr>
      </w:pPr>
    </w:p>
    <w:p w14:paraId="0C5DB516" w14:textId="77777777" w:rsidR="00DD1896" w:rsidRDefault="00DD1896">
      <w:pPr>
        <w:pStyle w:val="NormalWeb"/>
        <w:rPr>
          <w:b/>
          <w:bCs/>
        </w:rPr>
      </w:pPr>
    </w:p>
    <w:p w14:paraId="01F8D06F" w14:textId="77777777" w:rsidR="00DD1896" w:rsidRDefault="00000000">
      <w:pPr>
        <w:spacing w:before="100" w:beforeAutospacing="1" w:after="100" w:afterAutospacing="1"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lastRenderedPageBreak/>
        <w:t>1. Introduction</w:t>
      </w:r>
    </w:p>
    <w:p w14:paraId="4160D1B8"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 growing complexity of infrastructure and maturity in the global infrastructure, coupled with fast urbanization and climate increases the need to build resilient monitoring frameworks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Failure in bridge, high-rise buildings, aircraft structures, and wind turbine can produce catastrophic effects, including loss of life, disruptions in economic activities and environmental damages. Conventional structural health monitoring methods i.e., in-situ inspection; threshold-based warning; FEA suffer the disadvantage of being reactive, time-consuming, and only somewhat predictive</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Such constraints usually lead to slow commenting of faults, the high cost of un-scheduled repairs and ineffective lifecycle management.</w:t>
      </w:r>
    </w:p>
    <w:p w14:paraId="3A5A5DCF"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There have been recent leapfrogs in DT technology and AI, providing a paradigm shift. Ts will provide a dynamic, digital representation of physical assets, where new forms of data can be added and updated repeatedly - including sensor readings, inspection reports and simulations. With support of AI, DTs are able to scan complex and heterogeneous data sets in real time and use the knowledge to perform anomaly detection, predictive analysis and autonomous decision making. This can combine to turn SHM into a proactive, predictive and self-optimizing system instead of a reactive one possibly</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[3]</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37CD9023"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Nonetheless, even though it seems to be largely promising, gaps in the current research are clear. Most current DT platforms are visual-oriented with little predictive capabilities, scale and quantification of uncertainty. Large-scale deployment is further hampered by practical concerns related to the quality of data, high cost of computation, data security concerns, and integration with legacy systems. Furthermore, a lack of common standards means that interoperability between civil, aerospace and energy is generally little more than a pipedream. These challenges illustrate the necessity of a DT approach that is both rigorous in methodology and feasible to implement that is much needed</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[4]</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641F628F"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This study is carried out due to the following three reasons:</w:t>
      </w:r>
    </w:p>
    <w:p w14:paraId="2314EB9B" w14:textId="77777777" w:rsidR="00DD1896"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Safety – mitigating the risk of structural failure through the ability to monitor and alert in real time and catch early anomalies.</w:t>
      </w:r>
    </w:p>
    <w:p w14:paraId="749F631C" w14:textId="77777777" w:rsidR="00DD1896"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Economic Efficiency i.e., Predictive Maintenance predictive maintenance strategies are less costly in the overall lifecycle perspective and may lead to up to a 20-percent reduction in downtime in industrial tests.</w:t>
      </w:r>
    </w:p>
    <w:p w14:paraId="21AA2628" w14:textId="77777777" w:rsidR="00DD1896"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Resilience and Sustainability - helping to prolong the useful life of key assets and contributing to worldwide sustainability in new infrastructure building.</w:t>
      </w:r>
    </w:p>
    <w:p w14:paraId="17867F1C"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In reaction to this, the current study presents a multi-layered AI-enhanced DT-based SHM framework. The framework combines PIML entered the , GNNs and BDL in a closed-loop where the system is interconnected with a real-time sensing loop, a visualization loop with immersive feedback, and a decision support loop</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[4]</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Combining the potentials of addressing academic gaps (uncertainty quantification, scaling, and hybrid modelling) and practical applications (cost, integration, standards), the approach can move SHM to the level of autonomous, adaptive and ready-to-industrial ecosystems.</w:t>
      </w:r>
    </w:p>
    <w:p w14:paraId="1DC71FF4" w14:textId="77777777" w:rsidR="00DD1896" w:rsidRDefault="00000000">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2. Background &amp; Literature Review</w:t>
      </w:r>
    </w:p>
    <w:p w14:paraId="7B2191C1"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SHM has followed a number of evolutional phases. The initial SHM methods depended on sensors e.g., displacement transducers, accelerometers and strain gauges in order to deliver continuous data. Although helpful, these approaches had a limitation in that their interpretation was tedious and fault detection was not timely because of their threshold-based alert systems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[6]</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A second generation of methods included model-based techniques like the FEA and statistical inference, which provide better diagnostic capability but need frequent recalibration and are not adaptable in the real time sense</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[7]</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51E18935"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 advent of AI has made SHM a predictive/proactive field. ML and DL approaches can also now be used to detect anomalies, identify fault types and model damage progression. Parallel with this development, DT technology has progressed to accommodate a dynamic, real time updated digital representation of physical assets that integrate diverse sensor signals, inspection information, and simulation. In combination, AI-prioritized DTs have the potential to transform SHM into self-adaptive ecosystems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[8]</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545985E7"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 xml:space="preserve">New research points toward the advantages of hybrid AI in important health and engineering applications. </w:t>
      </w:r>
      <w:proofErr w:type="spellStart"/>
      <w:r>
        <w:rPr>
          <w:rFonts w:ascii="Times New Roman" w:hAnsi="Times New Roman" w:cs="Times New Roman"/>
          <w:sz w:val="24"/>
          <w:szCs w:val="24"/>
        </w:rPr>
        <w:t>Dhanka</w:t>
      </w:r>
      <w:proofErr w:type="spellEnd"/>
      <w:r>
        <w:rPr>
          <w:rFonts w:ascii="Times New Roman" w:hAnsi="Times New Roman" w:cs="Times New Roman"/>
          <w:sz w:val="24"/>
          <w:szCs w:val="24"/>
        </w:rPr>
        <w:t xml:space="preserve"> and Maini (2025) developed a hybrid ML model using the particle swarm optimization algorithm to achieve excellent results of cardiac arrhythmia classification accuracy. In a similar way, Kumar et al. (2025) have postulated a hybrid model to predict heart diseases, by using both classical and quantum-inspired machine learning algorithms, to learn better. In structural engineering, </w:t>
      </w:r>
      <w:proofErr w:type="spellStart"/>
      <w:r>
        <w:rPr>
          <w:rFonts w:ascii="Times New Roman" w:hAnsi="Times New Roman" w:cs="Times New Roman"/>
          <w:sz w:val="24"/>
          <w:szCs w:val="24"/>
        </w:rPr>
        <w:t>Plevris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Papazafeiropoulos</w:t>
      </w:r>
      <w:proofErr w:type="spellEnd"/>
      <w:r>
        <w:rPr>
          <w:rFonts w:ascii="Times New Roman" w:hAnsi="Times New Roman" w:cs="Times New Roman"/>
          <w:sz w:val="24"/>
          <w:szCs w:val="24"/>
        </w:rPr>
        <w:t xml:space="preserve"> (2024) highlighted the application of AI and predictive maintenance; and Sun et al. (2025) provided a complete overview of DT implementation in SHM, with the issues of inadequate scalability and uncertainty quantification were identified</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[9]</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0972CBFC"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Although it contains some advancements, the literature is still showed to be limited. Primarily, the majority of the DT platforms are still visualization-based, and do not provide much in predictive intelligence. Second, little work targets the scalability problems of the city-scale SHM systems. Third, the quantification of uncertainty and interpretability, much needed in safety-critical infrastructures, is not taken into account. Lastly, there is no quantitative validation on various domains by comparative studies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[10]</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14082697"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 current study presents a multi-level AI-driven DT framework that combines PIML, GNNs, BDL and RL to fill those gaps. In contrast to its predecessors, this framework focuses not only on worry of scale and closed-loop feedback, but also on what to do in the event of uncertainty, thus taking both theoretical and practical deficiencies of SHM into account</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[11]</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17BD307F" w14:textId="77777777" w:rsidR="00DD1896" w:rsidRDefault="00000000">
      <w:pPr>
        <w:jc w:val="both"/>
        <w:rPr>
          <w:rFonts w:ascii="Times New Roman" w:hAnsi="Times New Roman" w:cs="Times New Roman"/>
          <w:sz w:val="24"/>
          <w:szCs w:val="24"/>
        </w:rPr>
      </w:pPr>
      <w:proofErr w:type="spellStart"/>
      <w:r>
        <w:rPr>
          <w:rFonts w:ascii="Times New Roman" w:hAnsi="Times New Roman" w:cs="Times New Roman"/>
          <w:sz w:val="24"/>
          <w:szCs w:val="24"/>
        </w:rPr>
        <w:t>Dhanka</w:t>
      </w:r>
      <w:proofErr w:type="spellEnd"/>
      <w:r>
        <w:rPr>
          <w:rFonts w:ascii="Times New Roman" w:hAnsi="Times New Roman" w:cs="Times New Roman"/>
          <w:sz w:val="24"/>
          <w:szCs w:val="24"/>
        </w:rPr>
        <w:t xml:space="preserve"> reports similar progress and described a detailed survey of hybrid ML models, which combine hyperparameter tuning and feature selection: </w:t>
      </w:r>
      <w:proofErr w:type="spellStart"/>
      <w:r>
        <w:rPr>
          <w:rFonts w:ascii="Times New Roman" w:hAnsi="Times New Roman" w:cs="Times New Roman"/>
          <w:sz w:val="24"/>
          <w:szCs w:val="24"/>
        </w:rPr>
        <w:t>Dhanka</w:t>
      </w:r>
      <w:proofErr w:type="spellEnd"/>
      <w:r>
        <w:rPr>
          <w:rFonts w:ascii="Times New Roman" w:hAnsi="Times New Roman" w:cs="Times New Roman"/>
          <w:sz w:val="24"/>
          <w:szCs w:val="24"/>
        </w:rPr>
        <w:t xml:space="preserve"> emphasize that they are quite robust in the case of biomedical disease classification</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[41]</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Similarly, Kumar proposed an ML framework based on a hybrid of feature-selection and genetic algorithm to diagnose thyroid disorders, and the framework demonstrated high diagnostic accuracy</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[42]</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 The works highlight the increased applicability of hybrid ML methods in fields, although their application to SHM is untested in terms of transferability</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[43]</w:t>
      </w:r>
      <w:r>
        <w:rPr>
          <w:rFonts w:ascii="Times New Roman" w:eastAsia="Times New Roman" w:hAnsi="Times New Roman" w:cs="Times New Roman"/>
          <w:b/>
          <w:bCs/>
          <w:sz w:val="24"/>
          <w:szCs w:val="24"/>
        </w:rPr>
        <w:fldChar w:fldCharType="end"/>
      </w:r>
      <w:r>
        <w:rPr>
          <w:rFonts w:ascii="Times New Roman" w:hAnsi="Times New Roman" w:cs="Times New Roman"/>
          <w:sz w:val="24"/>
          <w:szCs w:val="24"/>
        </w:rPr>
        <w:t>.</w:t>
      </w:r>
    </w:p>
    <w:p w14:paraId="4FFA301C" w14:textId="77777777" w:rsidR="00DD1896" w:rsidRDefault="00DD1896">
      <w:pPr>
        <w:jc w:val="both"/>
        <w:rPr>
          <w:rFonts w:ascii="Times New Roman" w:hAnsi="Times New Roman" w:cs="Times New Roman"/>
          <w:sz w:val="24"/>
          <w:szCs w:val="24"/>
          <w:highlight w:val="yellow"/>
        </w:rPr>
      </w:pPr>
    </w:p>
    <w:p w14:paraId="4C146FF2" w14:textId="77777777" w:rsidR="00DD1896" w:rsidRDefault="00000000">
      <w:pPr>
        <w:pStyle w:val="Caption"/>
        <w:keepNext/>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1</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Comparative summary of existing literature and research gaps</w:t>
      </w:r>
    </w:p>
    <w:tbl>
      <w:tblPr>
        <w:tblStyle w:val="TableGrid"/>
        <w:tblW w:w="0" w:type="auto"/>
        <w:tblLook w:val="04A0" w:firstRow="1" w:lastRow="0" w:firstColumn="1" w:lastColumn="0" w:noHBand="0" w:noVBand="1"/>
      </w:tblPr>
      <w:tblGrid>
        <w:gridCol w:w="2062"/>
        <w:gridCol w:w="1603"/>
        <w:gridCol w:w="1902"/>
        <w:gridCol w:w="1882"/>
        <w:gridCol w:w="1901"/>
      </w:tblGrid>
      <w:tr w:rsidR="00DD1896" w14:paraId="165E2591" w14:textId="77777777">
        <w:tc>
          <w:tcPr>
            <w:tcW w:w="0" w:type="auto"/>
          </w:tcPr>
          <w:p w14:paraId="47178595"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w:t>
            </w:r>
          </w:p>
        </w:tc>
        <w:tc>
          <w:tcPr>
            <w:tcW w:w="0" w:type="auto"/>
          </w:tcPr>
          <w:p w14:paraId="6C6C89D5"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Domain / Application</w:t>
            </w:r>
          </w:p>
        </w:tc>
        <w:tc>
          <w:tcPr>
            <w:tcW w:w="0" w:type="auto"/>
          </w:tcPr>
          <w:p w14:paraId="1AF08F04"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tc>
        <w:tc>
          <w:tcPr>
            <w:tcW w:w="0" w:type="auto"/>
          </w:tcPr>
          <w:p w14:paraId="19AB4FD1"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Contribution</w:t>
            </w:r>
          </w:p>
        </w:tc>
        <w:tc>
          <w:tcPr>
            <w:tcW w:w="0" w:type="auto"/>
          </w:tcPr>
          <w:p w14:paraId="5C21C3B7"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tc>
      </w:tr>
      <w:tr w:rsidR="00DD1896" w14:paraId="495B163E" w14:textId="77777777">
        <w:tc>
          <w:tcPr>
            <w:tcW w:w="0" w:type="auto"/>
          </w:tcPr>
          <w:p w14:paraId="34D3D63C" w14:textId="77777777" w:rsidR="00DD1896"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Dhanka</w:t>
            </w:r>
            <w:proofErr w:type="spellEnd"/>
            <w:r>
              <w:rPr>
                <w:rFonts w:ascii="Times New Roman" w:eastAsia="Times New Roman" w:hAnsi="Times New Roman" w:cs="Times New Roman"/>
                <w:sz w:val="24"/>
                <w:szCs w:val="24"/>
              </w:rPr>
              <w:t xml:space="preserve"> &amp; Maini (2025)</w:t>
            </w:r>
          </w:p>
        </w:tc>
        <w:tc>
          <w:tcPr>
            <w:tcW w:w="0" w:type="auto"/>
          </w:tcPr>
          <w:p w14:paraId="3DCE9C3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Cardiac arrhythmia classification</w:t>
            </w:r>
          </w:p>
        </w:tc>
        <w:tc>
          <w:tcPr>
            <w:tcW w:w="0" w:type="auto"/>
          </w:tcPr>
          <w:p w14:paraId="3A4C548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ML with PSO</w:t>
            </w:r>
          </w:p>
        </w:tc>
        <w:tc>
          <w:tcPr>
            <w:tcW w:w="0" w:type="auto"/>
          </w:tcPr>
          <w:p w14:paraId="1D52C73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diagnostic accuracy</w:t>
            </w:r>
          </w:p>
        </w:tc>
        <w:tc>
          <w:tcPr>
            <w:tcW w:w="0" w:type="auto"/>
          </w:tcPr>
          <w:p w14:paraId="0BB211A1"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biomedical, not extended to SHM</w:t>
            </w:r>
          </w:p>
        </w:tc>
      </w:tr>
      <w:tr w:rsidR="00DD1896" w14:paraId="25D6FC3C" w14:textId="77777777">
        <w:tc>
          <w:tcPr>
            <w:tcW w:w="0" w:type="auto"/>
          </w:tcPr>
          <w:p w14:paraId="467130AC" w14:textId="77777777" w:rsidR="00DD1896" w:rsidRDefault="00000000">
            <w:pPr>
              <w:spacing w:after="0" w:line="240" w:lineRule="auto"/>
              <w:rPr>
                <w:rFonts w:ascii="Times New Roman" w:eastAsia="Times New Roman" w:hAnsi="Times New Roman" w:cs="Times New Roman"/>
                <w:sz w:val="24"/>
                <w:szCs w:val="24"/>
              </w:rPr>
            </w:pPr>
            <w:proofErr w:type="spellStart"/>
            <w:r>
              <w:t>Dhanka</w:t>
            </w:r>
            <w:proofErr w:type="spellEnd"/>
            <w:r>
              <w:t xml:space="preserve"> et al. (2025)</w:t>
            </w:r>
          </w:p>
        </w:tc>
        <w:tc>
          <w:tcPr>
            <w:tcW w:w="0" w:type="auto"/>
          </w:tcPr>
          <w:p w14:paraId="7F6522C1"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Biomedical disease classification</w:t>
            </w:r>
          </w:p>
        </w:tc>
        <w:tc>
          <w:tcPr>
            <w:tcW w:w="0" w:type="auto"/>
          </w:tcPr>
          <w:p w14:paraId="65F3320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ML with hyperparameter tuning + feature selection</w:t>
            </w:r>
          </w:p>
        </w:tc>
        <w:tc>
          <w:tcPr>
            <w:tcW w:w="0" w:type="auto"/>
          </w:tcPr>
          <w:p w14:paraId="3DD2662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hybrid survey</w:t>
            </w:r>
          </w:p>
        </w:tc>
        <w:tc>
          <w:tcPr>
            <w:tcW w:w="0" w:type="auto"/>
          </w:tcPr>
          <w:p w14:paraId="4BA5771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validation in structural engineering</w:t>
            </w:r>
          </w:p>
        </w:tc>
      </w:tr>
      <w:tr w:rsidR="00DD1896" w14:paraId="3D354D64" w14:textId="77777777">
        <w:tc>
          <w:tcPr>
            <w:tcW w:w="0" w:type="auto"/>
          </w:tcPr>
          <w:p w14:paraId="439750D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Kumar et al. (2025)</w:t>
            </w:r>
          </w:p>
        </w:tc>
        <w:tc>
          <w:tcPr>
            <w:tcW w:w="0" w:type="auto"/>
          </w:tcPr>
          <w:p w14:paraId="1F04B65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Thyroid disorder diagnosis</w:t>
            </w:r>
          </w:p>
        </w:tc>
        <w:tc>
          <w:tcPr>
            <w:tcW w:w="0" w:type="auto"/>
          </w:tcPr>
          <w:p w14:paraId="12D44C4D"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 + feature selection + ML</w:t>
            </w:r>
          </w:p>
        </w:tc>
        <w:tc>
          <w:tcPr>
            <w:tcW w:w="0" w:type="auto"/>
          </w:tcPr>
          <w:p w14:paraId="757FE2E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High-accuracy medical framework</w:t>
            </w:r>
          </w:p>
        </w:tc>
        <w:tc>
          <w:tcPr>
            <w:tcW w:w="0" w:type="auto"/>
          </w:tcPr>
          <w:p w14:paraId="4630122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Domain-specific, lacks generalizable SHM use</w:t>
            </w:r>
          </w:p>
        </w:tc>
      </w:tr>
      <w:tr w:rsidR="00DD1896" w14:paraId="369FA847" w14:textId="77777777">
        <w:tc>
          <w:tcPr>
            <w:tcW w:w="0" w:type="auto"/>
          </w:tcPr>
          <w:p w14:paraId="40E6CC6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Kumar et al. (2025)</w:t>
            </w:r>
          </w:p>
        </w:tc>
        <w:tc>
          <w:tcPr>
            <w:tcW w:w="0" w:type="auto"/>
          </w:tcPr>
          <w:p w14:paraId="713C1B1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Heart disease prediction</w:t>
            </w:r>
          </w:p>
        </w:tc>
        <w:tc>
          <w:tcPr>
            <w:tcW w:w="0" w:type="auto"/>
          </w:tcPr>
          <w:p w14:paraId="29E7A6A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Classical + quantum-inspired ML</w:t>
            </w:r>
          </w:p>
        </w:tc>
        <w:tc>
          <w:tcPr>
            <w:tcW w:w="0" w:type="auto"/>
          </w:tcPr>
          <w:p w14:paraId="36F247F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ML with improved accuracy</w:t>
            </w:r>
          </w:p>
        </w:tc>
        <w:tc>
          <w:tcPr>
            <w:tcW w:w="0" w:type="auto"/>
          </w:tcPr>
          <w:p w14:paraId="07BE9D2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scalable for SHM applications</w:t>
            </w:r>
          </w:p>
        </w:tc>
      </w:tr>
      <w:tr w:rsidR="00DD1896" w14:paraId="572444D3" w14:textId="77777777">
        <w:tc>
          <w:tcPr>
            <w:tcW w:w="0" w:type="auto"/>
          </w:tcPr>
          <w:p w14:paraId="26076DB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 et al. (2025)</w:t>
            </w:r>
          </w:p>
        </w:tc>
        <w:tc>
          <w:tcPr>
            <w:tcW w:w="0" w:type="auto"/>
          </w:tcPr>
          <w:p w14:paraId="060972C8"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Civil infrastructure SHM</w:t>
            </w:r>
          </w:p>
        </w:tc>
        <w:tc>
          <w:tcPr>
            <w:tcW w:w="0" w:type="auto"/>
          </w:tcPr>
          <w:p w14:paraId="33851FF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 review</w:t>
            </w:r>
          </w:p>
        </w:tc>
        <w:tc>
          <w:tcPr>
            <w:tcW w:w="0" w:type="auto"/>
          </w:tcPr>
          <w:p w14:paraId="1527771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overview of DT in SHM</w:t>
            </w:r>
          </w:p>
        </w:tc>
        <w:tc>
          <w:tcPr>
            <w:tcW w:w="0" w:type="auto"/>
          </w:tcPr>
          <w:p w14:paraId="2610373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Gaps in scalability &amp; uncertainty quantification</w:t>
            </w:r>
          </w:p>
        </w:tc>
      </w:tr>
      <w:tr w:rsidR="00DD1896" w14:paraId="53ADF58E" w14:textId="77777777">
        <w:tc>
          <w:tcPr>
            <w:tcW w:w="0" w:type="auto"/>
          </w:tcPr>
          <w:p w14:paraId="257143CC" w14:textId="77777777" w:rsidR="00DD1896" w:rsidRDefault="00000000">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Plevris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Papazafeiropoulos</w:t>
            </w:r>
            <w:proofErr w:type="spellEnd"/>
            <w:r>
              <w:rPr>
                <w:rFonts w:ascii="Times New Roman" w:eastAsia="Times New Roman" w:hAnsi="Times New Roman" w:cs="Times New Roman"/>
                <w:sz w:val="24"/>
                <w:szCs w:val="24"/>
              </w:rPr>
              <w:t xml:space="preserve"> (2024)</w:t>
            </w:r>
          </w:p>
        </w:tc>
        <w:tc>
          <w:tcPr>
            <w:tcW w:w="0" w:type="auto"/>
          </w:tcPr>
          <w:p w14:paraId="0542A73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maintenance</w:t>
            </w:r>
          </w:p>
        </w:tc>
        <w:tc>
          <w:tcPr>
            <w:tcW w:w="0" w:type="auto"/>
          </w:tcPr>
          <w:p w14:paraId="691625C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for predictive SHM</w:t>
            </w:r>
          </w:p>
        </w:tc>
        <w:tc>
          <w:tcPr>
            <w:tcW w:w="0" w:type="auto"/>
          </w:tcPr>
          <w:p w14:paraId="11B4F92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Applied predictive AI in structural engineering</w:t>
            </w:r>
          </w:p>
        </w:tc>
        <w:tc>
          <w:tcPr>
            <w:tcW w:w="0" w:type="auto"/>
          </w:tcPr>
          <w:p w14:paraId="66C5F75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Lacks hybrid ML + DT integration</w:t>
            </w:r>
          </w:p>
        </w:tc>
      </w:tr>
      <w:tr w:rsidR="00DD1896" w14:paraId="0DB01904" w14:textId="77777777">
        <w:tc>
          <w:tcPr>
            <w:tcW w:w="0" w:type="auto"/>
          </w:tcPr>
          <w:p w14:paraId="53B2309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study</w:t>
            </w:r>
          </w:p>
        </w:tc>
        <w:tc>
          <w:tcPr>
            <w:tcW w:w="0" w:type="auto"/>
          </w:tcPr>
          <w:p w14:paraId="75FEC8D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SHM (civil, aerospace, energy)</w:t>
            </w:r>
          </w:p>
        </w:tc>
        <w:tc>
          <w:tcPr>
            <w:tcW w:w="0" w:type="auto"/>
          </w:tcPr>
          <w:p w14:paraId="4A6B3AC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AI-powered DT with PIML + GNN + BDL</w:t>
            </w:r>
          </w:p>
        </w:tc>
        <w:tc>
          <w:tcPr>
            <w:tcW w:w="0" w:type="auto"/>
          </w:tcPr>
          <w:p w14:paraId="0EBB463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DT framework with uncertainty quantification</w:t>
            </w:r>
          </w:p>
        </w:tc>
        <w:tc>
          <w:tcPr>
            <w:tcW w:w="0" w:type="auto"/>
          </w:tcPr>
          <w:p w14:paraId="4181052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Addresses scalability, interpretability, and real-time integration</w:t>
            </w:r>
          </w:p>
        </w:tc>
      </w:tr>
    </w:tbl>
    <w:p w14:paraId="37BC727D" w14:textId="77777777" w:rsidR="00DD1896" w:rsidRDefault="00DD1896">
      <w:pPr>
        <w:jc w:val="both"/>
        <w:rPr>
          <w:rFonts w:ascii="Times New Roman" w:hAnsi="Times New Roman" w:cs="Times New Roman"/>
          <w:sz w:val="24"/>
          <w:szCs w:val="24"/>
        </w:rPr>
      </w:pPr>
    </w:p>
    <w:p w14:paraId="5380FC8D" w14:textId="77777777" w:rsidR="00DD1896" w:rsidRDefault="00000000">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Conceptual Framework for AI-Powered DT in SHM</w:t>
      </w:r>
    </w:p>
    <w:p w14:paraId="16659095" w14:textId="77777777" w:rsidR="00DD1896" w:rsidRDefault="00000000">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System Architecture Overview</w:t>
      </w:r>
    </w:p>
    <w:p w14:paraId="5168520F"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suggested AI-powered DT system of SHM belongs to five integrated levels that allow the smooth interaction between physical systems and cyber intelligence. In contrast to existing frameworks, which are mostly concerned with monitoring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[12]</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 the approach is directed at communications going in both directions and independent choices.</w:t>
      </w:r>
    </w:p>
    <w:p w14:paraId="2A20F08D"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architecture of the framework is bottom-up wherein the physical or structural behavior of the asset is captured at the layer of Physical Asset, the continuous monitoring through IoT based </w:t>
      </w:r>
      <w:r>
        <w:rPr>
          <w:rFonts w:ascii="Times New Roman" w:eastAsia="Times New Roman" w:hAnsi="Times New Roman" w:cs="Times New Roman"/>
          <w:sz w:val="24"/>
          <w:szCs w:val="24"/>
        </w:rPr>
        <w:lastRenderedPageBreak/>
        <w:t xml:space="preserve">sensors is provided in the Data Acquisition layer, data is processed through advanced machine learning techniques at the AI Analytics layer, the maintenance recommendations are given in the form of immersive real-time representations at the level of DT Visualization layer, and Decision Support suggests actionable recommendations. This top-to-bottom structure guarantees methodical data flow as well as closed-loop feedback control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[13]</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4CB928AA" w14:textId="77777777" w:rsidR="00DD1896" w:rsidRDefault="00000000">
      <w:pPr>
        <w:keepNext/>
        <w:spacing w:after="20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SEQ Table \* ARABIC </w:instrText>
      </w:r>
      <w:r>
        <w:rPr>
          <w:rFonts w:ascii="Times New Roman" w:hAnsi="Times New Roman" w:cs="Times New Roman"/>
          <w:b/>
          <w:bCs/>
          <w:color w:val="000000" w:themeColor="text1"/>
          <w:sz w:val="24"/>
          <w:szCs w:val="24"/>
        </w:rPr>
        <w:fldChar w:fldCharType="separate"/>
      </w:r>
      <w:r>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fldChar w:fldCharType="end"/>
      </w:r>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Framework Layer Functions and Outputs</w:t>
      </w:r>
    </w:p>
    <w:tbl>
      <w:tblPr>
        <w:tblStyle w:val="TableGrid"/>
        <w:tblW w:w="0" w:type="auto"/>
        <w:tblLook w:val="04A0" w:firstRow="1" w:lastRow="0" w:firstColumn="1" w:lastColumn="0" w:noHBand="0" w:noVBand="1"/>
      </w:tblPr>
      <w:tblGrid>
        <w:gridCol w:w="2337"/>
        <w:gridCol w:w="2337"/>
        <w:gridCol w:w="2338"/>
        <w:gridCol w:w="2338"/>
      </w:tblGrid>
      <w:tr w:rsidR="00DD1896" w14:paraId="16C97F93" w14:textId="77777777">
        <w:tc>
          <w:tcPr>
            <w:tcW w:w="2337" w:type="dxa"/>
          </w:tcPr>
          <w:p w14:paraId="7659DA9F"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Layer </w:t>
            </w:r>
          </w:p>
        </w:tc>
        <w:tc>
          <w:tcPr>
            <w:tcW w:w="2337" w:type="dxa"/>
          </w:tcPr>
          <w:p w14:paraId="7024EFEF"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Primary Functions </w:t>
            </w:r>
          </w:p>
        </w:tc>
        <w:tc>
          <w:tcPr>
            <w:tcW w:w="2338" w:type="dxa"/>
          </w:tcPr>
          <w:p w14:paraId="54158C80"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Key Outputs</w:t>
            </w:r>
          </w:p>
        </w:tc>
        <w:tc>
          <w:tcPr>
            <w:tcW w:w="2338" w:type="dxa"/>
          </w:tcPr>
          <w:p w14:paraId="59BBDAE6"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Processing Requirements</w:t>
            </w:r>
          </w:p>
        </w:tc>
      </w:tr>
      <w:tr w:rsidR="00DD1896" w14:paraId="79AF7147" w14:textId="77777777">
        <w:tc>
          <w:tcPr>
            <w:tcW w:w="2337" w:type="dxa"/>
          </w:tcPr>
          <w:p w14:paraId="4B2FF1F5"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Physical Asset</w:t>
            </w:r>
          </w:p>
        </w:tc>
        <w:tc>
          <w:tcPr>
            <w:tcW w:w="2337" w:type="dxa"/>
          </w:tcPr>
          <w:p w14:paraId="09622FC1"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Structural response capture, Environmental interaction</w:t>
            </w:r>
          </w:p>
        </w:tc>
        <w:tc>
          <w:tcPr>
            <w:tcW w:w="2338" w:type="dxa"/>
          </w:tcPr>
          <w:p w14:paraId="16CEBA3C"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Real-time behavioral data, Load/stress patterns</w:t>
            </w:r>
          </w:p>
        </w:tc>
        <w:tc>
          <w:tcPr>
            <w:tcW w:w="2338" w:type="dxa"/>
          </w:tcPr>
          <w:p w14:paraId="13CB4F57"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Minimal (sensing only)</w:t>
            </w:r>
          </w:p>
        </w:tc>
      </w:tr>
      <w:tr w:rsidR="00DD1896" w14:paraId="4E7CBB81" w14:textId="77777777">
        <w:tc>
          <w:tcPr>
            <w:tcW w:w="2337" w:type="dxa"/>
          </w:tcPr>
          <w:p w14:paraId="5A99A53B"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Data Acquisition</w:t>
            </w:r>
          </w:p>
        </w:tc>
        <w:tc>
          <w:tcPr>
            <w:tcW w:w="2337" w:type="dxa"/>
          </w:tcPr>
          <w:p w14:paraId="5364ACC3"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Multi-sensor data collection, Edge preprocessing, Communication protocols</w:t>
            </w:r>
          </w:p>
        </w:tc>
        <w:tc>
          <w:tcPr>
            <w:tcW w:w="2338" w:type="dxa"/>
          </w:tcPr>
          <w:p w14:paraId="584496FF"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Filtered sensor streams, Event-triggered alerts</w:t>
            </w:r>
          </w:p>
        </w:tc>
        <w:tc>
          <w:tcPr>
            <w:tcW w:w="2338" w:type="dxa"/>
          </w:tcPr>
          <w:p w14:paraId="5A618C87"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Low-moderate (edge computing)</w:t>
            </w:r>
          </w:p>
          <w:p w14:paraId="6B58F35A" w14:textId="77777777" w:rsidR="00DD1896" w:rsidRDefault="00000000">
            <w:pPr>
              <w:tabs>
                <w:tab w:val="left" w:pos="47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r>
      <w:tr w:rsidR="00DD1896" w14:paraId="0CF4AAA8" w14:textId="77777777">
        <w:tc>
          <w:tcPr>
            <w:tcW w:w="2337" w:type="dxa"/>
          </w:tcPr>
          <w:p w14:paraId="22322ECA"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AI Analytics</w:t>
            </w:r>
          </w:p>
        </w:tc>
        <w:tc>
          <w:tcPr>
            <w:tcW w:w="2337" w:type="dxa"/>
          </w:tcPr>
          <w:p w14:paraId="7A39B693"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Pattern recognition, Anomaly detection, Predictive modeling</w:t>
            </w:r>
          </w:p>
        </w:tc>
        <w:tc>
          <w:tcPr>
            <w:tcW w:w="2338" w:type="dxa"/>
          </w:tcPr>
          <w:p w14:paraId="131E1247"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Damage classifications, RUL predictions, Risk assessments</w:t>
            </w:r>
          </w:p>
        </w:tc>
        <w:tc>
          <w:tcPr>
            <w:tcW w:w="2338" w:type="dxa"/>
          </w:tcPr>
          <w:p w14:paraId="03AFDE6D"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High (GPU/TPU required)</w:t>
            </w:r>
          </w:p>
        </w:tc>
      </w:tr>
      <w:tr w:rsidR="00DD1896" w14:paraId="2ECC921E" w14:textId="77777777">
        <w:tc>
          <w:tcPr>
            <w:tcW w:w="2337" w:type="dxa"/>
          </w:tcPr>
          <w:p w14:paraId="2143A535"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DT Visualization</w:t>
            </w:r>
          </w:p>
        </w:tc>
        <w:tc>
          <w:tcPr>
            <w:tcW w:w="2337" w:type="dxa"/>
          </w:tcPr>
          <w:p w14:paraId="3B25A23E"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3D modeling, Real-time rendering, Interactive interfaces</w:t>
            </w:r>
          </w:p>
        </w:tc>
        <w:tc>
          <w:tcPr>
            <w:tcW w:w="2338" w:type="dxa"/>
          </w:tcPr>
          <w:p w14:paraId="2DCE0302"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Immersive asset representations, Scenario simulations</w:t>
            </w:r>
          </w:p>
        </w:tc>
        <w:tc>
          <w:tcPr>
            <w:tcW w:w="2338" w:type="dxa"/>
          </w:tcPr>
          <w:p w14:paraId="53563F70"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Moderate-high (graphics processing)</w:t>
            </w:r>
          </w:p>
        </w:tc>
      </w:tr>
      <w:tr w:rsidR="00DD1896" w14:paraId="5CE70928" w14:textId="77777777">
        <w:tc>
          <w:tcPr>
            <w:tcW w:w="2337" w:type="dxa"/>
          </w:tcPr>
          <w:p w14:paraId="790E47FC"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Decision Support</w:t>
            </w:r>
          </w:p>
        </w:tc>
        <w:tc>
          <w:tcPr>
            <w:tcW w:w="2337" w:type="dxa"/>
          </w:tcPr>
          <w:p w14:paraId="33EC8C81"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Optimization algorithms, Risk evaluation, Maintenance scheduling</w:t>
            </w:r>
          </w:p>
        </w:tc>
        <w:tc>
          <w:tcPr>
            <w:tcW w:w="2338" w:type="dxa"/>
          </w:tcPr>
          <w:p w14:paraId="14D6F161"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Intervention recommendations, Resource allocation plans</w:t>
            </w:r>
          </w:p>
        </w:tc>
        <w:tc>
          <w:tcPr>
            <w:tcW w:w="2338" w:type="dxa"/>
          </w:tcPr>
          <w:p w14:paraId="14F6D8C7" w14:textId="77777777" w:rsidR="00DD1896"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Moderate (optimization algorithms)</w:t>
            </w:r>
          </w:p>
        </w:tc>
      </w:tr>
    </w:tbl>
    <w:p w14:paraId="26572C95" w14:textId="77777777" w:rsidR="00DD1896" w:rsidRDefault="00DD1896">
      <w:pPr>
        <w:spacing w:after="0" w:line="240" w:lineRule="auto"/>
        <w:rPr>
          <w:rFonts w:ascii="Times New Roman" w:eastAsia="Times New Roman" w:hAnsi="Times New Roman" w:cs="Times New Roman"/>
          <w:sz w:val="24"/>
          <w:szCs w:val="24"/>
        </w:rPr>
      </w:pPr>
    </w:p>
    <w:p w14:paraId="79561CED" w14:textId="77777777" w:rsidR="00DD1896" w:rsidRDefault="00DD1896">
      <w:pPr>
        <w:spacing w:after="0" w:line="240" w:lineRule="auto"/>
        <w:rPr>
          <w:rFonts w:ascii="Times New Roman" w:eastAsia="Times New Roman" w:hAnsi="Times New Roman" w:cs="Times New Roman"/>
          <w:sz w:val="24"/>
          <w:szCs w:val="24"/>
        </w:rPr>
      </w:pPr>
    </w:p>
    <w:p w14:paraId="77A0B744" w14:textId="77777777" w:rsidR="00DD1896" w:rsidRDefault="00DD1896">
      <w:pPr>
        <w:spacing w:after="0" w:line="240" w:lineRule="auto"/>
        <w:rPr>
          <w:rFonts w:ascii="Times New Roman" w:eastAsia="Times New Roman" w:hAnsi="Times New Roman" w:cs="Times New Roman"/>
          <w:sz w:val="24"/>
          <w:szCs w:val="24"/>
        </w:rPr>
      </w:pPr>
    </w:p>
    <w:p w14:paraId="6BA39F9D" w14:textId="77777777" w:rsidR="00DD1896" w:rsidRDefault="00000000">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Analysis with Existing Frameworks</w:t>
      </w:r>
    </w:p>
    <w:p w14:paraId="7F2F4A3C" w14:textId="77777777" w:rsidR="00DD189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DT implementations in SHM are generally visualization-oriented and rather basic monitoring-oriented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[14]</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 xml:space="preserve">. An example of this would be the Microsoft Azure DT platform, which offers a strong visualization capability but with no built-in AI analytics to support predictive maintenance. In a similar way, GE's Predix provides industrial IoT connectivity though separate AI modules are needed to provide advanced analytics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[15]</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543FD7E8" w14:textId="77777777" w:rsidR="00DD189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stands out in three important ways: (1) intelligent analytics embedded into the DT design instead of being stand-alone modules, (2) the ongoing feedback of information to create bidirectional information flow back between the DT and the physical operations, and (3) </w:t>
      </w:r>
      <w:r>
        <w:rPr>
          <w:rFonts w:ascii="Times New Roman" w:eastAsia="Times New Roman" w:hAnsi="Times New Roman" w:cs="Times New Roman"/>
          <w:sz w:val="24"/>
          <w:szCs w:val="24"/>
        </w:rPr>
        <w:lastRenderedPageBreak/>
        <w:t>quantifying uncertainty using Bayesian methods, which is too often ignored by existing commercial solutions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[16]</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304ABFB7" w14:textId="77777777" w:rsidR="00DD189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framework architecture is depicted in figure 1, where the data flow streams through physical sensing to decision implementation with an on-going feedback loop to enable the entire cycle to remain real-time supported.</w:t>
      </w:r>
    </w:p>
    <w:p w14:paraId="3EA9A08E" w14:textId="77777777" w:rsidR="00DD1896" w:rsidRDefault="00000000">
      <w:pPr>
        <w:keepNext/>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12FF42" wp14:editId="44D732A9">
            <wp:extent cx="44577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7700" cy="2971800"/>
                    </a:xfrm>
                    <a:prstGeom prst="rect">
                      <a:avLst/>
                    </a:prstGeom>
                  </pic:spPr>
                </pic:pic>
              </a:graphicData>
            </a:graphic>
          </wp:inline>
        </w:drawing>
      </w:r>
    </w:p>
    <w:p w14:paraId="0C812F98" w14:textId="77777777" w:rsidR="00DD1896" w:rsidRDefault="00000000">
      <w:pPr>
        <w:spacing w:after="20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Figure </w:t>
      </w: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SEQ Figure \* ARABIC </w:instrText>
      </w:r>
      <w:r>
        <w:rPr>
          <w:rFonts w:ascii="Times New Roman" w:hAnsi="Times New Roman" w:cs="Times New Roman"/>
          <w:b/>
          <w:bCs/>
          <w:color w:val="000000" w:themeColor="text1"/>
          <w:sz w:val="24"/>
          <w:szCs w:val="24"/>
        </w:rPr>
        <w:fldChar w:fldCharType="separate"/>
      </w:r>
      <w:r>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rPr>
        <w:fldChar w:fldCharType="end"/>
      </w:r>
      <w:r>
        <w:rPr>
          <w:rFonts w:ascii="Times New Roman" w:hAnsi="Times New Roman" w:cs="Times New Roman"/>
          <w:b/>
          <w:bCs/>
          <w:color w:val="000000" w:themeColor="text1"/>
          <w:sz w:val="24"/>
          <w:szCs w:val="24"/>
        </w:rPr>
        <w:t>:</w:t>
      </w:r>
      <w:r>
        <w:rPr>
          <w:rFonts w:ascii="Times New Roman" w:hAnsi="Times New Roman" w:cs="Times New Roman"/>
          <w:color w:val="000000" w:themeColor="text1"/>
          <w:sz w:val="24"/>
          <w:szCs w:val="24"/>
        </w:rPr>
        <w:t xml:space="preserve"> The proposed AI-powered DT Framework for Structural Health Monitoring.</w:t>
      </w:r>
    </w:p>
    <w:p w14:paraId="530BA30C" w14:textId="77777777" w:rsidR="00DD1896" w:rsidRDefault="00000000">
      <w:pPr>
        <w:spacing w:before="100" w:beforeAutospacing="1" w:after="100" w:afterAutospacing="1"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Data Acquisition &amp; Sensor Networks</w:t>
      </w:r>
    </w:p>
    <w:p w14:paraId="007AF27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acquisition layer would use distributed sensor architecture of IoT-enabled sensor such as strain gauges, accelerometers, fiber Bragg grating sensors, and acoustic emission detectors. These sensors offer real time tracking of mechanical, thermal, and environmental conditions over local and global structural dimensions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[17]</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07B51A79"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Considerations to Practical Implementation</w:t>
      </w:r>
    </w:p>
    <w:p w14:paraId="49C559DE" w14:textId="77777777" w:rsidR="00DD1896" w:rsidRDefault="00000000">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Response Time Requirements:</w:t>
      </w:r>
      <w:r>
        <w:rPr>
          <w:rFonts w:ascii="Times New Roman" w:eastAsia="Times New Roman" w:hAnsi="Times New Roman" w:cs="Times New Roman"/>
          <w:sz w:val="24"/>
          <w:szCs w:val="24"/>
        </w:rPr>
        <w:t xml:space="preserve"> Edge computing resources in sensor nodes give a latency range of &lt;100ms on any critical alerts, but full DT synchronization may take 1-5 seconds depending on complexity of computation.</w:t>
      </w:r>
    </w:p>
    <w:p w14:paraId="33156AAF" w14:textId="77777777" w:rsidR="00DD1896" w:rsidRDefault="00000000">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Communication Infrastructure:</w:t>
      </w:r>
      <w:r>
        <w:rPr>
          <w:rFonts w:ascii="Times New Roman" w:eastAsia="Times New Roman" w:hAnsi="Times New Roman" w:cs="Times New Roman"/>
          <w:sz w:val="24"/>
          <w:szCs w:val="24"/>
        </w:rPr>
        <w:t xml:space="preserve"> 5G networks have an ultra-low latency communication (URLLC) at &lt;</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xml:space="preserve"> latency but currently only 40 per cent of the infrastructure locations around the world can be covered.</w:t>
      </w:r>
    </w:p>
    <w:p w14:paraId="57AA933D" w14:textId="77777777" w:rsidR="00DD1896" w:rsidRDefault="00000000">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Investments required: Deployment of the complete sensor network cost somewhere around 50,000-200,000 per key structure with annual maintenance costs of 10-15 percent of initial investment.</w:t>
      </w:r>
    </w:p>
    <w:p w14:paraId="45DF78E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existing constraints of deployment of 5G coverage are requiring a hybrid connectivity strategy composed of cellular, satellite, and mesh networking solutions to achieve comprehensive coverage of infrastructure monitoring.</w:t>
      </w:r>
    </w:p>
    <w:p w14:paraId="292F2046" w14:textId="77777777" w:rsidR="00DD1896" w:rsidRDefault="00DD1896">
      <w:pPr>
        <w:spacing w:after="0" w:line="240" w:lineRule="auto"/>
        <w:rPr>
          <w:rFonts w:ascii="Times New Roman" w:eastAsia="Times New Roman" w:hAnsi="Times New Roman" w:cs="Times New Roman"/>
          <w:sz w:val="24"/>
          <w:szCs w:val="24"/>
        </w:rPr>
      </w:pPr>
    </w:p>
    <w:p w14:paraId="0FF5E0CB" w14:textId="77777777" w:rsidR="00DD1896" w:rsidRDefault="00000000">
      <w:pPr>
        <w:pStyle w:val="Caption"/>
        <w:keepNext/>
        <w:rPr>
          <w:rFonts w:ascii="Times New Roman" w:hAnsi="Times New Roman" w:cs="Times New Roman"/>
          <w:i w:val="0"/>
          <w:iCs w:val="0"/>
          <w:color w:val="000000" w:themeColor="text1"/>
        </w:rPr>
      </w:pPr>
      <w:r>
        <w:rPr>
          <w:rFonts w:ascii="Times New Roman" w:hAnsi="Times New Roman" w:cs="Times New Roman"/>
          <w:b/>
          <w:bCs/>
          <w:i w:val="0"/>
          <w:iCs w:val="0"/>
          <w:color w:val="000000" w:themeColor="text1"/>
          <w:sz w:val="24"/>
          <w:szCs w:val="24"/>
        </w:rPr>
        <w:lastRenderedPageBreak/>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3</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Dataset description and balancing techniques</w:t>
      </w:r>
    </w:p>
    <w:tbl>
      <w:tblPr>
        <w:tblStyle w:val="TableGrid"/>
        <w:tblW w:w="0" w:type="auto"/>
        <w:tblLook w:val="04A0" w:firstRow="1" w:lastRow="0" w:firstColumn="1" w:lastColumn="0" w:noHBand="0" w:noVBand="1"/>
      </w:tblPr>
      <w:tblGrid>
        <w:gridCol w:w="1801"/>
        <w:gridCol w:w="1685"/>
        <w:gridCol w:w="1308"/>
        <w:gridCol w:w="1191"/>
        <w:gridCol w:w="1492"/>
        <w:gridCol w:w="1873"/>
      </w:tblGrid>
      <w:tr w:rsidR="00DD1896" w14:paraId="37D38607" w14:textId="77777777">
        <w:tc>
          <w:tcPr>
            <w:tcW w:w="0" w:type="auto"/>
          </w:tcPr>
          <w:p w14:paraId="66BD8A89"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Dataset Source</w:t>
            </w:r>
          </w:p>
        </w:tc>
        <w:tc>
          <w:tcPr>
            <w:tcW w:w="0" w:type="auto"/>
          </w:tcPr>
          <w:p w14:paraId="10788BDB"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Type</w:t>
            </w:r>
          </w:p>
        </w:tc>
        <w:tc>
          <w:tcPr>
            <w:tcW w:w="0" w:type="auto"/>
          </w:tcPr>
          <w:p w14:paraId="7B99FB1D"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Samples</w:t>
            </w:r>
          </w:p>
        </w:tc>
        <w:tc>
          <w:tcPr>
            <w:tcW w:w="0" w:type="auto"/>
          </w:tcPr>
          <w:p w14:paraId="5D438E54"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Number of Classes</w:t>
            </w:r>
          </w:p>
        </w:tc>
        <w:tc>
          <w:tcPr>
            <w:tcW w:w="0" w:type="auto"/>
          </w:tcPr>
          <w:p w14:paraId="03B82408"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Class Type</w:t>
            </w:r>
          </w:p>
        </w:tc>
        <w:tc>
          <w:tcPr>
            <w:tcW w:w="0" w:type="auto"/>
          </w:tcPr>
          <w:p w14:paraId="4A4AEF84"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Balancing Technique</w:t>
            </w:r>
          </w:p>
        </w:tc>
      </w:tr>
      <w:tr w:rsidR="00DD1896" w14:paraId="0E8163C8" w14:textId="77777777">
        <w:tc>
          <w:tcPr>
            <w:tcW w:w="0" w:type="auto"/>
          </w:tcPr>
          <w:p w14:paraId="48C983A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Civil Infrastructure (Bridge Sensors)</w:t>
            </w:r>
          </w:p>
        </w:tc>
        <w:tc>
          <w:tcPr>
            <w:tcW w:w="0" w:type="auto"/>
          </w:tcPr>
          <w:p w14:paraId="75CD421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Strain &amp; acceleration time series</w:t>
            </w:r>
          </w:p>
        </w:tc>
        <w:tc>
          <w:tcPr>
            <w:tcW w:w="0" w:type="auto"/>
          </w:tcPr>
          <w:p w14:paraId="5E6E2A3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12,000 sequences</w:t>
            </w:r>
          </w:p>
        </w:tc>
        <w:tc>
          <w:tcPr>
            <w:tcW w:w="0" w:type="auto"/>
          </w:tcPr>
          <w:p w14:paraId="4355D47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Pr>
          <w:p w14:paraId="4EC40529"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Binary (Normal vs. Fault)</w:t>
            </w:r>
          </w:p>
        </w:tc>
        <w:tc>
          <w:tcPr>
            <w:tcW w:w="0" w:type="auto"/>
          </w:tcPr>
          <w:p w14:paraId="5106D76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SMOTE + Random Under sampling</w:t>
            </w:r>
          </w:p>
        </w:tc>
      </w:tr>
      <w:tr w:rsidR="00DD1896" w14:paraId="53F99909" w14:textId="77777777">
        <w:tc>
          <w:tcPr>
            <w:tcW w:w="0" w:type="auto"/>
          </w:tcPr>
          <w:p w14:paraId="14DDA45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Aerospace (Aircraft fuselage vibration)</w:t>
            </w:r>
          </w:p>
        </w:tc>
        <w:tc>
          <w:tcPr>
            <w:tcW w:w="0" w:type="auto"/>
          </w:tcPr>
          <w:p w14:paraId="15F61EF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 &amp; structural scans</w:t>
            </w:r>
          </w:p>
        </w:tc>
        <w:tc>
          <w:tcPr>
            <w:tcW w:w="0" w:type="auto"/>
          </w:tcPr>
          <w:p w14:paraId="1E0E5AD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8,500 sequences</w:t>
            </w:r>
          </w:p>
        </w:tc>
        <w:tc>
          <w:tcPr>
            <w:tcW w:w="0" w:type="auto"/>
          </w:tcPr>
          <w:p w14:paraId="27BEFE8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Pr>
          <w:p w14:paraId="6536A15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Multi-class (Minor crack, Severe crack, Normal)</w:t>
            </w:r>
          </w:p>
        </w:tc>
        <w:tc>
          <w:tcPr>
            <w:tcW w:w="0" w:type="auto"/>
          </w:tcPr>
          <w:p w14:paraId="7BD921F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Class-weighted loss</w:t>
            </w:r>
          </w:p>
        </w:tc>
      </w:tr>
      <w:tr w:rsidR="00DD1896" w14:paraId="048BDBF1" w14:textId="77777777">
        <w:tc>
          <w:tcPr>
            <w:tcW w:w="0" w:type="auto"/>
          </w:tcPr>
          <w:p w14:paraId="2970DC0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 Energy (Turbine load data)</w:t>
            </w:r>
          </w:p>
        </w:tc>
        <w:tc>
          <w:tcPr>
            <w:tcW w:w="0" w:type="auto"/>
          </w:tcPr>
          <w:p w14:paraId="69B64971"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Vibration + wind load + gearbox signals</w:t>
            </w:r>
          </w:p>
        </w:tc>
        <w:tc>
          <w:tcPr>
            <w:tcW w:w="0" w:type="auto"/>
          </w:tcPr>
          <w:p w14:paraId="112C5DC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10,200 sequences</w:t>
            </w:r>
          </w:p>
        </w:tc>
        <w:tc>
          <w:tcPr>
            <w:tcW w:w="0" w:type="auto"/>
          </w:tcPr>
          <w:p w14:paraId="6E165A1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Pr>
          <w:p w14:paraId="6A8AB9B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Binary (Healthy vs. Faulty)</w:t>
            </w:r>
          </w:p>
        </w:tc>
        <w:tc>
          <w:tcPr>
            <w:tcW w:w="0" w:type="auto"/>
          </w:tcPr>
          <w:p w14:paraId="67034C1D"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augmentation (window slicing, jittering)</w:t>
            </w:r>
          </w:p>
        </w:tc>
      </w:tr>
    </w:tbl>
    <w:p w14:paraId="04815325" w14:textId="77777777" w:rsidR="00DD1896" w:rsidRDefault="00DD1896">
      <w:pPr>
        <w:spacing w:after="0" w:line="240" w:lineRule="auto"/>
        <w:rPr>
          <w:rFonts w:ascii="Times New Roman" w:eastAsia="Times New Roman" w:hAnsi="Times New Roman" w:cs="Times New Roman"/>
          <w:sz w:val="24"/>
          <w:szCs w:val="24"/>
        </w:rPr>
      </w:pPr>
    </w:p>
    <w:p w14:paraId="705F5475" w14:textId="77777777" w:rsidR="00DD1896" w:rsidRDefault="00000000">
      <w:pPr>
        <w:pStyle w:val="whitespace-normal"/>
      </w:pPr>
      <w:r>
        <w:rPr>
          <w:rStyle w:val="Strong"/>
        </w:rPr>
        <w:t>Data Balancing Details:</w:t>
      </w:r>
    </w:p>
    <w:p w14:paraId="1437F82E" w14:textId="77777777" w:rsidR="00DD1896" w:rsidRDefault="00000000">
      <w:pPr>
        <w:pStyle w:val="ListParagraph"/>
        <w:numPr>
          <w:ilvl w:val="0"/>
          <w:numId w:val="3"/>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SMOTE (Synthetic Minority Oversampling Technique): k=5 nearest neighbors were used to create synthetic samples of minority class.</w:t>
      </w:r>
    </w:p>
    <w:p w14:paraId="4238B0F0" w14:textId="77777777" w:rsidR="00DD1896" w:rsidRDefault="00000000">
      <w:pPr>
        <w:pStyle w:val="ListParagraph"/>
        <w:numPr>
          <w:ilvl w:val="0"/>
          <w:numId w:val="3"/>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Random Under-sampling: In order to obtain 60:40 proportion of classes, reduced the majority samples by 30 percent.</w:t>
      </w:r>
    </w:p>
    <w:p w14:paraId="13E8B1D2" w14:textId="77777777" w:rsidR="00DD1896" w:rsidRDefault="00000000">
      <w:pPr>
        <w:spacing w:after="0" w:line="240" w:lineRule="auto"/>
        <w:ind w:left="360"/>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Note: Class-weighted loss: Inverse frequency weighting (</w:t>
      </w:r>
      <w:proofErr w:type="spellStart"/>
      <w:r>
        <w:rPr>
          <w:rStyle w:val="Strong"/>
          <w:rFonts w:ascii="Times New Roman" w:eastAsia="Times New Roman" w:hAnsi="Times New Roman" w:cs="Times New Roman"/>
          <w:b w:val="0"/>
          <w:bCs w:val="0"/>
          <w:sz w:val="24"/>
          <w:szCs w:val="24"/>
        </w:rPr>
        <w:t>w</w:t>
      </w:r>
      <w:r>
        <w:rPr>
          <w:rStyle w:val="Strong"/>
          <w:rFonts w:ascii="Times New Roman" w:eastAsia="Times New Roman" w:hAnsi="Times New Roman" w:cs="Times New Roman"/>
          <w:b w:val="0"/>
          <w:bCs w:val="0"/>
          <w:sz w:val="24"/>
          <w:szCs w:val="24"/>
          <w:vertAlign w:val="subscript"/>
        </w:rPr>
        <w:t>i</w:t>
      </w:r>
      <w:proofErr w:type="spellEnd"/>
      <w:r>
        <w:rPr>
          <w:rStyle w:val="Strong"/>
          <w:rFonts w:ascii="Times New Roman" w:eastAsia="Times New Roman" w:hAnsi="Times New Roman" w:cs="Times New Roman"/>
          <w:b w:val="0"/>
          <w:bCs w:val="0"/>
          <w:sz w:val="24"/>
          <w:szCs w:val="24"/>
        </w:rPr>
        <w:t xml:space="preserve"> = </w:t>
      </w:r>
      <w:proofErr w:type="spellStart"/>
      <w:r>
        <w:rPr>
          <w:rStyle w:val="Strong"/>
          <w:rFonts w:ascii="Times New Roman" w:eastAsia="Times New Roman" w:hAnsi="Times New Roman" w:cs="Times New Roman"/>
          <w:b w:val="0"/>
          <w:bCs w:val="0"/>
          <w:sz w:val="24"/>
          <w:szCs w:val="24"/>
        </w:rPr>
        <w:t>nsamples</w:t>
      </w:r>
      <w:proofErr w:type="spellEnd"/>
      <w:r>
        <w:rPr>
          <w:rStyle w:val="Strong"/>
          <w:rFonts w:ascii="Times New Roman" w:eastAsia="Times New Roman" w:hAnsi="Times New Roman" w:cs="Times New Roman"/>
          <w:b w:val="0"/>
          <w:bCs w:val="0"/>
          <w:sz w:val="24"/>
          <w:szCs w:val="24"/>
        </w:rPr>
        <w:t xml:space="preserve"> / (</w:t>
      </w:r>
      <w:proofErr w:type="spellStart"/>
      <w:r>
        <w:rPr>
          <w:rStyle w:val="Strong"/>
          <w:rFonts w:ascii="Times New Roman" w:eastAsia="Times New Roman" w:hAnsi="Times New Roman" w:cs="Times New Roman"/>
          <w:b w:val="0"/>
          <w:bCs w:val="0"/>
          <w:sz w:val="24"/>
          <w:szCs w:val="24"/>
        </w:rPr>
        <w:t>nclasses</w:t>
      </w:r>
      <w:proofErr w:type="spellEnd"/>
      <w:r>
        <w:rPr>
          <w:rStyle w:val="Strong"/>
          <w:rFonts w:ascii="Times New Roman" w:eastAsia="Times New Roman" w:hAnsi="Times New Roman" w:cs="Times New Roman"/>
          <w:b w:val="0"/>
          <w:bCs w:val="0"/>
          <w:sz w:val="24"/>
          <w:szCs w:val="24"/>
        </w:rPr>
        <w:t xml:space="preserve"> </w:t>
      </w:r>
      <w:proofErr w:type="spellStart"/>
      <w:r>
        <w:rPr>
          <w:rStyle w:val="Strong"/>
          <w:rFonts w:ascii="Times New Roman" w:eastAsia="Times New Roman" w:hAnsi="Times New Roman" w:cs="Times New Roman"/>
          <w:b w:val="0"/>
          <w:bCs w:val="0"/>
          <w:sz w:val="24"/>
          <w:szCs w:val="24"/>
        </w:rPr>
        <w:t>nsamplesclassi</w:t>
      </w:r>
      <w:proofErr w:type="spellEnd"/>
      <w:r>
        <w:rPr>
          <w:rStyle w:val="Strong"/>
          <w:rFonts w:ascii="Times New Roman" w:eastAsia="Times New Roman" w:hAnsi="Times New Roman" w:cs="Times New Roman"/>
          <w:b w:val="0"/>
          <w:bCs w:val="0"/>
          <w:sz w:val="24"/>
          <w:szCs w:val="24"/>
        </w:rPr>
        <w:t>)).</w:t>
      </w:r>
    </w:p>
    <w:p w14:paraId="60FA7577" w14:textId="77777777" w:rsidR="00DD1896" w:rsidRDefault="00000000">
      <w:pPr>
        <w:pStyle w:val="ListParagraph"/>
        <w:numPr>
          <w:ilvl w:val="0"/>
          <w:numId w:val="3"/>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b w:val="0"/>
          <w:bCs w:val="0"/>
          <w:sz w:val="24"/>
          <w:szCs w:val="24"/>
        </w:rPr>
        <w:t>Data augmentation: Applied Gaussian noise (=0.01), time-shift (= +50ms), and amplitude scaling (= 0.8-1.2x).</w:t>
      </w:r>
    </w:p>
    <w:p w14:paraId="03794E92" w14:textId="77777777" w:rsidR="00DD1896" w:rsidRDefault="00DD1896">
      <w:pPr>
        <w:spacing w:after="0" w:line="240" w:lineRule="auto"/>
        <w:rPr>
          <w:rFonts w:ascii="Times New Roman" w:eastAsia="Times New Roman" w:hAnsi="Times New Roman" w:cs="Times New Roman"/>
          <w:b/>
          <w:bCs/>
          <w:sz w:val="24"/>
          <w:szCs w:val="24"/>
        </w:rPr>
      </w:pPr>
    </w:p>
    <w:p w14:paraId="5FC7DF93"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AI Models for SHM</w:t>
      </w:r>
    </w:p>
    <w:p w14:paraId="11D8EE82" w14:textId="77777777" w:rsidR="00DD1896" w:rsidRDefault="00000000">
      <w:pPr>
        <w:pStyle w:val="NormalWeb"/>
        <w:jc w:val="both"/>
      </w:pPr>
      <w:r>
        <w:t xml:space="preserve">Its AI analytics layer incorporates PIML, GNNs, and BDL that enables accurate and interpretable prediction. IML can even incorporate domain knowledge about structural mechanics and material properties and this generalizes better under limited data settings. The GNNs model the topology of the structure by using nodes to represent the elements and edges to represent the connections and thus embracing greater insights about load transfer </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[17]</w:t>
      </w:r>
      <w:r>
        <w:rPr>
          <w:b/>
          <w:bCs/>
        </w:rPr>
        <w:fldChar w:fldCharType="end"/>
      </w:r>
      <w:r>
        <w:t>.</w:t>
      </w:r>
    </w:p>
    <w:p w14:paraId="4A42BE7A" w14:textId="77777777" w:rsidR="00DD1896" w:rsidRDefault="00000000">
      <w:pPr>
        <w:pStyle w:val="NormalWeb"/>
        <w:jc w:val="both"/>
      </w:pPr>
      <w:r>
        <w:t>Computational Challenges, and Solutions:</w:t>
      </w:r>
    </w:p>
    <w:p w14:paraId="7D923292" w14:textId="77777777" w:rsidR="00DD1896" w:rsidRDefault="00000000">
      <w:pPr>
        <w:pStyle w:val="NormalWeb"/>
        <w:numPr>
          <w:ilvl w:val="0"/>
          <w:numId w:val="4"/>
        </w:numPr>
        <w:jc w:val="both"/>
      </w:pPr>
      <w:r>
        <w:t>Processing Power Requirements: Deep learning models of large buildings need 16-32 GB of GPUs memory, and the inference process takes 0.5-2 sec to complete one prediction cycle</w:t>
      </w:r>
    </w:p>
    <w:p w14:paraId="6CAB0C96" w14:textId="77777777" w:rsidR="00DD1896" w:rsidRDefault="00000000">
      <w:pPr>
        <w:pStyle w:val="NormalWeb"/>
        <w:numPr>
          <w:ilvl w:val="0"/>
          <w:numId w:val="4"/>
        </w:numPr>
        <w:jc w:val="both"/>
      </w:pPr>
      <w:r>
        <w:lastRenderedPageBreak/>
        <w:t>City-scale Networks: City-scale networks may need distributed computing clusters, which would make them 300-500 percent more expensive to operate than single-asset monitoring</w:t>
      </w:r>
    </w:p>
    <w:p w14:paraId="790ED8F0" w14:textId="77777777" w:rsidR="00DD1896" w:rsidRDefault="00000000">
      <w:pPr>
        <w:pStyle w:val="NormalWeb"/>
        <w:numPr>
          <w:ilvl w:val="0"/>
          <w:numId w:val="4"/>
        </w:numPr>
        <w:jc w:val="both"/>
      </w:pPr>
      <w:r>
        <w:t>Data Volume Management: High- frequency sensors (1kHz+) produce 1-10 TB each month per major structure, and thus require smart data filtering and compression practices</w:t>
      </w:r>
    </w:p>
    <w:p w14:paraId="49A57888" w14:textId="77777777" w:rsidR="00DD1896" w:rsidRDefault="00000000">
      <w:pPr>
        <w:pStyle w:val="NormalWeb"/>
        <w:jc w:val="both"/>
      </w:pPr>
      <w:r>
        <w:t xml:space="preserve">BDL can be used to provide uncertainty quantification necessary to safety-critical decisions, but the addition model increases processing time by 2-3x relative to deterministic models </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[17]</w:t>
      </w:r>
      <w:r>
        <w:rPr>
          <w:b/>
          <w:bCs/>
        </w:rPr>
        <w:fldChar w:fldCharType="end"/>
      </w:r>
      <w:r>
        <w:t>.</w:t>
      </w:r>
    </w:p>
    <w:p w14:paraId="6C0DD14B" w14:textId="77777777" w:rsidR="00DD1896" w:rsidRDefault="00000000">
      <w:pPr>
        <w:pStyle w:val="NormalWeb"/>
        <w:jc w:val="both"/>
      </w:pPr>
      <w:r>
        <w:t>The AI Analytics layer is the actual computing heart of the proposed framework. It combines PIML, GNNs, and BDL to obtain explainable and robust predictions regardless of the different operating conditions.</w:t>
      </w:r>
    </w:p>
    <w:p w14:paraId="69232CEB" w14:textId="77777777" w:rsidR="00DD1896" w:rsidRDefault="00000000">
      <w:pPr>
        <w:pStyle w:val="Heading3"/>
        <w:rPr>
          <w:rFonts w:ascii="Times New Roman" w:hAnsi="Times New Roman" w:cs="Times New Roman"/>
          <w:b/>
          <w:bCs/>
        </w:rPr>
      </w:pPr>
      <w:r>
        <w:rPr>
          <w:rFonts w:ascii="Times New Roman" w:hAnsi="Times New Roman" w:cs="Times New Roman"/>
          <w:b/>
          <w:bCs/>
          <w:color w:val="000000" w:themeColor="text1"/>
        </w:rPr>
        <w:t>3.3.1 Physics-Informed Machine Learning (PIML)</w:t>
      </w:r>
    </w:p>
    <w:p w14:paraId="057F2B2F" w14:textId="77777777" w:rsidR="00DD189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prior structural mechanics knowledge is used to improve generalization and requires less data when it is a small amount. The standard recurrent model, used to predict time-series of RUL is written as:</w:t>
      </w:r>
    </w:p>
    <w:p w14:paraId="7AA86E8E" w14:textId="77777777" w:rsidR="00DD1896" w:rsidRDefault="00000000">
      <w:pPr>
        <w:rPr>
          <w:rFonts w:ascii="Times New Roman" w:hAnsi="Times New Roman" w:cs="Times New Roman"/>
          <w:sz w:val="28"/>
          <w:szCs w:val="28"/>
        </w:rPr>
      </w:pPr>
      <m:oMathPara>
        <m:oMath>
          <m:acc>
            <m:accPr>
              <m:ctrlPr>
                <w:rPr>
                  <w:rStyle w:val="katex-mathml"/>
                  <w:rFonts w:ascii="Cambria Math" w:hAnsi="Cambria Math" w:cs="Times New Roman"/>
                  <w:i/>
                  <w:sz w:val="28"/>
                  <w:szCs w:val="28"/>
                </w:rPr>
              </m:ctrlPr>
            </m:accPr>
            <m:e>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y</m:t>
                  </m:r>
                </m:e>
                <m:sub>
                  <m:r>
                    <w:rPr>
                      <w:rStyle w:val="katex-mathml"/>
                      <w:rFonts w:ascii="Cambria Math" w:hAnsi="Cambria Math" w:cs="Times New Roman"/>
                      <w:sz w:val="28"/>
                      <w:szCs w:val="28"/>
                    </w:rPr>
                    <m:t>t</m:t>
                  </m:r>
                </m:sub>
              </m:sSub>
            </m:e>
          </m:acc>
          <m:r>
            <w:rPr>
              <w:rStyle w:val="katex-mathml"/>
              <w:rFonts w:ascii="Cambria Math" w:hAnsi="Cambria Math" w:cs="Times New Roman"/>
              <w:sz w:val="28"/>
              <w:szCs w:val="28"/>
            </w:rPr>
            <m:t xml:space="preserve">= </m:t>
          </m:r>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f</m:t>
              </m:r>
            </m:e>
            <m:sub>
              <m:r>
                <w:rPr>
                  <w:rStyle w:val="katex-mathml"/>
                  <w:rFonts w:ascii="Cambria Math" w:hAnsi="Cambria Math" w:cs="Times New Roman"/>
                  <w:sz w:val="28"/>
                  <w:szCs w:val="28"/>
                </w:rPr>
                <m:t>θ</m:t>
              </m:r>
            </m:sub>
          </m:sSub>
          <m:d>
            <m:dPr>
              <m:ctrlPr>
                <w:rPr>
                  <w:rStyle w:val="katex-mathml"/>
                  <w:rFonts w:ascii="Cambria Math" w:hAnsi="Cambria Math" w:cs="Times New Roman"/>
                  <w:i/>
                  <w:sz w:val="28"/>
                  <w:szCs w:val="28"/>
                </w:rPr>
              </m:ctrlPr>
            </m:dPr>
            <m:e>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x</m:t>
                  </m:r>
                </m:e>
                <m:sub>
                  <m:r>
                    <w:rPr>
                      <w:rStyle w:val="katex-mathml"/>
                      <w:rFonts w:ascii="Cambria Math" w:hAnsi="Cambria Math" w:cs="Times New Roman"/>
                      <w:sz w:val="28"/>
                      <w:szCs w:val="28"/>
                    </w:rPr>
                    <m:t>1:t</m:t>
                  </m:r>
                </m:sub>
              </m:sSub>
            </m:e>
          </m:d>
          <m:r>
            <w:rPr>
              <w:rStyle w:val="katex-mathml"/>
              <w:rFonts w:ascii="Cambria Math" w:hAnsi="Cambria Math" w:cs="Times New Roman"/>
              <w:sz w:val="28"/>
              <w:szCs w:val="28"/>
            </w:rPr>
            <m:t>, θ=learned parameters</m:t>
          </m:r>
        </m:oMath>
      </m:oMathPara>
    </w:p>
    <w:p w14:paraId="2AA63E8A" w14:textId="77777777" w:rsidR="00DD1896" w:rsidRDefault="00000000">
      <w:pPr>
        <w:pStyle w:val="NormalWeb"/>
      </w:pPr>
      <w:r>
        <w:t xml:space="preserve">where </w:t>
      </w:r>
      <m:oMath>
        <m:sSub>
          <m:sSubPr>
            <m:ctrlPr>
              <w:rPr>
                <w:rStyle w:val="katex-mathml"/>
                <w:rFonts w:ascii="Cambria Math" w:eastAsiaTheme="minorHAnsi" w:hAnsi="Cambria Math"/>
                <w:b/>
                <w:bCs/>
                <w:i/>
                <w:sz w:val="22"/>
                <w:szCs w:val="22"/>
              </w:rPr>
            </m:ctrlPr>
          </m:sSubPr>
          <m:e>
            <m:r>
              <m:rPr>
                <m:sty m:val="bi"/>
              </m:rPr>
              <w:rPr>
                <w:rStyle w:val="katex-mathml"/>
                <w:rFonts w:ascii="Cambria Math" w:hAnsi="Cambria Math"/>
              </w:rPr>
              <m:t>x</m:t>
            </m:r>
          </m:e>
          <m:sub>
            <m:r>
              <m:rPr>
                <m:sty m:val="bi"/>
              </m:rPr>
              <w:rPr>
                <w:rStyle w:val="katex-mathml"/>
                <w:rFonts w:ascii="Cambria Math" w:hAnsi="Cambria Math"/>
              </w:rPr>
              <m:t>1:t</m:t>
            </m:r>
          </m:sub>
        </m:sSub>
      </m:oMath>
      <w:r>
        <w:rPr>
          <w:rStyle w:val="vlist-s"/>
        </w:rPr>
        <w:t>​</w:t>
      </w:r>
      <w:r>
        <w:t xml:space="preserve"> is the sensor data sequence from time 1 to t,</w:t>
      </w:r>
      <w:r>
        <w:rPr>
          <w:b/>
          <w:bCs/>
        </w:rPr>
        <w:t xml:space="preserve"> </w:t>
      </w:r>
      <m:oMath>
        <m:acc>
          <m:accPr>
            <m:ctrlPr>
              <w:rPr>
                <w:rStyle w:val="katex-mathml"/>
                <w:rFonts w:ascii="Cambria Math" w:eastAsiaTheme="minorHAnsi" w:hAnsi="Cambria Math"/>
                <w:b/>
                <w:bCs/>
                <w:i/>
                <w:sz w:val="22"/>
                <w:szCs w:val="22"/>
              </w:rPr>
            </m:ctrlPr>
          </m:accPr>
          <m:e>
            <m:sSub>
              <m:sSubPr>
                <m:ctrlPr>
                  <w:rPr>
                    <w:rStyle w:val="katex-mathml"/>
                    <w:rFonts w:ascii="Cambria Math" w:eastAsiaTheme="minorHAnsi" w:hAnsi="Cambria Math"/>
                    <w:b/>
                    <w:bCs/>
                    <w:i/>
                    <w:sz w:val="22"/>
                    <w:szCs w:val="22"/>
                  </w:rPr>
                </m:ctrlPr>
              </m:sSubPr>
              <m:e>
                <m:r>
                  <m:rPr>
                    <m:sty m:val="bi"/>
                  </m:rPr>
                  <w:rPr>
                    <w:rStyle w:val="katex-mathml"/>
                    <w:rFonts w:ascii="Cambria Math" w:hAnsi="Cambria Math"/>
                  </w:rPr>
                  <m:t>y</m:t>
                </m:r>
              </m:e>
              <m:sub>
                <m:r>
                  <m:rPr>
                    <m:sty m:val="bi"/>
                  </m:rPr>
                  <w:rPr>
                    <w:rStyle w:val="katex-mathml"/>
                    <w:rFonts w:ascii="Cambria Math" w:hAnsi="Cambria Math"/>
                  </w:rPr>
                  <m:t>t</m:t>
                </m:r>
              </m:sub>
            </m:sSub>
          </m:e>
        </m:acc>
      </m:oMath>
      <w:r>
        <w:rPr>
          <w:rStyle w:val="vlist-s"/>
        </w:rPr>
        <w:t>​</w:t>
      </w:r>
      <w:r>
        <w:t xml:space="preserve"> is the predicted RUL at time t, </w:t>
      </w:r>
      <w:proofErr w:type="spellStart"/>
      <w:r>
        <w:t>f</w:t>
      </w:r>
      <w:r>
        <w:rPr>
          <w:vertAlign w:val="subscript"/>
        </w:rPr>
        <w:t>θ</w:t>
      </w:r>
      <w:proofErr w:type="spellEnd"/>
      <w:r>
        <w:t xml:space="preserve">​ is the deep neural network function and </w:t>
      </w:r>
      <w:r>
        <w:rPr>
          <w:rStyle w:val="mord"/>
        </w:rPr>
        <w:t>θ</w:t>
      </w:r>
      <w:r>
        <w:t xml:space="preserve"> are the trainable neural network parameters.</w:t>
      </w:r>
    </w:p>
    <w:p w14:paraId="46B9FED6" w14:textId="77777777" w:rsidR="00DD1896" w:rsidRDefault="00000000">
      <w:pPr>
        <w:pStyle w:val="NormalWeb"/>
        <w:numPr>
          <w:ilvl w:val="0"/>
          <w:numId w:val="5"/>
        </w:numPr>
      </w:pPr>
      <w:r>
        <w:rPr>
          <w:rStyle w:val="Strong"/>
        </w:rPr>
        <w:t>Strength</w:t>
      </w:r>
      <w:r>
        <w:t>: Accurate predictions under limited data.</w:t>
      </w:r>
    </w:p>
    <w:p w14:paraId="68723540" w14:textId="77777777" w:rsidR="00DD1896" w:rsidRDefault="00000000">
      <w:pPr>
        <w:pStyle w:val="NormalWeb"/>
        <w:numPr>
          <w:ilvl w:val="0"/>
          <w:numId w:val="5"/>
        </w:numPr>
      </w:pPr>
      <w:r>
        <w:rPr>
          <w:rStyle w:val="Strong"/>
        </w:rPr>
        <w:t>Limitation</w:t>
      </w:r>
      <w:r>
        <w:t>: Requires careful incorporation of domain priors.</w:t>
      </w:r>
    </w:p>
    <w:p w14:paraId="0071CC78"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3.3.2 Graph Neural Networks (GNNs)</w:t>
      </w:r>
    </w:p>
    <w:p w14:paraId="28BDC082" w14:textId="77777777" w:rsidR="00DD1896" w:rsidRDefault="00000000">
      <w:pPr>
        <w:pStyle w:val="NormalWeb"/>
      </w:pPr>
      <w:r>
        <w:t>GNNs represent the infrastructure as graphs where at the nodes there are the elements and the load paths as edges. The structural states are revised in an iterative manner.</w:t>
      </w:r>
    </w:p>
    <w:p w14:paraId="128EF573" w14:textId="77777777" w:rsidR="00DD1896" w:rsidRDefault="00000000">
      <w:pPr>
        <w:pStyle w:val="NormalWeb"/>
        <w:rPr>
          <w:b/>
          <w:bCs/>
          <w:sz w:val="28"/>
          <w:szCs w:val="28"/>
        </w:rPr>
      </w:pPr>
      <m:oMathPara>
        <m:oMath>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(l+1)</m:t>
              </m:r>
            </m:sup>
          </m:sSup>
          <m:r>
            <m:rPr>
              <m:sty m:val="bi"/>
            </m:rPr>
            <w:rPr>
              <w:rFonts w:ascii="Cambria Math" w:hAnsi="Cambria Math"/>
              <w:sz w:val="28"/>
              <w:szCs w:val="28"/>
            </w:rPr>
            <m:t>= σ (</m:t>
          </m:r>
          <m:sSup>
            <m:sSupPr>
              <m:ctrlPr>
                <w:rPr>
                  <w:rFonts w:ascii="Cambria Math" w:hAnsi="Cambria Math"/>
                  <w:b/>
                  <w:bCs/>
                  <w:i/>
                  <w:sz w:val="28"/>
                  <w:szCs w:val="28"/>
                </w:rPr>
              </m:ctrlPr>
            </m:sSupPr>
            <m:e>
              <m:r>
                <m:rPr>
                  <m:sty m:val="bi"/>
                </m:rPr>
                <w:rPr>
                  <w:rFonts w:ascii="Cambria Math" w:hAnsi="Cambria Math"/>
                  <w:sz w:val="28"/>
                  <w:szCs w:val="28"/>
                </w:rPr>
                <m:t>D</m:t>
              </m:r>
            </m:e>
            <m:sup>
              <m:r>
                <m:rPr>
                  <m:sty m:val="bi"/>
                </m:rPr>
                <w:rPr>
                  <w:rFonts w:ascii="Cambria Math" w:hAnsi="Cambria Math"/>
                  <w:sz w:val="28"/>
                  <w:szCs w:val="28"/>
                </w:rPr>
                <m:t>-1/2</m:t>
              </m:r>
            </m:sup>
          </m:sSup>
          <m:sSup>
            <m:sSupPr>
              <m:ctrlPr>
                <w:rPr>
                  <w:rFonts w:ascii="Cambria Math" w:hAnsi="Cambria Math"/>
                  <w:b/>
                  <w:bCs/>
                  <w:i/>
                  <w:sz w:val="28"/>
                  <w:szCs w:val="28"/>
                </w:rPr>
              </m:ctrlPr>
            </m:sSupPr>
            <m:e>
              <m:r>
                <m:rPr>
                  <m:sty m:val="bi"/>
                </m:rPr>
                <w:rPr>
                  <w:rFonts w:ascii="Cambria Math" w:hAnsi="Cambria Math"/>
                  <w:sz w:val="28"/>
                  <w:szCs w:val="28"/>
                </w:rPr>
                <m:t>AD</m:t>
              </m:r>
            </m:e>
            <m:sup>
              <m:r>
                <m:rPr>
                  <m:sty m:val="bi"/>
                </m:rPr>
                <w:rPr>
                  <w:rFonts w:ascii="Cambria Math" w:hAnsi="Cambria Math"/>
                  <w:sz w:val="28"/>
                  <w:szCs w:val="28"/>
                </w:rPr>
                <m:t>-1/2</m:t>
              </m:r>
            </m:sup>
          </m:sSup>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m:t>
              </m:r>
            </m:sup>
          </m:sSup>
          <m:sSup>
            <m:sSupPr>
              <m:ctrlPr>
                <w:rPr>
                  <w:rFonts w:ascii="Cambria Math" w:hAnsi="Cambria Math"/>
                  <w:b/>
                  <w:bCs/>
                  <w:i/>
                  <w:sz w:val="28"/>
                  <w:szCs w:val="28"/>
                </w:rPr>
              </m:ctrlPr>
            </m:sSupPr>
            <m:e>
              <m:r>
                <m:rPr>
                  <m:sty m:val="bi"/>
                </m:rPr>
                <w:rPr>
                  <w:rFonts w:ascii="Cambria Math" w:hAnsi="Cambria Math"/>
                  <w:sz w:val="28"/>
                  <w:szCs w:val="28"/>
                </w:rPr>
                <m:t>W</m:t>
              </m:r>
            </m:e>
            <m:sup>
              <m:r>
                <m:rPr>
                  <m:sty m:val="bi"/>
                </m:rPr>
                <w:rPr>
                  <w:rFonts w:ascii="Cambria Math" w:hAnsi="Cambria Math"/>
                  <w:sz w:val="28"/>
                  <w:szCs w:val="28"/>
                </w:rPr>
                <m:t>(l)</m:t>
              </m:r>
            </m:sup>
          </m:sSup>
          <m:r>
            <m:rPr>
              <m:sty m:val="bi"/>
            </m:rPr>
            <w:rPr>
              <w:rFonts w:ascii="Cambria Math" w:hAnsi="Cambria Math"/>
              <w:sz w:val="28"/>
              <w:szCs w:val="28"/>
            </w:rPr>
            <m:t>)</m:t>
          </m:r>
        </m:oMath>
      </m:oMathPara>
    </w:p>
    <w:p w14:paraId="116B00EE" w14:textId="77777777" w:rsidR="00DD1896" w:rsidRDefault="00000000">
      <w:pPr>
        <w:pStyle w:val="NormalWeb"/>
      </w:pPr>
      <w:r>
        <w:t xml:space="preserve">where </w:t>
      </w:r>
      <w:r>
        <w:rPr>
          <w:rStyle w:val="katex-mathml"/>
          <w:rFonts w:eastAsiaTheme="majorEastAsia"/>
        </w:rPr>
        <w:t xml:space="preserve">A </w:t>
      </w:r>
      <w:r>
        <w:t xml:space="preserve">is the adjacency matrix of the structure, D is the degree matrix (diagonal), </w:t>
      </w:r>
      <m:oMath>
        <m:sSup>
          <m:sSupPr>
            <m:ctrlPr>
              <w:rPr>
                <w:rFonts w:ascii="Cambria Math" w:hAnsi="Cambria Math"/>
                <w:b/>
                <w:bCs/>
                <w:i/>
                <w:sz w:val="28"/>
                <w:szCs w:val="28"/>
              </w:rPr>
            </m:ctrlPr>
          </m:sSupPr>
          <m:e>
            <m:r>
              <m:rPr>
                <m:sty m:val="bi"/>
              </m:rPr>
              <w:rPr>
                <w:rFonts w:ascii="Cambria Math" w:hAnsi="Cambria Math"/>
                <w:sz w:val="28"/>
                <w:szCs w:val="28"/>
              </w:rPr>
              <m:t>D</m:t>
            </m:r>
          </m:e>
          <m:sup>
            <m:r>
              <m:rPr>
                <m:sty m:val="bi"/>
              </m:rPr>
              <w:rPr>
                <w:rFonts w:ascii="Cambria Math" w:hAnsi="Cambria Math"/>
                <w:sz w:val="28"/>
                <w:szCs w:val="28"/>
              </w:rPr>
              <m:t>-1/2</m:t>
            </m:r>
          </m:sup>
        </m:sSup>
        <m:sSup>
          <m:sSupPr>
            <m:ctrlPr>
              <w:rPr>
                <w:rFonts w:ascii="Cambria Math" w:hAnsi="Cambria Math"/>
                <w:b/>
                <w:bCs/>
                <w:i/>
                <w:sz w:val="28"/>
                <w:szCs w:val="28"/>
              </w:rPr>
            </m:ctrlPr>
          </m:sSupPr>
          <m:e>
            <m:r>
              <m:rPr>
                <m:sty m:val="bi"/>
              </m:rPr>
              <w:rPr>
                <w:rFonts w:ascii="Cambria Math" w:hAnsi="Cambria Math"/>
                <w:sz w:val="28"/>
                <w:szCs w:val="28"/>
              </w:rPr>
              <m:t>AD</m:t>
            </m:r>
          </m:e>
          <m:sup>
            <m:r>
              <m:rPr>
                <m:sty m:val="bi"/>
              </m:rPr>
              <w:rPr>
                <w:rFonts w:ascii="Cambria Math" w:hAnsi="Cambria Math"/>
                <w:sz w:val="28"/>
                <w:szCs w:val="28"/>
              </w:rPr>
              <m:t>-1/2</m:t>
            </m:r>
          </m:sup>
        </m:sSup>
      </m:oMath>
      <w:r>
        <w:t xml:space="preserve"> is the symmetrically normalized adjacency matrix, </w:t>
      </w:r>
      <m:oMath>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m:t>
            </m:r>
          </m:sup>
        </m:sSup>
      </m:oMath>
      <w:r>
        <w:t xml:space="preserve"> are node features at layer </w:t>
      </w:r>
      <w:r>
        <w:rPr>
          <w:rStyle w:val="katex-mathml"/>
          <w:rFonts w:eastAsiaTheme="majorEastAsia"/>
        </w:rPr>
        <w:t>l</w:t>
      </w:r>
      <w:r>
        <w:t xml:space="preserve">, </w:t>
      </w:r>
      <m:oMath>
        <m:r>
          <m:rPr>
            <m:sty m:val="bi"/>
          </m:rPr>
          <w:rPr>
            <w:rFonts w:ascii="Cambria Math" w:hAnsi="Cambria Math"/>
            <w:sz w:val="28"/>
            <w:szCs w:val="28"/>
          </w:rPr>
          <m:t>σ(.</m:t>
        </m:r>
      </m:oMath>
      <w:r>
        <w:rPr>
          <w:b/>
          <w:sz w:val="28"/>
          <w:szCs w:val="28"/>
        </w:rPr>
        <w:t>)</w:t>
      </w:r>
      <w:r>
        <w:t xml:space="preserve"> is the non-linear activation function and </w:t>
      </w:r>
      <m:oMath>
        <m:sSup>
          <m:sSupPr>
            <m:ctrlPr>
              <w:rPr>
                <w:rFonts w:ascii="Cambria Math" w:hAnsi="Cambria Math"/>
                <w:b/>
                <w:bCs/>
                <w:i/>
                <w:sz w:val="28"/>
                <w:szCs w:val="28"/>
              </w:rPr>
            </m:ctrlPr>
          </m:sSupPr>
          <m:e>
            <m:r>
              <m:rPr>
                <m:sty m:val="bi"/>
              </m:rPr>
              <w:rPr>
                <w:rFonts w:ascii="Cambria Math" w:hAnsi="Cambria Math"/>
                <w:sz w:val="28"/>
                <w:szCs w:val="28"/>
              </w:rPr>
              <m:t>W</m:t>
            </m:r>
          </m:e>
          <m:sup>
            <m:r>
              <m:rPr>
                <m:sty m:val="bi"/>
              </m:rPr>
              <w:rPr>
                <w:rFonts w:ascii="Cambria Math" w:hAnsi="Cambria Math"/>
                <w:sz w:val="28"/>
                <w:szCs w:val="28"/>
              </w:rPr>
              <m:t>(l)</m:t>
            </m:r>
          </m:sup>
        </m:sSup>
      </m:oMath>
      <w:r>
        <w:t xml:space="preserve"> are trainable weight matrices.</w:t>
      </w:r>
    </w:p>
    <w:p w14:paraId="510F5282" w14:textId="77777777" w:rsidR="00DD1896" w:rsidRDefault="00000000">
      <w:pPr>
        <w:pStyle w:val="NormalWeb"/>
        <w:numPr>
          <w:ilvl w:val="0"/>
          <w:numId w:val="6"/>
        </w:numPr>
      </w:pPr>
      <w:r>
        <w:rPr>
          <w:rStyle w:val="Strong"/>
        </w:rPr>
        <w:t>Strength</w:t>
      </w:r>
      <w:r>
        <w:t>: Captures topological and spatial dependencies.</w:t>
      </w:r>
    </w:p>
    <w:p w14:paraId="53DD3595" w14:textId="77777777" w:rsidR="00DD1896" w:rsidRDefault="00000000">
      <w:pPr>
        <w:pStyle w:val="NormalWeb"/>
        <w:numPr>
          <w:ilvl w:val="0"/>
          <w:numId w:val="6"/>
        </w:numPr>
      </w:pPr>
      <w:r>
        <w:rPr>
          <w:rStyle w:val="Strong"/>
        </w:rPr>
        <w:t>Limitation</w:t>
      </w:r>
      <w:r>
        <w:t>: High GPU demand for large graphs.</w:t>
      </w:r>
    </w:p>
    <w:p w14:paraId="685D69F2"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3.3.3 Bayesian Deep Learning (BDL)</w:t>
      </w:r>
    </w:p>
    <w:p w14:paraId="62B65A6E" w14:textId="77777777" w:rsidR="00DD1896" w:rsidRDefault="00000000">
      <w:pPr>
        <w:pStyle w:val="NormalWeb"/>
      </w:pPr>
      <w:r>
        <w:t>DL estimates uncertainty in predictions - which is very important to safety-critical SHM. The predictive distribution can be summarized by</w:t>
      </w:r>
    </w:p>
    <w:p w14:paraId="08B80EEC" w14:textId="77777777" w:rsidR="00DD1896" w:rsidRDefault="00000000">
      <w:pPr>
        <w:pStyle w:val="NormalWeb"/>
        <w:rPr>
          <w:sz w:val="28"/>
          <w:szCs w:val="28"/>
        </w:rPr>
      </w:pPr>
      <m:oMathPara>
        <m:oMath>
          <m:r>
            <w:rPr>
              <w:rFonts w:ascii="Cambria Math" w:hAnsi="Cambria Math"/>
              <w:sz w:val="28"/>
              <w:szCs w:val="28"/>
            </w:rPr>
            <w:lastRenderedPageBreak/>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hAnsi="Cambria Math"/>
              <w:sz w:val="28"/>
              <w:szCs w:val="28"/>
            </w:rPr>
            <m:t xml:space="preserve">= </m:t>
          </m:r>
          <m:nary>
            <m:naryPr>
              <m:limLoc m:val="undOvr"/>
              <m:subHide m:val="1"/>
              <m:supHide m:val="1"/>
              <m:ctrlPr>
                <w:rPr>
                  <w:rFonts w:ascii="Cambria Math" w:hAnsi="Cambria Math"/>
                  <w:i/>
                  <w:sz w:val="28"/>
                  <w:szCs w:val="28"/>
                </w:rPr>
              </m:ctrlPr>
            </m:naryPr>
            <m:sub/>
            <m:sup/>
            <m:e>
              <m:r>
                <w:rPr>
                  <w:rFonts w:ascii="Cambria Math" w:hAnsi="Cambria Math"/>
                  <w:sz w:val="28"/>
                  <w:szCs w:val="28"/>
                </w:rPr>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hAnsi="Cambria Math"/>
                      <w:sz w:val="28"/>
                      <w:szCs w:val="28"/>
                    </w:rPr>
                    <m:t>, θ</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θ\D</m:t>
                  </m:r>
                </m:e>
              </m:d>
              <m:r>
                <w:rPr>
                  <w:rFonts w:ascii="Cambria Math" w:hAnsi="Cambria Math"/>
                  <w:sz w:val="28"/>
                  <w:szCs w:val="28"/>
                </w:rPr>
                <m:t xml:space="preserve"> dθ</m:t>
              </m:r>
            </m:e>
          </m:nary>
        </m:oMath>
      </m:oMathPara>
    </w:p>
    <w:p w14:paraId="182128DC" w14:textId="77777777" w:rsidR="00DD1896" w:rsidRDefault="00000000">
      <w:pPr>
        <w:pStyle w:val="NormalWeb"/>
      </w:pPr>
      <w:r>
        <w:t xml:space="preserve">where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θ\D</m:t>
            </m:r>
          </m:e>
        </m:d>
      </m:oMath>
      <w:r>
        <w:t xml:space="preserve"> is the posterior distribution of parameters, </w:t>
      </w:r>
      <m:oMath>
        <m:r>
          <w:rPr>
            <w:rFonts w:ascii="Cambria Math" w:hAnsi="Cambria Math"/>
            <w:sz w:val="28"/>
            <w:szCs w:val="28"/>
          </w:rPr>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hAnsi="Cambria Math"/>
                <w:sz w:val="28"/>
                <w:szCs w:val="28"/>
              </w:rPr>
              <m:t>, D</m:t>
            </m:r>
          </m:e>
        </m:d>
      </m:oMath>
      <w:r>
        <w:rPr>
          <w:sz w:val="28"/>
          <w:szCs w:val="28"/>
        </w:rPr>
        <w:t xml:space="preserve"> </w:t>
      </w:r>
      <w:r>
        <w:t xml:space="preserve">is the predictive distribution given data D, </w:t>
      </w:r>
      <m:oMath>
        <m:r>
          <w:rPr>
            <w:rFonts w:ascii="Cambria Math" w:hAnsi="Cambria Math"/>
            <w:sz w:val="28"/>
            <w:szCs w:val="28"/>
          </w:rPr>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hAnsi="Cambria Math"/>
                <w:sz w:val="28"/>
                <w:szCs w:val="28"/>
              </w:rPr>
              <m:t>,θ</m:t>
            </m:r>
          </m:e>
        </m:d>
      </m:oMath>
      <w:r>
        <w:t xml:space="preserve"> is the likelihood function and D is the training dataset. </w:t>
      </w:r>
    </w:p>
    <w:p w14:paraId="4B295172" w14:textId="77777777" w:rsidR="00DD1896" w:rsidRDefault="00000000">
      <w:pPr>
        <w:pStyle w:val="NormalWeb"/>
        <w:numPr>
          <w:ilvl w:val="0"/>
          <w:numId w:val="7"/>
        </w:numPr>
      </w:pPr>
      <w:r>
        <w:rPr>
          <w:rStyle w:val="Strong"/>
        </w:rPr>
        <w:t>Strength</w:t>
      </w:r>
      <w:r>
        <w:t>: Provides uncertainty quantification.</w:t>
      </w:r>
    </w:p>
    <w:p w14:paraId="0B264DDF" w14:textId="77777777" w:rsidR="00DD1896" w:rsidRDefault="00000000">
      <w:pPr>
        <w:pStyle w:val="NormalWeb"/>
        <w:numPr>
          <w:ilvl w:val="0"/>
          <w:numId w:val="7"/>
        </w:numPr>
      </w:pPr>
      <w:r>
        <w:rPr>
          <w:rStyle w:val="Strong"/>
        </w:rPr>
        <w:t>Limitation</w:t>
      </w:r>
      <w:r>
        <w:t>: Computationally intensive (3–5× slower than deterministic DL).</w:t>
      </w:r>
    </w:p>
    <w:p w14:paraId="5786141D" w14:textId="77777777" w:rsidR="00DD1896" w:rsidRDefault="00000000">
      <w:pPr>
        <w:pStyle w:val="Heading3"/>
        <w:numPr>
          <w:ilvl w:val="2"/>
          <w:numId w:val="8"/>
        </w:num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Model Selection Justification</w:t>
      </w:r>
    </w:p>
    <w:p w14:paraId="4DBE8DE7"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Prerequisites Unique needs Structural Health Monitoring (SHM) inherently entails a need to hit not only predictive accuracy but also safety-critical reliability. The analysis has chosen Physics-Informed Machine Learning because in many cases SHM does not have enough availability of historical failure data and a data-driven approach is not adequate. PIML saves both data and computation by inserting knowledge of structural mechanics directly into learning making it much more general but makes less reliant on large sets of data as it has been shown to reduce training data requirements in PIML by nearly 60 percent or 40 percent. Such combination of data-driven methods and physics makes PIML especially well adapted to a safety-critical application, where machine learning needs to be augmented by domain knowledge.</w:t>
      </w:r>
    </w:p>
    <w:p w14:paraId="2256A9F1"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 inclusion of Graph Neural Networks (GNNs) was based on the intuitive graph-like structure of infrastructure systems whose structural components may be modeled in the form of nodes and edges respectively. Contrary to CNNs or RNNs, GNNs can explicitly learn spatial reduction of dependence, transfer of loads, which form the core of structural behavior. Research shows that GNN improve the accuracy by 15-20 percent compared to the traditional deep learning models on the task of topology in the structure. This is because GNNs can reflect more complex structural relationships given their ability, and are therefore the best option in the modeling of real-world infrastructure.</w:t>
      </w:r>
    </w:p>
    <w:p w14:paraId="71C23FEA"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Lastly, Bayesian Deep Learning (BDL) was incorporated, to deal with the critical requirement of quantification of uncertainty in SHM. This does not apply in a safety critical infrastructure because to make safe decisions, it is not sufficient to make predictions, but to know the degree of confidence in which those decisions are made. BDL offers a principled mean of accommodating predictive uncertainty, making decisions that are risk-aware. This aspect becomes specific in terms of the maintenance scheduling and complies with the regulatory requirements of infrastructure monitoring. Quantified uncertainty of BDL, in turn, adds credibility to system outputs and facilitates the practice of AI-driven SHM.</w:t>
      </w:r>
    </w:p>
    <w:p w14:paraId="441AEB25"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3.3.5 Hybrid Model Justification</w:t>
      </w:r>
    </w:p>
    <w:p w14:paraId="57BBBD16"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analyzed hybrid scheme provides PIML + BDL, permitting to simultaneously incorporate the domain knowledge in the learning process and maintain the uncertainty assessment. The designed gives analyzable predictions of safety-critical targets as well as avoiding overconfidence in failure predictions. Other model combinations (e.g., CNN+ RNN) were not pursued because they could </w:t>
      </w:r>
      <w:r>
        <w:rPr>
          <w:rFonts w:ascii="Times New Roman" w:hAnsi="Times New Roman" w:cs="Times New Roman"/>
          <w:sz w:val="24"/>
          <w:szCs w:val="24"/>
        </w:rPr>
        <w:lastRenderedPageBreak/>
        <w:t>not easily scale to large infrastructures. Hyperparameter tuning (grid search, Bayesian optimization) was not a primary deployment due to constraints on resources in real-time SHM but is another area of interest as future work.</w:t>
      </w:r>
    </w:p>
    <w:p w14:paraId="5851DC3E"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bCs/>
          <w:color w:val="000000" w:themeColor="text1"/>
          <w:sz w:val="28"/>
          <w:szCs w:val="28"/>
        </w:rPr>
        <w:t xml:space="preserve">3.3.5 Hyperparameter Tuning </w:t>
      </w:r>
    </w:p>
    <w:p w14:paraId="577B1BE6"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hyperparameter tuning methods such as grid search, random search, and Bayesian optimization are known to improve predictive accuracy, their application in real-time Structural Health Monitoring (SHM) environments is limited by computational cost and deployment feasibility. For city-scale networks, tuning would require multiple training cycles on distributed GPU clusters, increasing inference latency and operational costs beyond acceptable thresholds.</w:t>
      </w:r>
    </w:p>
    <w:p w14:paraId="28EA3D8B"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fixed baseline parameters were adopted for deployment to ensure timely predictions and lower resource consumption. Hyperparameter optimization remains a future research direction, particularly for offline experiments or high-value assets where additional computational resources can be justified.</w:t>
      </w:r>
    </w:p>
    <w:p w14:paraId="3D47C20E" w14:textId="77777777" w:rsidR="00DD1896" w:rsidRDefault="00000000">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3.3.6 Feature Selection Techniques</w:t>
      </w:r>
    </w:p>
    <w:p w14:paraId="04EC74A6"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To extract the best model performance, an optimized sensor dataset based on a multi-phase feature selection pipeline was used. The original feature space had 847 dimensions obtained based on several sensor modalities, such as strain (156 features), acceleration (234), temperature (89), vibration (198) and environmental characteristics (170). The high dimensional input offered economies of scale to both computational efficiency and interpretability, and systematic reduction was necessary.</w:t>
      </w:r>
    </w:p>
    <w:p w14:paraId="7E43A472"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Selection of statistical features was used on the first stage. Features were scored using mutual information to rank depending upon the target variable. To this end a chi-square test of the 300 features most significant was performed (p &lt; 0.01). Analogous removal of duplication and redundancy: Pearson correlation filtering was subsequently used to filter out features whose correlation co-efficient exceeded 0.85. These approaches, as a combination, reduced the size of the feature set to a manageable size without any of the most important predictive givers.</w:t>
      </w:r>
    </w:p>
    <w:p w14:paraId="0408A6B3"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Model-based feature selection methods were then used. Recursive Feature Elimination (RFE): Recursive disjunction feature Removal was driven by the importance scores of the individual attributes as given by random forests and it intentionally removed the lesser valuable ones. L1 regularization using the LASSO shrink with λ =0.001 also applied sparsity by contracting those irrelevant feature weights to zero. Principal Component Analysis (PCA) was also done where the components that accounted 95 per cent of the variations in the data were retained. This mixture of approaches balanced interpretability with fewer dimensions.</w:t>
      </w:r>
    </w:p>
    <w:p w14:paraId="5AEFC91D"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last feature set comprised of 156 critical parameters, classified as structural response (67 features, 43%), environmental factors (34, 22), load patterns (28, 18), and historical </w:t>
      </w:r>
      <w:proofErr w:type="gramStart"/>
      <w:r>
        <w:rPr>
          <w:rFonts w:ascii="Times New Roman" w:hAnsi="Times New Roman" w:cs="Times New Roman"/>
          <w:sz w:val="24"/>
          <w:szCs w:val="24"/>
        </w:rPr>
        <w:t>trends(</w:t>
      </w:r>
      <w:proofErr w:type="gramEnd"/>
      <w:r>
        <w:rPr>
          <w:rFonts w:ascii="Times New Roman" w:hAnsi="Times New Roman" w:cs="Times New Roman"/>
          <w:sz w:val="24"/>
          <w:szCs w:val="24"/>
        </w:rPr>
        <w:t xml:space="preserve">27, 17). This polished data saved on calculation time by 34 percent with the top-precision of greater than 90 percent. Importance analysis </w:t>
      </w:r>
      <w:proofErr w:type="spellStart"/>
      <w:r>
        <w:rPr>
          <w:rFonts w:ascii="Times New Roman" w:hAnsi="Times New Roman" w:cs="Times New Roman"/>
          <w:sz w:val="24"/>
          <w:szCs w:val="24"/>
        </w:rPr>
        <w:t>analysis</w:t>
      </w:r>
      <w:proofErr w:type="spellEnd"/>
      <w:r>
        <w:rPr>
          <w:rFonts w:ascii="Times New Roman" w:hAnsi="Times New Roman" w:cs="Times New Roman"/>
          <w:sz w:val="24"/>
          <w:szCs w:val="24"/>
        </w:rPr>
        <w:t xml:space="preserve"> showed the top 10 predictive performance contributors. These were the magnitude of strain peaks (importance: 0.143), deviation in the vibration frequency </w:t>
      </w:r>
      <w:r>
        <w:rPr>
          <w:rFonts w:ascii="Times New Roman" w:hAnsi="Times New Roman" w:cs="Times New Roman"/>
          <w:sz w:val="24"/>
          <w:szCs w:val="24"/>
        </w:rPr>
        <w:lastRenderedPageBreak/>
        <w:t>(0.128), load history (0.116), gradient temperature (0.102), acceleration pattern entropy (0.098), structural damping ratio (0.089), wind load correlation (0.081), fatigue cycle count (0.076), material degradation index (0.071), and environmental severity score (0.065). Such characteristics were largely linked to structural degradation, and they can be very useful in predictive maintenance.</w:t>
      </w:r>
    </w:p>
    <w:p w14:paraId="3C033E31" w14:textId="77777777" w:rsidR="00DD1896" w:rsidRDefault="00000000">
      <w:pPr>
        <w:pStyle w:val="Heading3"/>
        <w:rPr>
          <w:rFonts w:ascii="Times New Roman" w:hAnsi="Times New Roman" w:cs="Times New Roman"/>
          <w:b/>
          <w:bCs/>
        </w:rPr>
      </w:pPr>
      <w:r>
        <w:rPr>
          <w:rFonts w:ascii="Times New Roman" w:hAnsi="Times New Roman" w:cs="Times New Roman"/>
          <w:b/>
          <w:bCs/>
          <w:color w:val="000000" w:themeColor="text1"/>
          <w:sz w:val="28"/>
          <w:szCs w:val="28"/>
        </w:rPr>
        <w:t>3.3.7 Model Summary</w:t>
      </w:r>
    </w:p>
    <w:p w14:paraId="6375C3C7" w14:textId="77777777" w:rsidR="00DD1896" w:rsidRDefault="00000000">
      <w:pPr>
        <w:pStyle w:val="Caption"/>
        <w:keepNext/>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4</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comparative summary of the models</w:t>
      </w:r>
    </w:p>
    <w:tbl>
      <w:tblPr>
        <w:tblStyle w:val="TableGrid"/>
        <w:tblW w:w="9918" w:type="dxa"/>
        <w:tblLayout w:type="fixed"/>
        <w:tblLook w:val="04A0" w:firstRow="1" w:lastRow="0" w:firstColumn="1" w:lastColumn="0" w:noHBand="0" w:noVBand="1"/>
      </w:tblPr>
      <w:tblGrid>
        <w:gridCol w:w="988"/>
        <w:gridCol w:w="1819"/>
        <w:gridCol w:w="1441"/>
        <w:gridCol w:w="1417"/>
        <w:gridCol w:w="1134"/>
        <w:gridCol w:w="1418"/>
        <w:gridCol w:w="1701"/>
      </w:tblGrid>
      <w:tr w:rsidR="00DD1896" w14:paraId="6CD30DD0" w14:textId="77777777">
        <w:tc>
          <w:tcPr>
            <w:tcW w:w="988" w:type="dxa"/>
          </w:tcPr>
          <w:p w14:paraId="37E48B4D" w14:textId="77777777" w:rsidR="00DD1896" w:rsidRDefault="00000000">
            <w:pPr>
              <w:spacing w:after="0" w:line="240" w:lineRule="auto"/>
              <w:jc w:val="center"/>
              <w:rPr>
                <w:rFonts w:ascii="Times New Roman" w:hAnsi="Times New Roman" w:cs="Times New Roman"/>
                <w:b/>
                <w:bCs/>
              </w:rPr>
            </w:pPr>
            <w:r>
              <w:rPr>
                <w:rStyle w:val="Strong"/>
                <w:rFonts w:ascii="Times New Roman" w:hAnsi="Times New Roman" w:cs="Times New Roman"/>
              </w:rPr>
              <w:t>Model</w:t>
            </w:r>
          </w:p>
        </w:tc>
        <w:tc>
          <w:tcPr>
            <w:tcW w:w="1819" w:type="dxa"/>
          </w:tcPr>
          <w:p w14:paraId="55C0D2ED" w14:textId="77777777" w:rsidR="00DD1896" w:rsidRDefault="00000000">
            <w:pPr>
              <w:spacing w:after="0" w:line="240" w:lineRule="auto"/>
              <w:jc w:val="center"/>
              <w:rPr>
                <w:rStyle w:val="Strong"/>
                <w:rFonts w:ascii="Times New Roman" w:hAnsi="Times New Roman" w:cs="Times New Roman"/>
              </w:rPr>
            </w:pPr>
            <w:r>
              <w:rPr>
                <w:rStyle w:val="Strong"/>
                <w:rFonts w:ascii="Times New Roman" w:hAnsi="Times New Roman" w:cs="Times New Roman"/>
              </w:rPr>
              <w:t>Architecture</w:t>
            </w:r>
          </w:p>
        </w:tc>
        <w:tc>
          <w:tcPr>
            <w:tcW w:w="1441" w:type="dxa"/>
          </w:tcPr>
          <w:p w14:paraId="6168B2A6" w14:textId="77777777" w:rsidR="00DD1896" w:rsidRDefault="00000000">
            <w:pPr>
              <w:spacing w:after="0" w:line="240" w:lineRule="auto"/>
              <w:jc w:val="center"/>
              <w:rPr>
                <w:rFonts w:ascii="Times New Roman" w:hAnsi="Times New Roman" w:cs="Times New Roman"/>
                <w:b/>
                <w:bCs/>
              </w:rPr>
            </w:pPr>
            <w:r>
              <w:rPr>
                <w:rStyle w:val="Strong"/>
                <w:rFonts w:ascii="Times New Roman" w:hAnsi="Times New Roman" w:cs="Times New Roman"/>
              </w:rPr>
              <w:t>Parameters</w:t>
            </w:r>
          </w:p>
        </w:tc>
        <w:tc>
          <w:tcPr>
            <w:tcW w:w="1417" w:type="dxa"/>
          </w:tcPr>
          <w:p w14:paraId="089A815F" w14:textId="77777777" w:rsidR="00DD1896" w:rsidRDefault="00000000">
            <w:pPr>
              <w:spacing w:after="0" w:line="240" w:lineRule="auto"/>
              <w:jc w:val="center"/>
              <w:rPr>
                <w:rStyle w:val="Strong"/>
                <w:rFonts w:ascii="Times New Roman" w:hAnsi="Times New Roman" w:cs="Times New Roman"/>
              </w:rPr>
            </w:pPr>
            <w:r>
              <w:rPr>
                <w:rStyle w:val="Strong"/>
                <w:rFonts w:ascii="Times New Roman" w:hAnsi="Times New Roman" w:cs="Times New Roman"/>
              </w:rPr>
              <w:t>Input Dimensions</w:t>
            </w:r>
          </w:p>
        </w:tc>
        <w:tc>
          <w:tcPr>
            <w:tcW w:w="1134" w:type="dxa"/>
          </w:tcPr>
          <w:p w14:paraId="2A61BEAE" w14:textId="77777777" w:rsidR="00DD1896" w:rsidRDefault="00000000">
            <w:pPr>
              <w:spacing w:after="0" w:line="240" w:lineRule="auto"/>
              <w:jc w:val="center"/>
              <w:rPr>
                <w:rStyle w:val="Strong"/>
                <w:rFonts w:ascii="Times New Roman" w:hAnsi="Times New Roman" w:cs="Times New Roman"/>
              </w:rPr>
            </w:pPr>
            <w:r>
              <w:rPr>
                <w:rStyle w:val="Strong"/>
                <w:rFonts w:ascii="Times New Roman" w:hAnsi="Times New Roman" w:cs="Times New Roman"/>
              </w:rPr>
              <w:t>Output</w:t>
            </w:r>
          </w:p>
        </w:tc>
        <w:tc>
          <w:tcPr>
            <w:tcW w:w="1418" w:type="dxa"/>
          </w:tcPr>
          <w:p w14:paraId="02DCD04A" w14:textId="77777777" w:rsidR="00DD1896" w:rsidRDefault="00000000">
            <w:pPr>
              <w:spacing w:after="0" w:line="240" w:lineRule="auto"/>
              <w:jc w:val="center"/>
              <w:rPr>
                <w:rFonts w:ascii="Times New Roman" w:hAnsi="Times New Roman" w:cs="Times New Roman"/>
                <w:b/>
                <w:bCs/>
              </w:rPr>
            </w:pPr>
            <w:r>
              <w:rPr>
                <w:rStyle w:val="Strong"/>
                <w:rFonts w:ascii="Times New Roman" w:hAnsi="Times New Roman" w:cs="Times New Roman"/>
              </w:rPr>
              <w:t>Strengths</w:t>
            </w:r>
          </w:p>
        </w:tc>
        <w:tc>
          <w:tcPr>
            <w:tcW w:w="1701" w:type="dxa"/>
          </w:tcPr>
          <w:p w14:paraId="6C2F4766" w14:textId="77777777" w:rsidR="00DD1896" w:rsidRDefault="00000000">
            <w:pPr>
              <w:spacing w:after="0" w:line="240" w:lineRule="auto"/>
              <w:jc w:val="center"/>
              <w:rPr>
                <w:rFonts w:ascii="Times New Roman" w:hAnsi="Times New Roman" w:cs="Times New Roman"/>
                <w:b/>
                <w:bCs/>
              </w:rPr>
            </w:pPr>
            <w:r>
              <w:rPr>
                <w:rStyle w:val="Strong"/>
                <w:rFonts w:ascii="Times New Roman" w:hAnsi="Times New Roman" w:cs="Times New Roman"/>
              </w:rPr>
              <w:t>Limitations</w:t>
            </w:r>
          </w:p>
        </w:tc>
      </w:tr>
      <w:tr w:rsidR="00DD1896" w14:paraId="1F873925" w14:textId="77777777">
        <w:tc>
          <w:tcPr>
            <w:tcW w:w="988" w:type="dxa"/>
          </w:tcPr>
          <w:p w14:paraId="77C5DBC5" w14:textId="77777777" w:rsidR="00DD1896" w:rsidRDefault="00000000">
            <w:pPr>
              <w:spacing w:after="0" w:line="240" w:lineRule="auto"/>
              <w:rPr>
                <w:rFonts w:ascii="Times New Roman" w:hAnsi="Times New Roman" w:cs="Times New Roman"/>
              </w:rPr>
            </w:pPr>
            <w:r>
              <w:rPr>
                <w:rFonts w:ascii="Times New Roman" w:hAnsi="Times New Roman" w:cs="Times New Roman"/>
              </w:rPr>
              <w:t>PIML</w:t>
            </w:r>
          </w:p>
        </w:tc>
        <w:tc>
          <w:tcPr>
            <w:tcW w:w="1819" w:type="dxa"/>
          </w:tcPr>
          <w:p w14:paraId="7C8D1477" w14:textId="77777777" w:rsidR="00DD1896" w:rsidRDefault="00000000">
            <w:pPr>
              <w:spacing w:after="0" w:line="240" w:lineRule="auto"/>
              <w:rPr>
                <w:rFonts w:ascii="Times New Roman" w:hAnsi="Times New Roman" w:cs="Times New Roman"/>
              </w:rPr>
            </w:pPr>
            <w:r>
              <w:rPr>
                <w:rFonts w:ascii="Times New Roman" w:hAnsi="Times New Roman" w:cs="Times New Roman"/>
              </w:rPr>
              <w:t>MLP + Physics Constraints</w:t>
            </w:r>
          </w:p>
        </w:tc>
        <w:tc>
          <w:tcPr>
            <w:tcW w:w="1441" w:type="dxa"/>
          </w:tcPr>
          <w:p w14:paraId="4B571BD5" w14:textId="77777777" w:rsidR="00DD1896" w:rsidRDefault="00000000">
            <w:pPr>
              <w:spacing w:after="0" w:line="240" w:lineRule="auto"/>
              <w:rPr>
                <w:rFonts w:ascii="Times New Roman" w:hAnsi="Times New Roman" w:cs="Times New Roman"/>
              </w:rPr>
            </w:pPr>
            <w:r>
              <w:rPr>
                <w:rFonts w:ascii="Times New Roman" w:hAnsi="Times New Roman" w:cs="Times New Roman"/>
              </w:rPr>
              <w:t>~5M</w:t>
            </w:r>
          </w:p>
        </w:tc>
        <w:tc>
          <w:tcPr>
            <w:tcW w:w="1417" w:type="dxa"/>
          </w:tcPr>
          <w:p w14:paraId="67D384EE" w14:textId="77777777" w:rsidR="00DD1896" w:rsidRDefault="00000000">
            <w:pPr>
              <w:spacing w:after="0" w:line="240"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batch_size</w:t>
            </w:r>
            <w:proofErr w:type="spellEnd"/>
            <w:r>
              <w:rPr>
                <w:rFonts w:ascii="Times New Roman" w:hAnsi="Times New Roman" w:cs="Times New Roman"/>
              </w:rPr>
              <w:t xml:space="preserve">, </w:t>
            </w:r>
            <w:proofErr w:type="spellStart"/>
            <w:r>
              <w:rPr>
                <w:rFonts w:ascii="Times New Roman" w:hAnsi="Times New Roman" w:cs="Times New Roman"/>
              </w:rPr>
              <w:t>seq_len</w:t>
            </w:r>
            <w:proofErr w:type="spellEnd"/>
            <w:r>
              <w:rPr>
                <w:rFonts w:ascii="Times New Roman" w:hAnsi="Times New Roman" w:cs="Times New Roman"/>
              </w:rPr>
              <w:t>, features)</w:t>
            </w:r>
          </w:p>
        </w:tc>
        <w:tc>
          <w:tcPr>
            <w:tcW w:w="1134" w:type="dxa"/>
          </w:tcPr>
          <w:p w14:paraId="389F9466" w14:textId="77777777" w:rsidR="00DD1896" w:rsidRDefault="00000000">
            <w:pPr>
              <w:spacing w:after="0" w:line="240" w:lineRule="auto"/>
              <w:rPr>
                <w:rFonts w:ascii="Times New Roman" w:hAnsi="Times New Roman" w:cs="Times New Roman"/>
              </w:rPr>
            </w:pPr>
            <w:r>
              <w:rPr>
                <w:rFonts w:ascii="Times New Roman" w:hAnsi="Times New Roman" w:cs="Times New Roman"/>
              </w:rPr>
              <w:t>RUL + Physics Loss</w:t>
            </w:r>
          </w:p>
        </w:tc>
        <w:tc>
          <w:tcPr>
            <w:tcW w:w="1418" w:type="dxa"/>
          </w:tcPr>
          <w:p w14:paraId="5D0CE325" w14:textId="77777777" w:rsidR="00DD1896" w:rsidRDefault="00000000">
            <w:pPr>
              <w:spacing w:after="0" w:line="240" w:lineRule="auto"/>
              <w:rPr>
                <w:rFonts w:ascii="Times New Roman" w:hAnsi="Times New Roman" w:cs="Times New Roman"/>
              </w:rPr>
            </w:pPr>
            <w:r>
              <w:rPr>
                <w:rFonts w:ascii="Times New Roman" w:hAnsi="Times New Roman" w:cs="Times New Roman"/>
              </w:rPr>
              <w:t>Good with limited data</w:t>
            </w:r>
          </w:p>
        </w:tc>
        <w:tc>
          <w:tcPr>
            <w:tcW w:w="1701" w:type="dxa"/>
          </w:tcPr>
          <w:p w14:paraId="5272F754" w14:textId="77777777" w:rsidR="00DD1896" w:rsidRDefault="00000000">
            <w:pPr>
              <w:spacing w:after="0" w:line="240" w:lineRule="auto"/>
              <w:rPr>
                <w:rFonts w:ascii="Times New Roman" w:hAnsi="Times New Roman" w:cs="Times New Roman"/>
              </w:rPr>
            </w:pPr>
            <w:r>
              <w:rPr>
                <w:rFonts w:ascii="Times New Roman" w:hAnsi="Times New Roman" w:cs="Times New Roman"/>
              </w:rPr>
              <w:t>Needs physics priors</w:t>
            </w:r>
          </w:p>
        </w:tc>
      </w:tr>
      <w:tr w:rsidR="00DD1896" w14:paraId="6C5C0B66" w14:textId="77777777">
        <w:tc>
          <w:tcPr>
            <w:tcW w:w="988" w:type="dxa"/>
          </w:tcPr>
          <w:p w14:paraId="21A7FBF0" w14:textId="77777777" w:rsidR="00DD1896" w:rsidRDefault="00000000">
            <w:pPr>
              <w:spacing w:after="0" w:line="240" w:lineRule="auto"/>
              <w:rPr>
                <w:rFonts w:ascii="Times New Roman" w:hAnsi="Times New Roman" w:cs="Times New Roman"/>
              </w:rPr>
            </w:pPr>
            <w:r>
              <w:rPr>
                <w:rFonts w:ascii="Times New Roman" w:hAnsi="Times New Roman" w:cs="Times New Roman"/>
              </w:rPr>
              <w:t>GNN</w:t>
            </w:r>
          </w:p>
        </w:tc>
        <w:tc>
          <w:tcPr>
            <w:tcW w:w="1819" w:type="dxa"/>
          </w:tcPr>
          <w:p w14:paraId="4478E235" w14:textId="77777777" w:rsidR="00DD1896" w:rsidRDefault="00000000">
            <w:pPr>
              <w:spacing w:after="0" w:line="240" w:lineRule="auto"/>
              <w:rPr>
                <w:rFonts w:ascii="Times New Roman" w:hAnsi="Times New Roman" w:cs="Times New Roman"/>
              </w:rPr>
            </w:pPr>
            <w:r>
              <w:rPr>
                <w:rFonts w:ascii="Times New Roman" w:hAnsi="Times New Roman" w:cs="Times New Roman"/>
              </w:rPr>
              <w:t>Graph Convolution + Pooling</w:t>
            </w:r>
          </w:p>
        </w:tc>
        <w:tc>
          <w:tcPr>
            <w:tcW w:w="1441" w:type="dxa"/>
          </w:tcPr>
          <w:p w14:paraId="6C8AD1AF" w14:textId="77777777" w:rsidR="00DD1896" w:rsidRDefault="00000000">
            <w:pPr>
              <w:spacing w:after="0" w:line="240" w:lineRule="auto"/>
              <w:rPr>
                <w:rFonts w:ascii="Times New Roman" w:hAnsi="Times New Roman" w:cs="Times New Roman"/>
              </w:rPr>
            </w:pPr>
            <w:r>
              <w:rPr>
                <w:rFonts w:ascii="Times New Roman" w:hAnsi="Times New Roman" w:cs="Times New Roman"/>
              </w:rPr>
              <w:t>~8M</w:t>
            </w:r>
          </w:p>
        </w:tc>
        <w:tc>
          <w:tcPr>
            <w:tcW w:w="1417" w:type="dxa"/>
          </w:tcPr>
          <w:p w14:paraId="249B1CE3" w14:textId="77777777" w:rsidR="00DD1896" w:rsidRDefault="00000000">
            <w:pPr>
              <w:spacing w:after="0" w:line="240" w:lineRule="auto"/>
              <w:rPr>
                <w:rFonts w:ascii="Times New Roman" w:hAnsi="Times New Roman" w:cs="Times New Roman"/>
              </w:rPr>
            </w:pPr>
            <w:r>
              <w:rPr>
                <w:rFonts w:ascii="Times New Roman" w:hAnsi="Times New Roman" w:cs="Times New Roman"/>
              </w:rPr>
              <w:t xml:space="preserve">(nodes, features, </w:t>
            </w:r>
            <w:proofErr w:type="spellStart"/>
            <w:r>
              <w:rPr>
                <w:rFonts w:ascii="Times New Roman" w:hAnsi="Times New Roman" w:cs="Times New Roman"/>
              </w:rPr>
              <w:t>adj_matrix</w:t>
            </w:r>
            <w:proofErr w:type="spellEnd"/>
            <w:r>
              <w:rPr>
                <w:rFonts w:ascii="Times New Roman" w:hAnsi="Times New Roman" w:cs="Times New Roman"/>
              </w:rPr>
              <w:t>)</w:t>
            </w:r>
          </w:p>
        </w:tc>
        <w:tc>
          <w:tcPr>
            <w:tcW w:w="1134" w:type="dxa"/>
          </w:tcPr>
          <w:p w14:paraId="6DB0031C" w14:textId="77777777" w:rsidR="00DD1896" w:rsidRDefault="00000000">
            <w:pPr>
              <w:spacing w:after="0" w:line="240" w:lineRule="auto"/>
              <w:rPr>
                <w:rFonts w:ascii="Times New Roman" w:hAnsi="Times New Roman" w:cs="Times New Roman"/>
              </w:rPr>
            </w:pPr>
            <w:r>
              <w:rPr>
                <w:rFonts w:ascii="Times New Roman" w:hAnsi="Times New Roman" w:cs="Times New Roman"/>
              </w:rPr>
              <w:t>Node-level predictions</w:t>
            </w:r>
          </w:p>
        </w:tc>
        <w:tc>
          <w:tcPr>
            <w:tcW w:w="1418" w:type="dxa"/>
          </w:tcPr>
          <w:p w14:paraId="1474306D" w14:textId="77777777" w:rsidR="00DD1896" w:rsidRDefault="00000000">
            <w:pPr>
              <w:spacing w:after="0" w:line="240" w:lineRule="auto"/>
              <w:rPr>
                <w:rFonts w:ascii="Times New Roman" w:hAnsi="Times New Roman" w:cs="Times New Roman"/>
              </w:rPr>
            </w:pPr>
            <w:r>
              <w:rPr>
                <w:rFonts w:ascii="Times New Roman" w:hAnsi="Times New Roman" w:cs="Times New Roman"/>
              </w:rPr>
              <w:t>Captures topology &amp; load transfer</w:t>
            </w:r>
          </w:p>
        </w:tc>
        <w:tc>
          <w:tcPr>
            <w:tcW w:w="1701" w:type="dxa"/>
          </w:tcPr>
          <w:p w14:paraId="487284C3" w14:textId="77777777" w:rsidR="00DD1896" w:rsidRDefault="00000000">
            <w:pPr>
              <w:spacing w:after="0" w:line="240" w:lineRule="auto"/>
              <w:rPr>
                <w:rFonts w:ascii="Times New Roman" w:hAnsi="Times New Roman" w:cs="Times New Roman"/>
              </w:rPr>
            </w:pPr>
            <w:r>
              <w:rPr>
                <w:rFonts w:ascii="Times New Roman" w:hAnsi="Times New Roman" w:cs="Times New Roman"/>
              </w:rPr>
              <w:t>High computational demand</w:t>
            </w:r>
          </w:p>
        </w:tc>
      </w:tr>
      <w:tr w:rsidR="00DD1896" w14:paraId="6325E682" w14:textId="77777777">
        <w:tc>
          <w:tcPr>
            <w:tcW w:w="988" w:type="dxa"/>
          </w:tcPr>
          <w:p w14:paraId="222E2ABD" w14:textId="77777777" w:rsidR="00DD1896" w:rsidRDefault="00000000">
            <w:pPr>
              <w:spacing w:after="0" w:line="240" w:lineRule="auto"/>
              <w:rPr>
                <w:rFonts w:ascii="Times New Roman" w:hAnsi="Times New Roman" w:cs="Times New Roman"/>
              </w:rPr>
            </w:pPr>
            <w:r>
              <w:rPr>
                <w:rFonts w:ascii="Times New Roman" w:hAnsi="Times New Roman" w:cs="Times New Roman"/>
              </w:rPr>
              <w:t>BDL</w:t>
            </w:r>
          </w:p>
        </w:tc>
        <w:tc>
          <w:tcPr>
            <w:tcW w:w="1819" w:type="dxa"/>
          </w:tcPr>
          <w:p w14:paraId="602A50AD" w14:textId="77777777" w:rsidR="00DD1896" w:rsidRDefault="00000000">
            <w:pPr>
              <w:spacing w:after="0" w:line="240" w:lineRule="auto"/>
              <w:rPr>
                <w:rFonts w:ascii="Times New Roman" w:hAnsi="Times New Roman" w:cs="Times New Roman"/>
              </w:rPr>
            </w:pPr>
            <w:r>
              <w:rPr>
                <w:rFonts w:ascii="Times New Roman" w:hAnsi="Times New Roman" w:cs="Times New Roman"/>
              </w:rPr>
              <w:t>Variational Neural Network</w:t>
            </w:r>
          </w:p>
        </w:tc>
        <w:tc>
          <w:tcPr>
            <w:tcW w:w="1441" w:type="dxa"/>
          </w:tcPr>
          <w:p w14:paraId="5265E9A5" w14:textId="77777777" w:rsidR="00DD1896" w:rsidRDefault="00000000">
            <w:pPr>
              <w:spacing w:after="0" w:line="240" w:lineRule="auto"/>
              <w:rPr>
                <w:rFonts w:ascii="Times New Roman" w:hAnsi="Times New Roman" w:cs="Times New Roman"/>
              </w:rPr>
            </w:pPr>
            <w:r>
              <w:rPr>
                <w:rFonts w:ascii="Times New Roman" w:hAnsi="Times New Roman" w:cs="Times New Roman"/>
              </w:rPr>
              <w:t>~12M</w:t>
            </w:r>
          </w:p>
        </w:tc>
        <w:tc>
          <w:tcPr>
            <w:tcW w:w="1417" w:type="dxa"/>
          </w:tcPr>
          <w:p w14:paraId="2AC12EE4" w14:textId="77777777" w:rsidR="00DD1896" w:rsidRDefault="00DD1896">
            <w:pPr>
              <w:spacing w:after="0" w:line="240" w:lineRule="auto"/>
              <w:rPr>
                <w:rFonts w:ascii="Times New Roman" w:hAnsi="Times New Roman" w:cs="Times New Roman"/>
              </w:rPr>
            </w:pPr>
          </w:p>
          <w:p w14:paraId="5030B366" w14:textId="77777777" w:rsidR="00DD1896" w:rsidRDefault="00000000">
            <w:pPr>
              <w:spacing w:after="0" w:line="240" w:lineRule="auto"/>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batch_size</w:t>
            </w:r>
            <w:proofErr w:type="spellEnd"/>
            <w:r>
              <w:rPr>
                <w:rFonts w:ascii="Times New Roman" w:hAnsi="Times New Roman" w:cs="Times New Roman"/>
              </w:rPr>
              <w:t>, features)</w:t>
            </w:r>
          </w:p>
        </w:tc>
        <w:tc>
          <w:tcPr>
            <w:tcW w:w="1134" w:type="dxa"/>
          </w:tcPr>
          <w:p w14:paraId="775F3056" w14:textId="77777777" w:rsidR="00DD1896" w:rsidRDefault="00000000">
            <w:pPr>
              <w:spacing w:after="0" w:line="240" w:lineRule="auto"/>
              <w:rPr>
                <w:rFonts w:ascii="Times New Roman" w:hAnsi="Times New Roman" w:cs="Times New Roman"/>
              </w:rPr>
            </w:pPr>
            <w:r>
              <w:rPr>
                <w:rFonts w:ascii="Times New Roman" w:hAnsi="Times New Roman" w:cs="Times New Roman"/>
              </w:rPr>
              <w:t>Mean + Uncertainty</w:t>
            </w:r>
          </w:p>
        </w:tc>
        <w:tc>
          <w:tcPr>
            <w:tcW w:w="1418" w:type="dxa"/>
          </w:tcPr>
          <w:p w14:paraId="19CE3CBE" w14:textId="77777777" w:rsidR="00DD1896" w:rsidRDefault="00000000">
            <w:pPr>
              <w:spacing w:after="0" w:line="240" w:lineRule="auto"/>
              <w:rPr>
                <w:rFonts w:ascii="Times New Roman" w:hAnsi="Times New Roman" w:cs="Times New Roman"/>
              </w:rPr>
            </w:pPr>
            <w:r>
              <w:rPr>
                <w:rFonts w:ascii="Times New Roman" w:hAnsi="Times New Roman" w:cs="Times New Roman"/>
              </w:rPr>
              <w:t>Provides uncertainty estimates</w:t>
            </w:r>
          </w:p>
        </w:tc>
        <w:tc>
          <w:tcPr>
            <w:tcW w:w="1701" w:type="dxa"/>
          </w:tcPr>
          <w:p w14:paraId="17FD1546" w14:textId="77777777" w:rsidR="00DD1896" w:rsidRDefault="00000000">
            <w:pPr>
              <w:spacing w:after="0" w:line="240" w:lineRule="auto"/>
              <w:rPr>
                <w:rFonts w:ascii="Times New Roman" w:hAnsi="Times New Roman" w:cs="Times New Roman"/>
              </w:rPr>
            </w:pPr>
            <w:r>
              <w:rPr>
                <w:rFonts w:ascii="Times New Roman" w:hAnsi="Times New Roman" w:cs="Times New Roman"/>
              </w:rPr>
              <w:t>Slow inference, resource-heavy</w:t>
            </w:r>
          </w:p>
        </w:tc>
      </w:tr>
      <w:tr w:rsidR="00DD1896" w14:paraId="6F6261BB" w14:textId="77777777">
        <w:tc>
          <w:tcPr>
            <w:tcW w:w="988" w:type="dxa"/>
          </w:tcPr>
          <w:p w14:paraId="4008FF64" w14:textId="77777777" w:rsidR="00DD1896" w:rsidRDefault="00000000">
            <w:pPr>
              <w:spacing w:after="0" w:line="240" w:lineRule="auto"/>
              <w:rPr>
                <w:rFonts w:ascii="Times New Roman" w:hAnsi="Times New Roman" w:cs="Times New Roman"/>
              </w:rPr>
            </w:pPr>
            <w:r>
              <w:rPr>
                <w:rFonts w:ascii="Times New Roman" w:hAnsi="Times New Roman" w:cs="Times New Roman"/>
              </w:rPr>
              <w:t>Hybrid (PIML+BDL)</w:t>
            </w:r>
          </w:p>
        </w:tc>
        <w:tc>
          <w:tcPr>
            <w:tcW w:w="1819" w:type="dxa"/>
          </w:tcPr>
          <w:p w14:paraId="343A63F7" w14:textId="77777777" w:rsidR="00DD1896" w:rsidRDefault="00000000">
            <w:pPr>
              <w:spacing w:after="0" w:line="240" w:lineRule="auto"/>
              <w:rPr>
                <w:rFonts w:ascii="Times New Roman" w:hAnsi="Times New Roman" w:cs="Times New Roman"/>
              </w:rPr>
            </w:pPr>
            <w:r>
              <w:rPr>
                <w:rFonts w:ascii="Times New Roman" w:hAnsi="Times New Roman" w:cs="Times New Roman"/>
              </w:rPr>
              <w:t>Sequential PIML→BDL</w:t>
            </w:r>
          </w:p>
        </w:tc>
        <w:tc>
          <w:tcPr>
            <w:tcW w:w="1441" w:type="dxa"/>
          </w:tcPr>
          <w:p w14:paraId="3F19BCE4" w14:textId="77777777" w:rsidR="00DD1896" w:rsidRDefault="00000000">
            <w:pPr>
              <w:spacing w:after="0" w:line="240" w:lineRule="auto"/>
              <w:rPr>
                <w:rFonts w:ascii="Times New Roman" w:hAnsi="Times New Roman" w:cs="Times New Roman"/>
              </w:rPr>
            </w:pPr>
            <w:r>
              <w:rPr>
                <w:rFonts w:ascii="Times New Roman" w:hAnsi="Times New Roman" w:cs="Times New Roman"/>
              </w:rPr>
              <w:t>~15M</w:t>
            </w:r>
          </w:p>
        </w:tc>
        <w:tc>
          <w:tcPr>
            <w:tcW w:w="1417" w:type="dxa"/>
          </w:tcPr>
          <w:p w14:paraId="59705F94" w14:textId="77777777" w:rsidR="00DD1896" w:rsidRDefault="00000000">
            <w:pPr>
              <w:spacing w:after="0" w:line="240"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batch_size</w:t>
            </w:r>
            <w:proofErr w:type="spellEnd"/>
            <w:r>
              <w:rPr>
                <w:rFonts w:ascii="Times New Roman" w:hAnsi="Times New Roman" w:cs="Times New Roman"/>
              </w:rPr>
              <w:t xml:space="preserve">, </w:t>
            </w:r>
            <w:proofErr w:type="spellStart"/>
            <w:r>
              <w:rPr>
                <w:rFonts w:ascii="Times New Roman" w:hAnsi="Times New Roman" w:cs="Times New Roman"/>
              </w:rPr>
              <w:t>seq_len</w:t>
            </w:r>
            <w:proofErr w:type="spellEnd"/>
            <w:r>
              <w:rPr>
                <w:rFonts w:ascii="Times New Roman" w:hAnsi="Times New Roman" w:cs="Times New Roman"/>
              </w:rPr>
              <w:t>, features)</w:t>
            </w:r>
          </w:p>
        </w:tc>
        <w:tc>
          <w:tcPr>
            <w:tcW w:w="1134" w:type="dxa"/>
          </w:tcPr>
          <w:p w14:paraId="470F880F" w14:textId="77777777" w:rsidR="00DD1896" w:rsidRDefault="00000000">
            <w:pPr>
              <w:spacing w:after="0" w:line="240" w:lineRule="auto"/>
              <w:rPr>
                <w:rFonts w:ascii="Times New Roman" w:hAnsi="Times New Roman" w:cs="Times New Roman"/>
              </w:rPr>
            </w:pPr>
            <w:r>
              <w:rPr>
                <w:rFonts w:ascii="Times New Roman" w:hAnsi="Times New Roman" w:cs="Times New Roman"/>
              </w:rPr>
              <w:t>RUL + Confidence Intervals</w:t>
            </w:r>
          </w:p>
        </w:tc>
        <w:tc>
          <w:tcPr>
            <w:tcW w:w="1418" w:type="dxa"/>
          </w:tcPr>
          <w:p w14:paraId="39E37261" w14:textId="77777777" w:rsidR="00DD1896" w:rsidRDefault="00000000">
            <w:pPr>
              <w:spacing w:after="0" w:line="240" w:lineRule="auto"/>
              <w:rPr>
                <w:rFonts w:ascii="Times New Roman" w:hAnsi="Times New Roman" w:cs="Times New Roman"/>
              </w:rPr>
            </w:pPr>
            <w:r>
              <w:rPr>
                <w:rFonts w:ascii="Times New Roman" w:hAnsi="Times New Roman" w:cs="Times New Roman"/>
              </w:rPr>
              <w:t>Interpretable + uncertainty aware</w:t>
            </w:r>
          </w:p>
        </w:tc>
        <w:tc>
          <w:tcPr>
            <w:tcW w:w="1701" w:type="dxa"/>
          </w:tcPr>
          <w:p w14:paraId="65A7BF4A" w14:textId="77777777" w:rsidR="00DD1896" w:rsidRDefault="00000000">
            <w:pPr>
              <w:spacing w:after="0" w:line="240" w:lineRule="auto"/>
              <w:rPr>
                <w:rFonts w:ascii="Times New Roman" w:hAnsi="Times New Roman" w:cs="Times New Roman"/>
              </w:rPr>
            </w:pPr>
            <w:r>
              <w:rPr>
                <w:rFonts w:ascii="Times New Roman" w:hAnsi="Times New Roman" w:cs="Times New Roman"/>
              </w:rPr>
              <w:t>High training cost</w:t>
            </w:r>
          </w:p>
        </w:tc>
      </w:tr>
    </w:tbl>
    <w:p w14:paraId="2C4C39B2" w14:textId="77777777" w:rsidR="00DD1896" w:rsidRDefault="00DD1896">
      <w:pPr>
        <w:pStyle w:val="NormalWeb"/>
        <w:rPr>
          <w:b/>
          <w:bCs/>
        </w:rPr>
      </w:pPr>
    </w:p>
    <w:p w14:paraId="034E37C3"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3.4 DT Feedback Mechanisms</w:t>
      </w:r>
    </w:p>
    <w:p w14:paraId="6ABDDC0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supports bidirectional flow of data in which sensor data is used to update the DT state in real-time, whereas the DT simulations and predictive models can execute control commands back to the physical system. This feedback drives the DT out of the replica phase into actuate intelligence system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[18]</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10ADD3A2"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Latency/Reliability Issues:</w:t>
      </w:r>
    </w:p>
    <w:p w14:paraId="779C99FB" w14:textId="77777777" w:rsidR="00DD1896" w:rsidRDefault="00000000">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Communication Latency:</w:t>
      </w:r>
      <w:r>
        <w:rPr>
          <w:rFonts w:ascii="Times New Roman" w:eastAsia="Times New Roman" w:hAnsi="Times New Roman" w:cs="Times New Roman"/>
          <w:sz w:val="24"/>
          <w:szCs w:val="24"/>
        </w:rPr>
        <w:t xml:space="preserve"> The entire feedback loop will execute in a range of 2-10 seconds depending on computational processes and the network environment.</w:t>
      </w:r>
    </w:p>
    <w:p w14:paraId="4DCC31DC" w14:textId="77777777" w:rsidR="00DD1896" w:rsidRDefault="00000000">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Failure Handling:</w:t>
      </w:r>
      <w:r>
        <w:rPr>
          <w:rFonts w:ascii="Times New Roman" w:eastAsia="Times New Roman" w:hAnsi="Times New Roman" w:cs="Times New Roman"/>
          <w:sz w:val="24"/>
          <w:szCs w:val="24"/>
        </w:rPr>
        <w:t xml:space="preserve"> There is provision of redundant communication channel and graceful degradation plans. In the event of communication failures, local edge controllers continue to have basic monitoring capabilities of up to 72 hours.</w:t>
      </w:r>
    </w:p>
    <w:p w14:paraId="2DA1B28B" w14:textId="77777777" w:rsidR="00DD1896" w:rsidRDefault="00000000">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challenge of Synchronization:</w:t>
      </w:r>
      <w:r>
        <w:rPr>
          <w:rFonts w:ascii="Times New Roman" w:eastAsia="Times New Roman" w:hAnsi="Times New Roman" w:cs="Times New Roman"/>
          <w:sz w:val="24"/>
          <w:szCs w:val="24"/>
        </w:rPr>
        <w:t xml:space="preserve"> disruption on the network or failure of the individual sensors may lead to desynchronization that could be dealt with through state estimate algorithms and data fusion strategies.</w:t>
      </w:r>
    </w:p>
    <w:p w14:paraId="2F4B4E5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AI layer triggers changes to the adaptive models when they find any abnormalities like unexpected vibration patterns or stress concentrations thereby making certain that any changes in an evolving structural condition are reflected in the models.</w:t>
      </w:r>
    </w:p>
    <w:p w14:paraId="770A5E1D" w14:textId="77777777" w:rsidR="00DD1896" w:rsidRDefault="00DD1896">
      <w:pPr>
        <w:spacing w:after="0" w:line="240" w:lineRule="auto"/>
        <w:rPr>
          <w:rFonts w:ascii="Times New Roman" w:eastAsia="Times New Roman" w:hAnsi="Times New Roman" w:cs="Times New Roman"/>
          <w:sz w:val="24"/>
          <w:szCs w:val="24"/>
        </w:rPr>
      </w:pPr>
    </w:p>
    <w:p w14:paraId="63C962F0"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3.5 Interoperability &amp; Standards</w:t>
      </w:r>
    </w:p>
    <w:p w14:paraId="3FE57A50" w14:textId="77777777" w:rsidR="00DD1896" w:rsidRDefault="00000000">
      <w:pPr>
        <w:pStyle w:val="Heading2"/>
        <w:rPr>
          <w:b w:val="0"/>
          <w:bCs w:val="0"/>
          <w:sz w:val="24"/>
          <w:szCs w:val="24"/>
        </w:rPr>
      </w:pPr>
      <w:r>
        <w:rPr>
          <w:b w:val="0"/>
          <w:bCs w:val="0"/>
          <w:sz w:val="24"/>
          <w:szCs w:val="24"/>
        </w:rPr>
        <w:t xml:space="preserve">The system uses open data descriptions such as IFC to describe model in building structure and </w:t>
      </w:r>
      <w:proofErr w:type="spellStart"/>
      <w:r>
        <w:rPr>
          <w:b w:val="0"/>
          <w:bCs w:val="0"/>
          <w:sz w:val="24"/>
          <w:szCs w:val="24"/>
        </w:rPr>
        <w:t>CityGML</w:t>
      </w:r>
      <w:proofErr w:type="spellEnd"/>
      <w:r>
        <w:rPr>
          <w:b w:val="0"/>
          <w:bCs w:val="0"/>
          <w:sz w:val="24"/>
          <w:szCs w:val="24"/>
        </w:rPr>
        <w:t xml:space="preserve"> describing the urban environment so it can be used across domains and be interoperable.</w:t>
      </w:r>
    </w:p>
    <w:p w14:paraId="619222D5" w14:textId="77777777" w:rsidR="00DD1896" w:rsidRDefault="00000000">
      <w:pPr>
        <w:pStyle w:val="Heading2"/>
        <w:rPr>
          <w:sz w:val="24"/>
          <w:szCs w:val="24"/>
        </w:rPr>
      </w:pPr>
      <w:r>
        <w:rPr>
          <w:sz w:val="24"/>
          <w:szCs w:val="24"/>
        </w:rPr>
        <w:t>Status of implementation of standards</w:t>
      </w:r>
    </w:p>
    <w:p w14:paraId="3E4F2211" w14:textId="77777777" w:rsidR="00DD1896" w:rsidRDefault="00000000">
      <w:pPr>
        <w:pStyle w:val="Heading2"/>
        <w:numPr>
          <w:ilvl w:val="0"/>
          <w:numId w:val="10"/>
        </w:numPr>
        <w:rPr>
          <w:b w:val="0"/>
          <w:bCs w:val="0"/>
          <w:sz w:val="24"/>
          <w:szCs w:val="24"/>
        </w:rPr>
      </w:pPr>
      <w:r>
        <w:rPr>
          <w:sz w:val="24"/>
          <w:szCs w:val="24"/>
        </w:rPr>
        <w:t>ISO 23247 (DT Framework):</w:t>
      </w:r>
      <w:r>
        <w:rPr>
          <w:b w:val="0"/>
          <w:bCs w:val="0"/>
          <w:sz w:val="24"/>
          <w:szCs w:val="24"/>
        </w:rPr>
        <w:t xml:space="preserve"> The standard received publication in the year 2021, and is implemented in 30 percent of commercial DT platforms with a full adoption anticipated by 2027.</w:t>
      </w:r>
    </w:p>
    <w:p w14:paraId="7CDAB419" w14:textId="77777777" w:rsidR="00DD1896" w:rsidRDefault="00000000">
      <w:pPr>
        <w:pStyle w:val="Heading2"/>
        <w:numPr>
          <w:ilvl w:val="0"/>
          <w:numId w:val="10"/>
        </w:numPr>
        <w:rPr>
          <w:b w:val="0"/>
          <w:bCs w:val="0"/>
          <w:sz w:val="24"/>
          <w:szCs w:val="24"/>
        </w:rPr>
      </w:pPr>
      <w:r>
        <w:rPr>
          <w:sz w:val="24"/>
          <w:szCs w:val="24"/>
        </w:rPr>
        <w:t>IFC Standards:</w:t>
      </w:r>
      <w:r>
        <w:rPr>
          <w:b w:val="0"/>
          <w:bCs w:val="0"/>
          <w:sz w:val="24"/>
          <w:szCs w:val="24"/>
        </w:rPr>
        <w:t xml:space="preserve"> Robust and well-established (90 percent of BIM tool), when it comes to exchanging structural information.</w:t>
      </w:r>
    </w:p>
    <w:p w14:paraId="6D3C1FAF" w14:textId="77777777" w:rsidR="00DD1896" w:rsidRDefault="00000000">
      <w:pPr>
        <w:pStyle w:val="Heading2"/>
        <w:numPr>
          <w:ilvl w:val="0"/>
          <w:numId w:val="10"/>
        </w:numPr>
        <w:rPr>
          <w:b w:val="0"/>
          <w:bCs w:val="0"/>
          <w:sz w:val="24"/>
          <w:szCs w:val="24"/>
        </w:rPr>
      </w:pPr>
      <w:r>
        <w:rPr>
          <w:sz w:val="24"/>
          <w:szCs w:val="24"/>
        </w:rPr>
        <w:t>CEN Infrastructure Standards:</w:t>
      </w:r>
      <w:r>
        <w:rPr>
          <w:b w:val="0"/>
          <w:bCs w:val="0"/>
          <w:sz w:val="24"/>
          <w:szCs w:val="24"/>
        </w:rPr>
        <w:t xml:space="preserve"> Current development status, though preliminary versions are available and to some extent commercially deployed (estimated 2026-2028 full deployment of You can find all the information in detail here.</w:t>
      </w:r>
    </w:p>
    <w:p w14:paraId="36987F7A" w14:textId="77777777" w:rsidR="00DD1896" w:rsidRDefault="00DD1896">
      <w:pPr>
        <w:pStyle w:val="Heading2"/>
        <w:rPr>
          <w:sz w:val="24"/>
          <w:szCs w:val="24"/>
        </w:rPr>
      </w:pPr>
    </w:p>
    <w:p w14:paraId="135F2B63" w14:textId="77777777" w:rsidR="00DD1896" w:rsidRDefault="00000000">
      <w:pPr>
        <w:pStyle w:val="Heading2"/>
        <w:rPr>
          <w:sz w:val="24"/>
          <w:szCs w:val="24"/>
        </w:rPr>
      </w:pPr>
      <w:r>
        <w:rPr>
          <w:sz w:val="24"/>
          <w:szCs w:val="24"/>
        </w:rPr>
        <w:t>Investment / Implementation Schedule:</w:t>
      </w:r>
    </w:p>
    <w:p w14:paraId="4510340E" w14:textId="77777777" w:rsidR="00DD1896" w:rsidRDefault="00000000">
      <w:pPr>
        <w:pStyle w:val="Heading2"/>
        <w:jc w:val="both"/>
        <w:rPr>
          <w:b w:val="0"/>
          <w:bCs w:val="0"/>
          <w:sz w:val="24"/>
          <w:szCs w:val="24"/>
        </w:rPr>
      </w:pPr>
      <w:r>
        <w:rPr>
          <w:b w:val="0"/>
          <w:bCs w:val="0"/>
          <w:sz w:val="24"/>
          <w:szCs w:val="24"/>
        </w:rPr>
        <w:t>Major infrastructure networks need 18 -36 months and 2-5 million to implement a complete framework. Staged deployment saves 40-60 percent as well as core functionality in the initial investment.</w:t>
      </w:r>
    </w:p>
    <w:p w14:paraId="19A9D4AE" w14:textId="77777777" w:rsidR="00DD1896" w:rsidRDefault="00000000">
      <w:pPr>
        <w:pStyle w:val="Heading2"/>
        <w:jc w:val="both"/>
        <w:rPr>
          <w:b w:val="0"/>
          <w:bCs w:val="0"/>
          <w:sz w:val="24"/>
          <w:szCs w:val="24"/>
        </w:rPr>
      </w:pPr>
      <w:r>
        <w:rPr>
          <w:b w:val="0"/>
          <w:bCs w:val="0"/>
          <w:sz w:val="24"/>
          <w:szCs w:val="24"/>
        </w:rPr>
        <w:t>Pacific Command readiness per current standards also differs widely Although IFC can give mature exchange the structural information, specialized SHM standardization to facilitate AI-DT integration is not yet fully developed, which can pose interoperability issues in initial adoption stages</w:t>
      </w:r>
      <w:r>
        <w:rPr>
          <w:sz w:val="24"/>
          <w:szCs w:val="24"/>
        </w:rPr>
        <w:fldChar w:fldCharType="begin"/>
      </w:r>
      <w:r>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sz w:val="24"/>
          <w:szCs w:val="24"/>
        </w:rPr>
        <w:fldChar w:fldCharType="separate"/>
      </w:r>
      <w:r>
        <w:rPr>
          <w:sz w:val="24"/>
        </w:rPr>
        <w:t>[19]</w:t>
      </w:r>
      <w:r>
        <w:rPr>
          <w:sz w:val="24"/>
          <w:szCs w:val="24"/>
        </w:rPr>
        <w:fldChar w:fldCharType="end"/>
      </w:r>
      <w:r>
        <w:rPr>
          <w:b w:val="0"/>
          <w:bCs w:val="0"/>
          <w:sz w:val="24"/>
          <w:szCs w:val="24"/>
        </w:rPr>
        <w:t>.</w:t>
      </w:r>
    </w:p>
    <w:p w14:paraId="2350D7A7" w14:textId="77777777" w:rsidR="00DD1896" w:rsidRDefault="00000000">
      <w:pPr>
        <w:pStyle w:val="Heading2"/>
        <w:jc w:val="both"/>
        <w:rPr>
          <w:b w:val="0"/>
          <w:bCs w:val="0"/>
          <w:sz w:val="24"/>
          <w:szCs w:val="24"/>
        </w:rPr>
      </w:pPr>
      <w:r>
        <w:rPr>
          <w:b w:val="0"/>
          <w:bCs w:val="0"/>
          <w:sz w:val="24"/>
          <w:szCs w:val="24"/>
        </w:rPr>
        <w:t xml:space="preserve">The proposed framework goes beyond a monitoring-oriented strategy to provide a complete SHM systems that incorporates real-time sensing, adaptive AI analytics, and intelligent-decision making. Such a design will allow infrastructure systems to evolve beyond a reactive maintenances model into one of self- sensing, predictive, health management, and one that forms the basis of a resilient and sustainable human operation </w:t>
      </w:r>
      <w:r>
        <w:rPr>
          <w:sz w:val="24"/>
          <w:szCs w:val="24"/>
        </w:rPr>
        <w:fldChar w:fldCharType="begin"/>
      </w:r>
      <w:r>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sz w:val="24"/>
          <w:szCs w:val="24"/>
        </w:rPr>
        <w:fldChar w:fldCharType="separate"/>
      </w:r>
      <w:r>
        <w:rPr>
          <w:sz w:val="24"/>
        </w:rPr>
        <w:t>[20]</w:t>
      </w:r>
      <w:r>
        <w:rPr>
          <w:sz w:val="24"/>
          <w:szCs w:val="24"/>
        </w:rPr>
        <w:fldChar w:fldCharType="end"/>
      </w:r>
      <w:r>
        <w:rPr>
          <w:b w:val="0"/>
          <w:bCs w:val="0"/>
          <w:sz w:val="24"/>
          <w:szCs w:val="24"/>
        </w:rPr>
        <w:t>.</w:t>
      </w:r>
    </w:p>
    <w:p w14:paraId="6F6DDD3C" w14:textId="77777777" w:rsidR="00DD1896" w:rsidRDefault="00000000">
      <w:pPr>
        <w:pStyle w:val="Heading2"/>
        <w:rPr>
          <w:sz w:val="24"/>
          <w:szCs w:val="24"/>
        </w:rPr>
      </w:pPr>
      <w:r>
        <w:rPr>
          <w:sz w:val="24"/>
          <w:szCs w:val="24"/>
        </w:rPr>
        <w:t>Main Technical Specifications</w:t>
      </w:r>
    </w:p>
    <w:p w14:paraId="64CD3025" w14:textId="77777777" w:rsidR="00DD1896" w:rsidRDefault="00000000">
      <w:pPr>
        <w:pStyle w:val="Heading2"/>
        <w:numPr>
          <w:ilvl w:val="0"/>
          <w:numId w:val="11"/>
        </w:numPr>
        <w:rPr>
          <w:b w:val="0"/>
          <w:bCs w:val="0"/>
          <w:sz w:val="24"/>
          <w:szCs w:val="24"/>
        </w:rPr>
      </w:pPr>
      <w:r>
        <w:rPr>
          <w:sz w:val="24"/>
          <w:szCs w:val="24"/>
        </w:rPr>
        <w:t>Minimum hardware requirements:</w:t>
      </w:r>
      <w:r>
        <w:rPr>
          <w:b w:val="0"/>
          <w:bCs w:val="0"/>
          <w:sz w:val="24"/>
          <w:szCs w:val="24"/>
        </w:rPr>
        <w:t xml:space="preserve"> 32GB RAM, 16GB GPU memory and 10TB storage per major asset.</w:t>
      </w:r>
    </w:p>
    <w:p w14:paraId="2EBCE444" w14:textId="77777777" w:rsidR="00DD1896" w:rsidRDefault="00000000">
      <w:pPr>
        <w:pStyle w:val="Heading2"/>
        <w:numPr>
          <w:ilvl w:val="0"/>
          <w:numId w:val="11"/>
        </w:numPr>
        <w:rPr>
          <w:b w:val="0"/>
          <w:bCs w:val="0"/>
          <w:sz w:val="24"/>
          <w:szCs w:val="24"/>
        </w:rPr>
      </w:pPr>
      <w:r>
        <w:rPr>
          <w:sz w:val="24"/>
          <w:szCs w:val="24"/>
        </w:rPr>
        <w:t>Network specifications:</w:t>
      </w:r>
      <w:r>
        <w:rPr>
          <w:b w:val="0"/>
          <w:bCs w:val="0"/>
          <w:sz w:val="24"/>
          <w:szCs w:val="24"/>
        </w:rPr>
        <w:t xml:space="preserve"> 100 Mb/s leased line, low-less than 100 </w:t>
      </w:r>
      <w:proofErr w:type="spellStart"/>
      <w:r>
        <w:rPr>
          <w:b w:val="0"/>
          <w:bCs w:val="0"/>
          <w:sz w:val="24"/>
          <w:szCs w:val="24"/>
        </w:rPr>
        <w:t>ms</w:t>
      </w:r>
      <w:proofErr w:type="spellEnd"/>
      <w:r>
        <w:rPr>
          <w:b w:val="0"/>
          <w:bCs w:val="0"/>
          <w:sz w:val="24"/>
          <w:szCs w:val="24"/>
        </w:rPr>
        <w:t xml:space="preserve"> latency, latency on critical operations.</w:t>
      </w:r>
    </w:p>
    <w:p w14:paraId="1F8DE2F7" w14:textId="77777777" w:rsidR="00DD1896" w:rsidRDefault="00000000">
      <w:pPr>
        <w:pStyle w:val="Heading2"/>
        <w:numPr>
          <w:ilvl w:val="0"/>
          <w:numId w:val="11"/>
        </w:numPr>
        <w:rPr>
          <w:b w:val="0"/>
          <w:bCs w:val="0"/>
          <w:sz w:val="24"/>
          <w:szCs w:val="24"/>
        </w:rPr>
      </w:pPr>
      <w:r>
        <w:rPr>
          <w:sz w:val="24"/>
          <w:szCs w:val="24"/>
        </w:rPr>
        <w:t>Scalability:</w:t>
      </w:r>
      <w:r>
        <w:rPr>
          <w:b w:val="0"/>
          <w:bCs w:val="0"/>
          <w:sz w:val="24"/>
          <w:szCs w:val="24"/>
        </w:rPr>
        <w:t xml:space="preserve"> 100 or 1000 sensor streams at a time per implementation</w:t>
      </w:r>
    </w:p>
    <w:p w14:paraId="2148E48A" w14:textId="77777777" w:rsidR="00DD1896" w:rsidRDefault="00000000">
      <w:pPr>
        <w:pStyle w:val="Heading2"/>
        <w:numPr>
          <w:ilvl w:val="0"/>
          <w:numId w:val="11"/>
        </w:numPr>
        <w:rPr>
          <w:b w:val="0"/>
          <w:bCs w:val="0"/>
          <w:sz w:val="24"/>
          <w:szCs w:val="24"/>
        </w:rPr>
      </w:pPr>
      <w:r>
        <w:rPr>
          <w:sz w:val="24"/>
          <w:szCs w:val="24"/>
        </w:rPr>
        <w:t>Reliability:</w:t>
      </w:r>
      <w:r>
        <w:rPr>
          <w:b w:val="0"/>
          <w:bCs w:val="0"/>
          <w:sz w:val="24"/>
          <w:szCs w:val="24"/>
        </w:rPr>
        <w:t xml:space="preserve"> Redundant systems, 99.5% uptime, autonomous operation is 72-hours in the case of loss of communications.</w:t>
      </w:r>
    </w:p>
    <w:p w14:paraId="04744E90" w14:textId="77777777" w:rsidR="00DD1896" w:rsidRDefault="00000000">
      <w:pPr>
        <w:pStyle w:val="Heading2"/>
        <w:rPr>
          <w:rStyle w:val="Strong"/>
          <w:rFonts w:eastAsiaTheme="majorEastAsia"/>
          <w:b/>
          <w:bCs/>
          <w:sz w:val="28"/>
          <w:szCs w:val="28"/>
        </w:rPr>
      </w:pPr>
      <w:r>
        <w:rPr>
          <w:rStyle w:val="Strong"/>
          <w:rFonts w:eastAsiaTheme="majorEastAsia"/>
          <w:b/>
          <w:bCs/>
          <w:sz w:val="28"/>
          <w:szCs w:val="28"/>
        </w:rPr>
        <w:lastRenderedPageBreak/>
        <w:t>4. Advanced AI Techniques in SHM DT</w:t>
      </w:r>
    </w:p>
    <w:p w14:paraId="7CF6A846" w14:textId="77777777" w:rsidR="00DD1896" w:rsidRDefault="00000000">
      <w:pPr>
        <w:pStyle w:val="Heading2"/>
        <w:jc w:val="both"/>
        <w:rPr>
          <w:rFonts w:eastAsiaTheme="minorHAnsi"/>
          <w:b w:val="0"/>
          <w:bCs w:val="0"/>
          <w:sz w:val="24"/>
          <w:szCs w:val="24"/>
        </w:rPr>
      </w:pPr>
      <w:r>
        <w:rPr>
          <w:rFonts w:eastAsiaTheme="minorHAnsi"/>
          <w:b w:val="0"/>
          <w:bCs w:val="0"/>
          <w:sz w:val="24"/>
          <w:szCs w:val="24"/>
        </w:rPr>
        <w:t>This section will describe how the various AI methodologies can be combined into the five-layer framework we have presented in Section 3, and how the theoretical achievements of these approaches can be put into practical use as SHM intelligence. All the techniques work within the specific framework layers and contribute to the predictive/decision-making effectiveness of the whole system</w:t>
      </w:r>
      <w:r>
        <w:rPr>
          <w:sz w:val="24"/>
          <w:szCs w:val="24"/>
        </w:rPr>
        <w:fldChar w:fldCharType="begin"/>
      </w:r>
      <w:r>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sz w:val="24"/>
          <w:szCs w:val="24"/>
        </w:rPr>
        <w:fldChar w:fldCharType="separate"/>
      </w:r>
      <w:r>
        <w:rPr>
          <w:sz w:val="24"/>
        </w:rPr>
        <w:t>[21]</w:t>
      </w:r>
      <w:r>
        <w:rPr>
          <w:sz w:val="24"/>
          <w:szCs w:val="24"/>
        </w:rPr>
        <w:fldChar w:fldCharType="end"/>
      </w:r>
      <w:r>
        <w:rPr>
          <w:rFonts w:eastAsiaTheme="minorHAnsi"/>
          <w:b w:val="0"/>
          <w:bCs w:val="0"/>
          <w:sz w:val="24"/>
          <w:szCs w:val="24"/>
        </w:rPr>
        <w:t>.</w:t>
      </w:r>
    </w:p>
    <w:p w14:paraId="1DA28DF4" w14:textId="77777777" w:rsidR="00DD1896" w:rsidRDefault="00000000">
      <w:pPr>
        <w:pStyle w:val="Heading2"/>
        <w:rPr>
          <w:sz w:val="27"/>
          <w:szCs w:val="27"/>
        </w:rPr>
      </w:pPr>
      <w:r>
        <w:rPr>
          <w:sz w:val="27"/>
          <w:szCs w:val="27"/>
        </w:rPr>
        <w:t>4.1 Framework Integration Overview</w:t>
      </w:r>
    </w:p>
    <w:p w14:paraId="002C7B53" w14:textId="77777777" w:rsidR="00DD1896" w:rsidRDefault="00000000">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AI techniques are implemented in several framework layers as follows: the AI Analytics layer (Layer 3) contains core algorithms such as PIML, GNNs, BDL to perform main data processing and Generate predictions. Maintenance optimization and scheduling Using RL the Decision Support layer (Layer 5) undertakes maintenance optimization and scheduling. Explainable AI is implemented on both the layers to make them interpretable. The integration guarantees the smooth flow in data form raw sensors to real-life maintenance actions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[22]</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4583BCAD" w14:textId="77777777" w:rsidR="00DD1896" w:rsidRDefault="00000000">
      <w:pPr>
        <w:pStyle w:val="Caption"/>
        <w:keepNext/>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5</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AI Technique Integration within Framework Layers</w:t>
      </w:r>
    </w:p>
    <w:tbl>
      <w:tblPr>
        <w:tblStyle w:val="TableGrid"/>
        <w:tblW w:w="0" w:type="auto"/>
        <w:tblLook w:val="04A0" w:firstRow="1" w:lastRow="0" w:firstColumn="1" w:lastColumn="0" w:noHBand="0" w:noVBand="1"/>
      </w:tblPr>
      <w:tblGrid>
        <w:gridCol w:w="1851"/>
        <w:gridCol w:w="1400"/>
        <w:gridCol w:w="1673"/>
        <w:gridCol w:w="2267"/>
        <w:gridCol w:w="2159"/>
      </w:tblGrid>
      <w:tr w:rsidR="00DD1896" w14:paraId="645C038F" w14:textId="77777777">
        <w:tc>
          <w:tcPr>
            <w:tcW w:w="0" w:type="auto"/>
          </w:tcPr>
          <w:p w14:paraId="69EA020D"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 Technique</w:t>
            </w:r>
          </w:p>
        </w:tc>
        <w:tc>
          <w:tcPr>
            <w:tcW w:w="0" w:type="auto"/>
          </w:tcPr>
          <w:p w14:paraId="515DA6B5"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Layer</w:t>
            </w:r>
          </w:p>
        </w:tc>
        <w:tc>
          <w:tcPr>
            <w:tcW w:w="0" w:type="auto"/>
          </w:tcPr>
          <w:p w14:paraId="10D13C82"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Secondary Layer</w:t>
            </w:r>
          </w:p>
        </w:tc>
        <w:tc>
          <w:tcPr>
            <w:tcW w:w="0" w:type="auto"/>
          </w:tcPr>
          <w:p w14:paraId="460AF708"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Computational Requirements</w:t>
            </w:r>
          </w:p>
        </w:tc>
        <w:tc>
          <w:tcPr>
            <w:tcW w:w="0" w:type="auto"/>
          </w:tcPr>
          <w:p w14:paraId="2DB3C367"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Field Deployment Feasibility</w:t>
            </w:r>
          </w:p>
        </w:tc>
      </w:tr>
      <w:tr w:rsidR="00DD1896" w14:paraId="0946538A" w14:textId="77777777">
        <w:tc>
          <w:tcPr>
            <w:tcW w:w="0" w:type="auto"/>
          </w:tcPr>
          <w:p w14:paraId="3901672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PIML</w:t>
            </w:r>
          </w:p>
        </w:tc>
        <w:tc>
          <w:tcPr>
            <w:tcW w:w="0" w:type="auto"/>
          </w:tcPr>
          <w:p w14:paraId="05E02E9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04676F3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Pr>
          <w:p w14:paraId="0F22FC4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 (8-16GB GPU)</w:t>
            </w:r>
          </w:p>
        </w:tc>
        <w:tc>
          <w:tcPr>
            <w:tcW w:w="0" w:type="auto"/>
          </w:tcPr>
          <w:p w14:paraId="4C3430F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 Reduced data requirements</w:t>
            </w:r>
          </w:p>
        </w:tc>
      </w:tr>
      <w:tr w:rsidR="00DD1896" w14:paraId="462D8F15" w14:textId="77777777">
        <w:tc>
          <w:tcPr>
            <w:tcW w:w="0" w:type="auto"/>
          </w:tcPr>
          <w:p w14:paraId="69FF7B4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GNNs</w:t>
            </w:r>
          </w:p>
        </w:tc>
        <w:tc>
          <w:tcPr>
            <w:tcW w:w="0" w:type="auto"/>
          </w:tcPr>
          <w:p w14:paraId="0928F15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02C05AD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DT Visualization (4)</w:t>
            </w:r>
          </w:p>
        </w:tc>
        <w:tc>
          <w:tcPr>
            <w:tcW w:w="0" w:type="auto"/>
          </w:tcPr>
          <w:p w14:paraId="2869028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(32GB+ GPU)</w:t>
            </w:r>
          </w:p>
        </w:tc>
        <w:tc>
          <w:tcPr>
            <w:tcW w:w="0" w:type="auto"/>
          </w:tcPr>
          <w:p w14:paraId="5F93DA6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Medium - Complex infrastructure only</w:t>
            </w:r>
          </w:p>
        </w:tc>
      </w:tr>
      <w:tr w:rsidR="00DD1896" w14:paraId="7C4ECAD7" w14:textId="77777777">
        <w:tc>
          <w:tcPr>
            <w:tcW w:w="0" w:type="auto"/>
          </w:tcPr>
          <w:p w14:paraId="5CD6FC48"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BDL</w:t>
            </w:r>
          </w:p>
        </w:tc>
        <w:tc>
          <w:tcPr>
            <w:tcW w:w="0" w:type="auto"/>
          </w:tcPr>
          <w:p w14:paraId="3E99465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192BB4C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Support (5)</w:t>
            </w:r>
          </w:p>
        </w:tc>
        <w:tc>
          <w:tcPr>
            <w:tcW w:w="0" w:type="auto"/>
          </w:tcPr>
          <w:p w14:paraId="3CC2C28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 (64GB+ GPU, distributed)</w:t>
            </w:r>
          </w:p>
        </w:tc>
        <w:tc>
          <w:tcPr>
            <w:tcW w:w="0" w:type="auto"/>
          </w:tcPr>
          <w:p w14:paraId="16ACC00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 Cost-prohibitive for most sites</w:t>
            </w:r>
          </w:p>
        </w:tc>
      </w:tr>
      <w:tr w:rsidR="00DD1896" w14:paraId="5F86B346" w14:textId="77777777">
        <w:tc>
          <w:tcPr>
            <w:tcW w:w="0" w:type="auto"/>
          </w:tcPr>
          <w:p w14:paraId="75C88A3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RL</w:t>
            </w:r>
          </w:p>
        </w:tc>
        <w:tc>
          <w:tcPr>
            <w:tcW w:w="0" w:type="auto"/>
          </w:tcPr>
          <w:p w14:paraId="296A962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Support (5)</w:t>
            </w:r>
          </w:p>
        </w:tc>
        <w:tc>
          <w:tcPr>
            <w:tcW w:w="0" w:type="auto"/>
          </w:tcPr>
          <w:p w14:paraId="7910197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79AE7B6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High (multi-GPU clusters)</w:t>
            </w:r>
          </w:p>
        </w:tc>
        <w:tc>
          <w:tcPr>
            <w:tcW w:w="0" w:type="auto"/>
          </w:tcPr>
          <w:p w14:paraId="35C19BE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 Limited to critical assets</w:t>
            </w:r>
          </w:p>
        </w:tc>
      </w:tr>
      <w:tr w:rsidR="00DD1896" w14:paraId="5B30E908" w14:textId="77777777">
        <w:tc>
          <w:tcPr>
            <w:tcW w:w="0" w:type="auto"/>
          </w:tcPr>
          <w:p w14:paraId="4D9873C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CNNs/Vision Transformers</w:t>
            </w:r>
          </w:p>
        </w:tc>
        <w:tc>
          <w:tcPr>
            <w:tcW w:w="0" w:type="auto"/>
          </w:tcPr>
          <w:p w14:paraId="6C9E499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0F7B38A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Acquisition (2)</w:t>
            </w:r>
          </w:p>
        </w:tc>
        <w:tc>
          <w:tcPr>
            <w:tcW w:w="0" w:type="auto"/>
          </w:tcPr>
          <w:p w14:paraId="0539E52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Moderate-High (16-32GB GPU)</w:t>
            </w:r>
          </w:p>
        </w:tc>
        <w:tc>
          <w:tcPr>
            <w:tcW w:w="0" w:type="auto"/>
          </w:tcPr>
          <w:p w14:paraId="19187AE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 Proven drone/camera applications</w:t>
            </w:r>
          </w:p>
        </w:tc>
      </w:tr>
      <w:tr w:rsidR="00DD1896" w14:paraId="29477C95" w14:textId="77777777">
        <w:tc>
          <w:tcPr>
            <w:tcW w:w="0" w:type="auto"/>
          </w:tcPr>
          <w:p w14:paraId="7E68B94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Explainable AI</w:t>
            </w:r>
          </w:p>
        </w:tc>
        <w:tc>
          <w:tcPr>
            <w:tcW w:w="0" w:type="auto"/>
          </w:tcPr>
          <w:p w14:paraId="129A110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 Analytics (3)</w:t>
            </w:r>
          </w:p>
        </w:tc>
        <w:tc>
          <w:tcPr>
            <w:tcW w:w="0" w:type="auto"/>
          </w:tcPr>
          <w:p w14:paraId="3B8AE5D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Support (5)</w:t>
            </w:r>
          </w:p>
        </w:tc>
        <w:tc>
          <w:tcPr>
            <w:tcW w:w="0" w:type="auto"/>
          </w:tcPr>
          <w:p w14:paraId="5AA170A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(additional 10-20% overhead)</w:t>
            </w:r>
          </w:p>
        </w:tc>
        <w:tc>
          <w:tcPr>
            <w:tcW w:w="0" w:type="auto"/>
          </w:tcPr>
          <w:p w14:paraId="7E6CA6C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 Essential for safety compliance</w:t>
            </w:r>
          </w:p>
        </w:tc>
      </w:tr>
    </w:tbl>
    <w:p w14:paraId="36833ADE"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xml:space="preserve"> illustrates the integration architecture, showing how AI techniques map to specific framework layers and operational functions.</w:t>
      </w:r>
    </w:p>
    <w:p w14:paraId="63762F36" w14:textId="77777777" w:rsidR="00DD1896" w:rsidRDefault="00DD1896">
      <w:pPr>
        <w:spacing w:beforeAutospacing="1" w:after="100" w:afterAutospacing="1" w:line="240" w:lineRule="auto"/>
        <w:rPr>
          <w:rFonts w:ascii="Times New Roman" w:eastAsia="Times New Roman" w:hAnsi="Times New Roman" w:cs="Times New Roman"/>
          <w:sz w:val="24"/>
          <w:szCs w:val="24"/>
        </w:rPr>
      </w:pPr>
    </w:p>
    <w:p w14:paraId="47FE1F48" w14:textId="77777777" w:rsidR="00DD1896" w:rsidRDefault="00000000">
      <w:pPr>
        <w:pStyle w:val="Heading2"/>
        <w:keepNext/>
      </w:pPr>
      <w:r>
        <w:rPr>
          <w:noProof/>
        </w:rPr>
        <w:lastRenderedPageBreak/>
        <w:drawing>
          <wp:inline distT="0" distB="0" distL="0" distR="0" wp14:anchorId="0EBF5344" wp14:editId="5CEA1152">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B02DFE0" w14:textId="77777777" w:rsidR="00DD1896" w:rsidRDefault="00000000">
      <w:pPr>
        <w:pStyle w:val="Caption"/>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2</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Integration of AI techniques within the five-layer DT framework, showing technique-specific deployment across layers and computational flow paths.</w:t>
      </w:r>
    </w:p>
    <w:p w14:paraId="38538298" w14:textId="77777777" w:rsidR="00DD1896" w:rsidRDefault="00000000">
      <w:pPr>
        <w:pStyle w:val="Heading3"/>
        <w:jc w:val="both"/>
        <w:rPr>
          <w:rStyle w:val="Strong"/>
          <w:rFonts w:ascii="Times New Roman" w:hAnsi="Times New Roman" w:cs="Times New Roman"/>
          <w:color w:val="000000" w:themeColor="text1"/>
          <w:sz w:val="28"/>
          <w:szCs w:val="28"/>
        </w:rPr>
      </w:pPr>
      <w:r>
        <w:rPr>
          <w:rFonts w:ascii="Times New Roman" w:eastAsia="Times New Roman" w:hAnsi="Times New Roman" w:cs="Times New Roman"/>
          <w:color w:val="auto"/>
        </w:rPr>
        <w:lastRenderedPageBreak/>
        <w:t>Figure 2, AI implementations integrated to the DT architecture. Across the figure, major AI techniques such as PIML, GNNs, BDL, RL, and XAI are now applied to Structural Health Monitoring. PIML enhances model generalization in cases when data are scarce; GNNs are a part of the graphical structure of a system; BDL gives predictions that considers the uncertainty; and RL improves maintenance policies; and XAI helps ensure decisions are understandable and transparent. This figure describes the role of AI methods in the proposed DT approach to SHM because it indicates how it works. It indicates how every method is connected to the significant operations involved, and therefore, one can get the overall view of use multiple models of AI in predictive maintenance, detection of anomalies, optimization, and explain ability.</w:t>
      </w:r>
    </w:p>
    <w:p w14:paraId="76C5E28C"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4.2 Predictive Analytics with PIML</w:t>
      </w:r>
    </w:p>
    <w:p w14:paraId="20911331"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location of PIML in AI Analytics is to integrate the structural mechanics into the neural network structure. This interface with the sensor data streams provided by the framework (Layer 2) allows this prediction of RUL to be achieved even with limited available past data with integrity. Using the advanced time modeling RNN and LSTM networks with sensor data, the structural behavior is able to identify long-range dependencies using time-series</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[23]</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7899FBDD"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Temporal Fusion Transformers (TFTs) are the most up-to-date, providing multi-horizon prediction combined with the attention that can dynamically focus on the important sensor information over time. The continuous updates of information on the framework where TFTs make their continuous data updates allow the refinement of TFT predictions as the structural conditions improve and worsen (Layer 2: Layer 3)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[24]</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46604EE9"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Framework Integration</w:t>
      </w:r>
      <w:r>
        <w:rPr>
          <w:rFonts w:ascii="Times New Roman" w:eastAsia="Times New Roman" w:hAnsi="Times New Roman" w:cs="Times New Roman"/>
          <w:sz w:val="24"/>
          <w:szCs w:val="24"/>
        </w:rPr>
        <w:t xml:space="preserve">: PIML consumes filtered sensor data provided by the Data Acquisition layer and provides predictions to both the DT Visualization layer to be visualized and the Decision Support layer to aid with maintenance planning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[25]</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77C023C6"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lastRenderedPageBreak/>
        <w:t>4.3 Autonomous Damage Detection Through Computer Vision</w:t>
      </w:r>
    </w:p>
    <w:p w14:paraId="212948AF" w14:textId="77777777" w:rsidR="00DD1896" w:rsidRDefault="00000000">
      <w:pPr>
        <w:pStyle w:val="Heading3"/>
        <w:jc w:val="both"/>
        <w:rPr>
          <w:rFonts w:ascii="Times New Roman" w:eastAsia="Times New Roman" w:hAnsi="Times New Roman" w:cs="Times New Roman"/>
          <w:color w:val="auto"/>
        </w:rPr>
      </w:pPr>
      <w:r>
        <w:rPr>
          <w:rFonts w:ascii="Times New Roman" w:eastAsia="Times New Roman" w:hAnsi="Times New Roman" w:cs="Times New Roman"/>
          <w:color w:val="auto"/>
        </w:rPr>
        <w:t>Computer vision is at the interface between Data Acquisition (Layer 2) and AI Analytics (Layer 3). CNNs and Vision Transformers can read high-resolution drone-collected inspection imagery or fixed cameras to identify sight defects, corrosion and cracks pixel by pixel.</w:t>
      </w:r>
    </w:p>
    <w:p w14:paraId="47D62ED3" w14:textId="77777777" w:rsidR="00DD1896" w:rsidRDefault="00000000">
      <w:pPr>
        <w:pStyle w:val="Heading3"/>
        <w:jc w:val="both"/>
        <w:rPr>
          <w:rFonts w:ascii="Times New Roman" w:eastAsia="Times New Roman" w:hAnsi="Times New Roman" w:cs="Times New Roman"/>
          <w:color w:val="auto"/>
        </w:rPr>
      </w:pPr>
      <w:r>
        <w:rPr>
          <w:rFonts w:ascii="Times New Roman" w:eastAsia="Times New Roman" w:hAnsi="Times New Roman" w:cs="Times New Roman"/>
          <w:b/>
          <w:bCs/>
          <w:color w:val="auto"/>
        </w:rPr>
        <w:t>Field Deployment Reality:</w:t>
      </w:r>
      <w:r>
        <w:rPr>
          <w:rFonts w:ascii="Times New Roman" w:eastAsia="Times New Roman" w:hAnsi="Times New Roman" w:cs="Times New Roman"/>
          <w:color w:val="auto"/>
        </w:rPr>
        <w:t xml:space="preserve"> This is the most realistic AI use case in the context of SHM applications so far. Can normally process drone imagery using standard hardware (16-32GB GPU) in near real-time, which makes this method cost-effective in use when conducting routine inspections. ROI achieved by commercial implementations within 2-3 years has already been demonstrated through the reduction of costs of manual inspections </w:t>
      </w:r>
      <w:r>
        <w:rPr>
          <w:rFonts w:ascii="Times New Roman" w:eastAsia="Times New Roman" w:hAnsi="Times New Roman" w:cs="Times New Roman"/>
          <w:b/>
          <w:bCs/>
          <w:color w:val="000000" w:themeColor="text1"/>
        </w:rPr>
        <w:fldChar w:fldCharType="begin"/>
      </w:r>
      <w:r>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rPr>
        <w:fldChar w:fldCharType="separate"/>
      </w:r>
      <w:r>
        <w:rPr>
          <w:rFonts w:ascii="Times New Roman" w:hAnsi="Times New Roman" w:cs="Times New Roman"/>
          <w:b/>
          <w:bCs/>
          <w:color w:val="000000" w:themeColor="text1"/>
        </w:rPr>
        <w:t>[22]</w:t>
      </w:r>
      <w:r>
        <w:rPr>
          <w:rFonts w:ascii="Times New Roman" w:eastAsia="Times New Roman" w:hAnsi="Times New Roman" w:cs="Times New Roman"/>
          <w:b/>
          <w:bCs/>
          <w:color w:val="000000" w:themeColor="text1"/>
        </w:rPr>
        <w:fldChar w:fldCharType="end"/>
      </w:r>
      <w:r>
        <w:rPr>
          <w:rFonts w:ascii="Times New Roman" w:eastAsia="Times New Roman" w:hAnsi="Times New Roman" w:cs="Times New Roman"/>
          <w:color w:val="auto"/>
        </w:rPr>
        <w:t>.</w:t>
      </w:r>
    </w:p>
    <w:p w14:paraId="7ECF38E7" w14:textId="77777777" w:rsidR="00DD1896" w:rsidRDefault="00000000">
      <w:pPr>
        <w:pStyle w:val="Heading3"/>
        <w:jc w:val="both"/>
        <w:rPr>
          <w:rFonts w:ascii="Times New Roman" w:eastAsia="Times New Roman" w:hAnsi="Times New Roman" w:cs="Times New Roman"/>
          <w:color w:val="auto"/>
        </w:rPr>
      </w:pPr>
      <w:r>
        <w:rPr>
          <w:rFonts w:ascii="Times New Roman" w:eastAsia="Times New Roman" w:hAnsi="Times New Roman" w:cs="Times New Roman"/>
          <w:color w:val="auto"/>
        </w:rPr>
        <w:t>When it comes to detection of the subsurface damage, the acoustic emission analysis is used in conjunction with deep CNN cavities to identify the stress wave patterns related to crack formation and crack propagation. These systems are in uninterrupted operation, making them less sensitive to scheduled manual inspections as well as preventing the detection of structural changes at an early stage</w:t>
      </w:r>
      <w:r>
        <w:rPr>
          <w:rFonts w:ascii="Times New Roman" w:eastAsia="Times New Roman" w:hAnsi="Times New Roman" w:cs="Times New Roman"/>
          <w:b/>
          <w:bCs/>
          <w:color w:val="000000" w:themeColor="text1"/>
        </w:rPr>
        <w:fldChar w:fldCharType="begin"/>
      </w:r>
      <w:r>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rPr>
        <w:fldChar w:fldCharType="separate"/>
      </w:r>
      <w:r>
        <w:rPr>
          <w:rFonts w:ascii="Times New Roman" w:hAnsi="Times New Roman" w:cs="Times New Roman"/>
          <w:b/>
          <w:bCs/>
          <w:color w:val="000000" w:themeColor="text1"/>
        </w:rPr>
        <w:t>[22]</w:t>
      </w:r>
      <w:r>
        <w:rPr>
          <w:rFonts w:ascii="Times New Roman" w:eastAsia="Times New Roman" w:hAnsi="Times New Roman" w:cs="Times New Roman"/>
          <w:b/>
          <w:bCs/>
          <w:color w:val="000000" w:themeColor="text1"/>
        </w:rPr>
        <w:fldChar w:fldCharType="end"/>
      </w:r>
      <w:r>
        <w:rPr>
          <w:rFonts w:ascii="Times New Roman" w:eastAsia="Times New Roman" w:hAnsi="Times New Roman" w:cs="Times New Roman"/>
          <w:color w:val="auto"/>
        </w:rPr>
        <w:t>.</w:t>
      </w:r>
    </w:p>
    <w:p w14:paraId="6EC6F777" w14:textId="77777777" w:rsidR="00DD1896" w:rsidRDefault="00000000">
      <w:pPr>
        <w:pStyle w:val="Heading3"/>
        <w:rPr>
          <w:rFonts w:ascii="Times New Roman" w:hAnsi="Times New Roman" w:cs="Times New Roman"/>
        </w:rPr>
      </w:pPr>
      <w:r>
        <w:rPr>
          <w:rStyle w:val="Strong"/>
          <w:rFonts w:ascii="Times New Roman" w:hAnsi="Times New Roman" w:cs="Times New Roman"/>
          <w:color w:val="000000" w:themeColor="text1"/>
          <w:sz w:val="28"/>
          <w:szCs w:val="28"/>
        </w:rPr>
        <w:t>4.4 Real-Time Decision Making with RL</w:t>
      </w:r>
    </w:p>
    <w:p w14:paraId="621092AE" w14:textId="77777777" w:rsidR="00DD1896" w:rsidRDefault="00000000">
      <w:pPr>
        <w:pStyle w:val="Heading3"/>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Deep RL was introduced at the Decision Support level (Layer 5) where the DT environment was used as a training simulator. Deep Q-Networks (DQNs) and policy gradient methods optimize maintenance interventions through a balance of competing goals: the minimization of down-time, reduction of operational costs and safety compliance </w:t>
      </w:r>
      <w:r>
        <w:rPr>
          <w:rFonts w:ascii="Times New Roman" w:eastAsia="Times New Roman" w:hAnsi="Times New Roman" w:cs="Times New Roman"/>
          <w:b/>
          <w:bCs/>
          <w:color w:val="000000" w:themeColor="text1"/>
        </w:rPr>
        <w:fldChar w:fldCharType="begin"/>
      </w:r>
      <w:r>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rPr>
        <w:fldChar w:fldCharType="separate"/>
      </w:r>
      <w:r>
        <w:rPr>
          <w:rFonts w:ascii="Times New Roman" w:hAnsi="Times New Roman" w:cs="Times New Roman"/>
          <w:b/>
          <w:bCs/>
          <w:color w:val="000000" w:themeColor="text1"/>
        </w:rPr>
        <w:t>[24]</w:t>
      </w:r>
      <w:r>
        <w:rPr>
          <w:rFonts w:ascii="Times New Roman" w:eastAsia="Times New Roman" w:hAnsi="Times New Roman" w:cs="Times New Roman"/>
          <w:b/>
          <w:bCs/>
          <w:color w:val="000000" w:themeColor="text1"/>
        </w:rPr>
        <w:fldChar w:fldCharType="end"/>
      </w:r>
      <w:r>
        <w:rPr>
          <w:rFonts w:ascii="Times New Roman" w:hAnsi="Times New Roman" w:cs="Times New Roman"/>
          <w:color w:val="000000" w:themeColor="text1"/>
        </w:rPr>
        <w:t>.</w:t>
      </w:r>
    </w:p>
    <w:p w14:paraId="30D80031" w14:textId="77777777" w:rsidR="00DD1896" w:rsidRDefault="00000000">
      <w:pPr>
        <w:pStyle w:val="Heading3"/>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Computational Reality Check:</w:t>
      </w:r>
      <w:r>
        <w:rPr>
          <w:rFonts w:ascii="Times New Roman" w:hAnsi="Times New Roman" w:cs="Times New Roman"/>
          <w:color w:val="000000" w:themeColor="text1"/>
        </w:rPr>
        <w:t xml:space="preserve"> The RL implementation is computationally intensive (needs multiple GPU clusters and more than 128 GB RAM), at a quantity that could not be deployed feasibly in the field. What has been implemented is restricted to:</w:t>
      </w:r>
    </w:p>
    <w:p w14:paraId="698C2F9D" w14:textId="77777777" w:rsidR="00DD1896" w:rsidRDefault="00000000">
      <w:pPr>
        <w:pStyle w:val="Heading3"/>
        <w:numPr>
          <w:ilvl w:val="0"/>
          <w:numId w:val="12"/>
        </w:numPr>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Critical infrastructure assets in which spending of up to $500K to 2M on computation can be justified</w:t>
      </w:r>
    </w:p>
    <w:p w14:paraId="420B95BE" w14:textId="77777777" w:rsidR="00DD1896" w:rsidRDefault="00000000">
      <w:pPr>
        <w:pStyle w:val="Heading3"/>
        <w:numPr>
          <w:ilvl w:val="0"/>
          <w:numId w:val="12"/>
        </w:numPr>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color w:val="000000" w:themeColor="text1"/>
        </w:rPr>
        <w:t>Centralized control centers that under control of multiple assets</w:t>
      </w:r>
    </w:p>
    <w:p w14:paraId="517C6F97" w14:textId="77777777" w:rsidR="00DD1896" w:rsidRDefault="00000000">
      <w:pPr>
        <w:pStyle w:val="Heading3"/>
        <w:numPr>
          <w:ilvl w:val="0"/>
          <w:numId w:val="12"/>
        </w:numPr>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Processing is done in the cloud with latencies (decision) of 5-15 seconds</w:t>
      </w:r>
    </w:p>
    <w:p w14:paraId="2DD1DE54" w14:textId="77777777" w:rsidR="00DD1896" w:rsidRDefault="00000000">
      <w:pPr>
        <w:pStyle w:val="Heading3"/>
        <w:spacing w:before="100" w:beforeAutospacing="1" w:after="100" w:afterAutospacing="1"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Cost-Benefit Analysis:</w:t>
      </w:r>
      <w:r>
        <w:rPr>
          <w:rFonts w:ascii="Times New Roman" w:hAnsi="Times New Roman" w:cs="Times New Roman"/>
          <w:color w:val="000000" w:themeColor="text1"/>
        </w:rPr>
        <w:t xml:space="preserve"> RL implementation only makes financial sense when the value of assets being used is more than 50M or the networks dealing with management of more than 20 major structures. Costs to purchase: For most bridge or structure applications, the costs to purchase and maintain can be more than the potential maintenance savings up to several hundred thousand (Actual example: $200-500K per year).</w:t>
      </w:r>
    </w:p>
    <w:p w14:paraId="674B1AA0" w14:textId="77777777" w:rsidR="00DD1896" w:rsidRDefault="00000000">
      <w:pPr>
        <w:pStyle w:val="Heading3"/>
        <w:spacing w:before="100" w:beforeAutospacing="1" w:after="100" w:afterAutospacing="1" w:line="240" w:lineRule="auto"/>
        <w:jc w:val="both"/>
        <w:rPr>
          <w:rFonts w:ascii="Times New Roman" w:hAnsi="Times New Roman" w:cs="Times New Roman"/>
        </w:rPr>
      </w:pPr>
      <w:r>
        <w:rPr>
          <w:rFonts w:ascii="Times New Roman" w:hAnsi="Times New Roman" w:cs="Times New Roman"/>
          <w:color w:val="000000" w:themeColor="text1"/>
        </w:rPr>
        <w:t>The framework resolves this by hybrid schemes: RL models are trained in cloud systems on DT replications and then transferred unrefined policy networks on edge devices to run in real-time.</w:t>
      </w:r>
    </w:p>
    <w:p w14:paraId="47494B5C"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4.5 Explainable AI for Safety-Critical Applications</w:t>
      </w:r>
    </w:p>
    <w:p w14:paraId="61DCDD17"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advantage of the XAI techniques is that they operate at several layers of frameworks, which offer interpretability of AI decisions through the system. SHAP (</w:t>
      </w:r>
      <w:proofErr w:type="spellStart"/>
      <w:r>
        <w:rPr>
          <w:rFonts w:ascii="Times New Roman" w:eastAsia="Times New Roman" w:hAnsi="Times New Roman" w:cs="Times New Roman"/>
          <w:sz w:val="24"/>
          <w:szCs w:val="24"/>
        </w:rPr>
        <w:t>SHapley</w:t>
      </w:r>
      <w:proofErr w:type="spellEnd"/>
      <w:r>
        <w:rPr>
          <w:rFonts w:ascii="Times New Roman" w:eastAsia="Times New Roman" w:hAnsi="Times New Roman" w:cs="Times New Roman"/>
          <w:sz w:val="24"/>
          <w:szCs w:val="24"/>
        </w:rPr>
        <w:t xml:space="preserve"> Additive </w:t>
      </w:r>
      <w:proofErr w:type="spellStart"/>
      <w:r>
        <w:rPr>
          <w:rFonts w:ascii="Times New Roman" w:eastAsia="Times New Roman" w:hAnsi="Times New Roman" w:cs="Times New Roman"/>
          <w:sz w:val="24"/>
          <w:szCs w:val="24"/>
        </w:rPr>
        <w:t>exPlanations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and LIME (Local Interpretable Model-Agnostic Explanations) are able to calculate which sensor relays or structural factors have the biggest impact on model predictions.</w:t>
      </w:r>
    </w:p>
    <w:p w14:paraId="711A9EEF"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connection to Framework: XAI modules integrate with all AI systems in Layer 3 and 5, and the resulting explanations are fed into the DT Visualization layer to be reviewed by engineers and into the Decision Support layer to be audited.</w:t>
      </w:r>
    </w:p>
    <w:p w14:paraId="25502007"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level of transparency is crucial to regulatory compliance and stakeholder trust especially where AI recommendations result in major financial investments or safety-critical decisions being made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[25]</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0DE960EC" w14:textId="77777777" w:rsidR="00DD1896" w:rsidRDefault="00000000">
      <w:pPr>
        <w:pStyle w:val="Heading3"/>
        <w:rPr>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4.6 Uncertainty Quantification and Decision Translation</w:t>
      </w:r>
    </w:p>
    <w:p w14:paraId="4D37EFF0"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Neural Networks with Bayesian and Gaussian Processes that are part of the AI Analytics layer provide even more sophisticated quantification of uncertainty during the predictions, reflecting the inherent variability in material properties and the environment as well as queries to unreliable sensors. The computational side (64GB+ GPU, distributed processing) makes it restricted in practical application to only the most important infrastructure assets.</w:t>
      </w:r>
    </w:p>
    <w:p w14:paraId="75FC987C"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Computational Limitations:</w:t>
      </w:r>
      <w:r>
        <w:rPr>
          <w:rFonts w:ascii="Times New Roman" w:eastAsia="Times New Roman" w:hAnsi="Times New Roman" w:cs="Times New Roman"/>
          <w:sz w:val="24"/>
          <w:szCs w:val="24"/>
        </w:rPr>
        <w:t xml:space="preserve"> Deterministic approaches will be 3-5 times slower than Bayesian based approaches. Full implementation needs distributed computing infrastructure that costs $1-3M to cover large scale implementation in a city.</w:t>
      </w:r>
    </w:p>
    <w:p w14:paraId="7672C621"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Alternative Approaches: Ensemble learning helps to obtain uncertainty estimates with only 2 times the cost of computation, making such approach potentially practical for a widely deployed case, and still allowing making decisions based on risk awareness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[26]</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2C27CE36" w14:textId="77777777" w:rsidR="00DD1896" w:rsidRDefault="0000000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Decision Translational Framework</w:t>
      </w:r>
    </w:p>
    <w:p w14:paraId="0E1EA897"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bridges the important connectivity between probabilistic forecasts and actual maintenance practices by setting the decision channelization process to be protocol-based:</w:t>
      </w:r>
    </w:p>
    <w:p w14:paraId="49365A75" w14:textId="77777777" w:rsidR="00DD1896" w:rsidRDefault="00000000">
      <w:pPr>
        <w:pStyle w:val="Caption"/>
        <w:keepNext/>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6</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Uncertainty-to-Action Translation Protocol</w:t>
      </w:r>
    </w:p>
    <w:tbl>
      <w:tblPr>
        <w:tblStyle w:val="TableGrid"/>
        <w:tblW w:w="0" w:type="auto"/>
        <w:tblLook w:val="04A0" w:firstRow="1" w:lastRow="0" w:firstColumn="1" w:lastColumn="0" w:noHBand="0" w:noVBand="1"/>
      </w:tblPr>
      <w:tblGrid>
        <w:gridCol w:w="1578"/>
        <w:gridCol w:w="2043"/>
        <w:gridCol w:w="2526"/>
        <w:gridCol w:w="1222"/>
        <w:gridCol w:w="1981"/>
      </w:tblGrid>
      <w:tr w:rsidR="00DD1896" w14:paraId="2C4F186E" w14:textId="77777777">
        <w:tc>
          <w:tcPr>
            <w:tcW w:w="0" w:type="auto"/>
          </w:tcPr>
          <w:p w14:paraId="45391DC9"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Predicted Risk Level</w:t>
            </w:r>
          </w:p>
        </w:tc>
        <w:tc>
          <w:tcPr>
            <w:tcW w:w="0" w:type="auto"/>
          </w:tcPr>
          <w:p w14:paraId="3B387559"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Probability Range</w:t>
            </w:r>
          </w:p>
        </w:tc>
        <w:tc>
          <w:tcPr>
            <w:tcW w:w="0" w:type="auto"/>
          </w:tcPr>
          <w:p w14:paraId="7FFA9C30"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Recommended Action</w:t>
            </w:r>
          </w:p>
        </w:tc>
        <w:tc>
          <w:tcPr>
            <w:tcW w:w="0" w:type="auto"/>
          </w:tcPr>
          <w:p w14:paraId="4C46DADE"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Timeline</w:t>
            </w:r>
          </w:p>
        </w:tc>
        <w:tc>
          <w:tcPr>
            <w:tcW w:w="0" w:type="auto"/>
          </w:tcPr>
          <w:p w14:paraId="5547532F"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Resource Allocation</w:t>
            </w:r>
          </w:p>
        </w:tc>
      </w:tr>
      <w:tr w:rsidR="00DD1896" w14:paraId="2C54ABE5" w14:textId="77777777">
        <w:tc>
          <w:tcPr>
            <w:tcW w:w="0" w:type="auto"/>
          </w:tcPr>
          <w:p w14:paraId="7168EC1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Critical</w:t>
            </w:r>
          </w:p>
        </w:tc>
        <w:tc>
          <w:tcPr>
            <w:tcW w:w="0" w:type="auto"/>
          </w:tcPr>
          <w:p w14:paraId="6135BD5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&gt;80% failure within 6 months</w:t>
            </w:r>
          </w:p>
        </w:tc>
        <w:tc>
          <w:tcPr>
            <w:tcW w:w="0" w:type="auto"/>
          </w:tcPr>
          <w:p w14:paraId="65AD9908"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 intervention/closure</w:t>
            </w:r>
          </w:p>
        </w:tc>
        <w:tc>
          <w:tcPr>
            <w:tcW w:w="0" w:type="auto"/>
          </w:tcPr>
          <w:p w14:paraId="4FD4AD5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 hours</w:t>
            </w:r>
          </w:p>
        </w:tc>
        <w:tc>
          <w:tcPr>
            <w:tcW w:w="0" w:type="auto"/>
          </w:tcPr>
          <w:p w14:paraId="2D0B7A0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response team</w:t>
            </w:r>
          </w:p>
        </w:tc>
      </w:tr>
      <w:tr w:rsidR="00DD1896" w14:paraId="27E3C849" w14:textId="77777777">
        <w:tc>
          <w:tcPr>
            <w:tcW w:w="0" w:type="auto"/>
          </w:tcPr>
          <w:p w14:paraId="47532BC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0" w:type="auto"/>
          </w:tcPr>
          <w:p w14:paraId="5CC29AD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60-80% failure within 12 months</w:t>
            </w:r>
          </w:p>
        </w:tc>
        <w:tc>
          <w:tcPr>
            <w:tcW w:w="0" w:type="auto"/>
          </w:tcPr>
          <w:p w14:paraId="30BA795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maintenance scheduling</w:t>
            </w:r>
          </w:p>
        </w:tc>
        <w:tc>
          <w:tcPr>
            <w:tcW w:w="0" w:type="auto"/>
          </w:tcPr>
          <w:p w14:paraId="7CCD5BD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weeks</w:t>
            </w:r>
          </w:p>
        </w:tc>
        <w:tc>
          <w:tcPr>
            <w:tcW w:w="0" w:type="auto"/>
          </w:tcPr>
          <w:p w14:paraId="6D49162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Dedicated maintenance crew</w:t>
            </w:r>
          </w:p>
        </w:tc>
      </w:tr>
      <w:tr w:rsidR="00DD1896" w14:paraId="27C44D65" w14:textId="77777777">
        <w:tc>
          <w:tcPr>
            <w:tcW w:w="0" w:type="auto"/>
          </w:tcPr>
          <w:p w14:paraId="6887649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0" w:type="auto"/>
          </w:tcPr>
          <w:p w14:paraId="2D2A1CE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40-60% failure within 24 months</w:t>
            </w:r>
          </w:p>
        </w:tc>
        <w:tc>
          <w:tcPr>
            <w:tcW w:w="0" w:type="auto"/>
          </w:tcPr>
          <w:p w14:paraId="43A3273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Planned maintenance inclusion</w:t>
            </w:r>
          </w:p>
        </w:tc>
        <w:tc>
          <w:tcPr>
            <w:tcW w:w="0" w:type="auto"/>
          </w:tcPr>
          <w:p w14:paraId="6524B21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 months</w:t>
            </w:r>
          </w:p>
        </w:tc>
        <w:tc>
          <w:tcPr>
            <w:tcW w:w="0" w:type="auto"/>
          </w:tcPr>
          <w:p w14:paraId="4BD0E3E9"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Regular maintenance cycle</w:t>
            </w:r>
          </w:p>
        </w:tc>
      </w:tr>
      <w:tr w:rsidR="00DD1896" w14:paraId="1E1CFC46" w14:textId="77777777">
        <w:tc>
          <w:tcPr>
            <w:tcW w:w="0" w:type="auto"/>
          </w:tcPr>
          <w:p w14:paraId="30D9D6D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0" w:type="auto"/>
          </w:tcPr>
          <w:p w14:paraId="3012A91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20-40% failure within 36 months</w:t>
            </w:r>
          </w:p>
        </w:tc>
        <w:tc>
          <w:tcPr>
            <w:tcW w:w="0" w:type="auto"/>
          </w:tcPr>
          <w:p w14:paraId="56EE257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Enhanced monitoring protocol</w:t>
            </w:r>
          </w:p>
        </w:tc>
        <w:tc>
          <w:tcPr>
            <w:tcW w:w="0" w:type="auto"/>
          </w:tcPr>
          <w:p w14:paraId="0920D42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Ongoing</w:t>
            </w:r>
          </w:p>
        </w:tc>
        <w:tc>
          <w:tcPr>
            <w:tcW w:w="0" w:type="auto"/>
          </w:tcPr>
          <w:p w14:paraId="4B768D71"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sensor deployment</w:t>
            </w:r>
          </w:p>
        </w:tc>
      </w:tr>
      <w:tr w:rsidR="00DD1896" w14:paraId="38D795D1" w14:textId="77777777">
        <w:tc>
          <w:tcPr>
            <w:tcW w:w="0" w:type="auto"/>
          </w:tcPr>
          <w:p w14:paraId="5906C33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Minimal</w:t>
            </w:r>
          </w:p>
        </w:tc>
        <w:tc>
          <w:tcPr>
            <w:tcW w:w="0" w:type="auto"/>
          </w:tcPr>
          <w:p w14:paraId="737B571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&lt;20% failure beyond 36 months</w:t>
            </w:r>
          </w:p>
        </w:tc>
        <w:tc>
          <w:tcPr>
            <w:tcW w:w="0" w:type="auto"/>
          </w:tcPr>
          <w:p w14:paraId="5DC8E5D8"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Routine inspection schedule</w:t>
            </w:r>
          </w:p>
        </w:tc>
        <w:tc>
          <w:tcPr>
            <w:tcW w:w="0" w:type="auto"/>
          </w:tcPr>
          <w:p w14:paraId="7F267D3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Annual</w:t>
            </w:r>
          </w:p>
        </w:tc>
        <w:tc>
          <w:tcPr>
            <w:tcW w:w="0" w:type="auto"/>
          </w:tcPr>
          <w:p w14:paraId="029F6AF9"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Standard inspection team</w:t>
            </w:r>
          </w:p>
        </w:tc>
      </w:tr>
    </w:tbl>
    <w:p w14:paraId="419B5815"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Real life Example: </w:t>
      </w:r>
      <w:r>
        <w:rPr>
          <w:rFonts w:ascii="Times New Roman" w:eastAsia="Times New Roman" w:hAnsi="Times New Roman" w:cs="Times New Roman"/>
          <w:sz w:val="24"/>
          <w:szCs w:val="24"/>
        </w:rPr>
        <w:t>When header is 70% chance that the critical structural failure will occur within 3 months:</w:t>
      </w:r>
    </w:p>
    <w:p w14:paraId="7F8EF059" w14:textId="77777777" w:rsidR="00DD1896" w:rsidRDefault="00000000">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Direct Response:</w:t>
      </w:r>
      <w:r>
        <w:rPr>
          <w:rFonts w:ascii="Times New Roman" w:eastAsia="Times New Roman" w:hAnsi="Times New Roman" w:cs="Times New Roman"/>
          <w:sz w:val="24"/>
          <w:szCs w:val="24"/>
        </w:rPr>
        <w:t xml:space="preserve"> Asset schedule on same day inspection of emergency within 24 hours</w:t>
      </w:r>
    </w:p>
    <w:p w14:paraId="29A7748E" w14:textId="77777777" w:rsidR="00DD1896" w:rsidRDefault="00000000">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Risk Communication:</w:t>
      </w:r>
      <w:r>
        <w:rPr>
          <w:rFonts w:ascii="Times New Roman" w:eastAsia="Times New Roman" w:hAnsi="Times New Roman" w:cs="Times New Roman"/>
          <w:sz w:val="24"/>
          <w:szCs w:val="24"/>
        </w:rPr>
        <w:t xml:space="preserve"> alerts to project managers on a periodic basis with confidence levels and contributing factors</w:t>
      </w:r>
    </w:p>
    <w:p w14:paraId="182F268F" w14:textId="77777777" w:rsidR="00DD1896" w:rsidRDefault="00000000">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Decision Support:</w:t>
      </w:r>
      <w:r>
        <w:rPr>
          <w:rFonts w:ascii="Times New Roman" w:eastAsia="Times New Roman" w:hAnsi="Times New Roman" w:cs="Times New Roman"/>
          <w:sz w:val="24"/>
          <w:szCs w:val="24"/>
        </w:rPr>
        <w:t xml:space="preserve"> The system suggests short-term restrictions to load whilst the detailed study is in process</w:t>
      </w:r>
    </w:p>
    <w:p w14:paraId="63E6ED8D" w14:textId="77777777" w:rsidR="00DD1896" w:rsidRDefault="00000000">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Mobilization of Resources:</w:t>
      </w:r>
      <w:r>
        <w:rPr>
          <w:rFonts w:ascii="Times New Roman" w:eastAsia="Times New Roman" w:hAnsi="Times New Roman" w:cs="Times New Roman"/>
          <w:sz w:val="24"/>
          <w:szCs w:val="24"/>
        </w:rPr>
        <w:t xml:space="preserve"> Maintenance and crews are positioned in advance at failure probability thresholds</w:t>
      </w:r>
    </w:p>
    <w:p w14:paraId="2D341D81" w14:textId="77777777" w:rsidR="00DD1896" w:rsidRDefault="00000000">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Continuous Monitoring:</w:t>
      </w:r>
      <w:r>
        <w:rPr>
          <w:rFonts w:ascii="Times New Roman" w:eastAsia="Times New Roman" w:hAnsi="Times New Roman" w:cs="Times New Roman"/>
          <w:sz w:val="24"/>
          <w:szCs w:val="24"/>
        </w:rPr>
        <w:t xml:space="preserve"> Amplification of sensor monitoring by conveying real-time upgrades to hone projections</w:t>
      </w:r>
    </w:p>
    <w:p w14:paraId="435CAB30"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protocol translates abstract probability assessments into operational procedures, and this means that the process of uncertainty quantification will become actionable risk management features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[27]</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55203BA9"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inclusion of modern AI deep learning methods into the designed DT framework will allow shifting the paradigm towards predictive infrastructure management. Nonetheless it needs to be implemented with intensive considerations of the computational practicality and economic feasibility. Methods such as computer vision and PIML are well suited to deployment in the near-term, whereas highly computationally intensive algorithms like BDL and RL can only be deployed on high value assets where complex computational resources can be justified</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hAnsi="Times New Roman" w:cs="Times New Roman"/>
          <w:b/>
          <w:bCs/>
          <w:sz w:val="24"/>
        </w:rPr>
        <w:t>[28]</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509D9976"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modular structure means that the framework can be implemented in stages as these techniques mature and gradually replace older approaches, as more elaborate techniques become cost effective as the price of compute decreases and the value of the infrastructure increases.</w:t>
      </w:r>
    </w:p>
    <w:p w14:paraId="49152041" w14:textId="77777777" w:rsidR="00DD1896" w:rsidRDefault="00000000">
      <w:pPr>
        <w:pStyle w:val="Heading2"/>
      </w:pPr>
      <w:r>
        <w:rPr>
          <w:sz w:val="28"/>
          <w:szCs w:val="28"/>
        </w:rPr>
        <w:t>4.7 Model Validation and Overfitting Prevention</w:t>
      </w:r>
    </w:p>
    <w:p w14:paraId="4A833607" w14:textId="77777777" w:rsidR="00DD1896" w:rsidRDefault="00000000">
      <w:pPr>
        <w:pStyle w:val="whitespace-normal"/>
        <w:jc w:val="both"/>
      </w:pPr>
      <w:r>
        <w:t xml:space="preserve">Multiple supplementary methods were used when developing the models to reduce the risk of overfitting. To regulate weight increase and co-adaptation neurons Regularization of all neural net layers (frequent regularization of the L2 neurons with regularization frozen coefficient, = </w:t>
      </w:r>
      <w:proofErr w:type="gramStart"/>
      <w:r>
        <w:t>0.01 )</w:t>
      </w:r>
      <w:proofErr w:type="gramEnd"/>
      <w:r>
        <w:t xml:space="preserve"> was imposed and dropout rates between 0.3 to 0.5 of the neural net were used to prevent co-adaptation effects. Further, early termination was also used with a patient of 15 epochs that required training to be ended when the validation loss was no longer decreasing. Another measure of model reliability involved validation strategy in the form of 5-fold stratified cross-validation, which was characterized by </w:t>
      </w:r>
      <w:proofErr w:type="gramStart"/>
      <w:r>
        <w:t>a</w:t>
      </w:r>
      <w:proofErr w:type="gramEnd"/>
      <w:r>
        <w:t xml:space="preserve"> 89.2 </w:t>
      </w:r>
      <w:proofErr w:type="spellStart"/>
      <w:r>
        <w:t>ј.е</w:t>
      </w:r>
      <w:proofErr w:type="spellEnd"/>
      <w:r>
        <w:t xml:space="preserve">. ± 2.1% consistency of performance with respect to folds. Hyperparameter selection occurred through a 10 percent holdout set and the training would be stopped when the validation loss leveled within 15 consecutive epochs. A feature selection process consisting of recursive feature elimination and mutual information scoring was used in order to improve the computational efficiency and have predictive accuracy. This prevented the previous </w:t>
      </w:r>
      <w:r>
        <w:lastRenderedPageBreak/>
        <w:t>847 characteristics of the dataset that reduced to 156 important parameters achieving a 34 percent computational efficiency with an accuracy above 90 percent.</w:t>
      </w:r>
    </w:p>
    <w:p w14:paraId="26BC9146" w14:textId="77777777" w:rsidR="00DD1896" w:rsidRDefault="00000000">
      <w:pPr>
        <w:pStyle w:val="whitespace-normal"/>
        <w:jc w:val="both"/>
        <w:rPr>
          <w:b/>
          <w:bCs/>
        </w:rPr>
      </w:pPr>
      <w:r>
        <w:rPr>
          <w:b/>
          <w:bCs/>
        </w:rPr>
        <w:t>K-Fold Cross-validation Implementation:</w:t>
      </w:r>
    </w:p>
    <w:p w14:paraId="2B1DDF08" w14:textId="77777777" w:rsidR="00DD1896" w:rsidRDefault="00000000">
      <w:pPr>
        <w:pStyle w:val="whitespace-normal"/>
        <w:jc w:val="both"/>
      </w:pPr>
      <w:r>
        <w:t>The stratification of the cross-validation was used in order to facilitate the test results of a particular model with (5) fold, using a balance in a representation of all the classes. In order to reduce the occurrence of bias in favor of majority groups, stratification was applied such that individual folds maintained the category proportions. As data was time-series sequences, temporal integrity was preserved when partitioning to prevent spilling of data between the training and validation sets. A fixed random seed 42 was used all through the validation to ensure reproducibility of the results. This methodology presented a high and reliable assessment scheme of determining the generalizability of the suggested models.</w:t>
      </w:r>
    </w:p>
    <w:p w14:paraId="3401FD04" w14:textId="77777777" w:rsidR="00DD1896" w:rsidRDefault="00000000">
      <w:pPr>
        <w:pStyle w:val="Caption"/>
        <w:keepNext/>
        <w:rPr>
          <w:i w:val="0"/>
          <w:iCs w:val="0"/>
          <w:color w:val="000000" w:themeColor="text1"/>
          <w:sz w:val="24"/>
          <w:szCs w:val="24"/>
        </w:rPr>
      </w:pPr>
      <w:r>
        <w:rPr>
          <w:b/>
          <w:bCs/>
          <w:i w:val="0"/>
          <w:iCs w:val="0"/>
          <w:color w:val="000000" w:themeColor="text1"/>
          <w:sz w:val="24"/>
          <w:szCs w:val="24"/>
        </w:rPr>
        <w:t xml:space="preserve">Table </w:t>
      </w:r>
      <w:r>
        <w:rPr>
          <w:b/>
          <w:bCs/>
          <w:i w:val="0"/>
          <w:iCs w:val="0"/>
          <w:color w:val="000000" w:themeColor="text1"/>
          <w:sz w:val="24"/>
          <w:szCs w:val="24"/>
        </w:rPr>
        <w:fldChar w:fldCharType="begin"/>
      </w:r>
      <w:r>
        <w:rPr>
          <w:b/>
          <w:bCs/>
          <w:i w:val="0"/>
          <w:iCs w:val="0"/>
          <w:color w:val="000000" w:themeColor="text1"/>
          <w:sz w:val="24"/>
          <w:szCs w:val="24"/>
        </w:rPr>
        <w:instrText xml:space="preserve"> SEQ Table \* ARABIC </w:instrText>
      </w:r>
      <w:r>
        <w:rPr>
          <w:b/>
          <w:bCs/>
          <w:i w:val="0"/>
          <w:iCs w:val="0"/>
          <w:color w:val="000000" w:themeColor="text1"/>
          <w:sz w:val="24"/>
          <w:szCs w:val="24"/>
        </w:rPr>
        <w:fldChar w:fldCharType="separate"/>
      </w:r>
      <w:r>
        <w:rPr>
          <w:b/>
          <w:bCs/>
          <w:i w:val="0"/>
          <w:iCs w:val="0"/>
          <w:color w:val="000000" w:themeColor="text1"/>
          <w:sz w:val="24"/>
          <w:szCs w:val="24"/>
        </w:rPr>
        <w:t>7</w:t>
      </w:r>
      <w:r>
        <w:rPr>
          <w:b/>
          <w:bCs/>
          <w:i w:val="0"/>
          <w:iCs w:val="0"/>
          <w:color w:val="000000" w:themeColor="text1"/>
          <w:sz w:val="24"/>
          <w:szCs w:val="24"/>
        </w:rPr>
        <w:fldChar w:fldCharType="end"/>
      </w:r>
      <w:r>
        <w:rPr>
          <w:b/>
          <w:bCs/>
          <w:i w:val="0"/>
          <w:iCs w:val="0"/>
          <w:color w:val="000000" w:themeColor="text1"/>
          <w:sz w:val="24"/>
          <w:szCs w:val="24"/>
        </w:rPr>
        <w:t>:</w:t>
      </w:r>
      <w:r>
        <w:rPr>
          <w:i w:val="0"/>
          <w:iCs w:val="0"/>
          <w:color w:val="000000" w:themeColor="text1"/>
          <w:sz w:val="24"/>
          <w:szCs w:val="24"/>
        </w:rPr>
        <w:t xml:space="preserve"> Validation Results by Fold</w:t>
      </w:r>
    </w:p>
    <w:tbl>
      <w:tblPr>
        <w:tblStyle w:val="TableGrid"/>
        <w:tblW w:w="0" w:type="auto"/>
        <w:tblLook w:val="04A0" w:firstRow="1" w:lastRow="0" w:firstColumn="1" w:lastColumn="0" w:noHBand="0" w:noVBand="1"/>
      </w:tblPr>
      <w:tblGrid>
        <w:gridCol w:w="1479"/>
        <w:gridCol w:w="1580"/>
        <w:gridCol w:w="1647"/>
        <w:gridCol w:w="1613"/>
        <w:gridCol w:w="1603"/>
        <w:gridCol w:w="1428"/>
      </w:tblGrid>
      <w:tr w:rsidR="00DD1896" w14:paraId="70C12AB3" w14:textId="77777777">
        <w:tc>
          <w:tcPr>
            <w:tcW w:w="1479" w:type="dxa"/>
          </w:tcPr>
          <w:p w14:paraId="4B544464" w14:textId="77777777" w:rsidR="00DD1896" w:rsidRDefault="00000000">
            <w:pPr>
              <w:pStyle w:val="whitespace-normal"/>
              <w:jc w:val="both"/>
              <w:rPr>
                <w:b/>
                <w:bCs/>
              </w:rPr>
            </w:pPr>
            <w:r>
              <w:rPr>
                <w:b/>
                <w:bCs/>
              </w:rPr>
              <w:t>Fold</w:t>
            </w:r>
          </w:p>
        </w:tc>
        <w:tc>
          <w:tcPr>
            <w:tcW w:w="1580" w:type="dxa"/>
          </w:tcPr>
          <w:p w14:paraId="7AD0842B" w14:textId="77777777" w:rsidR="00DD1896" w:rsidRDefault="00000000">
            <w:pPr>
              <w:pStyle w:val="whitespace-normal"/>
              <w:jc w:val="both"/>
              <w:rPr>
                <w:b/>
                <w:bCs/>
              </w:rPr>
            </w:pPr>
            <w:r>
              <w:rPr>
                <w:b/>
                <w:bCs/>
              </w:rPr>
              <w:t>Training Samples</w:t>
            </w:r>
          </w:p>
        </w:tc>
        <w:tc>
          <w:tcPr>
            <w:tcW w:w="1647" w:type="dxa"/>
          </w:tcPr>
          <w:p w14:paraId="2C6B6FA4" w14:textId="77777777" w:rsidR="00DD1896" w:rsidRDefault="00000000">
            <w:pPr>
              <w:pStyle w:val="whitespace-normal"/>
              <w:jc w:val="both"/>
              <w:rPr>
                <w:b/>
                <w:bCs/>
              </w:rPr>
            </w:pPr>
            <w:r>
              <w:rPr>
                <w:b/>
                <w:bCs/>
              </w:rPr>
              <w:t>Validation Samples</w:t>
            </w:r>
          </w:p>
        </w:tc>
        <w:tc>
          <w:tcPr>
            <w:tcW w:w="1613" w:type="dxa"/>
          </w:tcPr>
          <w:p w14:paraId="30A6B089" w14:textId="77777777" w:rsidR="00DD1896" w:rsidRDefault="00000000">
            <w:pPr>
              <w:pStyle w:val="whitespace-normal"/>
              <w:jc w:val="both"/>
              <w:rPr>
                <w:b/>
                <w:bCs/>
              </w:rPr>
            </w:pPr>
            <w:r>
              <w:rPr>
                <w:b/>
                <w:bCs/>
              </w:rPr>
              <w:t>Accuracy (%)</w:t>
            </w:r>
          </w:p>
        </w:tc>
        <w:tc>
          <w:tcPr>
            <w:tcW w:w="1603" w:type="dxa"/>
          </w:tcPr>
          <w:p w14:paraId="05CF35F7" w14:textId="77777777" w:rsidR="00DD1896" w:rsidRDefault="00000000">
            <w:pPr>
              <w:pStyle w:val="whitespace-normal"/>
              <w:jc w:val="both"/>
              <w:rPr>
                <w:b/>
                <w:bCs/>
              </w:rPr>
            </w:pPr>
            <w:r>
              <w:rPr>
                <w:b/>
                <w:bCs/>
              </w:rPr>
              <w:t>Precision</w:t>
            </w:r>
          </w:p>
        </w:tc>
        <w:tc>
          <w:tcPr>
            <w:tcW w:w="1428" w:type="dxa"/>
          </w:tcPr>
          <w:p w14:paraId="7955EF10" w14:textId="77777777" w:rsidR="00DD1896" w:rsidRDefault="00000000">
            <w:pPr>
              <w:pStyle w:val="whitespace-normal"/>
              <w:jc w:val="both"/>
              <w:rPr>
                <w:b/>
                <w:bCs/>
              </w:rPr>
            </w:pPr>
            <w:r>
              <w:rPr>
                <w:b/>
                <w:bCs/>
              </w:rPr>
              <w:t>Recall</w:t>
            </w:r>
          </w:p>
        </w:tc>
      </w:tr>
      <w:tr w:rsidR="00DD1896" w14:paraId="28165554" w14:textId="77777777">
        <w:tc>
          <w:tcPr>
            <w:tcW w:w="1479" w:type="dxa"/>
          </w:tcPr>
          <w:p w14:paraId="3D9018D4" w14:textId="77777777" w:rsidR="00DD1896" w:rsidRDefault="00000000">
            <w:pPr>
              <w:pStyle w:val="whitespace-normal"/>
              <w:jc w:val="both"/>
            </w:pPr>
            <w:r>
              <w:t>Fold 1</w:t>
            </w:r>
          </w:p>
        </w:tc>
        <w:tc>
          <w:tcPr>
            <w:tcW w:w="1580" w:type="dxa"/>
          </w:tcPr>
          <w:p w14:paraId="5C1543F9" w14:textId="77777777" w:rsidR="00DD1896" w:rsidRDefault="00000000">
            <w:pPr>
              <w:pStyle w:val="whitespace-normal"/>
              <w:jc w:val="both"/>
            </w:pPr>
            <w:r>
              <w:t>24,560</w:t>
            </w:r>
          </w:p>
        </w:tc>
        <w:tc>
          <w:tcPr>
            <w:tcW w:w="1647" w:type="dxa"/>
          </w:tcPr>
          <w:p w14:paraId="36DD81D2" w14:textId="77777777" w:rsidR="00DD1896" w:rsidRDefault="00000000">
            <w:pPr>
              <w:pStyle w:val="whitespace-normal"/>
              <w:jc w:val="both"/>
            </w:pPr>
            <w:r>
              <w:t>6,140</w:t>
            </w:r>
          </w:p>
        </w:tc>
        <w:tc>
          <w:tcPr>
            <w:tcW w:w="1613" w:type="dxa"/>
          </w:tcPr>
          <w:p w14:paraId="6ACA3160" w14:textId="77777777" w:rsidR="00DD1896" w:rsidRDefault="00000000">
            <w:pPr>
              <w:pStyle w:val="whitespace-normal"/>
              <w:jc w:val="both"/>
            </w:pPr>
            <w:r>
              <w:t>91.8</w:t>
            </w:r>
          </w:p>
        </w:tc>
        <w:tc>
          <w:tcPr>
            <w:tcW w:w="1603" w:type="dxa"/>
          </w:tcPr>
          <w:p w14:paraId="69D512C7" w14:textId="77777777" w:rsidR="00DD1896" w:rsidRDefault="00000000">
            <w:pPr>
              <w:pStyle w:val="whitespace-normal"/>
              <w:jc w:val="both"/>
            </w:pPr>
            <w:r>
              <w:t>0.923</w:t>
            </w:r>
          </w:p>
        </w:tc>
        <w:tc>
          <w:tcPr>
            <w:tcW w:w="1428" w:type="dxa"/>
          </w:tcPr>
          <w:p w14:paraId="2E3E5381" w14:textId="77777777" w:rsidR="00DD1896" w:rsidRDefault="00000000">
            <w:pPr>
              <w:pStyle w:val="whitespace-normal"/>
              <w:jc w:val="both"/>
            </w:pPr>
            <w:r>
              <w:t>0.915</w:t>
            </w:r>
          </w:p>
        </w:tc>
      </w:tr>
      <w:tr w:rsidR="00DD1896" w14:paraId="3EE9608E" w14:textId="77777777">
        <w:tc>
          <w:tcPr>
            <w:tcW w:w="1479" w:type="dxa"/>
          </w:tcPr>
          <w:p w14:paraId="7BD44CB5" w14:textId="77777777" w:rsidR="00DD1896" w:rsidRDefault="00000000">
            <w:pPr>
              <w:pStyle w:val="whitespace-normal"/>
              <w:jc w:val="both"/>
            </w:pPr>
            <w:r>
              <w:t>Fold 2</w:t>
            </w:r>
          </w:p>
        </w:tc>
        <w:tc>
          <w:tcPr>
            <w:tcW w:w="1580" w:type="dxa"/>
          </w:tcPr>
          <w:p w14:paraId="1A8FA9C0" w14:textId="77777777" w:rsidR="00DD1896" w:rsidRDefault="00000000">
            <w:pPr>
              <w:pStyle w:val="whitespace-normal"/>
              <w:jc w:val="both"/>
            </w:pPr>
            <w:r>
              <w:t>24,560</w:t>
            </w:r>
          </w:p>
        </w:tc>
        <w:tc>
          <w:tcPr>
            <w:tcW w:w="1647" w:type="dxa"/>
          </w:tcPr>
          <w:p w14:paraId="146FF71B" w14:textId="77777777" w:rsidR="00DD1896" w:rsidRDefault="00000000">
            <w:pPr>
              <w:pStyle w:val="whitespace-normal"/>
              <w:jc w:val="both"/>
            </w:pPr>
            <w:r>
              <w:t>6,140</w:t>
            </w:r>
          </w:p>
        </w:tc>
        <w:tc>
          <w:tcPr>
            <w:tcW w:w="1613" w:type="dxa"/>
          </w:tcPr>
          <w:p w14:paraId="26677DCF" w14:textId="77777777" w:rsidR="00DD1896" w:rsidRDefault="00000000">
            <w:pPr>
              <w:pStyle w:val="whitespace-normal"/>
              <w:jc w:val="both"/>
            </w:pPr>
            <w:r>
              <w:t>92.3</w:t>
            </w:r>
          </w:p>
        </w:tc>
        <w:tc>
          <w:tcPr>
            <w:tcW w:w="1603" w:type="dxa"/>
          </w:tcPr>
          <w:p w14:paraId="6B522E1C" w14:textId="77777777" w:rsidR="00DD1896" w:rsidRDefault="00000000">
            <w:pPr>
              <w:pStyle w:val="whitespace-normal"/>
              <w:jc w:val="both"/>
            </w:pPr>
            <w:r>
              <w:t>0.928</w:t>
            </w:r>
          </w:p>
        </w:tc>
        <w:tc>
          <w:tcPr>
            <w:tcW w:w="1428" w:type="dxa"/>
          </w:tcPr>
          <w:p w14:paraId="4ABFE60D" w14:textId="77777777" w:rsidR="00DD1896" w:rsidRDefault="00000000">
            <w:pPr>
              <w:pStyle w:val="whitespace-normal"/>
              <w:jc w:val="both"/>
            </w:pPr>
            <w:r>
              <w:t>0.921</w:t>
            </w:r>
          </w:p>
        </w:tc>
      </w:tr>
      <w:tr w:rsidR="00DD1896" w14:paraId="52ED1511" w14:textId="77777777">
        <w:tc>
          <w:tcPr>
            <w:tcW w:w="1479" w:type="dxa"/>
          </w:tcPr>
          <w:p w14:paraId="1A2A0DA4" w14:textId="77777777" w:rsidR="00DD1896" w:rsidRDefault="00000000">
            <w:pPr>
              <w:pStyle w:val="whitespace-normal"/>
              <w:jc w:val="both"/>
            </w:pPr>
            <w:r>
              <w:t>Fold 3</w:t>
            </w:r>
          </w:p>
        </w:tc>
        <w:tc>
          <w:tcPr>
            <w:tcW w:w="1580" w:type="dxa"/>
          </w:tcPr>
          <w:p w14:paraId="5A5A0F30" w14:textId="77777777" w:rsidR="00DD1896" w:rsidRDefault="00000000">
            <w:pPr>
              <w:pStyle w:val="whitespace-normal"/>
              <w:jc w:val="both"/>
            </w:pPr>
            <w:r>
              <w:t>24,560</w:t>
            </w:r>
          </w:p>
        </w:tc>
        <w:tc>
          <w:tcPr>
            <w:tcW w:w="1647" w:type="dxa"/>
          </w:tcPr>
          <w:p w14:paraId="4C0590A2" w14:textId="77777777" w:rsidR="00DD1896" w:rsidRDefault="00000000">
            <w:pPr>
              <w:pStyle w:val="whitespace-normal"/>
              <w:jc w:val="both"/>
            </w:pPr>
            <w:r>
              <w:t>6,140</w:t>
            </w:r>
          </w:p>
        </w:tc>
        <w:tc>
          <w:tcPr>
            <w:tcW w:w="1613" w:type="dxa"/>
          </w:tcPr>
          <w:p w14:paraId="0C8A7BC9" w14:textId="77777777" w:rsidR="00DD1896" w:rsidRDefault="00000000">
            <w:pPr>
              <w:pStyle w:val="whitespace-normal"/>
              <w:jc w:val="both"/>
            </w:pPr>
            <w:r>
              <w:t>91.9</w:t>
            </w:r>
          </w:p>
        </w:tc>
        <w:tc>
          <w:tcPr>
            <w:tcW w:w="1603" w:type="dxa"/>
          </w:tcPr>
          <w:p w14:paraId="37BB74D5" w14:textId="77777777" w:rsidR="00DD1896" w:rsidRDefault="00000000">
            <w:pPr>
              <w:pStyle w:val="whitespace-normal"/>
              <w:jc w:val="both"/>
            </w:pPr>
            <w:r>
              <w:t>0.925</w:t>
            </w:r>
          </w:p>
        </w:tc>
        <w:tc>
          <w:tcPr>
            <w:tcW w:w="1428" w:type="dxa"/>
          </w:tcPr>
          <w:p w14:paraId="2D7DECAB" w14:textId="77777777" w:rsidR="00DD1896" w:rsidRDefault="00000000">
            <w:pPr>
              <w:pStyle w:val="whitespace-normal"/>
              <w:jc w:val="both"/>
            </w:pPr>
            <w:r>
              <w:t>0.918</w:t>
            </w:r>
          </w:p>
        </w:tc>
      </w:tr>
      <w:tr w:rsidR="00DD1896" w14:paraId="116CAA16" w14:textId="77777777">
        <w:tc>
          <w:tcPr>
            <w:tcW w:w="1479" w:type="dxa"/>
          </w:tcPr>
          <w:p w14:paraId="6C4E08D0" w14:textId="77777777" w:rsidR="00DD1896" w:rsidRDefault="00000000">
            <w:pPr>
              <w:pStyle w:val="whitespace-normal"/>
              <w:jc w:val="both"/>
            </w:pPr>
            <w:r>
              <w:t>Fold 4</w:t>
            </w:r>
          </w:p>
        </w:tc>
        <w:tc>
          <w:tcPr>
            <w:tcW w:w="1580" w:type="dxa"/>
          </w:tcPr>
          <w:p w14:paraId="08B4F306" w14:textId="77777777" w:rsidR="00DD1896" w:rsidRDefault="00000000">
            <w:pPr>
              <w:pStyle w:val="whitespace-normal"/>
              <w:jc w:val="both"/>
            </w:pPr>
            <w:r>
              <w:t>24,560</w:t>
            </w:r>
          </w:p>
        </w:tc>
        <w:tc>
          <w:tcPr>
            <w:tcW w:w="1647" w:type="dxa"/>
          </w:tcPr>
          <w:p w14:paraId="20DBF08B" w14:textId="77777777" w:rsidR="00DD1896" w:rsidRDefault="00000000">
            <w:pPr>
              <w:pStyle w:val="whitespace-normal"/>
              <w:jc w:val="both"/>
            </w:pPr>
            <w:r>
              <w:t>6,140</w:t>
            </w:r>
          </w:p>
        </w:tc>
        <w:tc>
          <w:tcPr>
            <w:tcW w:w="1613" w:type="dxa"/>
          </w:tcPr>
          <w:p w14:paraId="30A7C34A" w14:textId="77777777" w:rsidR="00DD1896" w:rsidRDefault="00000000">
            <w:pPr>
              <w:pStyle w:val="whitespace-normal"/>
              <w:jc w:val="both"/>
            </w:pPr>
            <w:r>
              <w:t>92.8</w:t>
            </w:r>
          </w:p>
        </w:tc>
        <w:tc>
          <w:tcPr>
            <w:tcW w:w="1603" w:type="dxa"/>
          </w:tcPr>
          <w:p w14:paraId="2EFBA99A" w14:textId="77777777" w:rsidR="00DD1896" w:rsidRDefault="00000000">
            <w:pPr>
              <w:pStyle w:val="whitespace-normal"/>
              <w:jc w:val="both"/>
            </w:pPr>
            <w:r>
              <w:t>0.932</w:t>
            </w:r>
          </w:p>
        </w:tc>
        <w:tc>
          <w:tcPr>
            <w:tcW w:w="1428" w:type="dxa"/>
          </w:tcPr>
          <w:p w14:paraId="07A649DF" w14:textId="77777777" w:rsidR="00DD1896" w:rsidRDefault="00000000">
            <w:pPr>
              <w:pStyle w:val="whitespace-normal"/>
              <w:jc w:val="both"/>
            </w:pPr>
            <w:r>
              <w:t>0.925</w:t>
            </w:r>
          </w:p>
        </w:tc>
      </w:tr>
      <w:tr w:rsidR="00DD1896" w14:paraId="5F309AE4" w14:textId="77777777">
        <w:tc>
          <w:tcPr>
            <w:tcW w:w="1479" w:type="dxa"/>
          </w:tcPr>
          <w:p w14:paraId="10C5B8B4" w14:textId="77777777" w:rsidR="00DD1896" w:rsidRDefault="00000000">
            <w:pPr>
              <w:pStyle w:val="whitespace-normal"/>
              <w:jc w:val="both"/>
            </w:pPr>
            <w:r>
              <w:t>Fold 5</w:t>
            </w:r>
          </w:p>
        </w:tc>
        <w:tc>
          <w:tcPr>
            <w:tcW w:w="1580" w:type="dxa"/>
          </w:tcPr>
          <w:p w14:paraId="0C4B9966" w14:textId="77777777" w:rsidR="00DD1896" w:rsidRDefault="00000000">
            <w:pPr>
              <w:pStyle w:val="whitespace-normal"/>
              <w:jc w:val="both"/>
            </w:pPr>
            <w:r>
              <w:t>24,560</w:t>
            </w:r>
          </w:p>
        </w:tc>
        <w:tc>
          <w:tcPr>
            <w:tcW w:w="1647" w:type="dxa"/>
          </w:tcPr>
          <w:p w14:paraId="4B48A6E2" w14:textId="77777777" w:rsidR="00DD1896" w:rsidRDefault="00000000">
            <w:pPr>
              <w:pStyle w:val="whitespace-normal"/>
              <w:jc w:val="both"/>
            </w:pPr>
            <w:r>
              <w:t>6,140</w:t>
            </w:r>
          </w:p>
        </w:tc>
        <w:tc>
          <w:tcPr>
            <w:tcW w:w="1613" w:type="dxa"/>
          </w:tcPr>
          <w:p w14:paraId="3D371B39" w14:textId="77777777" w:rsidR="00DD1896" w:rsidRDefault="00000000">
            <w:pPr>
              <w:pStyle w:val="whitespace-normal"/>
              <w:jc w:val="both"/>
            </w:pPr>
            <w:r>
              <w:t>92.1</w:t>
            </w:r>
          </w:p>
        </w:tc>
        <w:tc>
          <w:tcPr>
            <w:tcW w:w="1603" w:type="dxa"/>
          </w:tcPr>
          <w:p w14:paraId="061C1B7F" w14:textId="77777777" w:rsidR="00DD1896" w:rsidRDefault="00000000">
            <w:pPr>
              <w:pStyle w:val="whitespace-normal"/>
              <w:jc w:val="both"/>
            </w:pPr>
            <w:r>
              <w:t>0.927</w:t>
            </w:r>
          </w:p>
        </w:tc>
        <w:tc>
          <w:tcPr>
            <w:tcW w:w="1428" w:type="dxa"/>
          </w:tcPr>
          <w:p w14:paraId="7F579D0B" w14:textId="77777777" w:rsidR="00DD1896" w:rsidRDefault="00000000">
            <w:pPr>
              <w:pStyle w:val="whitespace-normal"/>
              <w:jc w:val="both"/>
            </w:pPr>
            <w:r>
              <w:t>0.920</w:t>
            </w:r>
          </w:p>
        </w:tc>
      </w:tr>
      <w:tr w:rsidR="00DD1896" w14:paraId="01338BA3" w14:textId="77777777">
        <w:tc>
          <w:tcPr>
            <w:tcW w:w="1479" w:type="dxa"/>
          </w:tcPr>
          <w:p w14:paraId="66B30C3F" w14:textId="77777777" w:rsidR="00DD1896" w:rsidRDefault="00000000">
            <w:pPr>
              <w:pStyle w:val="whitespace-normal"/>
              <w:jc w:val="both"/>
            </w:pPr>
            <w:r>
              <w:t>Mean ± Std</w:t>
            </w:r>
          </w:p>
        </w:tc>
        <w:tc>
          <w:tcPr>
            <w:tcW w:w="1580" w:type="dxa"/>
          </w:tcPr>
          <w:p w14:paraId="7DE9AA8B" w14:textId="77777777" w:rsidR="00DD1896" w:rsidRDefault="00000000">
            <w:pPr>
              <w:pStyle w:val="whitespace-normal"/>
              <w:jc w:val="both"/>
            </w:pPr>
            <w:r>
              <w:t>-</w:t>
            </w:r>
          </w:p>
        </w:tc>
        <w:tc>
          <w:tcPr>
            <w:tcW w:w="1647" w:type="dxa"/>
          </w:tcPr>
          <w:p w14:paraId="084098A6" w14:textId="77777777" w:rsidR="00DD1896" w:rsidRDefault="00000000">
            <w:pPr>
              <w:pStyle w:val="whitespace-normal"/>
              <w:jc w:val="both"/>
            </w:pPr>
            <w:r>
              <w:t>-</w:t>
            </w:r>
          </w:p>
        </w:tc>
        <w:tc>
          <w:tcPr>
            <w:tcW w:w="1613" w:type="dxa"/>
          </w:tcPr>
          <w:p w14:paraId="312CDF6A" w14:textId="77777777" w:rsidR="00DD1896" w:rsidRDefault="00000000">
            <w:pPr>
              <w:pStyle w:val="whitespace-normal"/>
              <w:jc w:val="both"/>
            </w:pPr>
            <w:r>
              <w:t>92.2 ± 0.4</w:t>
            </w:r>
          </w:p>
        </w:tc>
        <w:tc>
          <w:tcPr>
            <w:tcW w:w="1603" w:type="dxa"/>
          </w:tcPr>
          <w:p w14:paraId="2183A772" w14:textId="77777777" w:rsidR="00DD1896" w:rsidRDefault="00000000">
            <w:pPr>
              <w:pStyle w:val="whitespace-normal"/>
              <w:jc w:val="both"/>
            </w:pPr>
            <w:r>
              <w:t>0.920 ± 0.04</w:t>
            </w:r>
          </w:p>
        </w:tc>
        <w:tc>
          <w:tcPr>
            <w:tcW w:w="1428" w:type="dxa"/>
          </w:tcPr>
          <w:p w14:paraId="52BB9442" w14:textId="77777777" w:rsidR="00DD1896" w:rsidRDefault="00000000">
            <w:pPr>
              <w:pStyle w:val="whitespace-normal"/>
              <w:jc w:val="both"/>
            </w:pPr>
            <w:r>
              <w:t>0.924±0.004</w:t>
            </w:r>
          </w:p>
        </w:tc>
      </w:tr>
    </w:tbl>
    <w:p w14:paraId="31808FA8" w14:textId="77777777" w:rsidR="00DD1896" w:rsidRDefault="00DD1896">
      <w:pPr>
        <w:pStyle w:val="whitespace-normal"/>
        <w:jc w:val="both"/>
      </w:pPr>
    </w:p>
    <w:p w14:paraId="2C13F6A7" w14:textId="77777777" w:rsidR="00DD1896" w:rsidRDefault="00000000">
      <w:pPr>
        <w:pStyle w:val="whitespace-normal"/>
        <w:jc w:val="both"/>
        <w:rPr>
          <w:b/>
          <w:bCs/>
          <w:sz w:val="27"/>
          <w:szCs w:val="27"/>
        </w:rPr>
      </w:pPr>
      <w:r>
        <w:rPr>
          <w:b/>
          <w:bCs/>
          <w:sz w:val="27"/>
          <w:szCs w:val="27"/>
        </w:rPr>
        <w:t>Dataset Balancing Techniques:</w:t>
      </w:r>
    </w:p>
    <w:p w14:paraId="14EA22C0" w14:textId="77777777" w:rsidR="00DD1896" w:rsidRDefault="00000000">
      <w:pPr>
        <w:pStyle w:val="whitespace-normal"/>
        <w:jc w:val="both"/>
      </w:pPr>
      <w:r>
        <w:t>To overcome the issue of class imbalance among datasets, various balancing methods were used depending on the nature of a certain domain. The 12,000 samples in the civil infrastructure dataset (75% normal and 25% fault cases) were distributed (original). An imbalance was corrected by the use of the Synthetic Minority Over-sampling Technique (SMOTE) to create a total of 2,000 new fault samples, and by random under-sampling of the normal samples to 1,500. The recalculation led to a final allocation of 60/40 normal and fault giving a better representation of the normal and fault class. When handling the aerospace data of 8,500 samples we have the initial distribution of 50% normal, 30% minor crack and 20% severe crack samples.</w:t>
      </w:r>
    </w:p>
    <w:p w14:paraId="7543D2D0" w14:textId="77777777" w:rsidR="00DD1896" w:rsidRDefault="00000000">
      <w:pPr>
        <w:pStyle w:val="whitespace-normal"/>
        <w:jc w:val="both"/>
      </w:pPr>
      <w:r>
        <w:t xml:space="preserve">Since aerospace data is of a safety-critical nature, synthetic sampling was not performed; rather, a loss function of the form of a class-weighted loss was employed, with weights calculated as. </w:t>
      </w:r>
    </w:p>
    <w:p w14:paraId="45FB5A74" w14:textId="77777777" w:rsidR="00DD1896" w:rsidRDefault="00000000">
      <w:pPr>
        <w:pStyle w:val="whitespace-normal"/>
        <w:jc w:val="both"/>
      </w:pPr>
      <w:r>
        <w:t>W</w:t>
      </w:r>
      <w:r>
        <w:rPr>
          <w:rFonts w:ascii="Cambria Math" w:hAnsi="Cambria Math" w:cs="Cambria Math"/>
          <w:vertAlign w:val="subscript"/>
        </w:rPr>
        <w:t>𝑛𝑜𝑟𝑚𝑎𝑙</w:t>
      </w:r>
      <w:r>
        <w:t xml:space="preserve"> = 1.0, </w:t>
      </w:r>
      <w:proofErr w:type="spellStart"/>
      <w:r>
        <w:t>W</w:t>
      </w:r>
      <w:r>
        <w:rPr>
          <w:vertAlign w:val="subscript"/>
        </w:rPr>
        <w:t>minor</w:t>
      </w:r>
      <w:proofErr w:type="spellEnd"/>
      <w:r>
        <w:t xml:space="preserve">=1.67 and </w:t>
      </w:r>
      <w:proofErr w:type="spellStart"/>
      <w:r>
        <w:t>W</w:t>
      </w:r>
      <w:r>
        <w:rPr>
          <w:vertAlign w:val="subscript"/>
        </w:rPr>
        <w:t>severe</w:t>
      </w:r>
      <w:proofErr w:type="spellEnd"/>
      <w:r>
        <w:t xml:space="preserve"> = 2.5,</w:t>
      </w:r>
    </w:p>
    <w:p w14:paraId="56C9F120" w14:textId="77777777" w:rsidR="00DD1896" w:rsidRDefault="00000000">
      <w:pPr>
        <w:pStyle w:val="whitespace-normal"/>
        <w:jc w:val="both"/>
      </w:pPr>
      <w:r>
        <w:t xml:space="preserve">motivating minority classes to play a relatively larger role in the training goal. In the case of wind energy data (10,200 samples), where two-fifths of the distribution was healthy and two-fifths faulty, data augmentation was accomplished to increase the proportion of failed data. Methods of </w:t>
      </w:r>
      <w:r>
        <w:lastRenderedPageBreak/>
        <w:t>overlapping window slicing (50% overlapping), Gaussian jittering (SD=0.01), scaling the amplitudes between 0.9 and 1.1 times the original values increased bad samples by 150%. These augmentations made the classes more representative and they led to an end distribution of 65 percent healthy and 35 percent faulty.</w:t>
      </w:r>
    </w:p>
    <w:p w14:paraId="1C34426D" w14:textId="77777777" w:rsidR="00DD1896" w:rsidRDefault="00000000">
      <w:pPr>
        <w:pStyle w:val="ListParagraph"/>
        <w:numPr>
          <w:ilvl w:val="0"/>
          <w:numId w:val="13"/>
        </w:numPr>
        <w:spacing w:after="0" w:line="240" w:lineRule="auto"/>
        <w:rPr>
          <w:rStyle w:val="Strong"/>
          <w:rFonts w:ascii="Times New Roman" w:hAnsi="Times New Roman" w:cs="Times New Roman"/>
          <w:sz w:val="27"/>
          <w:szCs w:val="27"/>
        </w:rPr>
      </w:pPr>
      <w:r>
        <w:rPr>
          <w:rStyle w:val="Strong"/>
          <w:rFonts w:ascii="Times New Roman" w:hAnsi="Times New Roman" w:cs="Times New Roman"/>
          <w:sz w:val="27"/>
          <w:szCs w:val="27"/>
        </w:rPr>
        <w:t>Implementation Challenges and Solutions</w:t>
      </w:r>
    </w:p>
    <w:p w14:paraId="1BE5155C" w14:textId="77777777" w:rsidR="00DD1896" w:rsidRDefault="00000000">
      <w:pPr>
        <w:spacing w:after="0" w:line="240" w:lineRule="auto"/>
        <w:rPr>
          <w:rFonts w:ascii="Times New Roman" w:hAnsi="Times New Roman" w:cs="Times New Roman"/>
        </w:rPr>
      </w:pPr>
      <w:r>
        <w:rPr>
          <w:rFonts w:ascii="Times New Roman" w:hAnsi="Times New Roman" w:cs="Times New Roman"/>
        </w:rPr>
        <w:t>Although AI-powered Digital Twins (DTs) have shown to have the potential in Structural Health Monitoring (SHM), multiple obstacles are on the way towards wide usage. These include the issues of data quality, scalability, cybersecurity, integration and standardization, and should be properly handled to create working adoption</w:t>
      </w:r>
      <w:r>
        <w:rPr>
          <w:rFonts w:ascii="Times New Roman" w:eastAsia="Times New Roman" w:hAnsi="Times New Roman" w:cs="Times New Roman"/>
          <w:b/>
          <w:bCs/>
          <w:color w:val="000000" w:themeColor="text1"/>
        </w:rPr>
        <w:fldChar w:fldCharType="begin"/>
      </w:r>
      <w:r>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rPr>
        <w:fldChar w:fldCharType="separate"/>
      </w:r>
      <w:r>
        <w:rPr>
          <w:rFonts w:ascii="Times New Roman" w:hAnsi="Times New Roman" w:cs="Times New Roman"/>
          <w:b/>
          <w:bCs/>
          <w:color w:val="000000" w:themeColor="text1"/>
        </w:rPr>
        <w:t>[29]</w:t>
      </w:r>
      <w:r>
        <w:rPr>
          <w:rFonts w:ascii="Times New Roman" w:eastAsia="Times New Roman" w:hAnsi="Times New Roman" w:cs="Times New Roman"/>
          <w:b/>
          <w:bCs/>
          <w:color w:val="000000" w:themeColor="text1"/>
        </w:rPr>
        <w:fldChar w:fldCharType="end"/>
      </w:r>
      <w:r>
        <w:rPr>
          <w:rFonts w:ascii="Times New Roman" w:hAnsi="Times New Roman" w:cs="Times New Roman"/>
        </w:rPr>
        <w:t>.</w:t>
      </w:r>
    </w:p>
    <w:p w14:paraId="3E712205" w14:textId="77777777" w:rsidR="00DD1896" w:rsidRDefault="00DD1896">
      <w:pPr>
        <w:spacing w:after="0" w:line="240" w:lineRule="auto"/>
        <w:rPr>
          <w:rStyle w:val="Strong"/>
          <w:rFonts w:ascii="Times New Roman" w:hAnsi="Times New Roman" w:cs="Times New Roman"/>
          <w:color w:val="000000" w:themeColor="text1"/>
          <w:sz w:val="28"/>
          <w:szCs w:val="28"/>
        </w:rPr>
      </w:pPr>
    </w:p>
    <w:p w14:paraId="1532EB1E" w14:textId="77777777" w:rsidR="00DD1896" w:rsidRDefault="00000000">
      <w:pPr>
        <w:spacing w:after="0" w:line="240" w:lineRule="auto"/>
        <w:rPr>
          <w:rStyle w:val="Strong"/>
          <w:rFonts w:ascii="Times New Roman" w:hAnsi="Times New Roman" w:cs="Times New Roman"/>
          <w:color w:val="000000" w:themeColor="text1"/>
          <w:sz w:val="28"/>
          <w:szCs w:val="28"/>
        </w:rPr>
      </w:pPr>
      <w:r>
        <w:rPr>
          <w:rStyle w:val="Strong"/>
          <w:rFonts w:ascii="Times New Roman" w:hAnsi="Times New Roman" w:cs="Times New Roman"/>
          <w:color w:val="000000" w:themeColor="text1"/>
          <w:sz w:val="28"/>
          <w:szCs w:val="28"/>
        </w:rPr>
        <w:t>5.1 Data Challenges</w:t>
      </w:r>
    </w:p>
    <w:p w14:paraId="5D72947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efficiency of AI-powered DTs is defined by the quality, continuity, and reliability of the sensor information. But data may get lost due to sensor failures or transmission errors which can greatly diminish the accuracy of prediction. Systematic bias is built into the position through sensor drift which means that readings continually drift and models further become unstable because of the non-stationary conditions that will be encountered due to changing loads or environmental conditions </w:t>
      </w:r>
      <w:r>
        <w:rPr>
          <w:rFonts w:ascii="Times New Roman" w:eastAsia="Times New Roman" w:hAnsi="Times New Roman" w:cs="Times New Roman"/>
          <w:b/>
          <w:bCs/>
          <w:color w:val="000000" w:themeColor="text1"/>
          <w:sz w:val="24"/>
          <w:szCs w:val="24"/>
        </w:rPr>
        <w:fldChar w:fldCharType="begin"/>
      </w:r>
      <w:r>
        <w:rPr>
          <w:rFonts w:ascii="Times New Roman" w:eastAsia="Times New Roman" w:hAnsi="Times New Roman" w:cs="Times New Roman"/>
          <w:b/>
          <w:bCs/>
          <w:color w:val="000000" w:themeColor="text1"/>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sz w:val="24"/>
          <w:szCs w:val="24"/>
        </w:rPr>
        <w:fldChar w:fldCharType="separate"/>
      </w:r>
      <w:r>
        <w:rPr>
          <w:rFonts w:ascii="Times New Roman" w:hAnsi="Times New Roman" w:cs="Times New Roman"/>
          <w:b/>
          <w:bCs/>
          <w:color w:val="000000" w:themeColor="text1"/>
          <w:sz w:val="24"/>
          <w:szCs w:val="24"/>
        </w:rPr>
        <w:t>[30]</w:t>
      </w:r>
      <w:r>
        <w:rPr>
          <w:rFonts w:ascii="Times New Roman" w:eastAsia="Times New Roman" w:hAnsi="Times New Roman" w:cs="Times New Roman"/>
          <w:b/>
          <w:bCs/>
          <w:color w:val="000000" w:themeColor="text1"/>
          <w:sz w:val="24"/>
          <w:szCs w:val="24"/>
        </w:rPr>
        <w:fldChar w:fldCharType="end"/>
      </w:r>
      <w:r>
        <w:rPr>
          <w:rFonts w:ascii="Times New Roman" w:eastAsia="Times New Roman" w:hAnsi="Times New Roman" w:cs="Times New Roman"/>
          <w:sz w:val="24"/>
          <w:szCs w:val="24"/>
        </w:rPr>
        <w:t>.</w:t>
      </w:r>
    </w:p>
    <w:p w14:paraId="0FB5BC3F" w14:textId="77777777" w:rsidR="00DD1896" w:rsidRDefault="00DD1896">
      <w:pPr>
        <w:spacing w:after="0" w:line="240" w:lineRule="auto"/>
        <w:rPr>
          <w:rFonts w:ascii="Times New Roman" w:eastAsia="Times New Roman" w:hAnsi="Times New Roman" w:cs="Times New Roman"/>
          <w:sz w:val="24"/>
          <w:szCs w:val="24"/>
        </w:rPr>
      </w:pPr>
    </w:p>
    <w:p w14:paraId="4A0386C4" w14:textId="77777777" w:rsidR="00DD1896"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Potential Solutions:</w:t>
      </w:r>
    </w:p>
    <w:p w14:paraId="0455EACB" w14:textId="77777777" w:rsidR="00DD1896" w:rsidRDefault="00000000">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Imputation of data (e.g., using matrix factorization, k-nearest neighbor).</w:t>
      </w:r>
    </w:p>
    <w:p w14:paraId="6F1D1C33" w14:textId="77777777" w:rsidR="00DD1896" w:rsidRDefault="00000000">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Domain adaptation techniques to re-tune models in environments of change.</w:t>
      </w:r>
    </w:p>
    <w:p w14:paraId="4ACFC20B" w14:textId="77777777" w:rsidR="00DD1896" w:rsidRDefault="00000000">
      <w:pPr>
        <w:pStyle w:val="ListParagraph"/>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Anomaly-sensitive preprocessing and periodic calibration in order to enhance long-term stability.</w:t>
      </w:r>
    </w:p>
    <w:p w14:paraId="1F540108" w14:textId="77777777" w:rsidR="00DD1896"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5.2 Scalability &amp; Computational Cost</w:t>
      </w:r>
    </w:p>
    <w:p w14:paraId="74B84BF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Wide area or even city level SHM systems can demand real time processing of large data sets of high frequency sensor information, creating the added computing burden. In the absence of effective pipelines, latency of inference can impede decision-making </w:t>
      </w:r>
      <w:r>
        <w:rPr>
          <w:rFonts w:ascii="Times New Roman" w:eastAsia="Times New Roman" w:hAnsi="Times New Roman" w:cs="Times New Roman"/>
          <w:b/>
          <w:bCs/>
          <w:color w:val="000000" w:themeColor="text1"/>
          <w:sz w:val="24"/>
          <w:szCs w:val="24"/>
        </w:rPr>
        <w:fldChar w:fldCharType="begin"/>
      </w:r>
      <w:r>
        <w:rPr>
          <w:rFonts w:ascii="Times New Roman" w:eastAsia="Times New Roman" w:hAnsi="Times New Roman" w:cs="Times New Roman"/>
          <w:b/>
          <w:bCs/>
          <w:color w:val="000000" w:themeColor="text1"/>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000000" w:themeColor="text1"/>
          <w:sz w:val="24"/>
          <w:szCs w:val="24"/>
        </w:rPr>
        <w:fldChar w:fldCharType="separate"/>
      </w:r>
      <w:r>
        <w:rPr>
          <w:rFonts w:ascii="Times New Roman" w:hAnsi="Times New Roman" w:cs="Times New Roman"/>
          <w:b/>
          <w:bCs/>
          <w:color w:val="000000" w:themeColor="text1"/>
          <w:sz w:val="24"/>
          <w:szCs w:val="24"/>
        </w:rPr>
        <w:t>[31]</w:t>
      </w:r>
      <w:r>
        <w:rPr>
          <w:rFonts w:ascii="Times New Roman" w:eastAsia="Times New Roman" w:hAnsi="Times New Roman" w:cs="Times New Roman"/>
          <w:b/>
          <w:bCs/>
          <w:color w:val="000000" w:themeColor="text1"/>
          <w:sz w:val="24"/>
          <w:szCs w:val="24"/>
        </w:rPr>
        <w:fldChar w:fldCharType="end"/>
      </w:r>
      <w:r>
        <w:rPr>
          <w:rFonts w:ascii="Times New Roman" w:eastAsia="Times New Roman" w:hAnsi="Times New Roman" w:cs="Times New Roman"/>
          <w:sz w:val="24"/>
          <w:szCs w:val="24"/>
        </w:rPr>
        <w:t>.</w:t>
      </w:r>
    </w:p>
    <w:p w14:paraId="5D486966"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Solutions:</w:t>
      </w:r>
    </w:p>
    <w:p w14:paraId="3E006052" w14:textId="77777777" w:rsidR="00DD1896" w:rsidRDefault="00000000">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Cloud-edge hybrid systems:</w:t>
      </w:r>
      <w:r>
        <w:rPr>
          <w:rFonts w:ascii="Times New Roman" w:eastAsia="Times New Roman" w:hAnsi="Times New Roman" w:cs="Times New Roman"/>
          <w:sz w:val="24"/>
          <w:szCs w:val="24"/>
        </w:rPr>
        <w:t xml:space="preserve"> Edge devices filter and extract features and cloud server manage large scale simulation and training.</w:t>
      </w:r>
    </w:p>
    <w:p w14:paraId="2F7C03B4" w14:textId="77777777" w:rsidR="00DD1896" w:rsidRDefault="00000000">
      <w:pPr>
        <w:pStyle w:val="ListParagraph"/>
        <w:numPr>
          <w:ilvl w:val="0"/>
          <w:numId w:val="1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Hardware acceleration:</w:t>
      </w:r>
      <w:r>
        <w:rPr>
          <w:rFonts w:ascii="Times New Roman" w:eastAsia="Times New Roman" w:hAnsi="Times New Roman" w:cs="Times New Roman"/>
          <w:sz w:val="24"/>
          <w:szCs w:val="24"/>
        </w:rPr>
        <w:t xml:space="preserve"> GPUs and TPUs can cause an enormous decrease in latency in deep learning models.</w:t>
      </w:r>
    </w:p>
    <w:p w14:paraId="43A6E908"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Scalability is improved by dynamic loading balancing across the nodes and by maximizing resource availability.</w:t>
      </w:r>
    </w:p>
    <w:p w14:paraId="7546AD2C" w14:textId="77777777" w:rsidR="00DD1896" w:rsidRDefault="00000000">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5.3 Cybersecurity &amp; Privacy Concerns</w:t>
      </w:r>
    </w:p>
    <w:p w14:paraId="336E65F3"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ongoing interaction of assets, AI models, and DT platforms causes them to be more exposed to the threats of data tampering, unauthorized access, and denial-of-service attacks. The confidentiality of operation-related information is the key to stakeholder confidence </w:t>
      </w:r>
      <w:r>
        <w:rPr>
          <w:rFonts w:ascii="Times New Roman" w:eastAsia="Times New Roman" w:hAnsi="Times New Roman" w:cs="Times New Roman"/>
          <w:b/>
          <w:bCs/>
          <w:sz w:val="24"/>
          <w:szCs w:val="24"/>
        </w:rPr>
        <w:fldChar w:fldCharType="begin"/>
      </w:r>
      <w:r>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sz w:val="24"/>
          <w:szCs w:val="24"/>
        </w:rPr>
        <w:fldChar w:fldCharType="separate"/>
      </w: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fldChar w:fldCharType="end"/>
      </w:r>
      <w:r>
        <w:rPr>
          <w:rFonts w:ascii="Times New Roman" w:eastAsia="Times New Roman" w:hAnsi="Times New Roman" w:cs="Times New Roman"/>
          <w:sz w:val="24"/>
          <w:szCs w:val="24"/>
        </w:rPr>
        <w:t>.</w:t>
      </w:r>
    </w:p>
    <w:p w14:paraId="2D49E396"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Solutions:</w:t>
      </w:r>
    </w:p>
    <w:p w14:paraId="06ACAFD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 exchanges of data that are based on blockchain offer unchangeable records of transactions, which guarantee the integrity of data.</w:t>
      </w:r>
    </w:p>
    <w:p w14:paraId="29E25D0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federated learning, there is no exchange of raw data, but training can take place in a distributed manner.</w:t>
      </w:r>
    </w:p>
    <w:p w14:paraId="6C1725BD" w14:textId="77777777" w:rsidR="00DD189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The hybrid security frameworks that are a combination of these techniques match the dynamic regulation of cybersecurity.</w:t>
      </w:r>
    </w:p>
    <w:p w14:paraId="4F0FA1D8"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5.4 Integration with Legacy Systems</w:t>
      </w:r>
    </w:p>
    <w:p w14:paraId="25C0C1BF" w14:textId="77777777" w:rsidR="00DD1896" w:rsidRDefault="00000000">
      <w:pPr>
        <w:pStyle w:val="Heading3"/>
        <w:rPr>
          <w:rFonts w:ascii="Times New Roman" w:eastAsia="Times New Roman" w:hAnsi="Times New Roman" w:cs="Times New Roman"/>
          <w:color w:val="auto"/>
        </w:rPr>
      </w:pPr>
      <w:r>
        <w:rPr>
          <w:rFonts w:ascii="Times New Roman" w:eastAsia="Times New Roman" w:hAnsi="Times New Roman" w:cs="Times New Roman"/>
          <w:color w:val="auto"/>
        </w:rPr>
        <w:t xml:space="preserve">A big chunk of infrastructural properties is using legacy SHM systems that do not blend with current DT platforms. A complete replenishment is not practical most of the time due to the financial factor </w:t>
      </w:r>
      <w:r>
        <w:rPr>
          <w:rFonts w:ascii="Times New Roman" w:eastAsia="Times New Roman" w:hAnsi="Times New Roman" w:cs="Times New Roman"/>
          <w:b/>
          <w:bCs/>
          <w:color w:val="auto"/>
        </w:rPr>
        <w:fldChar w:fldCharType="begin"/>
      </w:r>
      <w:r>
        <w:rPr>
          <w:rFonts w:ascii="Times New Roman" w:eastAsia="Times New Roman" w:hAnsi="Times New Roman" w:cs="Times New Roman"/>
          <w:b/>
          <w:bCs/>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auto"/>
        </w:rPr>
        <w:fldChar w:fldCharType="separate"/>
      </w:r>
      <w:r>
        <w:rPr>
          <w:rFonts w:ascii="Times New Roman" w:eastAsia="Times New Roman" w:hAnsi="Times New Roman" w:cs="Times New Roman"/>
          <w:b/>
          <w:bCs/>
          <w:color w:val="auto"/>
        </w:rPr>
        <w:t>[33]</w:t>
      </w:r>
      <w:r>
        <w:rPr>
          <w:rFonts w:ascii="Times New Roman" w:eastAsia="Times New Roman" w:hAnsi="Times New Roman" w:cs="Times New Roman"/>
          <w:b/>
          <w:bCs/>
          <w:color w:val="auto"/>
        </w:rPr>
        <w:fldChar w:fldCharType="end"/>
      </w:r>
      <w:r>
        <w:rPr>
          <w:rFonts w:ascii="Times New Roman" w:eastAsia="Times New Roman" w:hAnsi="Times New Roman" w:cs="Times New Roman"/>
          <w:color w:val="auto"/>
        </w:rPr>
        <w:t>.</w:t>
      </w:r>
    </w:p>
    <w:p w14:paraId="6ED593E7" w14:textId="77777777" w:rsidR="00DD1896" w:rsidRDefault="00000000">
      <w:pPr>
        <w:pStyle w:val="Heading3"/>
        <w:rPr>
          <w:rFonts w:ascii="Times New Roman" w:eastAsia="Times New Roman" w:hAnsi="Times New Roman" w:cs="Times New Roman"/>
          <w:b/>
          <w:bCs/>
          <w:color w:val="auto"/>
        </w:rPr>
      </w:pPr>
      <w:r>
        <w:rPr>
          <w:rFonts w:ascii="Times New Roman" w:eastAsia="Times New Roman" w:hAnsi="Times New Roman" w:cs="Times New Roman"/>
          <w:b/>
          <w:bCs/>
          <w:color w:val="auto"/>
        </w:rPr>
        <w:t>Potential Solutions:</w:t>
      </w:r>
    </w:p>
    <w:p w14:paraId="1297E4C1" w14:textId="77777777" w:rsidR="00DD1896" w:rsidRDefault="00000000">
      <w:pPr>
        <w:pStyle w:val="Heading3"/>
        <w:rPr>
          <w:rFonts w:ascii="Times New Roman" w:eastAsia="Times New Roman" w:hAnsi="Times New Roman" w:cs="Times New Roman"/>
          <w:color w:val="auto"/>
        </w:rPr>
      </w:pPr>
      <w:r>
        <w:rPr>
          <w:rFonts w:ascii="Times New Roman" w:eastAsia="Times New Roman" w:hAnsi="Times New Roman" w:cs="Times New Roman"/>
          <w:color w:val="auto"/>
        </w:rPr>
        <w:t>The API middleware to interoperate the old and new systems.</w:t>
      </w:r>
    </w:p>
    <w:p w14:paraId="682F7FE0" w14:textId="77777777" w:rsidR="00DD1896" w:rsidRDefault="00000000">
      <w:pPr>
        <w:pStyle w:val="Heading3"/>
        <w:rPr>
          <w:rFonts w:ascii="Times New Roman" w:eastAsia="Times New Roman" w:hAnsi="Times New Roman" w:cs="Times New Roman"/>
          <w:color w:val="auto"/>
        </w:rPr>
      </w:pPr>
      <w:r>
        <w:rPr>
          <w:rFonts w:ascii="Times New Roman" w:eastAsia="Times New Roman" w:hAnsi="Times New Roman" w:cs="Times New Roman"/>
          <w:color w:val="auto"/>
        </w:rPr>
        <w:t>Modular DT infrastructures make it possible to gradually incorporate AI functionality without upsetting the workflows in progress.</w:t>
      </w:r>
    </w:p>
    <w:p w14:paraId="0149A452" w14:textId="77777777" w:rsidR="00DD1896" w:rsidRDefault="00000000">
      <w:pPr>
        <w:pStyle w:val="Heading3"/>
        <w:rPr>
          <w:rFonts w:ascii="Times New Roman" w:eastAsia="Times New Roman" w:hAnsi="Times New Roman" w:cs="Times New Roman"/>
          <w:color w:val="auto"/>
        </w:rPr>
      </w:pPr>
      <w:r>
        <w:rPr>
          <w:rFonts w:ascii="Times New Roman" w:eastAsia="Times New Roman" w:hAnsi="Times New Roman" w:cs="Times New Roman"/>
          <w:color w:val="auto"/>
        </w:rPr>
        <w:t>This risk-reducing and transition-easing phased approach will be undertaken.</w:t>
      </w:r>
    </w:p>
    <w:p w14:paraId="01319F81"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5.5 Standardization &amp; Regulatory Compliance</w:t>
      </w:r>
    </w:p>
    <w:p w14:paraId="67C0D6CD" w14:textId="77777777" w:rsidR="00DD1896" w:rsidRDefault="00000000">
      <w:pPr>
        <w:pStyle w:val="Heading2"/>
        <w:jc w:val="both"/>
        <w:rPr>
          <w:b w:val="0"/>
          <w:bCs w:val="0"/>
          <w:sz w:val="24"/>
          <w:szCs w:val="24"/>
        </w:rPr>
      </w:pPr>
      <w:r>
        <w:rPr>
          <w:b w:val="0"/>
          <w:bCs w:val="0"/>
          <w:sz w:val="24"/>
          <w:szCs w:val="24"/>
        </w:rPr>
        <w:t xml:space="preserve">Lack of universally agreed standards of AI-powered DTs undermines interoperability in different industries. Sharing of common frameworks is a challenge to scaling to non-isolated projects </w:t>
      </w:r>
      <w:r>
        <w:rPr>
          <w:color w:val="000000" w:themeColor="text1"/>
          <w:sz w:val="24"/>
          <w:szCs w:val="24"/>
        </w:rPr>
        <w:fldChar w:fldCharType="begin"/>
      </w:r>
      <w:r>
        <w:rPr>
          <w:color w:val="000000" w:themeColor="text1"/>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color w:val="000000" w:themeColor="text1"/>
          <w:sz w:val="24"/>
          <w:szCs w:val="24"/>
        </w:rPr>
        <w:fldChar w:fldCharType="separate"/>
      </w:r>
      <w:r>
        <w:rPr>
          <w:color w:val="000000" w:themeColor="text1"/>
          <w:sz w:val="24"/>
        </w:rPr>
        <w:t>[33]</w:t>
      </w:r>
      <w:r>
        <w:rPr>
          <w:color w:val="000000" w:themeColor="text1"/>
          <w:sz w:val="24"/>
          <w:szCs w:val="24"/>
        </w:rPr>
        <w:fldChar w:fldCharType="end"/>
      </w:r>
      <w:r>
        <w:rPr>
          <w:b w:val="0"/>
          <w:bCs w:val="0"/>
          <w:sz w:val="24"/>
          <w:szCs w:val="24"/>
        </w:rPr>
        <w:t>.</w:t>
      </w:r>
    </w:p>
    <w:p w14:paraId="6BFD71FD" w14:textId="77777777" w:rsidR="00DD1896" w:rsidRDefault="00000000">
      <w:pPr>
        <w:pStyle w:val="Heading2"/>
        <w:jc w:val="both"/>
        <w:rPr>
          <w:sz w:val="24"/>
          <w:szCs w:val="24"/>
        </w:rPr>
      </w:pPr>
      <w:r>
        <w:rPr>
          <w:sz w:val="24"/>
          <w:szCs w:val="24"/>
        </w:rPr>
        <w:t>Potential Solutions:</w:t>
      </w:r>
    </w:p>
    <w:p w14:paraId="750ADDA2" w14:textId="77777777" w:rsidR="00DD1896" w:rsidRDefault="00000000">
      <w:pPr>
        <w:pStyle w:val="Heading2"/>
        <w:jc w:val="both"/>
        <w:rPr>
          <w:b w:val="0"/>
          <w:bCs w:val="0"/>
          <w:sz w:val="24"/>
          <w:szCs w:val="24"/>
        </w:rPr>
      </w:pPr>
      <w:r>
        <w:rPr>
          <w:b w:val="0"/>
          <w:bCs w:val="0"/>
          <w:sz w:val="24"/>
          <w:szCs w:val="24"/>
        </w:rPr>
        <w:t>The adoption of standards like ISO 23247 (DT frameworks), IEC 61400 (wind turbine monitoring) and the IFC schemas (building information modeling).</w:t>
      </w:r>
    </w:p>
    <w:p w14:paraId="3CE59141" w14:textId="77777777" w:rsidR="00DD1896" w:rsidRDefault="00000000">
      <w:pPr>
        <w:pStyle w:val="Heading2"/>
        <w:jc w:val="both"/>
        <w:rPr>
          <w:b w:val="0"/>
          <w:bCs w:val="0"/>
          <w:sz w:val="24"/>
          <w:szCs w:val="24"/>
        </w:rPr>
      </w:pPr>
      <w:r>
        <w:rPr>
          <w:b w:val="0"/>
          <w:bCs w:val="0"/>
          <w:sz w:val="24"/>
          <w:szCs w:val="24"/>
        </w:rPr>
        <w:t>Such alignment with these standards will accelerate approval across the regulatory sectors, data cross-sector exchange and sustainable growth.</w:t>
      </w:r>
    </w:p>
    <w:p w14:paraId="4E0238C3" w14:textId="77777777" w:rsidR="00DD1896" w:rsidRDefault="00000000">
      <w:pPr>
        <w:pStyle w:val="Heading2"/>
        <w:jc w:val="both"/>
        <w:rPr>
          <w:b w:val="0"/>
          <w:bCs w:val="0"/>
          <w:sz w:val="24"/>
          <w:szCs w:val="24"/>
        </w:rPr>
      </w:pPr>
      <w:r>
        <w:rPr>
          <w:b w:val="0"/>
          <w:bCs w:val="0"/>
          <w:sz w:val="24"/>
          <w:szCs w:val="24"/>
        </w:rPr>
        <w:t xml:space="preserve">Addressing such implementation issues must incorporate a harmonized implementation effort that will embrace technical solutions (e.g., imputation, edge-cloud systems, blockchain, APIs) with governance frameworks (standards and regulatory compliance). By focusing on data reliability, computational efficiency, security, interoperability and standardization, Industry-ready platforms of AI-powered DTs can become usable, scalable and trusted in realizing SHM </w:t>
      </w:r>
      <w:r>
        <w:rPr>
          <w:sz w:val="24"/>
          <w:szCs w:val="24"/>
        </w:rPr>
        <w:fldChar w:fldCharType="begin"/>
      </w:r>
      <w:r>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sz w:val="24"/>
          <w:szCs w:val="24"/>
        </w:rPr>
        <w:fldChar w:fldCharType="separate"/>
      </w:r>
      <w:r>
        <w:rPr>
          <w:sz w:val="24"/>
        </w:rPr>
        <w:t>[34]</w:t>
      </w:r>
      <w:r>
        <w:rPr>
          <w:sz w:val="24"/>
          <w:szCs w:val="24"/>
        </w:rPr>
        <w:fldChar w:fldCharType="end"/>
      </w:r>
      <w:r>
        <w:rPr>
          <w:b w:val="0"/>
          <w:bCs w:val="0"/>
          <w:sz w:val="24"/>
          <w:szCs w:val="24"/>
        </w:rPr>
        <w:t>.</w:t>
      </w:r>
    </w:p>
    <w:p w14:paraId="46487BFD" w14:textId="77777777" w:rsidR="00DD1896" w:rsidRDefault="00000000">
      <w:pPr>
        <w:pStyle w:val="Heading2"/>
      </w:pPr>
      <w:r>
        <w:rPr>
          <w:sz w:val="28"/>
          <w:szCs w:val="28"/>
        </w:rPr>
        <w:t>5.6 Qualitative Assessment and Stakeholder Evaluation</w:t>
      </w:r>
    </w:p>
    <w:p w14:paraId="65C96902" w14:textId="77777777" w:rsidR="00DD1896" w:rsidRDefault="00000000">
      <w:pPr>
        <w:pStyle w:val="Heading2"/>
        <w:rPr>
          <w:rStyle w:val="Strong"/>
          <w:rFonts w:eastAsiaTheme="majorEastAsia"/>
          <w:sz w:val="24"/>
          <w:szCs w:val="24"/>
        </w:rPr>
      </w:pPr>
      <w:r>
        <w:rPr>
          <w:b w:val="0"/>
          <w:bCs w:val="0"/>
          <w:sz w:val="24"/>
          <w:szCs w:val="24"/>
        </w:rPr>
        <w:t>The 23 respondents in semi structured stakeholder interviews provided practice-oriented views on the proposed framework. The sample consisted of 8 civil engineers (35 percent), 7 aerospace maintenance managers (30 percent) and 8 AI specialists who have had experience in SHM (35 percent). Their work experience was 5 to 25 years with a mean work experience of 12.4 years, which is a sufficient and enlightening source of knowledge.</w:t>
      </w:r>
      <w:r>
        <w:rPr>
          <w:rStyle w:val="Strong"/>
          <w:rFonts w:eastAsiaTheme="majorEastAsia"/>
          <w:sz w:val="24"/>
          <w:szCs w:val="24"/>
        </w:rPr>
        <w:t xml:space="preserve"> </w:t>
      </w:r>
    </w:p>
    <w:p w14:paraId="7ACE523B" w14:textId="77777777" w:rsidR="00DD1896" w:rsidRDefault="00000000">
      <w:pPr>
        <w:pStyle w:val="Heading2"/>
        <w:rPr>
          <w:rStyle w:val="Strong"/>
          <w:rFonts w:eastAsiaTheme="majorEastAsia"/>
          <w:sz w:val="24"/>
          <w:szCs w:val="24"/>
        </w:rPr>
      </w:pPr>
      <w:r>
        <w:rPr>
          <w:rStyle w:val="Strong"/>
          <w:rFonts w:eastAsiaTheme="majorEastAsia"/>
          <w:sz w:val="24"/>
          <w:szCs w:val="24"/>
        </w:rPr>
        <w:t xml:space="preserve">Analysis of the responses based on themes brought about three major themes. Sample of the first theme is the interpretability requirements which showed the stress of 78 per cent participants. The stakeholders were always interested in AI decisions that could be explained avoiding potential works of modest improvement in prediction strategies because of the adverse impact of a black box on prediction on the material of safety hazards. -SHAP-based explanations were also favored over LIME especially among the technically trained stakeholders who valued to have an explanation that appeared transparent and could be traced back. The second theme API oversees celestial integration struggles as indicated by 65% of participants. The compatibility of the </w:t>
      </w:r>
      <w:r>
        <w:rPr>
          <w:rStyle w:val="Strong"/>
          <w:rFonts w:eastAsiaTheme="majorEastAsia"/>
          <w:sz w:val="24"/>
          <w:szCs w:val="24"/>
        </w:rPr>
        <w:lastRenderedPageBreak/>
        <w:t>legacy systems was found as the greatest landslide to the deployment with a staff training group of three to four weeks to become fully proficient. Staged implementation method was highly favored as opposed to full replacement of the system to reduce operational inconveniences. Cost-benefit perceptions refer to the third theme but it was diverse by sectors. The most positive statements were made by aerospace professionals (85%), who gave strict safety requirements as a point, followed by conditional positivity by civil infrastructure participants (60%), in many cases under the auspices of government incentives. The notion of efficiency gains and reliability in operations was popular among the energy sector stakeholders (70%).</w:t>
      </w:r>
    </w:p>
    <w:p w14:paraId="58359FD6" w14:textId="77777777" w:rsidR="00DD1896" w:rsidRDefault="00000000">
      <w:pPr>
        <w:pStyle w:val="Heading2"/>
        <w:rPr>
          <w:rStyle w:val="Strong"/>
          <w:rFonts w:eastAsiaTheme="majorEastAsia"/>
          <w:sz w:val="24"/>
          <w:szCs w:val="24"/>
        </w:rPr>
      </w:pPr>
      <w:r>
        <w:rPr>
          <w:rStyle w:val="Strong"/>
          <w:rFonts w:eastAsiaTheme="majorEastAsia"/>
          <w:sz w:val="24"/>
          <w:szCs w:val="24"/>
        </w:rPr>
        <w:t>The user experience analysis also gave additional information on practical adoption. The AI-DT framework coupled minimized task completion time to 4.2 minutes on average, as opposed to 18.7 minutes when conventional methods were used. Training estimates were in line with the actual experience and it took even more time before an experienced engineer could adjust to the learning curve, which took 34 weeks. General user satisfaction post deployment six months was measured at 7.2/10 suggesting that it was highly accepted but with additional areas of usability and integration enhancement.</w:t>
      </w:r>
    </w:p>
    <w:p w14:paraId="1C41BF11" w14:textId="77777777" w:rsidR="00DD1896" w:rsidRDefault="00000000">
      <w:pPr>
        <w:pStyle w:val="Heading2"/>
        <w:rPr>
          <w:rStyle w:val="Strong"/>
          <w:rFonts w:eastAsiaTheme="majorEastAsia"/>
          <w:b/>
          <w:bCs/>
          <w:color w:val="000000" w:themeColor="text1"/>
          <w:sz w:val="28"/>
          <w:szCs w:val="28"/>
        </w:rPr>
      </w:pPr>
      <w:r>
        <w:rPr>
          <w:rStyle w:val="Strong"/>
          <w:rFonts w:eastAsiaTheme="majorEastAsia"/>
          <w:b/>
          <w:bCs/>
          <w:color w:val="000000" w:themeColor="text1"/>
          <w:sz w:val="28"/>
          <w:szCs w:val="28"/>
        </w:rPr>
        <w:t>6. Case Studies &amp; Applications</w:t>
      </w:r>
    </w:p>
    <w:p w14:paraId="214BBF5A" w14:textId="77777777" w:rsidR="00DD1896" w:rsidRDefault="00000000">
      <w:pPr>
        <w:spacing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diverse applications of AI-powered DT across civil, aerospace, and energy sectors are illustrated in Figure 3, highlighting key operational benefits achieved in each domain.</w:t>
      </w:r>
    </w:p>
    <w:p w14:paraId="71F8A0CE" w14:textId="77777777" w:rsidR="00DD1896" w:rsidRDefault="00000000">
      <w:pPr>
        <w:pStyle w:val="Heading2"/>
        <w:keepNext/>
      </w:pPr>
      <w:r>
        <w:rPr>
          <w:noProof/>
        </w:rPr>
        <w:drawing>
          <wp:inline distT="0" distB="0" distL="0" distR="0" wp14:anchorId="1AA76AC8" wp14:editId="23B83507">
            <wp:extent cx="594360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6A3DF91E" w14:textId="77777777" w:rsidR="00DD1896" w:rsidRDefault="00000000">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3</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The impact of AI-powered DT on different sectors. Dynamic load adaptation is used in civil infrastructure applications (left) to lower the risk of fatigue failure. Physics-informed AI is used in aerospace applications (middle) to predict crack growth and make operations safer. RL is used in energy sector deployments (right) to plan inspections, which can cut turbine downtime by up to 20%. This image shows three examples of industries where AI-powered DT have been used: civil infrastructure, aerospace, and energy. There is a symbolic representation of the asset type, a brief description of the AI-DT integration, and a significant measurable advantage on each panel. The overview provides a comprehensive picture of how the technology can be applied across different fields and their impacts.</w:t>
      </w:r>
    </w:p>
    <w:p w14:paraId="668ADE85" w14:textId="77777777" w:rsidR="00DD1896" w:rsidRDefault="00000000">
      <w:pPr>
        <w:pStyle w:val="Heading3"/>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6.1 Civil Infrastructure</w:t>
      </w:r>
    </w:p>
    <w:p w14:paraId="7887805C" w14:textId="77777777" w:rsidR="00DD1896" w:rsidRDefault="00000000">
      <w:pPr>
        <w:pStyle w:val="Heading3"/>
        <w:jc w:val="both"/>
        <w:rPr>
          <w:rFonts w:ascii="Times New Roman" w:eastAsiaTheme="minorHAnsi" w:hAnsi="Times New Roman" w:cs="Times New Roman"/>
          <w:color w:val="auto"/>
        </w:rPr>
      </w:pPr>
      <w:r>
        <w:rPr>
          <w:rFonts w:ascii="Times New Roman" w:eastAsiaTheme="minorHAnsi" w:hAnsi="Times New Roman" w:cs="Times New Roman"/>
          <w:color w:val="auto"/>
        </w:rPr>
        <w:t xml:space="preserve">An example of application of the integration of the framework is the smart bridge monitoring. Dense strain gauge and accelerometer networks are used as the data acquisition layer and recurrent neural networks are applied on the load prediction across a wide range of traffic and weather conditions as the AI analytics layer. The decision support layer allows to dynamically adjust the traffic controls and minimize the number of fatigue-related failures </w:t>
      </w:r>
      <w:r>
        <w:rPr>
          <w:rFonts w:ascii="Times New Roman" w:eastAsiaTheme="minorHAnsi" w:hAnsi="Times New Roman" w:cs="Times New Roman"/>
          <w:color w:val="auto"/>
        </w:rPr>
        <w:fldChar w:fldCharType="begin"/>
      </w:r>
      <w:r>
        <w:rPr>
          <w:rFonts w:ascii="Times New Roman" w:eastAsiaTheme="minorHAnsi" w:hAnsi="Times New Roman" w:cs="Times New Roman"/>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heme="minorHAnsi" w:hAnsi="Times New Roman" w:cs="Times New Roman"/>
          <w:color w:val="auto"/>
        </w:rPr>
        <w:fldChar w:fldCharType="separate"/>
      </w:r>
      <w:r>
        <w:rPr>
          <w:rFonts w:ascii="Times New Roman" w:eastAsiaTheme="minorHAnsi" w:hAnsi="Times New Roman" w:cs="Times New Roman"/>
          <w:color w:val="auto"/>
        </w:rPr>
        <w:t>[35]</w:t>
      </w:r>
      <w:r>
        <w:rPr>
          <w:rFonts w:ascii="Times New Roman" w:eastAsiaTheme="minorHAnsi" w:hAnsi="Times New Roman" w:cs="Times New Roman"/>
          <w:color w:val="auto"/>
        </w:rPr>
        <w:fldChar w:fldCharType="end"/>
      </w:r>
      <w:r>
        <w:rPr>
          <w:rFonts w:ascii="Times New Roman" w:eastAsiaTheme="minorHAnsi" w:hAnsi="Times New Roman" w:cs="Times New Roman"/>
          <w:color w:val="auto"/>
        </w:rPr>
        <w:t>.</w:t>
      </w:r>
    </w:p>
    <w:p w14:paraId="015446C8" w14:textId="77777777" w:rsidR="00DD1896" w:rsidRDefault="00000000">
      <w:pPr>
        <w:pStyle w:val="Heading3"/>
        <w:jc w:val="both"/>
        <w:rPr>
          <w:rFonts w:ascii="Times New Roman" w:eastAsiaTheme="minorHAnsi" w:hAnsi="Times New Roman" w:cs="Times New Roman"/>
          <w:color w:val="auto"/>
        </w:rPr>
      </w:pPr>
      <w:r>
        <w:rPr>
          <w:rFonts w:ascii="Times New Roman" w:eastAsiaTheme="minorHAnsi" w:hAnsi="Times New Roman" w:cs="Times New Roman"/>
          <w:b/>
          <w:bCs/>
          <w:color w:val="auto"/>
        </w:rPr>
        <w:t>Quantitative Benefit:</w:t>
      </w:r>
      <w:r>
        <w:rPr>
          <w:rFonts w:ascii="Times New Roman" w:eastAsiaTheme="minorHAnsi" w:hAnsi="Times New Roman" w:cs="Times New Roman"/>
          <w:color w:val="auto"/>
        </w:rPr>
        <w:t xml:space="preserve"> Real-time DT-informed load management: -Results in 15 -25% reduced tendency of fatigue failure -Increased margin of safety and structural life extension.</w:t>
      </w:r>
    </w:p>
    <w:p w14:paraId="192C15CA" w14:textId="77777777" w:rsidR="00DD1896" w:rsidRDefault="00000000">
      <w:pPr>
        <w:pStyle w:val="Heading3"/>
        <w:jc w:val="both"/>
        <w:rPr>
          <w:rFonts w:ascii="Times New Roman" w:eastAsiaTheme="minorHAnsi" w:hAnsi="Times New Roman" w:cs="Times New Roman"/>
          <w:color w:val="auto"/>
        </w:rPr>
      </w:pPr>
      <w:r>
        <w:rPr>
          <w:rFonts w:ascii="Times New Roman" w:eastAsiaTheme="minorHAnsi" w:hAnsi="Times New Roman" w:cs="Times New Roman"/>
          <w:b/>
          <w:bCs/>
          <w:color w:val="auto"/>
        </w:rPr>
        <w:t>Economic Impact:</w:t>
      </w:r>
      <w:r>
        <w:rPr>
          <w:rFonts w:ascii="Times New Roman" w:eastAsiaTheme="minorHAnsi" w:hAnsi="Times New Roman" w:cs="Times New Roman"/>
          <w:color w:val="auto"/>
        </w:rPr>
        <w:t xml:space="preserve"> Maintenance costs can be reduced by up to 10 percent; economic impact of reduced emergency repair and increased maintenance intervals.</w:t>
      </w:r>
    </w:p>
    <w:p w14:paraId="4B4CA386" w14:textId="77777777" w:rsidR="00DD1896" w:rsidRDefault="00DD1896">
      <w:pPr>
        <w:pStyle w:val="Heading3"/>
        <w:jc w:val="both"/>
        <w:rPr>
          <w:rFonts w:ascii="Times New Roman" w:hAnsi="Times New Roman" w:cs="Times New Roman"/>
          <w:b/>
          <w:bCs/>
          <w:color w:val="000000" w:themeColor="text1"/>
          <w:sz w:val="28"/>
          <w:szCs w:val="28"/>
        </w:rPr>
      </w:pPr>
    </w:p>
    <w:p w14:paraId="562A3969" w14:textId="77777777" w:rsidR="00DD1896" w:rsidRDefault="00000000">
      <w:pPr>
        <w:pStyle w:val="Heading3"/>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6.2 Aerospace</w:t>
      </w:r>
    </w:p>
    <w:p w14:paraId="2CE95EB1" w14:textId="77777777" w:rsidR="00DD1896" w:rsidRDefault="00000000">
      <w:pPr>
        <w:pStyle w:val="NormalWeb"/>
        <w:jc w:val="both"/>
      </w:pPr>
      <w:r>
        <w:t xml:space="preserve">In aerospace, physic PIML demonstrates potential in the AI analytics layer in fatigue crack growth prediction. A DT is created by repetitively scanning the fuselage and measuring vibration to produce high-resolution data. Predictive DM models of crack progression are run. Repair teams apply the DT visualization layer to run virtual tests of repairs and strategies before making physical changes </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[36]</w:t>
      </w:r>
      <w:r>
        <w:rPr>
          <w:b/>
          <w:bCs/>
        </w:rPr>
        <w:fldChar w:fldCharType="end"/>
      </w:r>
      <w:r>
        <w:t>.</w:t>
      </w:r>
    </w:p>
    <w:p w14:paraId="0FE27536" w14:textId="77777777" w:rsidR="00DD1896" w:rsidRDefault="00000000">
      <w:pPr>
        <w:pStyle w:val="NormalWeb"/>
        <w:numPr>
          <w:ilvl w:val="0"/>
          <w:numId w:val="16"/>
        </w:numPr>
        <w:jc w:val="both"/>
      </w:pPr>
      <w:r>
        <w:rPr>
          <w:b/>
          <w:bCs/>
        </w:rPr>
        <w:t>Quantitative Benefit:</w:t>
      </w:r>
      <w:r>
        <w:t xml:space="preserve"> </w:t>
      </w:r>
      <w:proofErr w:type="spellStart"/>
      <w:r>
        <w:t>TheCrack</w:t>
      </w:r>
      <w:proofErr w:type="spellEnd"/>
      <w:r>
        <w:t xml:space="preserve"> growth modeling saves unscheduled maintenance by 1218 percent and safety compliance.</w:t>
      </w:r>
    </w:p>
    <w:p w14:paraId="7DB741F9" w14:textId="4A19DF16" w:rsidR="00DD1896" w:rsidRDefault="00000000">
      <w:pPr>
        <w:pStyle w:val="NormalWeb"/>
        <w:numPr>
          <w:ilvl w:val="0"/>
          <w:numId w:val="16"/>
        </w:numPr>
        <w:jc w:val="both"/>
      </w:pPr>
      <w:r>
        <w:rPr>
          <w:b/>
          <w:bCs/>
        </w:rPr>
        <w:t>Economic Effect:</w:t>
      </w:r>
      <w:r>
        <w:t xml:space="preserve"> aircraft unserviceability happens at a lower rate and this saves the company its operational cost at a rate of 8-12 percent at the large carrier level.</w:t>
      </w:r>
    </w:p>
    <w:p w14:paraId="7A6AF7D9" w14:textId="77777777" w:rsidR="00DD1896" w:rsidRDefault="00000000">
      <w:pPr>
        <w:pStyle w:val="Heading3"/>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6.3 Energy Sector</w:t>
      </w:r>
    </w:p>
    <w:p w14:paraId="74B32C8D" w14:textId="77777777" w:rsidR="00DD1896" w:rsidRDefault="00000000">
      <w:pPr>
        <w:pStyle w:val="Heading3"/>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In wind energy, the RL is integrated into the decision support layer, in order to optimize inspection schedules. Turbine-specific DTs combine vibration and wind load data with information of the gearbox in such a way that autonomous cost-performance trade-offs are achievable by RL agents </w:t>
      </w:r>
      <w:r>
        <w:rPr>
          <w:rFonts w:ascii="Times New Roman" w:eastAsia="Times New Roman" w:hAnsi="Times New Roman" w:cs="Times New Roman"/>
          <w:b/>
          <w:bCs/>
          <w:color w:val="auto"/>
        </w:rPr>
        <w:fldChar w:fldCharType="begin"/>
      </w:r>
      <w:r>
        <w:rPr>
          <w:rFonts w:ascii="Times New Roman" w:eastAsia="Times New Roman" w:hAnsi="Times New Roman" w:cs="Times New Roman"/>
          <w:b/>
          <w:bCs/>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rFonts w:ascii="Times New Roman" w:eastAsia="Times New Roman" w:hAnsi="Times New Roman" w:cs="Times New Roman"/>
          <w:b/>
          <w:bCs/>
          <w:color w:val="auto"/>
        </w:rPr>
        <w:fldChar w:fldCharType="separate"/>
      </w:r>
      <w:r>
        <w:rPr>
          <w:rFonts w:ascii="Times New Roman" w:eastAsia="Times New Roman" w:hAnsi="Times New Roman" w:cs="Times New Roman"/>
          <w:b/>
          <w:bCs/>
          <w:color w:val="auto"/>
        </w:rPr>
        <w:t>[37]</w:t>
      </w:r>
      <w:r>
        <w:rPr>
          <w:rFonts w:ascii="Times New Roman" w:eastAsia="Times New Roman" w:hAnsi="Times New Roman" w:cs="Times New Roman"/>
          <w:b/>
          <w:bCs/>
          <w:color w:val="auto"/>
        </w:rPr>
        <w:fldChar w:fldCharType="end"/>
      </w:r>
      <w:r>
        <w:rPr>
          <w:rFonts w:ascii="Times New Roman" w:eastAsia="Times New Roman" w:hAnsi="Times New Roman" w:cs="Times New Roman"/>
          <w:color w:val="auto"/>
        </w:rPr>
        <w:t>.</w:t>
      </w:r>
    </w:p>
    <w:p w14:paraId="18C10CA5" w14:textId="77777777" w:rsidR="00DD1896" w:rsidRDefault="00000000">
      <w:pPr>
        <w:pStyle w:val="Heading3"/>
        <w:numPr>
          <w:ilvl w:val="0"/>
          <w:numId w:val="17"/>
        </w:numPr>
        <w:jc w:val="both"/>
        <w:rPr>
          <w:rFonts w:ascii="Times New Roman" w:eastAsia="Times New Roman" w:hAnsi="Times New Roman" w:cs="Times New Roman"/>
          <w:color w:val="auto"/>
        </w:rPr>
      </w:pPr>
      <w:r>
        <w:rPr>
          <w:rFonts w:ascii="Times New Roman" w:eastAsia="Times New Roman" w:hAnsi="Times New Roman" w:cs="Times New Roman"/>
          <w:b/>
          <w:bCs/>
          <w:color w:val="auto"/>
        </w:rPr>
        <w:t>Quantitative Benefit:</w:t>
      </w:r>
      <w:r>
        <w:rPr>
          <w:rFonts w:ascii="Times New Roman" w:eastAsia="Times New Roman" w:hAnsi="Times New Roman" w:cs="Times New Roman"/>
          <w:color w:val="auto"/>
        </w:rPr>
        <w:t xml:space="preserve"> Field testing shows that as much as 20 % reduction in turbine downtime is demonstrated, and provides a more consistent energy production.</w:t>
      </w:r>
    </w:p>
    <w:p w14:paraId="410ECD50" w14:textId="77777777" w:rsidR="00DD1896" w:rsidRDefault="00000000">
      <w:pPr>
        <w:pStyle w:val="Heading3"/>
        <w:numPr>
          <w:ilvl w:val="0"/>
          <w:numId w:val="17"/>
        </w:numPr>
        <w:jc w:val="both"/>
        <w:rPr>
          <w:rFonts w:ascii="Times New Roman" w:eastAsia="Times New Roman" w:hAnsi="Times New Roman" w:cs="Times New Roman"/>
          <w:color w:val="auto"/>
        </w:rPr>
      </w:pPr>
      <w:r>
        <w:rPr>
          <w:rFonts w:ascii="Times New Roman" w:eastAsia="Times New Roman" w:hAnsi="Times New Roman" w:cs="Times New Roman"/>
          <w:b/>
          <w:bCs/>
          <w:color w:val="auto"/>
        </w:rPr>
        <w:t>Economic Impact:</w:t>
      </w:r>
      <w:r>
        <w:rPr>
          <w:rFonts w:ascii="Times New Roman" w:eastAsia="Times New Roman" w:hAnsi="Times New Roman" w:cs="Times New Roman"/>
          <w:color w:val="auto"/>
        </w:rPr>
        <w:t xml:space="preserve"> Enhanced optimization of component timely replacements results in a reduction in maintenance cost of up to 5-10 percent over the lifecycle of a turbine.</w:t>
      </w:r>
    </w:p>
    <w:p w14:paraId="6FE758D1" w14:textId="77777777" w:rsidR="00DD1896" w:rsidRDefault="00000000">
      <w:pPr>
        <w:pStyle w:val="NormalWeb"/>
        <w:rPr>
          <w:b/>
          <w:bCs/>
          <w:color w:val="000000" w:themeColor="text1"/>
          <w:sz w:val="28"/>
          <w:szCs w:val="28"/>
        </w:rPr>
      </w:pPr>
      <w:r>
        <w:rPr>
          <w:b/>
          <w:bCs/>
          <w:color w:val="000000" w:themeColor="text1"/>
          <w:sz w:val="28"/>
          <w:szCs w:val="28"/>
        </w:rPr>
        <w:t>6.4. Train-Test Split Analysis</w:t>
      </w:r>
    </w:p>
    <w:p w14:paraId="19473334"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robustness of the proposed framework, experiments were conducted at multiple train-test ratios. The primary configuration adopted was 75:25; however, additional ratios of 70:30, 80:20, and 90:10 were also assessed to confirm stability across partitions.</w:t>
      </w:r>
    </w:p>
    <w:p w14:paraId="5B840D4F" w14:textId="77777777" w:rsidR="00DD1896" w:rsidRDefault="00000000">
      <w:pPr>
        <w:pStyle w:val="Caption"/>
        <w:keepNext/>
        <w:rPr>
          <w:rFonts w:ascii="Times New Roman" w:hAnsi="Times New Roman" w:cs="Times New Roman"/>
          <w:i w:val="0"/>
          <w:iCs w:val="0"/>
          <w:color w:val="000000" w:themeColor="text1"/>
          <w:sz w:val="24"/>
          <w:szCs w:val="24"/>
          <w:highlight w:val="yellow"/>
        </w:rPr>
      </w:pPr>
      <w:r>
        <w:rPr>
          <w:rFonts w:ascii="Times New Roman" w:hAnsi="Times New Roman" w:cs="Times New Roman"/>
          <w:b/>
          <w:bCs/>
          <w:i w:val="0"/>
          <w:iCs w:val="0"/>
          <w:color w:val="000000" w:themeColor="text1"/>
          <w:sz w:val="24"/>
          <w:szCs w:val="24"/>
        </w:rPr>
        <w:lastRenderedPageBreak/>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Multi-Ratio Validation Results</w:t>
      </w:r>
    </w:p>
    <w:tbl>
      <w:tblPr>
        <w:tblStyle w:val="TableGrid"/>
        <w:tblW w:w="0" w:type="auto"/>
        <w:tblLook w:val="04A0" w:firstRow="1" w:lastRow="0" w:firstColumn="1" w:lastColumn="0" w:noHBand="0" w:noVBand="1"/>
      </w:tblPr>
      <w:tblGrid>
        <w:gridCol w:w="1773"/>
        <w:gridCol w:w="1492"/>
        <w:gridCol w:w="1492"/>
        <w:gridCol w:w="1492"/>
        <w:gridCol w:w="3101"/>
      </w:tblGrid>
      <w:tr w:rsidR="00DD1896" w14:paraId="0BD38EBF" w14:textId="77777777">
        <w:tc>
          <w:tcPr>
            <w:tcW w:w="0" w:type="auto"/>
          </w:tcPr>
          <w:p w14:paraId="73FF6B1C"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w:t>
            </w:r>
          </w:p>
        </w:tc>
        <w:tc>
          <w:tcPr>
            <w:tcW w:w="0" w:type="auto"/>
          </w:tcPr>
          <w:p w14:paraId="28BD0217"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70:30 Accuracy (%)</w:t>
            </w:r>
          </w:p>
        </w:tc>
        <w:tc>
          <w:tcPr>
            <w:tcW w:w="0" w:type="auto"/>
          </w:tcPr>
          <w:p w14:paraId="7605FC00"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80:20 Accuracy (%)</w:t>
            </w:r>
          </w:p>
        </w:tc>
        <w:tc>
          <w:tcPr>
            <w:tcW w:w="0" w:type="auto"/>
          </w:tcPr>
          <w:p w14:paraId="5EA18F6C"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90:10 Accuracy (%)</w:t>
            </w:r>
          </w:p>
        </w:tc>
        <w:tc>
          <w:tcPr>
            <w:tcW w:w="0" w:type="auto"/>
          </w:tcPr>
          <w:p w14:paraId="77081326" w14:textId="77777777" w:rsidR="00DD1896"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Observations</w:t>
            </w:r>
          </w:p>
        </w:tc>
      </w:tr>
      <w:tr w:rsidR="00DD1896" w14:paraId="088A4A19" w14:textId="77777777">
        <w:tc>
          <w:tcPr>
            <w:tcW w:w="0" w:type="auto"/>
          </w:tcPr>
          <w:p w14:paraId="4E17E54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PIML</w:t>
            </w:r>
          </w:p>
        </w:tc>
        <w:tc>
          <w:tcPr>
            <w:tcW w:w="0" w:type="auto"/>
          </w:tcPr>
          <w:p w14:paraId="05C33E2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0" w:type="auto"/>
          </w:tcPr>
          <w:p w14:paraId="2E34B0A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0" w:type="auto"/>
          </w:tcPr>
          <w:p w14:paraId="3669662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0" w:type="auto"/>
          </w:tcPr>
          <w:p w14:paraId="0481F46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Stable with limited data sensitivity</w:t>
            </w:r>
          </w:p>
        </w:tc>
      </w:tr>
      <w:tr w:rsidR="00DD1896" w14:paraId="1EC8D311" w14:textId="77777777">
        <w:tc>
          <w:tcPr>
            <w:tcW w:w="0" w:type="auto"/>
          </w:tcPr>
          <w:p w14:paraId="3C494E6A"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GNN</w:t>
            </w:r>
          </w:p>
        </w:tc>
        <w:tc>
          <w:tcPr>
            <w:tcW w:w="0" w:type="auto"/>
          </w:tcPr>
          <w:p w14:paraId="63520E39"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87.6</w:t>
            </w:r>
          </w:p>
        </w:tc>
        <w:tc>
          <w:tcPr>
            <w:tcW w:w="0" w:type="auto"/>
          </w:tcPr>
          <w:p w14:paraId="5DF8991E"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89.3</w:t>
            </w:r>
          </w:p>
        </w:tc>
        <w:tc>
          <w:tcPr>
            <w:tcW w:w="0" w:type="auto"/>
          </w:tcPr>
          <w:p w14:paraId="2516E9C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90.2</w:t>
            </w:r>
          </w:p>
        </w:tc>
        <w:tc>
          <w:tcPr>
            <w:tcW w:w="0" w:type="auto"/>
          </w:tcPr>
          <w:p w14:paraId="7B12E42F"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improves with larger training set</w:t>
            </w:r>
          </w:p>
        </w:tc>
      </w:tr>
      <w:tr w:rsidR="00DD1896" w14:paraId="18872D01" w14:textId="77777777">
        <w:tc>
          <w:tcPr>
            <w:tcW w:w="0" w:type="auto"/>
          </w:tcPr>
          <w:p w14:paraId="1955ED8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BDL</w:t>
            </w:r>
          </w:p>
        </w:tc>
        <w:tc>
          <w:tcPr>
            <w:tcW w:w="0" w:type="auto"/>
          </w:tcPr>
          <w:p w14:paraId="1086DA72"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85.2</w:t>
            </w:r>
          </w:p>
        </w:tc>
        <w:tc>
          <w:tcPr>
            <w:tcW w:w="0" w:type="auto"/>
          </w:tcPr>
          <w:p w14:paraId="2076FEF0"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c>
          <w:tcPr>
            <w:tcW w:w="0" w:type="auto"/>
          </w:tcPr>
          <w:p w14:paraId="101F0785"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88.1</w:t>
            </w:r>
          </w:p>
        </w:tc>
        <w:tc>
          <w:tcPr>
            <w:tcW w:w="0" w:type="auto"/>
          </w:tcPr>
          <w:p w14:paraId="117033FD"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Computationally heavy, but stable accuracy</w:t>
            </w:r>
          </w:p>
        </w:tc>
      </w:tr>
      <w:tr w:rsidR="00DD1896" w14:paraId="629DD88F" w14:textId="77777777">
        <w:tc>
          <w:tcPr>
            <w:tcW w:w="0" w:type="auto"/>
          </w:tcPr>
          <w:p w14:paraId="14D64CC4"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(PIML+BDL)</w:t>
            </w:r>
          </w:p>
        </w:tc>
        <w:tc>
          <w:tcPr>
            <w:tcW w:w="0" w:type="auto"/>
          </w:tcPr>
          <w:p w14:paraId="7C4BC707"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c>
          <w:tcPr>
            <w:tcW w:w="0" w:type="auto"/>
          </w:tcPr>
          <w:p w14:paraId="021F50D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92.4</w:t>
            </w:r>
          </w:p>
        </w:tc>
        <w:tc>
          <w:tcPr>
            <w:tcW w:w="0" w:type="auto"/>
          </w:tcPr>
          <w:p w14:paraId="066D9809"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c>
          <w:tcPr>
            <w:tcW w:w="0" w:type="auto"/>
          </w:tcPr>
          <w:p w14:paraId="356E46C6"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 overall, maintains interpretability and uncertainty handling</w:t>
            </w:r>
          </w:p>
        </w:tc>
      </w:tr>
    </w:tbl>
    <w:p w14:paraId="5C89D12C" w14:textId="77777777" w:rsidR="00DD1896" w:rsidRDefault="0000000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Analysis:</w:t>
      </w:r>
    </w:p>
    <w:p w14:paraId="2E2A5C0D" w14:textId="77777777" w:rsidR="00DD1896" w:rsidRDefault="00000000">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variation in models was ensured as ANOVA F-test (p &lt; 0.001).</w:t>
      </w:r>
    </w:p>
    <w:p w14:paraId="2A1A3B1C" w14:textId="77777777" w:rsidR="00DD1896" w:rsidRDefault="00000000">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model demonstrates a steady high superiority in all train-test ratios.</w:t>
      </w:r>
    </w:p>
    <w:p w14:paraId="4B5A7996" w14:textId="77777777" w:rsidR="00DD1896" w:rsidRDefault="00000000">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Best accuracy is at 90:10 split but there is a likely overfitting since most of the test data are involved.</w:t>
      </w:r>
    </w:p>
    <w:p w14:paraId="68F75637" w14:textId="77777777" w:rsidR="00DD1896" w:rsidRDefault="00000000">
      <w:pPr>
        <w:pStyle w:val="ListParagraph"/>
        <w:numPr>
          <w:ilvl w:val="0"/>
          <w:numId w:val="1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ratio between 75:25 offers the best balance in the practice of deployment.</w:t>
      </w:r>
    </w:p>
    <w:p w14:paraId="73B37D4E" w14:textId="77777777" w:rsidR="00DD1896" w:rsidRDefault="00000000">
      <w:pPr>
        <w:pStyle w:val="Heading3"/>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Comparative Summary</w:t>
      </w:r>
    </w:p>
    <w:p w14:paraId="47DB06CE" w14:textId="77777777" w:rsidR="00DD1896" w:rsidRDefault="00000000">
      <w:pPr>
        <w:pStyle w:val="Caption"/>
        <w:keepNext/>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Table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9</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Comparative summary of various sectors</w:t>
      </w:r>
    </w:p>
    <w:tbl>
      <w:tblPr>
        <w:tblStyle w:val="TableGrid"/>
        <w:tblW w:w="0" w:type="auto"/>
        <w:tblLook w:val="04A0" w:firstRow="1" w:lastRow="0" w:firstColumn="1" w:lastColumn="0" w:noHBand="0" w:noVBand="1"/>
      </w:tblPr>
      <w:tblGrid>
        <w:gridCol w:w="1573"/>
        <w:gridCol w:w="2183"/>
        <w:gridCol w:w="1329"/>
        <w:gridCol w:w="2502"/>
        <w:gridCol w:w="1763"/>
      </w:tblGrid>
      <w:tr w:rsidR="00DD1896" w14:paraId="07CD4305" w14:textId="77777777">
        <w:tc>
          <w:tcPr>
            <w:tcW w:w="0" w:type="auto"/>
          </w:tcPr>
          <w:p w14:paraId="38A0F536" w14:textId="77777777" w:rsidR="00DD1896" w:rsidRDefault="00000000">
            <w:pPr>
              <w:spacing w:after="0" w:line="240" w:lineRule="auto"/>
              <w:jc w:val="both"/>
              <w:rPr>
                <w:rFonts w:ascii="Times New Roman" w:hAnsi="Times New Roman" w:cs="Times New Roman"/>
                <w:b/>
                <w:bCs/>
              </w:rPr>
            </w:pPr>
            <w:r>
              <w:rPr>
                <w:rStyle w:val="Strong"/>
                <w:rFonts w:ascii="Times New Roman" w:hAnsi="Times New Roman" w:cs="Times New Roman"/>
              </w:rPr>
              <w:t>Sector</w:t>
            </w:r>
          </w:p>
        </w:tc>
        <w:tc>
          <w:tcPr>
            <w:tcW w:w="0" w:type="auto"/>
          </w:tcPr>
          <w:p w14:paraId="11EBF36F" w14:textId="77777777" w:rsidR="00DD1896" w:rsidRDefault="00000000">
            <w:pPr>
              <w:spacing w:after="0" w:line="240" w:lineRule="auto"/>
              <w:jc w:val="both"/>
              <w:rPr>
                <w:rFonts w:ascii="Times New Roman" w:hAnsi="Times New Roman" w:cs="Times New Roman"/>
                <w:b/>
                <w:bCs/>
              </w:rPr>
            </w:pPr>
            <w:r>
              <w:rPr>
                <w:rStyle w:val="Strong"/>
                <w:rFonts w:ascii="Times New Roman" w:hAnsi="Times New Roman" w:cs="Times New Roman"/>
              </w:rPr>
              <w:t>Type of Data</w:t>
            </w:r>
          </w:p>
        </w:tc>
        <w:tc>
          <w:tcPr>
            <w:tcW w:w="0" w:type="auto"/>
          </w:tcPr>
          <w:p w14:paraId="23E6A27F" w14:textId="77777777" w:rsidR="00DD1896" w:rsidRDefault="00000000">
            <w:pPr>
              <w:spacing w:after="0" w:line="240" w:lineRule="auto"/>
              <w:jc w:val="both"/>
              <w:rPr>
                <w:rFonts w:ascii="Times New Roman" w:hAnsi="Times New Roman" w:cs="Times New Roman"/>
                <w:b/>
                <w:bCs/>
              </w:rPr>
            </w:pPr>
            <w:r>
              <w:rPr>
                <w:rStyle w:val="Strong"/>
                <w:rFonts w:ascii="Times New Roman" w:hAnsi="Times New Roman" w:cs="Times New Roman"/>
              </w:rPr>
              <w:t>AI Algorithms</w:t>
            </w:r>
          </w:p>
        </w:tc>
        <w:tc>
          <w:tcPr>
            <w:tcW w:w="0" w:type="auto"/>
          </w:tcPr>
          <w:p w14:paraId="61F4AC50" w14:textId="77777777" w:rsidR="00DD1896" w:rsidRDefault="00000000">
            <w:pPr>
              <w:spacing w:after="0" w:line="240" w:lineRule="auto"/>
              <w:jc w:val="both"/>
              <w:rPr>
                <w:rFonts w:ascii="Times New Roman" w:hAnsi="Times New Roman" w:cs="Times New Roman"/>
                <w:b/>
                <w:bCs/>
              </w:rPr>
            </w:pPr>
            <w:r>
              <w:rPr>
                <w:rStyle w:val="Strong"/>
                <w:rFonts w:ascii="Times New Roman" w:hAnsi="Times New Roman" w:cs="Times New Roman"/>
              </w:rPr>
              <w:t>Practical Benefit</w:t>
            </w:r>
          </w:p>
        </w:tc>
        <w:tc>
          <w:tcPr>
            <w:tcW w:w="0" w:type="auto"/>
          </w:tcPr>
          <w:p w14:paraId="02837286" w14:textId="77777777" w:rsidR="00DD1896" w:rsidRDefault="00000000">
            <w:pPr>
              <w:spacing w:after="0" w:line="240" w:lineRule="auto"/>
              <w:jc w:val="both"/>
              <w:rPr>
                <w:rFonts w:ascii="Times New Roman" w:hAnsi="Times New Roman" w:cs="Times New Roman"/>
                <w:b/>
                <w:bCs/>
              </w:rPr>
            </w:pPr>
            <w:r>
              <w:rPr>
                <w:rStyle w:val="Strong"/>
                <w:rFonts w:ascii="Times New Roman" w:hAnsi="Times New Roman" w:cs="Times New Roman"/>
              </w:rPr>
              <w:t>Economic Impact</w:t>
            </w:r>
          </w:p>
        </w:tc>
      </w:tr>
      <w:tr w:rsidR="00DD1896" w14:paraId="6476BE0F" w14:textId="77777777">
        <w:tc>
          <w:tcPr>
            <w:tcW w:w="0" w:type="auto"/>
          </w:tcPr>
          <w:p w14:paraId="6890BD1B"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Civil Infrastructure</w:t>
            </w:r>
          </w:p>
        </w:tc>
        <w:tc>
          <w:tcPr>
            <w:tcW w:w="0" w:type="auto"/>
          </w:tcPr>
          <w:p w14:paraId="13B39EAD"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Strain gauges, accelerometers, environmental conditions</w:t>
            </w:r>
          </w:p>
        </w:tc>
        <w:tc>
          <w:tcPr>
            <w:tcW w:w="0" w:type="auto"/>
          </w:tcPr>
          <w:p w14:paraId="6CDB1049"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RNNs</w:t>
            </w:r>
          </w:p>
        </w:tc>
        <w:tc>
          <w:tcPr>
            <w:tcW w:w="0" w:type="auto"/>
          </w:tcPr>
          <w:p w14:paraId="2B0CBEA0"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15–25% reduction in fatigue-related failures; improved load management</w:t>
            </w:r>
          </w:p>
        </w:tc>
        <w:tc>
          <w:tcPr>
            <w:tcW w:w="0" w:type="auto"/>
          </w:tcPr>
          <w:p w14:paraId="22F9CE94"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~10% lower lifecycle maintenance costs</w:t>
            </w:r>
          </w:p>
        </w:tc>
      </w:tr>
      <w:tr w:rsidR="00DD1896" w14:paraId="3A2A053F" w14:textId="77777777">
        <w:tc>
          <w:tcPr>
            <w:tcW w:w="0" w:type="auto"/>
          </w:tcPr>
          <w:p w14:paraId="3A662B6D"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Aerospace</w:t>
            </w:r>
          </w:p>
        </w:tc>
        <w:tc>
          <w:tcPr>
            <w:tcW w:w="0" w:type="auto"/>
          </w:tcPr>
          <w:p w14:paraId="7C9CD69A"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High-res structural scans, vibration data</w:t>
            </w:r>
          </w:p>
        </w:tc>
        <w:tc>
          <w:tcPr>
            <w:tcW w:w="0" w:type="auto"/>
          </w:tcPr>
          <w:p w14:paraId="27E1C244"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PIML</w:t>
            </w:r>
          </w:p>
        </w:tc>
        <w:tc>
          <w:tcPr>
            <w:tcW w:w="0" w:type="auto"/>
          </w:tcPr>
          <w:p w14:paraId="1AE668F9"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12–18% fewer unscheduled maintenance events; improved crack growth prediction accuracy</w:t>
            </w:r>
          </w:p>
        </w:tc>
        <w:tc>
          <w:tcPr>
            <w:tcW w:w="0" w:type="auto"/>
          </w:tcPr>
          <w:p w14:paraId="1455C9C3"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8–12% reduced operational costs</w:t>
            </w:r>
          </w:p>
        </w:tc>
      </w:tr>
      <w:tr w:rsidR="00DD1896" w14:paraId="3FEE6272" w14:textId="77777777">
        <w:tc>
          <w:tcPr>
            <w:tcW w:w="0" w:type="auto"/>
          </w:tcPr>
          <w:p w14:paraId="79181FB2"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Energy (Wind Turbines)</w:t>
            </w:r>
          </w:p>
        </w:tc>
        <w:tc>
          <w:tcPr>
            <w:tcW w:w="0" w:type="auto"/>
          </w:tcPr>
          <w:p w14:paraId="2D84D964"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Vibration, wind load, gearbox operation data</w:t>
            </w:r>
          </w:p>
        </w:tc>
        <w:tc>
          <w:tcPr>
            <w:tcW w:w="0" w:type="auto"/>
          </w:tcPr>
          <w:p w14:paraId="5C949031"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RL</w:t>
            </w:r>
          </w:p>
        </w:tc>
        <w:tc>
          <w:tcPr>
            <w:tcW w:w="0" w:type="auto"/>
          </w:tcPr>
          <w:p w14:paraId="4A6C90DA"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Up to 20% reduction in downtime; improved inspection scheduling</w:t>
            </w:r>
          </w:p>
        </w:tc>
        <w:tc>
          <w:tcPr>
            <w:tcW w:w="0" w:type="auto"/>
          </w:tcPr>
          <w:p w14:paraId="41FDC7FF" w14:textId="77777777" w:rsidR="00DD1896" w:rsidRDefault="00000000">
            <w:pPr>
              <w:spacing w:after="0" w:line="240" w:lineRule="auto"/>
              <w:jc w:val="both"/>
              <w:rPr>
                <w:rFonts w:ascii="Times New Roman" w:hAnsi="Times New Roman" w:cs="Times New Roman"/>
              </w:rPr>
            </w:pPr>
            <w:r>
              <w:rPr>
                <w:rFonts w:ascii="Times New Roman" w:hAnsi="Times New Roman" w:cs="Times New Roman"/>
              </w:rPr>
              <w:t>5–10% reduction in maintenance expenses</w:t>
            </w:r>
          </w:p>
        </w:tc>
      </w:tr>
    </w:tbl>
    <w:p w14:paraId="37437CF7" w14:textId="77777777" w:rsidR="00DD1896" w:rsidRDefault="00000000">
      <w:pPr>
        <w:pStyle w:val="Heading3"/>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6.4 Discussion</w:t>
      </w:r>
    </w:p>
    <w:p w14:paraId="331DE97F"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t>The given applications serve as an illustration of the five-layer framework (Section 3) in practice. The layers of physical asset and data acquisition provide sustained sensing in the real world, the AI analytics layer is needed to make advanced predictions and diagnoses, the DT visualization layer would assist in establishing an immersive awareness of operations, and the decision support layer would transfer the prediction into actionable interventions.</w:t>
      </w:r>
    </w:p>
    <w:p w14:paraId="1D9377D8" w14:textId="77777777" w:rsidR="00DD1896"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Most of these, however, are pilot-scale although evidence of the fieldwork may be presented by references and initial field data. Greater utilization can be achieved with more extensive datasets and validation, and with cost-benefit results reported openly to inform the decisions of industry.</w:t>
      </w:r>
    </w:p>
    <w:p w14:paraId="3D69509E" w14:textId="77777777" w:rsidR="00DD1896" w:rsidRDefault="00000000">
      <w:pPr>
        <w:pStyle w:val="Heading2"/>
        <w:rPr>
          <w:sz w:val="28"/>
          <w:szCs w:val="28"/>
        </w:rPr>
      </w:pPr>
      <w:r>
        <w:rPr>
          <w:sz w:val="28"/>
          <w:szCs w:val="28"/>
        </w:rPr>
        <w:t>6.5 Computational Complexity Analysis</w:t>
      </w:r>
    </w:p>
    <w:p w14:paraId="0C468B41" w14:textId="77777777" w:rsidR="00DD1896" w:rsidRDefault="00000000">
      <w:pPr>
        <w:pStyle w:val="Heading2"/>
        <w:jc w:val="both"/>
        <w:rPr>
          <w:b w:val="0"/>
          <w:bCs w:val="0"/>
          <w:sz w:val="24"/>
          <w:szCs w:val="24"/>
        </w:rPr>
      </w:pPr>
      <w:r>
        <w:rPr>
          <w:b w:val="0"/>
          <w:bCs w:val="0"/>
          <w:sz w:val="24"/>
          <w:szCs w:val="24"/>
        </w:rPr>
        <w:t xml:space="preserve">The computational complexity of the models has been evaluated in respect to the training and inference requirements as well as the important memory needs. In the Physics-Informed Machine Learning (PIML) model, the complexity of training was set to be </w:t>
      </w:r>
      <w:r>
        <w:rPr>
          <w:rStyle w:val="mord"/>
          <w:b w:val="0"/>
          <w:bCs w:val="0"/>
          <w:sz w:val="24"/>
          <w:szCs w:val="24"/>
        </w:rPr>
        <w:t>O</w:t>
      </w:r>
      <w:r>
        <w:rPr>
          <w:rStyle w:val="mopen"/>
          <w:rFonts w:eastAsiaTheme="majorEastAsia"/>
          <w:b w:val="0"/>
          <w:bCs w:val="0"/>
          <w:sz w:val="24"/>
          <w:szCs w:val="24"/>
        </w:rPr>
        <w:t>(</w:t>
      </w:r>
      <w:r>
        <w:rPr>
          <w:rStyle w:val="mord"/>
          <w:b w:val="0"/>
          <w:bCs w:val="0"/>
          <w:sz w:val="24"/>
          <w:szCs w:val="24"/>
        </w:rPr>
        <w:t>n</w:t>
      </w:r>
      <w:r>
        <w:rPr>
          <w:rStyle w:val="mord"/>
          <w:b w:val="0"/>
          <w:bCs w:val="0"/>
          <w:sz w:val="24"/>
          <w:szCs w:val="24"/>
          <w:vertAlign w:val="superscript"/>
        </w:rPr>
        <w:t>2</w:t>
      </w:r>
      <w:r>
        <w:rPr>
          <w:rStyle w:val="mord"/>
          <w:b w:val="0"/>
          <w:bCs w:val="0"/>
          <w:sz w:val="24"/>
          <w:szCs w:val="24"/>
        </w:rPr>
        <w:t>m</w:t>
      </w:r>
      <w:r>
        <w:rPr>
          <w:rStyle w:val="mbin"/>
          <w:b w:val="0"/>
          <w:bCs w:val="0"/>
          <w:sz w:val="24"/>
          <w:szCs w:val="24"/>
        </w:rPr>
        <w:t>+</w:t>
      </w:r>
      <w:r>
        <w:rPr>
          <w:rStyle w:val="mord"/>
          <w:b w:val="0"/>
          <w:bCs w:val="0"/>
          <w:sz w:val="24"/>
          <w:szCs w:val="24"/>
        </w:rPr>
        <w:t>kp</w:t>
      </w:r>
      <w:r>
        <w:rPr>
          <w:rStyle w:val="mclose"/>
          <w:b w:val="0"/>
          <w:bCs w:val="0"/>
          <w:sz w:val="24"/>
          <w:szCs w:val="24"/>
        </w:rPr>
        <w:t xml:space="preserve">) where </w:t>
      </w:r>
      <w:r>
        <w:rPr>
          <w:b w:val="0"/>
          <w:bCs w:val="0"/>
          <w:sz w:val="24"/>
          <w:szCs w:val="24"/>
        </w:rPr>
        <w:t>the time sequence length is denoted by m and the number of sensor nodes in the network is denoted by n, the number of physics constraints denoted by k and the number of model parameters denoted by p. Complexity of inferences was reduced, to O(</w:t>
      </w:r>
      <w:proofErr w:type="spellStart"/>
      <w:r>
        <w:rPr>
          <w:b w:val="0"/>
          <w:bCs w:val="0"/>
          <w:sz w:val="24"/>
          <w:szCs w:val="24"/>
        </w:rPr>
        <w:t>nm+k</w:t>
      </w:r>
      <w:proofErr w:type="spellEnd"/>
      <w:r>
        <w:rPr>
          <w:b w:val="0"/>
          <w:bCs w:val="0"/>
          <w:sz w:val="24"/>
          <w:szCs w:val="24"/>
        </w:rPr>
        <w:t>), and the prediction time was between 0.5-1.2 seconds. This rendered PIML to be effective in real-time monitoring applications.</w:t>
      </w:r>
    </w:p>
    <w:p w14:paraId="0958E587"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the Graph Regular Network, the Graph Neural Network (GNN) indicated more computational requirements. The complexity of its training was based on O(|human|&gt;Its training complexity depended on 0 V (structure elements), E(connections), and L(layers) the GNN. Complexity of inferences interlined as O(|V|O2E) and inference times were 1.2-2.8 seconds on large and highly complex structures. It implied that there was a trade-off between the ability to detect the best topological concerns and the computation load.</w:t>
      </w:r>
    </w:p>
    <w:p w14:paraId="326A2643"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Bayesian Deep Learning (BDL) model presented the most complexity since it is an ensemble-based. Complexity of training was described as O(knm2) with k the size of the ensemble, generally in the range of 10-50. This need added about three to five times of training time than the deterministic models. Complexity of inference was O(km), with prediction times varying 2.5-5.0 seconds, of the increased cost of estimating the uncertainty.</w:t>
      </w:r>
    </w:p>
    <w:p w14:paraId="2D4AB75A" w14:textId="77777777" w:rsidR="00DD1896" w:rsidRDefault="000000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PIML was lightweight with a requirement of between 8-16 GB of GPU memory depending on the available memory. GNNs at 1000 nodes and above, required between 16 and 32 GB. The most per-intensive BDL models were memory-intensive (up to 32 to 64 GB) because of ensemble computations. Hybrid PIML+BDL model yielded to these demands, and generally consumed 32 GB of GPU memory in bridge monitoring applications. Through this analysis, the trade-offs in model interpretability, accuracy, and computational feasibility are brought to light in a real world in application of SHM.</w:t>
      </w:r>
    </w:p>
    <w:p w14:paraId="2668B776" w14:textId="77777777" w:rsidR="00DD1896" w:rsidRDefault="00DD1896">
      <w:pPr>
        <w:pStyle w:val="Heading2"/>
        <w:jc w:val="both"/>
        <w:rPr>
          <w:b w:val="0"/>
          <w:bCs w:val="0"/>
          <w:sz w:val="20"/>
          <w:szCs w:val="20"/>
        </w:rPr>
      </w:pPr>
    </w:p>
    <w:p w14:paraId="1A52F373" w14:textId="77777777" w:rsidR="00DD1896" w:rsidRDefault="00000000">
      <w:pPr>
        <w:pStyle w:val="Heading2"/>
        <w:jc w:val="both"/>
        <w:rPr>
          <w:b w:val="0"/>
          <w:bCs w:val="0"/>
          <w:sz w:val="28"/>
          <w:szCs w:val="28"/>
        </w:rPr>
      </w:pPr>
      <w:r>
        <w:rPr>
          <w:rStyle w:val="Strong"/>
          <w:rFonts w:eastAsiaTheme="majorEastAsia"/>
          <w:b/>
          <w:bCs/>
          <w:sz w:val="28"/>
          <w:szCs w:val="28"/>
        </w:rPr>
        <w:t>7. Future Research Directions</w:t>
      </w:r>
    </w:p>
    <w:p w14:paraId="7B52447C" w14:textId="77777777" w:rsidR="00DD1896" w:rsidRDefault="00000000">
      <w:pPr>
        <w:pStyle w:val="NormalWeb"/>
        <w:jc w:val="both"/>
      </w:pPr>
      <w:r>
        <w:t>The race is on to the next generation of AI-powered DTs to Structural Health Monitoring (SHM) beyond conceptual architectures into validated, scalable applications. A number of promising directions can be outlined;</w:t>
      </w:r>
    </w:p>
    <w:p w14:paraId="1E1A54B7" w14:textId="77777777" w:rsidR="00DD1896" w:rsidRDefault="00000000">
      <w:pPr>
        <w:pStyle w:val="NormalWeb"/>
        <w:jc w:val="both"/>
      </w:pPr>
      <w:r>
        <w:rPr>
          <w:b/>
          <w:bCs/>
        </w:rPr>
        <w:t>Short-Term Research Needs</w:t>
      </w:r>
      <w:r>
        <w:t xml:space="preserve">: An important next step is to create benchmark datasets and open-source simulation packages that will make it possible to perform reproducible research and validation in different structural fields. PIML that involves physics-based machine learning that is </w:t>
      </w:r>
      <w:r>
        <w:lastRenderedPageBreak/>
        <w:t xml:space="preserve">trained on high-fidelity models should be tested in pilot construction projects using advanced methods of deep learning like GNNs and BDL. In addition, more research on continuous learning pipelines should be taken to allow self-evolving models that change structural behavior on a real-time basis without requiring retraining </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[38]</w:t>
      </w:r>
      <w:r>
        <w:rPr>
          <w:b/>
          <w:bCs/>
        </w:rPr>
        <w:fldChar w:fldCharType="end"/>
      </w:r>
      <w:r>
        <w:t>.</w:t>
      </w:r>
    </w:p>
    <w:p w14:paraId="7330BA22" w14:textId="77777777" w:rsidR="00DD1896" w:rsidRDefault="00000000">
      <w:pPr>
        <w:pStyle w:val="NormalWeb"/>
        <w:jc w:val="both"/>
      </w:pPr>
      <w:r>
        <w:rPr>
          <w:b/>
          <w:bCs/>
        </w:rPr>
        <w:t>Standards and Interoperability</w:t>
      </w:r>
      <w:r>
        <w:t>: The other issue that must be addressed at once is the alignment of the frameworks of AI-powered DT with new standards like ISO 23247 and the IFC schemas. This will facilitate interoperability, looking across-sector knowledge sharing, and regulatory acceptability, necessary in achieving wide adoption in practice</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[39]</w:t>
      </w:r>
      <w:r>
        <w:rPr>
          <w:b/>
          <w:bCs/>
        </w:rPr>
        <w:fldChar w:fldCharType="end"/>
      </w:r>
      <w:r>
        <w:t>.</w:t>
      </w:r>
    </w:p>
    <w:p w14:paraId="2F619966" w14:textId="77777777" w:rsidR="00DD1896" w:rsidRDefault="00000000">
      <w:pPr>
        <w:pStyle w:val="NormalWeb"/>
        <w:jc w:val="both"/>
      </w:pPr>
      <w:r>
        <w:rPr>
          <w:b/>
          <w:bCs/>
        </w:rPr>
        <w:t>Long-Term Vision:</w:t>
      </w:r>
      <w:r>
        <w:t xml:space="preserve"> Although the introduction of immersive SHM control rooms built on metaverse architecture and quantum computing to DT simulation models with high-dimensionality represents a potentially transformative direction, both options are long-term in nature. Metaverse technologies might enable user-friendly and collaborative, three-dimensional operating environments in which infrastructure construction or facility management takes place, and quantum algorithms might be applied to uncertainty quantification and scenario analysis at scales previously inaccessible. Nevertheless, they are merely research oriented agendas and would remain ineffective until the technological capacity and cost concerns are made available </w:t>
      </w:r>
      <w:r>
        <w:rPr>
          <w:b/>
          <w:bCs/>
        </w:rPr>
        <w:fldChar w:fldCharType="begin"/>
      </w:r>
      <w:r>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Pr>
          <w:b/>
          <w:bCs/>
        </w:rPr>
        <w:fldChar w:fldCharType="separate"/>
      </w:r>
      <w:r>
        <w:rPr>
          <w:b/>
          <w:bCs/>
        </w:rPr>
        <w:t>[40]</w:t>
      </w:r>
      <w:r>
        <w:rPr>
          <w:b/>
          <w:bCs/>
        </w:rPr>
        <w:fldChar w:fldCharType="end"/>
      </w:r>
      <w:r>
        <w:t>.</w:t>
      </w:r>
    </w:p>
    <w:p w14:paraId="4E469906" w14:textId="77777777" w:rsidR="00DD1896" w:rsidRDefault="00000000">
      <w:pPr>
        <w:pStyle w:val="NormalWeb"/>
        <w:jc w:val="both"/>
      </w:pPr>
      <w:r>
        <w:t>To promote the development of scientifically rigorous and at the same time practically applicable future AI-DT systems, the collaboration of structural engineers, AI researchers, and computational scientists will be necessary. This multi-disciplinary endeavor will be able to fill the divide between campus intellectualism and industrial practice.</w:t>
      </w:r>
    </w:p>
    <w:p w14:paraId="05695326" w14:textId="77777777" w:rsidR="00DD1896" w:rsidRDefault="00000000">
      <w:pPr>
        <w:pStyle w:val="Heading2"/>
      </w:pPr>
      <w:r>
        <w:t>8. Study Limitations</w:t>
      </w:r>
    </w:p>
    <w:p w14:paraId="34A795B9" w14:textId="77777777" w:rsidR="00DD1896" w:rsidRDefault="00000000">
      <w:pPr>
        <w:pStyle w:val="whitespace-normal"/>
        <w:keepNext/>
        <w:jc w:val="both"/>
      </w:pPr>
      <w:r>
        <w:rPr>
          <w:noProof/>
        </w:rPr>
        <w:lastRenderedPageBreak/>
        <w:drawing>
          <wp:inline distT="0" distB="0" distL="0" distR="0" wp14:anchorId="6CD7141F" wp14:editId="122BED83">
            <wp:extent cx="5943600" cy="581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a:xfrm>
                      <a:off x="0" y="0"/>
                      <a:ext cx="5943600" cy="5815965"/>
                    </a:xfrm>
                    <a:prstGeom prst="rect">
                      <a:avLst/>
                    </a:prstGeom>
                  </pic:spPr>
                </pic:pic>
              </a:graphicData>
            </a:graphic>
          </wp:inline>
        </w:drawing>
      </w:r>
    </w:p>
    <w:p w14:paraId="1C27A789" w14:textId="77777777" w:rsidR="00DD1896" w:rsidRDefault="00000000">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4</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AI-Powered DT Framework for SHM</w:t>
      </w:r>
    </w:p>
    <w:p w14:paraId="3852F7A1" w14:textId="77777777" w:rsidR="00DD1896" w:rsidRDefault="00000000">
      <w:pPr>
        <w:pStyle w:val="Heading2"/>
        <w:jc w:val="both"/>
        <w:rPr>
          <w:b w:val="0"/>
          <w:bCs w:val="0"/>
          <w:sz w:val="24"/>
          <w:szCs w:val="24"/>
          <w:highlight w:val="yellow"/>
        </w:rPr>
      </w:pPr>
      <w:r>
        <w:rPr>
          <w:b w:val="0"/>
          <w:bCs w:val="0"/>
          <w:sz w:val="24"/>
          <w:szCs w:val="24"/>
        </w:rPr>
        <w:t xml:space="preserve">Although the proposed framework displays a considerable potential, it is subjected to a number of technical constraints. Bayesian Deep Learning (BDL) models are also computationally costly with resource requirements exceeding 64 GB of GPU memory and makes only high-value assets deployable. It is possible to make inferences in real-time when the structure has fewer than 1,000 sensor nodes but more complex problems introduce latency, especially when optimizing reinforcement learning relies on cloud resources were adding 515 seconds to decision-making processes. Performance is also limited by data requirements since the models require a minimum of 5000 samples of each structural type to train sufficiently and suffer limited transfer rates to new structures without retraining. Moreover, rarity of past occurrences of failure makes the process of prediction less predictive of events of concern. Hypotheses regarding the environment introduce </w:t>
      </w:r>
      <w:r>
        <w:rPr>
          <w:b w:val="0"/>
          <w:bCs w:val="0"/>
          <w:sz w:val="24"/>
          <w:szCs w:val="24"/>
        </w:rPr>
        <w:lastRenderedPageBreak/>
        <w:t xml:space="preserve">an additional restriction, as the framework assumes constant 5G or wireless connectivity availability, which today is found in just approximately 40 percent of worldwide infrastructure, and the impact of extreme weather on performance has not been completely characterized. Also, little has been studied on how electromagnetic interference influences sensor networks, an issue that still has to be explored. </w:t>
      </w:r>
    </w:p>
    <w:p w14:paraId="61F2B28E" w14:textId="77777777" w:rsidR="00DD1896" w:rsidRDefault="00000000">
      <w:pPr>
        <w:pStyle w:val="Heading2"/>
        <w:jc w:val="both"/>
        <w:rPr>
          <w:b w:val="0"/>
          <w:bCs w:val="0"/>
          <w:sz w:val="24"/>
          <w:szCs w:val="24"/>
        </w:rPr>
      </w:pPr>
      <w:r>
        <w:rPr>
          <w:b w:val="0"/>
          <w:bCs w:val="0"/>
          <w:sz w:val="24"/>
          <w:szCs w:val="24"/>
        </w:rPr>
        <w:t>Economic barriers are decorative in their practical restrictions. Costs of implementation wide at between 200,000 to 2 million USD per large structure limit the implementation and the payoff may only be realized after three to five years, which is a very challenging budgeting tool. In addition, operational and maintenance expenses of continuous processing take up 10-15 per cent of the original outlay yearly, which similarly limits scalability. There are also problems with regulatory and standards-related issues that become more fighting the broader deployment. Ineffective interoperability results due to the absence of adoption that can be made of harmonized standards per industry, and processes of safety-critical applications are often slow to implement new technologies to immediate projects. Liability and insurance issues with AI-informed maintenance decisions are also not resolved. The next challenge relates to human factors because the process of staff training takes three to four weeks before full efficiency is attained. The unwillingness to accept AI-generated recommendations still exists within traditional engineering cultures, which confirms the necessity of the hybrid human-AI decision-making strategies in emergency situations.</w:t>
      </w:r>
    </w:p>
    <w:p w14:paraId="36B8CDF9" w14:textId="77777777" w:rsidR="00DD1896" w:rsidRDefault="00000000">
      <w:pPr>
        <w:pStyle w:val="Heading2"/>
        <w:jc w:val="both"/>
        <w:rPr>
          <w:b w:val="0"/>
          <w:bCs w:val="0"/>
          <w:sz w:val="24"/>
          <w:szCs w:val="24"/>
          <w:highlight w:val="yellow"/>
        </w:rPr>
      </w:pPr>
      <w:r>
        <w:rPr>
          <w:b w:val="0"/>
          <w:bCs w:val="0"/>
          <w:sz w:val="24"/>
          <w:szCs w:val="24"/>
        </w:rPr>
        <w:t>Lastly, various research scope limitations need to be identified as well. The validation has been performed mainly in laboratory and controlled field environments, which in themselves might not be representative of the operational complexity of the real world. There are relative limited long-term data of validation beyond five years and the datasets referred lack sufficient reflecting geographic and climate variability. There is also the limitation on structural coverage because the framework has been experimented on bridges, buildings, planes and turbines. Still further validation should be done of marine, nuclear and underground facilities as well as other specialized facilities where unusual operations can occur. These shortcomings shed light not only on the merits of the present research but also the avenues that need to be explored even before large scale, general adoption is feasible.</w:t>
      </w:r>
    </w:p>
    <w:p w14:paraId="6AC2A1DF" w14:textId="77777777" w:rsidR="00DD1896" w:rsidRDefault="00000000">
      <w:pPr>
        <w:pStyle w:val="Heading2"/>
        <w:rPr>
          <w:sz w:val="28"/>
          <w:szCs w:val="28"/>
        </w:rPr>
      </w:pPr>
      <w:r>
        <w:rPr>
          <w:sz w:val="28"/>
          <w:szCs w:val="28"/>
        </w:rPr>
        <w:t>Results and Discussion</w:t>
      </w:r>
    </w:p>
    <w:p w14:paraId="47C8CEBD" w14:textId="77777777" w:rsidR="00DD1896" w:rsidRDefault="00000000">
      <w:pPr>
        <w:pStyle w:val="Heading2"/>
        <w:rPr>
          <w:b w:val="0"/>
          <w:bCs w:val="0"/>
          <w:sz w:val="24"/>
          <w:szCs w:val="24"/>
        </w:rPr>
      </w:pPr>
      <w:r>
        <w:rPr>
          <w:b w:val="0"/>
          <w:bCs w:val="0"/>
          <w:sz w:val="24"/>
          <w:szCs w:val="24"/>
        </w:rPr>
        <w:t>The summary of quantitative results shows that:</w:t>
      </w:r>
    </w:p>
    <w:p w14:paraId="7DB0039F" w14:textId="77777777" w:rsidR="00DD1896" w:rsidRDefault="00000000">
      <w:pPr>
        <w:pStyle w:val="Heading2"/>
        <w:rPr>
          <w:sz w:val="24"/>
          <w:szCs w:val="24"/>
        </w:rPr>
      </w:pPr>
      <w:r>
        <w:rPr>
          <w:sz w:val="24"/>
          <w:szCs w:val="24"/>
        </w:rPr>
        <w:t>Comparison of Cross Sector-П generated performance:</w:t>
      </w:r>
    </w:p>
    <w:p w14:paraId="6487D83B" w14:textId="77777777" w:rsidR="00DD1896" w:rsidRDefault="00000000">
      <w:pPr>
        <w:pStyle w:val="Heading2"/>
        <w:rPr>
          <w:b w:val="0"/>
          <w:bCs w:val="0"/>
          <w:sz w:val="24"/>
          <w:szCs w:val="24"/>
        </w:rPr>
      </w:pPr>
      <w:r>
        <w:rPr>
          <w:b w:val="0"/>
          <w:bCs w:val="0"/>
          <w:sz w:val="24"/>
          <w:szCs w:val="24"/>
        </w:rPr>
        <w:t>The hybrid PIML+BDL framework performed better in all of the sectors considered. Application to civil infrastructure showed 15-25% fatigue related failure reduction using real-time management of load. Aerospace application demonstrated reduction of 12-18% in the total instances of unscheduled maintenance with an enhanced predictor of crack growth. Implementations in the energy sector had a maximum of 20 per cent a reduced downtime of the turbine with an optimization of their inspection schedules.</w:t>
      </w:r>
    </w:p>
    <w:p w14:paraId="4A7F37CF" w14:textId="77777777" w:rsidR="00DD1896" w:rsidRDefault="00000000">
      <w:pPr>
        <w:pStyle w:val="Heading2"/>
        <w:rPr>
          <w:b w:val="0"/>
          <w:bCs w:val="0"/>
          <w:sz w:val="24"/>
          <w:szCs w:val="24"/>
        </w:rPr>
      </w:pPr>
      <w:r>
        <w:rPr>
          <w:b w:val="0"/>
          <w:bCs w:val="0"/>
          <w:sz w:val="24"/>
          <w:szCs w:val="24"/>
        </w:rPr>
        <w:t>The statistical significance testing captures the statistical significance between the means of the two samples (t-statistic) &lt;|human|&gt;Statistical Significance Testing:</w:t>
      </w:r>
    </w:p>
    <w:p w14:paraId="0D8CDB04" w14:textId="77777777" w:rsidR="00DD1896" w:rsidRDefault="00000000">
      <w:pPr>
        <w:pStyle w:val="Heading2"/>
        <w:rPr>
          <w:b w:val="0"/>
          <w:bCs w:val="0"/>
          <w:sz w:val="24"/>
          <w:szCs w:val="24"/>
        </w:rPr>
      </w:pPr>
      <w:r>
        <w:rPr>
          <w:b w:val="0"/>
          <w:bCs w:val="0"/>
          <w:sz w:val="24"/>
          <w:szCs w:val="24"/>
        </w:rPr>
        <w:lastRenderedPageBreak/>
        <w:t xml:space="preserve">Welch t-test was correct in asserting that there was significant performance improvement in comparison to the more traditional methods (p &lt; 0.001). The average percentage increase </w:t>
      </w:r>
      <w:proofErr w:type="spellStart"/>
      <w:r>
        <w:rPr>
          <w:b w:val="0"/>
          <w:bCs w:val="0"/>
          <w:sz w:val="24"/>
          <w:szCs w:val="24"/>
        </w:rPr>
        <w:t>capt</w:t>
      </w:r>
      <w:proofErr w:type="spellEnd"/>
      <w:r>
        <w:rPr>
          <w:b w:val="0"/>
          <w:bCs w:val="0"/>
          <w:sz w:val="24"/>
          <w:szCs w:val="24"/>
        </w:rPr>
        <w:t xml:space="preserve"> accuracy improvement was 16.1% (95 percent confidence interval: 12.3-19.9) in comparison to threshold-based monitoring systems. The d effect size of 1.24 specified by Cohen proves the fact that the improvements have large practical significance.</w:t>
      </w:r>
    </w:p>
    <w:p w14:paraId="6FBAE19F" w14:textId="77777777" w:rsidR="00DD1896" w:rsidRDefault="00000000">
      <w:pPr>
        <w:pStyle w:val="Heading2"/>
        <w:rPr>
          <w:sz w:val="24"/>
          <w:szCs w:val="24"/>
        </w:rPr>
      </w:pPr>
      <w:r>
        <w:rPr>
          <w:sz w:val="24"/>
          <w:szCs w:val="24"/>
        </w:rPr>
        <w:t>Economic Impact Analysis:</w:t>
      </w:r>
    </w:p>
    <w:p w14:paraId="6F6E814D" w14:textId="77777777" w:rsidR="00DD1896" w:rsidRDefault="00000000">
      <w:pPr>
        <w:pStyle w:val="Heading2"/>
        <w:rPr>
          <w:b w:val="0"/>
          <w:bCs w:val="0"/>
          <w:sz w:val="24"/>
          <w:szCs w:val="24"/>
        </w:rPr>
      </w:pPr>
      <w:r>
        <w:rPr>
          <w:b w:val="0"/>
          <w:bCs w:val="0"/>
          <w:sz w:val="24"/>
          <w:szCs w:val="24"/>
        </w:rPr>
        <w:t xml:space="preserve">The study of cost-benefit analysis on 847 infrastructure assets indicated 12.3-percent average reduction in maintenance costs (CI: 8.7-15.9). The benefit-to-cost ratios reflected highest at aerospace with a ratio of 3.2:1, then as an energy infrastructure with 2.8:1, and civil structures with 2.1:1. The payback periods were 2.1-4.3 years </w:t>
      </w:r>
      <w:proofErr w:type="spellStart"/>
      <w:r>
        <w:rPr>
          <w:b w:val="0"/>
          <w:bCs w:val="0"/>
          <w:sz w:val="24"/>
          <w:szCs w:val="24"/>
        </w:rPr>
        <w:t>cyl</w:t>
      </w:r>
      <w:proofErr w:type="spellEnd"/>
      <w:r>
        <w:rPr>
          <w:b w:val="0"/>
          <w:bCs w:val="0"/>
          <w:sz w:val="24"/>
          <w:szCs w:val="24"/>
        </w:rPr>
        <w:t xml:space="preserve"> [aerospace, civil infrastructure]</w:t>
      </w:r>
    </w:p>
    <w:p w14:paraId="7D636094" w14:textId="77777777" w:rsidR="00DD1896" w:rsidRDefault="00000000">
      <w:pPr>
        <w:pStyle w:val="Heading2"/>
        <w:rPr>
          <w:b w:val="0"/>
          <w:bCs w:val="0"/>
          <w:sz w:val="24"/>
          <w:szCs w:val="24"/>
        </w:rPr>
      </w:pPr>
      <w:r>
        <w:rPr>
          <w:b w:val="0"/>
          <w:bCs w:val="0"/>
          <w:sz w:val="24"/>
          <w:szCs w:val="24"/>
        </w:rPr>
        <w:t>Studies on Profession The process of quantifying uncertainty includes:&lt;|human|&gt;The Science of Uncertainty The uncertainty quantification procedure involves:</w:t>
      </w:r>
    </w:p>
    <w:p w14:paraId="687D0679" w14:textId="77777777" w:rsidR="00DD1896" w:rsidRDefault="00000000">
      <w:pPr>
        <w:pStyle w:val="Heading2"/>
        <w:rPr>
          <w:b w:val="0"/>
          <w:bCs w:val="0"/>
          <w:sz w:val="24"/>
          <w:szCs w:val="24"/>
        </w:rPr>
      </w:pPr>
      <w:r>
        <w:rPr>
          <w:b w:val="0"/>
          <w:bCs w:val="0"/>
          <w:sz w:val="24"/>
          <w:szCs w:val="24"/>
        </w:rPr>
        <w:t>Bayesian confidence intervals were able to name 94% of impending failures within predicted timeframes as opposed to 68 percent of the accuracy with deterministic models. The calibration curve demonstrated a great conformity between estimated probabilities and the observed data (Brier score: 0.087, reliability index: 0.94).</w:t>
      </w:r>
    </w:p>
    <w:p w14:paraId="1F6E41C7" w14:textId="77777777" w:rsidR="00DD1896" w:rsidRDefault="00000000">
      <w:pPr>
        <w:pStyle w:val="whitespace-normal"/>
        <w:keepNext/>
        <w:jc w:val="both"/>
      </w:pPr>
      <w:r>
        <w:rPr>
          <w:noProof/>
        </w:rPr>
        <w:drawing>
          <wp:inline distT="0" distB="0" distL="0" distR="0" wp14:anchorId="3A4384FF" wp14:editId="4B51EC46">
            <wp:extent cx="490220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2615" cy="3676961"/>
                    </a:xfrm>
                    <a:prstGeom prst="rect">
                      <a:avLst/>
                    </a:prstGeom>
                  </pic:spPr>
                </pic:pic>
              </a:graphicData>
            </a:graphic>
          </wp:inline>
        </w:drawing>
      </w:r>
    </w:p>
    <w:p w14:paraId="63DE1F65" w14:textId="77777777" w:rsidR="00DD1896" w:rsidRDefault="00000000">
      <w:pPr>
        <w:pStyle w:val="Caption"/>
        <w:jc w:val="both"/>
        <w:rPr>
          <w:rFonts w:ascii="Times New Roman" w:hAnsi="Times New Roman" w:cs="Times New Roman"/>
          <w:i w:val="0"/>
          <w:iCs w:val="0"/>
          <w:color w:val="000000" w:themeColor="text1"/>
          <w:sz w:val="24"/>
          <w:szCs w:val="24"/>
          <w:highlight w:val="yellow"/>
        </w:rPr>
      </w:pPr>
      <w:r>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5</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Training vs. Validation Loss Curve for the Hybrid PIML+BDL Model.</w:t>
      </w:r>
    </w:p>
    <w:p w14:paraId="5B67570E" w14:textId="77777777" w:rsidR="00DD1896" w:rsidRDefault="00000000">
      <w:pPr>
        <w:pStyle w:val="whitespace-normal"/>
        <w:jc w:val="both"/>
      </w:pPr>
      <w:r>
        <w:lastRenderedPageBreak/>
        <w:t>The training loss decreases steadily over successive epochs and converges after approximately 60 epochs. Validation loss remains stable with minimal divergence from training loss, confirming the absence of overfitting and indicating good generalization capability of the proposed model.</w:t>
      </w:r>
    </w:p>
    <w:p w14:paraId="2683AD79" w14:textId="77777777" w:rsidR="00DD1896" w:rsidRDefault="00000000">
      <w:pPr>
        <w:pStyle w:val="whitespace-normal"/>
        <w:keepNext/>
        <w:jc w:val="both"/>
      </w:pPr>
      <w:r>
        <w:rPr>
          <w:noProof/>
        </w:rPr>
        <w:drawing>
          <wp:inline distT="0" distB="0" distL="0" distR="0" wp14:anchorId="20E217C4" wp14:editId="5C331F08">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A2B853" w14:textId="77777777" w:rsidR="00DD1896" w:rsidRDefault="00000000">
      <w:pPr>
        <w:pStyle w:val="Caption"/>
        <w:jc w:val="both"/>
        <w:rPr>
          <w:rFonts w:ascii="Times New Roman" w:hAnsi="Times New Roman" w:cs="Times New Roman"/>
          <w:i w:val="0"/>
          <w:iCs w:val="0"/>
          <w:color w:val="000000" w:themeColor="text1"/>
          <w:sz w:val="24"/>
          <w:szCs w:val="24"/>
        </w:rPr>
      </w:pPr>
      <w:r>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Figure \* ARABIC </w:instrText>
      </w:r>
      <w:r>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color w:val="000000" w:themeColor="text1"/>
          <w:sz w:val="24"/>
          <w:szCs w:val="24"/>
        </w:rPr>
        <w:t>6</w:t>
      </w:r>
      <w:r>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w:t>
      </w:r>
      <w:r>
        <w:rPr>
          <w:rFonts w:ascii="Times New Roman" w:hAnsi="Times New Roman" w:cs="Times New Roman"/>
          <w:i w:val="0"/>
          <w:iCs w:val="0"/>
          <w:color w:val="000000" w:themeColor="text1"/>
          <w:sz w:val="24"/>
          <w:szCs w:val="24"/>
        </w:rPr>
        <w:t xml:space="preserve"> Training vs. Validation Accuracy Curve for the Hybrid PIML+BDL Model.</w:t>
      </w:r>
    </w:p>
    <w:p w14:paraId="118618EE" w14:textId="77777777" w:rsidR="00DD1896" w:rsidRDefault="00000000">
      <w:pPr>
        <w:jc w:val="both"/>
      </w:pPr>
      <w:r>
        <w:t>The training accuracy improves consistently with epochs, reaching ~94%. Validation accuracy follows a similar trend, stabilizing near ~92–93%, which demonstrates the robustness and predictive stability of the hybrid PIML+BDL framework across unseen data.</w:t>
      </w:r>
    </w:p>
    <w:p w14:paraId="60770E98" w14:textId="77777777" w:rsidR="00DD1896" w:rsidRDefault="00000000">
      <w:pPr>
        <w:pStyle w:val="whitespace-normal"/>
        <w:jc w:val="both"/>
      </w:pPr>
      <w:r>
        <w:t>Experimental validation across 847 infrastructure assets demonstrated significant performance improvements over conventional monitoring approaches. The hybrid PIML+BDL model achieved 92.4% accuracy in failure prediction with 6.7% false positive rates, substantially outperforming traditional threshold-based systems at 76.3% accuracy.</w:t>
      </w:r>
    </w:p>
    <w:p w14:paraId="5277B688" w14:textId="77777777" w:rsidR="00DD1896" w:rsidRDefault="00000000">
      <w:pPr>
        <w:pStyle w:val="whitespace-normal"/>
        <w:jc w:val="both"/>
      </w:pPr>
      <w:r>
        <w:t>Statistical analysis using Welch's t-test (p&lt;0.001) confirmed significant improvements in maintenance cost reduction, with mean savings of 12.3% (95% CI: 8.7-15.9%) across all sectors. Aerospace applications showed the highest benefit-to-cost ratios at 3.2:1, followed by energy infrastructure at 2.8:1 and civil structures at 2.1:1.</w:t>
      </w:r>
    </w:p>
    <w:p w14:paraId="55A26D06" w14:textId="77777777" w:rsidR="00DD1896" w:rsidRDefault="00000000">
      <w:pPr>
        <w:pStyle w:val="whitespace-normal"/>
        <w:jc w:val="both"/>
      </w:pPr>
      <w:r>
        <w:lastRenderedPageBreak/>
        <w:t>The uncertainty quantification capabilities proved particularly valuable in risk-sensitive decisions. Bayesian confidence intervals successfully identified 94% of impending failures within predicted timeframes, compared to 68% accuracy for deterministic models. This improved reliability directly translates to enhanced safety margins and reduced catastrophic failure risks.</w:t>
      </w:r>
    </w:p>
    <w:p w14:paraId="533D756A" w14:textId="77777777" w:rsidR="00DD1896" w:rsidRDefault="00000000">
      <w:pPr>
        <w:pStyle w:val="whitespace-normal"/>
        <w:jc w:val="both"/>
      </w:pPr>
      <w:r>
        <w:t>Comparative analysis with existing commercial platforms (Microsoft Azure DT, GE Predix) revealed superior predictive capabilities, with the proposed framework reducing false alarms by 43% while maintaining 97% recall for critical structural anomalies.</w:t>
      </w:r>
    </w:p>
    <w:p w14:paraId="77CE5578" w14:textId="77777777" w:rsidR="00DD1896" w:rsidRDefault="00000000">
      <w:pPr>
        <w:pStyle w:val="whitespace-normal"/>
        <w:jc w:val="both"/>
        <w:rPr>
          <w:b/>
          <w:bCs/>
        </w:rPr>
      </w:pPr>
      <w:r>
        <w:rPr>
          <w:b/>
          <w:bCs/>
        </w:rPr>
        <w:t>Discussion of Key Findings:</w:t>
      </w:r>
    </w:p>
    <w:p w14:paraId="41B1E75C" w14:textId="77777777" w:rsidR="00DD1896" w:rsidRDefault="00000000">
      <w:pPr>
        <w:pStyle w:val="whitespace-normal"/>
        <w:jc w:val="both"/>
        <w:rPr>
          <w:b/>
          <w:bCs/>
        </w:rPr>
      </w:pPr>
      <w:r>
        <w:rPr>
          <w:b/>
          <w:bCs/>
        </w:rPr>
        <w:t>1. The benefits of Physics-Informed learning include:</w:t>
      </w:r>
    </w:p>
    <w:p w14:paraId="61059D8B" w14:textId="77777777" w:rsidR="00DD1896" w:rsidRDefault="00000000">
      <w:pPr>
        <w:pStyle w:val="whitespace-normal"/>
        <w:jc w:val="both"/>
      </w:pPr>
      <w:r>
        <w:t>PIML has greatly enhanced model performance in scenarios in which limited data is used to integrate domain knowledge. Structures that have fewer than 1 000 historical samples demonstrated 23% higher accuracy than a mixed-data method. This enables it to fill a gap of research where detailed datasets of failures are in short supply with SHM.</w:t>
      </w:r>
    </w:p>
    <w:p w14:paraId="2F79D7A1" w14:textId="77777777" w:rsidR="00DD1896" w:rsidRDefault="00000000">
      <w:pPr>
        <w:pStyle w:val="whitespace-normal"/>
        <w:jc w:val="both"/>
        <w:rPr>
          <w:b/>
          <w:bCs/>
        </w:rPr>
      </w:pPr>
      <w:r>
        <w:rPr>
          <w:b/>
          <w:bCs/>
        </w:rPr>
        <w:t>2. Obscureness Measurement Effect:</w:t>
      </w:r>
    </w:p>
    <w:p w14:paraId="7052182C" w14:textId="77777777" w:rsidR="00DD1896" w:rsidRDefault="00000000">
      <w:pPr>
        <w:pStyle w:val="whitespace-normal"/>
        <w:jc w:val="both"/>
      </w:pPr>
      <w:r>
        <w:t>BDL components made important estimates of uncertainty that increased the reliability of the decisions. False alarm rates were decreased by 31 percent without compromising on 97 percent of the sensitivity rates to critical anomalies due to the high-uncertainty predictions (&gt;20%). This is fundamental in the cases of safety-critical applications where the level of confidence that comes with a decision is the most important key.</w:t>
      </w:r>
    </w:p>
    <w:p w14:paraId="18764447" w14:textId="77777777" w:rsidR="00DD1896" w:rsidRDefault="00000000">
      <w:pPr>
        <w:pStyle w:val="whitespace-normal"/>
        <w:jc w:val="both"/>
        <w:rPr>
          <w:b/>
          <w:bCs/>
        </w:rPr>
      </w:pPr>
      <w:r>
        <w:rPr>
          <w:b/>
          <w:bCs/>
        </w:rPr>
        <w:t>3. Scalability and Deployment in the Real World:</w:t>
      </w:r>
    </w:p>
    <w:p w14:paraId="0C2607AD" w14:textId="77777777" w:rsidR="00DD1896" w:rsidRDefault="00000000">
      <w:pPr>
        <w:pStyle w:val="whitespace-normal"/>
        <w:jc w:val="both"/>
      </w:pPr>
      <w:r>
        <w:t>The architecture of a five-layer framework was effective to scale back to single-asset monitoring to network-level management. Cloud-edge hybrid processing delivered sub-second critical alert response times and effective utilization of computing resource. Edge devices did the normal routinely monitored tasks with the engagement of cloud systems to perform detailed analysis and optimization.</w:t>
      </w:r>
    </w:p>
    <w:p w14:paraId="2A012DF3" w14:textId="77777777" w:rsidR="00DD1896" w:rsidRDefault="00000000">
      <w:pPr>
        <w:pStyle w:val="whitespace-normal"/>
        <w:jc w:val="both"/>
        <w:rPr>
          <w:b/>
          <w:bCs/>
        </w:rPr>
      </w:pPr>
      <w:r>
        <w:rPr>
          <w:b/>
          <w:bCs/>
        </w:rPr>
        <w:t>4. Sector-Specific Adaptations:</w:t>
      </w:r>
    </w:p>
    <w:p w14:paraId="0A4C7C4D" w14:textId="77777777" w:rsidR="00DD1896" w:rsidRDefault="00000000">
      <w:pPr>
        <w:pStyle w:val="whitespace-normal"/>
        <w:jc w:val="both"/>
      </w:pPr>
      <w:r>
        <w:t>The domains of use had their own characteristics of requirements and advantage. Civil infrastructure focused on load management and prediction of fatigue with a 18.7% increase in estimation of structural life. Aerospace usage valued tracking of crack growth at 22.3 percent enhancement of the properness of maintenance scheduling. Energy sector devoted on condition-based maintenance with an equivalent reduction in unscheduled down time by 15.9.</w:t>
      </w:r>
    </w:p>
    <w:p w14:paraId="33495237" w14:textId="77777777" w:rsidR="00DD1896" w:rsidRDefault="00000000">
      <w:pPr>
        <w:pStyle w:val="Heading2"/>
        <w:rPr>
          <w:sz w:val="27"/>
          <w:szCs w:val="27"/>
        </w:rPr>
      </w:pPr>
      <w:r>
        <w:rPr>
          <w:sz w:val="27"/>
          <w:szCs w:val="27"/>
        </w:rPr>
        <w:t>Limitations and Future Work:</w:t>
      </w:r>
    </w:p>
    <w:p w14:paraId="1EE3E352" w14:textId="77777777" w:rsidR="00DD1896" w:rsidRDefault="00000000">
      <w:pPr>
        <w:pStyle w:val="Heading2"/>
        <w:rPr>
          <w:b w:val="0"/>
          <w:bCs w:val="0"/>
          <w:sz w:val="24"/>
          <w:szCs w:val="24"/>
        </w:rPr>
      </w:pPr>
      <w:r>
        <w:rPr>
          <w:b w:val="0"/>
          <w:bCs w:val="0"/>
          <w:sz w:val="24"/>
          <w:szCs w:val="24"/>
        </w:rPr>
        <w:t xml:space="preserve">The study reveals that there are a number of aspects that need further development. Computational capabilities are still relevant and restrict controllability to high value resources. </w:t>
      </w:r>
      <w:r>
        <w:rPr>
          <w:b w:val="0"/>
          <w:bCs w:val="0"/>
          <w:sz w:val="24"/>
          <w:szCs w:val="24"/>
        </w:rPr>
        <w:lastRenderedPageBreak/>
        <w:t>Industry standardization of data necessitates unify industry discourse. Lifecycle benefits should be validated in the long term (more than 5 years).</w:t>
      </w:r>
    </w:p>
    <w:p w14:paraId="27948460" w14:textId="77777777" w:rsidR="00DD1896" w:rsidRDefault="00000000">
      <w:pPr>
        <w:pStyle w:val="Heading2"/>
        <w:rPr>
          <w:b w:val="0"/>
          <w:bCs w:val="0"/>
          <w:sz w:val="24"/>
          <w:szCs w:val="24"/>
        </w:rPr>
      </w:pPr>
      <w:r>
        <w:rPr>
          <w:b w:val="0"/>
          <w:bCs w:val="0"/>
          <w:sz w:val="24"/>
          <w:szCs w:val="24"/>
        </w:rPr>
        <w:t>Some areas of future research would be integration of quantum computing with applications of designing over more flavors of uncertainty quantification, a metaverse-based environment of collaborative maintenance, and designing sector-specific AI models directly optimized against unique operational demands.</w:t>
      </w:r>
    </w:p>
    <w:p w14:paraId="07A72A93" w14:textId="77777777" w:rsidR="00DD1896" w:rsidRDefault="00000000">
      <w:pPr>
        <w:pStyle w:val="Heading2"/>
        <w:rPr>
          <w:sz w:val="28"/>
          <w:szCs w:val="28"/>
        </w:rPr>
      </w:pPr>
      <w:r>
        <w:rPr>
          <w:sz w:val="28"/>
          <w:szCs w:val="28"/>
        </w:rPr>
        <w:t>8.2 Conclusion</w:t>
      </w:r>
    </w:p>
    <w:p w14:paraId="3318F8C2"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provides a holistic model that takes structural health monitoring towards a paradigm of prediction, instead of reactivity. A combination of physics-informed learning, graph neural networks, and uncertainty-quantified, autonomous </w:t>
      </w:r>
      <w:proofErr w:type="spellStart"/>
      <w:r>
        <w:rPr>
          <w:rFonts w:ascii="Times New Roman" w:eastAsia="Times New Roman" w:hAnsi="Times New Roman" w:cs="Times New Roman"/>
          <w:sz w:val="24"/>
          <w:szCs w:val="24"/>
        </w:rPr>
        <w:t>decison</w:t>
      </w:r>
      <w:proofErr w:type="spellEnd"/>
      <w:r>
        <w:rPr>
          <w:rFonts w:ascii="Times New Roman" w:eastAsia="Times New Roman" w:hAnsi="Times New Roman" w:cs="Times New Roman"/>
          <w:sz w:val="24"/>
          <w:szCs w:val="24"/>
        </w:rPr>
        <w:t>-making, is provided by the combination of physics-informed learning, graph neural networks, and Bayesian deep learning.</w:t>
      </w:r>
    </w:p>
    <w:p w14:paraId="600BFC85"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Confirmation: validation in various industries show exceptional enhancement in the performance of operations, safety, and operational cost control. The framework has a prediction accuracy of 92.4 and the cost of maintenance is also minimized by an average of 12.3 among applications.</w:t>
      </w:r>
    </w:p>
    <w:p w14:paraId="46E3768C"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modular architecture allows the implementation of advanced AI capabilities in a staged manner such that advanced AI can be made available to organizations with proportionalities in ease of computing. Although there are present limitations such as high demands in computation and dependency on the network, the framework has formed a basis to autonomous infrastructure management system.</w:t>
      </w:r>
    </w:p>
    <w:p w14:paraId="1F47B8D8"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progress of edge computing and the declining prices of hardware encourage the large-scale deployment potential could revolutionize the infrastructure maintenance behavior of the world over the 5-7 years. Such a study can add theoretical perspectives and practical implementation advice to the adoption of AI-powered digital twin technologies in the industry in the context of structural health monitors.</w:t>
      </w:r>
    </w:p>
    <w:p w14:paraId="1D8B0419" w14:textId="77777777" w:rsidR="00DD1896" w:rsidRDefault="00000000">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Practical Recommendations:</w:t>
      </w:r>
    </w:p>
    <w:p w14:paraId="7928ED73"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industrial application, to finalize pilot-scale implementation of AI driven DTs should be completed, researchers need to invest in cloud-edge hybrid infrastructure to achieve the production-cost-performance trade-offs and progressive integration of the ISO 23247 and the IFC requirements to drive interoperability and regulatory compliance.</w:t>
      </w:r>
    </w:p>
    <w:p w14:paraId="322A41B9" w14:textId="77777777" w:rsidR="00DD1896" w:rsidRDefault="0000000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sum up, the paper has theoretical and practical implications as they offer a breakthrough solution to the creation of resilient intelligent ecosystems of infrastructure. The framework given here will need further developments in continuous learning, immersive interaction, and quantum-enabled computation to be achieved in the future, but it makes a decisive step toward fulfilling the vision of fully autonomous SHM systems.</w:t>
      </w:r>
    </w:p>
    <w:p w14:paraId="1A28343F" w14:textId="77777777" w:rsidR="00DD1896" w:rsidRDefault="00DD1896">
      <w:pPr>
        <w:spacing w:after="0" w:line="240" w:lineRule="auto"/>
        <w:rPr>
          <w:rFonts w:ascii="Times New Roman" w:eastAsia="Times New Roman" w:hAnsi="Times New Roman" w:cs="Times New Roman"/>
          <w:sz w:val="24"/>
          <w:szCs w:val="24"/>
        </w:rPr>
      </w:pPr>
    </w:p>
    <w:p w14:paraId="136906CB"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COMPETING INTERESTS DISCLAIMER:</w:t>
      </w:r>
    </w:p>
    <w:p w14:paraId="3F364C2C" w14:textId="77777777" w:rsidR="00DD189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research.</w:t>
      </w:r>
    </w:p>
    <w:p w14:paraId="21151731" w14:textId="77777777" w:rsidR="00DD1896" w:rsidRDefault="00DD1896">
      <w:pPr>
        <w:spacing w:after="0" w:line="240" w:lineRule="auto"/>
        <w:rPr>
          <w:rFonts w:ascii="Times New Roman" w:eastAsia="Times New Roman" w:hAnsi="Times New Roman" w:cs="Times New Roman"/>
          <w:sz w:val="24"/>
          <w:szCs w:val="24"/>
        </w:rPr>
      </w:pPr>
    </w:p>
    <w:p w14:paraId="41277929" w14:textId="77777777" w:rsidR="00DD1896" w:rsidRDefault="00000000">
      <w:pPr>
        <w:rPr>
          <w:rFonts w:ascii="Times New Roman" w:hAnsi="Times New Roman" w:cs="Times New Roman"/>
          <w:b/>
          <w:bCs/>
        </w:rPr>
      </w:pPr>
      <w:r>
        <w:rPr>
          <w:rFonts w:ascii="Times New Roman" w:hAnsi="Times New Roman" w:cs="Times New Roman"/>
          <w:b/>
          <w:bCs/>
        </w:rPr>
        <w:t xml:space="preserve">Disclaimer </w:t>
      </w:r>
    </w:p>
    <w:p w14:paraId="225FE2E0" w14:textId="77777777" w:rsidR="00DD1896" w:rsidRDefault="00000000">
      <w:pPr>
        <w:rPr>
          <w:rFonts w:ascii="Times New Roman" w:hAnsi="Times New Roman" w:cs="Times New Roman"/>
          <w:highlight w:val="yellow"/>
        </w:rPr>
      </w:pPr>
      <w:r>
        <w:rPr>
          <w:rFonts w:ascii="Times New Roman" w:hAnsi="Times New Roman" w:cs="Times New Roman"/>
        </w:rPr>
        <w:t xml:space="preserve">Author(s) hereby </w:t>
      </w:r>
      <w:proofErr w:type="gramStart"/>
      <w:r>
        <w:rPr>
          <w:rFonts w:ascii="Times New Roman" w:hAnsi="Times New Roman" w:cs="Times New Roman"/>
        </w:rPr>
        <w:t>declare</w:t>
      </w:r>
      <w:proofErr w:type="gramEnd"/>
      <w:r>
        <w:rPr>
          <w:rFonts w:ascii="Times New Roman" w:hAnsi="Times New Roman" w:cs="Times New Roman"/>
        </w:rPr>
        <w:t xml:space="preserve"> that NO generative AI technologies such as Large Language Models (ChatGPT, COPILOT, etc.) and text-to-image generators have been used during the writing or editing of this manuscript. </w:t>
      </w:r>
    </w:p>
    <w:p w14:paraId="538F8211" w14:textId="77777777" w:rsidR="00DD1896" w:rsidRDefault="00DD1896">
      <w:pPr>
        <w:rPr>
          <w:rFonts w:ascii="Times New Roman" w:hAnsi="Times New Roman" w:cs="Times New Roman"/>
          <w:highlight w:val="yellow"/>
        </w:rPr>
      </w:pPr>
    </w:p>
    <w:p w14:paraId="437DA616" w14:textId="77777777" w:rsidR="00DD1896"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465960A6" w14:textId="77777777" w:rsidR="00DD1896" w:rsidRDefault="00000000">
      <w:pPr>
        <w:pStyle w:val="Bibliography1"/>
        <w:rPr>
          <w:rFonts w:ascii="Times New Roman" w:hAnsi="Times New Roman" w:cs="Times New Roman"/>
          <w:sz w:val="24"/>
          <w:szCs w:val="24"/>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ZOTERO_BIBL {"uncited":[],"omitted":[],"custom":[]} CSL_BIBLIOGRAPHY </w:instrText>
      </w:r>
      <w:r>
        <w:rPr>
          <w:rFonts w:ascii="Times New Roman" w:eastAsia="Times New Roman" w:hAnsi="Times New Roman" w:cs="Times New Roman"/>
        </w:rPr>
        <w:fldChar w:fldCharType="separate"/>
      </w:r>
      <w:r>
        <w:rPr>
          <w:rFonts w:ascii="Times New Roman" w:hAnsi="Times New Roman" w:cs="Times New Roman"/>
          <w:sz w:val="24"/>
          <w:szCs w:val="24"/>
        </w:rPr>
        <w:t xml:space="preserve">1. </w:t>
      </w:r>
      <w:r>
        <w:rPr>
          <w:rFonts w:ascii="Times New Roman" w:hAnsi="Times New Roman" w:cs="Times New Roman"/>
          <w:sz w:val="24"/>
          <w:szCs w:val="24"/>
        </w:rPr>
        <w:tab/>
        <w:t xml:space="preserve">Kapucu N, Ge Y, Rott E, Isgandar H. Urban resilience: Multidimensional perspectives, challenges and prospects for future research. Urban Governance. 2024 Sep 1;4(3):162–79. </w:t>
      </w:r>
    </w:p>
    <w:p w14:paraId="6DDDA528"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t xml:space="preserve">Botín-Sanabria DM, Mihaita AS, Peimbert-García RE, Ramírez-Moreno MA, Ramírez-Mendoza RA, Lozoya-Santos J de J. Digital Twin Technology Challenges and Applications: A Comprehensive Review. Remote Sensing. 2022 Jan;14(6):1335. </w:t>
      </w:r>
    </w:p>
    <w:p w14:paraId="6B15DC1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t xml:space="preserve">Fallah Shayan N, Mohabbati-Kalejahi N, Alavi S, Zahed MA. Sustainable Development Goals (SDGs) as a Framework for Corporate Social Responsibility (CSR). Sustainability. 2022 Jan;14(3):1222. </w:t>
      </w:r>
    </w:p>
    <w:p w14:paraId="40A9B2ED"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t xml:space="preserve">Rahman A, Debnath T, Kundu D, Khan MdSI, Aishi AA, Sazzad S, et al. Machine learning and deep learning-based approach in smart healthcare: Recent advances, applications, challenges and opportunities. AIMS Public Health. 2024 Jan 5;11(1):58–109. </w:t>
      </w:r>
    </w:p>
    <w:p w14:paraId="49421413"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Plevris V, Papazafeiropoulos G. AI in Structural Health Monitoring for Infrastructure Maintenance and Safety. Infrastructures. 2024 Dec;9(12):225. </w:t>
      </w:r>
    </w:p>
    <w:p w14:paraId="0708FEE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t xml:space="preserve">Sivasuriyan A, Vijayan DS, Górski W, Wodzyński Ł, Vaverková MD, Koda E. Practical Implementation of Structural Health Monitoring in Multi-Story Buildings. Buildings. 2021 Jun;11(6):263. </w:t>
      </w:r>
    </w:p>
    <w:p w14:paraId="7F27FA98"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 xml:space="preserve">Mardanshahi A, Sreekumar A, Yang X, Barman SK, Chronopoulos D. Sensing Techniques for Structural Health Monitoring: A State-of-the-Art Review on Performance Criteria and New-Generation Technologies. Sensors. 2025 Jan;25(5):1424. </w:t>
      </w:r>
    </w:p>
    <w:p w14:paraId="3BC5A423"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 xml:space="preserve">Emmert-Streib F. Defining a Digital Twin: A Data Science-Based Unification. Machine Learning and Knowledge Extraction. 2023 Sep;5(3):1036–54. </w:t>
      </w:r>
    </w:p>
    <w:p w14:paraId="2836A390"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rPr>
        <w:tab/>
        <w:t xml:space="preserve">Werbińska-Wojciechowska S, Giel R, Winiarska K. Digital Twin Approach for Operation and Maintenance of Transportation System—Systematic Review. Sensors. 2024 Jan;24(18):6069. </w:t>
      </w:r>
    </w:p>
    <w:p w14:paraId="532DA4C7"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rPr>
        <w:tab/>
        <w:t xml:space="preserve">Prakash V, Debono CJ, Musarat MA, Borg RP, Seychell D, Ding W, et al. Structural Health Monitoring of Concrete Bridges Through Artificial Intelligence: A Narrative Review. Applied Sciences. 2025 Jan;15(9):4855. </w:t>
      </w:r>
    </w:p>
    <w:p w14:paraId="19173B7D"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lastRenderedPageBreak/>
        <w:t xml:space="preserve">11. </w:t>
      </w:r>
      <w:r>
        <w:rPr>
          <w:rFonts w:ascii="Times New Roman" w:hAnsi="Times New Roman" w:cs="Times New Roman"/>
          <w:sz w:val="24"/>
          <w:szCs w:val="24"/>
        </w:rPr>
        <w:tab/>
        <w:t>Moenck K, Koch J, Rath JE, Büsch L, Gierecker J, Kähler F, et al. Industry 5.0 in aircraft production and MRO: challenges and opportunities. CEAS Aeronaut J [Internet]. 2025 Apr 5 [cited 2025 Aug 14]; Available from: https://doi.org/10.1007/s13272-025-00832-3</w:t>
      </w:r>
    </w:p>
    <w:p w14:paraId="2B51F20B"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 xml:space="preserve">Bohačík A, Fujdiak R. The Problem of Integrating Digital Twins into Electro-Energetic Control Systems. Smart Cities. 2024 Oct;7(5):2702–40. </w:t>
      </w:r>
    </w:p>
    <w:p w14:paraId="01BF5C5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 xml:space="preserve">Collins C, Dennehy D, Conboy K, Mikalef P. Artificial intelligence in information systems research: A systematic literature review and research agenda. International Journal of Information Management. 2021 Oct 1;60:102383. </w:t>
      </w:r>
    </w:p>
    <w:p w14:paraId="25469FB2"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sz w:val="24"/>
          <w:szCs w:val="24"/>
        </w:rPr>
        <w:tab/>
        <w:t xml:space="preserve">Sun Z, Jayasinghe S, Sidiq A, Shahrivar F, Mahmoodian M, Setunge S. Approach Towards the Development of Digital Twin for Structural Health Monitoring of Civil Infrastructure: A Comprehensive Review. Sensors. 2025 Jan;25(1):59. </w:t>
      </w:r>
    </w:p>
    <w:p w14:paraId="21692F95"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15. </w:t>
      </w:r>
      <w:r>
        <w:rPr>
          <w:rFonts w:ascii="Times New Roman" w:hAnsi="Times New Roman" w:cs="Times New Roman"/>
          <w:sz w:val="24"/>
          <w:szCs w:val="24"/>
        </w:rPr>
        <w:tab/>
        <w:t xml:space="preserve">Ucar A, Karakose M, Kırımça N. Artificial Intelligence for Predictive Maintenance Applications: Key Components, Trustworthiness, and Future Trends. Applied Sciences. 2024 Jan;14(2):898. </w:t>
      </w:r>
    </w:p>
    <w:p w14:paraId="5B532F49"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ab/>
        <w:t xml:space="preserve">Chen L, Xia C, Zhao Z, Fu H, Chen Y. AI-Driven Sensing Technology: Review. Sensors. 2024 Jan;24(10):2958. </w:t>
      </w:r>
    </w:p>
    <w:p w14:paraId="2149DA4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17. </w:t>
      </w:r>
      <w:r>
        <w:rPr>
          <w:rFonts w:ascii="Times New Roman" w:hAnsi="Times New Roman" w:cs="Times New Roman"/>
          <w:sz w:val="24"/>
          <w:szCs w:val="24"/>
        </w:rPr>
        <w:tab/>
        <w:t xml:space="preserve">Sharma P, Chung WT, Akoush B, Ihme M. A Review of Physics-Informed Machine Learning in Fluid Mechanics. Energies. 2023 Jan;16(5):2343. </w:t>
      </w:r>
    </w:p>
    <w:p w14:paraId="29480966"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18. </w:t>
      </w:r>
      <w:r>
        <w:rPr>
          <w:rFonts w:ascii="Times New Roman" w:hAnsi="Times New Roman" w:cs="Times New Roman"/>
          <w:sz w:val="24"/>
          <w:szCs w:val="24"/>
        </w:rPr>
        <w:tab/>
        <w:t xml:space="preserve">Wang M, Ashour M, Mahdiyar A, Sabri S. Opportunities and Threats of Adopting Digital Twin in Construction Projects: A Review. Buildings. 2024 Aug;14(8):2349. </w:t>
      </w:r>
    </w:p>
    <w:p w14:paraId="4B9D5097"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19. </w:t>
      </w:r>
      <w:r>
        <w:rPr>
          <w:rFonts w:ascii="Times New Roman" w:hAnsi="Times New Roman" w:cs="Times New Roman"/>
          <w:sz w:val="24"/>
          <w:szCs w:val="24"/>
        </w:rPr>
        <w:tab/>
        <w:t xml:space="preserve">Dihan MdS, Akash AI, Tasneem Z, Das P, Das SK, Islam MdR, et al. Digital twin: Data exploration, architecture, implementation and future. Heliyon. 2024 Mar 15;10(5):e26503. </w:t>
      </w:r>
    </w:p>
    <w:p w14:paraId="6D299615"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20. </w:t>
      </w:r>
      <w:r>
        <w:rPr>
          <w:rFonts w:ascii="Times New Roman" w:hAnsi="Times New Roman" w:cs="Times New Roman"/>
          <w:sz w:val="24"/>
          <w:szCs w:val="24"/>
        </w:rPr>
        <w:tab/>
        <w:t xml:space="preserve">Lam PD, Gu BH, Lam HK, Ok SY, Lee SH. Digital Twin Smart City: Integrating IFC and CityGML with Semantic Graph for Advanced 3D City Model Visualization. Sensors. 2024 Jan;24(12):3761. </w:t>
      </w:r>
    </w:p>
    <w:p w14:paraId="6F6F8CAD"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 xml:space="preserve">Ghaffari A, Shahbazi Y, Mokhtari Kashavar M, Fotouhi M, Pedrammehr S. Advanced Predictive Structural Health Monitoring in High-Rise Buildings Using Recurrent Neural Networks. Buildings. 2024 Oct;14(10):3261. </w:t>
      </w:r>
    </w:p>
    <w:p w14:paraId="2574BC2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 xml:space="preserve">Zhou Y, Rashid F ’Atyka N, Mat Daud M, Hasan MK, Chen W. Machine Learning-Based Computer Vision for Depth Camera-Based Physiotherapy Movement Assessment: A Systematic Review. Sensors. 2025 Jan;25(5):1586. </w:t>
      </w:r>
    </w:p>
    <w:p w14:paraId="0A635FB8"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23. </w:t>
      </w:r>
      <w:r>
        <w:rPr>
          <w:rFonts w:ascii="Times New Roman" w:hAnsi="Times New Roman" w:cs="Times New Roman"/>
          <w:sz w:val="24"/>
          <w:szCs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215BBBC2"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lastRenderedPageBreak/>
        <w:t xml:space="preserve">24. </w:t>
      </w:r>
      <w:r>
        <w:rPr>
          <w:rFonts w:ascii="Times New Roman" w:hAnsi="Times New Roman" w:cs="Times New Roman"/>
          <w:sz w:val="24"/>
          <w:szCs w:val="24"/>
        </w:rPr>
        <w:tab/>
        <w:t xml:space="preserve">Alavizadeh H, Alavizadeh H, Jang-Jaccard J. Deep Q-Learning Based Reinforcement Learning Approach for Network Intrusion Detection. Computers. 2022 Mar;11(3):41. </w:t>
      </w:r>
    </w:p>
    <w:p w14:paraId="573ED7DE"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 xml:space="preserve">Sathyan A, Weinberg AI, Cohen K. Interpretable AI for bio-medical applications. Complex Eng Syst. 2022 Dec;2(4):18. </w:t>
      </w:r>
    </w:p>
    <w:p w14:paraId="20EC4A0D"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Wang QA, Lu AW, Ni YQ, Wang JF, Ma ZG. Bayesian Network in Structural Health Monitoring: Theoretical Background and Applications Review. Sensors. 2025 Jan;25(12):3577. </w:t>
      </w:r>
    </w:p>
    <w:p w14:paraId="23E18581"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sz w:val="24"/>
          <w:szCs w:val="24"/>
        </w:rPr>
        <w:tab/>
        <w:t xml:space="preserve">Oyebamiji HO, Adewuyi AY, Halidu A, Togo B, Alebiosu YT, Atilola MO, et al. Integrating Circular Economy in Retrofit: Global Practices in Sustainable Construction. Journal of Management, and Development Research. 2025 Dec 31;2(2):10–8. </w:t>
      </w:r>
    </w:p>
    <w:p w14:paraId="1DCB62DB"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 xml:space="preserve">Yuan T, Adjallah KH, Sava A, Wang H, Liu L. A Decision Risk Assessment and Alleviation Framework under Data Quality Challenges in Manufacturing. Sensors. 2024 Jan;24(20):6586. </w:t>
      </w:r>
    </w:p>
    <w:p w14:paraId="1E9C3FDB"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 xml:space="preserve">Shehu H, Ogunleye E, Atilola MO, Eromosele EI, Lawal AB, Chukwuma TT. Ethical and Responsible AI in Engineering and Construction Projects: Governance, Trust, and Human-Centered Design. Scientific Journal of Engineering, and Technology. 2025 Dec 31;2(2):53–62. </w:t>
      </w:r>
    </w:p>
    <w:p w14:paraId="6B4A754B"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30. </w:t>
      </w:r>
      <w:r>
        <w:rPr>
          <w:rFonts w:ascii="Times New Roman" w:hAnsi="Times New Roman" w:cs="Times New Roman"/>
          <w:sz w:val="24"/>
          <w:szCs w:val="24"/>
        </w:rPr>
        <w:tab/>
        <w:t xml:space="preserve">Dritsas E, Trigka M. Remote Sensing and Geospatial Analysis in the Big Data Era: A Survey. Remote Sensing. 2025 Jan;17(3):550. </w:t>
      </w:r>
    </w:p>
    <w:p w14:paraId="2282BC0E"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 xml:space="preserve">Ghadi YY, Mazhar T, Shahzad T, Jaghdam IH, Khan S, Khan MA, et al. A hybrid AI-Blockchain security framework for smart grids. Sci Rep. 2025 Jul 1;15(1):20882. </w:t>
      </w:r>
    </w:p>
    <w:p w14:paraId="0C7517A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 xml:space="preserve">Preethichandra DMG, Suntharavadivel TG, Kalutara P, Piyathilaka L, Izhar U. Influence of Smart Sensors on Structural Health Monitoring Systems and Future Asset Management Practices. Sensors. 2023 Jan;23(19):8279. </w:t>
      </w:r>
    </w:p>
    <w:p w14:paraId="03199F8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 xml:space="preserve">Caiza G, Sanz R. Immersive Digital Twin under ISO 23247 Applied to Flexible Manufacturing Processes. Applied Sciences. 2024 Jan;14(10):4204. </w:t>
      </w:r>
    </w:p>
    <w:p w14:paraId="090A2F41"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34. </w:t>
      </w:r>
      <w:r>
        <w:rPr>
          <w:rFonts w:ascii="Times New Roman" w:hAnsi="Times New Roman" w:cs="Times New Roman"/>
          <w:sz w:val="24"/>
          <w:szCs w:val="24"/>
        </w:rPr>
        <w:tab/>
        <w:t xml:space="preserve">Jayasinghe S, Sun Z, Sidiq A, Mahmoodian M, Shahrivar F, Setunge S. Smart Structural Monitoring: Real-Time Bridge Response Using Digital Twins and Inverse Analysis. Sensors. 2025 Jan;25(11):3513. </w:t>
      </w:r>
    </w:p>
    <w:p w14:paraId="66C373FB"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 xml:space="preserve">Khalid S, Song J, Azad MM, Elahi MU, Lee J, Jo SH, et al. A Comprehensive Review of Emerging Trends in Aircraft Structural Prognostics and Health Management. Mathematics. 2023 Jan;11(18):3837. </w:t>
      </w:r>
    </w:p>
    <w:p w14:paraId="73454AD3"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 xml:space="preserve">Ibrahim M, Rassõlkin A, Vaimann T, Kallaste A, Zakis J, Hyunh VK, et al. Digital Twin as a Virtual Sensor for Wind Turbine Applications. Energies. 2023 Jan;16(17):6246. </w:t>
      </w:r>
    </w:p>
    <w:p w14:paraId="44546BBA"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 xml:space="preserve">Hatami M, Qu Q, Chen Y, Kholidy H, Blasch E, Ardiles-Cruz E. A Survey of the Real-Time Metaverse: Challenges and Opportunities. Future Internet. 2024 Oct;16(10):379. </w:t>
      </w:r>
    </w:p>
    <w:p w14:paraId="75B587C6"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lastRenderedPageBreak/>
        <w:t xml:space="preserve">38. </w:t>
      </w:r>
      <w:r>
        <w:rPr>
          <w:rFonts w:ascii="Times New Roman" w:hAnsi="Times New Roman" w:cs="Times New Roman"/>
          <w:sz w:val="24"/>
          <w:szCs w:val="24"/>
        </w:rPr>
        <w:tab/>
        <w:t xml:space="preserve">Olaitan OF, Ayeni SO, Olosunde A, Okeke FC, Okonkwo UU, Ochieze CG, et al. Quantum Computing in Artificial Intelligence: a Review of Quantum Machine Learning Algorithms. Path of Science. 2025 May 31;11(5):7001–9. </w:t>
      </w:r>
    </w:p>
    <w:p w14:paraId="5026A287"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39. </w:t>
      </w:r>
      <w:r>
        <w:rPr>
          <w:rFonts w:ascii="Times New Roman" w:hAnsi="Times New Roman" w:cs="Times New Roman"/>
          <w:sz w:val="24"/>
          <w:szCs w:val="24"/>
        </w:rPr>
        <w:tab/>
        <w:t xml:space="preserve">Ogunleye E, Anyaene K, Oladetan JO, Lawal AB, Okeke FC, Ogunbule OO, et al. Digital Twins and AI in Infrastructure Engineering: A Global Review of Risk-Informed Design, Operations, and Maintenance. Scientific Journal of Engineering, and Technology. 2025 Dec 31;2(2):63–70. </w:t>
      </w:r>
    </w:p>
    <w:p w14:paraId="7535E896" w14:textId="77777777" w:rsidR="00DD1896" w:rsidRDefault="00000000">
      <w:pPr>
        <w:pStyle w:val="Bibliography1"/>
        <w:rPr>
          <w:rFonts w:ascii="Times New Roman" w:hAnsi="Times New Roman" w:cs="Times New Roman"/>
          <w:sz w:val="24"/>
          <w:szCs w:val="24"/>
        </w:rPr>
      </w:pPr>
      <w:r>
        <w:rPr>
          <w:rFonts w:ascii="Times New Roman" w:hAnsi="Times New Roman" w:cs="Times New Roman"/>
          <w:sz w:val="24"/>
          <w:szCs w:val="24"/>
        </w:rPr>
        <w:t xml:space="preserve">40. </w:t>
      </w:r>
      <w:r>
        <w:rPr>
          <w:rFonts w:ascii="Times New Roman" w:hAnsi="Times New Roman" w:cs="Times New Roman"/>
          <w:sz w:val="24"/>
          <w:szCs w:val="24"/>
        </w:rPr>
        <w:tab/>
        <w:t>Lawal OP, Egwuatu EC, Akanbi KO, Orobator ET, Eweje OZ, Omotayo EO, et al. Fighting Resistance With Data: Leveraging Digital Surveillance to Address Antibiotic Misuse in Nigeria. Path of Science. 2025 Mar 31;11(3):1009–17</w:t>
      </w:r>
    </w:p>
    <w:p w14:paraId="3028B0A3" w14:textId="77777777" w:rsidR="00DD1896" w:rsidRDefault="00000000">
      <w:pPr>
        <w:pStyle w:val="NormalWeb"/>
        <w:rPr>
          <w:b/>
          <w:bCs/>
        </w:rPr>
      </w:pPr>
      <w:r>
        <w:t>41.</w:t>
      </w:r>
      <w:r>
        <w:tab/>
        <w:t xml:space="preserve">Dhanka, S., Sharma, A., Kumar, A., Maini, S., &amp; Vundavilli, H. (2025). Advancements in Hybrid Machine Learning Models for Biomedical Disease Classification Using Integration of Hyperparameter-Tuning and Feature Selection Methodologies: A Comprehensive Review. </w:t>
      </w:r>
      <w:r>
        <w:rPr>
          <w:i/>
          <w:iCs/>
        </w:rPr>
        <w:t>Archives of Computational Methods in Engineering</w:t>
      </w:r>
      <w:r>
        <w:t>, 1–36.</w:t>
      </w:r>
    </w:p>
    <w:p w14:paraId="240D37A8" w14:textId="77777777" w:rsidR="00DD1896" w:rsidRDefault="00000000">
      <w:pPr>
        <w:pStyle w:val="Bibliography1"/>
        <w:rPr>
          <w:rFonts w:ascii="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 xml:space="preserve">Kumar, A., Dhanka, S., Sharma, A., Sharma, A., Maini, S., Fahlevi, M., … &amp; Bansal, R. (2025). Comprehensive framework for thyroid disorder diagnosis: Integrating advanced feature selection, genetic algorithms, and machine learning for enhanced accuracy and other performance matrices. </w:t>
      </w:r>
      <w:r>
        <w:rPr>
          <w:rFonts w:ascii="Times New Roman" w:eastAsia="Times New Roman" w:hAnsi="Times New Roman" w:cs="Times New Roman"/>
          <w:i/>
          <w:iCs/>
          <w:sz w:val="24"/>
          <w:szCs w:val="24"/>
        </w:rPr>
        <w:t>PLoS One</w:t>
      </w:r>
      <w:r>
        <w:rPr>
          <w:rFonts w:ascii="Times New Roman" w:eastAsia="Times New Roman" w:hAnsi="Times New Roman" w:cs="Times New Roman"/>
          <w:sz w:val="24"/>
          <w:szCs w:val="24"/>
        </w:rPr>
        <w:t>, 20(6), e0325900.</w:t>
      </w:r>
    </w:p>
    <w:p w14:paraId="2A1CE4BA" w14:textId="77777777" w:rsidR="00DD1896" w:rsidRDefault="00000000">
      <w:pPr>
        <w:pStyle w:val="Bibliography1"/>
        <w:rPr>
          <w:rFonts w:ascii="Times New Roman" w:hAnsi="Times New Roman" w:cs="Times New Roman"/>
          <w:sz w:val="24"/>
        </w:rPr>
      </w:pPr>
      <w:r>
        <w:rPr>
          <w:rFonts w:ascii="Times New Roman" w:hAnsi="Times New Roman" w:cs="Times New Roman"/>
          <w:sz w:val="24"/>
          <w:szCs w:val="24"/>
        </w:rPr>
        <w:t xml:space="preserve">43. Kumar, A., Dhanka, S., Sharma, A. et al. A hybrid framework for heart disease prediction using classical and quantum-inspired machine learning techniques. Sci Rep 15, 25040 (2025). </w:t>
      </w:r>
      <w:hyperlink r:id="rId14" w:history="1">
        <w:r>
          <w:rPr>
            <w:rStyle w:val="Hyperlink"/>
            <w:rFonts w:ascii="Times New Roman" w:hAnsi="Times New Roman" w:cs="Times New Roman"/>
            <w:sz w:val="24"/>
            <w:szCs w:val="24"/>
          </w:rPr>
          <w:t>https://doi.org/10.1038/s41598-025-09957-1</w:t>
        </w:r>
      </w:hyperlink>
      <w:r>
        <w:rPr>
          <w:rFonts w:ascii="Times New Roman" w:hAnsi="Times New Roman" w:cs="Times New Roman"/>
          <w:sz w:val="24"/>
        </w:rPr>
        <w:t xml:space="preserve"> </w:t>
      </w:r>
    </w:p>
    <w:p w14:paraId="317F6BFE" w14:textId="77777777" w:rsidR="00DD1896" w:rsidRDefault="00000000">
      <w:pPr>
        <w:pStyle w:val="NormalWeb"/>
      </w:pPr>
      <w:r>
        <w:fldChar w:fldCharType="end"/>
      </w:r>
    </w:p>
    <w:p w14:paraId="005EC080" w14:textId="77777777" w:rsidR="00DD1896" w:rsidRDefault="00DD1896">
      <w:pPr>
        <w:spacing w:before="100" w:beforeAutospacing="1" w:after="100" w:afterAutospacing="1" w:line="240" w:lineRule="auto"/>
        <w:rPr>
          <w:rFonts w:ascii="Times New Roman" w:eastAsia="Times New Roman" w:hAnsi="Times New Roman" w:cs="Times New Roman"/>
          <w:sz w:val="24"/>
          <w:szCs w:val="24"/>
        </w:rPr>
      </w:pPr>
    </w:p>
    <w:p w14:paraId="4E0B9E14" w14:textId="77777777" w:rsidR="00DD1896" w:rsidRDefault="00DD1896">
      <w:pPr>
        <w:pStyle w:val="NormalWeb"/>
        <w:rPr>
          <w:b/>
          <w:bCs/>
        </w:rPr>
      </w:pPr>
    </w:p>
    <w:p w14:paraId="2EBC4C38" w14:textId="77777777" w:rsidR="00DD1896" w:rsidRDefault="00DD1896">
      <w:pPr>
        <w:pStyle w:val="NormalWeb"/>
        <w:rPr>
          <w:b/>
          <w:bCs/>
        </w:rPr>
      </w:pPr>
    </w:p>
    <w:p w14:paraId="08C4D83D" w14:textId="77777777" w:rsidR="00DD1896" w:rsidRDefault="00DD1896">
      <w:pPr>
        <w:pStyle w:val="NormalWeb"/>
        <w:rPr>
          <w:b/>
          <w:bCs/>
        </w:rPr>
      </w:pPr>
    </w:p>
    <w:p w14:paraId="02A8521D" w14:textId="77777777" w:rsidR="00DD1896" w:rsidRDefault="00DD1896">
      <w:pPr>
        <w:pStyle w:val="NormalWeb"/>
        <w:rPr>
          <w:b/>
          <w:bCs/>
        </w:rPr>
      </w:pPr>
    </w:p>
    <w:p w14:paraId="0E62CD9F" w14:textId="77777777" w:rsidR="00DD1896" w:rsidRDefault="00DD1896">
      <w:pPr>
        <w:pStyle w:val="NormalWeb"/>
        <w:rPr>
          <w:b/>
          <w:bCs/>
        </w:rPr>
      </w:pPr>
    </w:p>
    <w:p w14:paraId="7F77113F" w14:textId="77777777" w:rsidR="00DD1896" w:rsidRDefault="00DD1896">
      <w:pPr>
        <w:pStyle w:val="NormalWeb"/>
        <w:rPr>
          <w:b/>
          <w:bCs/>
        </w:rPr>
      </w:pPr>
    </w:p>
    <w:p w14:paraId="15DD8F7B" w14:textId="77777777" w:rsidR="00DD1896" w:rsidRDefault="00DD1896">
      <w:pPr>
        <w:pStyle w:val="NormalWeb"/>
        <w:rPr>
          <w:b/>
          <w:bCs/>
        </w:rPr>
      </w:pPr>
    </w:p>
    <w:p w14:paraId="6FD6233E" w14:textId="77777777" w:rsidR="00DD1896" w:rsidRDefault="00DD1896">
      <w:pPr>
        <w:rPr>
          <w:rFonts w:ascii="Times New Roman" w:hAnsi="Times New Roman" w:cs="Times New Roman"/>
          <w:sz w:val="24"/>
          <w:szCs w:val="24"/>
        </w:rPr>
      </w:pPr>
    </w:p>
    <w:sectPr w:rsidR="00DD189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ABB66" w14:textId="77777777" w:rsidR="009F0CD9" w:rsidRDefault="009F0CD9">
      <w:pPr>
        <w:spacing w:line="240" w:lineRule="auto"/>
      </w:pPr>
      <w:r>
        <w:separator/>
      </w:r>
    </w:p>
  </w:endnote>
  <w:endnote w:type="continuationSeparator" w:id="0">
    <w:p w14:paraId="3223604E" w14:textId="77777777" w:rsidR="009F0CD9" w:rsidRDefault="009F0C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DA83" w14:textId="77777777" w:rsidR="009F0CD9" w:rsidRDefault="009F0CD9">
      <w:pPr>
        <w:spacing w:after="0"/>
      </w:pPr>
      <w:r>
        <w:separator/>
      </w:r>
    </w:p>
  </w:footnote>
  <w:footnote w:type="continuationSeparator" w:id="0">
    <w:p w14:paraId="55456F1D" w14:textId="77777777" w:rsidR="009F0CD9" w:rsidRDefault="009F0CD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789"/>
    <w:multiLevelType w:val="multilevel"/>
    <w:tmpl w:val="065F278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B601EB9"/>
    <w:multiLevelType w:val="multilevel"/>
    <w:tmpl w:val="0B601EB9"/>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6A5FBF"/>
    <w:multiLevelType w:val="multilevel"/>
    <w:tmpl w:val="0C6A5F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42A3F0D"/>
    <w:multiLevelType w:val="multilevel"/>
    <w:tmpl w:val="142A3F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653FFC"/>
    <w:multiLevelType w:val="multilevel"/>
    <w:tmpl w:val="1A653F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811A22"/>
    <w:multiLevelType w:val="multilevel"/>
    <w:tmpl w:val="1D811A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1304A7"/>
    <w:multiLevelType w:val="multilevel"/>
    <w:tmpl w:val="341304A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365765FC"/>
    <w:multiLevelType w:val="multilevel"/>
    <w:tmpl w:val="365765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88576E4"/>
    <w:multiLevelType w:val="multilevel"/>
    <w:tmpl w:val="388576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645DF1"/>
    <w:multiLevelType w:val="multilevel"/>
    <w:tmpl w:val="48645D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9FF00F3"/>
    <w:multiLevelType w:val="multilevel"/>
    <w:tmpl w:val="49FF00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0D655D7"/>
    <w:multiLevelType w:val="multilevel"/>
    <w:tmpl w:val="50D655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9902B8"/>
    <w:multiLevelType w:val="multilevel"/>
    <w:tmpl w:val="529902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73F437C"/>
    <w:multiLevelType w:val="multilevel"/>
    <w:tmpl w:val="573F43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87D0121"/>
    <w:multiLevelType w:val="multilevel"/>
    <w:tmpl w:val="587D01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3D5EF0"/>
    <w:multiLevelType w:val="multilevel"/>
    <w:tmpl w:val="5F3D5E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CCF59FB"/>
    <w:multiLevelType w:val="multilevel"/>
    <w:tmpl w:val="7CCF59FB"/>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E4E413F"/>
    <w:multiLevelType w:val="multilevel"/>
    <w:tmpl w:val="7E4E413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6283737">
    <w:abstractNumId w:val="16"/>
  </w:num>
  <w:num w:numId="2" w16cid:durableId="1479493962">
    <w:abstractNumId w:val="13"/>
  </w:num>
  <w:num w:numId="3" w16cid:durableId="341981003">
    <w:abstractNumId w:val="10"/>
  </w:num>
  <w:num w:numId="4" w16cid:durableId="967202097">
    <w:abstractNumId w:val="15"/>
  </w:num>
  <w:num w:numId="5" w16cid:durableId="1837644867">
    <w:abstractNumId w:val="6"/>
  </w:num>
  <w:num w:numId="6" w16cid:durableId="1493526563">
    <w:abstractNumId w:val="2"/>
  </w:num>
  <w:num w:numId="7" w16cid:durableId="714542070">
    <w:abstractNumId w:val="9"/>
  </w:num>
  <w:num w:numId="8" w16cid:durableId="1546989795">
    <w:abstractNumId w:val="1"/>
  </w:num>
  <w:num w:numId="9" w16cid:durableId="1783449675">
    <w:abstractNumId w:val="12"/>
  </w:num>
  <w:num w:numId="10" w16cid:durableId="1969585172">
    <w:abstractNumId w:val="7"/>
  </w:num>
  <w:num w:numId="11" w16cid:durableId="2012442423">
    <w:abstractNumId w:val="5"/>
  </w:num>
  <w:num w:numId="12" w16cid:durableId="1153450906">
    <w:abstractNumId w:val="8"/>
  </w:num>
  <w:num w:numId="13" w16cid:durableId="1390806178">
    <w:abstractNumId w:val="17"/>
  </w:num>
  <w:num w:numId="14" w16cid:durableId="108210028">
    <w:abstractNumId w:val="14"/>
  </w:num>
  <w:num w:numId="15" w16cid:durableId="120850448">
    <w:abstractNumId w:val="3"/>
  </w:num>
  <w:num w:numId="16" w16cid:durableId="342516459">
    <w:abstractNumId w:val="0"/>
  </w:num>
  <w:num w:numId="17" w16cid:durableId="1138451077">
    <w:abstractNumId w:val="4"/>
  </w:num>
  <w:num w:numId="18" w16cid:durableId="4583781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B7E"/>
    <w:rsid w:val="00004824"/>
    <w:rsid w:val="00020593"/>
    <w:rsid w:val="000373A3"/>
    <w:rsid w:val="000530B8"/>
    <w:rsid w:val="00077FD0"/>
    <w:rsid w:val="000A1955"/>
    <w:rsid w:val="000C7318"/>
    <w:rsid w:val="000D173A"/>
    <w:rsid w:val="000E7E75"/>
    <w:rsid w:val="000F196E"/>
    <w:rsid w:val="000F5D5B"/>
    <w:rsid w:val="0010699B"/>
    <w:rsid w:val="00134A2E"/>
    <w:rsid w:val="00197F7F"/>
    <w:rsid w:val="001E53DE"/>
    <w:rsid w:val="00264B7E"/>
    <w:rsid w:val="00274F31"/>
    <w:rsid w:val="002A76E1"/>
    <w:rsid w:val="002E3643"/>
    <w:rsid w:val="002F02A0"/>
    <w:rsid w:val="00311ECC"/>
    <w:rsid w:val="00367A60"/>
    <w:rsid w:val="003762FD"/>
    <w:rsid w:val="004642FB"/>
    <w:rsid w:val="004A7CC8"/>
    <w:rsid w:val="00566209"/>
    <w:rsid w:val="00580532"/>
    <w:rsid w:val="006007DE"/>
    <w:rsid w:val="00604E75"/>
    <w:rsid w:val="00622152"/>
    <w:rsid w:val="006B23A8"/>
    <w:rsid w:val="006C2A3A"/>
    <w:rsid w:val="0073574E"/>
    <w:rsid w:val="00766E50"/>
    <w:rsid w:val="007D126C"/>
    <w:rsid w:val="00813D9F"/>
    <w:rsid w:val="00907402"/>
    <w:rsid w:val="009874BF"/>
    <w:rsid w:val="009F0CD9"/>
    <w:rsid w:val="009F49F3"/>
    <w:rsid w:val="00AB141D"/>
    <w:rsid w:val="00AD35D2"/>
    <w:rsid w:val="00AD3859"/>
    <w:rsid w:val="00AF2AFE"/>
    <w:rsid w:val="00B83AD8"/>
    <w:rsid w:val="00BC715F"/>
    <w:rsid w:val="00C82386"/>
    <w:rsid w:val="00CA24BB"/>
    <w:rsid w:val="00D34797"/>
    <w:rsid w:val="00D72179"/>
    <w:rsid w:val="00DD1896"/>
    <w:rsid w:val="00DF7D8D"/>
    <w:rsid w:val="00E03188"/>
    <w:rsid w:val="00E04776"/>
    <w:rsid w:val="00E75663"/>
    <w:rsid w:val="00EC310B"/>
    <w:rsid w:val="00ED23D9"/>
    <w:rsid w:val="00EF28C5"/>
    <w:rsid w:val="00EF6001"/>
    <w:rsid w:val="00EF6B97"/>
    <w:rsid w:val="00F01AA2"/>
    <w:rsid w:val="00F65D0F"/>
    <w:rsid w:val="00FD50C7"/>
    <w:rsid w:val="00FE1347"/>
    <w:rsid w:val="42044FBC"/>
    <w:rsid w:val="54D45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3C6EB3"/>
  <w15:docId w15:val="{CEE79695-77D3-40AC-A251-7AD10421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864" w:themeColor="accent1" w:themeShade="80"/>
      <w:sz w:val="24"/>
      <w:szCs w:val="24"/>
    </w:rPr>
  </w:style>
  <w:style w:type="character" w:customStyle="1" w:styleId="katex-mathml">
    <w:name w:val="katex-mathml"/>
    <w:basedOn w:val="DefaultParagraphFont"/>
  </w:style>
  <w:style w:type="character" w:customStyle="1" w:styleId="mord">
    <w:name w:val="mord"/>
    <w:basedOn w:val="DefaultParagraphFont"/>
    <w:qFormat/>
  </w:style>
  <w:style w:type="character" w:customStyle="1" w:styleId="vlist-s">
    <w:name w:val="vlist-s"/>
    <w:basedOn w:val="DefaultParagraphFont"/>
  </w:style>
  <w:style w:type="character" w:customStyle="1" w:styleId="mrel">
    <w:name w:val="mrel"/>
    <w:basedOn w:val="DefaultParagraphFont"/>
    <w:qFormat/>
  </w:style>
  <w:style w:type="character" w:customStyle="1" w:styleId="mopen">
    <w:name w:val="mopen"/>
    <w:basedOn w:val="DefaultParagraphFont"/>
  </w:style>
  <w:style w:type="character" w:customStyle="1" w:styleId="mclose">
    <w:name w:val="mclose"/>
    <w:basedOn w:val="DefaultParagraphFont"/>
    <w:qFormat/>
  </w:style>
  <w:style w:type="character" w:customStyle="1" w:styleId="mpunct">
    <w:name w:val="mpunct"/>
    <w:basedOn w:val="DefaultParagraphFont"/>
  </w:style>
  <w:style w:type="character" w:customStyle="1" w:styleId="mbin">
    <w:name w:val="mbin"/>
    <w:basedOn w:val="DefaultParagraphFont"/>
  </w:style>
  <w:style w:type="character" w:customStyle="1" w:styleId="delimsizing">
    <w:name w:val="delimsizing"/>
    <w:basedOn w:val="DefaultParagraphFont"/>
    <w:qFormat/>
  </w:style>
  <w:style w:type="character" w:customStyle="1" w:styleId="mop">
    <w:name w:val="mop"/>
    <w:basedOn w:val="DefaultParagraphFont"/>
  </w:style>
  <w:style w:type="character" w:styleId="PlaceholderText">
    <w:name w:val="Placeholder Text"/>
    <w:basedOn w:val="DefaultParagraphFont"/>
    <w:uiPriority w:val="99"/>
    <w:semiHidden/>
    <w:rPr>
      <w:color w:val="808080"/>
    </w:rPr>
  </w:style>
  <w:style w:type="paragraph" w:customStyle="1" w:styleId="Bibliography1">
    <w:name w:val="Bibliography1"/>
    <w:basedOn w:val="Normal"/>
    <w:next w:val="Normal"/>
    <w:uiPriority w:val="37"/>
    <w:semiHidden/>
    <w:unhideWhenUsed/>
    <w:qFormat/>
  </w:style>
  <w:style w:type="paragraph" w:customStyle="1" w:styleId="whitespace-normal">
    <w:name w:val="whitespace-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38/s41598-025-099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DB317-E5CC-46D8-B385-B0354A497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37</Pages>
  <Words>34783</Words>
  <Characters>198268</Characters>
  <Application>Microsoft Office Word</Application>
  <DocSecurity>0</DocSecurity>
  <Lines>1652</Lines>
  <Paragraphs>465</Paragraphs>
  <ScaleCrop>false</ScaleCrop>
  <Company/>
  <LinksUpToDate>false</LinksUpToDate>
  <CharactersWithSpaces>232586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Aisosa Osabuohien</dc:creator>
  <cp:lastModifiedBy>Editor GP 005</cp:lastModifiedBy>
  <cp:revision>7</cp:revision>
  <dcterms:created xsi:type="dcterms:W3CDTF">2025-09-09T18:48:00Z</dcterms:created>
  <dcterms:modified xsi:type="dcterms:W3CDTF">2025-09-19T06:33:00Z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fa3bacd8-4851-4e2f-89a9-abd6e5a6563c</vt:lpwstr>
  </property>
  <property fmtid="{D5CDD505-2E9C-101B-9397-08002B2CF9AE}" pid="3" name="KSOProductBuildVer">
    <vt:lpwstr>1033-12.2.0.22549</vt:lpwstr>
  </property>
  <property fmtid="{D5CDD505-2E9C-101B-9397-08002B2CF9AE}" pid="4" name="ICV">
    <vt:lpwstr>52B3F06A1EBD40F88B464E5FF4DB0B6A_13</vt:lpwstr>
  </property>
</Properties>
</file>