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FB35" w14:textId="77777777" w:rsidR="005842D0" w:rsidRPr="005842D0" w:rsidRDefault="005842D0" w:rsidP="00180824">
      <w:pPr>
        <w:spacing w:line="240" w:lineRule="auto"/>
        <w:jc w:val="center"/>
        <w:rPr>
          <w:rFonts w:eastAsia="Times"/>
          <w:b/>
          <w:sz w:val="28"/>
          <w:szCs w:val="28"/>
        </w:rPr>
      </w:pPr>
    </w:p>
    <w:p w14:paraId="33F91642" w14:textId="2B01129E" w:rsidR="00D77AA1" w:rsidRPr="005842D0" w:rsidRDefault="00000000" w:rsidP="00180824">
      <w:pPr>
        <w:spacing w:line="240" w:lineRule="auto"/>
        <w:jc w:val="right"/>
        <w:rPr>
          <w:rFonts w:eastAsia="Times"/>
          <w:b/>
          <w:sz w:val="36"/>
          <w:szCs w:val="36"/>
        </w:rPr>
      </w:pPr>
      <w:r w:rsidRPr="005842D0">
        <w:rPr>
          <w:rFonts w:eastAsia="Times"/>
          <w:b/>
          <w:sz w:val="36"/>
          <w:szCs w:val="36"/>
        </w:rPr>
        <w:t>Beyond Calories: Linking Food Security with Nutritional Security in Rural India</w:t>
      </w:r>
    </w:p>
    <w:p w14:paraId="75D7B72B" w14:textId="77777777" w:rsidR="00D77AA1" w:rsidRDefault="00D77AA1" w:rsidP="00180824">
      <w:pPr>
        <w:spacing w:line="240" w:lineRule="auto"/>
        <w:jc w:val="center"/>
        <w:rPr>
          <w:rFonts w:eastAsia="Times"/>
          <w:b/>
          <w:sz w:val="28"/>
          <w:szCs w:val="28"/>
        </w:rPr>
      </w:pPr>
    </w:p>
    <w:p w14:paraId="7AE6C22F" w14:textId="2C326706" w:rsidR="00D77AA1" w:rsidRPr="005842D0" w:rsidRDefault="005842D0" w:rsidP="00180824">
      <w:pPr>
        <w:spacing w:line="240" w:lineRule="auto"/>
        <w:rPr>
          <w:rFonts w:eastAsia="Times"/>
          <w:b/>
          <w:bCs/>
          <w:sz w:val="24"/>
          <w:szCs w:val="24"/>
        </w:rPr>
      </w:pPr>
      <w:r w:rsidRPr="005842D0">
        <w:rPr>
          <w:b/>
          <w:bCs/>
        </w:rPr>
        <w:t xml:space="preserve">ABSTRACT </w:t>
      </w:r>
    </w:p>
    <w:p w14:paraId="06C253A1" w14:textId="77777777" w:rsidR="005842D0" w:rsidRDefault="00362E95" w:rsidP="00180824">
      <w:pPr>
        <w:spacing w:line="240" w:lineRule="auto"/>
        <w:jc w:val="both"/>
        <w:rPr>
          <w:rFonts w:eastAsia="Times"/>
          <w:sz w:val="20"/>
          <w:szCs w:val="20"/>
        </w:rPr>
      </w:pPr>
      <w:r w:rsidRPr="005842D0">
        <w:rPr>
          <w:rFonts w:eastAsia="Times"/>
          <w:sz w:val="20"/>
          <w:szCs w:val="20"/>
        </w:rPr>
        <w:t xml:space="preserve">The empirical evidence highlights the persistent paradox of nutritional insecurity in India. The post-reform period has seen a widening occurrence of calorie deficiency alongside rising per-capita income and declining poverty levels. This paradox sparks a debate on nutritional deprivation in India. </w:t>
      </w:r>
    </w:p>
    <w:p w14:paraId="12E75F57" w14:textId="77777777" w:rsidR="005842D0" w:rsidRDefault="005842D0" w:rsidP="00180824">
      <w:pPr>
        <w:spacing w:line="240" w:lineRule="auto"/>
        <w:jc w:val="both"/>
        <w:rPr>
          <w:rFonts w:eastAsia="Times"/>
          <w:sz w:val="20"/>
          <w:szCs w:val="20"/>
        </w:rPr>
      </w:pPr>
      <w:r w:rsidRPr="00A71678">
        <w:rPr>
          <w:rFonts w:eastAsia="Times"/>
          <w:b/>
          <w:bCs/>
          <w:sz w:val="20"/>
          <w:szCs w:val="20"/>
        </w:rPr>
        <w:t>Aims:</w:t>
      </w:r>
      <w:r>
        <w:rPr>
          <w:rFonts w:eastAsia="Times"/>
          <w:sz w:val="20"/>
          <w:szCs w:val="20"/>
        </w:rPr>
        <w:t xml:space="preserve"> </w:t>
      </w:r>
      <w:r w:rsidR="00362E95" w:rsidRPr="005842D0">
        <w:rPr>
          <w:rFonts w:eastAsia="Times"/>
          <w:sz w:val="20"/>
          <w:szCs w:val="20"/>
        </w:rPr>
        <w:t xml:space="preserve">The study investigates the evolving pattern of food security in rural India. It aims to deepen understanding of how liberalisation, social stratification, and dietary transition intersect to influence food security outcomes. Special focus is placed on the increasing rates of calorie and protein deprivation in the post-reform era. </w:t>
      </w:r>
    </w:p>
    <w:p w14:paraId="2C0E3F3C" w14:textId="007FDD45" w:rsidR="00A71678" w:rsidRDefault="00A71678" w:rsidP="00180824">
      <w:pPr>
        <w:spacing w:line="240" w:lineRule="auto"/>
        <w:jc w:val="both"/>
        <w:rPr>
          <w:rFonts w:eastAsia="Calibri"/>
          <w:bCs/>
          <w:sz w:val="20"/>
          <w:szCs w:val="20"/>
        </w:rPr>
      </w:pPr>
      <w:r w:rsidRPr="00A71678">
        <w:rPr>
          <w:rFonts w:eastAsia="Calibri"/>
          <w:b/>
          <w:sz w:val="20"/>
          <w:szCs w:val="20"/>
        </w:rPr>
        <w:t xml:space="preserve">Place and Duration of Study: </w:t>
      </w:r>
      <w:r w:rsidRPr="00A71678">
        <w:rPr>
          <w:rFonts w:eastAsia="Calibri"/>
          <w:bCs/>
          <w:sz w:val="20"/>
          <w:szCs w:val="20"/>
        </w:rPr>
        <w:t xml:space="preserve">This study is limited to rural areas of India </w:t>
      </w:r>
      <w:r>
        <w:rPr>
          <w:rFonts w:eastAsia="Calibri"/>
          <w:bCs/>
          <w:sz w:val="20"/>
          <w:szCs w:val="20"/>
        </w:rPr>
        <w:t>from</w:t>
      </w:r>
      <w:r w:rsidRPr="00A71678">
        <w:rPr>
          <w:rFonts w:eastAsia="Calibri"/>
          <w:bCs/>
          <w:sz w:val="20"/>
          <w:szCs w:val="20"/>
        </w:rPr>
        <w:t xml:space="preserve"> 1991 to 2023</w:t>
      </w:r>
      <w:r>
        <w:rPr>
          <w:rFonts w:eastAsia="Calibri"/>
          <w:bCs/>
          <w:sz w:val="20"/>
          <w:szCs w:val="20"/>
        </w:rPr>
        <w:t>.</w:t>
      </w:r>
    </w:p>
    <w:p w14:paraId="0F4FE395" w14:textId="74EB82E0" w:rsidR="00B16AEC" w:rsidRPr="00A71678" w:rsidRDefault="00B16AEC" w:rsidP="00180824">
      <w:pPr>
        <w:spacing w:line="240" w:lineRule="auto"/>
        <w:jc w:val="both"/>
        <w:rPr>
          <w:rFonts w:eastAsia="Times"/>
          <w:sz w:val="20"/>
          <w:szCs w:val="20"/>
        </w:rPr>
      </w:pPr>
      <w:r w:rsidRPr="00B16AEC">
        <w:rPr>
          <w:rFonts w:eastAsia="Times"/>
          <w:b/>
          <w:bCs/>
          <w:sz w:val="20"/>
          <w:szCs w:val="20"/>
        </w:rPr>
        <w:t>Methodology and Data:</w:t>
      </w:r>
      <w:r>
        <w:rPr>
          <w:rFonts w:eastAsia="Times"/>
          <w:sz w:val="20"/>
          <w:szCs w:val="20"/>
        </w:rPr>
        <w:t xml:space="preserve"> This study utilises NSSO-CES data from quinquennial rounds for the years 1993-94, 2004-05, 2011-12, and 2022-23. </w:t>
      </w:r>
    </w:p>
    <w:p w14:paraId="2DE7724B" w14:textId="4A7838CB" w:rsidR="005842D0" w:rsidRPr="005842D0" w:rsidRDefault="005842D0" w:rsidP="00180824">
      <w:pPr>
        <w:spacing w:line="240" w:lineRule="auto"/>
        <w:jc w:val="both"/>
        <w:rPr>
          <w:rFonts w:eastAsia="Times"/>
          <w:sz w:val="20"/>
          <w:szCs w:val="20"/>
        </w:rPr>
      </w:pPr>
      <w:r w:rsidRPr="00A71678">
        <w:rPr>
          <w:rFonts w:eastAsia="Times"/>
          <w:b/>
          <w:bCs/>
          <w:sz w:val="20"/>
          <w:szCs w:val="20"/>
        </w:rPr>
        <w:t>Result</w:t>
      </w:r>
      <w:r>
        <w:rPr>
          <w:rFonts w:eastAsia="Times"/>
          <w:sz w:val="20"/>
          <w:szCs w:val="20"/>
        </w:rPr>
        <w:t xml:space="preserve">: </w:t>
      </w:r>
      <w:r w:rsidR="00362E95" w:rsidRPr="005842D0">
        <w:rPr>
          <w:rFonts w:eastAsia="Times"/>
          <w:sz w:val="20"/>
          <w:szCs w:val="20"/>
        </w:rPr>
        <w:t xml:space="preserve">This study reveals that liberalisation-induced growth has not translated into universal improvements in calorie and protein intake, particularly for marginalised groups. </w:t>
      </w:r>
      <w:r w:rsidRPr="005842D0">
        <w:rPr>
          <w:rFonts w:eastAsia="Times"/>
          <w:sz w:val="20"/>
          <w:szCs w:val="20"/>
        </w:rPr>
        <w:t xml:space="preserve">The study shows that, while overall food availability has increased significantly, per-capita cereal consumption has declined. It further highlights that nutritional outcomes remain uneven due to persistent disparities in income, entitlements, and social stratification. </w:t>
      </w:r>
    </w:p>
    <w:p w14:paraId="70FAE858" w14:textId="6167798E" w:rsidR="008F700D" w:rsidRDefault="005842D0" w:rsidP="00180824">
      <w:pPr>
        <w:spacing w:line="240" w:lineRule="auto"/>
        <w:jc w:val="both"/>
        <w:rPr>
          <w:rFonts w:eastAsia="Times"/>
          <w:b/>
          <w:bCs/>
          <w:sz w:val="20"/>
          <w:szCs w:val="20"/>
        </w:rPr>
      </w:pPr>
      <w:r w:rsidRPr="00A71678">
        <w:rPr>
          <w:rFonts w:eastAsia="Times"/>
          <w:b/>
          <w:bCs/>
          <w:sz w:val="20"/>
          <w:szCs w:val="20"/>
        </w:rPr>
        <w:t>Conclusion:</w:t>
      </w:r>
      <w:r w:rsidR="008F700D">
        <w:rPr>
          <w:rFonts w:eastAsia="Times"/>
          <w:b/>
          <w:bCs/>
          <w:sz w:val="20"/>
          <w:szCs w:val="20"/>
        </w:rPr>
        <w:t xml:space="preserve"> </w:t>
      </w:r>
      <w:r w:rsidR="008F700D">
        <w:rPr>
          <w:rFonts w:eastAsia="Times"/>
          <w:sz w:val="20"/>
          <w:szCs w:val="20"/>
        </w:rPr>
        <w:t>This study shows that calorie and protein intake significantly decreased among the upper and middle expenditure groups. Rising income coupled with declining nutritional intake, mainly among the upper and middle-income groups, reflects a lack of nutritional awareness among the people. Unregulated food pricing and harmful eating habits promoted by unchecked advertisements further worsened nutritional intake. However, this study did not consider that not all nutritional deprivation is due to nutritional unconsciousness among citizens.</w:t>
      </w:r>
    </w:p>
    <w:p w14:paraId="0F7F5340" w14:textId="77E3D379" w:rsidR="00362E95" w:rsidRPr="005842D0" w:rsidRDefault="008F700D" w:rsidP="00180824">
      <w:pPr>
        <w:spacing w:line="240" w:lineRule="auto"/>
        <w:jc w:val="both"/>
        <w:rPr>
          <w:rFonts w:eastAsia="Times"/>
          <w:sz w:val="20"/>
          <w:szCs w:val="20"/>
        </w:rPr>
      </w:pPr>
      <w:r w:rsidRPr="008F700D">
        <w:rPr>
          <w:rFonts w:eastAsia="Times"/>
          <w:b/>
          <w:bCs/>
          <w:sz w:val="20"/>
          <w:szCs w:val="20"/>
        </w:rPr>
        <w:t>Policy Prescription:</w:t>
      </w:r>
      <w:r w:rsidR="005842D0">
        <w:rPr>
          <w:rFonts w:eastAsia="Times"/>
          <w:sz w:val="20"/>
          <w:szCs w:val="20"/>
        </w:rPr>
        <w:t xml:space="preserve"> </w:t>
      </w:r>
      <w:r w:rsidR="00362E95" w:rsidRPr="005842D0">
        <w:rPr>
          <w:rFonts w:eastAsia="Times"/>
          <w:sz w:val="20"/>
          <w:szCs w:val="20"/>
        </w:rPr>
        <w:t>Policy attention must therefore shift from foodgrain self-sufficiency toward ensuring nutritional security by improving affordability, strengthening entitlements, diversifying diets, and addressing social disparities. In sum, the central challenge is bridging the gap between economic growth and nutritional outcomes to achieve inclusive food and nutrition security.</w:t>
      </w:r>
      <w:r w:rsidR="0025647B">
        <w:rPr>
          <w:rFonts w:eastAsia="Times"/>
          <w:sz w:val="20"/>
          <w:szCs w:val="20"/>
        </w:rPr>
        <w:t xml:space="preserve"> Therefore, initiatives should aim to increase the purchasing power of the marginalised groups alongside regulated food prices, while also encouraging healthy eating habits. </w:t>
      </w:r>
    </w:p>
    <w:p w14:paraId="01B47253" w14:textId="22A96BF5" w:rsidR="00D77AA1" w:rsidRDefault="00D77AA1" w:rsidP="00180824">
      <w:pPr>
        <w:spacing w:line="240" w:lineRule="auto"/>
        <w:jc w:val="both"/>
        <w:rPr>
          <w:rFonts w:eastAsia="Times"/>
          <w:sz w:val="24"/>
          <w:szCs w:val="24"/>
        </w:rPr>
      </w:pPr>
    </w:p>
    <w:p w14:paraId="3C965B47" w14:textId="465D6EB8" w:rsidR="006C7F5E" w:rsidRPr="006C7F5E" w:rsidRDefault="006C7F5E" w:rsidP="00180824">
      <w:pPr>
        <w:spacing w:line="240" w:lineRule="auto"/>
        <w:jc w:val="both"/>
        <w:rPr>
          <w:rFonts w:eastAsia="Times"/>
          <w:i/>
          <w:iCs/>
          <w:sz w:val="20"/>
          <w:szCs w:val="20"/>
        </w:rPr>
      </w:pPr>
      <w:r w:rsidRPr="006C7F5E">
        <w:rPr>
          <w:rFonts w:eastAsia="Times"/>
          <w:i/>
          <w:iCs/>
          <w:sz w:val="20"/>
          <w:szCs w:val="20"/>
        </w:rPr>
        <w:t xml:space="preserve">Keywords: </w:t>
      </w:r>
      <w:r w:rsidR="00180824">
        <w:rPr>
          <w:rFonts w:eastAsia="Times"/>
          <w:i/>
          <w:iCs/>
          <w:sz w:val="20"/>
          <w:szCs w:val="20"/>
        </w:rPr>
        <w:t>Food Security, Nutritional Security, Food Availability, Economic Reform</w:t>
      </w:r>
    </w:p>
    <w:p w14:paraId="02928757" w14:textId="77777777" w:rsidR="00D77AA1" w:rsidRPr="005842D0" w:rsidRDefault="00D77AA1" w:rsidP="00180824">
      <w:pPr>
        <w:spacing w:line="240" w:lineRule="auto"/>
        <w:jc w:val="center"/>
        <w:rPr>
          <w:rFonts w:eastAsia="Times"/>
          <w:b/>
          <w:sz w:val="28"/>
          <w:szCs w:val="28"/>
        </w:rPr>
      </w:pPr>
    </w:p>
    <w:p w14:paraId="4A5EB607" w14:textId="77777777" w:rsidR="00D77AA1" w:rsidRPr="006C7F5E" w:rsidRDefault="00000000" w:rsidP="00180824">
      <w:pPr>
        <w:numPr>
          <w:ilvl w:val="0"/>
          <w:numId w:val="1"/>
        </w:numPr>
        <w:spacing w:line="240" w:lineRule="auto"/>
        <w:jc w:val="both"/>
        <w:rPr>
          <w:rFonts w:eastAsia="Times"/>
          <w:b/>
        </w:rPr>
      </w:pPr>
      <w:r w:rsidRPr="006C7F5E">
        <w:rPr>
          <w:rFonts w:eastAsia="Times"/>
          <w:b/>
        </w:rPr>
        <w:t>Introduction</w:t>
      </w:r>
    </w:p>
    <w:p w14:paraId="2E79F578" w14:textId="1D31B465" w:rsidR="00D77AA1" w:rsidRPr="006C7F5E" w:rsidRDefault="00000000" w:rsidP="00180824">
      <w:pPr>
        <w:spacing w:line="240" w:lineRule="auto"/>
        <w:jc w:val="both"/>
        <w:rPr>
          <w:rFonts w:eastAsia="Times"/>
          <w:sz w:val="20"/>
          <w:szCs w:val="20"/>
        </w:rPr>
      </w:pPr>
      <w:r w:rsidRPr="006C7F5E">
        <w:rPr>
          <w:rFonts w:eastAsia="Times"/>
          <w:sz w:val="20"/>
          <w:szCs w:val="20"/>
        </w:rPr>
        <w:t>In the contemporary world, food security requires the availability, accessibility, and utilisation of food resources. Food availability refers to the aggregated supply of food in an economy. It is defined as the net domestic production, net imports, and the public and private stock of food. Traditional ideas considered food availability as the major indicator of food security. However, Sen (198</w:t>
      </w:r>
      <w:r w:rsidR="000E4AF4" w:rsidRPr="006C7F5E">
        <w:rPr>
          <w:rFonts w:eastAsia="Times"/>
          <w:sz w:val="20"/>
          <w:szCs w:val="20"/>
        </w:rPr>
        <w:t>3</w:t>
      </w:r>
      <w:r w:rsidRPr="006C7F5E">
        <w:rPr>
          <w:rFonts w:eastAsia="Times"/>
          <w:sz w:val="20"/>
          <w:szCs w:val="20"/>
        </w:rPr>
        <w:t>) revealed that adequate food availability does not ensure food security unless it is distributed through the means of production, trade, or transfer. Thus, market and distributional failure aggregate food sufficiency into food scarcity for the vulnerable section</w:t>
      </w:r>
      <w:r w:rsidR="000E4AF4" w:rsidRPr="006C7F5E">
        <w:rPr>
          <w:rFonts w:eastAsia="Times"/>
          <w:sz w:val="20"/>
          <w:szCs w:val="20"/>
        </w:rPr>
        <w:t xml:space="preserve"> </w:t>
      </w:r>
      <w:r w:rsidR="000E4AF4" w:rsidRPr="006C7F5E">
        <w:rPr>
          <w:rFonts w:eastAsia="Times"/>
          <w:sz w:val="20"/>
          <w:szCs w:val="20"/>
        </w:rPr>
        <w:fldChar w:fldCharType="begin"/>
      </w:r>
      <w:r w:rsidR="000E4AF4" w:rsidRPr="006C7F5E">
        <w:rPr>
          <w:rFonts w:eastAsia="Times"/>
          <w:sz w:val="20"/>
          <w:szCs w:val="20"/>
        </w:rPr>
        <w:instrText xml:space="preserve"> ADDIN ZOTERO_ITEM CSL_CITATION {"citationID":"SOTSfSCB","properties":{"formattedCitation":"(Sen, 1983)","plainCitation":"(Sen, 1983)","noteIndex":0},"citationItems":[{"id":33,"uris":["http://zotero.org/users/local/ZwHbRrhs/items/U2TE6E77"],"itemData":{"id":33,"type":"chapter","abstract":"Introduces the basic approach used by the author to analyse the causes of starvation in general and famine in particular. The approach involves a study of entitlement systems, based on the author's thesis that starvation statements are about the relationship of persons to the commodity of food, rather than about the food supply per se. Starvation statements translate readily into statements about ownership of food, and ownership relations are one kind of entitlement relations.","container-title":"Poverty and Famines: An Essay on Entitlement and Deprivation","ISBN":"978-0-19-828463-5","note":"DOI: 10.1093/0198284632.003.0001","page":"0","publisher":"Oxford University Press","source":"Silverchair","title":"Poverty and Entitlements","URL":"https://doi.org/10.1093/0198284632.003.0001","author":[{"family":"Sen","given":"Amartya"}],"editor":[{"family":"Sen","given":"Amartya"}],"accessed":{"date-parts":[["2022",11,9]]},"issued":{"date-parts":[["1983",1,20]]}}}],"schema":"https://github.com/citation-style-language/schema/raw/master/csl-citation.json"} </w:instrText>
      </w:r>
      <w:r w:rsidR="000E4AF4" w:rsidRPr="006C7F5E">
        <w:rPr>
          <w:rFonts w:eastAsia="Times"/>
          <w:sz w:val="20"/>
          <w:szCs w:val="20"/>
        </w:rPr>
        <w:fldChar w:fldCharType="separate"/>
      </w:r>
      <w:r w:rsidR="000E4AF4" w:rsidRPr="006C7F5E">
        <w:rPr>
          <w:sz w:val="20"/>
          <w:szCs w:val="20"/>
        </w:rPr>
        <w:t>(Sen, 1983)</w:t>
      </w:r>
      <w:r w:rsidR="000E4AF4" w:rsidRPr="006C7F5E">
        <w:rPr>
          <w:rFonts w:eastAsia="Times"/>
          <w:sz w:val="20"/>
          <w:szCs w:val="20"/>
        </w:rPr>
        <w:fldChar w:fldCharType="end"/>
      </w:r>
      <w:r w:rsidRPr="006C7F5E">
        <w:rPr>
          <w:rFonts w:eastAsia="Times"/>
          <w:sz w:val="20"/>
          <w:szCs w:val="20"/>
        </w:rPr>
        <w:t xml:space="preserve">. Significant numbers of famines in the developing world have </w:t>
      </w:r>
      <w:r w:rsidR="009F5218" w:rsidRPr="006C7F5E">
        <w:rPr>
          <w:rFonts w:eastAsia="Times"/>
          <w:sz w:val="20"/>
          <w:szCs w:val="20"/>
        </w:rPr>
        <w:t>demonstrated that an adequate aggregate supply of food does not necessarily preclude large-scale food deprivation</w:t>
      </w:r>
      <w:r w:rsidRPr="006C7F5E">
        <w:rPr>
          <w:rFonts w:eastAsia="Times"/>
          <w:sz w:val="20"/>
          <w:szCs w:val="20"/>
        </w:rPr>
        <w:t xml:space="preserve">. These historical famines exemplify the paradox of “availability without access,” as a consequence of market and distributional failures. Thus, food insecurity </w:t>
      </w:r>
      <w:r w:rsidR="009F5218" w:rsidRPr="006C7F5E">
        <w:rPr>
          <w:rFonts w:eastAsia="Times"/>
          <w:sz w:val="20"/>
          <w:szCs w:val="20"/>
        </w:rPr>
        <w:t xml:space="preserve">arises not only from food production shortfalls but also </w:t>
      </w:r>
      <w:r w:rsidRPr="006C7F5E">
        <w:rPr>
          <w:rFonts w:eastAsia="Times"/>
          <w:sz w:val="20"/>
          <w:szCs w:val="20"/>
        </w:rPr>
        <w:t xml:space="preserve">from structural failures in the entitlements and accessibility of food. Food accessibility, on the other hand, refers to the effective command over food through production, exchange, or transfers. </w:t>
      </w:r>
      <w:r w:rsidR="009F5218" w:rsidRPr="006C7F5E">
        <w:rPr>
          <w:rFonts w:eastAsia="Times"/>
          <w:sz w:val="20"/>
          <w:szCs w:val="20"/>
        </w:rPr>
        <w:t>Real incomes, relative food prices, employment conditions, and state-administered safety nets mediate it</w:t>
      </w:r>
      <w:r w:rsidRPr="006C7F5E">
        <w:rPr>
          <w:rFonts w:eastAsia="Times"/>
          <w:sz w:val="20"/>
          <w:szCs w:val="20"/>
        </w:rPr>
        <w:t xml:space="preserve">. For marginalised sections of society, barriers to productive assets and labour market opportunities continue to constrain entitlements, rendering accessibility a critical determinant of food security. The third aspect is the utilisation of food. It extends the analysis beyond mere acquisition of food to the nutritional adequacy of the diet. </w:t>
      </w:r>
      <w:r w:rsidR="009F5218" w:rsidRPr="006C7F5E">
        <w:rPr>
          <w:rFonts w:eastAsia="Times"/>
          <w:sz w:val="20"/>
          <w:szCs w:val="20"/>
        </w:rPr>
        <w:t xml:space="preserve">The utilisation </w:t>
      </w:r>
      <w:r w:rsidR="009F5218" w:rsidRPr="006C7F5E">
        <w:rPr>
          <w:rFonts w:eastAsia="Times"/>
          <w:sz w:val="20"/>
          <w:szCs w:val="20"/>
        </w:rPr>
        <w:lastRenderedPageBreak/>
        <w:t>of food reflects the quality, diversity, and absorptive capacity of diets, which are related to food habits, relative prices, consumer awareness, and health infrastructure within a</w:t>
      </w:r>
      <w:r w:rsidRPr="006C7F5E">
        <w:rPr>
          <w:rFonts w:eastAsia="Times"/>
          <w:sz w:val="20"/>
          <w:szCs w:val="20"/>
        </w:rPr>
        <w:t xml:space="preserve"> society.  </w:t>
      </w:r>
    </w:p>
    <w:p w14:paraId="17CAC102" w14:textId="77777777" w:rsidR="00D77AA1" w:rsidRPr="006C7F5E" w:rsidRDefault="00D77AA1" w:rsidP="00180824">
      <w:pPr>
        <w:spacing w:line="240" w:lineRule="auto"/>
        <w:jc w:val="both"/>
        <w:rPr>
          <w:rFonts w:eastAsia="Times"/>
          <w:sz w:val="20"/>
          <w:szCs w:val="20"/>
        </w:rPr>
      </w:pPr>
    </w:p>
    <w:p w14:paraId="585B16FB" w14:textId="69A3BC9A" w:rsidR="00D77AA1" w:rsidRPr="006C7F5E" w:rsidRDefault="00000000" w:rsidP="00180824">
      <w:pPr>
        <w:spacing w:line="240" w:lineRule="auto"/>
        <w:jc w:val="both"/>
        <w:rPr>
          <w:rFonts w:eastAsia="Times"/>
          <w:sz w:val="20"/>
          <w:szCs w:val="20"/>
        </w:rPr>
      </w:pPr>
      <w:r w:rsidRPr="006C7F5E">
        <w:rPr>
          <w:rFonts w:eastAsia="Times"/>
          <w:sz w:val="20"/>
          <w:szCs w:val="20"/>
        </w:rPr>
        <w:t xml:space="preserve">The empirical evidence culminates in the persistent paradox of nutritional insecurity in India. The post-reform period has witnessed the coexistence of a widening incidence of calorie deficiency </w:t>
      </w:r>
      <w:r w:rsidR="009F5218" w:rsidRPr="006C7F5E">
        <w:rPr>
          <w:rFonts w:eastAsia="Times"/>
          <w:sz w:val="20"/>
          <w:szCs w:val="20"/>
        </w:rPr>
        <w:t>alongside increasing per-capita income and a decline in poverty incidence</w:t>
      </w:r>
      <w:r w:rsidRPr="006C7F5E">
        <w:rPr>
          <w:rFonts w:eastAsia="Times"/>
          <w:sz w:val="20"/>
          <w:szCs w:val="20"/>
        </w:rPr>
        <w:t xml:space="preserve">. Patnaik (2007) interprets this paradox as eroding purchasing power </w:t>
      </w:r>
      <w:r w:rsidR="009F5218" w:rsidRPr="006C7F5E">
        <w:rPr>
          <w:rFonts w:eastAsia="Times"/>
          <w:sz w:val="20"/>
          <w:szCs w:val="20"/>
        </w:rPr>
        <w:t xml:space="preserve">for food among lower-income groups, thereby intensifying food deprivation and </w:t>
      </w:r>
      <w:r w:rsidRPr="006C7F5E">
        <w:rPr>
          <w:rFonts w:eastAsia="Times"/>
          <w:sz w:val="20"/>
          <w:szCs w:val="20"/>
        </w:rPr>
        <w:t>widening the incidence of calorie</w:t>
      </w:r>
      <w:r w:rsidR="00171853" w:rsidRPr="006C7F5E">
        <w:rPr>
          <w:rFonts w:eastAsia="Times"/>
          <w:sz w:val="20"/>
          <w:szCs w:val="20"/>
        </w:rPr>
        <w:t xml:space="preserve"> deprivation</w:t>
      </w:r>
      <w:r w:rsidRPr="006C7F5E">
        <w:rPr>
          <w:rFonts w:eastAsia="Times"/>
          <w:sz w:val="20"/>
          <w:szCs w:val="20"/>
        </w:rPr>
        <w:t xml:space="preserve">. She points out that rural poverty, masked by a flawed price index, appeared </w:t>
      </w:r>
      <w:r w:rsidR="009F5218" w:rsidRPr="006C7F5E">
        <w:rPr>
          <w:rFonts w:eastAsia="Times"/>
          <w:sz w:val="20"/>
          <w:szCs w:val="20"/>
        </w:rPr>
        <w:t>to decline over time; however, it actually</w:t>
      </w:r>
      <w:r w:rsidRPr="006C7F5E">
        <w:rPr>
          <w:rFonts w:eastAsia="Times"/>
          <w:sz w:val="20"/>
          <w:szCs w:val="20"/>
        </w:rPr>
        <w:t xml:space="preserve"> widened in the post-reform</w:t>
      </w:r>
      <w:r w:rsidR="00171853" w:rsidRPr="006C7F5E">
        <w:rPr>
          <w:rFonts w:eastAsia="Times"/>
          <w:sz w:val="20"/>
          <w:szCs w:val="20"/>
        </w:rPr>
        <w:t xml:space="preserve"> period</w:t>
      </w:r>
      <w:r w:rsidR="000E4AF4" w:rsidRPr="006C7F5E">
        <w:rPr>
          <w:rFonts w:eastAsia="Times"/>
          <w:sz w:val="20"/>
          <w:szCs w:val="20"/>
        </w:rPr>
        <w:t xml:space="preserve"> </w:t>
      </w:r>
      <w:r w:rsidR="000E4AF4" w:rsidRPr="006C7F5E">
        <w:rPr>
          <w:rFonts w:eastAsia="Times"/>
          <w:sz w:val="20"/>
          <w:szCs w:val="20"/>
        </w:rPr>
        <w:fldChar w:fldCharType="begin"/>
      </w:r>
      <w:r w:rsidR="000E4AF4" w:rsidRPr="006C7F5E">
        <w:rPr>
          <w:rFonts w:eastAsia="Times"/>
          <w:sz w:val="20"/>
          <w:szCs w:val="20"/>
        </w:rPr>
        <w:instrText xml:space="preserve"> ADDIN ZOTERO_ITEM CSL_CITATION {"citationID":"eBzV0uZC","properties":{"formattedCitation":"(Patnaik, 2007)","plainCitation":"(Patnaik, 2007)","noteIndex":0},"citationItems":[{"id":44,"uris":["http://zotero.org/users/local/ZwHbRrhs/items/P6PYMJZ2"],"itemData":{"id":44,"type":"article-journal","abstract":"Many economic and social indicators suggest that not only is the level of absolute poverty in India high, there has also been an adverse impact of neoliberal policies on poverty. And yet, the poverty estimates by the Planning Commission and many individual academics, both using a method that renders irrelevant the question of a nutrition norm, show low levels as well as decline in poverty over the 1990s and beyond. This article proves that both comparisons over time of the all-India and state-level estimates of poverty as well as any comparison at a point in time of poverty levels across states, obtained by this method, are invalid. Using a direct poverty estimation route of inspecting and calculating from current National Sample Survey data the percentage of persons not able to satisfy the nutrition norm in calories, the author finds that in 1999-2000 nearly half of the rural population who are actually poor have been excluded from the set of the officially poor. For 2004-05, while the official estimate of rural poverty is 28.3 per cent, the author's direct estimate of persons below the poverty line is 87 per cent. There is clear evidence of a large and growing divergence over time between the author's direct estimates of poverty and the official indirect estimates.","container-title":"Economic and Political Weekly","issue":"30","language":"en","source":"www.epw.in","title":"Neoliberalism and Rural Poverty in India","URL":"https://www.epw.in/journal/2007/30/aspects-poverty-and-employment-specials/neoliberalism-and-rural-poverty-india.html","volume":"42","author":[{"family":"Patnaik","given":"Utsa"}],"accessed":{"date-parts":[["2022",11,9]]},"issued":{"date-parts":[["2007",7,28]]}}}],"schema":"https://github.com/citation-style-language/schema/raw/master/csl-citation.json"} </w:instrText>
      </w:r>
      <w:r w:rsidR="000E4AF4" w:rsidRPr="006C7F5E">
        <w:rPr>
          <w:rFonts w:eastAsia="Times"/>
          <w:sz w:val="20"/>
          <w:szCs w:val="20"/>
        </w:rPr>
        <w:fldChar w:fldCharType="separate"/>
      </w:r>
      <w:r w:rsidR="000E4AF4" w:rsidRPr="006C7F5E">
        <w:rPr>
          <w:sz w:val="20"/>
          <w:szCs w:val="20"/>
        </w:rPr>
        <w:t>(Patnaik, 2007)</w:t>
      </w:r>
      <w:r w:rsidR="000E4AF4" w:rsidRPr="006C7F5E">
        <w:rPr>
          <w:rFonts w:eastAsia="Times"/>
          <w:sz w:val="20"/>
          <w:szCs w:val="20"/>
        </w:rPr>
        <w:fldChar w:fldCharType="end"/>
      </w:r>
      <w:r w:rsidRPr="006C7F5E">
        <w:rPr>
          <w:rFonts w:eastAsia="Times"/>
          <w:sz w:val="20"/>
          <w:szCs w:val="20"/>
        </w:rPr>
        <w:t xml:space="preserve">. By contrast, Deaton &amp; Drèze (2009) argued that declining calorie </w:t>
      </w:r>
      <w:r w:rsidR="00171853" w:rsidRPr="006C7F5E">
        <w:rPr>
          <w:rFonts w:eastAsia="Times"/>
          <w:sz w:val="20"/>
          <w:szCs w:val="20"/>
        </w:rPr>
        <w:t xml:space="preserve">intake </w:t>
      </w:r>
      <w:r w:rsidRPr="006C7F5E">
        <w:rPr>
          <w:rFonts w:eastAsia="Times"/>
          <w:sz w:val="20"/>
          <w:szCs w:val="20"/>
        </w:rPr>
        <w:t xml:space="preserve">is not necessarily the deprivation of calories and thus never considered it a paradox. They contend that declining calorie intake primarily </w:t>
      </w:r>
      <w:r w:rsidR="009F5218" w:rsidRPr="006C7F5E">
        <w:rPr>
          <w:rFonts w:eastAsia="Times"/>
          <w:sz w:val="20"/>
          <w:szCs w:val="20"/>
        </w:rPr>
        <w:t>reflected the declining energy requirements resulting from</w:t>
      </w:r>
      <w:r w:rsidRPr="006C7F5E">
        <w:rPr>
          <w:rFonts w:eastAsia="Times"/>
          <w:sz w:val="20"/>
          <w:szCs w:val="20"/>
        </w:rPr>
        <w:t xml:space="preserve"> structural shifts in health, sanitation, and work patterns</w:t>
      </w:r>
      <w:r w:rsidR="000E4AF4" w:rsidRPr="006C7F5E">
        <w:rPr>
          <w:rFonts w:eastAsia="Times"/>
          <w:sz w:val="20"/>
          <w:szCs w:val="20"/>
        </w:rPr>
        <w:t xml:space="preserve"> </w:t>
      </w:r>
      <w:r w:rsidR="000E4AF4" w:rsidRPr="006C7F5E">
        <w:rPr>
          <w:rFonts w:eastAsia="Times"/>
          <w:sz w:val="20"/>
          <w:szCs w:val="20"/>
        </w:rPr>
        <w:fldChar w:fldCharType="begin"/>
      </w:r>
      <w:r w:rsidR="000E4AF4" w:rsidRPr="006C7F5E">
        <w:rPr>
          <w:rFonts w:eastAsia="Times"/>
          <w:sz w:val="20"/>
          <w:szCs w:val="20"/>
        </w:rPr>
        <w:instrText xml:space="preserve"> ADDIN ZOTERO_ITEM CSL_CITATION {"citationID":"OkjdqNep","properties":{"formattedCitation":"(Deaton &amp; Dreze, 2002)","plainCitation":"(Deaton &amp; Dreze, 2002)","noteIndex":0},"citationItems":[{"id":189,"uris":["http://zotero.org/users/local/ZwHbRrhs/items/S2BFW3FG"],"itemData":{"id":189,"type":"article-journal","abstract":"This paper presents a new set of integrated poverty and inequality estimates for India and Indian states for 1987-88, 1993-94 and 1999-2000. The poverty estimates are broadly consistent with independent evidence on per capita expenditure, state domestic product and real agricultural wages. They show that poverty decline in the 1990s proceeded more or less in line with earlier trends. Regional disparities increased in the 1990s, with the southern and western regions doing much better than the northern and eastern regions. Economic inequality also increased within states, especially within urban areas, and between urban and rural areas. We briefly examine other development indicators, relating for instance to health and education. Most indicators have continued to improve in the nineties, but social progress has followed very diverse patterns, ranging from accelerated progress in some fields to slow down and even regression in others. We find no support for sweeping claims that the nineties have been a period of 'unprecedented improvement' or 'widespread impoverishment'.","container-title":"Economic and Political Weekly","ISSN":"0012-9976","issue":"36","note":"publisher: Economic and Political Weekly","page":"3729-3748","source":"JSTOR","title":"Poverty and Inequality in India: A Re-Examination","title-short":"Poverty and Inequality in India","volume":"37","author":[{"family":"Deaton","given":"Angus"},{"family":"Dreze","given":"Jean"}],"issued":{"date-parts":[["2002"]]}}}],"schema":"https://github.com/citation-style-language/schema/raw/master/csl-citation.json"} </w:instrText>
      </w:r>
      <w:r w:rsidR="000E4AF4" w:rsidRPr="006C7F5E">
        <w:rPr>
          <w:rFonts w:eastAsia="Times"/>
          <w:sz w:val="20"/>
          <w:szCs w:val="20"/>
        </w:rPr>
        <w:fldChar w:fldCharType="separate"/>
      </w:r>
      <w:r w:rsidR="000E4AF4" w:rsidRPr="006C7F5E">
        <w:rPr>
          <w:sz w:val="20"/>
          <w:szCs w:val="20"/>
        </w:rPr>
        <w:t>(Deaton &amp; Drèze, 2002)</w:t>
      </w:r>
      <w:r w:rsidR="000E4AF4" w:rsidRPr="006C7F5E">
        <w:rPr>
          <w:rFonts w:eastAsia="Times"/>
          <w:sz w:val="20"/>
          <w:szCs w:val="20"/>
        </w:rPr>
        <w:fldChar w:fldCharType="end"/>
      </w:r>
      <w:r w:rsidRPr="006C7F5E">
        <w:rPr>
          <w:rFonts w:eastAsia="Times"/>
          <w:sz w:val="20"/>
          <w:szCs w:val="20"/>
        </w:rPr>
        <w:t xml:space="preserve">. Households with rising incomes and improved health status often substitute cereals with diversified diets and adopt more sedentary livelihoods requiring lower energy intake. Evidence </w:t>
      </w:r>
      <w:r w:rsidR="009F5218" w:rsidRPr="006C7F5E">
        <w:rPr>
          <w:rFonts w:eastAsia="Times"/>
          <w:sz w:val="20"/>
          <w:szCs w:val="20"/>
        </w:rPr>
        <w:t>from post-reform studies suggests that declining cereal consumption is coincident with increasing consumption of milk, dairy products, fruits, vegetables, and protein-rich foods,</w:t>
      </w:r>
      <w:r w:rsidRPr="006C7F5E">
        <w:rPr>
          <w:rFonts w:eastAsia="Times"/>
          <w:sz w:val="20"/>
          <w:szCs w:val="20"/>
        </w:rPr>
        <w:t xml:space="preserve"> such as eggs, meat, and fish</w:t>
      </w:r>
      <w:r w:rsidR="000E4AF4" w:rsidRPr="006C7F5E">
        <w:rPr>
          <w:rFonts w:eastAsia="Times"/>
          <w:sz w:val="20"/>
          <w:szCs w:val="20"/>
        </w:rPr>
        <w:t xml:space="preserve"> </w:t>
      </w:r>
      <w:r w:rsidR="000E4AF4" w:rsidRPr="006C7F5E">
        <w:rPr>
          <w:rFonts w:eastAsia="Times"/>
          <w:sz w:val="20"/>
          <w:szCs w:val="20"/>
        </w:rPr>
        <w:fldChar w:fldCharType="begin"/>
      </w:r>
      <w:r w:rsidR="005068F6" w:rsidRPr="006C7F5E">
        <w:rPr>
          <w:rFonts w:eastAsia="Times"/>
          <w:sz w:val="20"/>
          <w:szCs w:val="20"/>
        </w:rPr>
        <w:instrText xml:space="preserve"> ADDIN ZOTERO_ITEM CSL_CITATION {"citationID":"TAMTjWjm","properties":{"formattedCitation":"(Meenakshi &amp; Viswanathan, 2003; Rao, 2003)","plainCitation":"(Meenakshi &amp; Viswanathan, 2003; Rao, 2003)","noteIndex":0},"citationItems":[{"id":202,"uris":["http://zotero.org/users/local/ZwHbRrhs/items/F54REV8B"],"itemData":{"id":202,"type":"article-journal","container-title":"Economic and Political Weekly","issue":"4","language":"en","title":"Calorie Deprivation in Rural India, 1983-1999/2000","URL":"https://www.epw.in/journal/2003/04/special-articles/calorie-deprivation-rural-india-1983-19992000.html","volume":"38","author":[{"family":"Meenakshi","given":"J. V."},{"family":"Viswanathan","given":""}],"accessed":{"date-parts":[["2025",9,1]]},"issued":{"date-parts":[["2003",1,25]]}}},{"id":201,"uris":["http://zotero.org/users/local/ZwHbRrhs/items/XJKABCLJ"],"itemData":{"id":201,"type":"article-journal","abstract":"Agriculture can be expected to derive the full benefits of the macroeconomic reforms introduced so far only when reforms directly affecting agriculture are put in place. Indeed, the slowing down of agricultural growth in the post-reform period, despite the favourable macroeconomic environment, is explained by the neglect of reforms directly affecting agriculture. This essay seeks to spell out a reform agenda for agriculture within the framework of a two-pronged strategy: (a) to release the initiative and enterprise of farmers and the private sector in general by removing restrictions on agricultural trade, processing, etc; and (b) to facilitate adequate supply response to the incentives so created by strengthening infrastructure, agricultural research and extension and delivery of credit, while protecting the environment.","container-title":"Economic and Political Weekly","ISSN":"0012-9976","issue":"7","note":"publisher: Economic and Political Weekly","page":"615-620","source":"JSTOR","title":"Reform Agenda for Agriculture","volume":"38","author":[{"family":"Rao","given":"C. H. Hanumantha"}],"issued":{"date-parts":[["2003"]]}}}],"schema":"https://github.com/citation-style-language/schema/raw/master/csl-citation.json"} </w:instrText>
      </w:r>
      <w:r w:rsidR="000E4AF4" w:rsidRPr="006C7F5E">
        <w:rPr>
          <w:rFonts w:eastAsia="Times"/>
          <w:sz w:val="20"/>
          <w:szCs w:val="20"/>
        </w:rPr>
        <w:fldChar w:fldCharType="separate"/>
      </w:r>
      <w:r w:rsidR="005068F6" w:rsidRPr="006C7F5E">
        <w:rPr>
          <w:sz w:val="20"/>
          <w:szCs w:val="20"/>
        </w:rPr>
        <w:t>(Meenakshi &amp; Viswanathan, 2003; Rao, 2003)</w:t>
      </w:r>
      <w:r w:rsidR="000E4AF4" w:rsidRPr="006C7F5E">
        <w:rPr>
          <w:rFonts w:eastAsia="Times"/>
          <w:sz w:val="20"/>
          <w:szCs w:val="20"/>
        </w:rPr>
        <w:fldChar w:fldCharType="end"/>
      </w:r>
      <w:r w:rsidRPr="006C7F5E">
        <w:rPr>
          <w:rFonts w:eastAsia="Times"/>
          <w:sz w:val="20"/>
          <w:szCs w:val="20"/>
        </w:rPr>
        <w:t xml:space="preserve">. Thus, calorie decline will not necessarily be enforced by scarcity; rather, it may be a manifestation of choice. However, it is also a fact that India </w:t>
      </w:r>
      <w:r w:rsidR="009F5218" w:rsidRPr="006C7F5E">
        <w:rPr>
          <w:rFonts w:eastAsia="Times"/>
          <w:sz w:val="20"/>
          <w:szCs w:val="20"/>
        </w:rPr>
        <w:t>ranks 105th</w:t>
      </w:r>
      <w:r w:rsidRPr="006C7F5E">
        <w:rPr>
          <w:rFonts w:eastAsia="Times"/>
          <w:sz w:val="20"/>
          <w:szCs w:val="20"/>
        </w:rPr>
        <w:t xml:space="preserve"> in the Global Hunger Index out of 125 countries. </w:t>
      </w:r>
    </w:p>
    <w:p w14:paraId="398D904C" w14:textId="11710EB7"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Against this backdrop, the present study investigates the changing pattern of food security in rural India. In doing so, the study contributes to an enriched understanding of how liberalisation, social stratification, and dietary transition intersect to reshape food security outcomes. Particular attention is given to the rising incidence of calorie and protein deprivation in the post-reform era. The study is organised as follows. Section 1 introduces the work. Section 2 </w:t>
      </w:r>
      <w:r w:rsidR="009F5218" w:rsidRPr="006C7F5E">
        <w:rPr>
          <w:rFonts w:eastAsia="Times"/>
          <w:sz w:val="20"/>
          <w:szCs w:val="20"/>
        </w:rPr>
        <w:t>provides a critical review of</w:t>
      </w:r>
      <w:r w:rsidRPr="006C7F5E">
        <w:rPr>
          <w:rFonts w:eastAsia="Times"/>
          <w:sz w:val="20"/>
          <w:szCs w:val="20"/>
        </w:rPr>
        <w:t xml:space="preserve"> the debate on nutritional deprivation in India. Section 3 examines the changing pattern in food security in the post-reform era. Section 4 summarises and concludes the work.</w:t>
      </w:r>
    </w:p>
    <w:p w14:paraId="06E589C8" w14:textId="77777777" w:rsidR="00D77AA1" w:rsidRPr="006C7F5E" w:rsidRDefault="00000000" w:rsidP="00180824">
      <w:pPr>
        <w:pStyle w:val="Heading3"/>
        <w:keepNext w:val="0"/>
        <w:keepLines w:val="0"/>
        <w:numPr>
          <w:ilvl w:val="0"/>
          <w:numId w:val="1"/>
        </w:numPr>
        <w:spacing w:before="280" w:line="240" w:lineRule="auto"/>
        <w:jc w:val="both"/>
        <w:rPr>
          <w:rFonts w:eastAsia="Times"/>
          <w:b/>
          <w:color w:val="000000"/>
          <w:sz w:val="22"/>
          <w:szCs w:val="22"/>
        </w:rPr>
      </w:pPr>
      <w:bookmarkStart w:id="0" w:name="_heading=h.dap9i13mcohg" w:colFirst="0" w:colLast="0"/>
      <w:bookmarkEnd w:id="0"/>
      <w:r w:rsidRPr="006C7F5E">
        <w:rPr>
          <w:rFonts w:eastAsia="Times"/>
          <w:b/>
          <w:color w:val="000000"/>
          <w:sz w:val="22"/>
          <w:szCs w:val="22"/>
        </w:rPr>
        <w:t xml:space="preserve"> Declining Calorie Consumption in India: Evidence and Debates</w:t>
      </w:r>
    </w:p>
    <w:p w14:paraId="2EE36CCA" w14:textId="5F394501"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Empirical evidence reveals a sustained decline in the per-capita calorie intake during the post-reform period in rural India, while the per-capita income rose significantly during the same period. Both </w:t>
      </w:r>
      <w:r w:rsidR="009F5218" w:rsidRPr="006C7F5E">
        <w:rPr>
          <w:rFonts w:eastAsia="Times"/>
          <w:sz w:val="20"/>
          <w:szCs w:val="20"/>
        </w:rPr>
        <w:t xml:space="preserve">critics and proponents of </w:t>
      </w:r>
      <w:r w:rsidRPr="006C7F5E">
        <w:rPr>
          <w:rFonts w:eastAsia="Times"/>
          <w:sz w:val="20"/>
          <w:szCs w:val="20"/>
        </w:rPr>
        <w:t xml:space="preserve">economic reform acknowledge that the incidence of calorie deprivation increased in the post-reform period. However, the interpretation of this decline is highly contested. </w:t>
      </w:r>
    </w:p>
    <w:p w14:paraId="65D13E86" w14:textId="36198F58"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On </w:t>
      </w:r>
      <w:r w:rsidR="009F5218" w:rsidRPr="006C7F5E">
        <w:rPr>
          <w:rFonts w:eastAsia="Times"/>
          <w:sz w:val="20"/>
          <w:szCs w:val="20"/>
        </w:rPr>
        <w:t xml:space="preserve">the one hand, critics of reform argued that reducing purchasing power among rural, marginalised people, driven by structural adjustment policies that resulted in food price inflation on the </w:t>
      </w:r>
      <w:r w:rsidRPr="006C7F5E">
        <w:rPr>
          <w:rFonts w:eastAsia="Times"/>
          <w:sz w:val="20"/>
          <w:szCs w:val="20"/>
        </w:rPr>
        <w:t>one hand and declining employment opportunities on the other, underlies the worsening of nutritional outcomes. Patnaik (2007</w:t>
      </w:r>
      <w:r w:rsidR="005068F6" w:rsidRPr="006C7F5E">
        <w:rPr>
          <w:rFonts w:eastAsia="Times"/>
          <w:sz w:val="20"/>
          <w:szCs w:val="20"/>
        </w:rPr>
        <w:t xml:space="preserve">) </w:t>
      </w:r>
      <w:r w:rsidRPr="006C7F5E">
        <w:rPr>
          <w:rFonts w:eastAsia="Times"/>
          <w:sz w:val="20"/>
          <w:szCs w:val="20"/>
        </w:rPr>
        <w:t>highlights that per-capita daily consumption of food grains has been declining since the reform was initiated</w:t>
      </w:r>
      <w:r w:rsidR="005068F6" w:rsidRPr="006C7F5E">
        <w:rPr>
          <w:rFonts w:eastAsia="Times"/>
          <w:sz w:val="20"/>
          <w:szCs w:val="20"/>
        </w:rPr>
        <w:t xml:space="preserve"> </w:t>
      </w:r>
      <w:r w:rsidR="005068F6" w:rsidRPr="006C7F5E">
        <w:rPr>
          <w:rFonts w:eastAsia="Times"/>
          <w:sz w:val="20"/>
          <w:szCs w:val="20"/>
        </w:rPr>
        <w:fldChar w:fldCharType="begin"/>
      </w:r>
      <w:r w:rsidR="005068F6" w:rsidRPr="006C7F5E">
        <w:rPr>
          <w:rFonts w:eastAsia="Times"/>
          <w:sz w:val="20"/>
          <w:szCs w:val="20"/>
        </w:rPr>
        <w:instrText xml:space="preserve"> ADDIN ZOTERO_ITEM CSL_CITATION {"citationID":"mLWavVpH","properties":{"formattedCitation":"(Patnaik, 2007)","plainCitation":"(Patnaik, 2007)","noteIndex":0},"citationItems":[{"id":44,"uris":["http://zotero.org/users/local/ZwHbRrhs/items/P6PYMJZ2"],"itemData":{"id":44,"type":"article-journal","abstract":"Many economic and social indicators suggest that not only is the level of absolute poverty in India high, there has also been an adverse impact of neoliberal policies on poverty. And yet, the poverty estimates by the Planning Commission and many individual academics, both using a method that renders irrelevant the question of a nutrition norm, show low levels as well as decline in poverty over the 1990s and beyond. This article proves that both comparisons over time of the all-India and state-level estimates of poverty as well as any comparison at a point in time of poverty levels across states, obtained by this method, are invalid. Using a direct poverty estimation route of inspecting and calculating from current National Sample Survey data the percentage of persons not able to satisfy the nutrition norm in calories, the author finds that in 1999-2000 nearly half of the rural population who are actually poor have been excluded from the set of the officially poor. For 2004-05, while the official estimate of rural poverty is 28.3 per cent, the author's direct estimate of persons below the poverty line is 87 per cent. There is clear evidence of a large and growing divergence over time between the author's direct estimates of poverty and the official indirect estimates.","container-title":"Economic and Political Weekly","issue":"30","language":"en","source":"www.epw.in","title":"Neoliberalism and Rural Poverty in India","URL":"https://www.epw.in/journal/2007/30/aspects-poverty-and-employment-specials/neoliberalism-and-rural-poverty-india.html","volume":"42","author":[{"family":"Patnaik","given":"Utsa"}],"accessed":{"date-parts":[["2022",11,9]]},"issued":{"date-parts":[["2007",7,28]]}}}],"schema":"https://github.com/citation-style-language/schema/raw/master/csl-citation.json"} </w:instrText>
      </w:r>
      <w:r w:rsidR="005068F6" w:rsidRPr="006C7F5E">
        <w:rPr>
          <w:rFonts w:eastAsia="Times"/>
          <w:sz w:val="20"/>
          <w:szCs w:val="20"/>
        </w:rPr>
        <w:fldChar w:fldCharType="separate"/>
      </w:r>
      <w:r w:rsidR="005068F6" w:rsidRPr="006C7F5E">
        <w:rPr>
          <w:sz w:val="20"/>
          <w:szCs w:val="20"/>
        </w:rPr>
        <w:t>(Patnaik, 2007)</w:t>
      </w:r>
      <w:r w:rsidR="005068F6" w:rsidRPr="006C7F5E">
        <w:rPr>
          <w:rFonts w:eastAsia="Times"/>
          <w:sz w:val="20"/>
          <w:szCs w:val="20"/>
        </w:rPr>
        <w:fldChar w:fldCharType="end"/>
      </w:r>
      <w:r w:rsidRPr="006C7F5E">
        <w:rPr>
          <w:rFonts w:eastAsia="Times"/>
          <w:sz w:val="20"/>
          <w:szCs w:val="20"/>
        </w:rPr>
        <w:t xml:space="preserve">. It reflects both the declining entitlement and calorie consumption among the rural marginal people. She attributes </w:t>
      </w:r>
      <w:r w:rsidR="009F5218" w:rsidRPr="006C7F5E">
        <w:rPr>
          <w:rFonts w:eastAsia="Times"/>
          <w:sz w:val="20"/>
          <w:szCs w:val="20"/>
        </w:rPr>
        <w:t>the structural adjustment package, which featured globalisation, liberalisation, and privatisation, to eroding</w:t>
      </w:r>
      <w:r w:rsidRPr="006C7F5E">
        <w:rPr>
          <w:rFonts w:eastAsia="Times"/>
          <w:sz w:val="20"/>
          <w:szCs w:val="20"/>
        </w:rPr>
        <w:t xml:space="preserve"> the purchasing power of the people by raising the relative prices of food and essential non-food items. Thus, this </w:t>
      </w:r>
      <w:r w:rsidR="009F5218" w:rsidRPr="006C7F5E">
        <w:rPr>
          <w:rFonts w:eastAsia="Times"/>
          <w:sz w:val="20"/>
          <w:szCs w:val="20"/>
        </w:rPr>
        <w:t xml:space="preserve">decline in calorie consumption is not a matter of preference, as argued by </w:t>
      </w:r>
      <w:r w:rsidRPr="006C7F5E">
        <w:rPr>
          <w:rFonts w:eastAsia="Times"/>
          <w:sz w:val="20"/>
          <w:szCs w:val="20"/>
        </w:rPr>
        <w:t xml:space="preserve">proponents of reform, but a manifestation of deepening poverty. In contrast, </w:t>
      </w:r>
      <w:r w:rsidR="009F5218" w:rsidRPr="006C7F5E">
        <w:rPr>
          <w:rFonts w:eastAsia="Times"/>
          <w:sz w:val="20"/>
          <w:szCs w:val="20"/>
        </w:rPr>
        <w:t xml:space="preserve">advocates of the reform policies demonstrated that calorie consumption decreased by 10 per cent in 2004-05 relative to that in 1983, with a sharper reduction in calorie consumption among the wealthier class (Deaton and </w:t>
      </w:r>
      <w:proofErr w:type="spellStart"/>
      <w:r w:rsidR="009F5218" w:rsidRPr="006C7F5E">
        <w:rPr>
          <w:rFonts w:eastAsia="Times"/>
          <w:sz w:val="20"/>
          <w:szCs w:val="20"/>
        </w:rPr>
        <w:t>Dreze</w:t>
      </w:r>
      <w:proofErr w:type="spellEnd"/>
      <w:r w:rsidRPr="006C7F5E">
        <w:rPr>
          <w:rFonts w:eastAsia="Times"/>
          <w:sz w:val="20"/>
          <w:szCs w:val="20"/>
        </w:rPr>
        <w:t xml:space="preserve"> 2009). Economists extend this argument by emphasising declining physical activity </w:t>
      </w:r>
      <w:r w:rsidR="009F5218" w:rsidRPr="006C7F5E">
        <w:rPr>
          <w:rFonts w:eastAsia="Times"/>
          <w:sz w:val="20"/>
          <w:szCs w:val="20"/>
        </w:rPr>
        <w:t>as a driver of</w:t>
      </w:r>
      <w:r w:rsidRPr="006C7F5E">
        <w:rPr>
          <w:rFonts w:eastAsia="Times"/>
          <w:sz w:val="20"/>
          <w:szCs w:val="20"/>
        </w:rPr>
        <w:t xml:space="preserve"> lower calorie needs </w:t>
      </w:r>
      <w:r w:rsidR="00A71986" w:rsidRPr="006C7F5E">
        <w:rPr>
          <w:rFonts w:eastAsia="Times"/>
          <w:sz w:val="20"/>
          <w:szCs w:val="20"/>
        </w:rPr>
        <w:fldChar w:fldCharType="begin"/>
      </w:r>
      <w:r w:rsidR="00A71986" w:rsidRPr="006C7F5E">
        <w:rPr>
          <w:rFonts w:eastAsia="Times"/>
          <w:sz w:val="20"/>
          <w:szCs w:val="20"/>
        </w:rPr>
        <w:instrText xml:space="preserve"> ADDIN ZOTERO_ITEM CSL_CITATION {"citationID":"xj9IJd7O","properties":{"formattedCitation":"(Sattler &amp; Lee, 2013)","plainCitation":"(Sattler &amp; Lee, 2013)","noteIndex":0},"citationItems":[{"id":205,"uris":["http://zotero.org/users/local/ZwHbRrhs/items/6DW2UJUG"],"itemData":{"id":205,"type":"article-journal","container-title":"Journal of Nutrition in Gerontology and Geriatrics","title":"Persistent food insecurity is associated with higher levels of cost-related medication nonadherence in low-income older adults","author":[{"family":"Sattler","given":"E"},{"family":"Lee","given":"J.S."}],"issued":{"date-parts":[["2013"]]}}}],"schema":"https://github.com/citation-style-language/schema/raw/master/csl-citation.json"} </w:instrText>
      </w:r>
      <w:r w:rsidR="00A71986" w:rsidRPr="006C7F5E">
        <w:rPr>
          <w:rFonts w:eastAsia="Times"/>
          <w:sz w:val="20"/>
          <w:szCs w:val="20"/>
        </w:rPr>
        <w:fldChar w:fldCharType="separate"/>
      </w:r>
      <w:r w:rsidR="00A71986" w:rsidRPr="006C7F5E">
        <w:rPr>
          <w:sz w:val="20"/>
          <w:szCs w:val="20"/>
        </w:rPr>
        <w:t>(Sattler &amp; Lee, 2013)</w:t>
      </w:r>
      <w:r w:rsidR="00A71986" w:rsidRPr="006C7F5E">
        <w:rPr>
          <w:rFonts w:eastAsia="Times"/>
          <w:sz w:val="20"/>
          <w:szCs w:val="20"/>
        </w:rPr>
        <w:fldChar w:fldCharType="end"/>
      </w:r>
      <w:r w:rsidRPr="006C7F5E">
        <w:rPr>
          <w:rFonts w:eastAsia="Times"/>
          <w:sz w:val="20"/>
          <w:szCs w:val="20"/>
        </w:rPr>
        <w:t xml:space="preserve">. </w:t>
      </w:r>
      <w:r w:rsidR="009F5218" w:rsidRPr="006C7F5E">
        <w:rPr>
          <w:rFonts w:eastAsia="Times"/>
          <w:sz w:val="20"/>
          <w:szCs w:val="20"/>
        </w:rPr>
        <w:t>Furthermore, Suryanarayana (20</w:t>
      </w:r>
      <w:r w:rsidR="005068F6" w:rsidRPr="006C7F5E">
        <w:rPr>
          <w:rFonts w:eastAsia="Times"/>
          <w:sz w:val="20"/>
          <w:szCs w:val="20"/>
        </w:rPr>
        <w:t>13</w:t>
      </w:r>
      <w:r w:rsidR="009F5218" w:rsidRPr="006C7F5E">
        <w:rPr>
          <w:rFonts w:eastAsia="Times"/>
          <w:sz w:val="20"/>
          <w:szCs w:val="20"/>
        </w:rPr>
        <w:t>) reveals that the long-term decline since the 1970s, without evidence of worsening health outcomes,</w:t>
      </w:r>
      <w:r w:rsidRPr="006C7F5E">
        <w:rPr>
          <w:rFonts w:eastAsia="Times"/>
          <w:sz w:val="20"/>
          <w:szCs w:val="20"/>
        </w:rPr>
        <w:t xml:space="preserve"> suggests </w:t>
      </w:r>
      <w:r w:rsidR="009F5218" w:rsidRPr="006C7F5E">
        <w:rPr>
          <w:rFonts w:eastAsia="Times"/>
          <w:sz w:val="20"/>
          <w:szCs w:val="20"/>
        </w:rPr>
        <w:t>a shift in dietary patterns</w:t>
      </w:r>
      <w:r w:rsidRPr="006C7F5E">
        <w:rPr>
          <w:rFonts w:eastAsia="Times"/>
          <w:sz w:val="20"/>
          <w:szCs w:val="20"/>
        </w:rPr>
        <w:t xml:space="preserve"> rather than deprivation</w:t>
      </w:r>
      <w:r w:rsidR="005068F6" w:rsidRPr="006C7F5E">
        <w:rPr>
          <w:rFonts w:eastAsia="Times"/>
          <w:sz w:val="20"/>
          <w:szCs w:val="20"/>
        </w:rPr>
        <w:t xml:space="preserve"> </w:t>
      </w:r>
      <w:r w:rsidR="005068F6" w:rsidRPr="006C7F5E">
        <w:rPr>
          <w:rFonts w:eastAsia="Times"/>
          <w:sz w:val="20"/>
          <w:szCs w:val="20"/>
        </w:rPr>
        <w:fldChar w:fldCharType="begin"/>
      </w:r>
      <w:r w:rsidR="005068F6" w:rsidRPr="006C7F5E">
        <w:rPr>
          <w:rFonts w:eastAsia="Times"/>
          <w:sz w:val="20"/>
          <w:szCs w:val="20"/>
        </w:rPr>
        <w:instrText xml:space="preserve"> ADDIN ZOTERO_ITEM CSL_CITATION {"citationID":"ShzvP9wo","properties":{"formattedCitation":"(Suryanarayana, 2013)","plainCitation":"(Suryanarayana, 2013)","noteIndex":0},"citationItems":[{"id":39,"uris":["http://zotero.org/users/local/ZwHbRrhs/items/WQDXQ8H2"],"itemData":{"id":39,"type":"report","abstract":"This study raises some relevant issues and examines them from an economic perspective. To begin with, it would examine how did the Indian approach, official in particular, to defining and measuring poverty originate and evolve over time? What are the major issues regarding the nutritional basis for poverty measurement highlighted in academic and policy debates in India? How valid are these debates in terms of their methodological basis and data relevance? What are the issues relevant today? What is the possible solution? [Planning Commission]. URL:[http://planningcommission.nic.in/reports/genrep/surya.pdf].","collection-title":"Working Papers","language":"en","note":"container-title: Working Papers","number":"id:5392","publisher":"eSocialSciences","source":"ideas.repec.org","title":"Nutritional Norms for Poverty: Issues and Implications","title-short":"Nutritional Norms for Poverty","URL":"https://ideas.repec.org/p/ess/wpaper/id5392.html","author":[{"family":"Suryanarayana","given":"M."}],"accessed":{"date-parts":[["2022",11,9]]},"issued":{"date-parts":[["2013",7]]}}}],"schema":"https://github.com/citation-style-language/schema/raw/master/csl-citation.json"} </w:instrText>
      </w:r>
      <w:r w:rsidR="005068F6" w:rsidRPr="006C7F5E">
        <w:rPr>
          <w:rFonts w:eastAsia="Times"/>
          <w:sz w:val="20"/>
          <w:szCs w:val="20"/>
        </w:rPr>
        <w:fldChar w:fldCharType="separate"/>
      </w:r>
      <w:r w:rsidR="005068F6" w:rsidRPr="006C7F5E">
        <w:rPr>
          <w:sz w:val="20"/>
          <w:szCs w:val="20"/>
        </w:rPr>
        <w:t>(Suryanarayana, 2013)</w:t>
      </w:r>
      <w:r w:rsidR="005068F6" w:rsidRPr="006C7F5E">
        <w:rPr>
          <w:rFonts w:eastAsia="Times"/>
          <w:sz w:val="20"/>
          <w:szCs w:val="20"/>
        </w:rPr>
        <w:fldChar w:fldCharType="end"/>
      </w:r>
      <w:r w:rsidRPr="006C7F5E">
        <w:rPr>
          <w:rFonts w:eastAsia="Times"/>
          <w:sz w:val="20"/>
          <w:szCs w:val="20"/>
        </w:rPr>
        <w:t xml:space="preserve">. Thus, the reduction in calorie consumption, not necessarily </w:t>
      </w:r>
      <w:r w:rsidR="009F5218" w:rsidRPr="006C7F5E">
        <w:rPr>
          <w:rFonts w:eastAsia="Times"/>
          <w:sz w:val="20"/>
          <w:szCs w:val="20"/>
        </w:rPr>
        <w:t>due to deprivation, cannot be explained by declining purchasing power, but rather by</w:t>
      </w:r>
      <w:r w:rsidRPr="006C7F5E">
        <w:rPr>
          <w:rFonts w:eastAsia="Times"/>
          <w:sz w:val="20"/>
          <w:szCs w:val="20"/>
        </w:rPr>
        <w:t xml:space="preserve"> calorie needs stemming from improved health status, lower morbidity, better sanitation, and increasing mechanisation of work. </w:t>
      </w:r>
    </w:p>
    <w:p w14:paraId="27587CEA" w14:textId="04D3C3B1"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The debate has been further complicated with </w:t>
      </w:r>
      <w:r w:rsidR="00171853" w:rsidRPr="006C7F5E">
        <w:rPr>
          <w:rFonts w:eastAsia="Times"/>
          <w:sz w:val="20"/>
          <w:szCs w:val="20"/>
        </w:rPr>
        <w:t xml:space="preserve">the </w:t>
      </w:r>
      <w:r w:rsidRPr="006C7F5E">
        <w:rPr>
          <w:rFonts w:eastAsia="Times"/>
          <w:sz w:val="20"/>
          <w:szCs w:val="20"/>
        </w:rPr>
        <w:t>argument of a weak relation between the variables</w:t>
      </w:r>
      <w:r w:rsidR="00171853" w:rsidRPr="006C7F5E">
        <w:rPr>
          <w:rFonts w:eastAsia="Times"/>
          <w:sz w:val="20"/>
          <w:szCs w:val="20"/>
        </w:rPr>
        <w:t>,</w:t>
      </w:r>
      <w:r w:rsidRPr="006C7F5E">
        <w:rPr>
          <w:rFonts w:eastAsia="Times"/>
          <w:sz w:val="20"/>
          <w:szCs w:val="20"/>
        </w:rPr>
        <w:t xml:space="preserve"> such as food prices, income and calorie consumption; increasing food consumption outside the home and </w:t>
      </w:r>
      <w:r w:rsidRPr="006C7F5E">
        <w:rPr>
          <w:rFonts w:eastAsia="Times"/>
          <w:sz w:val="20"/>
          <w:szCs w:val="20"/>
        </w:rPr>
        <w:lastRenderedPageBreak/>
        <w:t>diversion in consumption pattern</w:t>
      </w:r>
      <w:r w:rsidR="00A71986" w:rsidRPr="006C7F5E">
        <w:rPr>
          <w:rFonts w:eastAsia="Times"/>
          <w:sz w:val="20"/>
          <w:szCs w:val="20"/>
        </w:rPr>
        <w:t xml:space="preserve"> </w:t>
      </w:r>
      <w:r w:rsidR="00A71986" w:rsidRPr="006C7F5E">
        <w:rPr>
          <w:rFonts w:eastAsia="Times"/>
          <w:sz w:val="20"/>
          <w:szCs w:val="20"/>
        </w:rPr>
        <w:fldChar w:fldCharType="begin"/>
      </w:r>
      <w:r w:rsidR="00A71986" w:rsidRPr="006C7F5E">
        <w:rPr>
          <w:rFonts w:eastAsia="Times"/>
          <w:sz w:val="20"/>
          <w:szCs w:val="20"/>
        </w:rPr>
        <w:instrText xml:space="preserve"> ADDIN ZOTERO_ITEM CSL_CITATION {"citationID":"tygcKJNs","properties":{"formattedCitation":"(Banerjee &amp; Duflo, 2011; Basu &amp; Basole, 2013; Gaiha &amp; Thapa, 2012)","plainCitation":"(Banerjee &amp; Duflo, 2011; Basu &amp; Basole, 2013; Gaiha &amp; Thapa, 2012)","noteIndex":0},"citationItems":[{"id":206,"uris":["http://zotero.org/users/local/ZwHbRrhs/items/PVSANND6"],"itemData":{"id":206,"type":"book","event-place":"New York","publisher":"Public Affairs","publisher-place":"New York","title":"Poor Economics: A Radical Rethinking of the Way to Fight Global Poverty.","author":[{"family":"Banerjee","given":"A."},{"family":"Duflo","given":"E"}],"issued":{"date-parts":[["2011"]]}}},{"id":207,"uris":["http://zotero.org/users/local/ZwHbRrhs/items/6WZ2GC7S"],"itemData":{"id":207,"type":"article-journal","container-title":"World Development (Elsevier)","title":"The Calorie Consumption Puzzle in India: An Empirical Investigation","volume":"50","author":[{"family":"Basu","given":""},{"family":"Basole","given":"Amit"}],"issued":{"date-parts":[["2013"]]}}},{"id":208,"uris":["http://zotero.org/users/local/ZwHbRrhs/items/BXNWENRJ"],"itemData":{"id":208,"type":"article-journal","container-title":"Asian Journal of Agriculture and Development","title":"Food Security in Asia and the Pacific: The Role of Smallholders","author":[{"family":"Gaiha","given":"R."},{"family":"Thapa","given":"G"}],"issued":{"date-parts":[["2012"]]}}}],"schema":"https://github.com/citation-style-language/schema/raw/master/csl-citation.json"} </w:instrText>
      </w:r>
      <w:r w:rsidR="00A71986" w:rsidRPr="006C7F5E">
        <w:rPr>
          <w:rFonts w:eastAsia="Times"/>
          <w:sz w:val="20"/>
          <w:szCs w:val="20"/>
        </w:rPr>
        <w:fldChar w:fldCharType="separate"/>
      </w:r>
      <w:r w:rsidR="00A71986" w:rsidRPr="006C7F5E">
        <w:rPr>
          <w:sz w:val="20"/>
          <w:szCs w:val="20"/>
        </w:rPr>
        <w:t>(Banerjee &amp; Duflo, 2011; Basu &amp; Basole, 2013; Gaiha &amp; Thapa, 2012)</w:t>
      </w:r>
      <w:r w:rsidR="00A71986" w:rsidRPr="006C7F5E">
        <w:rPr>
          <w:rFonts w:eastAsia="Times"/>
          <w:sz w:val="20"/>
          <w:szCs w:val="20"/>
        </w:rPr>
        <w:fldChar w:fldCharType="end"/>
      </w:r>
      <w:r w:rsidRPr="006C7F5E">
        <w:rPr>
          <w:rFonts w:eastAsia="Times"/>
          <w:sz w:val="20"/>
          <w:szCs w:val="20"/>
        </w:rPr>
        <w:t xml:space="preserve">. Evidence suggests that households are increasingly diverting resources toward non-food items. Banerjee &amp; Duflo (2011) reveal that even the poor, often at the expense of food, allocate spending to consumer durables such as televisions and mobile phones. Basu and </w:t>
      </w:r>
      <w:proofErr w:type="spellStart"/>
      <w:r w:rsidRPr="006C7F5E">
        <w:rPr>
          <w:rFonts w:eastAsia="Times"/>
          <w:sz w:val="20"/>
          <w:szCs w:val="20"/>
        </w:rPr>
        <w:t>Basole</w:t>
      </w:r>
      <w:proofErr w:type="spellEnd"/>
      <w:r w:rsidRPr="006C7F5E">
        <w:rPr>
          <w:rFonts w:eastAsia="Times"/>
          <w:sz w:val="20"/>
          <w:szCs w:val="20"/>
        </w:rPr>
        <w:t xml:space="preserve"> (2012) estimate that a proportional negative relationship exists between non-food expenditure and calorie intake, reflecting both demand-side reallocations and supply-side changes linked to the state’s withdrawal from service provisioning with the introduction of structural adjustment policies. However, </w:t>
      </w:r>
      <w:proofErr w:type="spellStart"/>
      <w:r w:rsidRPr="006C7F5E">
        <w:rPr>
          <w:rFonts w:eastAsia="Times"/>
          <w:sz w:val="20"/>
          <w:szCs w:val="20"/>
        </w:rPr>
        <w:t>Gaiha</w:t>
      </w:r>
      <w:proofErr w:type="spellEnd"/>
      <w:r w:rsidRPr="006C7F5E">
        <w:rPr>
          <w:rFonts w:eastAsia="Times"/>
          <w:sz w:val="20"/>
          <w:szCs w:val="20"/>
        </w:rPr>
        <w:t xml:space="preserve"> </w:t>
      </w:r>
      <w:r w:rsidR="00A71986" w:rsidRPr="006C7F5E">
        <w:rPr>
          <w:sz w:val="20"/>
          <w:szCs w:val="20"/>
        </w:rPr>
        <w:t xml:space="preserve">&amp; Thapa </w:t>
      </w:r>
      <w:r w:rsidR="009F5218" w:rsidRPr="006C7F5E">
        <w:rPr>
          <w:rFonts w:eastAsia="Times"/>
          <w:sz w:val="20"/>
          <w:szCs w:val="20"/>
        </w:rPr>
        <w:t>(201</w:t>
      </w:r>
      <w:r w:rsidR="00A71986" w:rsidRPr="006C7F5E">
        <w:rPr>
          <w:rFonts w:eastAsia="Times"/>
          <w:sz w:val="20"/>
          <w:szCs w:val="20"/>
        </w:rPr>
        <w:t>2</w:t>
      </w:r>
      <w:r w:rsidR="009F5218" w:rsidRPr="006C7F5E">
        <w:rPr>
          <w:rFonts w:eastAsia="Times"/>
          <w:sz w:val="20"/>
          <w:szCs w:val="20"/>
        </w:rPr>
        <w:t>) argued that the weakening relationship between prices, incomes, and calorie consumption is losing the explanatory power of the demand-side</w:t>
      </w:r>
      <w:r w:rsidRPr="006C7F5E">
        <w:rPr>
          <w:rFonts w:eastAsia="Times"/>
          <w:sz w:val="20"/>
          <w:szCs w:val="20"/>
        </w:rPr>
        <w:t xml:space="preserve"> explanation. Meenakshi &amp; Viswanathan (200</w:t>
      </w:r>
      <w:r w:rsidR="00A71986" w:rsidRPr="006C7F5E">
        <w:rPr>
          <w:rFonts w:eastAsia="Times"/>
          <w:sz w:val="20"/>
          <w:szCs w:val="20"/>
        </w:rPr>
        <w:t>3</w:t>
      </w:r>
      <w:r w:rsidRPr="006C7F5E">
        <w:rPr>
          <w:rFonts w:eastAsia="Times"/>
          <w:sz w:val="20"/>
          <w:szCs w:val="20"/>
        </w:rPr>
        <w:t xml:space="preserve">) argued that lower calorie intake does not necessarily signify deprivation but could instead reflect improved dietary quality and higher welfare. It has been revealed that declining average calorie intake has coincided with </w:t>
      </w:r>
      <w:r w:rsidR="009F5218" w:rsidRPr="006C7F5E">
        <w:rPr>
          <w:rFonts w:eastAsia="Times"/>
          <w:sz w:val="20"/>
          <w:szCs w:val="20"/>
        </w:rPr>
        <w:t>an increase in the consumption of</w:t>
      </w:r>
      <w:r w:rsidRPr="006C7F5E">
        <w:rPr>
          <w:rFonts w:eastAsia="Times"/>
          <w:sz w:val="20"/>
          <w:szCs w:val="20"/>
        </w:rPr>
        <w:t xml:space="preserve"> fruits, vegetables, dairy products, and protein-rich foods such as eggs, fish, and meat across expenditure classes</w:t>
      </w:r>
      <w:r w:rsidR="00A71986" w:rsidRPr="006C7F5E">
        <w:rPr>
          <w:rFonts w:eastAsia="Times"/>
          <w:sz w:val="20"/>
          <w:szCs w:val="20"/>
        </w:rPr>
        <w:t xml:space="preserve"> </w:t>
      </w:r>
      <w:r w:rsidR="00A71986" w:rsidRPr="006C7F5E">
        <w:rPr>
          <w:rFonts w:eastAsia="Times"/>
          <w:sz w:val="20"/>
          <w:szCs w:val="20"/>
        </w:rPr>
        <w:fldChar w:fldCharType="begin"/>
      </w:r>
      <w:r w:rsidR="00A71986" w:rsidRPr="006C7F5E">
        <w:rPr>
          <w:rFonts w:eastAsia="Times"/>
          <w:sz w:val="20"/>
          <w:szCs w:val="20"/>
        </w:rPr>
        <w:instrText xml:space="preserve"> ADDIN ZOTERO_ITEM CSL_CITATION {"citationID":"l6PzjG0n","properties":{"formattedCitation":"(Meenakshi &amp; Viswanathan, 2003; Rao, 2003)","plainCitation":"(Meenakshi &amp; Viswanathan, 2003; Rao, 2003)","noteIndex":0},"citationItems":[{"id":202,"uris":["http://zotero.org/users/local/ZwHbRrhs/items/F54REV8B"],"itemData":{"id":202,"type":"article-journal","container-title":"Economic and Political Weekly","issue":"4","language":"en","title":"Calorie Deprivation in Rural India, 1983-1999/2000","URL":"https://www.epw.in/journal/2003/04/special-articles/calorie-deprivation-rural-india-1983-19992000.html","volume":"38","author":[{"family":"Meenakshi","given":"J. V."},{"family":"Viswanathan","given":""}],"accessed":{"date-parts":[["2025",9,1]]},"issued":{"date-parts":[["2003",1,25]]}}},{"id":201,"uris":["http://zotero.org/users/local/ZwHbRrhs/items/XJKABCLJ"],"itemData":{"id":201,"type":"article-journal","abstract":"Agriculture can be expected to derive the full benefits of the macroeconomic reforms introduced so far only when reforms directly affecting agriculture are put in place. Indeed, the slowing down of agricultural growth in the post-reform period, despite the favourable macroeconomic environment, is explained by the neglect of reforms directly affecting agriculture. This essay seeks to spell out a reform agenda for agriculture within the framework of a two-pronged strategy: (a) to release the initiative and enterprise of farmers and the private sector in general by removing restrictions on agricultural trade, processing, etc; and (b) to facilitate adequate supply response to the incentives so created by strengthening infrastructure, agricultural research and extension and delivery of credit, while protecting the environment.","container-title":"Economic and Political Weekly","ISSN":"0012-9976","issue":"7","note":"publisher: Economic and Political Weekly","page":"615-620","source":"JSTOR","title":"Reform Agenda for Agriculture","volume":"38","author":[{"family":"Rao","given":"C. H. Hanumantha"}],"issued":{"date-parts":[["2003"]]}}}],"schema":"https://github.com/citation-style-language/schema/raw/master/csl-citation.json"} </w:instrText>
      </w:r>
      <w:r w:rsidR="00A71986" w:rsidRPr="006C7F5E">
        <w:rPr>
          <w:rFonts w:eastAsia="Times"/>
          <w:sz w:val="20"/>
          <w:szCs w:val="20"/>
        </w:rPr>
        <w:fldChar w:fldCharType="separate"/>
      </w:r>
      <w:r w:rsidR="00A71986" w:rsidRPr="006C7F5E">
        <w:rPr>
          <w:sz w:val="20"/>
          <w:szCs w:val="20"/>
        </w:rPr>
        <w:t>(Meenakshi &amp; Viswanathan, 2003; Rao, 2003)</w:t>
      </w:r>
      <w:r w:rsidR="00A71986" w:rsidRPr="006C7F5E">
        <w:rPr>
          <w:rFonts w:eastAsia="Times"/>
          <w:sz w:val="20"/>
          <w:szCs w:val="20"/>
        </w:rPr>
        <w:fldChar w:fldCharType="end"/>
      </w:r>
      <w:r w:rsidRPr="006C7F5E">
        <w:rPr>
          <w:rFonts w:eastAsia="Times"/>
          <w:sz w:val="20"/>
          <w:szCs w:val="20"/>
        </w:rPr>
        <w:t xml:space="preserve">.  However, </w:t>
      </w:r>
      <w:r w:rsidR="00A71986" w:rsidRPr="006C7F5E">
        <w:rPr>
          <w:rFonts w:eastAsia="Times"/>
          <w:sz w:val="20"/>
          <w:szCs w:val="20"/>
        </w:rPr>
        <w:t>while</w:t>
      </w:r>
      <w:r w:rsidRPr="006C7F5E">
        <w:rPr>
          <w:rFonts w:eastAsia="Times"/>
          <w:sz w:val="20"/>
          <w:szCs w:val="20"/>
        </w:rPr>
        <w:t xml:space="preserve"> voluntary substitution toward non-food or diversified consumption may hold for higher-income groups, for low-income households it is more plausibly a forced response to rising costs of essential goods that lower their purchasing power. The NSSO-CES in 2011-12, however, provides an important corrective by revealing the evidence that while purchasing power permits calorie-deficient households to raise their calorie intake. This contests the “declining calorie need” hypothesis and enhances the doubts about exaggerated claims that falling calorie consumption is entirely benign. These unresolved issues underscore the necessity for renewed research, particularly in refining food security estimates with more realistic nutritional norms than the conventional benchmark of 2,400 Kcal.</w:t>
      </w:r>
    </w:p>
    <w:p w14:paraId="08BCD582" w14:textId="77777777" w:rsidR="00D77AA1" w:rsidRPr="006C7F5E" w:rsidRDefault="00000000" w:rsidP="00180824">
      <w:pPr>
        <w:numPr>
          <w:ilvl w:val="0"/>
          <w:numId w:val="1"/>
        </w:numPr>
        <w:spacing w:before="240" w:after="240" w:line="240" w:lineRule="auto"/>
        <w:jc w:val="both"/>
        <w:rPr>
          <w:rFonts w:eastAsia="Times"/>
          <w:b/>
        </w:rPr>
      </w:pPr>
      <w:r w:rsidRPr="006C7F5E">
        <w:rPr>
          <w:rFonts w:eastAsia="Times"/>
          <w:b/>
        </w:rPr>
        <w:t>Changing Pattern of Food Security</w:t>
      </w:r>
    </w:p>
    <w:p w14:paraId="4F578E0E" w14:textId="77777777"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As previously noted, food security in a society depends on three interdependent circumstances—availability, accessibility, and utilisation of food. This section examines all three trajectories in post-reform periods.</w:t>
      </w:r>
    </w:p>
    <w:p w14:paraId="6CF180E8" w14:textId="77777777" w:rsidR="00D77AA1" w:rsidRPr="006C7F5E" w:rsidRDefault="00000000" w:rsidP="00180824">
      <w:pPr>
        <w:spacing w:before="240" w:after="240" w:line="240" w:lineRule="auto"/>
        <w:jc w:val="both"/>
        <w:rPr>
          <w:rFonts w:eastAsia="Times"/>
          <w:b/>
          <w:bCs/>
        </w:rPr>
      </w:pPr>
      <w:r w:rsidRPr="006C7F5E">
        <w:rPr>
          <w:rFonts w:eastAsia="Times"/>
          <w:b/>
          <w:bCs/>
        </w:rPr>
        <w:t>3.1 Availability of Food</w:t>
      </w:r>
    </w:p>
    <w:p w14:paraId="07EB2B9C" w14:textId="74AD3D8C" w:rsidR="00D77AA1" w:rsidRPr="006C7F5E" w:rsidRDefault="00000000" w:rsidP="00180824">
      <w:pPr>
        <w:spacing w:line="240" w:lineRule="auto"/>
        <w:jc w:val="both"/>
        <w:rPr>
          <w:rFonts w:eastAsia="Times"/>
          <w:sz w:val="20"/>
          <w:szCs w:val="20"/>
        </w:rPr>
      </w:pPr>
      <w:r w:rsidRPr="006C7F5E">
        <w:rPr>
          <w:rFonts w:eastAsia="Times"/>
          <w:sz w:val="20"/>
          <w:szCs w:val="20"/>
        </w:rPr>
        <w:t xml:space="preserve">India has </w:t>
      </w:r>
      <w:r w:rsidR="009F5218" w:rsidRPr="006C7F5E">
        <w:rPr>
          <w:rFonts w:eastAsia="Times"/>
          <w:sz w:val="20"/>
          <w:szCs w:val="20"/>
        </w:rPr>
        <w:t>achieved remarkable growth</w:t>
      </w:r>
      <w:r w:rsidRPr="006C7F5E">
        <w:rPr>
          <w:rFonts w:eastAsia="Times"/>
          <w:sz w:val="20"/>
          <w:szCs w:val="20"/>
        </w:rPr>
        <w:t xml:space="preserve"> in food production since the late 1960s. Since independence, India’s gross food grains production rose more than fivefold, while the productivity rose fourfold over the same period. This significant progress reflects the transformative impact of policy change and technological support. However, this domestic production alone does not constitute a meaningful indicator of food availability. Food availability in an economy depends on the aggregated supply of food, defined as the net domestic production, net imports, and the public and private stock of food. </w:t>
      </w:r>
    </w:p>
    <w:p w14:paraId="63F4C5BA" w14:textId="77777777" w:rsidR="00D77AA1" w:rsidRPr="006C7F5E" w:rsidRDefault="00D77AA1" w:rsidP="00180824">
      <w:pPr>
        <w:spacing w:line="240" w:lineRule="auto"/>
        <w:jc w:val="both"/>
        <w:rPr>
          <w:rFonts w:eastAsia="Times"/>
          <w:sz w:val="20"/>
          <w:szCs w:val="20"/>
        </w:rPr>
      </w:pPr>
    </w:p>
    <w:p w14:paraId="40526A67" w14:textId="2231DEB3" w:rsidR="00D77AA1" w:rsidRPr="006C7F5E" w:rsidRDefault="00000000" w:rsidP="00180824">
      <w:pPr>
        <w:spacing w:line="240" w:lineRule="auto"/>
        <w:jc w:val="center"/>
        <w:rPr>
          <w:rFonts w:eastAsia="Times"/>
          <w:b/>
          <w:bCs/>
          <w:sz w:val="20"/>
          <w:szCs w:val="20"/>
        </w:rPr>
      </w:pPr>
      <w:r w:rsidRPr="006C7F5E">
        <w:rPr>
          <w:rFonts w:eastAsia="Times"/>
          <w:b/>
          <w:bCs/>
          <w:sz w:val="20"/>
          <w:szCs w:val="20"/>
        </w:rPr>
        <w:t>Table 1</w:t>
      </w:r>
      <w:r w:rsidR="006C7F5E" w:rsidRPr="006C7F5E">
        <w:rPr>
          <w:rFonts w:eastAsia="Times"/>
          <w:b/>
          <w:bCs/>
          <w:sz w:val="20"/>
          <w:szCs w:val="20"/>
        </w:rPr>
        <w:t>.</w:t>
      </w:r>
      <w:r w:rsidRPr="006C7F5E">
        <w:rPr>
          <w:rFonts w:eastAsia="Times"/>
          <w:b/>
          <w:bCs/>
          <w:sz w:val="20"/>
          <w:szCs w:val="20"/>
        </w:rPr>
        <w:t xml:space="preserve"> Per-Capita Net Availability of Food Grains (Grams/ Day)</w:t>
      </w:r>
    </w:p>
    <w:p w14:paraId="34C8D898" w14:textId="77777777" w:rsidR="00D77AA1" w:rsidRPr="006C7F5E" w:rsidRDefault="00000000" w:rsidP="00180824">
      <w:pPr>
        <w:spacing w:line="240" w:lineRule="auto"/>
        <w:jc w:val="center"/>
        <w:rPr>
          <w:rFonts w:eastAsia="Times"/>
          <w:b/>
          <w:bCs/>
          <w:sz w:val="20"/>
          <w:szCs w:val="20"/>
        </w:rPr>
      </w:pPr>
      <w:r w:rsidRPr="006C7F5E">
        <w:rPr>
          <w:rFonts w:eastAsia="Times"/>
          <w:b/>
          <w:bCs/>
          <w:sz w:val="20"/>
          <w:szCs w:val="20"/>
        </w:rPr>
        <w:t>(3-Year Moving Average)</w:t>
      </w:r>
    </w:p>
    <w:tbl>
      <w:tblPr>
        <w:tblStyle w:val="a2"/>
        <w:tblW w:w="7895" w:type="dxa"/>
        <w:jc w:val="center"/>
        <w:tblLayout w:type="fixed"/>
        <w:tblLook w:val="0400" w:firstRow="0" w:lastRow="0" w:firstColumn="0" w:lastColumn="0" w:noHBand="0" w:noVBand="1"/>
      </w:tblPr>
      <w:tblGrid>
        <w:gridCol w:w="1547"/>
        <w:gridCol w:w="1643"/>
        <w:gridCol w:w="1547"/>
        <w:gridCol w:w="3158"/>
      </w:tblGrid>
      <w:tr w:rsidR="00D77AA1" w:rsidRPr="006C7F5E" w14:paraId="707B1E73"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5B9BD5"/>
            <w:vAlign w:val="bottom"/>
          </w:tcPr>
          <w:p w14:paraId="182A1DA2" w14:textId="77777777" w:rsidR="00D77AA1" w:rsidRPr="006C7F5E" w:rsidRDefault="00000000" w:rsidP="00180824">
            <w:pPr>
              <w:spacing w:line="240" w:lineRule="auto"/>
              <w:rPr>
                <w:rFonts w:eastAsia="Calibri"/>
                <w:b/>
                <w:color w:val="FFFFFF"/>
                <w:sz w:val="20"/>
                <w:szCs w:val="20"/>
              </w:rPr>
            </w:pPr>
            <w:r w:rsidRPr="006C7F5E">
              <w:rPr>
                <w:rFonts w:eastAsia="Calibri"/>
                <w:b/>
                <w:color w:val="FFFFFF"/>
                <w:sz w:val="20"/>
                <w:szCs w:val="20"/>
              </w:rPr>
              <w:t>Year</w:t>
            </w:r>
          </w:p>
        </w:tc>
        <w:tc>
          <w:tcPr>
            <w:tcW w:w="1643" w:type="dxa"/>
            <w:tcBorders>
              <w:top w:val="single" w:sz="4" w:space="0" w:color="9BC2E6"/>
              <w:left w:val="nil"/>
              <w:bottom w:val="single" w:sz="4" w:space="0" w:color="9BC2E6"/>
              <w:right w:val="nil"/>
            </w:tcBorders>
            <w:shd w:val="clear" w:color="auto" w:fill="5B9BD5"/>
            <w:vAlign w:val="bottom"/>
          </w:tcPr>
          <w:p w14:paraId="22BF7E3C" w14:textId="77777777" w:rsidR="00D77AA1" w:rsidRPr="006C7F5E" w:rsidRDefault="00000000" w:rsidP="00180824">
            <w:pPr>
              <w:spacing w:line="240" w:lineRule="auto"/>
              <w:rPr>
                <w:rFonts w:eastAsia="Calibri"/>
                <w:b/>
                <w:color w:val="FFFFFF"/>
                <w:sz w:val="20"/>
                <w:szCs w:val="20"/>
              </w:rPr>
            </w:pPr>
            <w:r w:rsidRPr="006C7F5E">
              <w:rPr>
                <w:rFonts w:eastAsia="Calibri"/>
                <w:b/>
                <w:color w:val="FFFFFF"/>
                <w:sz w:val="20"/>
                <w:szCs w:val="20"/>
              </w:rPr>
              <w:t>Cereals</w:t>
            </w:r>
          </w:p>
        </w:tc>
        <w:tc>
          <w:tcPr>
            <w:tcW w:w="1547" w:type="dxa"/>
            <w:tcBorders>
              <w:top w:val="single" w:sz="4" w:space="0" w:color="9BC2E6"/>
              <w:left w:val="nil"/>
              <w:bottom w:val="single" w:sz="4" w:space="0" w:color="9BC2E6"/>
              <w:right w:val="nil"/>
            </w:tcBorders>
            <w:shd w:val="clear" w:color="auto" w:fill="5B9BD5"/>
            <w:vAlign w:val="bottom"/>
          </w:tcPr>
          <w:p w14:paraId="275A87FC" w14:textId="77777777" w:rsidR="00D77AA1" w:rsidRPr="006C7F5E" w:rsidRDefault="00000000" w:rsidP="00180824">
            <w:pPr>
              <w:spacing w:line="240" w:lineRule="auto"/>
              <w:rPr>
                <w:rFonts w:eastAsia="Calibri"/>
                <w:b/>
                <w:color w:val="FFFFFF"/>
                <w:sz w:val="20"/>
                <w:szCs w:val="20"/>
              </w:rPr>
            </w:pPr>
            <w:r w:rsidRPr="006C7F5E">
              <w:rPr>
                <w:rFonts w:eastAsia="Calibri"/>
                <w:b/>
                <w:color w:val="FFFFFF"/>
                <w:sz w:val="20"/>
                <w:szCs w:val="20"/>
              </w:rPr>
              <w:t>Pulses</w:t>
            </w:r>
          </w:p>
        </w:tc>
        <w:tc>
          <w:tcPr>
            <w:tcW w:w="3158" w:type="dxa"/>
            <w:tcBorders>
              <w:top w:val="single" w:sz="4" w:space="0" w:color="9BC2E6"/>
              <w:left w:val="nil"/>
              <w:bottom w:val="single" w:sz="4" w:space="0" w:color="9BC2E6"/>
              <w:right w:val="single" w:sz="4" w:space="0" w:color="9BC2E6"/>
            </w:tcBorders>
            <w:shd w:val="clear" w:color="auto" w:fill="5B9BD5"/>
            <w:vAlign w:val="bottom"/>
          </w:tcPr>
          <w:p w14:paraId="571F8D43" w14:textId="77777777" w:rsidR="00D77AA1" w:rsidRPr="006C7F5E" w:rsidRDefault="00000000" w:rsidP="00180824">
            <w:pPr>
              <w:spacing w:line="240" w:lineRule="auto"/>
              <w:rPr>
                <w:rFonts w:eastAsia="Calibri"/>
                <w:b/>
                <w:color w:val="FFFFFF"/>
                <w:sz w:val="20"/>
                <w:szCs w:val="20"/>
              </w:rPr>
            </w:pPr>
            <w:r w:rsidRPr="006C7F5E">
              <w:rPr>
                <w:rFonts w:eastAsia="Calibri"/>
                <w:b/>
                <w:color w:val="FFFFFF"/>
                <w:sz w:val="20"/>
                <w:szCs w:val="20"/>
              </w:rPr>
              <w:t>Total Food Grains</w:t>
            </w:r>
          </w:p>
        </w:tc>
      </w:tr>
      <w:tr w:rsidR="00D77AA1" w:rsidRPr="006C7F5E" w14:paraId="3E1E8234"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3E4C1D2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1951</w:t>
            </w:r>
          </w:p>
        </w:tc>
        <w:tc>
          <w:tcPr>
            <w:tcW w:w="1643" w:type="dxa"/>
            <w:tcBorders>
              <w:top w:val="single" w:sz="4" w:space="0" w:color="9BC2E6"/>
              <w:left w:val="nil"/>
              <w:bottom w:val="single" w:sz="4" w:space="0" w:color="9BC2E6"/>
              <w:right w:val="nil"/>
            </w:tcBorders>
            <w:shd w:val="clear" w:color="auto" w:fill="DDEBF7"/>
            <w:vAlign w:val="bottom"/>
          </w:tcPr>
          <w:p w14:paraId="09087436"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334.2</w:t>
            </w:r>
          </w:p>
        </w:tc>
        <w:tc>
          <w:tcPr>
            <w:tcW w:w="1547" w:type="dxa"/>
            <w:tcBorders>
              <w:top w:val="single" w:sz="4" w:space="0" w:color="9BC2E6"/>
              <w:left w:val="nil"/>
              <w:bottom w:val="single" w:sz="4" w:space="0" w:color="9BC2E6"/>
              <w:right w:val="nil"/>
            </w:tcBorders>
            <w:shd w:val="clear" w:color="auto" w:fill="DDEBF7"/>
            <w:vAlign w:val="bottom"/>
          </w:tcPr>
          <w:p w14:paraId="245EF0D1"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60.7</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69495A6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394.9</w:t>
            </w:r>
          </w:p>
        </w:tc>
      </w:tr>
      <w:tr w:rsidR="00D77AA1" w:rsidRPr="006C7F5E" w14:paraId="43EABB9B"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3375DBBC"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1961</w:t>
            </w:r>
          </w:p>
        </w:tc>
        <w:tc>
          <w:tcPr>
            <w:tcW w:w="1643" w:type="dxa"/>
            <w:tcBorders>
              <w:top w:val="single" w:sz="4" w:space="0" w:color="9BC2E6"/>
              <w:left w:val="nil"/>
              <w:bottom w:val="single" w:sz="4" w:space="0" w:color="9BC2E6"/>
              <w:right w:val="nil"/>
            </w:tcBorders>
            <w:vAlign w:val="bottom"/>
          </w:tcPr>
          <w:p w14:paraId="4B7B82C7"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399.7</w:t>
            </w:r>
          </w:p>
        </w:tc>
        <w:tc>
          <w:tcPr>
            <w:tcW w:w="1547" w:type="dxa"/>
            <w:tcBorders>
              <w:top w:val="single" w:sz="4" w:space="0" w:color="9BC2E6"/>
              <w:left w:val="nil"/>
              <w:bottom w:val="single" w:sz="4" w:space="0" w:color="9BC2E6"/>
              <w:right w:val="nil"/>
            </w:tcBorders>
            <w:vAlign w:val="bottom"/>
          </w:tcPr>
          <w:p w14:paraId="5C54F112"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69.0</w:t>
            </w:r>
          </w:p>
        </w:tc>
        <w:tc>
          <w:tcPr>
            <w:tcW w:w="3158" w:type="dxa"/>
            <w:tcBorders>
              <w:top w:val="single" w:sz="4" w:space="0" w:color="9BC2E6"/>
              <w:left w:val="nil"/>
              <w:bottom w:val="single" w:sz="4" w:space="0" w:color="9BC2E6"/>
              <w:right w:val="single" w:sz="4" w:space="0" w:color="9BC2E6"/>
            </w:tcBorders>
            <w:vAlign w:val="bottom"/>
          </w:tcPr>
          <w:p w14:paraId="41B12524"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468.7</w:t>
            </w:r>
          </w:p>
        </w:tc>
      </w:tr>
      <w:tr w:rsidR="00D77AA1" w:rsidRPr="006C7F5E" w14:paraId="71DC2AF7"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1F2C07D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1971</w:t>
            </w:r>
          </w:p>
        </w:tc>
        <w:tc>
          <w:tcPr>
            <w:tcW w:w="1643" w:type="dxa"/>
            <w:tcBorders>
              <w:top w:val="single" w:sz="4" w:space="0" w:color="9BC2E6"/>
              <w:left w:val="nil"/>
              <w:bottom w:val="single" w:sz="4" w:space="0" w:color="9BC2E6"/>
              <w:right w:val="nil"/>
            </w:tcBorders>
            <w:shd w:val="clear" w:color="auto" w:fill="DDEBF7"/>
            <w:vAlign w:val="bottom"/>
          </w:tcPr>
          <w:p w14:paraId="7736B25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471.6</w:t>
            </w:r>
          </w:p>
        </w:tc>
        <w:tc>
          <w:tcPr>
            <w:tcW w:w="1547" w:type="dxa"/>
            <w:tcBorders>
              <w:top w:val="single" w:sz="4" w:space="0" w:color="9BC2E6"/>
              <w:left w:val="nil"/>
              <w:bottom w:val="single" w:sz="4" w:space="0" w:color="9BC2E6"/>
              <w:right w:val="nil"/>
            </w:tcBorders>
            <w:shd w:val="clear" w:color="auto" w:fill="DDEBF7"/>
            <w:vAlign w:val="bottom"/>
          </w:tcPr>
          <w:p w14:paraId="086422D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51.2</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0498B81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522.8</w:t>
            </w:r>
          </w:p>
        </w:tc>
      </w:tr>
      <w:tr w:rsidR="00D77AA1" w:rsidRPr="006C7F5E" w14:paraId="54001062"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26693E4B"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1981</w:t>
            </w:r>
          </w:p>
        </w:tc>
        <w:tc>
          <w:tcPr>
            <w:tcW w:w="1643" w:type="dxa"/>
            <w:tcBorders>
              <w:top w:val="single" w:sz="4" w:space="0" w:color="9BC2E6"/>
              <w:left w:val="nil"/>
              <w:bottom w:val="single" w:sz="4" w:space="0" w:color="9BC2E6"/>
              <w:right w:val="nil"/>
            </w:tcBorders>
            <w:vAlign w:val="bottom"/>
          </w:tcPr>
          <w:p w14:paraId="2E8780C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417.3</w:t>
            </w:r>
          </w:p>
        </w:tc>
        <w:tc>
          <w:tcPr>
            <w:tcW w:w="1547" w:type="dxa"/>
            <w:tcBorders>
              <w:top w:val="single" w:sz="4" w:space="0" w:color="9BC2E6"/>
              <w:left w:val="nil"/>
              <w:bottom w:val="single" w:sz="4" w:space="0" w:color="9BC2E6"/>
              <w:right w:val="nil"/>
            </w:tcBorders>
            <w:vAlign w:val="bottom"/>
          </w:tcPr>
          <w:p w14:paraId="1F63978D"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37.5</w:t>
            </w:r>
          </w:p>
        </w:tc>
        <w:tc>
          <w:tcPr>
            <w:tcW w:w="3158" w:type="dxa"/>
            <w:tcBorders>
              <w:top w:val="single" w:sz="4" w:space="0" w:color="9BC2E6"/>
              <w:left w:val="nil"/>
              <w:bottom w:val="single" w:sz="4" w:space="0" w:color="9BC2E6"/>
              <w:right w:val="single" w:sz="4" w:space="0" w:color="9BC2E6"/>
            </w:tcBorders>
            <w:vAlign w:val="bottom"/>
          </w:tcPr>
          <w:p w14:paraId="4AB9C67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454.8</w:t>
            </w:r>
          </w:p>
        </w:tc>
      </w:tr>
      <w:tr w:rsidR="00D77AA1" w:rsidRPr="006C7F5E" w14:paraId="6B5CAF8D"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2181662E"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1991</w:t>
            </w:r>
          </w:p>
        </w:tc>
        <w:tc>
          <w:tcPr>
            <w:tcW w:w="1643" w:type="dxa"/>
            <w:tcBorders>
              <w:top w:val="single" w:sz="4" w:space="0" w:color="9BC2E6"/>
              <w:left w:val="nil"/>
              <w:bottom w:val="single" w:sz="4" w:space="0" w:color="9BC2E6"/>
              <w:right w:val="nil"/>
            </w:tcBorders>
            <w:shd w:val="clear" w:color="auto" w:fill="DDEBF7"/>
            <w:vAlign w:val="bottom"/>
          </w:tcPr>
          <w:p w14:paraId="7C39BFBC"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446.1</w:t>
            </w:r>
          </w:p>
        </w:tc>
        <w:tc>
          <w:tcPr>
            <w:tcW w:w="1547" w:type="dxa"/>
            <w:tcBorders>
              <w:top w:val="single" w:sz="4" w:space="0" w:color="9BC2E6"/>
              <w:left w:val="nil"/>
              <w:bottom w:val="single" w:sz="4" w:space="0" w:color="9BC2E6"/>
              <w:right w:val="nil"/>
            </w:tcBorders>
            <w:shd w:val="clear" w:color="auto" w:fill="DDEBF7"/>
            <w:vAlign w:val="bottom"/>
          </w:tcPr>
          <w:p w14:paraId="4E7D8502"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39.0</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4064855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485.1</w:t>
            </w:r>
          </w:p>
        </w:tc>
      </w:tr>
      <w:tr w:rsidR="00D77AA1" w:rsidRPr="006C7F5E" w14:paraId="3B53F207"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5DC7969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1995</w:t>
            </w:r>
          </w:p>
        </w:tc>
        <w:tc>
          <w:tcPr>
            <w:tcW w:w="1643" w:type="dxa"/>
            <w:tcBorders>
              <w:top w:val="single" w:sz="4" w:space="0" w:color="9BC2E6"/>
              <w:left w:val="nil"/>
              <w:bottom w:val="single" w:sz="4" w:space="0" w:color="9BC2E6"/>
              <w:right w:val="nil"/>
            </w:tcBorders>
            <w:vAlign w:val="bottom"/>
          </w:tcPr>
          <w:p w14:paraId="4CE97ED1"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444.7</w:t>
            </w:r>
          </w:p>
        </w:tc>
        <w:tc>
          <w:tcPr>
            <w:tcW w:w="1547" w:type="dxa"/>
            <w:tcBorders>
              <w:top w:val="single" w:sz="4" w:space="0" w:color="9BC2E6"/>
              <w:left w:val="nil"/>
              <w:bottom w:val="single" w:sz="4" w:space="0" w:color="9BC2E6"/>
              <w:right w:val="nil"/>
            </w:tcBorders>
            <w:vAlign w:val="bottom"/>
          </w:tcPr>
          <w:p w14:paraId="34B2EED8"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35.9</w:t>
            </w:r>
          </w:p>
        </w:tc>
        <w:tc>
          <w:tcPr>
            <w:tcW w:w="3158" w:type="dxa"/>
            <w:tcBorders>
              <w:top w:val="single" w:sz="4" w:space="0" w:color="9BC2E6"/>
              <w:left w:val="nil"/>
              <w:bottom w:val="single" w:sz="4" w:space="0" w:color="9BC2E6"/>
              <w:right w:val="single" w:sz="4" w:space="0" w:color="9BC2E6"/>
            </w:tcBorders>
            <w:vAlign w:val="bottom"/>
          </w:tcPr>
          <w:p w14:paraId="4F81A2EB"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480.6</w:t>
            </w:r>
          </w:p>
        </w:tc>
      </w:tr>
      <w:tr w:rsidR="00D77AA1" w:rsidRPr="006C7F5E" w14:paraId="3BD6267C"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1E78DC86"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2001</w:t>
            </w:r>
          </w:p>
        </w:tc>
        <w:tc>
          <w:tcPr>
            <w:tcW w:w="1643" w:type="dxa"/>
            <w:tcBorders>
              <w:top w:val="single" w:sz="4" w:space="0" w:color="9BC2E6"/>
              <w:left w:val="nil"/>
              <w:bottom w:val="single" w:sz="4" w:space="0" w:color="9BC2E6"/>
              <w:right w:val="nil"/>
            </w:tcBorders>
            <w:shd w:val="clear" w:color="auto" w:fill="DDEBF7"/>
            <w:vAlign w:val="bottom"/>
          </w:tcPr>
          <w:p w14:paraId="1DB0BC5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422.3</w:t>
            </w:r>
          </w:p>
        </w:tc>
        <w:tc>
          <w:tcPr>
            <w:tcW w:w="1547" w:type="dxa"/>
            <w:tcBorders>
              <w:top w:val="single" w:sz="4" w:space="0" w:color="9BC2E6"/>
              <w:left w:val="nil"/>
              <w:bottom w:val="single" w:sz="4" w:space="0" w:color="9BC2E6"/>
              <w:right w:val="nil"/>
            </w:tcBorders>
            <w:shd w:val="clear" w:color="auto" w:fill="DDEBF7"/>
            <w:vAlign w:val="bottom"/>
          </w:tcPr>
          <w:p w14:paraId="2035861C"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32.4</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40669E5D"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454.7</w:t>
            </w:r>
          </w:p>
        </w:tc>
      </w:tr>
      <w:tr w:rsidR="00D77AA1" w:rsidRPr="006C7F5E" w14:paraId="0BA3A98C"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218F2E94"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2005</w:t>
            </w:r>
          </w:p>
        </w:tc>
        <w:tc>
          <w:tcPr>
            <w:tcW w:w="1643" w:type="dxa"/>
            <w:tcBorders>
              <w:top w:val="single" w:sz="4" w:space="0" w:color="9BC2E6"/>
              <w:left w:val="nil"/>
              <w:bottom w:val="single" w:sz="4" w:space="0" w:color="9BC2E6"/>
              <w:right w:val="nil"/>
            </w:tcBorders>
            <w:vAlign w:val="bottom"/>
          </w:tcPr>
          <w:p w14:paraId="0CFA9AD7"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410.2</w:t>
            </w:r>
          </w:p>
        </w:tc>
        <w:tc>
          <w:tcPr>
            <w:tcW w:w="1547" w:type="dxa"/>
            <w:tcBorders>
              <w:top w:val="single" w:sz="4" w:space="0" w:color="9BC2E6"/>
              <w:left w:val="nil"/>
              <w:bottom w:val="single" w:sz="4" w:space="0" w:color="9BC2E6"/>
              <w:right w:val="nil"/>
            </w:tcBorders>
            <w:vAlign w:val="bottom"/>
          </w:tcPr>
          <w:p w14:paraId="0512F0FE"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33.3</w:t>
            </w:r>
          </w:p>
        </w:tc>
        <w:tc>
          <w:tcPr>
            <w:tcW w:w="3158" w:type="dxa"/>
            <w:tcBorders>
              <w:top w:val="single" w:sz="4" w:space="0" w:color="9BC2E6"/>
              <w:left w:val="nil"/>
              <w:bottom w:val="single" w:sz="4" w:space="0" w:color="9BC2E6"/>
              <w:right w:val="single" w:sz="4" w:space="0" w:color="9BC2E6"/>
            </w:tcBorders>
            <w:vAlign w:val="bottom"/>
          </w:tcPr>
          <w:p w14:paraId="42B3ED4E"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443.5</w:t>
            </w:r>
          </w:p>
        </w:tc>
      </w:tr>
      <w:tr w:rsidR="00D77AA1" w:rsidRPr="006C7F5E" w14:paraId="2F3948B7"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20AC1C07"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2011</w:t>
            </w:r>
          </w:p>
        </w:tc>
        <w:tc>
          <w:tcPr>
            <w:tcW w:w="1643" w:type="dxa"/>
            <w:tcBorders>
              <w:top w:val="single" w:sz="4" w:space="0" w:color="9BC2E6"/>
              <w:left w:val="nil"/>
              <w:bottom w:val="single" w:sz="4" w:space="0" w:color="9BC2E6"/>
              <w:right w:val="nil"/>
            </w:tcBorders>
            <w:shd w:val="clear" w:color="auto" w:fill="DDEBF7"/>
            <w:vAlign w:val="bottom"/>
          </w:tcPr>
          <w:p w14:paraId="05BC0CEB"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407.0</w:t>
            </w:r>
          </w:p>
        </w:tc>
        <w:tc>
          <w:tcPr>
            <w:tcW w:w="1547" w:type="dxa"/>
            <w:tcBorders>
              <w:top w:val="single" w:sz="4" w:space="0" w:color="9BC2E6"/>
              <w:left w:val="nil"/>
              <w:bottom w:val="single" w:sz="4" w:space="0" w:color="9BC2E6"/>
              <w:right w:val="nil"/>
            </w:tcBorders>
            <w:shd w:val="clear" w:color="auto" w:fill="DDEBF7"/>
            <w:vAlign w:val="bottom"/>
          </w:tcPr>
          <w:p w14:paraId="1A4834B8"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40.0</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5F1B23CD"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447.0</w:t>
            </w:r>
          </w:p>
        </w:tc>
      </w:tr>
      <w:tr w:rsidR="00D77AA1" w:rsidRPr="006C7F5E" w14:paraId="08697CD2"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43A754C5"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2015</w:t>
            </w:r>
          </w:p>
        </w:tc>
        <w:tc>
          <w:tcPr>
            <w:tcW w:w="1643" w:type="dxa"/>
            <w:tcBorders>
              <w:top w:val="single" w:sz="4" w:space="0" w:color="9BC2E6"/>
              <w:left w:val="nil"/>
              <w:bottom w:val="single" w:sz="4" w:space="0" w:color="9BC2E6"/>
              <w:right w:val="nil"/>
            </w:tcBorders>
            <w:vAlign w:val="bottom"/>
          </w:tcPr>
          <w:p w14:paraId="056BDD91"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436.0</w:t>
            </w:r>
          </w:p>
        </w:tc>
        <w:tc>
          <w:tcPr>
            <w:tcW w:w="1547" w:type="dxa"/>
            <w:tcBorders>
              <w:top w:val="single" w:sz="4" w:space="0" w:color="9BC2E6"/>
              <w:left w:val="nil"/>
              <w:bottom w:val="single" w:sz="4" w:space="0" w:color="9BC2E6"/>
              <w:right w:val="nil"/>
            </w:tcBorders>
            <w:vAlign w:val="bottom"/>
          </w:tcPr>
          <w:p w14:paraId="161FA88B"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44.4</w:t>
            </w:r>
          </w:p>
        </w:tc>
        <w:tc>
          <w:tcPr>
            <w:tcW w:w="3158" w:type="dxa"/>
            <w:tcBorders>
              <w:top w:val="single" w:sz="4" w:space="0" w:color="9BC2E6"/>
              <w:left w:val="nil"/>
              <w:bottom w:val="single" w:sz="4" w:space="0" w:color="9BC2E6"/>
              <w:right w:val="single" w:sz="4" w:space="0" w:color="9BC2E6"/>
            </w:tcBorders>
            <w:vAlign w:val="bottom"/>
          </w:tcPr>
          <w:p w14:paraId="57919E0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480.4</w:t>
            </w:r>
          </w:p>
        </w:tc>
      </w:tr>
      <w:tr w:rsidR="00D77AA1" w:rsidRPr="006C7F5E" w14:paraId="199E849A"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51E62FD2"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2016</w:t>
            </w:r>
          </w:p>
        </w:tc>
        <w:tc>
          <w:tcPr>
            <w:tcW w:w="1643" w:type="dxa"/>
            <w:tcBorders>
              <w:top w:val="single" w:sz="4" w:space="0" w:color="9BC2E6"/>
              <w:left w:val="nil"/>
              <w:bottom w:val="single" w:sz="4" w:space="0" w:color="9BC2E6"/>
              <w:right w:val="nil"/>
            </w:tcBorders>
            <w:shd w:val="clear" w:color="auto" w:fill="DDEBF7"/>
            <w:vAlign w:val="bottom"/>
          </w:tcPr>
          <w:p w14:paraId="06C57996"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433.0</w:t>
            </w:r>
          </w:p>
        </w:tc>
        <w:tc>
          <w:tcPr>
            <w:tcW w:w="1547" w:type="dxa"/>
            <w:tcBorders>
              <w:top w:val="single" w:sz="4" w:space="0" w:color="9BC2E6"/>
              <w:left w:val="nil"/>
              <w:bottom w:val="single" w:sz="4" w:space="0" w:color="9BC2E6"/>
              <w:right w:val="nil"/>
            </w:tcBorders>
            <w:shd w:val="clear" w:color="auto" w:fill="DDEBF7"/>
            <w:vAlign w:val="bottom"/>
          </w:tcPr>
          <w:p w14:paraId="60D6315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47.2</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14303CF0"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480.2</w:t>
            </w:r>
          </w:p>
        </w:tc>
      </w:tr>
      <w:tr w:rsidR="00D77AA1" w:rsidRPr="006C7F5E" w14:paraId="4E568EBF"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7151D15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lastRenderedPageBreak/>
              <w:t>2017</w:t>
            </w:r>
          </w:p>
        </w:tc>
        <w:tc>
          <w:tcPr>
            <w:tcW w:w="1643" w:type="dxa"/>
            <w:tcBorders>
              <w:top w:val="single" w:sz="4" w:space="0" w:color="9BC2E6"/>
              <w:left w:val="nil"/>
              <w:bottom w:val="single" w:sz="4" w:space="0" w:color="9BC2E6"/>
              <w:right w:val="nil"/>
            </w:tcBorders>
            <w:vAlign w:val="bottom"/>
          </w:tcPr>
          <w:p w14:paraId="6ADA2A0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439.9</w:t>
            </w:r>
          </w:p>
        </w:tc>
        <w:tc>
          <w:tcPr>
            <w:tcW w:w="1547" w:type="dxa"/>
            <w:tcBorders>
              <w:top w:val="single" w:sz="4" w:space="0" w:color="9BC2E6"/>
              <w:left w:val="nil"/>
              <w:bottom w:val="single" w:sz="4" w:space="0" w:color="9BC2E6"/>
              <w:right w:val="nil"/>
            </w:tcBorders>
            <w:vAlign w:val="bottom"/>
          </w:tcPr>
          <w:p w14:paraId="4E8AA2B6"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49.7</w:t>
            </w:r>
          </w:p>
        </w:tc>
        <w:tc>
          <w:tcPr>
            <w:tcW w:w="3158" w:type="dxa"/>
            <w:tcBorders>
              <w:top w:val="single" w:sz="4" w:space="0" w:color="9BC2E6"/>
              <w:left w:val="nil"/>
              <w:bottom w:val="single" w:sz="4" w:space="0" w:color="9BC2E6"/>
              <w:right w:val="single" w:sz="4" w:space="0" w:color="9BC2E6"/>
            </w:tcBorders>
            <w:vAlign w:val="bottom"/>
          </w:tcPr>
          <w:p w14:paraId="3790F011"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489.6</w:t>
            </w:r>
          </w:p>
        </w:tc>
      </w:tr>
      <w:tr w:rsidR="00D77AA1" w:rsidRPr="006C7F5E" w14:paraId="05AB4CA8"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69AF15AB"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2018</w:t>
            </w:r>
          </w:p>
        </w:tc>
        <w:tc>
          <w:tcPr>
            <w:tcW w:w="1643" w:type="dxa"/>
            <w:tcBorders>
              <w:top w:val="single" w:sz="4" w:space="0" w:color="9BC2E6"/>
              <w:left w:val="nil"/>
              <w:bottom w:val="single" w:sz="4" w:space="0" w:color="9BC2E6"/>
              <w:right w:val="nil"/>
            </w:tcBorders>
            <w:shd w:val="clear" w:color="auto" w:fill="DDEBF7"/>
            <w:vAlign w:val="bottom"/>
          </w:tcPr>
          <w:p w14:paraId="7CDF2A9E"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441.1</w:t>
            </w:r>
          </w:p>
        </w:tc>
        <w:tc>
          <w:tcPr>
            <w:tcW w:w="1547" w:type="dxa"/>
            <w:tcBorders>
              <w:top w:val="single" w:sz="4" w:space="0" w:color="9BC2E6"/>
              <w:left w:val="nil"/>
              <w:bottom w:val="single" w:sz="4" w:space="0" w:color="9BC2E6"/>
              <w:right w:val="nil"/>
            </w:tcBorders>
            <w:shd w:val="clear" w:color="auto" w:fill="DDEBF7"/>
            <w:vAlign w:val="bottom"/>
          </w:tcPr>
          <w:p w14:paraId="1872E60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51.1</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0AEEC940"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492.2</w:t>
            </w:r>
          </w:p>
        </w:tc>
      </w:tr>
      <w:tr w:rsidR="00D77AA1" w:rsidRPr="006C7F5E" w14:paraId="3D8CA509"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17A8898C"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2019</w:t>
            </w:r>
          </w:p>
        </w:tc>
        <w:tc>
          <w:tcPr>
            <w:tcW w:w="1643" w:type="dxa"/>
            <w:tcBorders>
              <w:top w:val="single" w:sz="4" w:space="0" w:color="9BC2E6"/>
              <w:left w:val="nil"/>
              <w:bottom w:val="single" w:sz="4" w:space="0" w:color="9BC2E6"/>
              <w:right w:val="nil"/>
            </w:tcBorders>
            <w:vAlign w:val="bottom"/>
          </w:tcPr>
          <w:p w14:paraId="37B18266"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451.3</w:t>
            </w:r>
          </w:p>
        </w:tc>
        <w:tc>
          <w:tcPr>
            <w:tcW w:w="1547" w:type="dxa"/>
            <w:tcBorders>
              <w:top w:val="single" w:sz="4" w:space="0" w:color="9BC2E6"/>
              <w:left w:val="nil"/>
              <w:bottom w:val="single" w:sz="4" w:space="0" w:color="9BC2E6"/>
              <w:right w:val="nil"/>
            </w:tcBorders>
            <w:vAlign w:val="bottom"/>
          </w:tcPr>
          <w:p w14:paraId="2FE441EC"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48.8</w:t>
            </w:r>
          </w:p>
        </w:tc>
        <w:tc>
          <w:tcPr>
            <w:tcW w:w="3158" w:type="dxa"/>
            <w:tcBorders>
              <w:top w:val="single" w:sz="4" w:space="0" w:color="9BC2E6"/>
              <w:left w:val="nil"/>
              <w:bottom w:val="single" w:sz="4" w:space="0" w:color="9BC2E6"/>
              <w:right w:val="single" w:sz="4" w:space="0" w:color="9BC2E6"/>
            </w:tcBorders>
            <w:vAlign w:val="bottom"/>
          </w:tcPr>
          <w:p w14:paraId="62C1BD6B"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500.2</w:t>
            </w:r>
          </w:p>
        </w:tc>
      </w:tr>
      <w:tr w:rsidR="00D77AA1" w:rsidRPr="006C7F5E" w14:paraId="51CB4ADF"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57A42B1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2020</w:t>
            </w:r>
          </w:p>
        </w:tc>
        <w:tc>
          <w:tcPr>
            <w:tcW w:w="1643" w:type="dxa"/>
            <w:tcBorders>
              <w:top w:val="single" w:sz="4" w:space="0" w:color="9BC2E6"/>
              <w:left w:val="nil"/>
              <w:bottom w:val="single" w:sz="4" w:space="0" w:color="9BC2E6"/>
              <w:right w:val="nil"/>
            </w:tcBorders>
            <w:shd w:val="clear" w:color="auto" w:fill="DDEBF7"/>
            <w:vAlign w:val="bottom"/>
          </w:tcPr>
          <w:p w14:paraId="50156BD1"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459.7</w:t>
            </w:r>
          </w:p>
        </w:tc>
        <w:tc>
          <w:tcPr>
            <w:tcW w:w="1547" w:type="dxa"/>
            <w:tcBorders>
              <w:top w:val="single" w:sz="4" w:space="0" w:color="9BC2E6"/>
              <w:left w:val="nil"/>
              <w:bottom w:val="single" w:sz="4" w:space="0" w:color="9BC2E6"/>
              <w:right w:val="nil"/>
            </w:tcBorders>
            <w:shd w:val="clear" w:color="auto" w:fill="DDEBF7"/>
            <w:vAlign w:val="bottom"/>
          </w:tcPr>
          <w:p w14:paraId="60D60AB0"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46.6</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0E64F302"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506.3</w:t>
            </w:r>
          </w:p>
        </w:tc>
      </w:tr>
      <w:tr w:rsidR="00D77AA1" w:rsidRPr="006C7F5E" w14:paraId="304EB258" w14:textId="77777777">
        <w:trPr>
          <w:trHeight w:val="298"/>
          <w:jc w:val="center"/>
        </w:trPr>
        <w:tc>
          <w:tcPr>
            <w:tcW w:w="1547" w:type="dxa"/>
            <w:tcBorders>
              <w:top w:val="single" w:sz="4" w:space="0" w:color="9BC2E6"/>
              <w:left w:val="single" w:sz="4" w:space="0" w:color="9BC2E6"/>
              <w:bottom w:val="single" w:sz="4" w:space="0" w:color="9BC2E6"/>
              <w:right w:val="nil"/>
            </w:tcBorders>
            <w:vAlign w:val="bottom"/>
          </w:tcPr>
          <w:p w14:paraId="7F044139"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2021</w:t>
            </w:r>
          </w:p>
        </w:tc>
        <w:tc>
          <w:tcPr>
            <w:tcW w:w="1643" w:type="dxa"/>
            <w:tcBorders>
              <w:top w:val="single" w:sz="4" w:space="0" w:color="9BC2E6"/>
              <w:left w:val="nil"/>
              <w:bottom w:val="single" w:sz="4" w:space="0" w:color="9BC2E6"/>
              <w:right w:val="nil"/>
            </w:tcBorders>
            <w:vAlign w:val="bottom"/>
          </w:tcPr>
          <w:p w14:paraId="61471D58"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464.2</w:t>
            </w:r>
          </w:p>
        </w:tc>
        <w:tc>
          <w:tcPr>
            <w:tcW w:w="1547" w:type="dxa"/>
            <w:tcBorders>
              <w:top w:val="single" w:sz="4" w:space="0" w:color="9BC2E6"/>
              <w:left w:val="nil"/>
              <w:bottom w:val="single" w:sz="4" w:space="0" w:color="9BC2E6"/>
              <w:right w:val="nil"/>
            </w:tcBorders>
            <w:vAlign w:val="bottom"/>
          </w:tcPr>
          <w:p w14:paraId="003D99B5"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48.7</w:t>
            </w:r>
          </w:p>
        </w:tc>
        <w:tc>
          <w:tcPr>
            <w:tcW w:w="3158" w:type="dxa"/>
            <w:tcBorders>
              <w:top w:val="single" w:sz="4" w:space="0" w:color="9BC2E6"/>
              <w:left w:val="nil"/>
              <w:bottom w:val="single" w:sz="4" w:space="0" w:color="9BC2E6"/>
              <w:right w:val="single" w:sz="4" w:space="0" w:color="9BC2E6"/>
            </w:tcBorders>
            <w:vAlign w:val="bottom"/>
          </w:tcPr>
          <w:p w14:paraId="563E54F9"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512.9</w:t>
            </w:r>
          </w:p>
        </w:tc>
      </w:tr>
      <w:tr w:rsidR="00D77AA1" w:rsidRPr="006C7F5E" w14:paraId="600EC528" w14:textId="77777777">
        <w:trPr>
          <w:trHeight w:val="298"/>
          <w:jc w:val="center"/>
        </w:trPr>
        <w:tc>
          <w:tcPr>
            <w:tcW w:w="1547" w:type="dxa"/>
            <w:tcBorders>
              <w:top w:val="single" w:sz="4" w:space="0" w:color="9BC2E6"/>
              <w:left w:val="single" w:sz="4" w:space="0" w:color="9BC2E6"/>
              <w:bottom w:val="single" w:sz="4" w:space="0" w:color="9BC2E6"/>
              <w:right w:val="nil"/>
            </w:tcBorders>
            <w:shd w:val="clear" w:color="auto" w:fill="DDEBF7"/>
            <w:vAlign w:val="bottom"/>
          </w:tcPr>
          <w:p w14:paraId="561CB2A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2022</w:t>
            </w:r>
          </w:p>
        </w:tc>
        <w:tc>
          <w:tcPr>
            <w:tcW w:w="1643" w:type="dxa"/>
            <w:tcBorders>
              <w:top w:val="single" w:sz="4" w:space="0" w:color="9BC2E6"/>
              <w:left w:val="nil"/>
              <w:bottom w:val="single" w:sz="4" w:space="0" w:color="9BC2E6"/>
              <w:right w:val="nil"/>
            </w:tcBorders>
            <w:shd w:val="clear" w:color="auto" w:fill="DDEBF7"/>
            <w:vAlign w:val="bottom"/>
          </w:tcPr>
          <w:p w14:paraId="25FFBFD0"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483.2</w:t>
            </w:r>
          </w:p>
        </w:tc>
        <w:tc>
          <w:tcPr>
            <w:tcW w:w="1547" w:type="dxa"/>
            <w:tcBorders>
              <w:top w:val="single" w:sz="4" w:space="0" w:color="9BC2E6"/>
              <w:left w:val="nil"/>
              <w:bottom w:val="single" w:sz="4" w:space="0" w:color="9BC2E6"/>
              <w:right w:val="nil"/>
            </w:tcBorders>
            <w:shd w:val="clear" w:color="auto" w:fill="DDEBF7"/>
            <w:vAlign w:val="bottom"/>
          </w:tcPr>
          <w:p w14:paraId="5F6E590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48.5</w:t>
            </w:r>
          </w:p>
        </w:tc>
        <w:tc>
          <w:tcPr>
            <w:tcW w:w="3158" w:type="dxa"/>
            <w:tcBorders>
              <w:top w:val="single" w:sz="4" w:space="0" w:color="9BC2E6"/>
              <w:left w:val="nil"/>
              <w:bottom w:val="single" w:sz="4" w:space="0" w:color="9BC2E6"/>
              <w:right w:val="single" w:sz="4" w:space="0" w:color="9BC2E6"/>
            </w:tcBorders>
            <w:shd w:val="clear" w:color="auto" w:fill="DDEBF7"/>
            <w:vAlign w:val="bottom"/>
          </w:tcPr>
          <w:p w14:paraId="275AC39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531.7</w:t>
            </w:r>
          </w:p>
        </w:tc>
      </w:tr>
    </w:tbl>
    <w:p w14:paraId="31AE840C"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Source: Author’s Calculation from various rounds of the Economic Survey of India</w:t>
      </w:r>
    </w:p>
    <w:p w14:paraId="0F0C8526" w14:textId="73A0D094"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Table 1 shows that the </w:t>
      </w:r>
      <w:r w:rsidR="009F5218" w:rsidRPr="006C7F5E">
        <w:rPr>
          <w:rFonts w:eastAsia="Times"/>
          <w:sz w:val="20"/>
          <w:szCs w:val="20"/>
        </w:rPr>
        <w:t>per capita daily availability of food grains increased significantly during the four decades preceding</w:t>
      </w:r>
      <w:r w:rsidRPr="006C7F5E">
        <w:rPr>
          <w:rFonts w:eastAsia="Times"/>
          <w:sz w:val="20"/>
          <w:szCs w:val="20"/>
        </w:rPr>
        <w:t xml:space="preserve"> the reform period, from 394.9 grams to 485.1 grams. The latter figure is often regarded as the </w:t>
      </w:r>
      <w:r w:rsidR="009F5218" w:rsidRPr="006C7F5E">
        <w:rPr>
          <w:rFonts w:eastAsia="Times"/>
          <w:sz w:val="20"/>
          <w:szCs w:val="20"/>
        </w:rPr>
        <w:t>benchmark for self-sufficiency</w:t>
      </w:r>
      <w:r w:rsidRPr="006C7F5E">
        <w:rPr>
          <w:rFonts w:eastAsia="Times"/>
          <w:sz w:val="20"/>
          <w:szCs w:val="20"/>
        </w:rPr>
        <w:t xml:space="preserve"> in the Indian context. However, the earlier decades were characterised by several shortages and crises in food grain availability. The turning point was recognised with the green revolution and the implementation of land reform in some states, supported by public procurement, price support policies, irrigation expansion, and input subsidies. This enabled India to overcome the chronic crisis and achieve self-sufficiency by the early 1990s.  The post-reform era, however, reveals a sobering contrast. In the late 1990s and early 2000s, the per-capita availability of food grains </w:t>
      </w:r>
      <w:r w:rsidR="009F5218" w:rsidRPr="006C7F5E">
        <w:rPr>
          <w:rFonts w:eastAsia="Times"/>
          <w:sz w:val="20"/>
          <w:szCs w:val="20"/>
        </w:rPr>
        <w:t>decreased drastically to 443.5 grams in 2005, with</w:t>
      </w:r>
      <w:r w:rsidRPr="006C7F5E">
        <w:rPr>
          <w:rFonts w:eastAsia="Times"/>
          <w:sz w:val="20"/>
          <w:szCs w:val="20"/>
        </w:rPr>
        <w:t xml:space="preserve"> an average annual rate of 0.34%, compared to an increase of 0.67% in the two decades preceding 1995. The slowdown reflects multiple structural factors</w:t>
      </w:r>
      <w:r w:rsidR="009F5218" w:rsidRPr="006C7F5E">
        <w:rPr>
          <w:rFonts w:eastAsia="Times"/>
          <w:sz w:val="20"/>
          <w:szCs w:val="20"/>
        </w:rPr>
        <w:t>, including</w:t>
      </w:r>
      <w:r w:rsidRPr="006C7F5E">
        <w:rPr>
          <w:rFonts w:eastAsia="Times"/>
          <w:sz w:val="20"/>
          <w:szCs w:val="20"/>
        </w:rPr>
        <w:t xml:space="preserve"> stagnating agricultural productivity due to reduced public investment in irrigation and rural infrastructure, a plateau in cropping intensity, and a rapidly growing population. However, since 2011, it </w:t>
      </w:r>
      <w:r w:rsidR="009F5218" w:rsidRPr="006C7F5E">
        <w:rPr>
          <w:rFonts w:eastAsia="Times"/>
          <w:sz w:val="20"/>
          <w:szCs w:val="20"/>
        </w:rPr>
        <w:t>has risen substantially,</w:t>
      </w:r>
      <w:r w:rsidRPr="006C7F5E">
        <w:rPr>
          <w:rFonts w:eastAsia="Times"/>
          <w:sz w:val="20"/>
          <w:szCs w:val="20"/>
        </w:rPr>
        <w:t xml:space="preserve"> from 447 grams in 2011 to 531.7 grams in 2022. </w:t>
      </w:r>
    </w:p>
    <w:p w14:paraId="6E5CAC8A" w14:textId="77777777" w:rsidR="00D77AA1" w:rsidRPr="006C7F5E" w:rsidRDefault="00000000" w:rsidP="00180824">
      <w:pPr>
        <w:spacing w:line="240" w:lineRule="auto"/>
        <w:jc w:val="center"/>
        <w:rPr>
          <w:rFonts w:eastAsia="Times"/>
          <w:b/>
          <w:bCs/>
          <w:sz w:val="20"/>
          <w:szCs w:val="20"/>
        </w:rPr>
      </w:pPr>
      <w:r w:rsidRPr="006C7F5E">
        <w:rPr>
          <w:rFonts w:eastAsia="Times"/>
          <w:b/>
          <w:bCs/>
          <w:sz w:val="20"/>
          <w:szCs w:val="20"/>
        </w:rPr>
        <w:t>Table 2: Per-Capita Net Availability of Fruits and Vegetables (Grams/ Day)</w:t>
      </w:r>
    </w:p>
    <w:p w14:paraId="74540AA3" w14:textId="77777777" w:rsidR="00D77AA1" w:rsidRPr="006C7F5E" w:rsidRDefault="00000000" w:rsidP="00180824">
      <w:pPr>
        <w:spacing w:line="240" w:lineRule="auto"/>
        <w:jc w:val="center"/>
        <w:rPr>
          <w:rFonts w:eastAsia="Times"/>
          <w:b/>
          <w:bCs/>
          <w:sz w:val="20"/>
          <w:szCs w:val="20"/>
        </w:rPr>
      </w:pPr>
      <w:r w:rsidRPr="006C7F5E">
        <w:rPr>
          <w:rFonts w:eastAsia="Times"/>
          <w:b/>
          <w:bCs/>
          <w:sz w:val="20"/>
          <w:szCs w:val="20"/>
        </w:rPr>
        <w:t>(3-Year Moving Average)</w:t>
      </w:r>
    </w:p>
    <w:tbl>
      <w:tblPr>
        <w:tblStyle w:val="a3"/>
        <w:tblW w:w="6490" w:type="dxa"/>
        <w:jc w:val="center"/>
        <w:tblLayout w:type="fixed"/>
        <w:tblLook w:val="0400" w:firstRow="0" w:lastRow="0" w:firstColumn="0" w:lastColumn="0" w:noHBand="0" w:noVBand="1"/>
      </w:tblPr>
      <w:tblGrid>
        <w:gridCol w:w="2189"/>
        <w:gridCol w:w="1811"/>
        <w:gridCol w:w="2490"/>
      </w:tblGrid>
      <w:tr w:rsidR="00D77AA1" w:rsidRPr="006C7F5E" w14:paraId="765605B6"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5B9BD5"/>
            <w:vAlign w:val="bottom"/>
          </w:tcPr>
          <w:p w14:paraId="57290D9E" w14:textId="77777777" w:rsidR="00D77AA1" w:rsidRPr="006C7F5E" w:rsidRDefault="00000000" w:rsidP="00180824">
            <w:pPr>
              <w:spacing w:line="240" w:lineRule="auto"/>
              <w:rPr>
                <w:rFonts w:eastAsia="Calibri"/>
                <w:b/>
                <w:color w:val="FFFFFF"/>
                <w:sz w:val="20"/>
                <w:szCs w:val="20"/>
              </w:rPr>
            </w:pPr>
            <w:r w:rsidRPr="006C7F5E">
              <w:rPr>
                <w:rFonts w:eastAsia="Calibri"/>
                <w:b/>
                <w:color w:val="FFFFFF"/>
                <w:sz w:val="20"/>
                <w:szCs w:val="20"/>
              </w:rPr>
              <w:t>Year</w:t>
            </w:r>
          </w:p>
        </w:tc>
        <w:tc>
          <w:tcPr>
            <w:tcW w:w="1811" w:type="dxa"/>
            <w:tcBorders>
              <w:top w:val="single" w:sz="4" w:space="0" w:color="9BC2E6"/>
              <w:left w:val="nil"/>
              <w:bottom w:val="single" w:sz="4" w:space="0" w:color="9BC2E6"/>
              <w:right w:val="nil"/>
            </w:tcBorders>
            <w:shd w:val="clear" w:color="auto" w:fill="5B9BD5"/>
            <w:vAlign w:val="bottom"/>
          </w:tcPr>
          <w:p w14:paraId="5CFC50B8" w14:textId="77777777" w:rsidR="00D77AA1" w:rsidRPr="006C7F5E" w:rsidRDefault="00000000" w:rsidP="00180824">
            <w:pPr>
              <w:spacing w:line="240" w:lineRule="auto"/>
              <w:rPr>
                <w:rFonts w:eastAsia="Calibri"/>
                <w:b/>
                <w:color w:val="FFFFFF"/>
                <w:sz w:val="20"/>
                <w:szCs w:val="20"/>
              </w:rPr>
            </w:pPr>
            <w:r w:rsidRPr="006C7F5E">
              <w:rPr>
                <w:rFonts w:eastAsia="Calibri"/>
                <w:b/>
                <w:color w:val="FFFFFF"/>
                <w:sz w:val="20"/>
                <w:szCs w:val="20"/>
              </w:rPr>
              <w:t>Fruits</w:t>
            </w:r>
          </w:p>
        </w:tc>
        <w:tc>
          <w:tcPr>
            <w:tcW w:w="2490" w:type="dxa"/>
            <w:tcBorders>
              <w:top w:val="single" w:sz="4" w:space="0" w:color="9BC2E6"/>
              <w:left w:val="nil"/>
              <w:bottom w:val="single" w:sz="4" w:space="0" w:color="9BC2E6"/>
              <w:right w:val="single" w:sz="4" w:space="0" w:color="9BC2E6"/>
            </w:tcBorders>
            <w:shd w:val="clear" w:color="auto" w:fill="5B9BD5"/>
            <w:vAlign w:val="bottom"/>
          </w:tcPr>
          <w:p w14:paraId="56B19961" w14:textId="77777777" w:rsidR="00D77AA1" w:rsidRPr="006C7F5E" w:rsidRDefault="00000000" w:rsidP="00180824">
            <w:pPr>
              <w:spacing w:line="240" w:lineRule="auto"/>
              <w:rPr>
                <w:rFonts w:eastAsia="Calibri"/>
                <w:b/>
                <w:color w:val="FFFFFF"/>
                <w:sz w:val="20"/>
                <w:szCs w:val="20"/>
              </w:rPr>
            </w:pPr>
            <w:r w:rsidRPr="006C7F5E">
              <w:rPr>
                <w:rFonts w:eastAsia="Times"/>
                <w:sz w:val="20"/>
                <w:szCs w:val="20"/>
              </w:rPr>
              <w:t>Vegetables</w:t>
            </w:r>
          </w:p>
        </w:tc>
      </w:tr>
      <w:tr w:rsidR="00D77AA1" w:rsidRPr="006C7F5E" w14:paraId="762D002E"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5D261166"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2007-08</w:t>
            </w:r>
          </w:p>
        </w:tc>
        <w:tc>
          <w:tcPr>
            <w:tcW w:w="1811" w:type="dxa"/>
            <w:tcBorders>
              <w:top w:val="single" w:sz="4" w:space="0" w:color="9BC2E6"/>
              <w:left w:val="nil"/>
              <w:bottom w:val="single" w:sz="4" w:space="0" w:color="9BC2E6"/>
              <w:right w:val="nil"/>
            </w:tcBorders>
            <w:shd w:val="clear" w:color="auto" w:fill="DDEBF7"/>
            <w:vAlign w:val="bottom"/>
          </w:tcPr>
          <w:p w14:paraId="187660AE"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97.0</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1067B8E6"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209.0</w:t>
            </w:r>
          </w:p>
        </w:tc>
      </w:tr>
      <w:tr w:rsidR="00D77AA1" w:rsidRPr="006C7F5E" w14:paraId="606C0835"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376CE07E"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2011-12</w:t>
            </w:r>
          </w:p>
        </w:tc>
        <w:tc>
          <w:tcPr>
            <w:tcW w:w="1811" w:type="dxa"/>
            <w:tcBorders>
              <w:top w:val="single" w:sz="4" w:space="0" w:color="9BC2E6"/>
              <w:left w:val="nil"/>
              <w:bottom w:val="single" w:sz="4" w:space="0" w:color="9BC2E6"/>
              <w:right w:val="nil"/>
            </w:tcBorders>
            <w:vAlign w:val="bottom"/>
          </w:tcPr>
          <w:p w14:paraId="66ED1E4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102.5</w:t>
            </w:r>
          </w:p>
        </w:tc>
        <w:tc>
          <w:tcPr>
            <w:tcW w:w="2490" w:type="dxa"/>
            <w:tcBorders>
              <w:top w:val="single" w:sz="4" w:space="0" w:color="9BC2E6"/>
              <w:left w:val="nil"/>
              <w:bottom w:val="single" w:sz="4" w:space="0" w:color="9BC2E6"/>
              <w:right w:val="single" w:sz="4" w:space="0" w:color="9BC2E6"/>
            </w:tcBorders>
            <w:vAlign w:val="bottom"/>
          </w:tcPr>
          <w:p w14:paraId="31B0A30D"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223.0</w:t>
            </w:r>
          </w:p>
        </w:tc>
      </w:tr>
      <w:tr w:rsidR="00D77AA1" w:rsidRPr="006C7F5E" w14:paraId="22E6504A"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2B83B4F8"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2012-13</w:t>
            </w:r>
          </w:p>
        </w:tc>
        <w:tc>
          <w:tcPr>
            <w:tcW w:w="1811" w:type="dxa"/>
            <w:tcBorders>
              <w:top w:val="single" w:sz="4" w:space="0" w:color="9BC2E6"/>
              <w:left w:val="nil"/>
              <w:bottom w:val="single" w:sz="4" w:space="0" w:color="9BC2E6"/>
              <w:right w:val="nil"/>
            </w:tcBorders>
            <w:shd w:val="clear" w:color="auto" w:fill="DDEBF7"/>
            <w:vAlign w:val="bottom"/>
          </w:tcPr>
          <w:p w14:paraId="76C24E28"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105.0</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173D39FD"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229.3</w:t>
            </w:r>
          </w:p>
        </w:tc>
      </w:tr>
      <w:tr w:rsidR="00D77AA1" w:rsidRPr="006C7F5E" w14:paraId="55CEB80F"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78A2F541"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2013-14</w:t>
            </w:r>
          </w:p>
        </w:tc>
        <w:tc>
          <w:tcPr>
            <w:tcW w:w="1811" w:type="dxa"/>
            <w:tcBorders>
              <w:top w:val="single" w:sz="4" w:space="0" w:color="9BC2E6"/>
              <w:left w:val="nil"/>
              <w:bottom w:val="single" w:sz="4" w:space="0" w:color="9BC2E6"/>
              <w:right w:val="nil"/>
            </w:tcBorders>
            <w:vAlign w:val="bottom"/>
          </w:tcPr>
          <w:p w14:paraId="1EA7BEAB"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110.0</w:t>
            </w:r>
          </w:p>
        </w:tc>
        <w:tc>
          <w:tcPr>
            <w:tcW w:w="2490" w:type="dxa"/>
            <w:tcBorders>
              <w:top w:val="single" w:sz="4" w:space="0" w:color="9BC2E6"/>
              <w:left w:val="nil"/>
              <w:bottom w:val="single" w:sz="4" w:space="0" w:color="9BC2E6"/>
              <w:right w:val="single" w:sz="4" w:space="0" w:color="9BC2E6"/>
            </w:tcBorders>
            <w:vAlign w:val="bottom"/>
          </w:tcPr>
          <w:p w14:paraId="244A69EF"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242.3</w:t>
            </w:r>
          </w:p>
        </w:tc>
      </w:tr>
      <w:tr w:rsidR="00D77AA1" w:rsidRPr="006C7F5E" w14:paraId="7615FD11"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7678072A"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2014-15</w:t>
            </w:r>
          </w:p>
        </w:tc>
        <w:tc>
          <w:tcPr>
            <w:tcW w:w="1811" w:type="dxa"/>
            <w:tcBorders>
              <w:top w:val="single" w:sz="4" w:space="0" w:color="9BC2E6"/>
              <w:left w:val="nil"/>
              <w:bottom w:val="single" w:sz="4" w:space="0" w:color="9BC2E6"/>
              <w:right w:val="nil"/>
            </w:tcBorders>
            <w:shd w:val="clear" w:color="auto" w:fill="DDEBF7"/>
            <w:vAlign w:val="bottom"/>
          </w:tcPr>
          <w:p w14:paraId="75B7CFC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117.0</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27AB6A3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256.0</w:t>
            </w:r>
          </w:p>
        </w:tc>
      </w:tr>
      <w:tr w:rsidR="00D77AA1" w:rsidRPr="006C7F5E" w14:paraId="26183D23"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449A6D83"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2015-16</w:t>
            </w:r>
          </w:p>
        </w:tc>
        <w:tc>
          <w:tcPr>
            <w:tcW w:w="1811" w:type="dxa"/>
            <w:tcBorders>
              <w:top w:val="single" w:sz="4" w:space="0" w:color="9BC2E6"/>
              <w:left w:val="nil"/>
              <w:bottom w:val="single" w:sz="4" w:space="0" w:color="9BC2E6"/>
              <w:right w:val="nil"/>
            </w:tcBorders>
            <w:vAlign w:val="bottom"/>
          </w:tcPr>
          <w:p w14:paraId="736809A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126.3</w:t>
            </w:r>
          </w:p>
        </w:tc>
        <w:tc>
          <w:tcPr>
            <w:tcW w:w="2490" w:type="dxa"/>
            <w:tcBorders>
              <w:top w:val="single" w:sz="4" w:space="0" w:color="9BC2E6"/>
              <w:left w:val="nil"/>
              <w:bottom w:val="single" w:sz="4" w:space="0" w:color="9BC2E6"/>
              <w:right w:val="single" w:sz="4" w:space="0" w:color="9BC2E6"/>
            </w:tcBorders>
            <w:vAlign w:val="bottom"/>
          </w:tcPr>
          <w:p w14:paraId="7946A441"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263.6</w:t>
            </w:r>
          </w:p>
        </w:tc>
      </w:tr>
      <w:tr w:rsidR="00D77AA1" w:rsidRPr="006C7F5E" w14:paraId="1B9E4FC4"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0AEE345F"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2016-17</w:t>
            </w:r>
          </w:p>
        </w:tc>
        <w:tc>
          <w:tcPr>
            <w:tcW w:w="1811" w:type="dxa"/>
            <w:tcBorders>
              <w:top w:val="single" w:sz="4" w:space="0" w:color="9BC2E6"/>
              <w:left w:val="nil"/>
              <w:bottom w:val="single" w:sz="4" w:space="0" w:color="9BC2E6"/>
              <w:right w:val="nil"/>
            </w:tcBorders>
            <w:shd w:val="clear" w:color="auto" w:fill="DDEBF7"/>
            <w:vAlign w:val="bottom"/>
          </w:tcPr>
          <w:p w14:paraId="6F5BCD04"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135.3</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2FD50E9C"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268.3</w:t>
            </w:r>
          </w:p>
        </w:tc>
      </w:tr>
      <w:tr w:rsidR="00D77AA1" w:rsidRPr="006C7F5E" w14:paraId="369054F5"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2366C48F"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2017-18</w:t>
            </w:r>
          </w:p>
        </w:tc>
        <w:tc>
          <w:tcPr>
            <w:tcW w:w="1811" w:type="dxa"/>
            <w:tcBorders>
              <w:top w:val="single" w:sz="4" w:space="0" w:color="9BC2E6"/>
              <w:left w:val="nil"/>
              <w:bottom w:val="single" w:sz="4" w:space="0" w:color="9BC2E6"/>
              <w:right w:val="nil"/>
            </w:tcBorders>
            <w:vAlign w:val="bottom"/>
          </w:tcPr>
          <w:p w14:paraId="388F57D3"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140.8</w:t>
            </w:r>
          </w:p>
        </w:tc>
        <w:tc>
          <w:tcPr>
            <w:tcW w:w="2490" w:type="dxa"/>
            <w:tcBorders>
              <w:top w:val="single" w:sz="4" w:space="0" w:color="9BC2E6"/>
              <w:left w:val="nil"/>
              <w:bottom w:val="single" w:sz="4" w:space="0" w:color="9BC2E6"/>
              <w:right w:val="single" w:sz="4" w:space="0" w:color="9BC2E6"/>
            </w:tcBorders>
            <w:vAlign w:val="bottom"/>
          </w:tcPr>
          <w:p w14:paraId="6E290421"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267.1</w:t>
            </w:r>
          </w:p>
        </w:tc>
      </w:tr>
      <w:tr w:rsidR="00D77AA1" w:rsidRPr="006C7F5E" w14:paraId="4AC04509" w14:textId="77777777">
        <w:trPr>
          <w:trHeight w:val="299"/>
          <w:jc w:val="center"/>
        </w:trPr>
        <w:tc>
          <w:tcPr>
            <w:tcW w:w="2189" w:type="dxa"/>
            <w:tcBorders>
              <w:top w:val="single" w:sz="4" w:space="0" w:color="9BC2E6"/>
              <w:left w:val="single" w:sz="4" w:space="0" w:color="9BC2E6"/>
              <w:bottom w:val="single" w:sz="4" w:space="0" w:color="9BC2E6"/>
              <w:right w:val="nil"/>
            </w:tcBorders>
            <w:shd w:val="clear" w:color="auto" w:fill="DDEBF7"/>
            <w:vAlign w:val="bottom"/>
          </w:tcPr>
          <w:p w14:paraId="5A18154B"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2018-19</w:t>
            </w:r>
          </w:p>
        </w:tc>
        <w:tc>
          <w:tcPr>
            <w:tcW w:w="1811" w:type="dxa"/>
            <w:tcBorders>
              <w:top w:val="single" w:sz="4" w:space="0" w:color="9BC2E6"/>
              <w:left w:val="nil"/>
              <w:bottom w:val="single" w:sz="4" w:space="0" w:color="9BC2E6"/>
              <w:right w:val="nil"/>
            </w:tcBorders>
            <w:shd w:val="clear" w:color="auto" w:fill="DDEBF7"/>
            <w:vAlign w:val="bottom"/>
          </w:tcPr>
          <w:p w14:paraId="68F5B35D"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143.7</w:t>
            </w:r>
          </w:p>
        </w:tc>
        <w:tc>
          <w:tcPr>
            <w:tcW w:w="2490" w:type="dxa"/>
            <w:tcBorders>
              <w:top w:val="single" w:sz="4" w:space="0" w:color="9BC2E6"/>
              <w:left w:val="nil"/>
              <w:bottom w:val="single" w:sz="4" w:space="0" w:color="9BC2E6"/>
              <w:right w:val="single" w:sz="4" w:space="0" w:color="9BC2E6"/>
            </w:tcBorders>
            <w:shd w:val="clear" w:color="auto" w:fill="DDEBF7"/>
            <w:vAlign w:val="bottom"/>
          </w:tcPr>
          <w:p w14:paraId="34EEDDD0"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269.1</w:t>
            </w:r>
          </w:p>
        </w:tc>
      </w:tr>
      <w:tr w:rsidR="00D77AA1" w:rsidRPr="006C7F5E" w14:paraId="72B698A9" w14:textId="77777777">
        <w:trPr>
          <w:trHeight w:val="299"/>
          <w:jc w:val="center"/>
        </w:trPr>
        <w:tc>
          <w:tcPr>
            <w:tcW w:w="2189" w:type="dxa"/>
            <w:tcBorders>
              <w:top w:val="single" w:sz="4" w:space="0" w:color="9BC2E6"/>
              <w:left w:val="single" w:sz="4" w:space="0" w:color="9BC2E6"/>
              <w:bottom w:val="single" w:sz="4" w:space="0" w:color="9BC2E6"/>
              <w:right w:val="nil"/>
            </w:tcBorders>
            <w:vAlign w:val="bottom"/>
          </w:tcPr>
          <w:p w14:paraId="4D254741" w14:textId="77777777" w:rsidR="00D77AA1" w:rsidRPr="006C7F5E" w:rsidRDefault="00000000" w:rsidP="00180824">
            <w:pPr>
              <w:spacing w:line="240" w:lineRule="auto"/>
              <w:rPr>
                <w:rFonts w:eastAsia="Calibri"/>
                <w:color w:val="000000"/>
                <w:sz w:val="20"/>
                <w:szCs w:val="20"/>
              </w:rPr>
            </w:pPr>
            <w:r w:rsidRPr="006C7F5E">
              <w:rPr>
                <w:rFonts w:eastAsia="Calibri"/>
                <w:color w:val="000000"/>
                <w:sz w:val="20"/>
                <w:szCs w:val="20"/>
              </w:rPr>
              <w:t>2019-20</w:t>
            </w:r>
          </w:p>
        </w:tc>
        <w:tc>
          <w:tcPr>
            <w:tcW w:w="1811" w:type="dxa"/>
            <w:tcBorders>
              <w:top w:val="single" w:sz="4" w:space="0" w:color="9BC2E6"/>
              <w:left w:val="nil"/>
              <w:bottom w:val="single" w:sz="4" w:space="0" w:color="9BC2E6"/>
              <w:right w:val="nil"/>
            </w:tcBorders>
            <w:vAlign w:val="bottom"/>
          </w:tcPr>
          <w:p w14:paraId="2A2B726A"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144.9</w:t>
            </w:r>
          </w:p>
        </w:tc>
        <w:tc>
          <w:tcPr>
            <w:tcW w:w="2490" w:type="dxa"/>
            <w:tcBorders>
              <w:top w:val="single" w:sz="4" w:space="0" w:color="9BC2E6"/>
              <w:left w:val="nil"/>
              <w:bottom w:val="single" w:sz="4" w:space="0" w:color="9BC2E6"/>
              <w:right w:val="single" w:sz="4" w:space="0" w:color="9BC2E6"/>
            </w:tcBorders>
            <w:vAlign w:val="bottom"/>
          </w:tcPr>
          <w:p w14:paraId="5FD11244" w14:textId="77777777" w:rsidR="00D77AA1" w:rsidRPr="006C7F5E" w:rsidRDefault="00000000" w:rsidP="00180824">
            <w:pPr>
              <w:spacing w:line="240" w:lineRule="auto"/>
              <w:jc w:val="right"/>
              <w:rPr>
                <w:rFonts w:eastAsia="Calibri"/>
                <w:color w:val="000000"/>
                <w:sz w:val="20"/>
                <w:szCs w:val="20"/>
              </w:rPr>
            </w:pPr>
            <w:r w:rsidRPr="006C7F5E">
              <w:rPr>
                <w:rFonts w:eastAsia="Calibri"/>
                <w:color w:val="000000"/>
                <w:sz w:val="20"/>
                <w:szCs w:val="20"/>
              </w:rPr>
              <w:t>273.9</w:t>
            </w:r>
          </w:p>
        </w:tc>
      </w:tr>
    </w:tbl>
    <w:p w14:paraId="620B830E"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Source: Author’s Calculation from various rounds of the Economic Survey of India</w:t>
      </w:r>
    </w:p>
    <w:p w14:paraId="6EAF8D12" w14:textId="322F9A93"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Although </w:t>
      </w:r>
      <w:r w:rsidR="009F5218" w:rsidRPr="006C7F5E">
        <w:rPr>
          <w:rFonts w:eastAsia="Times"/>
          <w:sz w:val="20"/>
          <w:szCs w:val="20"/>
        </w:rPr>
        <w:t>food grains are considered the major source of energy, the role of non-food grain</w:t>
      </w:r>
      <w:r w:rsidRPr="006C7F5E">
        <w:rPr>
          <w:rFonts w:eastAsia="Times"/>
          <w:sz w:val="20"/>
          <w:szCs w:val="20"/>
        </w:rPr>
        <w:t xml:space="preserve"> items has become increasingly central to a balanced diet. The liberalisation era has seen a significant increase in the per capita availability of fruits and vegetables, milk and dairy products, eggs, fish, meat, edible oils, and sugar. Agricultural diversification into horticulture, livestock, fisheries, and plantation crops since the early 1990s has supported this growth. Notably, progress has been greatest in fruits and vegetables, where per capita net availability rose markedly between 2000 and 2016–17, nearing ICMR dietary norms. However, post-harvest losses remain high, with up to one-fourth of output wasted during storage and transportation. India’s dairy sector is a global success story. From chronic shortages in the 1950s and 1960s, the country has become the world’s largest milk producer, with per capita availability increasing from 113 grams in 1968 to 355 grams in 2016–17, exceeding recommended dietary levels. In contrast, while the per capita availability of eggs and meat has steadily increased since 2000, it still falls short of nutritional benchmarks. Similarly, although edible oils, sugar, tea, and coffee have seen significant increases in per capita </w:t>
      </w:r>
      <w:r w:rsidRPr="006C7F5E">
        <w:rPr>
          <w:rFonts w:eastAsia="Times"/>
          <w:sz w:val="20"/>
          <w:szCs w:val="20"/>
        </w:rPr>
        <w:lastRenderedPageBreak/>
        <w:t>availability, dependence on imports for edible oils—exceeding 50% of requirements—remains a structural vulnerability.</w:t>
      </w:r>
    </w:p>
    <w:p w14:paraId="5FC3D556" w14:textId="77777777"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Beyond quantitative availability, the past two decades have also witnessed improvements in the quality, variety, and diversification of food supply, particularly in horticulture and livestock. This reflects the adaptive capacity of Indian farmers to respond to changing consumption patterns. Yet, the persistence of widespread undernutrition suggests that the primary challenge has shifted: India’s food security problem today is less about physical availability, which was the dominant concern of the 1950s–1970s, and more about economic access. While aggregate supply is sufficient, large sections of the population remain excluded due to low and unequal purchasing power.</w:t>
      </w:r>
    </w:p>
    <w:p w14:paraId="76DC305C" w14:textId="77777777"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Thus, the paradox of India’s food security lies not in inadequate production but in the inability to translate aggregate “plenty” into universal access and improved nutritional outcomes. Future strategies must therefore prioritise productivity growth, distributional equity, and income enhancement, alongside continued diversification of the food basket, to secure both food and nutrition security.</w:t>
      </w:r>
    </w:p>
    <w:p w14:paraId="78383DBE" w14:textId="77777777" w:rsidR="00D77AA1" w:rsidRPr="006C7F5E" w:rsidRDefault="00000000" w:rsidP="00180824">
      <w:pPr>
        <w:spacing w:before="240" w:after="240" w:line="240" w:lineRule="auto"/>
        <w:jc w:val="both"/>
        <w:rPr>
          <w:rFonts w:eastAsia="Times"/>
          <w:b/>
          <w:bCs/>
          <w:iCs/>
        </w:rPr>
      </w:pPr>
      <w:r w:rsidRPr="006C7F5E">
        <w:rPr>
          <w:rFonts w:eastAsia="Times"/>
          <w:b/>
          <w:bCs/>
          <w:iCs/>
        </w:rPr>
        <w:t>3.2 Accessibility of food</w:t>
      </w:r>
    </w:p>
    <w:p w14:paraId="20A599D6" w14:textId="26971FD6"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Accessible food is </w:t>
      </w:r>
      <w:r w:rsidR="009F5218" w:rsidRPr="006C7F5E">
        <w:rPr>
          <w:rFonts w:eastAsia="Times"/>
          <w:sz w:val="20"/>
          <w:szCs w:val="20"/>
        </w:rPr>
        <w:t>a crucial component in</w:t>
      </w:r>
      <w:r w:rsidRPr="006C7F5E">
        <w:rPr>
          <w:rFonts w:eastAsia="Times"/>
          <w:sz w:val="20"/>
          <w:szCs w:val="20"/>
        </w:rPr>
        <w:t xml:space="preserve"> ensuring food security. In the Indian context, it is conventionally assessed through the lens of calorie deprivation</w:t>
      </w:r>
      <w:r w:rsidR="009F5218" w:rsidRPr="006C7F5E">
        <w:rPr>
          <w:rFonts w:eastAsia="Times"/>
          <w:sz w:val="20"/>
          <w:szCs w:val="20"/>
        </w:rPr>
        <w:t>—the</w:t>
      </w:r>
      <w:r w:rsidRPr="006C7F5E">
        <w:rPr>
          <w:rFonts w:eastAsia="Times"/>
          <w:sz w:val="20"/>
          <w:szCs w:val="20"/>
        </w:rPr>
        <w:t xml:space="preserve"> less the deprivation in calories</w:t>
      </w:r>
      <w:r w:rsidR="009F5218" w:rsidRPr="006C7F5E">
        <w:rPr>
          <w:rFonts w:eastAsia="Times"/>
          <w:sz w:val="20"/>
          <w:szCs w:val="20"/>
        </w:rPr>
        <w:t>, the</w:t>
      </w:r>
      <w:r w:rsidRPr="006C7F5E">
        <w:rPr>
          <w:rFonts w:eastAsia="Times"/>
          <w:sz w:val="20"/>
          <w:szCs w:val="20"/>
        </w:rPr>
        <w:t xml:space="preserve"> higher the assurance of food security. However, in this section, the author </w:t>
      </w:r>
      <w:r w:rsidR="009F5218" w:rsidRPr="006C7F5E">
        <w:rPr>
          <w:rFonts w:eastAsia="Times"/>
          <w:sz w:val="20"/>
          <w:szCs w:val="20"/>
        </w:rPr>
        <w:t>examines the trend in per-capita food consumption</w:t>
      </w:r>
      <w:r w:rsidRPr="006C7F5E">
        <w:rPr>
          <w:rFonts w:eastAsia="Times"/>
          <w:sz w:val="20"/>
          <w:szCs w:val="20"/>
        </w:rPr>
        <w:t xml:space="preserve">. </w:t>
      </w:r>
    </w:p>
    <w:p w14:paraId="0C0B6B4E" w14:textId="77777777" w:rsidR="00D77AA1" w:rsidRPr="006C7F5E" w:rsidRDefault="00000000" w:rsidP="00180824">
      <w:pPr>
        <w:spacing w:before="240" w:after="240" w:line="240" w:lineRule="auto"/>
        <w:jc w:val="center"/>
        <w:rPr>
          <w:rFonts w:eastAsia="Times"/>
          <w:b/>
          <w:bCs/>
          <w:sz w:val="20"/>
          <w:szCs w:val="20"/>
        </w:rPr>
      </w:pPr>
      <w:r w:rsidRPr="006C7F5E">
        <w:rPr>
          <w:rFonts w:eastAsia="Times"/>
          <w:b/>
          <w:bCs/>
          <w:sz w:val="20"/>
          <w:szCs w:val="20"/>
        </w:rPr>
        <w:t>Table 3: Per-Capita Accessibility of Food (Grams/ Day)</w:t>
      </w:r>
    </w:p>
    <w:tbl>
      <w:tblPr>
        <w:tblStyle w:val="a4"/>
        <w:tblW w:w="7500" w:type="dxa"/>
        <w:jc w:val="center"/>
        <w:tblLayout w:type="fixed"/>
        <w:tblLook w:val="0400" w:firstRow="0" w:lastRow="0" w:firstColumn="0" w:lastColumn="0" w:noHBand="0" w:noVBand="1"/>
      </w:tblPr>
      <w:tblGrid>
        <w:gridCol w:w="1155"/>
        <w:gridCol w:w="1155"/>
        <w:gridCol w:w="1155"/>
        <w:gridCol w:w="1485"/>
        <w:gridCol w:w="1440"/>
        <w:gridCol w:w="1110"/>
      </w:tblGrid>
      <w:tr w:rsidR="00D77AA1" w:rsidRPr="006C7F5E" w14:paraId="45ABDE78"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5B9BD5"/>
            <w:vAlign w:val="bottom"/>
          </w:tcPr>
          <w:p w14:paraId="2D204A88" w14:textId="77777777" w:rsidR="00D77AA1" w:rsidRPr="006C7F5E" w:rsidRDefault="00000000" w:rsidP="00180824">
            <w:pPr>
              <w:spacing w:line="240" w:lineRule="auto"/>
              <w:jc w:val="center"/>
              <w:rPr>
                <w:rFonts w:eastAsia="Calibri"/>
                <w:b/>
                <w:color w:val="FFFFFF"/>
                <w:sz w:val="20"/>
                <w:szCs w:val="20"/>
              </w:rPr>
            </w:pPr>
            <w:r w:rsidRPr="006C7F5E">
              <w:rPr>
                <w:rFonts w:eastAsia="Calibri"/>
                <w:b/>
                <w:color w:val="FFFFFF"/>
                <w:sz w:val="20"/>
                <w:szCs w:val="20"/>
              </w:rPr>
              <w:t>Year</w:t>
            </w:r>
          </w:p>
        </w:tc>
        <w:tc>
          <w:tcPr>
            <w:tcW w:w="1155" w:type="dxa"/>
            <w:tcBorders>
              <w:top w:val="single" w:sz="4" w:space="0" w:color="9BC2E6"/>
              <w:left w:val="nil"/>
              <w:bottom w:val="single" w:sz="4" w:space="0" w:color="9BC2E6"/>
              <w:right w:val="nil"/>
            </w:tcBorders>
            <w:shd w:val="clear" w:color="auto" w:fill="5B9BD5"/>
            <w:vAlign w:val="bottom"/>
          </w:tcPr>
          <w:p w14:paraId="4AD809EA" w14:textId="77777777" w:rsidR="00D77AA1" w:rsidRPr="006C7F5E" w:rsidRDefault="00000000" w:rsidP="00180824">
            <w:pPr>
              <w:spacing w:line="240" w:lineRule="auto"/>
              <w:jc w:val="center"/>
              <w:rPr>
                <w:rFonts w:eastAsia="Calibri"/>
                <w:b/>
                <w:color w:val="FFFFFF"/>
                <w:sz w:val="20"/>
                <w:szCs w:val="20"/>
              </w:rPr>
            </w:pPr>
            <w:r w:rsidRPr="006C7F5E">
              <w:rPr>
                <w:rFonts w:eastAsia="Calibri"/>
                <w:b/>
                <w:color w:val="FFFFFF"/>
                <w:sz w:val="20"/>
                <w:szCs w:val="20"/>
              </w:rPr>
              <w:t>Cereals</w:t>
            </w:r>
          </w:p>
        </w:tc>
        <w:tc>
          <w:tcPr>
            <w:tcW w:w="1155" w:type="dxa"/>
            <w:tcBorders>
              <w:top w:val="single" w:sz="4" w:space="0" w:color="9BC2E6"/>
              <w:left w:val="nil"/>
              <w:bottom w:val="single" w:sz="4" w:space="0" w:color="9BC2E6"/>
              <w:right w:val="nil"/>
            </w:tcBorders>
            <w:shd w:val="clear" w:color="auto" w:fill="5B9BD5"/>
            <w:vAlign w:val="bottom"/>
          </w:tcPr>
          <w:p w14:paraId="5D012CEC" w14:textId="77777777" w:rsidR="00D77AA1" w:rsidRPr="006C7F5E" w:rsidRDefault="00000000" w:rsidP="00180824">
            <w:pPr>
              <w:spacing w:line="240" w:lineRule="auto"/>
              <w:jc w:val="center"/>
              <w:rPr>
                <w:rFonts w:eastAsia="Calibri"/>
                <w:b/>
                <w:color w:val="FFFFFF"/>
                <w:sz w:val="20"/>
                <w:szCs w:val="20"/>
              </w:rPr>
            </w:pPr>
            <w:r w:rsidRPr="006C7F5E">
              <w:rPr>
                <w:rFonts w:eastAsia="Calibri"/>
                <w:b/>
                <w:color w:val="FFFFFF"/>
                <w:sz w:val="20"/>
                <w:szCs w:val="20"/>
              </w:rPr>
              <w:t>Pulses</w:t>
            </w:r>
          </w:p>
        </w:tc>
        <w:tc>
          <w:tcPr>
            <w:tcW w:w="1485" w:type="dxa"/>
            <w:tcBorders>
              <w:top w:val="single" w:sz="4" w:space="0" w:color="9BC2E6"/>
              <w:left w:val="nil"/>
              <w:bottom w:val="single" w:sz="4" w:space="0" w:color="9BC2E6"/>
              <w:right w:val="nil"/>
            </w:tcBorders>
            <w:shd w:val="clear" w:color="auto" w:fill="5B9BD5"/>
            <w:vAlign w:val="bottom"/>
          </w:tcPr>
          <w:p w14:paraId="11254E8D" w14:textId="77777777" w:rsidR="00D77AA1" w:rsidRPr="006C7F5E" w:rsidRDefault="00000000" w:rsidP="00180824">
            <w:pPr>
              <w:spacing w:line="240" w:lineRule="auto"/>
              <w:jc w:val="center"/>
              <w:rPr>
                <w:rFonts w:eastAsia="Calibri"/>
                <w:b/>
                <w:color w:val="FFFFFF"/>
                <w:sz w:val="20"/>
                <w:szCs w:val="20"/>
              </w:rPr>
            </w:pPr>
            <w:r w:rsidRPr="006C7F5E">
              <w:rPr>
                <w:rFonts w:eastAsia="Calibri"/>
                <w:b/>
                <w:color w:val="FFFFFF"/>
                <w:sz w:val="20"/>
                <w:szCs w:val="20"/>
              </w:rPr>
              <w:t>Vegetables</w:t>
            </w:r>
          </w:p>
        </w:tc>
        <w:tc>
          <w:tcPr>
            <w:tcW w:w="1440" w:type="dxa"/>
            <w:tcBorders>
              <w:top w:val="single" w:sz="4" w:space="0" w:color="9BC2E6"/>
              <w:left w:val="nil"/>
              <w:bottom w:val="single" w:sz="4" w:space="0" w:color="9BC2E6"/>
              <w:right w:val="nil"/>
            </w:tcBorders>
            <w:shd w:val="clear" w:color="auto" w:fill="5B9BD5"/>
            <w:vAlign w:val="bottom"/>
          </w:tcPr>
          <w:p w14:paraId="5F433184" w14:textId="77777777" w:rsidR="00D77AA1" w:rsidRPr="006C7F5E" w:rsidRDefault="00000000" w:rsidP="00180824">
            <w:pPr>
              <w:spacing w:line="240" w:lineRule="auto"/>
              <w:jc w:val="center"/>
              <w:rPr>
                <w:rFonts w:eastAsia="Calibri"/>
                <w:b/>
                <w:color w:val="FFFFFF"/>
                <w:sz w:val="20"/>
                <w:szCs w:val="20"/>
              </w:rPr>
            </w:pPr>
            <w:r w:rsidRPr="006C7F5E">
              <w:rPr>
                <w:rFonts w:eastAsia="Calibri"/>
                <w:b/>
                <w:color w:val="FFFFFF"/>
                <w:sz w:val="20"/>
                <w:szCs w:val="20"/>
              </w:rPr>
              <w:t>Fish &amp; Meat</w:t>
            </w:r>
          </w:p>
        </w:tc>
        <w:tc>
          <w:tcPr>
            <w:tcW w:w="1110" w:type="dxa"/>
            <w:tcBorders>
              <w:top w:val="single" w:sz="4" w:space="0" w:color="9BC2E6"/>
              <w:left w:val="nil"/>
              <w:bottom w:val="single" w:sz="4" w:space="0" w:color="9BC2E6"/>
              <w:right w:val="single" w:sz="4" w:space="0" w:color="9BC2E6"/>
            </w:tcBorders>
            <w:shd w:val="clear" w:color="auto" w:fill="5B9BD5"/>
            <w:vAlign w:val="bottom"/>
          </w:tcPr>
          <w:p w14:paraId="2FCF7AEF" w14:textId="77777777" w:rsidR="00D77AA1" w:rsidRPr="006C7F5E" w:rsidRDefault="00000000" w:rsidP="00180824">
            <w:pPr>
              <w:spacing w:line="240" w:lineRule="auto"/>
              <w:jc w:val="center"/>
              <w:rPr>
                <w:rFonts w:eastAsia="Calibri"/>
                <w:b/>
                <w:color w:val="FFFFFF"/>
                <w:sz w:val="20"/>
                <w:szCs w:val="20"/>
              </w:rPr>
            </w:pPr>
            <w:r w:rsidRPr="006C7F5E">
              <w:rPr>
                <w:rFonts w:eastAsia="Calibri"/>
                <w:b/>
                <w:color w:val="FFFFFF"/>
                <w:sz w:val="20"/>
                <w:szCs w:val="20"/>
              </w:rPr>
              <w:t>Edible Oil</w:t>
            </w:r>
          </w:p>
        </w:tc>
      </w:tr>
      <w:tr w:rsidR="00D77AA1" w:rsidRPr="006C7F5E" w14:paraId="1698D415"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DDEBF7"/>
            <w:vAlign w:val="bottom"/>
          </w:tcPr>
          <w:p w14:paraId="6D826B8C"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1993-94</w:t>
            </w:r>
          </w:p>
        </w:tc>
        <w:tc>
          <w:tcPr>
            <w:tcW w:w="1155" w:type="dxa"/>
            <w:tcBorders>
              <w:top w:val="single" w:sz="4" w:space="0" w:color="9BC2E6"/>
              <w:left w:val="nil"/>
              <w:bottom w:val="single" w:sz="4" w:space="0" w:color="9BC2E6"/>
              <w:right w:val="nil"/>
            </w:tcBorders>
            <w:shd w:val="clear" w:color="auto" w:fill="DDEBF7"/>
            <w:vAlign w:val="bottom"/>
          </w:tcPr>
          <w:p w14:paraId="3F64BE6A"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446.7</w:t>
            </w:r>
          </w:p>
        </w:tc>
        <w:tc>
          <w:tcPr>
            <w:tcW w:w="1155" w:type="dxa"/>
            <w:tcBorders>
              <w:top w:val="single" w:sz="4" w:space="0" w:color="9BC2E6"/>
              <w:left w:val="nil"/>
              <w:bottom w:val="single" w:sz="4" w:space="0" w:color="9BC2E6"/>
              <w:right w:val="nil"/>
            </w:tcBorders>
            <w:shd w:val="clear" w:color="auto" w:fill="DDEBF7"/>
            <w:vAlign w:val="bottom"/>
          </w:tcPr>
          <w:p w14:paraId="16E9B95C"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shd w:val="clear" w:color="auto" w:fill="DDEBF7"/>
            <w:vAlign w:val="bottom"/>
          </w:tcPr>
          <w:p w14:paraId="1F78B186"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90.3</w:t>
            </w:r>
          </w:p>
        </w:tc>
        <w:tc>
          <w:tcPr>
            <w:tcW w:w="1440" w:type="dxa"/>
            <w:tcBorders>
              <w:top w:val="single" w:sz="4" w:space="0" w:color="9BC2E6"/>
              <w:left w:val="nil"/>
              <w:bottom w:val="single" w:sz="4" w:space="0" w:color="9BC2E6"/>
              <w:right w:val="nil"/>
            </w:tcBorders>
            <w:shd w:val="clear" w:color="auto" w:fill="DDEBF7"/>
            <w:vAlign w:val="bottom"/>
          </w:tcPr>
          <w:p w14:paraId="743F36DF"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8.7</w:t>
            </w:r>
          </w:p>
        </w:tc>
        <w:tc>
          <w:tcPr>
            <w:tcW w:w="1110" w:type="dxa"/>
            <w:tcBorders>
              <w:top w:val="single" w:sz="4" w:space="0" w:color="9BC2E6"/>
              <w:left w:val="nil"/>
              <w:bottom w:val="single" w:sz="4" w:space="0" w:color="9BC2E6"/>
              <w:right w:val="single" w:sz="4" w:space="0" w:color="9BC2E6"/>
            </w:tcBorders>
            <w:shd w:val="clear" w:color="auto" w:fill="DDEBF7"/>
            <w:vAlign w:val="bottom"/>
          </w:tcPr>
          <w:p w14:paraId="3828F702"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12.3</w:t>
            </w:r>
          </w:p>
        </w:tc>
      </w:tr>
      <w:tr w:rsidR="00D77AA1" w:rsidRPr="006C7F5E" w14:paraId="7A16357E" w14:textId="77777777">
        <w:trPr>
          <w:trHeight w:val="300"/>
          <w:jc w:val="center"/>
        </w:trPr>
        <w:tc>
          <w:tcPr>
            <w:tcW w:w="1155" w:type="dxa"/>
            <w:tcBorders>
              <w:top w:val="single" w:sz="4" w:space="0" w:color="9BC2E6"/>
              <w:left w:val="single" w:sz="4" w:space="0" w:color="9BC2E6"/>
              <w:bottom w:val="single" w:sz="4" w:space="0" w:color="9BC2E6"/>
              <w:right w:val="nil"/>
            </w:tcBorders>
            <w:vAlign w:val="bottom"/>
          </w:tcPr>
          <w:p w14:paraId="000CE0A1"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1999-00</w:t>
            </w:r>
          </w:p>
        </w:tc>
        <w:tc>
          <w:tcPr>
            <w:tcW w:w="1155" w:type="dxa"/>
            <w:tcBorders>
              <w:top w:val="single" w:sz="4" w:space="0" w:color="9BC2E6"/>
              <w:left w:val="nil"/>
              <w:bottom w:val="single" w:sz="4" w:space="0" w:color="9BC2E6"/>
              <w:right w:val="nil"/>
            </w:tcBorders>
            <w:vAlign w:val="bottom"/>
          </w:tcPr>
          <w:p w14:paraId="09124068"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423.3</w:t>
            </w:r>
          </w:p>
        </w:tc>
        <w:tc>
          <w:tcPr>
            <w:tcW w:w="1155" w:type="dxa"/>
            <w:tcBorders>
              <w:top w:val="single" w:sz="4" w:space="0" w:color="9BC2E6"/>
              <w:left w:val="nil"/>
              <w:bottom w:val="single" w:sz="4" w:space="0" w:color="9BC2E6"/>
              <w:right w:val="nil"/>
            </w:tcBorders>
            <w:vAlign w:val="bottom"/>
          </w:tcPr>
          <w:p w14:paraId="1C3D86F0"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vAlign w:val="bottom"/>
          </w:tcPr>
          <w:p w14:paraId="7F6E6C4F"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110.0</w:t>
            </w:r>
          </w:p>
        </w:tc>
        <w:tc>
          <w:tcPr>
            <w:tcW w:w="1440" w:type="dxa"/>
            <w:tcBorders>
              <w:top w:val="single" w:sz="4" w:space="0" w:color="9BC2E6"/>
              <w:left w:val="nil"/>
              <w:bottom w:val="single" w:sz="4" w:space="0" w:color="9BC2E6"/>
              <w:right w:val="nil"/>
            </w:tcBorders>
            <w:vAlign w:val="bottom"/>
          </w:tcPr>
          <w:p w14:paraId="4A3E197F"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10.7</w:t>
            </w:r>
          </w:p>
        </w:tc>
        <w:tc>
          <w:tcPr>
            <w:tcW w:w="1110" w:type="dxa"/>
            <w:tcBorders>
              <w:top w:val="single" w:sz="4" w:space="0" w:color="9BC2E6"/>
              <w:left w:val="nil"/>
              <w:bottom w:val="single" w:sz="4" w:space="0" w:color="9BC2E6"/>
              <w:right w:val="single" w:sz="4" w:space="0" w:color="9BC2E6"/>
            </w:tcBorders>
            <w:vAlign w:val="bottom"/>
          </w:tcPr>
          <w:p w14:paraId="4B64EE49"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16.7</w:t>
            </w:r>
          </w:p>
        </w:tc>
      </w:tr>
      <w:tr w:rsidR="00D77AA1" w:rsidRPr="006C7F5E" w14:paraId="6A252A02"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DDEBF7"/>
            <w:vAlign w:val="bottom"/>
          </w:tcPr>
          <w:p w14:paraId="410F0DD9"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2004-05</w:t>
            </w:r>
          </w:p>
        </w:tc>
        <w:tc>
          <w:tcPr>
            <w:tcW w:w="1155" w:type="dxa"/>
            <w:tcBorders>
              <w:top w:val="single" w:sz="4" w:space="0" w:color="9BC2E6"/>
              <w:left w:val="nil"/>
              <w:bottom w:val="single" w:sz="4" w:space="0" w:color="9BC2E6"/>
              <w:right w:val="nil"/>
            </w:tcBorders>
            <w:shd w:val="clear" w:color="auto" w:fill="DDEBF7"/>
            <w:vAlign w:val="bottom"/>
          </w:tcPr>
          <w:p w14:paraId="79930709"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403.3</w:t>
            </w:r>
          </w:p>
        </w:tc>
        <w:tc>
          <w:tcPr>
            <w:tcW w:w="1155" w:type="dxa"/>
            <w:tcBorders>
              <w:top w:val="single" w:sz="4" w:space="0" w:color="9BC2E6"/>
              <w:left w:val="nil"/>
              <w:bottom w:val="single" w:sz="4" w:space="0" w:color="9BC2E6"/>
              <w:right w:val="nil"/>
            </w:tcBorders>
            <w:shd w:val="clear" w:color="auto" w:fill="DDEBF7"/>
            <w:vAlign w:val="bottom"/>
          </w:tcPr>
          <w:p w14:paraId="1881CFDF"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23.3</w:t>
            </w:r>
          </w:p>
        </w:tc>
        <w:tc>
          <w:tcPr>
            <w:tcW w:w="1485" w:type="dxa"/>
            <w:tcBorders>
              <w:top w:val="single" w:sz="4" w:space="0" w:color="9BC2E6"/>
              <w:left w:val="nil"/>
              <w:bottom w:val="single" w:sz="4" w:space="0" w:color="9BC2E6"/>
              <w:right w:val="nil"/>
            </w:tcBorders>
            <w:shd w:val="clear" w:color="auto" w:fill="DDEBF7"/>
            <w:vAlign w:val="bottom"/>
          </w:tcPr>
          <w:p w14:paraId="47104B32"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97.3</w:t>
            </w:r>
          </w:p>
        </w:tc>
        <w:tc>
          <w:tcPr>
            <w:tcW w:w="1440" w:type="dxa"/>
            <w:tcBorders>
              <w:top w:val="single" w:sz="4" w:space="0" w:color="9BC2E6"/>
              <w:left w:val="nil"/>
              <w:bottom w:val="single" w:sz="4" w:space="0" w:color="9BC2E6"/>
              <w:right w:val="nil"/>
            </w:tcBorders>
            <w:shd w:val="clear" w:color="auto" w:fill="DDEBF7"/>
            <w:vAlign w:val="bottom"/>
          </w:tcPr>
          <w:p w14:paraId="572184F2"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10.0</w:t>
            </w:r>
          </w:p>
        </w:tc>
        <w:tc>
          <w:tcPr>
            <w:tcW w:w="1110" w:type="dxa"/>
            <w:tcBorders>
              <w:top w:val="single" w:sz="4" w:space="0" w:color="9BC2E6"/>
              <w:left w:val="nil"/>
              <w:bottom w:val="single" w:sz="4" w:space="0" w:color="9BC2E6"/>
              <w:right w:val="single" w:sz="4" w:space="0" w:color="9BC2E6"/>
            </w:tcBorders>
            <w:shd w:val="clear" w:color="auto" w:fill="DDEBF7"/>
            <w:vAlign w:val="bottom"/>
          </w:tcPr>
          <w:p w14:paraId="3BF61234"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16.0</w:t>
            </w:r>
          </w:p>
        </w:tc>
      </w:tr>
      <w:tr w:rsidR="00D77AA1" w:rsidRPr="006C7F5E" w14:paraId="0CC48FEB" w14:textId="77777777">
        <w:trPr>
          <w:trHeight w:val="315"/>
          <w:jc w:val="center"/>
        </w:trPr>
        <w:tc>
          <w:tcPr>
            <w:tcW w:w="1155" w:type="dxa"/>
            <w:tcBorders>
              <w:top w:val="single" w:sz="4" w:space="0" w:color="9BC2E6"/>
              <w:left w:val="single" w:sz="4" w:space="0" w:color="9BC2E6"/>
              <w:bottom w:val="single" w:sz="4" w:space="0" w:color="9BC2E6"/>
              <w:right w:val="nil"/>
            </w:tcBorders>
            <w:vAlign w:val="bottom"/>
          </w:tcPr>
          <w:p w14:paraId="2EC975C1"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2011-12</w:t>
            </w:r>
          </w:p>
        </w:tc>
        <w:tc>
          <w:tcPr>
            <w:tcW w:w="1155" w:type="dxa"/>
            <w:tcBorders>
              <w:top w:val="single" w:sz="4" w:space="0" w:color="9BC2E6"/>
              <w:left w:val="nil"/>
              <w:bottom w:val="single" w:sz="4" w:space="0" w:color="9BC2E6"/>
              <w:right w:val="nil"/>
            </w:tcBorders>
            <w:vAlign w:val="bottom"/>
          </w:tcPr>
          <w:p w14:paraId="01B73D97"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373.3</w:t>
            </w:r>
          </w:p>
        </w:tc>
        <w:tc>
          <w:tcPr>
            <w:tcW w:w="1155" w:type="dxa"/>
            <w:tcBorders>
              <w:top w:val="single" w:sz="4" w:space="0" w:color="9BC2E6"/>
              <w:left w:val="nil"/>
              <w:bottom w:val="single" w:sz="4" w:space="0" w:color="9BC2E6"/>
              <w:right w:val="nil"/>
            </w:tcBorders>
            <w:vAlign w:val="bottom"/>
          </w:tcPr>
          <w:p w14:paraId="6DC2807A"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vAlign w:val="bottom"/>
          </w:tcPr>
          <w:p w14:paraId="59C7B21F"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144.3</w:t>
            </w:r>
          </w:p>
        </w:tc>
        <w:tc>
          <w:tcPr>
            <w:tcW w:w="1440" w:type="dxa"/>
            <w:tcBorders>
              <w:top w:val="single" w:sz="4" w:space="0" w:color="9BC2E6"/>
              <w:left w:val="nil"/>
              <w:bottom w:val="single" w:sz="4" w:space="0" w:color="9BC2E6"/>
              <w:right w:val="nil"/>
            </w:tcBorders>
            <w:vAlign w:val="bottom"/>
          </w:tcPr>
          <w:p w14:paraId="5D092C19"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16.7</w:t>
            </w:r>
          </w:p>
        </w:tc>
        <w:tc>
          <w:tcPr>
            <w:tcW w:w="1110" w:type="dxa"/>
            <w:tcBorders>
              <w:top w:val="single" w:sz="4" w:space="0" w:color="9BC2E6"/>
              <w:left w:val="nil"/>
              <w:bottom w:val="single" w:sz="4" w:space="0" w:color="9BC2E6"/>
              <w:right w:val="single" w:sz="4" w:space="0" w:color="9BC2E6"/>
            </w:tcBorders>
            <w:vAlign w:val="bottom"/>
          </w:tcPr>
          <w:p w14:paraId="43ED96F2"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22.3</w:t>
            </w:r>
          </w:p>
        </w:tc>
      </w:tr>
      <w:tr w:rsidR="00D77AA1" w:rsidRPr="006C7F5E" w14:paraId="11E1FC77" w14:textId="77777777">
        <w:trPr>
          <w:trHeight w:val="300"/>
          <w:jc w:val="center"/>
        </w:trPr>
        <w:tc>
          <w:tcPr>
            <w:tcW w:w="1155" w:type="dxa"/>
            <w:tcBorders>
              <w:top w:val="single" w:sz="4" w:space="0" w:color="9BC2E6"/>
              <w:left w:val="single" w:sz="4" w:space="0" w:color="9BC2E6"/>
              <w:bottom w:val="single" w:sz="4" w:space="0" w:color="9BC2E6"/>
              <w:right w:val="nil"/>
            </w:tcBorders>
            <w:shd w:val="clear" w:color="auto" w:fill="DDEBF7"/>
            <w:vAlign w:val="bottom"/>
          </w:tcPr>
          <w:p w14:paraId="6BD1E137"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2022-23</w:t>
            </w:r>
          </w:p>
        </w:tc>
        <w:tc>
          <w:tcPr>
            <w:tcW w:w="1155" w:type="dxa"/>
            <w:tcBorders>
              <w:top w:val="single" w:sz="4" w:space="0" w:color="9BC2E6"/>
              <w:left w:val="nil"/>
              <w:bottom w:val="single" w:sz="4" w:space="0" w:color="9BC2E6"/>
              <w:right w:val="nil"/>
            </w:tcBorders>
            <w:shd w:val="clear" w:color="auto" w:fill="DDEBF7"/>
            <w:vAlign w:val="bottom"/>
          </w:tcPr>
          <w:p w14:paraId="6DB9F9AF"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320.0</w:t>
            </w:r>
          </w:p>
        </w:tc>
        <w:tc>
          <w:tcPr>
            <w:tcW w:w="1155" w:type="dxa"/>
            <w:tcBorders>
              <w:top w:val="single" w:sz="4" w:space="0" w:color="9BC2E6"/>
              <w:left w:val="nil"/>
              <w:bottom w:val="single" w:sz="4" w:space="0" w:color="9BC2E6"/>
              <w:right w:val="nil"/>
            </w:tcBorders>
            <w:shd w:val="clear" w:color="auto" w:fill="DDEBF7"/>
            <w:vAlign w:val="bottom"/>
          </w:tcPr>
          <w:p w14:paraId="12AC8E69" w14:textId="77777777" w:rsidR="00D77AA1" w:rsidRPr="006C7F5E" w:rsidRDefault="00000000" w:rsidP="00180824">
            <w:pPr>
              <w:spacing w:line="240" w:lineRule="auto"/>
              <w:jc w:val="center"/>
              <w:rPr>
                <w:rFonts w:eastAsia="Calibri"/>
                <w:color w:val="000000"/>
                <w:sz w:val="20"/>
                <w:szCs w:val="20"/>
              </w:rPr>
            </w:pPr>
            <w:r w:rsidRPr="006C7F5E">
              <w:rPr>
                <w:rFonts w:eastAsia="Calibri"/>
                <w:color w:val="000000"/>
                <w:sz w:val="20"/>
                <w:szCs w:val="20"/>
              </w:rPr>
              <w:t>26.7</w:t>
            </w:r>
          </w:p>
        </w:tc>
        <w:tc>
          <w:tcPr>
            <w:tcW w:w="1485" w:type="dxa"/>
            <w:tcBorders>
              <w:top w:val="single" w:sz="4" w:space="0" w:color="9BC2E6"/>
              <w:left w:val="nil"/>
              <w:bottom w:val="single" w:sz="4" w:space="0" w:color="9BC2E6"/>
              <w:right w:val="nil"/>
            </w:tcBorders>
            <w:shd w:val="clear" w:color="auto" w:fill="DDEBF7"/>
            <w:vAlign w:val="bottom"/>
          </w:tcPr>
          <w:p w14:paraId="00E011EA" w14:textId="7CE66D81" w:rsidR="00D77AA1" w:rsidRPr="006C7F5E" w:rsidRDefault="00FE4B22" w:rsidP="00180824">
            <w:pPr>
              <w:spacing w:line="240" w:lineRule="auto"/>
              <w:jc w:val="center"/>
              <w:rPr>
                <w:rFonts w:eastAsia="Calibri"/>
                <w:color w:val="000000"/>
                <w:sz w:val="20"/>
                <w:szCs w:val="20"/>
              </w:rPr>
            </w:pPr>
            <w:r w:rsidRPr="006C7F5E">
              <w:rPr>
                <w:rFonts w:eastAsia="Calibri"/>
                <w:color w:val="000000"/>
                <w:sz w:val="20"/>
                <w:szCs w:val="20"/>
              </w:rPr>
              <w:t>-</w:t>
            </w:r>
          </w:p>
        </w:tc>
        <w:tc>
          <w:tcPr>
            <w:tcW w:w="1440" w:type="dxa"/>
            <w:tcBorders>
              <w:top w:val="single" w:sz="4" w:space="0" w:color="9BC2E6"/>
              <w:left w:val="nil"/>
              <w:bottom w:val="single" w:sz="4" w:space="0" w:color="9BC2E6"/>
              <w:right w:val="nil"/>
            </w:tcBorders>
            <w:shd w:val="clear" w:color="auto" w:fill="DDEBF7"/>
            <w:vAlign w:val="bottom"/>
          </w:tcPr>
          <w:p w14:paraId="2F1BE13A" w14:textId="2F03DC4F" w:rsidR="00D77AA1" w:rsidRPr="006C7F5E" w:rsidRDefault="00FE4B22" w:rsidP="00180824">
            <w:pPr>
              <w:spacing w:line="240" w:lineRule="auto"/>
              <w:jc w:val="center"/>
              <w:rPr>
                <w:rFonts w:eastAsia="Times New Roman"/>
                <w:sz w:val="20"/>
                <w:szCs w:val="20"/>
              </w:rPr>
            </w:pPr>
            <w:r w:rsidRPr="006C7F5E">
              <w:rPr>
                <w:rFonts w:eastAsia="Times New Roman"/>
                <w:sz w:val="20"/>
                <w:szCs w:val="20"/>
              </w:rPr>
              <w:t>-</w:t>
            </w:r>
          </w:p>
        </w:tc>
        <w:tc>
          <w:tcPr>
            <w:tcW w:w="1110" w:type="dxa"/>
            <w:tcBorders>
              <w:top w:val="single" w:sz="4" w:space="0" w:color="9BC2E6"/>
              <w:left w:val="nil"/>
              <w:bottom w:val="single" w:sz="4" w:space="0" w:color="9BC2E6"/>
              <w:right w:val="single" w:sz="4" w:space="0" w:color="9BC2E6"/>
            </w:tcBorders>
            <w:shd w:val="clear" w:color="auto" w:fill="DDEBF7"/>
            <w:vAlign w:val="bottom"/>
          </w:tcPr>
          <w:p w14:paraId="5B9C2FC8" w14:textId="6DF7ABA8" w:rsidR="00D77AA1" w:rsidRPr="006C7F5E" w:rsidRDefault="00FE4B22" w:rsidP="00180824">
            <w:pPr>
              <w:spacing w:line="240" w:lineRule="auto"/>
              <w:jc w:val="center"/>
              <w:rPr>
                <w:rFonts w:eastAsia="Times New Roman"/>
                <w:sz w:val="20"/>
                <w:szCs w:val="20"/>
              </w:rPr>
            </w:pPr>
            <w:r w:rsidRPr="006C7F5E">
              <w:rPr>
                <w:rFonts w:eastAsia="Times New Roman"/>
                <w:sz w:val="20"/>
                <w:szCs w:val="20"/>
              </w:rPr>
              <w:t>-</w:t>
            </w:r>
          </w:p>
        </w:tc>
      </w:tr>
    </w:tbl>
    <w:p w14:paraId="259F132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Source: Author’s Calculation from various rounds of the NSSO-CES</w:t>
      </w:r>
    </w:p>
    <w:p w14:paraId="62ADD824" w14:textId="10E23826" w:rsidR="00D77AA1" w:rsidRPr="006C7F5E" w:rsidRDefault="00000000" w:rsidP="00180824">
      <w:pPr>
        <w:spacing w:before="240" w:after="240" w:line="240" w:lineRule="auto"/>
        <w:jc w:val="both"/>
        <w:rPr>
          <w:rFonts w:eastAsia="Times"/>
          <w:sz w:val="20"/>
          <w:szCs w:val="20"/>
        </w:rPr>
      </w:pPr>
      <w:r w:rsidRPr="006C7F5E">
        <w:rPr>
          <w:rFonts w:eastAsia="Times"/>
          <w:sz w:val="20"/>
          <w:szCs w:val="20"/>
        </w:rPr>
        <w:t xml:space="preserve">The focus period extends from 1993–94 to 2022-23, coinciding with detailed household consumption data from the National Sample Survey Office (NSSO). The table above </w:t>
      </w:r>
      <w:r w:rsidR="009F5218" w:rsidRPr="006C7F5E">
        <w:rPr>
          <w:rFonts w:eastAsia="Times"/>
          <w:sz w:val="20"/>
          <w:szCs w:val="20"/>
        </w:rPr>
        <w:t>illustrates the dietary transition trend in rural India during this post-reform period, highlighting notable changes in the composition of per capita</w:t>
      </w:r>
      <w:r w:rsidRPr="006C7F5E">
        <w:rPr>
          <w:rFonts w:eastAsia="Times"/>
          <w:sz w:val="20"/>
          <w:szCs w:val="20"/>
        </w:rPr>
        <w:t xml:space="preserve"> food consumption. Table 3 shows that cereal consumption per person </w:t>
      </w:r>
      <w:r w:rsidR="009F5218" w:rsidRPr="006C7F5E">
        <w:rPr>
          <w:rFonts w:eastAsia="Times"/>
          <w:sz w:val="20"/>
          <w:szCs w:val="20"/>
        </w:rPr>
        <w:t>decreased significantly from 446.7 units in 1993–94 to 320.0 units in 2022–23, representing a nearly 28% decline</w:t>
      </w:r>
      <w:r w:rsidRPr="006C7F5E">
        <w:rPr>
          <w:rFonts w:eastAsia="Times"/>
          <w:sz w:val="20"/>
          <w:szCs w:val="20"/>
        </w:rPr>
        <w:t>. This ongoing decline illustrates the Engel Effect, where higher income levels lead to reduced cereal intake and increased consumption of higher-value foods</w:t>
      </w:r>
      <w:r w:rsidR="009F5218" w:rsidRPr="006C7F5E">
        <w:rPr>
          <w:rFonts w:eastAsia="Times"/>
          <w:sz w:val="20"/>
          <w:szCs w:val="20"/>
        </w:rPr>
        <w:t>, such as</w:t>
      </w:r>
      <w:r w:rsidRPr="006C7F5E">
        <w:rPr>
          <w:rFonts w:eastAsia="Times"/>
          <w:sz w:val="20"/>
          <w:szCs w:val="20"/>
        </w:rPr>
        <w:t xml:space="preserve"> vegetables, animal protein, and edible oils. Meanwhile, pulses—the primary protein source for lower-income groups—remained almost stagnant, with per capita consumption staying around 26.7 units, except for a dip to 23.3 units in 2004–05. This stagnation reflects supply constraints and a shift in demand toward animal-based proteins. Despite rising incomes, the lack of increase in pulse consumption is concerning from a nutritional security perspective, </w:t>
      </w:r>
      <w:r w:rsidR="009F5218" w:rsidRPr="006C7F5E">
        <w:rPr>
          <w:rFonts w:eastAsia="Times"/>
          <w:sz w:val="20"/>
          <w:szCs w:val="20"/>
        </w:rPr>
        <w:t>as pulses are an affordable and</w:t>
      </w:r>
      <w:r w:rsidRPr="006C7F5E">
        <w:rPr>
          <w:rFonts w:eastAsia="Times"/>
          <w:sz w:val="20"/>
          <w:szCs w:val="20"/>
        </w:rPr>
        <w:t xml:space="preserve"> vital protein source, especially for vegetarians. During this period, vegetable consumption more than doubled from 90.3 units in 1993–94 to 144.3 units in 2011–12, aligning with epidemiological transitions where people increasingly choose “protective foods” to improve dietary quality. Additionally, fish and meat consumption nearly doubled from 8.7 units in 1993–94 to 16.7 units in 2011–12, reflecting global trends of rising demand for animal protein with income growth, </w:t>
      </w:r>
      <w:r w:rsidR="009F5218" w:rsidRPr="006C7F5E">
        <w:rPr>
          <w:rFonts w:eastAsia="Times"/>
          <w:sz w:val="20"/>
          <w:szCs w:val="20"/>
        </w:rPr>
        <w:t>as predicted by</w:t>
      </w:r>
      <w:r w:rsidRPr="006C7F5E">
        <w:rPr>
          <w:rFonts w:eastAsia="Times"/>
          <w:sz w:val="20"/>
          <w:szCs w:val="20"/>
        </w:rPr>
        <w:t xml:space="preserve"> Bennett's Law. </w:t>
      </w:r>
    </w:p>
    <w:p w14:paraId="4249C049" w14:textId="65082BA6" w:rsidR="00D77AA1" w:rsidRPr="006C7F5E" w:rsidRDefault="00000000" w:rsidP="00180824">
      <w:pPr>
        <w:spacing w:before="240" w:after="40" w:line="240" w:lineRule="auto"/>
        <w:jc w:val="both"/>
        <w:rPr>
          <w:rFonts w:eastAsia="Times"/>
          <w:sz w:val="20"/>
          <w:szCs w:val="20"/>
        </w:rPr>
      </w:pPr>
      <w:r w:rsidRPr="006C7F5E">
        <w:rPr>
          <w:rFonts w:eastAsia="Times"/>
          <w:sz w:val="20"/>
          <w:szCs w:val="20"/>
        </w:rPr>
        <w:t xml:space="preserve">This trend indicates a structural shift in diet and shows a higher income elasticity of demand for non-vegetarian foods. It also highlights increased pressure on livestock and fisheries, with consequences for sustainability, food prices, and environmental externalities. Moreover, edible oil consumption rose from 12.3 </w:t>
      </w:r>
      <w:r w:rsidRPr="006C7F5E">
        <w:rPr>
          <w:rFonts w:eastAsia="Times"/>
          <w:sz w:val="20"/>
          <w:szCs w:val="20"/>
        </w:rPr>
        <w:lastRenderedPageBreak/>
        <w:t>units in 1993–94 to 22.3 units in 2011–12, reflecting Westernisation of diets and increased intake of processed foods. This growth aligns with higher income elasticity for fats during the early stages of dietary change. However, from a public health point of view, these trends pose risks of overweight, obesity, and non-communicable diseases, creating a double burden of malnutrition—</w:t>
      </w:r>
      <w:r w:rsidR="00171853" w:rsidRPr="006C7F5E">
        <w:rPr>
          <w:rFonts w:eastAsia="Times"/>
          <w:sz w:val="20"/>
          <w:szCs w:val="20"/>
        </w:rPr>
        <w:t xml:space="preserve">the </w:t>
      </w:r>
      <w:r w:rsidRPr="006C7F5E">
        <w:rPr>
          <w:rFonts w:eastAsia="Times"/>
          <w:sz w:val="20"/>
          <w:szCs w:val="20"/>
        </w:rPr>
        <w:t xml:space="preserve">coexistence of undernutrition and overnutrition. The data reveal a paradox: while economic growth and dietary diversification have </w:t>
      </w:r>
      <w:r w:rsidR="009F5218" w:rsidRPr="006C7F5E">
        <w:rPr>
          <w:rFonts w:eastAsia="Times"/>
          <w:sz w:val="20"/>
          <w:szCs w:val="20"/>
        </w:rPr>
        <w:t>occurred, undernourishment persists</w:t>
      </w:r>
      <w:r w:rsidRPr="006C7F5E">
        <w:rPr>
          <w:rFonts w:eastAsia="Times"/>
          <w:sz w:val="20"/>
          <w:szCs w:val="20"/>
        </w:rPr>
        <w:t>. This highlights the growth–nutrition gap in India: rising overall food consumption does not lead to better nutritional outcomes because of inequalities in access, affordability, and diet quality. In particular, the stagnation in pulse consumption and decline in cereal intake raise concerns about protein-energy adequacy among poorer households, even as wealthier households shift toward vegetables, animal protein, and oils.</w:t>
      </w:r>
    </w:p>
    <w:p w14:paraId="226276E1" w14:textId="77777777" w:rsidR="00D77AA1" w:rsidRPr="006C7F5E" w:rsidRDefault="00000000" w:rsidP="00180824">
      <w:pPr>
        <w:spacing w:before="240" w:after="240" w:line="240" w:lineRule="auto"/>
        <w:jc w:val="both"/>
        <w:rPr>
          <w:rFonts w:eastAsia="Times"/>
          <w:b/>
          <w:bCs/>
          <w:iCs/>
        </w:rPr>
      </w:pPr>
      <w:r w:rsidRPr="006C7F5E">
        <w:rPr>
          <w:rFonts w:eastAsia="Times"/>
          <w:b/>
          <w:bCs/>
          <w:iCs/>
        </w:rPr>
        <w:t>3.3 Nutritional Security</w:t>
      </w:r>
    </w:p>
    <w:p w14:paraId="36775EB8" w14:textId="0851F6D3" w:rsidR="00D77AA1" w:rsidRPr="006C7F5E" w:rsidRDefault="00000000" w:rsidP="00180824">
      <w:pPr>
        <w:spacing w:after="160" w:line="240" w:lineRule="auto"/>
        <w:jc w:val="both"/>
        <w:rPr>
          <w:rFonts w:eastAsia="Times New Roman"/>
          <w:sz w:val="20"/>
          <w:szCs w:val="20"/>
        </w:rPr>
      </w:pPr>
      <w:r w:rsidRPr="006C7F5E">
        <w:rPr>
          <w:rFonts w:eastAsia="Times New Roman"/>
          <w:sz w:val="20"/>
          <w:szCs w:val="20"/>
        </w:rPr>
        <w:t xml:space="preserve">Nutrients such as </w:t>
      </w:r>
      <w:r w:rsidR="00171853" w:rsidRPr="006C7F5E">
        <w:rPr>
          <w:rFonts w:eastAsia="Times New Roman"/>
          <w:sz w:val="20"/>
          <w:szCs w:val="20"/>
        </w:rPr>
        <w:t>calories</w:t>
      </w:r>
      <w:r w:rsidRPr="006C7F5E">
        <w:rPr>
          <w:rFonts w:eastAsia="Times New Roman"/>
          <w:sz w:val="20"/>
          <w:szCs w:val="20"/>
        </w:rPr>
        <w:t>, protein</w:t>
      </w:r>
      <w:r w:rsidR="009F5218" w:rsidRPr="006C7F5E">
        <w:rPr>
          <w:rFonts w:eastAsia="Times New Roman"/>
          <w:sz w:val="20"/>
          <w:szCs w:val="20"/>
        </w:rPr>
        <w:t xml:space="preserve">, and fat have been considered </w:t>
      </w:r>
      <w:r w:rsidRPr="006C7F5E">
        <w:rPr>
          <w:rFonts w:eastAsia="Times New Roman"/>
          <w:sz w:val="20"/>
          <w:szCs w:val="20"/>
        </w:rPr>
        <w:t>indicators of nutrition</w:t>
      </w:r>
      <w:r w:rsidR="00171853" w:rsidRPr="006C7F5E">
        <w:rPr>
          <w:rFonts w:eastAsia="Times New Roman"/>
          <w:sz w:val="20"/>
          <w:szCs w:val="20"/>
        </w:rPr>
        <w:t>,</w:t>
      </w:r>
      <w:r w:rsidRPr="006C7F5E">
        <w:rPr>
          <w:rFonts w:eastAsia="Times New Roman"/>
          <w:sz w:val="20"/>
          <w:szCs w:val="20"/>
        </w:rPr>
        <w:t xml:space="preserve"> and these are the macronutrients. Apart from these, several micronutrients</w:t>
      </w:r>
      <w:r w:rsidR="009F5218" w:rsidRPr="006C7F5E">
        <w:rPr>
          <w:rFonts w:eastAsia="Times New Roman"/>
          <w:sz w:val="20"/>
          <w:szCs w:val="20"/>
        </w:rPr>
        <w:t xml:space="preserve">, such as iron, zinc, and vitamins, </w:t>
      </w:r>
      <w:r w:rsidRPr="006C7F5E">
        <w:rPr>
          <w:rFonts w:eastAsia="Times New Roman"/>
          <w:sz w:val="20"/>
          <w:szCs w:val="20"/>
        </w:rPr>
        <w:t xml:space="preserve">are important indicators of nutrition. </w:t>
      </w:r>
      <w:r w:rsidR="009F5218" w:rsidRPr="006C7F5E">
        <w:rPr>
          <w:rFonts w:eastAsia="Times New Roman"/>
          <w:sz w:val="20"/>
          <w:szCs w:val="20"/>
        </w:rPr>
        <w:t>However, for simplicity, we confine ourselves to macronutrients</w:t>
      </w:r>
      <w:r w:rsidRPr="006C7F5E">
        <w:rPr>
          <w:rFonts w:eastAsia="Times New Roman"/>
          <w:sz w:val="20"/>
          <w:szCs w:val="20"/>
        </w:rPr>
        <w:t xml:space="preserve">. The </w:t>
      </w:r>
      <w:r w:rsidR="00171853" w:rsidRPr="006C7F5E">
        <w:rPr>
          <w:rFonts w:eastAsia="Times New Roman"/>
          <w:sz w:val="20"/>
          <w:szCs w:val="20"/>
        </w:rPr>
        <w:t>requirements</w:t>
      </w:r>
      <w:r w:rsidRPr="006C7F5E">
        <w:rPr>
          <w:rFonts w:eastAsia="Times New Roman"/>
          <w:sz w:val="20"/>
          <w:szCs w:val="20"/>
        </w:rPr>
        <w:t xml:space="preserve"> of nutrients such as calories, protein and fat are not uniform for all members of society. It is differentiated by age, sex, work effort, residence</w:t>
      </w:r>
      <w:r w:rsidR="00171853" w:rsidRPr="006C7F5E">
        <w:rPr>
          <w:rFonts w:eastAsia="Times New Roman"/>
          <w:sz w:val="20"/>
          <w:szCs w:val="20"/>
        </w:rPr>
        <w:t>,</w:t>
      </w:r>
      <w:r w:rsidRPr="006C7F5E">
        <w:rPr>
          <w:rFonts w:eastAsia="Times New Roman"/>
          <w:sz w:val="20"/>
          <w:szCs w:val="20"/>
        </w:rPr>
        <w:t xml:space="preserve"> </w:t>
      </w:r>
      <w:r w:rsidR="009F5218" w:rsidRPr="006C7F5E">
        <w:rPr>
          <w:rFonts w:eastAsia="Times New Roman"/>
          <w:sz w:val="20"/>
          <w:szCs w:val="20"/>
        </w:rPr>
        <w:t>and other factors</w:t>
      </w:r>
      <w:r w:rsidRPr="006C7F5E">
        <w:rPr>
          <w:rFonts w:eastAsia="Times New Roman"/>
          <w:sz w:val="20"/>
          <w:szCs w:val="20"/>
        </w:rPr>
        <w:t xml:space="preserve">. Aggregating these </w:t>
      </w:r>
      <w:r w:rsidR="00171853" w:rsidRPr="006C7F5E">
        <w:rPr>
          <w:rFonts w:eastAsia="Times New Roman"/>
          <w:sz w:val="20"/>
          <w:szCs w:val="20"/>
        </w:rPr>
        <w:t>nutrient</w:t>
      </w:r>
      <w:r w:rsidRPr="006C7F5E">
        <w:rPr>
          <w:rFonts w:eastAsia="Times New Roman"/>
          <w:sz w:val="20"/>
          <w:szCs w:val="20"/>
        </w:rPr>
        <w:t xml:space="preserve"> requirements has been fixed at </w:t>
      </w:r>
      <w:r w:rsidR="00171853" w:rsidRPr="006C7F5E">
        <w:rPr>
          <w:rFonts w:eastAsia="Times New Roman"/>
          <w:sz w:val="20"/>
          <w:szCs w:val="20"/>
        </w:rPr>
        <w:t xml:space="preserve">the </w:t>
      </w:r>
      <w:r w:rsidRPr="006C7F5E">
        <w:rPr>
          <w:rFonts w:eastAsia="Times New Roman"/>
          <w:sz w:val="20"/>
          <w:szCs w:val="20"/>
        </w:rPr>
        <w:t xml:space="preserve">macro level. </w:t>
      </w:r>
      <w:r w:rsidR="009F5218" w:rsidRPr="006C7F5E">
        <w:rPr>
          <w:rFonts w:eastAsia="Times New Roman"/>
          <w:sz w:val="20"/>
          <w:szCs w:val="20"/>
        </w:rPr>
        <w:t>However, the Food and Agriculture Organisation (FAO) recommends considering a reference set of calorie intake requirements for men and women, based on differences in age and activity level</w:t>
      </w:r>
      <w:r w:rsidRPr="006C7F5E">
        <w:rPr>
          <w:rFonts w:eastAsia="Times New Roman"/>
          <w:sz w:val="20"/>
          <w:szCs w:val="20"/>
        </w:rPr>
        <w:t xml:space="preserve">. For each quinquennial round of NSSO, the CES publishes a report on nutritional intake in India. The report contains a detailed table of </w:t>
      </w:r>
      <w:r w:rsidR="009F5218" w:rsidRPr="006C7F5E">
        <w:rPr>
          <w:rFonts w:eastAsia="Times New Roman"/>
          <w:sz w:val="20"/>
          <w:szCs w:val="20"/>
        </w:rPr>
        <w:t>nutrient intake – calories, protein,</w:t>
      </w:r>
      <w:r w:rsidRPr="006C7F5E">
        <w:rPr>
          <w:rFonts w:eastAsia="Times New Roman"/>
          <w:sz w:val="20"/>
          <w:szCs w:val="20"/>
        </w:rPr>
        <w:t xml:space="preserve"> and fat – per diem per consumer unit.  The methodologies </w:t>
      </w:r>
      <w:r w:rsidR="009F5218" w:rsidRPr="006C7F5E">
        <w:rPr>
          <w:rFonts w:eastAsia="Times New Roman"/>
          <w:sz w:val="20"/>
          <w:szCs w:val="20"/>
        </w:rPr>
        <w:t>for calculating nutrient intake are generally</w:t>
      </w:r>
      <w:r w:rsidRPr="006C7F5E">
        <w:rPr>
          <w:rFonts w:eastAsia="Times New Roman"/>
          <w:sz w:val="20"/>
          <w:szCs w:val="20"/>
        </w:rPr>
        <w:t xml:space="preserve"> similar </w:t>
      </w:r>
      <w:r w:rsidR="00171853" w:rsidRPr="006C7F5E">
        <w:rPr>
          <w:rFonts w:eastAsia="Times New Roman"/>
          <w:sz w:val="20"/>
          <w:szCs w:val="20"/>
        </w:rPr>
        <w:t>across</w:t>
      </w:r>
      <w:r w:rsidRPr="006C7F5E">
        <w:rPr>
          <w:rFonts w:eastAsia="Times New Roman"/>
          <w:sz w:val="20"/>
          <w:szCs w:val="20"/>
        </w:rPr>
        <w:t xml:space="preserve"> different rounds. The report on nutritional intake in India</w:t>
      </w:r>
      <w:r w:rsidR="009F5218" w:rsidRPr="006C7F5E">
        <w:rPr>
          <w:rFonts w:eastAsia="Times New Roman"/>
          <w:sz w:val="20"/>
          <w:szCs w:val="20"/>
        </w:rPr>
        <w:t>,</w:t>
      </w:r>
      <w:r w:rsidRPr="006C7F5E">
        <w:rPr>
          <w:rFonts w:eastAsia="Times New Roman"/>
          <w:sz w:val="20"/>
          <w:szCs w:val="20"/>
        </w:rPr>
        <w:t xml:space="preserve"> published by NSSO</w:t>
      </w:r>
      <w:r w:rsidR="009F5218" w:rsidRPr="006C7F5E">
        <w:rPr>
          <w:rFonts w:eastAsia="Times New Roman"/>
          <w:sz w:val="20"/>
          <w:szCs w:val="20"/>
        </w:rPr>
        <w:t>,</w:t>
      </w:r>
      <w:r w:rsidRPr="006C7F5E">
        <w:rPr>
          <w:rFonts w:eastAsia="Times New Roman"/>
          <w:sz w:val="20"/>
          <w:szCs w:val="20"/>
        </w:rPr>
        <w:t xml:space="preserve"> </w:t>
      </w:r>
      <w:r w:rsidR="00171853" w:rsidRPr="006C7F5E">
        <w:rPr>
          <w:rFonts w:eastAsia="Times New Roman"/>
          <w:sz w:val="20"/>
          <w:szCs w:val="20"/>
        </w:rPr>
        <w:t>provides</w:t>
      </w:r>
      <w:r w:rsidRPr="006C7F5E">
        <w:rPr>
          <w:rFonts w:eastAsia="Times New Roman"/>
          <w:sz w:val="20"/>
          <w:szCs w:val="20"/>
        </w:rPr>
        <w:t xml:space="preserve"> a nutritional chart </w:t>
      </w:r>
      <w:r w:rsidR="00171853" w:rsidRPr="006C7F5E">
        <w:rPr>
          <w:rFonts w:eastAsia="Times New Roman"/>
          <w:sz w:val="20"/>
          <w:szCs w:val="20"/>
        </w:rPr>
        <w:t>mentioning</w:t>
      </w:r>
      <w:r w:rsidRPr="006C7F5E">
        <w:rPr>
          <w:rFonts w:eastAsia="Times New Roman"/>
          <w:sz w:val="20"/>
          <w:szCs w:val="20"/>
        </w:rPr>
        <w:t xml:space="preserve"> nutrients (</w:t>
      </w:r>
      <w:r w:rsidR="00171853" w:rsidRPr="006C7F5E">
        <w:rPr>
          <w:rFonts w:eastAsia="Times New Roman"/>
          <w:sz w:val="20"/>
          <w:szCs w:val="20"/>
        </w:rPr>
        <w:t>calories</w:t>
      </w:r>
      <w:r w:rsidRPr="006C7F5E">
        <w:rPr>
          <w:rFonts w:eastAsia="Times New Roman"/>
          <w:sz w:val="20"/>
          <w:szCs w:val="20"/>
        </w:rPr>
        <w:t xml:space="preserve">, protein, and fat) </w:t>
      </w:r>
      <w:r w:rsidR="00171853" w:rsidRPr="006C7F5E">
        <w:rPr>
          <w:rFonts w:eastAsia="Times New Roman"/>
          <w:sz w:val="20"/>
          <w:szCs w:val="20"/>
        </w:rPr>
        <w:t>contained</w:t>
      </w:r>
      <w:r w:rsidRPr="006C7F5E">
        <w:rPr>
          <w:rFonts w:eastAsia="Times New Roman"/>
          <w:sz w:val="20"/>
          <w:szCs w:val="20"/>
        </w:rPr>
        <w:t xml:space="preserve"> </w:t>
      </w:r>
      <w:r w:rsidR="00171853" w:rsidRPr="006C7F5E">
        <w:rPr>
          <w:rFonts w:eastAsia="Times New Roman"/>
          <w:sz w:val="20"/>
          <w:szCs w:val="20"/>
        </w:rPr>
        <w:t>in</w:t>
      </w:r>
      <w:r w:rsidRPr="006C7F5E">
        <w:rPr>
          <w:rFonts w:eastAsia="Times New Roman"/>
          <w:sz w:val="20"/>
          <w:szCs w:val="20"/>
        </w:rPr>
        <w:t xml:space="preserve"> different food </w:t>
      </w:r>
      <w:r w:rsidR="00171853" w:rsidRPr="006C7F5E">
        <w:rPr>
          <w:rFonts w:eastAsia="Times New Roman"/>
          <w:sz w:val="20"/>
          <w:szCs w:val="20"/>
        </w:rPr>
        <w:t>items</w:t>
      </w:r>
      <w:r w:rsidRPr="006C7F5E">
        <w:rPr>
          <w:rFonts w:eastAsia="Times New Roman"/>
          <w:sz w:val="20"/>
          <w:szCs w:val="20"/>
          <w:vertAlign w:val="superscript"/>
        </w:rPr>
        <w:footnoteReference w:id="1"/>
      </w:r>
      <w:r w:rsidRPr="006C7F5E">
        <w:rPr>
          <w:rFonts w:eastAsia="Times New Roman"/>
          <w:sz w:val="20"/>
          <w:szCs w:val="20"/>
        </w:rPr>
        <w:t xml:space="preserve">. Total intake of nutrients of a sample household for the last 30 days has been derived by aggregating the value of nutrients received from the consumption of all food items consumed by the household </w:t>
      </w:r>
      <w:r w:rsidR="009F5218" w:rsidRPr="006C7F5E">
        <w:rPr>
          <w:rFonts w:eastAsia="Times New Roman"/>
          <w:sz w:val="20"/>
          <w:szCs w:val="20"/>
        </w:rPr>
        <w:t>during the previous</w:t>
      </w:r>
      <w:r w:rsidRPr="006C7F5E">
        <w:rPr>
          <w:rFonts w:eastAsia="Times New Roman"/>
          <w:sz w:val="20"/>
          <w:szCs w:val="20"/>
        </w:rPr>
        <w:t xml:space="preserve"> 30 days. Generally, the value of nutrients received for an item consumed by a sample household has been derived by multiplying the reported consumption quantity </w:t>
      </w:r>
      <w:r w:rsidR="00171853" w:rsidRPr="006C7F5E">
        <w:rPr>
          <w:rFonts w:eastAsia="Times New Roman"/>
          <w:sz w:val="20"/>
          <w:szCs w:val="20"/>
        </w:rPr>
        <w:t>by</w:t>
      </w:r>
      <w:r w:rsidRPr="006C7F5E">
        <w:rPr>
          <w:rFonts w:eastAsia="Times New Roman"/>
          <w:sz w:val="20"/>
          <w:szCs w:val="20"/>
        </w:rPr>
        <w:t xml:space="preserve"> </w:t>
      </w:r>
      <w:r w:rsidR="00171853" w:rsidRPr="006C7F5E">
        <w:rPr>
          <w:rFonts w:eastAsia="Times New Roman"/>
          <w:sz w:val="20"/>
          <w:szCs w:val="20"/>
        </w:rPr>
        <w:t xml:space="preserve">the </w:t>
      </w:r>
      <w:r w:rsidRPr="006C7F5E">
        <w:rPr>
          <w:rFonts w:eastAsia="Times New Roman"/>
          <w:sz w:val="20"/>
          <w:szCs w:val="20"/>
        </w:rPr>
        <w:t xml:space="preserve">average nutrients contained per unit of quantity for that item. There exist </w:t>
      </w:r>
      <w:r w:rsidR="00171853" w:rsidRPr="006C7F5E">
        <w:rPr>
          <w:rFonts w:eastAsia="Times New Roman"/>
          <w:sz w:val="20"/>
          <w:szCs w:val="20"/>
        </w:rPr>
        <w:t xml:space="preserve">a </w:t>
      </w:r>
      <w:r w:rsidRPr="006C7F5E">
        <w:rPr>
          <w:rFonts w:eastAsia="Times New Roman"/>
          <w:sz w:val="20"/>
          <w:szCs w:val="20"/>
        </w:rPr>
        <w:t xml:space="preserve">few cases where </w:t>
      </w:r>
      <w:r w:rsidR="00171853" w:rsidRPr="006C7F5E">
        <w:rPr>
          <w:rFonts w:eastAsia="Times New Roman"/>
          <w:sz w:val="20"/>
          <w:szCs w:val="20"/>
        </w:rPr>
        <w:t xml:space="preserve">the </w:t>
      </w:r>
      <w:r w:rsidRPr="006C7F5E">
        <w:rPr>
          <w:rFonts w:eastAsia="Times New Roman"/>
          <w:sz w:val="20"/>
          <w:szCs w:val="20"/>
        </w:rPr>
        <w:t xml:space="preserve">average nutrient </w:t>
      </w:r>
      <w:r w:rsidR="00171853" w:rsidRPr="006C7F5E">
        <w:rPr>
          <w:rFonts w:eastAsia="Times New Roman"/>
          <w:sz w:val="20"/>
          <w:szCs w:val="20"/>
        </w:rPr>
        <w:t>content</w:t>
      </w:r>
      <w:r w:rsidRPr="006C7F5E">
        <w:rPr>
          <w:rFonts w:eastAsia="Times New Roman"/>
          <w:sz w:val="20"/>
          <w:szCs w:val="20"/>
        </w:rPr>
        <w:t xml:space="preserve"> per rupee has been reported in the nutrition chart provided by NSSO, instead of per unit of quantity. The value of nutrients for these items </w:t>
      </w:r>
      <w:r w:rsidR="009F5218" w:rsidRPr="006C7F5E">
        <w:rPr>
          <w:rFonts w:eastAsia="Times New Roman"/>
          <w:sz w:val="20"/>
          <w:szCs w:val="20"/>
        </w:rPr>
        <w:t>in a sample household has been derived by multiplying the reported consumption value</w:t>
      </w:r>
      <w:r w:rsidRPr="006C7F5E">
        <w:rPr>
          <w:rFonts w:eastAsia="Times New Roman"/>
          <w:sz w:val="20"/>
          <w:szCs w:val="20"/>
        </w:rPr>
        <w:t xml:space="preserve"> </w:t>
      </w:r>
      <w:r w:rsidR="00171853" w:rsidRPr="006C7F5E">
        <w:rPr>
          <w:rFonts w:eastAsia="Times New Roman"/>
          <w:sz w:val="20"/>
          <w:szCs w:val="20"/>
        </w:rPr>
        <w:t>by</w:t>
      </w:r>
      <w:r w:rsidRPr="006C7F5E">
        <w:rPr>
          <w:rFonts w:eastAsia="Times New Roman"/>
          <w:sz w:val="20"/>
          <w:szCs w:val="20"/>
        </w:rPr>
        <w:t xml:space="preserve"> </w:t>
      </w:r>
      <w:r w:rsidR="00171853" w:rsidRPr="006C7F5E">
        <w:rPr>
          <w:rFonts w:eastAsia="Times New Roman"/>
          <w:sz w:val="20"/>
          <w:szCs w:val="20"/>
        </w:rPr>
        <w:t xml:space="preserve">the </w:t>
      </w:r>
      <w:r w:rsidRPr="006C7F5E">
        <w:rPr>
          <w:rFonts w:eastAsia="Times New Roman"/>
          <w:sz w:val="20"/>
          <w:szCs w:val="20"/>
        </w:rPr>
        <w:t xml:space="preserve">average nutrients contained per rupee for that item. </w:t>
      </w:r>
      <w:r w:rsidR="00171853" w:rsidRPr="006C7F5E">
        <w:rPr>
          <w:rFonts w:eastAsia="Times New Roman"/>
          <w:sz w:val="20"/>
          <w:szCs w:val="20"/>
        </w:rPr>
        <w:t>Nutrient</w:t>
      </w:r>
      <w:r w:rsidRPr="006C7F5E">
        <w:rPr>
          <w:rFonts w:eastAsia="Times New Roman"/>
          <w:sz w:val="20"/>
          <w:szCs w:val="20"/>
        </w:rPr>
        <w:t xml:space="preserve"> intake per diem per consumer unit has been derived by </w:t>
      </w:r>
      <w:r w:rsidR="009F5218" w:rsidRPr="006C7F5E">
        <w:rPr>
          <w:rFonts w:eastAsia="Times New Roman"/>
          <w:sz w:val="20"/>
          <w:szCs w:val="20"/>
        </w:rPr>
        <w:t>dividing the total intake of nutrients for a sample household over the last 30 days by the product of the number of consumer units in</w:t>
      </w:r>
      <w:r w:rsidRPr="006C7F5E">
        <w:rPr>
          <w:rFonts w:eastAsia="Times New Roman"/>
          <w:sz w:val="20"/>
          <w:szCs w:val="20"/>
        </w:rPr>
        <w:t xml:space="preserve"> the household and 30</w:t>
      </w:r>
      <w:r w:rsidRPr="006C7F5E">
        <w:rPr>
          <w:rFonts w:eastAsia="Times New Roman"/>
          <w:sz w:val="20"/>
          <w:szCs w:val="20"/>
          <w:vertAlign w:val="superscript"/>
        </w:rPr>
        <w:footnoteReference w:id="2"/>
      </w:r>
      <w:r w:rsidRPr="006C7F5E">
        <w:rPr>
          <w:rFonts w:eastAsia="Times New Roman"/>
          <w:sz w:val="20"/>
          <w:szCs w:val="20"/>
        </w:rPr>
        <w:t xml:space="preserve">. The consumer unit has been defined as </w:t>
      </w:r>
      <w:r w:rsidR="00171853" w:rsidRPr="006C7F5E">
        <w:rPr>
          <w:rFonts w:eastAsia="Times New Roman"/>
          <w:sz w:val="20"/>
          <w:szCs w:val="20"/>
        </w:rPr>
        <w:t xml:space="preserve">the </w:t>
      </w:r>
      <w:r w:rsidRPr="006C7F5E">
        <w:rPr>
          <w:rFonts w:eastAsia="Times New Roman"/>
          <w:sz w:val="20"/>
          <w:szCs w:val="20"/>
        </w:rPr>
        <w:t xml:space="preserve">normative rate of equivalence </w:t>
      </w:r>
      <w:r w:rsidR="009F5218" w:rsidRPr="006C7F5E">
        <w:rPr>
          <w:rFonts w:eastAsia="Times New Roman"/>
          <w:sz w:val="20"/>
          <w:szCs w:val="20"/>
        </w:rPr>
        <w:t>for a normal person, based on their age, sex, and activity status, to facilitate the comparison of nutrient requirements between persons of different age, sex, and activity</w:t>
      </w:r>
      <w:r w:rsidRPr="006C7F5E">
        <w:rPr>
          <w:rFonts w:eastAsia="Times New Roman"/>
          <w:sz w:val="20"/>
          <w:szCs w:val="20"/>
        </w:rPr>
        <w:t xml:space="preserve"> groups.  </w:t>
      </w:r>
      <w:r w:rsidR="00976E26" w:rsidRPr="006C7F5E">
        <w:rPr>
          <w:rFonts w:eastAsia="Times New Roman"/>
          <w:sz w:val="20"/>
          <w:szCs w:val="20"/>
        </w:rPr>
        <w:t>One consumer unit equals the Recommended Dietary Allowance (RDA) of energy for a sedentary adult</w:t>
      </w:r>
      <w:r w:rsidRPr="006C7F5E">
        <w:rPr>
          <w:rFonts w:eastAsia="Times New Roman"/>
          <w:sz w:val="20"/>
          <w:szCs w:val="20"/>
        </w:rPr>
        <w:t xml:space="preserve">. NSSO provides a statement </w:t>
      </w:r>
      <w:r w:rsidR="00976E26" w:rsidRPr="006C7F5E">
        <w:rPr>
          <w:rFonts w:eastAsia="Times New Roman"/>
          <w:sz w:val="20"/>
          <w:szCs w:val="20"/>
        </w:rPr>
        <w:t>indicating the number of consumer units assigned to a person based on their</w:t>
      </w:r>
      <w:r w:rsidRPr="006C7F5E">
        <w:rPr>
          <w:rFonts w:eastAsia="Times New Roman"/>
          <w:sz w:val="20"/>
          <w:szCs w:val="20"/>
        </w:rPr>
        <w:t xml:space="preserve"> </w:t>
      </w:r>
      <w:r w:rsidR="00261228" w:rsidRPr="006C7F5E">
        <w:rPr>
          <w:rFonts w:eastAsia="Times New Roman"/>
          <w:sz w:val="20"/>
          <w:szCs w:val="20"/>
        </w:rPr>
        <w:t>age and sex</w:t>
      </w:r>
      <w:r w:rsidRPr="006C7F5E">
        <w:rPr>
          <w:rFonts w:eastAsia="Times New Roman"/>
          <w:sz w:val="20"/>
          <w:szCs w:val="20"/>
        </w:rPr>
        <w:t xml:space="preserve"> composition</w:t>
      </w:r>
      <w:r w:rsidR="00261228" w:rsidRPr="006C7F5E">
        <w:rPr>
          <w:rFonts w:eastAsia="Times New Roman"/>
          <w:sz w:val="20"/>
          <w:szCs w:val="20"/>
        </w:rPr>
        <w:t xml:space="preserve">. </w:t>
      </w:r>
      <w:r w:rsidRPr="006C7F5E">
        <w:rPr>
          <w:rFonts w:eastAsia="Times New Roman"/>
          <w:sz w:val="20"/>
          <w:szCs w:val="20"/>
        </w:rPr>
        <w:t xml:space="preserve">The male member of </w:t>
      </w:r>
      <w:r w:rsidR="00171853" w:rsidRPr="006C7F5E">
        <w:rPr>
          <w:rFonts w:eastAsia="Times New Roman"/>
          <w:sz w:val="20"/>
          <w:szCs w:val="20"/>
        </w:rPr>
        <w:t xml:space="preserve">the </w:t>
      </w:r>
      <w:r w:rsidR="00976E26" w:rsidRPr="006C7F5E">
        <w:rPr>
          <w:rFonts w:eastAsia="Times New Roman"/>
          <w:sz w:val="20"/>
          <w:szCs w:val="20"/>
        </w:rPr>
        <w:t>20–39 age group has been assigned a value of one</w:t>
      </w:r>
      <w:r w:rsidRPr="006C7F5E">
        <w:rPr>
          <w:rFonts w:eastAsia="Times New Roman"/>
          <w:sz w:val="20"/>
          <w:szCs w:val="20"/>
        </w:rPr>
        <w:t xml:space="preserve">. </w:t>
      </w:r>
      <w:r w:rsidR="00261228" w:rsidRPr="006C7F5E">
        <w:rPr>
          <w:rFonts w:eastAsia="Times New Roman"/>
          <w:sz w:val="20"/>
          <w:szCs w:val="20"/>
        </w:rPr>
        <w:t>Unfortunately,</w:t>
      </w:r>
      <w:r w:rsidRPr="006C7F5E">
        <w:rPr>
          <w:rFonts w:eastAsia="Times New Roman"/>
          <w:sz w:val="20"/>
          <w:szCs w:val="20"/>
        </w:rPr>
        <w:t xml:space="preserve"> NSSO doesn’t provide activity status (sedentary, moderate</w:t>
      </w:r>
      <w:r w:rsidR="00261228" w:rsidRPr="006C7F5E">
        <w:rPr>
          <w:rFonts w:eastAsia="Times New Roman"/>
          <w:sz w:val="20"/>
          <w:szCs w:val="20"/>
        </w:rPr>
        <w:t>, or heavy) for workers, even in their statement of consumer units, considering only sedentary workers for each person in a household</w:t>
      </w:r>
      <w:r w:rsidRPr="006C7F5E">
        <w:rPr>
          <w:rFonts w:eastAsia="Times New Roman"/>
          <w:sz w:val="20"/>
          <w:szCs w:val="20"/>
        </w:rPr>
        <w:t>.  Thus, NSSO inherently assumes that all workers are sedentary in nature. Hence</w:t>
      </w:r>
      <w:r w:rsidR="00976E26" w:rsidRPr="006C7F5E">
        <w:rPr>
          <w:rFonts w:eastAsia="Times New Roman"/>
          <w:sz w:val="20"/>
          <w:szCs w:val="20"/>
        </w:rPr>
        <w:t>, the</w:t>
      </w:r>
      <w:r w:rsidRPr="006C7F5E">
        <w:rPr>
          <w:rFonts w:eastAsia="Times New Roman"/>
          <w:sz w:val="20"/>
          <w:szCs w:val="20"/>
        </w:rPr>
        <w:t xml:space="preserve"> total number of consumer units </w:t>
      </w:r>
      <w:r w:rsidR="00976E26" w:rsidRPr="006C7F5E">
        <w:rPr>
          <w:rFonts w:eastAsia="Times New Roman"/>
          <w:sz w:val="20"/>
          <w:szCs w:val="20"/>
        </w:rPr>
        <w:t>in a household, derived by aggregating the individual consumer units</w:t>
      </w:r>
      <w:r w:rsidRPr="006C7F5E">
        <w:rPr>
          <w:rFonts w:eastAsia="Times New Roman"/>
          <w:sz w:val="20"/>
          <w:szCs w:val="20"/>
        </w:rPr>
        <w:t xml:space="preserve">, is kept underestimated here. </w:t>
      </w:r>
    </w:p>
    <w:p w14:paraId="1C798F8A" w14:textId="2AADD603" w:rsidR="00D77AA1" w:rsidRPr="006C7F5E" w:rsidRDefault="00000000" w:rsidP="00180824">
      <w:pPr>
        <w:spacing w:after="160" w:line="240" w:lineRule="auto"/>
        <w:jc w:val="both"/>
        <w:rPr>
          <w:rFonts w:eastAsia="Times New Roman"/>
          <w:sz w:val="20"/>
          <w:szCs w:val="20"/>
        </w:rPr>
      </w:pPr>
      <w:r w:rsidRPr="006C7F5E">
        <w:rPr>
          <w:rFonts w:eastAsia="Times New Roman"/>
          <w:sz w:val="20"/>
          <w:szCs w:val="20"/>
        </w:rPr>
        <w:t xml:space="preserve">The following analysis highlights the trends in per-consumer unit calorie and protein consumption across different expenditure groups </w:t>
      </w:r>
      <w:r w:rsidR="00976E26" w:rsidRPr="006C7F5E">
        <w:rPr>
          <w:rFonts w:eastAsia="Times New Roman"/>
          <w:sz w:val="20"/>
          <w:szCs w:val="20"/>
        </w:rPr>
        <w:t>from 1993–94 to 2022–23, thereby capturing the impact of the reform on nutrition intake in rural India</w:t>
      </w:r>
      <w:r w:rsidRPr="006C7F5E">
        <w:rPr>
          <w:rFonts w:eastAsia="Times New Roman"/>
          <w:sz w:val="20"/>
          <w:szCs w:val="20"/>
        </w:rPr>
        <w:t xml:space="preserve">. The results reveal the persistence of nutritional inequality and </w:t>
      </w:r>
      <w:r w:rsidR="00976E26" w:rsidRPr="006C7F5E">
        <w:rPr>
          <w:rFonts w:eastAsia="Times New Roman"/>
          <w:sz w:val="20"/>
          <w:szCs w:val="20"/>
        </w:rPr>
        <w:t>a decline in calorie and protein intake over time, with the exception of the 2011-12 period</w:t>
      </w:r>
      <w:r w:rsidRPr="006C7F5E">
        <w:rPr>
          <w:rFonts w:eastAsia="Times New Roman"/>
          <w:sz w:val="20"/>
          <w:szCs w:val="20"/>
        </w:rPr>
        <w:t>.</w:t>
      </w:r>
    </w:p>
    <w:p w14:paraId="2F2F7EA5" w14:textId="0ED2A50F" w:rsidR="00D77AA1" w:rsidRDefault="00AB4BE7" w:rsidP="00180824">
      <w:pPr>
        <w:spacing w:before="240" w:after="240" w:line="240" w:lineRule="auto"/>
        <w:jc w:val="both"/>
        <w:rPr>
          <w:rFonts w:eastAsia="Times New Roman"/>
          <w:sz w:val="20"/>
          <w:szCs w:val="20"/>
        </w:rPr>
      </w:pPr>
      <w:r>
        <w:rPr>
          <w:rFonts w:eastAsia="Times"/>
          <w:sz w:val="20"/>
          <w:szCs w:val="20"/>
        </w:rPr>
        <w:t>Figure 1</w:t>
      </w:r>
      <w:r w:rsidRPr="006C7F5E">
        <w:rPr>
          <w:rFonts w:eastAsia="Times"/>
          <w:sz w:val="20"/>
          <w:szCs w:val="20"/>
        </w:rPr>
        <w:t xml:space="preserve"> reveals that the calorie and protein gap between the richest and poorest groups narrowed during the period of analysis. It shrinks from </w:t>
      </w:r>
      <w:r w:rsidRPr="006C7F5E">
        <w:rPr>
          <w:rFonts w:eastAsia="Times New Roman"/>
          <w:sz w:val="20"/>
          <w:szCs w:val="20"/>
        </w:rPr>
        <w:t xml:space="preserve">2285 Kcal in 1993–94 to 1290 Kcal in 2022–23 for calorie intake and </w:t>
      </w:r>
      <w:r w:rsidRPr="006C7F5E">
        <w:rPr>
          <w:rFonts w:eastAsia="Times New Roman"/>
          <w:sz w:val="20"/>
          <w:szCs w:val="20"/>
        </w:rPr>
        <w:lastRenderedPageBreak/>
        <w:t xml:space="preserve">for protein intake from 64.6 grams in 1993-94 to 49.9 grams in 2022-23. However, the disparities remain substantial. Rawal (2008) argued that these persistent differences reflect structural inequities in land ownership, occupational opportunities, and purchasing power. </w:t>
      </w:r>
    </w:p>
    <w:p w14:paraId="26638C7A" w14:textId="77777777" w:rsidR="00AB4BE7" w:rsidRDefault="00AB4BE7" w:rsidP="00AB4BE7">
      <w:pPr>
        <w:spacing w:after="160" w:line="240" w:lineRule="auto"/>
        <w:jc w:val="center"/>
        <w:rPr>
          <w:rFonts w:eastAsia="Times New Roman"/>
          <w:b/>
          <w:sz w:val="20"/>
          <w:szCs w:val="20"/>
        </w:rPr>
      </w:pPr>
    </w:p>
    <w:p w14:paraId="0DB93E26" w14:textId="5CA0F854" w:rsidR="00AB4BE7" w:rsidRPr="006C7F5E" w:rsidRDefault="00AB4BE7" w:rsidP="00AB4BE7">
      <w:pPr>
        <w:spacing w:after="160" w:line="240" w:lineRule="auto"/>
        <w:jc w:val="center"/>
        <w:rPr>
          <w:rFonts w:eastAsia="Times New Roman"/>
          <w:b/>
          <w:sz w:val="20"/>
          <w:szCs w:val="20"/>
        </w:rPr>
      </w:pPr>
      <w:r>
        <w:rPr>
          <w:rFonts w:eastAsia="Times New Roman"/>
          <w:b/>
          <w:sz w:val="20"/>
          <w:szCs w:val="20"/>
        </w:rPr>
        <w:t>Figure 1</w:t>
      </w:r>
      <w:r w:rsidRPr="006C7F5E">
        <w:rPr>
          <w:rFonts w:eastAsia="Times New Roman"/>
          <w:b/>
          <w:sz w:val="20"/>
          <w:szCs w:val="20"/>
        </w:rPr>
        <w:t xml:space="preserve">:  Calorie and Protein Intake </w:t>
      </w:r>
      <w:r w:rsidRPr="006C7F5E">
        <w:rPr>
          <w:rFonts w:eastAsia="Times"/>
          <w:b/>
          <w:sz w:val="20"/>
          <w:szCs w:val="20"/>
        </w:rPr>
        <w:t xml:space="preserve">in Rural India among MPCE Groups </w:t>
      </w:r>
      <w:r w:rsidRPr="006C7F5E">
        <w:rPr>
          <w:rFonts w:eastAsia="Times New Roman"/>
          <w:b/>
          <w:sz w:val="20"/>
          <w:szCs w:val="20"/>
        </w:rPr>
        <w:t>(Consumer Unit/Day)</w:t>
      </w:r>
    </w:p>
    <w:p w14:paraId="3A8D833F" w14:textId="61F0E52C" w:rsidR="00AB4BE7" w:rsidRPr="006C7F5E" w:rsidRDefault="00AB4BE7" w:rsidP="00AB4BE7">
      <w:pPr>
        <w:spacing w:before="240" w:after="240" w:line="240" w:lineRule="auto"/>
        <w:jc w:val="both"/>
        <w:rPr>
          <w:rFonts w:eastAsia="Times"/>
          <w:sz w:val="20"/>
          <w:szCs w:val="20"/>
        </w:rPr>
      </w:pPr>
      <w:r>
        <w:rPr>
          <w:rFonts w:eastAsia="Times"/>
          <w:noProof/>
          <w:sz w:val="20"/>
          <w:szCs w:val="20"/>
        </w:rPr>
        <w:drawing>
          <wp:inline distT="0" distB="0" distL="0" distR="0" wp14:anchorId="3167BE44" wp14:editId="392005B1">
            <wp:extent cx="5944235" cy="1572895"/>
            <wp:effectExtent l="19050" t="19050" r="18415" b="27305"/>
            <wp:docPr id="313763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1572895"/>
                    </a:xfrm>
                    <a:prstGeom prst="rect">
                      <a:avLst/>
                    </a:prstGeom>
                    <a:noFill/>
                    <a:ln>
                      <a:solidFill>
                        <a:schemeClr val="tx1"/>
                      </a:solidFill>
                    </a:ln>
                  </pic:spPr>
                </pic:pic>
              </a:graphicData>
            </a:graphic>
          </wp:inline>
        </w:drawing>
      </w:r>
      <w:r w:rsidRPr="006C7F5E">
        <w:rPr>
          <w:rFonts w:eastAsia="Times"/>
          <w:sz w:val="20"/>
          <w:szCs w:val="20"/>
        </w:rPr>
        <w:t>Source: Author’s Calculation from various rounds of the NSSO-CES</w:t>
      </w:r>
    </w:p>
    <w:p w14:paraId="4C1A3D89" w14:textId="699D15BD" w:rsidR="00D77AA1" w:rsidRPr="006C7F5E" w:rsidRDefault="00976E26" w:rsidP="00180824">
      <w:pPr>
        <w:spacing w:before="240" w:after="240" w:line="240" w:lineRule="auto"/>
        <w:jc w:val="both"/>
        <w:rPr>
          <w:rFonts w:eastAsia="Times New Roman"/>
          <w:sz w:val="20"/>
          <w:szCs w:val="20"/>
        </w:rPr>
      </w:pPr>
      <w:r w:rsidRPr="006C7F5E">
        <w:rPr>
          <w:rFonts w:eastAsia="Times"/>
          <w:sz w:val="20"/>
          <w:szCs w:val="20"/>
        </w:rPr>
        <w:t>Furthermore, over time, per-capita calorie consumption fell from 2,683 kcal in 1993–94 to 2,382 kcal</w:t>
      </w:r>
      <w:r w:rsidRPr="006C7F5E">
        <w:rPr>
          <w:rFonts w:eastAsia="Times New Roman"/>
          <w:sz w:val="20"/>
          <w:szCs w:val="20"/>
        </w:rPr>
        <w:t xml:space="preserve"> in 2022–23, while protein intake declined from 75 grams to 66.1 grams during the same period. Nutritional intake deteriorated significantly across expenditure groups, consistent with declining rural expenditures from 1993-94 to 2004-05 in the early phase of economic reform. It was argued that, from 1993-94 to 2004-05, per capita income rose substantially. However, the declining calorie and protein intake among each </w:t>
      </w:r>
      <w:proofErr w:type="spellStart"/>
      <w:r w:rsidRPr="006C7F5E">
        <w:rPr>
          <w:rFonts w:eastAsia="Times New Roman"/>
          <w:sz w:val="20"/>
          <w:szCs w:val="20"/>
        </w:rPr>
        <w:t>fractile</w:t>
      </w:r>
      <w:proofErr w:type="spellEnd"/>
      <w:r w:rsidRPr="006C7F5E">
        <w:rPr>
          <w:rFonts w:eastAsia="Times New Roman"/>
          <w:sz w:val="20"/>
          <w:szCs w:val="20"/>
        </w:rPr>
        <w:t xml:space="preserve"> group during the same period reveals a paradox. This paradox of declining consumption despite income growth has been widely debated. </w:t>
      </w:r>
      <w:proofErr w:type="spellStart"/>
      <w:r w:rsidRPr="006C7F5E">
        <w:rPr>
          <w:rFonts w:eastAsia="Times New Roman"/>
          <w:sz w:val="20"/>
          <w:szCs w:val="20"/>
        </w:rPr>
        <w:t>Gaiha</w:t>
      </w:r>
      <w:proofErr w:type="spellEnd"/>
      <w:r w:rsidR="00A71986" w:rsidRPr="006C7F5E">
        <w:rPr>
          <w:rFonts w:eastAsia="Times New Roman"/>
          <w:sz w:val="20"/>
          <w:szCs w:val="20"/>
        </w:rPr>
        <w:t xml:space="preserve"> &amp; Thapa (2012) </w:t>
      </w:r>
      <w:r w:rsidRPr="006C7F5E">
        <w:rPr>
          <w:rFonts w:eastAsia="Times New Roman"/>
          <w:sz w:val="20"/>
          <w:szCs w:val="20"/>
        </w:rPr>
        <w:t>explain this paradox as the rising prices of food, particularly for pulses and animal products. Whereas Deaton &amp; Drèze (2009) argued that this shift is towards changing preferences towards non-food expenditures, such as health, education, and durables, and away from calorie-dense staples. The nutritional intake improved moderately across expenditure groups, consistent with rising rural and urban incomes during 1993-94. However, a reversal occurred, from 2011-12 to 2022-23, with declines in both calorie and protein intake across nearly all expenditure groups.</w:t>
      </w:r>
    </w:p>
    <w:p w14:paraId="25B77B96" w14:textId="77777777" w:rsidR="00D77AA1" w:rsidRPr="006C7F5E" w:rsidRDefault="00D77AA1" w:rsidP="00180824">
      <w:pPr>
        <w:spacing w:before="240" w:after="240" w:line="240" w:lineRule="auto"/>
        <w:jc w:val="both"/>
        <w:rPr>
          <w:rFonts w:eastAsia="Times"/>
          <w:sz w:val="20"/>
          <w:szCs w:val="20"/>
        </w:rPr>
      </w:pPr>
    </w:p>
    <w:p w14:paraId="0B0CFE51" w14:textId="385B5114" w:rsidR="00D77AA1" w:rsidRPr="006C7F5E" w:rsidRDefault="00000000" w:rsidP="00180824">
      <w:pPr>
        <w:spacing w:before="240" w:after="240" w:line="240" w:lineRule="auto"/>
        <w:jc w:val="center"/>
        <w:rPr>
          <w:rFonts w:eastAsia="Times"/>
          <w:b/>
          <w:sz w:val="20"/>
          <w:szCs w:val="20"/>
        </w:rPr>
      </w:pPr>
      <w:r w:rsidRPr="006C7F5E">
        <w:rPr>
          <w:rFonts w:eastAsia="Times"/>
          <w:b/>
          <w:sz w:val="20"/>
          <w:szCs w:val="20"/>
        </w:rPr>
        <w:t xml:space="preserve">Table </w:t>
      </w:r>
      <w:r w:rsidR="00AB4BE7">
        <w:rPr>
          <w:rFonts w:eastAsia="Times"/>
          <w:b/>
          <w:sz w:val="20"/>
          <w:szCs w:val="20"/>
        </w:rPr>
        <w:t>4</w:t>
      </w:r>
      <w:r w:rsidRPr="006C7F5E">
        <w:rPr>
          <w:rFonts w:eastAsia="Times"/>
          <w:b/>
          <w:sz w:val="20"/>
          <w:szCs w:val="20"/>
        </w:rPr>
        <w:t>: Percentage Distribution of Protein Intake in Rural India among MPCE Groups in 1993-94 &amp; 2004-05</w:t>
      </w:r>
    </w:p>
    <w:tbl>
      <w:tblPr>
        <w:tblStyle w:val="a6"/>
        <w:tblW w:w="98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34"/>
        <w:gridCol w:w="911"/>
        <w:gridCol w:w="911"/>
        <w:gridCol w:w="913"/>
        <w:gridCol w:w="770"/>
        <w:gridCol w:w="770"/>
        <w:gridCol w:w="888"/>
        <w:gridCol w:w="793"/>
        <w:gridCol w:w="913"/>
        <w:gridCol w:w="770"/>
        <w:gridCol w:w="770"/>
      </w:tblGrid>
      <w:tr w:rsidR="00D77AA1" w:rsidRPr="006C7F5E" w14:paraId="3352DC5F" w14:textId="77777777" w:rsidTr="00D77AA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C850E38" w14:textId="77777777" w:rsidR="00D77AA1" w:rsidRPr="006C7F5E" w:rsidRDefault="00D77AA1" w:rsidP="00180824">
            <w:pPr>
              <w:jc w:val="center"/>
              <w:rPr>
                <w:rFonts w:eastAsia="Times"/>
                <w:sz w:val="20"/>
                <w:szCs w:val="20"/>
              </w:rPr>
            </w:pPr>
          </w:p>
        </w:tc>
        <w:tc>
          <w:tcPr>
            <w:tcW w:w="4275" w:type="dxa"/>
            <w:gridSpan w:val="5"/>
          </w:tcPr>
          <w:p w14:paraId="677F34F0" w14:textId="77777777" w:rsidR="00D77AA1" w:rsidRPr="006C7F5E" w:rsidRDefault="00000000"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1993-94</w:t>
            </w:r>
          </w:p>
        </w:tc>
        <w:tc>
          <w:tcPr>
            <w:tcW w:w="4134" w:type="dxa"/>
            <w:gridSpan w:val="5"/>
          </w:tcPr>
          <w:p w14:paraId="161EB6AE" w14:textId="77777777" w:rsidR="00D77AA1" w:rsidRPr="006C7F5E" w:rsidRDefault="00000000"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2004-05</w:t>
            </w:r>
          </w:p>
        </w:tc>
      </w:tr>
      <w:tr w:rsidR="00D77AA1" w:rsidRPr="006C7F5E" w14:paraId="0E553E82"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CDCF3F8" w14:textId="77777777" w:rsidR="00D77AA1" w:rsidRPr="006C7F5E" w:rsidRDefault="00000000" w:rsidP="00180824">
            <w:pPr>
              <w:jc w:val="center"/>
              <w:rPr>
                <w:rFonts w:eastAsia="Times"/>
                <w:sz w:val="20"/>
                <w:szCs w:val="20"/>
              </w:rPr>
            </w:pPr>
            <w:r w:rsidRPr="006C7F5E">
              <w:rPr>
                <w:rFonts w:eastAsia="Times"/>
                <w:sz w:val="20"/>
                <w:szCs w:val="20"/>
              </w:rPr>
              <w:t>Expenditure Group</w:t>
            </w:r>
          </w:p>
        </w:tc>
        <w:tc>
          <w:tcPr>
            <w:tcW w:w="911" w:type="dxa"/>
          </w:tcPr>
          <w:p w14:paraId="1388213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911" w:type="dxa"/>
          </w:tcPr>
          <w:p w14:paraId="686E6C87"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913" w:type="dxa"/>
          </w:tcPr>
          <w:p w14:paraId="6F46706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Milk &amp; Milk Products</w:t>
            </w:r>
          </w:p>
        </w:tc>
        <w:tc>
          <w:tcPr>
            <w:tcW w:w="770" w:type="dxa"/>
          </w:tcPr>
          <w:p w14:paraId="7C53E95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70" w:type="dxa"/>
          </w:tcPr>
          <w:p w14:paraId="3A2B0C5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c>
          <w:tcPr>
            <w:tcW w:w="888" w:type="dxa"/>
          </w:tcPr>
          <w:p w14:paraId="20862554"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793" w:type="dxa"/>
          </w:tcPr>
          <w:p w14:paraId="5552BD5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913" w:type="dxa"/>
          </w:tcPr>
          <w:p w14:paraId="62358FE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Milk &amp; Milk Products</w:t>
            </w:r>
          </w:p>
        </w:tc>
        <w:tc>
          <w:tcPr>
            <w:tcW w:w="770" w:type="dxa"/>
          </w:tcPr>
          <w:p w14:paraId="3BDFB6EA"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70" w:type="dxa"/>
          </w:tcPr>
          <w:p w14:paraId="107908DA"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r>
      <w:tr w:rsidR="00D77AA1" w:rsidRPr="006C7F5E" w14:paraId="3EC70F5B"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774BB440" w14:textId="77777777" w:rsidR="00D77AA1" w:rsidRPr="006C7F5E" w:rsidRDefault="00000000" w:rsidP="00180824">
            <w:pPr>
              <w:jc w:val="center"/>
              <w:rPr>
                <w:rFonts w:eastAsia="Times"/>
                <w:sz w:val="20"/>
                <w:szCs w:val="20"/>
              </w:rPr>
            </w:pPr>
            <w:r w:rsidRPr="006C7F5E">
              <w:rPr>
                <w:rFonts w:eastAsia="Times"/>
                <w:sz w:val="20"/>
                <w:szCs w:val="20"/>
              </w:rPr>
              <w:t>below 5%</w:t>
            </w:r>
          </w:p>
        </w:tc>
        <w:tc>
          <w:tcPr>
            <w:tcW w:w="911" w:type="dxa"/>
          </w:tcPr>
          <w:p w14:paraId="2E4EEFD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81.43</w:t>
            </w:r>
          </w:p>
        </w:tc>
        <w:tc>
          <w:tcPr>
            <w:tcW w:w="911" w:type="dxa"/>
          </w:tcPr>
          <w:p w14:paraId="2553D6D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8.3</w:t>
            </w:r>
          </w:p>
        </w:tc>
        <w:tc>
          <w:tcPr>
            <w:tcW w:w="913" w:type="dxa"/>
          </w:tcPr>
          <w:p w14:paraId="1C6681E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w:t>
            </w:r>
          </w:p>
        </w:tc>
        <w:tc>
          <w:tcPr>
            <w:tcW w:w="770" w:type="dxa"/>
          </w:tcPr>
          <w:p w14:paraId="2392357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2.46</w:t>
            </w:r>
          </w:p>
        </w:tc>
        <w:tc>
          <w:tcPr>
            <w:tcW w:w="770" w:type="dxa"/>
          </w:tcPr>
          <w:p w14:paraId="3B18DE3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6.41</w:t>
            </w:r>
          </w:p>
        </w:tc>
        <w:tc>
          <w:tcPr>
            <w:tcW w:w="888" w:type="dxa"/>
          </w:tcPr>
          <w:p w14:paraId="44116CE6"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79.69</w:t>
            </w:r>
          </w:p>
        </w:tc>
        <w:tc>
          <w:tcPr>
            <w:tcW w:w="793" w:type="dxa"/>
          </w:tcPr>
          <w:p w14:paraId="6B8B7EA1"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8.92</w:t>
            </w:r>
          </w:p>
        </w:tc>
        <w:tc>
          <w:tcPr>
            <w:tcW w:w="913" w:type="dxa"/>
          </w:tcPr>
          <w:p w14:paraId="6185E6D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1.49</w:t>
            </w:r>
          </w:p>
        </w:tc>
        <w:tc>
          <w:tcPr>
            <w:tcW w:w="770" w:type="dxa"/>
          </w:tcPr>
          <w:p w14:paraId="68F5A5C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1.9</w:t>
            </w:r>
          </w:p>
        </w:tc>
        <w:tc>
          <w:tcPr>
            <w:tcW w:w="770" w:type="dxa"/>
          </w:tcPr>
          <w:p w14:paraId="32E60E8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7.99</w:t>
            </w:r>
          </w:p>
        </w:tc>
      </w:tr>
      <w:tr w:rsidR="00D77AA1" w:rsidRPr="006C7F5E" w14:paraId="078BD18C"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75A4DB24" w14:textId="77777777" w:rsidR="00D77AA1" w:rsidRPr="006C7F5E" w:rsidRDefault="00000000" w:rsidP="00180824">
            <w:pPr>
              <w:jc w:val="center"/>
              <w:rPr>
                <w:rFonts w:eastAsia="Times"/>
                <w:sz w:val="20"/>
                <w:szCs w:val="20"/>
              </w:rPr>
            </w:pPr>
            <w:r w:rsidRPr="006C7F5E">
              <w:rPr>
                <w:rFonts w:eastAsia="Times"/>
                <w:sz w:val="20"/>
                <w:szCs w:val="20"/>
              </w:rPr>
              <w:t>5% - 10%</w:t>
            </w:r>
          </w:p>
        </w:tc>
        <w:tc>
          <w:tcPr>
            <w:tcW w:w="911" w:type="dxa"/>
          </w:tcPr>
          <w:p w14:paraId="5077E00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80.03</w:t>
            </w:r>
          </w:p>
        </w:tc>
        <w:tc>
          <w:tcPr>
            <w:tcW w:w="911" w:type="dxa"/>
          </w:tcPr>
          <w:p w14:paraId="21DB22D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8.73</w:t>
            </w:r>
          </w:p>
        </w:tc>
        <w:tc>
          <w:tcPr>
            <w:tcW w:w="913" w:type="dxa"/>
          </w:tcPr>
          <w:p w14:paraId="6ED3B2C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2.36</w:t>
            </w:r>
          </w:p>
        </w:tc>
        <w:tc>
          <w:tcPr>
            <w:tcW w:w="770" w:type="dxa"/>
          </w:tcPr>
          <w:p w14:paraId="4A7F142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2.06</w:t>
            </w:r>
          </w:p>
        </w:tc>
        <w:tc>
          <w:tcPr>
            <w:tcW w:w="770" w:type="dxa"/>
          </w:tcPr>
          <w:p w14:paraId="0834E022"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6.82</w:t>
            </w:r>
          </w:p>
        </w:tc>
        <w:tc>
          <w:tcPr>
            <w:tcW w:w="888" w:type="dxa"/>
          </w:tcPr>
          <w:p w14:paraId="6F872229"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76.99</w:t>
            </w:r>
          </w:p>
        </w:tc>
        <w:tc>
          <w:tcPr>
            <w:tcW w:w="793" w:type="dxa"/>
          </w:tcPr>
          <w:p w14:paraId="2E36665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8.53</w:t>
            </w:r>
          </w:p>
        </w:tc>
        <w:tc>
          <w:tcPr>
            <w:tcW w:w="913" w:type="dxa"/>
          </w:tcPr>
          <w:p w14:paraId="78021E81"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2.66</w:t>
            </w:r>
          </w:p>
        </w:tc>
        <w:tc>
          <w:tcPr>
            <w:tcW w:w="770" w:type="dxa"/>
          </w:tcPr>
          <w:p w14:paraId="04592C7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1.95</w:t>
            </w:r>
          </w:p>
        </w:tc>
        <w:tc>
          <w:tcPr>
            <w:tcW w:w="770" w:type="dxa"/>
          </w:tcPr>
          <w:p w14:paraId="6C0B461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9.86</w:t>
            </w:r>
          </w:p>
        </w:tc>
      </w:tr>
      <w:tr w:rsidR="00D77AA1" w:rsidRPr="006C7F5E" w14:paraId="232BFF87"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19F2938C" w14:textId="77777777" w:rsidR="00D77AA1" w:rsidRPr="006C7F5E" w:rsidRDefault="00000000" w:rsidP="00180824">
            <w:pPr>
              <w:jc w:val="center"/>
              <w:rPr>
                <w:rFonts w:eastAsia="Times"/>
                <w:sz w:val="20"/>
                <w:szCs w:val="20"/>
              </w:rPr>
            </w:pPr>
            <w:r w:rsidRPr="006C7F5E">
              <w:rPr>
                <w:rFonts w:eastAsia="Times"/>
                <w:sz w:val="20"/>
                <w:szCs w:val="20"/>
              </w:rPr>
              <w:t>10% - 20%</w:t>
            </w:r>
          </w:p>
        </w:tc>
        <w:tc>
          <w:tcPr>
            <w:tcW w:w="911" w:type="dxa"/>
          </w:tcPr>
          <w:p w14:paraId="0A13115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78.05</w:t>
            </w:r>
          </w:p>
        </w:tc>
        <w:tc>
          <w:tcPr>
            <w:tcW w:w="911" w:type="dxa"/>
          </w:tcPr>
          <w:p w14:paraId="188DFCC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9.06</w:t>
            </w:r>
          </w:p>
        </w:tc>
        <w:tc>
          <w:tcPr>
            <w:tcW w:w="913" w:type="dxa"/>
          </w:tcPr>
          <w:p w14:paraId="1A26DF3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3.21</w:t>
            </w:r>
          </w:p>
        </w:tc>
        <w:tc>
          <w:tcPr>
            <w:tcW w:w="770" w:type="dxa"/>
          </w:tcPr>
          <w:p w14:paraId="604D3B8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2.45</w:t>
            </w:r>
          </w:p>
        </w:tc>
        <w:tc>
          <w:tcPr>
            <w:tcW w:w="770" w:type="dxa"/>
          </w:tcPr>
          <w:p w14:paraId="0DF1BD5B"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7.23</w:t>
            </w:r>
          </w:p>
        </w:tc>
        <w:tc>
          <w:tcPr>
            <w:tcW w:w="888" w:type="dxa"/>
          </w:tcPr>
          <w:p w14:paraId="0DFA039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76.28</w:t>
            </w:r>
          </w:p>
        </w:tc>
        <w:tc>
          <w:tcPr>
            <w:tcW w:w="793" w:type="dxa"/>
          </w:tcPr>
          <w:p w14:paraId="4B68357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8.65</w:t>
            </w:r>
          </w:p>
        </w:tc>
        <w:tc>
          <w:tcPr>
            <w:tcW w:w="913" w:type="dxa"/>
          </w:tcPr>
          <w:p w14:paraId="77D7AA8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3.31</w:t>
            </w:r>
          </w:p>
        </w:tc>
        <w:tc>
          <w:tcPr>
            <w:tcW w:w="770" w:type="dxa"/>
          </w:tcPr>
          <w:p w14:paraId="27B62C3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2.53</w:t>
            </w:r>
          </w:p>
        </w:tc>
        <w:tc>
          <w:tcPr>
            <w:tcW w:w="770" w:type="dxa"/>
          </w:tcPr>
          <w:p w14:paraId="12CB7AA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8.92</w:t>
            </w:r>
          </w:p>
        </w:tc>
      </w:tr>
      <w:tr w:rsidR="00D77AA1" w:rsidRPr="006C7F5E" w14:paraId="5B330355"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69F6A8BF" w14:textId="77777777" w:rsidR="00D77AA1" w:rsidRPr="006C7F5E" w:rsidRDefault="00000000" w:rsidP="00180824">
            <w:pPr>
              <w:jc w:val="center"/>
              <w:rPr>
                <w:rFonts w:eastAsia="Times"/>
                <w:sz w:val="20"/>
                <w:szCs w:val="20"/>
              </w:rPr>
            </w:pPr>
            <w:r w:rsidRPr="006C7F5E">
              <w:rPr>
                <w:rFonts w:eastAsia="Times"/>
                <w:sz w:val="20"/>
                <w:szCs w:val="20"/>
              </w:rPr>
              <w:t>20% - 30%</w:t>
            </w:r>
          </w:p>
        </w:tc>
        <w:tc>
          <w:tcPr>
            <w:tcW w:w="911" w:type="dxa"/>
          </w:tcPr>
          <w:p w14:paraId="36B484E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75.98</w:t>
            </w:r>
          </w:p>
        </w:tc>
        <w:tc>
          <w:tcPr>
            <w:tcW w:w="911" w:type="dxa"/>
          </w:tcPr>
          <w:p w14:paraId="465B396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w:t>
            </w:r>
          </w:p>
        </w:tc>
        <w:tc>
          <w:tcPr>
            <w:tcW w:w="913" w:type="dxa"/>
          </w:tcPr>
          <w:p w14:paraId="34B61A0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4.41</w:t>
            </w:r>
          </w:p>
        </w:tc>
        <w:tc>
          <w:tcPr>
            <w:tcW w:w="770" w:type="dxa"/>
          </w:tcPr>
          <w:p w14:paraId="49126BA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2.78</w:t>
            </w:r>
          </w:p>
        </w:tc>
        <w:tc>
          <w:tcPr>
            <w:tcW w:w="770" w:type="dxa"/>
          </w:tcPr>
          <w:p w14:paraId="62B95E21"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7.43</w:t>
            </w:r>
          </w:p>
        </w:tc>
        <w:tc>
          <w:tcPr>
            <w:tcW w:w="888" w:type="dxa"/>
          </w:tcPr>
          <w:p w14:paraId="7C5CFE1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72.73</w:t>
            </w:r>
          </w:p>
        </w:tc>
        <w:tc>
          <w:tcPr>
            <w:tcW w:w="793" w:type="dxa"/>
          </w:tcPr>
          <w:p w14:paraId="168D8E7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8.89</w:t>
            </w:r>
          </w:p>
        </w:tc>
        <w:tc>
          <w:tcPr>
            <w:tcW w:w="913" w:type="dxa"/>
          </w:tcPr>
          <w:p w14:paraId="4F9FC68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w:t>
            </w:r>
          </w:p>
        </w:tc>
        <w:tc>
          <w:tcPr>
            <w:tcW w:w="770" w:type="dxa"/>
          </w:tcPr>
          <w:p w14:paraId="3F90B5B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2.69</w:t>
            </w:r>
          </w:p>
        </w:tc>
        <w:tc>
          <w:tcPr>
            <w:tcW w:w="770" w:type="dxa"/>
          </w:tcPr>
          <w:p w14:paraId="2D98D51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10.66</w:t>
            </w:r>
          </w:p>
        </w:tc>
      </w:tr>
      <w:tr w:rsidR="00D77AA1" w:rsidRPr="006C7F5E" w14:paraId="3C633395"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4F13AE04" w14:textId="77777777" w:rsidR="00D77AA1" w:rsidRPr="006C7F5E" w:rsidRDefault="00000000" w:rsidP="00180824">
            <w:pPr>
              <w:jc w:val="center"/>
              <w:rPr>
                <w:rFonts w:eastAsia="Times"/>
                <w:sz w:val="20"/>
                <w:szCs w:val="20"/>
              </w:rPr>
            </w:pPr>
            <w:r w:rsidRPr="006C7F5E">
              <w:rPr>
                <w:rFonts w:eastAsia="Times"/>
                <w:sz w:val="20"/>
                <w:szCs w:val="20"/>
              </w:rPr>
              <w:t>30% - 40%</w:t>
            </w:r>
          </w:p>
        </w:tc>
        <w:tc>
          <w:tcPr>
            <w:tcW w:w="911" w:type="dxa"/>
          </w:tcPr>
          <w:p w14:paraId="4107BD0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74.46</w:t>
            </w:r>
          </w:p>
        </w:tc>
        <w:tc>
          <w:tcPr>
            <w:tcW w:w="911" w:type="dxa"/>
          </w:tcPr>
          <w:p w14:paraId="60EA71E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9.41</w:t>
            </w:r>
          </w:p>
        </w:tc>
        <w:tc>
          <w:tcPr>
            <w:tcW w:w="913" w:type="dxa"/>
          </w:tcPr>
          <w:p w14:paraId="1D20A10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5.31</w:t>
            </w:r>
          </w:p>
        </w:tc>
        <w:tc>
          <w:tcPr>
            <w:tcW w:w="770" w:type="dxa"/>
          </w:tcPr>
          <w:p w14:paraId="07CD876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3.16</w:t>
            </w:r>
          </w:p>
        </w:tc>
        <w:tc>
          <w:tcPr>
            <w:tcW w:w="770" w:type="dxa"/>
          </w:tcPr>
          <w:p w14:paraId="72CFF3F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7.66</w:t>
            </w:r>
          </w:p>
        </w:tc>
        <w:tc>
          <w:tcPr>
            <w:tcW w:w="888" w:type="dxa"/>
          </w:tcPr>
          <w:p w14:paraId="2ECF7FD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71.73</w:t>
            </w:r>
          </w:p>
        </w:tc>
        <w:tc>
          <w:tcPr>
            <w:tcW w:w="793" w:type="dxa"/>
          </w:tcPr>
          <w:p w14:paraId="6967E94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9.16</w:t>
            </w:r>
          </w:p>
        </w:tc>
        <w:tc>
          <w:tcPr>
            <w:tcW w:w="913" w:type="dxa"/>
          </w:tcPr>
          <w:p w14:paraId="526CBC3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6.3</w:t>
            </w:r>
          </w:p>
        </w:tc>
        <w:tc>
          <w:tcPr>
            <w:tcW w:w="770" w:type="dxa"/>
          </w:tcPr>
          <w:p w14:paraId="307D035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3.01</w:t>
            </w:r>
          </w:p>
        </w:tc>
        <w:tc>
          <w:tcPr>
            <w:tcW w:w="770" w:type="dxa"/>
          </w:tcPr>
          <w:p w14:paraId="46F4E78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9.75</w:t>
            </w:r>
          </w:p>
        </w:tc>
      </w:tr>
      <w:tr w:rsidR="00D77AA1" w:rsidRPr="006C7F5E" w14:paraId="7065838C"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44BEB98A" w14:textId="77777777" w:rsidR="00D77AA1" w:rsidRPr="006C7F5E" w:rsidRDefault="00000000" w:rsidP="00180824">
            <w:pPr>
              <w:jc w:val="center"/>
              <w:rPr>
                <w:rFonts w:eastAsia="Times"/>
                <w:sz w:val="20"/>
                <w:szCs w:val="20"/>
              </w:rPr>
            </w:pPr>
            <w:r w:rsidRPr="006C7F5E">
              <w:rPr>
                <w:rFonts w:eastAsia="Times"/>
                <w:sz w:val="20"/>
                <w:szCs w:val="20"/>
              </w:rPr>
              <w:t>40% - 50%</w:t>
            </w:r>
          </w:p>
        </w:tc>
        <w:tc>
          <w:tcPr>
            <w:tcW w:w="911" w:type="dxa"/>
          </w:tcPr>
          <w:p w14:paraId="63E0B7E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72.43</w:t>
            </w:r>
          </w:p>
        </w:tc>
        <w:tc>
          <w:tcPr>
            <w:tcW w:w="911" w:type="dxa"/>
          </w:tcPr>
          <w:p w14:paraId="3EFAF6E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9.72</w:t>
            </w:r>
          </w:p>
        </w:tc>
        <w:tc>
          <w:tcPr>
            <w:tcW w:w="913" w:type="dxa"/>
          </w:tcPr>
          <w:p w14:paraId="3CDFA0D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6.59</w:t>
            </w:r>
          </w:p>
        </w:tc>
        <w:tc>
          <w:tcPr>
            <w:tcW w:w="770" w:type="dxa"/>
          </w:tcPr>
          <w:p w14:paraId="6A2926A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3.26</w:t>
            </w:r>
          </w:p>
        </w:tc>
        <w:tc>
          <w:tcPr>
            <w:tcW w:w="770" w:type="dxa"/>
          </w:tcPr>
          <w:p w14:paraId="47BD8FE4"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w:t>
            </w:r>
          </w:p>
        </w:tc>
        <w:tc>
          <w:tcPr>
            <w:tcW w:w="888" w:type="dxa"/>
          </w:tcPr>
          <w:p w14:paraId="4E45FDE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69.95</w:t>
            </w:r>
          </w:p>
        </w:tc>
        <w:tc>
          <w:tcPr>
            <w:tcW w:w="793" w:type="dxa"/>
          </w:tcPr>
          <w:p w14:paraId="6E29C20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9.48</w:t>
            </w:r>
          </w:p>
        </w:tc>
        <w:tc>
          <w:tcPr>
            <w:tcW w:w="913" w:type="dxa"/>
          </w:tcPr>
          <w:p w14:paraId="5306960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7.25</w:t>
            </w:r>
          </w:p>
        </w:tc>
        <w:tc>
          <w:tcPr>
            <w:tcW w:w="770" w:type="dxa"/>
          </w:tcPr>
          <w:p w14:paraId="3EB7AAC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3.33</w:t>
            </w:r>
          </w:p>
        </w:tc>
        <w:tc>
          <w:tcPr>
            <w:tcW w:w="770" w:type="dxa"/>
          </w:tcPr>
          <w:p w14:paraId="271F21E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9.95</w:t>
            </w:r>
          </w:p>
        </w:tc>
      </w:tr>
      <w:tr w:rsidR="00D77AA1" w:rsidRPr="006C7F5E" w14:paraId="53A3697A"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17474C5" w14:textId="77777777" w:rsidR="00D77AA1" w:rsidRPr="006C7F5E" w:rsidRDefault="00000000" w:rsidP="00180824">
            <w:pPr>
              <w:jc w:val="center"/>
              <w:rPr>
                <w:rFonts w:eastAsia="Times"/>
                <w:sz w:val="20"/>
                <w:szCs w:val="20"/>
              </w:rPr>
            </w:pPr>
            <w:r w:rsidRPr="006C7F5E">
              <w:rPr>
                <w:rFonts w:eastAsia="Times"/>
                <w:sz w:val="20"/>
                <w:szCs w:val="20"/>
              </w:rPr>
              <w:t>50% - 60%</w:t>
            </w:r>
          </w:p>
        </w:tc>
        <w:tc>
          <w:tcPr>
            <w:tcW w:w="911" w:type="dxa"/>
          </w:tcPr>
          <w:p w14:paraId="6BB0540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70.84</w:t>
            </w:r>
          </w:p>
        </w:tc>
        <w:tc>
          <w:tcPr>
            <w:tcW w:w="911" w:type="dxa"/>
          </w:tcPr>
          <w:p w14:paraId="6695503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9.72</w:t>
            </w:r>
          </w:p>
        </w:tc>
        <w:tc>
          <w:tcPr>
            <w:tcW w:w="913" w:type="dxa"/>
          </w:tcPr>
          <w:p w14:paraId="0932222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7.47</w:t>
            </w:r>
          </w:p>
        </w:tc>
        <w:tc>
          <w:tcPr>
            <w:tcW w:w="770" w:type="dxa"/>
          </w:tcPr>
          <w:p w14:paraId="6355B891"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3.52</w:t>
            </w:r>
          </w:p>
        </w:tc>
        <w:tc>
          <w:tcPr>
            <w:tcW w:w="770" w:type="dxa"/>
          </w:tcPr>
          <w:p w14:paraId="6A96708F"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8.45</w:t>
            </w:r>
          </w:p>
        </w:tc>
        <w:tc>
          <w:tcPr>
            <w:tcW w:w="888" w:type="dxa"/>
          </w:tcPr>
          <w:p w14:paraId="28690EA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68.09</w:t>
            </w:r>
          </w:p>
        </w:tc>
        <w:tc>
          <w:tcPr>
            <w:tcW w:w="793" w:type="dxa"/>
          </w:tcPr>
          <w:p w14:paraId="61638A9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9.39</w:t>
            </w:r>
          </w:p>
        </w:tc>
        <w:tc>
          <w:tcPr>
            <w:tcW w:w="913" w:type="dxa"/>
          </w:tcPr>
          <w:p w14:paraId="42C96521"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9.09</w:t>
            </w:r>
          </w:p>
        </w:tc>
        <w:tc>
          <w:tcPr>
            <w:tcW w:w="770" w:type="dxa"/>
          </w:tcPr>
          <w:p w14:paraId="4339706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3.47</w:t>
            </w:r>
          </w:p>
        </w:tc>
        <w:tc>
          <w:tcPr>
            <w:tcW w:w="770" w:type="dxa"/>
          </w:tcPr>
          <w:p w14:paraId="0D99782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9.22</w:t>
            </w:r>
          </w:p>
        </w:tc>
      </w:tr>
      <w:tr w:rsidR="00D77AA1" w:rsidRPr="006C7F5E" w14:paraId="4DA5C991"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3F124A15" w14:textId="77777777" w:rsidR="00D77AA1" w:rsidRPr="006C7F5E" w:rsidRDefault="00000000" w:rsidP="00180824">
            <w:pPr>
              <w:jc w:val="center"/>
              <w:rPr>
                <w:rFonts w:eastAsia="Times"/>
                <w:sz w:val="20"/>
                <w:szCs w:val="20"/>
              </w:rPr>
            </w:pPr>
            <w:r w:rsidRPr="006C7F5E">
              <w:rPr>
                <w:rFonts w:eastAsia="Times"/>
                <w:sz w:val="20"/>
                <w:szCs w:val="20"/>
              </w:rPr>
              <w:t>60% - 70%</w:t>
            </w:r>
          </w:p>
        </w:tc>
        <w:tc>
          <w:tcPr>
            <w:tcW w:w="911" w:type="dxa"/>
          </w:tcPr>
          <w:p w14:paraId="3BB0DC8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68.84</w:t>
            </w:r>
          </w:p>
        </w:tc>
        <w:tc>
          <w:tcPr>
            <w:tcW w:w="911" w:type="dxa"/>
          </w:tcPr>
          <w:p w14:paraId="0B08D2C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9.71</w:t>
            </w:r>
          </w:p>
        </w:tc>
        <w:tc>
          <w:tcPr>
            <w:tcW w:w="913" w:type="dxa"/>
          </w:tcPr>
          <w:p w14:paraId="6C8BDF4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9.11</w:t>
            </w:r>
          </w:p>
        </w:tc>
        <w:tc>
          <w:tcPr>
            <w:tcW w:w="770" w:type="dxa"/>
          </w:tcPr>
          <w:p w14:paraId="4D02B59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3.76</w:t>
            </w:r>
          </w:p>
        </w:tc>
        <w:tc>
          <w:tcPr>
            <w:tcW w:w="770" w:type="dxa"/>
          </w:tcPr>
          <w:p w14:paraId="7BFC237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8.58</w:t>
            </w:r>
          </w:p>
        </w:tc>
        <w:tc>
          <w:tcPr>
            <w:tcW w:w="888" w:type="dxa"/>
          </w:tcPr>
          <w:p w14:paraId="12E9510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65.62</w:t>
            </w:r>
          </w:p>
        </w:tc>
        <w:tc>
          <w:tcPr>
            <w:tcW w:w="793" w:type="dxa"/>
          </w:tcPr>
          <w:p w14:paraId="1BD5D6B4"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9.38</w:t>
            </w:r>
          </w:p>
        </w:tc>
        <w:tc>
          <w:tcPr>
            <w:tcW w:w="913" w:type="dxa"/>
          </w:tcPr>
          <w:p w14:paraId="759A7F7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9.89</w:t>
            </w:r>
          </w:p>
        </w:tc>
        <w:tc>
          <w:tcPr>
            <w:tcW w:w="770" w:type="dxa"/>
          </w:tcPr>
          <w:p w14:paraId="431914C1"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3.58</w:t>
            </w:r>
          </w:p>
        </w:tc>
        <w:tc>
          <w:tcPr>
            <w:tcW w:w="770" w:type="dxa"/>
          </w:tcPr>
          <w:p w14:paraId="343E1B3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11.2</w:t>
            </w:r>
          </w:p>
        </w:tc>
      </w:tr>
      <w:tr w:rsidR="00D77AA1" w:rsidRPr="006C7F5E" w14:paraId="2D18ABBC"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6C32A44D" w14:textId="77777777" w:rsidR="00D77AA1" w:rsidRPr="006C7F5E" w:rsidRDefault="00000000" w:rsidP="00180824">
            <w:pPr>
              <w:jc w:val="center"/>
              <w:rPr>
                <w:rFonts w:eastAsia="Times"/>
                <w:sz w:val="20"/>
                <w:szCs w:val="20"/>
              </w:rPr>
            </w:pPr>
            <w:r w:rsidRPr="006C7F5E">
              <w:rPr>
                <w:rFonts w:eastAsia="Times"/>
                <w:sz w:val="20"/>
                <w:szCs w:val="20"/>
              </w:rPr>
              <w:lastRenderedPageBreak/>
              <w:t>70% - 80%</w:t>
            </w:r>
          </w:p>
        </w:tc>
        <w:tc>
          <w:tcPr>
            <w:tcW w:w="911" w:type="dxa"/>
          </w:tcPr>
          <w:p w14:paraId="6DD61C0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66.55</w:t>
            </w:r>
          </w:p>
        </w:tc>
        <w:tc>
          <w:tcPr>
            <w:tcW w:w="911" w:type="dxa"/>
          </w:tcPr>
          <w:p w14:paraId="49FD19EB"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9.97</w:t>
            </w:r>
          </w:p>
        </w:tc>
        <w:tc>
          <w:tcPr>
            <w:tcW w:w="913" w:type="dxa"/>
          </w:tcPr>
          <w:p w14:paraId="0DD8383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10.73</w:t>
            </w:r>
          </w:p>
        </w:tc>
        <w:tc>
          <w:tcPr>
            <w:tcW w:w="770" w:type="dxa"/>
          </w:tcPr>
          <w:p w14:paraId="3AF0984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4.12</w:t>
            </w:r>
          </w:p>
        </w:tc>
        <w:tc>
          <w:tcPr>
            <w:tcW w:w="770" w:type="dxa"/>
          </w:tcPr>
          <w:p w14:paraId="3B0DB10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8.63</w:t>
            </w:r>
          </w:p>
        </w:tc>
        <w:tc>
          <w:tcPr>
            <w:tcW w:w="888" w:type="dxa"/>
          </w:tcPr>
          <w:p w14:paraId="174D5B5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62.69</w:t>
            </w:r>
          </w:p>
        </w:tc>
        <w:tc>
          <w:tcPr>
            <w:tcW w:w="793" w:type="dxa"/>
          </w:tcPr>
          <w:p w14:paraId="0DB5235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9.55</w:t>
            </w:r>
          </w:p>
        </w:tc>
        <w:tc>
          <w:tcPr>
            <w:tcW w:w="913" w:type="dxa"/>
          </w:tcPr>
          <w:p w14:paraId="7919B68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11.24</w:t>
            </w:r>
          </w:p>
        </w:tc>
        <w:tc>
          <w:tcPr>
            <w:tcW w:w="770" w:type="dxa"/>
          </w:tcPr>
          <w:p w14:paraId="6A7CC896"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4.46</w:t>
            </w:r>
          </w:p>
        </w:tc>
        <w:tc>
          <w:tcPr>
            <w:tcW w:w="770" w:type="dxa"/>
          </w:tcPr>
          <w:p w14:paraId="5028177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11.79</w:t>
            </w:r>
          </w:p>
        </w:tc>
      </w:tr>
      <w:tr w:rsidR="00D77AA1" w:rsidRPr="006C7F5E" w14:paraId="34EC1EE9"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26812909" w14:textId="77777777" w:rsidR="00D77AA1" w:rsidRPr="006C7F5E" w:rsidRDefault="00000000" w:rsidP="00180824">
            <w:pPr>
              <w:jc w:val="center"/>
              <w:rPr>
                <w:rFonts w:eastAsia="Times"/>
                <w:sz w:val="20"/>
                <w:szCs w:val="20"/>
              </w:rPr>
            </w:pPr>
            <w:r w:rsidRPr="006C7F5E">
              <w:rPr>
                <w:rFonts w:eastAsia="Times"/>
                <w:sz w:val="20"/>
                <w:szCs w:val="20"/>
              </w:rPr>
              <w:t>80% - 90%</w:t>
            </w:r>
          </w:p>
        </w:tc>
        <w:tc>
          <w:tcPr>
            <w:tcW w:w="911" w:type="dxa"/>
          </w:tcPr>
          <w:p w14:paraId="440FFAA9"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63.41</w:t>
            </w:r>
          </w:p>
        </w:tc>
        <w:tc>
          <w:tcPr>
            <w:tcW w:w="911" w:type="dxa"/>
          </w:tcPr>
          <w:p w14:paraId="34100EA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9.49</w:t>
            </w:r>
          </w:p>
        </w:tc>
        <w:tc>
          <w:tcPr>
            <w:tcW w:w="913" w:type="dxa"/>
          </w:tcPr>
          <w:p w14:paraId="670F97D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13.19</w:t>
            </w:r>
          </w:p>
        </w:tc>
        <w:tc>
          <w:tcPr>
            <w:tcW w:w="770" w:type="dxa"/>
          </w:tcPr>
          <w:p w14:paraId="5C40747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4.48</w:t>
            </w:r>
          </w:p>
        </w:tc>
        <w:tc>
          <w:tcPr>
            <w:tcW w:w="770" w:type="dxa"/>
          </w:tcPr>
          <w:p w14:paraId="2FC0A18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9.43</w:t>
            </w:r>
          </w:p>
        </w:tc>
        <w:tc>
          <w:tcPr>
            <w:tcW w:w="888" w:type="dxa"/>
          </w:tcPr>
          <w:p w14:paraId="0C0220B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59.13</w:t>
            </w:r>
          </w:p>
        </w:tc>
        <w:tc>
          <w:tcPr>
            <w:tcW w:w="793" w:type="dxa"/>
          </w:tcPr>
          <w:p w14:paraId="48AD2647"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9.92</w:t>
            </w:r>
          </w:p>
        </w:tc>
        <w:tc>
          <w:tcPr>
            <w:tcW w:w="913" w:type="dxa"/>
          </w:tcPr>
          <w:p w14:paraId="35A254E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13.6</w:t>
            </w:r>
          </w:p>
        </w:tc>
        <w:tc>
          <w:tcPr>
            <w:tcW w:w="770" w:type="dxa"/>
          </w:tcPr>
          <w:p w14:paraId="2FA0C77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5.38</w:t>
            </w:r>
          </w:p>
        </w:tc>
        <w:tc>
          <w:tcPr>
            <w:tcW w:w="770" w:type="dxa"/>
          </w:tcPr>
          <w:p w14:paraId="4611D38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11.87</w:t>
            </w:r>
          </w:p>
        </w:tc>
      </w:tr>
      <w:tr w:rsidR="00D77AA1" w:rsidRPr="006C7F5E" w14:paraId="74DA9177"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616A8DB6" w14:textId="77777777" w:rsidR="00D77AA1" w:rsidRPr="006C7F5E" w:rsidRDefault="00000000" w:rsidP="00180824">
            <w:pPr>
              <w:jc w:val="center"/>
              <w:rPr>
                <w:rFonts w:eastAsia="Times"/>
                <w:sz w:val="20"/>
                <w:szCs w:val="20"/>
              </w:rPr>
            </w:pPr>
            <w:r w:rsidRPr="006C7F5E">
              <w:rPr>
                <w:rFonts w:eastAsia="Times"/>
                <w:sz w:val="20"/>
                <w:szCs w:val="20"/>
              </w:rPr>
              <w:t>90% - 95%</w:t>
            </w:r>
          </w:p>
        </w:tc>
        <w:tc>
          <w:tcPr>
            <w:tcW w:w="911" w:type="dxa"/>
          </w:tcPr>
          <w:p w14:paraId="4FCB5A61"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59.75</w:t>
            </w:r>
          </w:p>
        </w:tc>
        <w:tc>
          <w:tcPr>
            <w:tcW w:w="911" w:type="dxa"/>
          </w:tcPr>
          <w:p w14:paraId="47571E3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10.45</w:t>
            </w:r>
          </w:p>
        </w:tc>
        <w:tc>
          <w:tcPr>
            <w:tcW w:w="913" w:type="dxa"/>
          </w:tcPr>
          <w:p w14:paraId="742F222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15.73</w:t>
            </w:r>
          </w:p>
        </w:tc>
        <w:tc>
          <w:tcPr>
            <w:tcW w:w="770" w:type="dxa"/>
          </w:tcPr>
          <w:p w14:paraId="4F3E543D"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4.62</w:t>
            </w:r>
          </w:p>
        </w:tc>
        <w:tc>
          <w:tcPr>
            <w:tcW w:w="770" w:type="dxa"/>
          </w:tcPr>
          <w:p w14:paraId="25327DC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9.45</w:t>
            </w:r>
          </w:p>
        </w:tc>
        <w:tc>
          <w:tcPr>
            <w:tcW w:w="888" w:type="dxa"/>
          </w:tcPr>
          <w:p w14:paraId="1D1112EB"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56</w:t>
            </w:r>
          </w:p>
        </w:tc>
        <w:tc>
          <w:tcPr>
            <w:tcW w:w="793" w:type="dxa"/>
          </w:tcPr>
          <w:p w14:paraId="330F74FF"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10.18</w:t>
            </w:r>
          </w:p>
        </w:tc>
        <w:tc>
          <w:tcPr>
            <w:tcW w:w="913" w:type="dxa"/>
          </w:tcPr>
          <w:p w14:paraId="73083A3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16.72</w:t>
            </w:r>
          </w:p>
        </w:tc>
        <w:tc>
          <w:tcPr>
            <w:tcW w:w="770" w:type="dxa"/>
          </w:tcPr>
          <w:p w14:paraId="1DAF540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5.35</w:t>
            </w:r>
          </w:p>
        </w:tc>
        <w:tc>
          <w:tcPr>
            <w:tcW w:w="770" w:type="dxa"/>
          </w:tcPr>
          <w:p w14:paraId="6A37AC51"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11.59</w:t>
            </w:r>
          </w:p>
        </w:tc>
      </w:tr>
      <w:tr w:rsidR="00D77AA1" w:rsidRPr="006C7F5E" w14:paraId="3CBE9324" w14:textId="77777777" w:rsidTr="00D77AA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434" w:type="dxa"/>
          </w:tcPr>
          <w:p w14:paraId="000B6D9B" w14:textId="77777777" w:rsidR="00D77AA1" w:rsidRPr="006C7F5E" w:rsidRDefault="00000000" w:rsidP="00180824">
            <w:pPr>
              <w:jc w:val="center"/>
              <w:rPr>
                <w:rFonts w:eastAsia="Times"/>
                <w:sz w:val="20"/>
                <w:szCs w:val="20"/>
              </w:rPr>
            </w:pPr>
            <w:r w:rsidRPr="006C7F5E">
              <w:rPr>
                <w:rFonts w:eastAsia="Times"/>
                <w:sz w:val="20"/>
                <w:szCs w:val="20"/>
              </w:rPr>
              <w:t>95% and above</w:t>
            </w:r>
          </w:p>
        </w:tc>
        <w:tc>
          <w:tcPr>
            <w:tcW w:w="911" w:type="dxa"/>
          </w:tcPr>
          <w:p w14:paraId="5178920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55.17</w:t>
            </w:r>
          </w:p>
        </w:tc>
        <w:tc>
          <w:tcPr>
            <w:tcW w:w="911" w:type="dxa"/>
          </w:tcPr>
          <w:p w14:paraId="1986CB4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11.27</w:t>
            </w:r>
          </w:p>
        </w:tc>
        <w:tc>
          <w:tcPr>
            <w:tcW w:w="913" w:type="dxa"/>
          </w:tcPr>
          <w:p w14:paraId="6331DEE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17.36</w:t>
            </w:r>
          </w:p>
        </w:tc>
        <w:tc>
          <w:tcPr>
            <w:tcW w:w="770" w:type="dxa"/>
          </w:tcPr>
          <w:p w14:paraId="0B420C6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5.44</w:t>
            </w:r>
          </w:p>
        </w:tc>
        <w:tc>
          <w:tcPr>
            <w:tcW w:w="770" w:type="dxa"/>
          </w:tcPr>
          <w:p w14:paraId="7FE2B13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10.76</w:t>
            </w:r>
          </w:p>
        </w:tc>
        <w:tc>
          <w:tcPr>
            <w:tcW w:w="888" w:type="dxa"/>
          </w:tcPr>
          <w:p w14:paraId="36B691F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50.32</w:t>
            </w:r>
          </w:p>
        </w:tc>
        <w:tc>
          <w:tcPr>
            <w:tcW w:w="793" w:type="dxa"/>
          </w:tcPr>
          <w:p w14:paraId="150A365A"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10.97</w:t>
            </w:r>
          </w:p>
        </w:tc>
        <w:tc>
          <w:tcPr>
            <w:tcW w:w="913" w:type="dxa"/>
          </w:tcPr>
          <w:p w14:paraId="43D3E61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16.49</w:t>
            </w:r>
          </w:p>
        </w:tc>
        <w:tc>
          <w:tcPr>
            <w:tcW w:w="770" w:type="dxa"/>
          </w:tcPr>
          <w:p w14:paraId="332E3667"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7.8</w:t>
            </w:r>
          </w:p>
        </w:tc>
        <w:tc>
          <w:tcPr>
            <w:tcW w:w="770" w:type="dxa"/>
          </w:tcPr>
          <w:p w14:paraId="0EE9DC8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14.18</w:t>
            </w:r>
          </w:p>
        </w:tc>
      </w:tr>
      <w:tr w:rsidR="00D77AA1" w:rsidRPr="006C7F5E" w14:paraId="018F0805" w14:textId="77777777" w:rsidTr="00D77AA1">
        <w:trPr>
          <w:trHeight w:val="308"/>
        </w:trPr>
        <w:tc>
          <w:tcPr>
            <w:cnfStyle w:val="001000000000" w:firstRow="0" w:lastRow="0" w:firstColumn="1" w:lastColumn="0" w:oddVBand="0" w:evenVBand="0" w:oddHBand="0" w:evenHBand="0" w:firstRowFirstColumn="0" w:firstRowLastColumn="0" w:lastRowFirstColumn="0" w:lastRowLastColumn="0"/>
            <w:tcW w:w="1434" w:type="dxa"/>
          </w:tcPr>
          <w:p w14:paraId="761FB354" w14:textId="77777777" w:rsidR="00D77AA1" w:rsidRPr="006C7F5E" w:rsidRDefault="00000000" w:rsidP="00180824">
            <w:pPr>
              <w:jc w:val="center"/>
              <w:rPr>
                <w:rFonts w:eastAsia="Times"/>
                <w:sz w:val="20"/>
                <w:szCs w:val="20"/>
              </w:rPr>
            </w:pPr>
            <w:r w:rsidRPr="006C7F5E">
              <w:rPr>
                <w:rFonts w:eastAsia="Times"/>
                <w:sz w:val="20"/>
                <w:szCs w:val="20"/>
              </w:rPr>
              <w:t>ALL</w:t>
            </w:r>
          </w:p>
        </w:tc>
        <w:tc>
          <w:tcPr>
            <w:tcW w:w="911" w:type="dxa"/>
          </w:tcPr>
          <w:p w14:paraId="392F82E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69.42</w:t>
            </w:r>
          </w:p>
        </w:tc>
        <w:tc>
          <w:tcPr>
            <w:tcW w:w="911" w:type="dxa"/>
          </w:tcPr>
          <w:p w14:paraId="6EBD5BE3"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9.76</w:t>
            </w:r>
          </w:p>
        </w:tc>
        <w:tc>
          <w:tcPr>
            <w:tcW w:w="913" w:type="dxa"/>
          </w:tcPr>
          <w:p w14:paraId="717B055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8.81</w:t>
            </w:r>
          </w:p>
        </w:tc>
        <w:tc>
          <w:tcPr>
            <w:tcW w:w="770" w:type="dxa"/>
          </w:tcPr>
          <w:p w14:paraId="1789517F"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3.66</w:t>
            </w:r>
          </w:p>
        </w:tc>
        <w:tc>
          <w:tcPr>
            <w:tcW w:w="770" w:type="dxa"/>
          </w:tcPr>
          <w:p w14:paraId="0A083C1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8.35</w:t>
            </w:r>
          </w:p>
        </w:tc>
        <w:tc>
          <w:tcPr>
            <w:tcW w:w="888" w:type="dxa"/>
          </w:tcPr>
          <w:p w14:paraId="78F63F1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66.37</w:t>
            </w:r>
          </w:p>
        </w:tc>
        <w:tc>
          <w:tcPr>
            <w:tcW w:w="793" w:type="dxa"/>
          </w:tcPr>
          <w:p w14:paraId="19DEE4B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9.47</w:t>
            </w:r>
          </w:p>
        </w:tc>
        <w:tc>
          <w:tcPr>
            <w:tcW w:w="913" w:type="dxa"/>
          </w:tcPr>
          <w:p w14:paraId="16F9237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9.48</w:t>
            </w:r>
          </w:p>
        </w:tc>
        <w:tc>
          <w:tcPr>
            <w:tcW w:w="770" w:type="dxa"/>
          </w:tcPr>
          <w:p w14:paraId="6ED23DA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3.98</w:t>
            </w:r>
          </w:p>
        </w:tc>
        <w:tc>
          <w:tcPr>
            <w:tcW w:w="770" w:type="dxa"/>
          </w:tcPr>
          <w:p w14:paraId="129537E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11.84</w:t>
            </w:r>
          </w:p>
        </w:tc>
      </w:tr>
    </w:tbl>
    <w:p w14:paraId="67334C87"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Source: Author’s Calculation from various rounds of the NSSO-CES</w:t>
      </w:r>
    </w:p>
    <w:p w14:paraId="360BD766" w14:textId="77777777" w:rsidR="00D77AA1" w:rsidRPr="006C7F5E" w:rsidRDefault="00D77AA1" w:rsidP="00180824">
      <w:pPr>
        <w:spacing w:line="240" w:lineRule="auto"/>
        <w:jc w:val="both"/>
        <w:rPr>
          <w:rFonts w:eastAsia="Times"/>
          <w:sz w:val="20"/>
          <w:szCs w:val="20"/>
        </w:rPr>
      </w:pPr>
    </w:p>
    <w:p w14:paraId="7F5328C3" w14:textId="19E52F28" w:rsidR="00D77AA1" w:rsidRPr="006C7F5E" w:rsidRDefault="00000000" w:rsidP="00180824">
      <w:pPr>
        <w:spacing w:line="240" w:lineRule="auto"/>
        <w:jc w:val="both"/>
        <w:rPr>
          <w:rFonts w:eastAsia="Times"/>
          <w:sz w:val="20"/>
          <w:szCs w:val="20"/>
        </w:rPr>
      </w:pPr>
      <w:r w:rsidRPr="006C7F5E">
        <w:rPr>
          <w:rFonts w:eastAsia="Times"/>
          <w:sz w:val="20"/>
          <w:szCs w:val="20"/>
        </w:rPr>
        <w:t xml:space="preserve">Tables </w:t>
      </w:r>
      <w:r w:rsidR="00AB4BE7">
        <w:rPr>
          <w:rFonts w:eastAsia="Times"/>
          <w:sz w:val="20"/>
          <w:szCs w:val="20"/>
        </w:rPr>
        <w:t>4</w:t>
      </w:r>
      <w:r w:rsidRPr="006C7F5E">
        <w:rPr>
          <w:rFonts w:eastAsia="Times"/>
          <w:sz w:val="20"/>
          <w:szCs w:val="20"/>
        </w:rPr>
        <w:t xml:space="preserve"> and 5 illustrate the distribution of protein across different expenditure groups in rural India. Between 1993–94 and 2022–23, rural India experienced a pronounced shift in protein intake patterns. Cereals, which contributed nearly 70% of protein in 1993–94, declined steadily to less than 47% by 2022–23. This contraction reflects both </w:t>
      </w:r>
      <w:r w:rsidR="00976E26" w:rsidRPr="006C7F5E">
        <w:rPr>
          <w:rFonts w:eastAsia="Times"/>
          <w:sz w:val="20"/>
          <w:szCs w:val="20"/>
        </w:rPr>
        <w:t xml:space="preserve">the declining income elasticity of cereals and the </w:t>
      </w:r>
      <w:r w:rsidRPr="006C7F5E">
        <w:rPr>
          <w:rFonts w:eastAsia="Times"/>
          <w:sz w:val="20"/>
          <w:szCs w:val="20"/>
        </w:rPr>
        <w:t xml:space="preserve">rising relative demand for diversified, high-quality proteins. In contrast, other foods (fruits, vegetables, processed foods) increased from 8.4% to 21.4%, while animal-based proteins (milk, eggs, fish, meat) saw substantial expansion, particularly post-2004–05. This trajectory signals India’s progression through the nutrition transition, characterised by </w:t>
      </w:r>
      <w:r w:rsidR="00976E26" w:rsidRPr="006C7F5E">
        <w:rPr>
          <w:rFonts w:eastAsia="Times"/>
          <w:sz w:val="20"/>
          <w:szCs w:val="20"/>
        </w:rPr>
        <w:t>a declining reliance on staple grains and a rising consumption of animal products and processed foods</w:t>
      </w:r>
      <w:r w:rsidRPr="006C7F5E">
        <w:rPr>
          <w:rFonts w:eastAsia="Times"/>
          <w:sz w:val="20"/>
          <w:szCs w:val="20"/>
        </w:rPr>
        <w:t>.</w:t>
      </w:r>
    </w:p>
    <w:p w14:paraId="344FB056" w14:textId="77777777" w:rsidR="00D77AA1" w:rsidRPr="006C7F5E" w:rsidRDefault="00D77AA1" w:rsidP="00180824">
      <w:pPr>
        <w:spacing w:line="240" w:lineRule="auto"/>
        <w:jc w:val="both"/>
        <w:rPr>
          <w:rFonts w:eastAsia="Times"/>
          <w:sz w:val="20"/>
          <w:szCs w:val="20"/>
        </w:rPr>
      </w:pPr>
    </w:p>
    <w:p w14:paraId="702C9181" w14:textId="22424BE0" w:rsidR="00D77AA1" w:rsidRPr="006C7F5E" w:rsidRDefault="00000000" w:rsidP="00180824">
      <w:pPr>
        <w:spacing w:before="240" w:after="240" w:line="240" w:lineRule="auto"/>
        <w:jc w:val="center"/>
        <w:rPr>
          <w:rFonts w:eastAsia="Times"/>
          <w:sz w:val="20"/>
          <w:szCs w:val="20"/>
        </w:rPr>
      </w:pPr>
      <w:r w:rsidRPr="006C7F5E">
        <w:rPr>
          <w:rFonts w:eastAsia="Times"/>
          <w:b/>
          <w:sz w:val="20"/>
          <w:szCs w:val="20"/>
        </w:rPr>
        <w:t>Table 5: Percentage Distribution of Protein Intake in Rural India among MPCE Groups in 2011-12 &amp; 2022-23</w:t>
      </w:r>
    </w:p>
    <w:tbl>
      <w:tblPr>
        <w:tblStyle w:val="a7"/>
        <w:tblW w:w="98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45"/>
        <w:gridCol w:w="855"/>
        <w:gridCol w:w="763"/>
        <w:gridCol w:w="1010"/>
        <w:gridCol w:w="898"/>
        <w:gridCol w:w="707"/>
        <w:gridCol w:w="856"/>
        <w:gridCol w:w="764"/>
        <w:gridCol w:w="1010"/>
        <w:gridCol w:w="898"/>
        <w:gridCol w:w="707"/>
      </w:tblGrid>
      <w:tr w:rsidR="00D77AA1" w:rsidRPr="006C7F5E" w14:paraId="28EB2BC8" w14:textId="77777777" w:rsidTr="00D77AA1">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78D6FFE4" w14:textId="77777777" w:rsidR="00D77AA1" w:rsidRPr="006C7F5E" w:rsidRDefault="00D77AA1" w:rsidP="00180824">
            <w:pPr>
              <w:jc w:val="center"/>
              <w:rPr>
                <w:rFonts w:eastAsia="Times"/>
                <w:sz w:val="20"/>
                <w:szCs w:val="20"/>
              </w:rPr>
            </w:pPr>
          </w:p>
        </w:tc>
        <w:tc>
          <w:tcPr>
            <w:tcW w:w="4233" w:type="dxa"/>
            <w:gridSpan w:val="5"/>
          </w:tcPr>
          <w:p w14:paraId="6B23BBBF" w14:textId="77777777" w:rsidR="00D77AA1" w:rsidRPr="006C7F5E" w:rsidRDefault="00000000"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2011-12</w:t>
            </w:r>
          </w:p>
        </w:tc>
        <w:tc>
          <w:tcPr>
            <w:tcW w:w="4235" w:type="dxa"/>
            <w:gridSpan w:val="5"/>
          </w:tcPr>
          <w:p w14:paraId="54E67A35" w14:textId="77777777" w:rsidR="00D77AA1" w:rsidRPr="006C7F5E" w:rsidRDefault="00000000" w:rsidP="00180824">
            <w:pPr>
              <w:jc w:val="center"/>
              <w:cnfStyle w:val="100000000000" w:firstRow="1"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2022-23</w:t>
            </w:r>
          </w:p>
        </w:tc>
      </w:tr>
      <w:tr w:rsidR="00D77AA1" w:rsidRPr="006C7F5E" w14:paraId="3A9DB853"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60FB5A0B" w14:textId="77777777" w:rsidR="00D77AA1" w:rsidRPr="006C7F5E" w:rsidRDefault="00000000" w:rsidP="00180824">
            <w:pPr>
              <w:jc w:val="center"/>
              <w:rPr>
                <w:rFonts w:eastAsia="Times"/>
                <w:sz w:val="20"/>
                <w:szCs w:val="20"/>
              </w:rPr>
            </w:pPr>
            <w:r w:rsidRPr="006C7F5E">
              <w:rPr>
                <w:rFonts w:eastAsia="Times"/>
                <w:sz w:val="20"/>
                <w:szCs w:val="20"/>
              </w:rPr>
              <w:t>Expenditure Group</w:t>
            </w:r>
          </w:p>
        </w:tc>
        <w:tc>
          <w:tcPr>
            <w:tcW w:w="855" w:type="dxa"/>
          </w:tcPr>
          <w:p w14:paraId="25BA2F4A"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763" w:type="dxa"/>
          </w:tcPr>
          <w:p w14:paraId="72B4F4C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1010" w:type="dxa"/>
          </w:tcPr>
          <w:p w14:paraId="23209B9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Milk &amp; Milk Products</w:t>
            </w:r>
          </w:p>
        </w:tc>
        <w:tc>
          <w:tcPr>
            <w:tcW w:w="898" w:type="dxa"/>
          </w:tcPr>
          <w:p w14:paraId="34FEBDF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07" w:type="dxa"/>
          </w:tcPr>
          <w:p w14:paraId="2BCA5DB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c>
          <w:tcPr>
            <w:tcW w:w="856" w:type="dxa"/>
          </w:tcPr>
          <w:p w14:paraId="0D7AC732"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Cereals</w:t>
            </w:r>
          </w:p>
        </w:tc>
        <w:tc>
          <w:tcPr>
            <w:tcW w:w="764" w:type="dxa"/>
          </w:tcPr>
          <w:p w14:paraId="3A389119"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Pulses</w:t>
            </w:r>
          </w:p>
        </w:tc>
        <w:tc>
          <w:tcPr>
            <w:tcW w:w="1010" w:type="dxa"/>
          </w:tcPr>
          <w:p w14:paraId="27232DF2"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Milk &amp; Milk Products</w:t>
            </w:r>
          </w:p>
        </w:tc>
        <w:tc>
          <w:tcPr>
            <w:tcW w:w="898" w:type="dxa"/>
          </w:tcPr>
          <w:p w14:paraId="0BA669C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Egg, Fish, &amp; Meat</w:t>
            </w:r>
          </w:p>
        </w:tc>
        <w:tc>
          <w:tcPr>
            <w:tcW w:w="707" w:type="dxa"/>
          </w:tcPr>
          <w:p w14:paraId="0A355229"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Other Food</w:t>
            </w:r>
          </w:p>
        </w:tc>
      </w:tr>
      <w:tr w:rsidR="00D77AA1" w:rsidRPr="006C7F5E" w14:paraId="067DE222"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4FB5224A" w14:textId="77777777" w:rsidR="00D77AA1" w:rsidRPr="006C7F5E" w:rsidRDefault="00000000" w:rsidP="00180824">
            <w:pPr>
              <w:jc w:val="center"/>
              <w:rPr>
                <w:rFonts w:eastAsia="Times"/>
                <w:sz w:val="20"/>
                <w:szCs w:val="20"/>
              </w:rPr>
            </w:pPr>
            <w:r w:rsidRPr="006C7F5E">
              <w:rPr>
                <w:rFonts w:eastAsia="Times"/>
                <w:sz w:val="20"/>
                <w:szCs w:val="20"/>
              </w:rPr>
              <w:t>below 5%</w:t>
            </w:r>
          </w:p>
        </w:tc>
        <w:tc>
          <w:tcPr>
            <w:tcW w:w="855" w:type="dxa"/>
          </w:tcPr>
          <w:p w14:paraId="72F15E6D"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72</w:t>
            </w:r>
          </w:p>
        </w:tc>
        <w:tc>
          <w:tcPr>
            <w:tcW w:w="763" w:type="dxa"/>
          </w:tcPr>
          <w:p w14:paraId="30C06AD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60D0967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w:t>
            </w:r>
          </w:p>
        </w:tc>
        <w:tc>
          <w:tcPr>
            <w:tcW w:w="898" w:type="dxa"/>
          </w:tcPr>
          <w:p w14:paraId="3D287E6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w:t>
            </w:r>
          </w:p>
        </w:tc>
        <w:tc>
          <w:tcPr>
            <w:tcW w:w="707" w:type="dxa"/>
          </w:tcPr>
          <w:p w14:paraId="55866AAB"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w:t>
            </w:r>
          </w:p>
        </w:tc>
        <w:tc>
          <w:tcPr>
            <w:tcW w:w="856" w:type="dxa"/>
          </w:tcPr>
          <w:p w14:paraId="20B70AE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59.1</w:t>
            </w:r>
          </w:p>
        </w:tc>
        <w:tc>
          <w:tcPr>
            <w:tcW w:w="764" w:type="dxa"/>
          </w:tcPr>
          <w:p w14:paraId="2928E44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8.4</w:t>
            </w:r>
          </w:p>
        </w:tc>
        <w:tc>
          <w:tcPr>
            <w:tcW w:w="1010" w:type="dxa"/>
          </w:tcPr>
          <w:p w14:paraId="20CB4F4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5.2</w:t>
            </w:r>
          </w:p>
        </w:tc>
        <w:tc>
          <w:tcPr>
            <w:tcW w:w="898" w:type="dxa"/>
          </w:tcPr>
          <w:p w14:paraId="32ACAFC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8.5</w:t>
            </w:r>
          </w:p>
        </w:tc>
        <w:tc>
          <w:tcPr>
            <w:tcW w:w="707" w:type="dxa"/>
          </w:tcPr>
          <w:p w14:paraId="25DF66F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18.9</w:t>
            </w:r>
          </w:p>
        </w:tc>
      </w:tr>
      <w:tr w:rsidR="00D77AA1" w:rsidRPr="006C7F5E" w14:paraId="5D95E416"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2658E202" w14:textId="77777777" w:rsidR="00D77AA1" w:rsidRPr="006C7F5E" w:rsidRDefault="00000000" w:rsidP="00180824">
            <w:pPr>
              <w:jc w:val="center"/>
              <w:rPr>
                <w:rFonts w:eastAsia="Times"/>
                <w:sz w:val="20"/>
                <w:szCs w:val="20"/>
              </w:rPr>
            </w:pPr>
            <w:r w:rsidRPr="006C7F5E">
              <w:rPr>
                <w:rFonts w:eastAsia="Times"/>
                <w:sz w:val="20"/>
                <w:szCs w:val="20"/>
              </w:rPr>
              <w:t>5% - 10%</w:t>
            </w:r>
          </w:p>
        </w:tc>
        <w:tc>
          <w:tcPr>
            <w:tcW w:w="855" w:type="dxa"/>
          </w:tcPr>
          <w:p w14:paraId="3AE32E49"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69</w:t>
            </w:r>
          </w:p>
        </w:tc>
        <w:tc>
          <w:tcPr>
            <w:tcW w:w="763" w:type="dxa"/>
          </w:tcPr>
          <w:p w14:paraId="38736BE7"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3EFF5E6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w:t>
            </w:r>
          </w:p>
        </w:tc>
        <w:tc>
          <w:tcPr>
            <w:tcW w:w="898" w:type="dxa"/>
          </w:tcPr>
          <w:p w14:paraId="65D554F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w:t>
            </w:r>
          </w:p>
        </w:tc>
        <w:tc>
          <w:tcPr>
            <w:tcW w:w="707" w:type="dxa"/>
          </w:tcPr>
          <w:p w14:paraId="4429160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14</w:t>
            </w:r>
          </w:p>
        </w:tc>
        <w:tc>
          <w:tcPr>
            <w:tcW w:w="856" w:type="dxa"/>
          </w:tcPr>
          <w:p w14:paraId="773F7211"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56.6</w:t>
            </w:r>
          </w:p>
        </w:tc>
        <w:tc>
          <w:tcPr>
            <w:tcW w:w="764" w:type="dxa"/>
          </w:tcPr>
          <w:p w14:paraId="580800B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8.4</w:t>
            </w:r>
          </w:p>
        </w:tc>
        <w:tc>
          <w:tcPr>
            <w:tcW w:w="1010" w:type="dxa"/>
          </w:tcPr>
          <w:p w14:paraId="4610672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6.7</w:t>
            </w:r>
          </w:p>
        </w:tc>
        <w:tc>
          <w:tcPr>
            <w:tcW w:w="898" w:type="dxa"/>
          </w:tcPr>
          <w:p w14:paraId="7E5190D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9.4</w:t>
            </w:r>
          </w:p>
        </w:tc>
        <w:tc>
          <w:tcPr>
            <w:tcW w:w="707" w:type="dxa"/>
          </w:tcPr>
          <w:p w14:paraId="1A2D795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18.9</w:t>
            </w:r>
          </w:p>
        </w:tc>
      </w:tr>
      <w:tr w:rsidR="00D77AA1" w:rsidRPr="006C7F5E" w14:paraId="07F8F7D0"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5A5C1122" w14:textId="77777777" w:rsidR="00D77AA1" w:rsidRPr="006C7F5E" w:rsidRDefault="00000000" w:rsidP="00180824">
            <w:pPr>
              <w:jc w:val="center"/>
              <w:rPr>
                <w:rFonts w:eastAsia="Times"/>
                <w:sz w:val="20"/>
                <w:szCs w:val="20"/>
              </w:rPr>
            </w:pPr>
            <w:r w:rsidRPr="006C7F5E">
              <w:rPr>
                <w:rFonts w:eastAsia="Times"/>
                <w:sz w:val="20"/>
                <w:szCs w:val="20"/>
              </w:rPr>
              <w:t>10% - 20%</w:t>
            </w:r>
          </w:p>
        </w:tc>
        <w:tc>
          <w:tcPr>
            <w:tcW w:w="855" w:type="dxa"/>
          </w:tcPr>
          <w:p w14:paraId="190A29D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67</w:t>
            </w:r>
          </w:p>
        </w:tc>
        <w:tc>
          <w:tcPr>
            <w:tcW w:w="763" w:type="dxa"/>
          </w:tcPr>
          <w:p w14:paraId="35F39A1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5D6BF3D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w:t>
            </w:r>
          </w:p>
        </w:tc>
        <w:tc>
          <w:tcPr>
            <w:tcW w:w="898" w:type="dxa"/>
          </w:tcPr>
          <w:p w14:paraId="11759C5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w:t>
            </w:r>
          </w:p>
        </w:tc>
        <w:tc>
          <w:tcPr>
            <w:tcW w:w="707" w:type="dxa"/>
          </w:tcPr>
          <w:p w14:paraId="67FBF31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47A9EE1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54.1</w:t>
            </w:r>
          </w:p>
        </w:tc>
        <w:tc>
          <w:tcPr>
            <w:tcW w:w="764" w:type="dxa"/>
          </w:tcPr>
          <w:p w14:paraId="5D1F79F6"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8.6</w:t>
            </w:r>
          </w:p>
        </w:tc>
        <w:tc>
          <w:tcPr>
            <w:tcW w:w="1010" w:type="dxa"/>
          </w:tcPr>
          <w:p w14:paraId="1B96C68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7.6</w:t>
            </w:r>
          </w:p>
        </w:tc>
        <w:tc>
          <w:tcPr>
            <w:tcW w:w="898" w:type="dxa"/>
          </w:tcPr>
          <w:p w14:paraId="024A318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10.4</w:t>
            </w:r>
          </w:p>
        </w:tc>
        <w:tc>
          <w:tcPr>
            <w:tcW w:w="707" w:type="dxa"/>
          </w:tcPr>
          <w:p w14:paraId="735B131B"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19.3</w:t>
            </w:r>
          </w:p>
        </w:tc>
      </w:tr>
      <w:tr w:rsidR="00D77AA1" w:rsidRPr="006C7F5E" w14:paraId="2A8AADCA"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75479A7C" w14:textId="77777777" w:rsidR="00D77AA1" w:rsidRPr="006C7F5E" w:rsidRDefault="00000000" w:rsidP="00180824">
            <w:pPr>
              <w:jc w:val="center"/>
              <w:rPr>
                <w:rFonts w:eastAsia="Times"/>
                <w:sz w:val="20"/>
                <w:szCs w:val="20"/>
              </w:rPr>
            </w:pPr>
            <w:r w:rsidRPr="006C7F5E">
              <w:rPr>
                <w:rFonts w:eastAsia="Times"/>
                <w:sz w:val="20"/>
                <w:szCs w:val="20"/>
              </w:rPr>
              <w:t>20% - 30%</w:t>
            </w:r>
          </w:p>
        </w:tc>
        <w:tc>
          <w:tcPr>
            <w:tcW w:w="855" w:type="dxa"/>
          </w:tcPr>
          <w:p w14:paraId="56FE8287"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65</w:t>
            </w:r>
          </w:p>
        </w:tc>
        <w:tc>
          <w:tcPr>
            <w:tcW w:w="763" w:type="dxa"/>
          </w:tcPr>
          <w:p w14:paraId="7CE25C11"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12F2EF04"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w:t>
            </w:r>
          </w:p>
        </w:tc>
        <w:tc>
          <w:tcPr>
            <w:tcW w:w="898" w:type="dxa"/>
          </w:tcPr>
          <w:p w14:paraId="0CC8233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w:t>
            </w:r>
          </w:p>
        </w:tc>
        <w:tc>
          <w:tcPr>
            <w:tcW w:w="707" w:type="dxa"/>
          </w:tcPr>
          <w:p w14:paraId="74FC3971"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0B3487E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52.2</w:t>
            </w:r>
          </w:p>
        </w:tc>
        <w:tc>
          <w:tcPr>
            <w:tcW w:w="764" w:type="dxa"/>
          </w:tcPr>
          <w:p w14:paraId="794F943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8.6</w:t>
            </w:r>
          </w:p>
        </w:tc>
        <w:tc>
          <w:tcPr>
            <w:tcW w:w="1010" w:type="dxa"/>
          </w:tcPr>
          <w:p w14:paraId="7CF7061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8.6</w:t>
            </w:r>
          </w:p>
        </w:tc>
        <w:tc>
          <w:tcPr>
            <w:tcW w:w="898" w:type="dxa"/>
          </w:tcPr>
          <w:p w14:paraId="2BB2361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10.7</w:t>
            </w:r>
          </w:p>
        </w:tc>
        <w:tc>
          <w:tcPr>
            <w:tcW w:w="707" w:type="dxa"/>
          </w:tcPr>
          <w:p w14:paraId="6ED2DD8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19.8</w:t>
            </w:r>
          </w:p>
        </w:tc>
      </w:tr>
      <w:tr w:rsidR="00D77AA1" w:rsidRPr="006C7F5E" w14:paraId="1758B61C"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2539D528" w14:textId="77777777" w:rsidR="00D77AA1" w:rsidRPr="006C7F5E" w:rsidRDefault="00000000" w:rsidP="00180824">
            <w:pPr>
              <w:jc w:val="center"/>
              <w:rPr>
                <w:rFonts w:eastAsia="Times"/>
                <w:sz w:val="20"/>
                <w:szCs w:val="20"/>
              </w:rPr>
            </w:pPr>
            <w:r w:rsidRPr="006C7F5E">
              <w:rPr>
                <w:rFonts w:eastAsia="Times"/>
                <w:sz w:val="20"/>
                <w:szCs w:val="20"/>
              </w:rPr>
              <w:t>30% - 40%</w:t>
            </w:r>
          </w:p>
        </w:tc>
        <w:tc>
          <w:tcPr>
            <w:tcW w:w="855" w:type="dxa"/>
          </w:tcPr>
          <w:p w14:paraId="36B330E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62</w:t>
            </w:r>
          </w:p>
        </w:tc>
        <w:tc>
          <w:tcPr>
            <w:tcW w:w="763" w:type="dxa"/>
          </w:tcPr>
          <w:p w14:paraId="1367F1CD"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15B3FDD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w:t>
            </w:r>
          </w:p>
        </w:tc>
        <w:tc>
          <w:tcPr>
            <w:tcW w:w="898" w:type="dxa"/>
          </w:tcPr>
          <w:p w14:paraId="351D2B8B"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w:t>
            </w:r>
          </w:p>
        </w:tc>
        <w:tc>
          <w:tcPr>
            <w:tcW w:w="707" w:type="dxa"/>
          </w:tcPr>
          <w:p w14:paraId="3B1C4D8F"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47D84D8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50.3</w:t>
            </w:r>
          </w:p>
        </w:tc>
        <w:tc>
          <w:tcPr>
            <w:tcW w:w="764" w:type="dxa"/>
          </w:tcPr>
          <w:p w14:paraId="5023011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8.8</w:t>
            </w:r>
          </w:p>
        </w:tc>
        <w:tc>
          <w:tcPr>
            <w:tcW w:w="1010" w:type="dxa"/>
          </w:tcPr>
          <w:p w14:paraId="69ECDEE3"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9.4</w:t>
            </w:r>
          </w:p>
        </w:tc>
        <w:tc>
          <w:tcPr>
            <w:tcW w:w="898" w:type="dxa"/>
          </w:tcPr>
          <w:p w14:paraId="3F2F920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11.5</w:t>
            </w:r>
          </w:p>
        </w:tc>
        <w:tc>
          <w:tcPr>
            <w:tcW w:w="707" w:type="dxa"/>
          </w:tcPr>
          <w:p w14:paraId="1F017E5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20.1</w:t>
            </w:r>
          </w:p>
        </w:tc>
      </w:tr>
      <w:tr w:rsidR="00D77AA1" w:rsidRPr="006C7F5E" w14:paraId="11CEA458"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414F163B" w14:textId="77777777" w:rsidR="00D77AA1" w:rsidRPr="006C7F5E" w:rsidRDefault="00000000" w:rsidP="00180824">
            <w:pPr>
              <w:jc w:val="center"/>
              <w:rPr>
                <w:rFonts w:eastAsia="Times"/>
                <w:sz w:val="20"/>
                <w:szCs w:val="20"/>
              </w:rPr>
            </w:pPr>
            <w:r w:rsidRPr="006C7F5E">
              <w:rPr>
                <w:rFonts w:eastAsia="Times"/>
                <w:sz w:val="20"/>
                <w:szCs w:val="20"/>
              </w:rPr>
              <w:t>40% - 50%</w:t>
            </w:r>
          </w:p>
        </w:tc>
        <w:tc>
          <w:tcPr>
            <w:tcW w:w="855" w:type="dxa"/>
          </w:tcPr>
          <w:p w14:paraId="1214A8E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61</w:t>
            </w:r>
          </w:p>
        </w:tc>
        <w:tc>
          <w:tcPr>
            <w:tcW w:w="763" w:type="dxa"/>
          </w:tcPr>
          <w:p w14:paraId="3DA08D1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5351B021"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898" w:type="dxa"/>
          </w:tcPr>
          <w:p w14:paraId="7FDEB6B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6</w:t>
            </w:r>
          </w:p>
        </w:tc>
        <w:tc>
          <w:tcPr>
            <w:tcW w:w="707" w:type="dxa"/>
          </w:tcPr>
          <w:p w14:paraId="1E150E7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15</w:t>
            </w:r>
          </w:p>
        </w:tc>
        <w:tc>
          <w:tcPr>
            <w:tcW w:w="856" w:type="dxa"/>
          </w:tcPr>
          <w:p w14:paraId="28D969EA"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48.8</w:t>
            </w:r>
          </w:p>
        </w:tc>
        <w:tc>
          <w:tcPr>
            <w:tcW w:w="764" w:type="dxa"/>
          </w:tcPr>
          <w:p w14:paraId="37C0F8B2"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8.8</w:t>
            </w:r>
          </w:p>
        </w:tc>
        <w:tc>
          <w:tcPr>
            <w:tcW w:w="1010" w:type="dxa"/>
          </w:tcPr>
          <w:p w14:paraId="0111917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10.2</w:t>
            </w:r>
          </w:p>
        </w:tc>
        <w:tc>
          <w:tcPr>
            <w:tcW w:w="898" w:type="dxa"/>
          </w:tcPr>
          <w:p w14:paraId="1A06630A"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11.7</w:t>
            </w:r>
          </w:p>
        </w:tc>
        <w:tc>
          <w:tcPr>
            <w:tcW w:w="707" w:type="dxa"/>
          </w:tcPr>
          <w:p w14:paraId="0212443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20.6</w:t>
            </w:r>
          </w:p>
        </w:tc>
      </w:tr>
      <w:tr w:rsidR="00D77AA1" w:rsidRPr="006C7F5E" w14:paraId="6A06DF63"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3F8376F6" w14:textId="77777777" w:rsidR="00D77AA1" w:rsidRPr="006C7F5E" w:rsidRDefault="00000000" w:rsidP="00180824">
            <w:pPr>
              <w:jc w:val="center"/>
              <w:rPr>
                <w:rFonts w:eastAsia="Times"/>
                <w:sz w:val="20"/>
                <w:szCs w:val="20"/>
              </w:rPr>
            </w:pPr>
            <w:r w:rsidRPr="006C7F5E">
              <w:rPr>
                <w:rFonts w:eastAsia="Times"/>
                <w:sz w:val="20"/>
                <w:szCs w:val="20"/>
              </w:rPr>
              <w:t>50% - 60%</w:t>
            </w:r>
          </w:p>
        </w:tc>
        <w:tc>
          <w:tcPr>
            <w:tcW w:w="855" w:type="dxa"/>
          </w:tcPr>
          <w:p w14:paraId="317789E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59</w:t>
            </w:r>
          </w:p>
        </w:tc>
        <w:tc>
          <w:tcPr>
            <w:tcW w:w="763" w:type="dxa"/>
          </w:tcPr>
          <w:p w14:paraId="51F3476D"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7D0803E0"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898" w:type="dxa"/>
          </w:tcPr>
          <w:p w14:paraId="37899C11"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w:t>
            </w:r>
          </w:p>
        </w:tc>
        <w:tc>
          <w:tcPr>
            <w:tcW w:w="707" w:type="dxa"/>
          </w:tcPr>
          <w:p w14:paraId="3534FD0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4CDC1956"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47.4</w:t>
            </w:r>
          </w:p>
        </w:tc>
        <w:tc>
          <w:tcPr>
            <w:tcW w:w="764" w:type="dxa"/>
          </w:tcPr>
          <w:p w14:paraId="32C4D4A1"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8.9</w:t>
            </w:r>
          </w:p>
        </w:tc>
        <w:tc>
          <w:tcPr>
            <w:tcW w:w="1010" w:type="dxa"/>
          </w:tcPr>
          <w:p w14:paraId="441DFCE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10.6</w:t>
            </w:r>
          </w:p>
        </w:tc>
        <w:tc>
          <w:tcPr>
            <w:tcW w:w="898" w:type="dxa"/>
          </w:tcPr>
          <w:p w14:paraId="4D7C10A5"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12</w:t>
            </w:r>
          </w:p>
        </w:tc>
        <w:tc>
          <w:tcPr>
            <w:tcW w:w="707" w:type="dxa"/>
          </w:tcPr>
          <w:p w14:paraId="2B9764E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21.1</w:t>
            </w:r>
          </w:p>
        </w:tc>
      </w:tr>
      <w:tr w:rsidR="00D77AA1" w:rsidRPr="006C7F5E" w14:paraId="633C320A"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24B4C144" w14:textId="77777777" w:rsidR="00D77AA1" w:rsidRPr="006C7F5E" w:rsidRDefault="00000000" w:rsidP="00180824">
            <w:pPr>
              <w:jc w:val="center"/>
              <w:rPr>
                <w:rFonts w:eastAsia="Times"/>
                <w:sz w:val="20"/>
                <w:szCs w:val="20"/>
              </w:rPr>
            </w:pPr>
            <w:r w:rsidRPr="006C7F5E">
              <w:rPr>
                <w:rFonts w:eastAsia="Times"/>
                <w:sz w:val="20"/>
                <w:szCs w:val="20"/>
              </w:rPr>
              <w:t>60% - 70%</w:t>
            </w:r>
          </w:p>
        </w:tc>
        <w:tc>
          <w:tcPr>
            <w:tcW w:w="855" w:type="dxa"/>
          </w:tcPr>
          <w:p w14:paraId="4567218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57</w:t>
            </w:r>
          </w:p>
        </w:tc>
        <w:tc>
          <w:tcPr>
            <w:tcW w:w="763" w:type="dxa"/>
          </w:tcPr>
          <w:p w14:paraId="207EDB84"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3DB820C2"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w:t>
            </w:r>
          </w:p>
        </w:tc>
        <w:tc>
          <w:tcPr>
            <w:tcW w:w="898" w:type="dxa"/>
          </w:tcPr>
          <w:p w14:paraId="5BCD891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7</w:t>
            </w:r>
          </w:p>
        </w:tc>
        <w:tc>
          <w:tcPr>
            <w:tcW w:w="707" w:type="dxa"/>
          </w:tcPr>
          <w:p w14:paraId="771136A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6A6ABC2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45.8</w:t>
            </w:r>
          </w:p>
        </w:tc>
        <w:tc>
          <w:tcPr>
            <w:tcW w:w="764" w:type="dxa"/>
          </w:tcPr>
          <w:p w14:paraId="1BC1C89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8.9</w:t>
            </w:r>
          </w:p>
        </w:tc>
        <w:tc>
          <w:tcPr>
            <w:tcW w:w="1010" w:type="dxa"/>
          </w:tcPr>
          <w:p w14:paraId="743A06B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11.4</w:t>
            </w:r>
          </w:p>
        </w:tc>
        <w:tc>
          <w:tcPr>
            <w:tcW w:w="898" w:type="dxa"/>
          </w:tcPr>
          <w:p w14:paraId="711FEEC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12.5</w:t>
            </w:r>
          </w:p>
        </w:tc>
        <w:tc>
          <w:tcPr>
            <w:tcW w:w="707" w:type="dxa"/>
          </w:tcPr>
          <w:p w14:paraId="7118E5FE"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21.5</w:t>
            </w:r>
          </w:p>
        </w:tc>
      </w:tr>
      <w:tr w:rsidR="00D77AA1" w:rsidRPr="006C7F5E" w14:paraId="73C5298D"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175891B6" w14:textId="77777777" w:rsidR="00D77AA1" w:rsidRPr="006C7F5E" w:rsidRDefault="00000000" w:rsidP="00180824">
            <w:pPr>
              <w:jc w:val="center"/>
              <w:rPr>
                <w:rFonts w:eastAsia="Times"/>
                <w:sz w:val="20"/>
                <w:szCs w:val="20"/>
              </w:rPr>
            </w:pPr>
            <w:r w:rsidRPr="006C7F5E">
              <w:rPr>
                <w:rFonts w:eastAsia="Times"/>
                <w:sz w:val="20"/>
                <w:szCs w:val="20"/>
              </w:rPr>
              <w:t>70% - 80%</w:t>
            </w:r>
          </w:p>
        </w:tc>
        <w:tc>
          <w:tcPr>
            <w:tcW w:w="855" w:type="dxa"/>
          </w:tcPr>
          <w:p w14:paraId="3BDAB20F"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55</w:t>
            </w:r>
          </w:p>
        </w:tc>
        <w:tc>
          <w:tcPr>
            <w:tcW w:w="763" w:type="dxa"/>
          </w:tcPr>
          <w:p w14:paraId="4FEDB31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6CFCDB7D"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w:t>
            </w:r>
          </w:p>
        </w:tc>
        <w:tc>
          <w:tcPr>
            <w:tcW w:w="898" w:type="dxa"/>
          </w:tcPr>
          <w:p w14:paraId="3B7D2B9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w:t>
            </w:r>
          </w:p>
        </w:tc>
        <w:tc>
          <w:tcPr>
            <w:tcW w:w="707" w:type="dxa"/>
          </w:tcPr>
          <w:p w14:paraId="4BFE3053"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7190AC4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44</w:t>
            </w:r>
          </w:p>
        </w:tc>
        <w:tc>
          <w:tcPr>
            <w:tcW w:w="764" w:type="dxa"/>
          </w:tcPr>
          <w:p w14:paraId="562E0E9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3FF36963"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11.9</w:t>
            </w:r>
          </w:p>
        </w:tc>
        <w:tc>
          <w:tcPr>
            <w:tcW w:w="898" w:type="dxa"/>
          </w:tcPr>
          <w:p w14:paraId="781ED853"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13</w:t>
            </w:r>
          </w:p>
        </w:tc>
        <w:tc>
          <w:tcPr>
            <w:tcW w:w="707" w:type="dxa"/>
          </w:tcPr>
          <w:p w14:paraId="525DCE6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22.1</w:t>
            </w:r>
          </w:p>
        </w:tc>
      </w:tr>
      <w:tr w:rsidR="00D77AA1" w:rsidRPr="006C7F5E" w14:paraId="0E2A7F9E"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6DD7ED06" w14:textId="77777777" w:rsidR="00D77AA1" w:rsidRPr="006C7F5E" w:rsidRDefault="00000000" w:rsidP="00180824">
            <w:pPr>
              <w:jc w:val="center"/>
              <w:rPr>
                <w:rFonts w:eastAsia="Times"/>
                <w:sz w:val="20"/>
                <w:szCs w:val="20"/>
              </w:rPr>
            </w:pPr>
            <w:r w:rsidRPr="006C7F5E">
              <w:rPr>
                <w:rFonts w:eastAsia="Times"/>
                <w:sz w:val="20"/>
                <w:szCs w:val="20"/>
              </w:rPr>
              <w:t>80% - 90%</w:t>
            </w:r>
          </w:p>
        </w:tc>
        <w:tc>
          <w:tcPr>
            <w:tcW w:w="855" w:type="dxa"/>
          </w:tcPr>
          <w:p w14:paraId="0FACE11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52</w:t>
            </w:r>
          </w:p>
        </w:tc>
        <w:tc>
          <w:tcPr>
            <w:tcW w:w="763" w:type="dxa"/>
          </w:tcPr>
          <w:p w14:paraId="7644D89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4A362EDD"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w:t>
            </w:r>
          </w:p>
        </w:tc>
        <w:tc>
          <w:tcPr>
            <w:tcW w:w="898" w:type="dxa"/>
          </w:tcPr>
          <w:p w14:paraId="1BB0A0A4"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8</w:t>
            </w:r>
          </w:p>
        </w:tc>
        <w:tc>
          <w:tcPr>
            <w:tcW w:w="707" w:type="dxa"/>
          </w:tcPr>
          <w:p w14:paraId="620F6A9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04786FA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41.8</w:t>
            </w:r>
          </w:p>
        </w:tc>
        <w:tc>
          <w:tcPr>
            <w:tcW w:w="764" w:type="dxa"/>
          </w:tcPr>
          <w:p w14:paraId="1B613DBB"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w:t>
            </w:r>
          </w:p>
        </w:tc>
        <w:tc>
          <w:tcPr>
            <w:tcW w:w="1010" w:type="dxa"/>
          </w:tcPr>
          <w:p w14:paraId="7C89E866"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12.8</w:t>
            </w:r>
          </w:p>
        </w:tc>
        <w:tc>
          <w:tcPr>
            <w:tcW w:w="898" w:type="dxa"/>
          </w:tcPr>
          <w:p w14:paraId="51A59D7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13.8</w:t>
            </w:r>
          </w:p>
        </w:tc>
        <w:tc>
          <w:tcPr>
            <w:tcW w:w="707" w:type="dxa"/>
          </w:tcPr>
          <w:p w14:paraId="5996EDB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22.6</w:t>
            </w:r>
          </w:p>
        </w:tc>
      </w:tr>
      <w:tr w:rsidR="00D77AA1" w:rsidRPr="006C7F5E" w14:paraId="40A314C8"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0F6E86BA" w14:textId="77777777" w:rsidR="00D77AA1" w:rsidRPr="006C7F5E" w:rsidRDefault="00000000" w:rsidP="00180824">
            <w:pPr>
              <w:jc w:val="center"/>
              <w:rPr>
                <w:rFonts w:eastAsia="Times"/>
                <w:sz w:val="20"/>
                <w:szCs w:val="20"/>
              </w:rPr>
            </w:pPr>
            <w:r w:rsidRPr="006C7F5E">
              <w:rPr>
                <w:rFonts w:eastAsia="Times"/>
                <w:sz w:val="20"/>
                <w:szCs w:val="20"/>
              </w:rPr>
              <w:t>90% - 95%</w:t>
            </w:r>
          </w:p>
        </w:tc>
        <w:tc>
          <w:tcPr>
            <w:tcW w:w="855" w:type="dxa"/>
          </w:tcPr>
          <w:p w14:paraId="1E333523"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48</w:t>
            </w:r>
          </w:p>
        </w:tc>
        <w:tc>
          <w:tcPr>
            <w:tcW w:w="763" w:type="dxa"/>
          </w:tcPr>
          <w:p w14:paraId="2D8A2F9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2950B6AF"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15</w:t>
            </w:r>
          </w:p>
        </w:tc>
        <w:tc>
          <w:tcPr>
            <w:tcW w:w="898" w:type="dxa"/>
          </w:tcPr>
          <w:p w14:paraId="187D1099"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w:t>
            </w:r>
          </w:p>
        </w:tc>
        <w:tc>
          <w:tcPr>
            <w:tcW w:w="707" w:type="dxa"/>
          </w:tcPr>
          <w:p w14:paraId="10F279D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17</w:t>
            </w:r>
          </w:p>
        </w:tc>
        <w:tc>
          <w:tcPr>
            <w:tcW w:w="856" w:type="dxa"/>
          </w:tcPr>
          <w:p w14:paraId="41386EFD"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39.3</w:t>
            </w:r>
          </w:p>
        </w:tc>
        <w:tc>
          <w:tcPr>
            <w:tcW w:w="764" w:type="dxa"/>
          </w:tcPr>
          <w:p w14:paraId="2D06C9DC"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9.2</w:t>
            </w:r>
          </w:p>
        </w:tc>
        <w:tc>
          <w:tcPr>
            <w:tcW w:w="1010" w:type="dxa"/>
          </w:tcPr>
          <w:p w14:paraId="787AD09D"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13.7</w:t>
            </w:r>
          </w:p>
        </w:tc>
        <w:tc>
          <w:tcPr>
            <w:tcW w:w="898" w:type="dxa"/>
          </w:tcPr>
          <w:p w14:paraId="1AA2131E"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14.4</w:t>
            </w:r>
          </w:p>
        </w:tc>
        <w:tc>
          <w:tcPr>
            <w:tcW w:w="707" w:type="dxa"/>
          </w:tcPr>
          <w:p w14:paraId="56C437F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23.4</w:t>
            </w:r>
          </w:p>
        </w:tc>
      </w:tr>
      <w:tr w:rsidR="00D77AA1" w:rsidRPr="006C7F5E" w14:paraId="050D1CBA" w14:textId="77777777" w:rsidTr="00D77AA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5" w:type="dxa"/>
          </w:tcPr>
          <w:p w14:paraId="4B611CA4" w14:textId="77777777" w:rsidR="00D77AA1" w:rsidRPr="006C7F5E" w:rsidRDefault="00000000" w:rsidP="00180824">
            <w:pPr>
              <w:jc w:val="center"/>
              <w:rPr>
                <w:rFonts w:eastAsia="Times"/>
                <w:sz w:val="20"/>
                <w:szCs w:val="20"/>
              </w:rPr>
            </w:pPr>
            <w:r w:rsidRPr="006C7F5E">
              <w:rPr>
                <w:rFonts w:eastAsia="Times"/>
                <w:sz w:val="20"/>
                <w:szCs w:val="20"/>
              </w:rPr>
              <w:t>95% and above</w:t>
            </w:r>
          </w:p>
        </w:tc>
        <w:tc>
          <w:tcPr>
            <w:tcW w:w="855" w:type="dxa"/>
          </w:tcPr>
          <w:p w14:paraId="67948D34"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42</w:t>
            </w:r>
          </w:p>
        </w:tc>
        <w:tc>
          <w:tcPr>
            <w:tcW w:w="763" w:type="dxa"/>
          </w:tcPr>
          <w:p w14:paraId="48F9E49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11</w:t>
            </w:r>
          </w:p>
        </w:tc>
        <w:tc>
          <w:tcPr>
            <w:tcW w:w="1010" w:type="dxa"/>
          </w:tcPr>
          <w:p w14:paraId="35C494B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898" w:type="dxa"/>
          </w:tcPr>
          <w:p w14:paraId="5189C1A3"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12</w:t>
            </w:r>
          </w:p>
        </w:tc>
        <w:tc>
          <w:tcPr>
            <w:tcW w:w="707" w:type="dxa"/>
          </w:tcPr>
          <w:p w14:paraId="2CD67AE9"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19</w:t>
            </w:r>
          </w:p>
        </w:tc>
        <w:tc>
          <w:tcPr>
            <w:tcW w:w="856" w:type="dxa"/>
          </w:tcPr>
          <w:p w14:paraId="3B35F750"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34.6</w:t>
            </w:r>
          </w:p>
        </w:tc>
        <w:tc>
          <w:tcPr>
            <w:tcW w:w="764" w:type="dxa"/>
          </w:tcPr>
          <w:p w14:paraId="205D9A85"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9.1</w:t>
            </w:r>
          </w:p>
        </w:tc>
        <w:tc>
          <w:tcPr>
            <w:tcW w:w="1010" w:type="dxa"/>
          </w:tcPr>
          <w:p w14:paraId="41FDADB8"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13.9</w:t>
            </w:r>
          </w:p>
        </w:tc>
        <w:tc>
          <w:tcPr>
            <w:tcW w:w="898" w:type="dxa"/>
          </w:tcPr>
          <w:p w14:paraId="3BFE37AC"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16</w:t>
            </w:r>
          </w:p>
        </w:tc>
        <w:tc>
          <w:tcPr>
            <w:tcW w:w="707" w:type="dxa"/>
          </w:tcPr>
          <w:p w14:paraId="22AA946F" w14:textId="77777777" w:rsidR="00D77AA1" w:rsidRPr="006C7F5E" w:rsidRDefault="00000000" w:rsidP="00180824">
            <w:pPr>
              <w:jc w:val="center"/>
              <w:cnfStyle w:val="000000100000" w:firstRow="0" w:lastRow="0" w:firstColumn="0" w:lastColumn="0" w:oddVBand="0" w:evenVBand="0" w:oddHBand="1" w:evenHBand="0" w:firstRowFirstColumn="0" w:firstRowLastColumn="0" w:lastRowFirstColumn="0" w:lastRowLastColumn="0"/>
              <w:rPr>
                <w:rFonts w:eastAsia="Times"/>
                <w:sz w:val="20"/>
                <w:szCs w:val="20"/>
              </w:rPr>
            </w:pPr>
            <w:r w:rsidRPr="006C7F5E">
              <w:rPr>
                <w:rFonts w:eastAsia="Times"/>
                <w:sz w:val="20"/>
                <w:szCs w:val="20"/>
              </w:rPr>
              <w:t>26.5</w:t>
            </w:r>
          </w:p>
        </w:tc>
      </w:tr>
      <w:tr w:rsidR="00D77AA1" w:rsidRPr="006C7F5E" w14:paraId="40697D4B" w14:textId="77777777" w:rsidTr="00D77AA1">
        <w:trPr>
          <w:trHeight w:val="291"/>
        </w:trPr>
        <w:tc>
          <w:tcPr>
            <w:cnfStyle w:val="001000000000" w:firstRow="0" w:lastRow="0" w:firstColumn="1" w:lastColumn="0" w:oddVBand="0" w:evenVBand="0" w:oddHBand="0" w:evenHBand="0" w:firstRowFirstColumn="0" w:firstRowLastColumn="0" w:lastRowFirstColumn="0" w:lastRowLastColumn="0"/>
            <w:tcW w:w="1345" w:type="dxa"/>
          </w:tcPr>
          <w:p w14:paraId="6313BA19" w14:textId="77777777" w:rsidR="00D77AA1" w:rsidRPr="006C7F5E" w:rsidRDefault="00000000" w:rsidP="00180824">
            <w:pPr>
              <w:jc w:val="center"/>
              <w:rPr>
                <w:rFonts w:eastAsia="Times"/>
                <w:sz w:val="20"/>
                <w:szCs w:val="20"/>
              </w:rPr>
            </w:pPr>
            <w:r w:rsidRPr="006C7F5E">
              <w:rPr>
                <w:rFonts w:eastAsia="Times"/>
                <w:sz w:val="20"/>
                <w:szCs w:val="20"/>
              </w:rPr>
              <w:t>ALL</w:t>
            </w:r>
          </w:p>
        </w:tc>
        <w:tc>
          <w:tcPr>
            <w:tcW w:w="855" w:type="dxa"/>
          </w:tcPr>
          <w:p w14:paraId="06D74992"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58</w:t>
            </w:r>
          </w:p>
        </w:tc>
        <w:tc>
          <w:tcPr>
            <w:tcW w:w="763" w:type="dxa"/>
          </w:tcPr>
          <w:p w14:paraId="0C2E1C8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1010" w:type="dxa"/>
          </w:tcPr>
          <w:p w14:paraId="6008A973"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w:t>
            </w:r>
          </w:p>
        </w:tc>
        <w:tc>
          <w:tcPr>
            <w:tcW w:w="898" w:type="dxa"/>
          </w:tcPr>
          <w:p w14:paraId="47599524"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7</w:t>
            </w:r>
          </w:p>
        </w:tc>
        <w:tc>
          <w:tcPr>
            <w:tcW w:w="707" w:type="dxa"/>
          </w:tcPr>
          <w:p w14:paraId="52BB634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16</w:t>
            </w:r>
          </w:p>
        </w:tc>
        <w:tc>
          <w:tcPr>
            <w:tcW w:w="856" w:type="dxa"/>
          </w:tcPr>
          <w:p w14:paraId="79DCE63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46.9</w:t>
            </w:r>
          </w:p>
        </w:tc>
        <w:tc>
          <w:tcPr>
            <w:tcW w:w="764" w:type="dxa"/>
          </w:tcPr>
          <w:p w14:paraId="2A78F878"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8.8</w:t>
            </w:r>
          </w:p>
        </w:tc>
        <w:tc>
          <w:tcPr>
            <w:tcW w:w="1010" w:type="dxa"/>
          </w:tcPr>
          <w:p w14:paraId="7DE0CC76"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10.6</w:t>
            </w:r>
          </w:p>
        </w:tc>
        <w:tc>
          <w:tcPr>
            <w:tcW w:w="898" w:type="dxa"/>
          </w:tcPr>
          <w:p w14:paraId="3410C5E7"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12.3</w:t>
            </w:r>
          </w:p>
        </w:tc>
        <w:tc>
          <w:tcPr>
            <w:tcW w:w="707" w:type="dxa"/>
          </w:tcPr>
          <w:p w14:paraId="0284EC4A" w14:textId="77777777" w:rsidR="00D77AA1" w:rsidRPr="006C7F5E" w:rsidRDefault="00000000" w:rsidP="00180824">
            <w:pPr>
              <w:jc w:val="center"/>
              <w:cnfStyle w:val="000000000000" w:firstRow="0" w:lastRow="0" w:firstColumn="0" w:lastColumn="0" w:oddVBand="0" w:evenVBand="0" w:oddHBand="0" w:evenHBand="0" w:firstRowFirstColumn="0" w:firstRowLastColumn="0" w:lastRowFirstColumn="0" w:lastRowLastColumn="0"/>
              <w:rPr>
                <w:rFonts w:eastAsia="Times"/>
                <w:sz w:val="20"/>
                <w:szCs w:val="20"/>
              </w:rPr>
            </w:pPr>
            <w:r w:rsidRPr="006C7F5E">
              <w:rPr>
                <w:rFonts w:eastAsia="Times"/>
                <w:sz w:val="20"/>
                <w:szCs w:val="20"/>
              </w:rPr>
              <w:t>21.4</w:t>
            </w:r>
          </w:p>
        </w:tc>
      </w:tr>
    </w:tbl>
    <w:p w14:paraId="29F878BF"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Source: Author’s Calculation from various rounds of the NSSO-CES</w:t>
      </w:r>
    </w:p>
    <w:p w14:paraId="3C3D0157" w14:textId="77777777" w:rsidR="00D77AA1" w:rsidRPr="006C7F5E" w:rsidRDefault="00D77AA1" w:rsidP="00180824">
      <w:pPr>
        <w:spacing w:line="240" w:lineRule="auto"/>
        <w:jc w:val="both"/>
        <w:rPr>
          <w:rFonts w:eastAsia="Times"/>
          <w:sz w:val="20"/>
          <w:szCs w:val="20"/>
        </w:rPr>
      </w:pPr>
    </w:p>
    <w:p w14:paraId="0B694B2A" w14:textId="4EBC9E51" w:rsidR="00D77AA1" w:rsidRPr="006C7F5E" w:rsidRDefault="00CF18C0" w:rsidP="00180824">
      <w:pPr>
        <w:spacing w:line="240" w:lineRule="auto"/>
        <w:jc w:val="both"/>
        <w:rPr>
          <w:rFonts w:eastAsia="Times"/>
          <w:sz w:val="20"/>
          <w:szCs w:val="20"/>
        </w:rPr>
      </w:pPr>
      <w:r w:rsidRPr="006C7F5E">
        <w:rPr>
          <w:rFonts w:eastAsia="Times"/>
          <w:sz w:val="20"/>
          <w:szCs w:val="20"/>
        </w:rPr>
        <w:t xml:space="preserve">It further reveals that poor households overwhelmingly depend on cereals as their main source of protein, with over 80 </w:t>
      </w:r>
      <w:r w:rsidR="00FE4B22" w:rsidRPr="006C7F5E">
        <w:rPr>
          <w:rFonts w:eastAsia="Times"/>
          <w:sz w:val="20"/>
          <w:szCs w:val="20"/>
        </w:rPr>
        <w:t>per cent</w:t>
      </w:r>
      <w:r w:rsidRPr="006C7F5E">
        <w:rPr>
          <w:rFonts w:eastAsia="Times"/>
          <w:sz w:val="20"/>
          <w:szCs w:val="20"/>
        </w:rPr>
        <w:t xml:space="preserve"> of their protein intake coming from cereals among the bottom 5 </w:t>
      </w:r>
      <w:r w:rsidR="00171853" w:rsidRPr="006C7F5E">
        <w:rPr>
          <w:rFonts w:eastAsia="Times"/>
          <w:sz w:val="20"/>
          <w:szCs w:val="20"/>
        </w:rPr>
        <w:t>per cent</w:t>
      </w:r>
      <w:r w:rsidRPr="006C7F5E">
        <w:rPr>
          <w:rFonts w:eastAsia="Times"/>
          <w:sz w:val="20"/>
          <w:szCs w:val="20"/>
        </w:rPr>
        <w:t xml:space="preserve"> in 1993–94. In contrast, nearly 55 </w:t>
      </w:r>
      <w:r w:rsidR="00171853" w:rsidRPr="006C7F5E">
        <w:rPr>
          <w:rFonts w:eastAsia="Times"/>
          <w:sz w:val="20"/>
          <w:szCs w:val="20"/>
        </w:rPr>
        <w:t>per cent</w:t>
      </w:r>
      <w:r w:rsidRPr="006C7F5E">
        <w:rPr>
          <w:rFonts w:eastAsia="Times"/>
          <w:sz w:val="20"/>
          <w:szCs w:val="20"/>
        </w:rPr>
        <w:t xml:space="preserve"> of the top 5 </w:t>
      </w:r>
      <w:r w:rsidR="00171853" w:rsidRPr="006C7F5E">
        <w:rPr>
          <w:rFonts w:eastAsia="Times"/>
          <w:sz w:val="20"/>
          <w:szCs w:val="20"/>
        </w:rPr>
        <w:t>per cent's</w:t>
      </w:r>
      <w:r w:rsidRPr="006C7F5E">
        <w:rPr>
          <w:rFonts w:eastAsia="Times"/>
          <w:sz w:val="20"/>
          <w:szCs w:val="20"/>
        </w:rPr>
        <w:t xml:space="preserve"> protein came from high-value sources</w:t>
      </w:r>
      <w:r w:rsidR="00976E26" w:rsidRPr="006C7F5E">
        <w:rPr>
          <w:rFonts w:eastAsia="Times"/>
          <w:sz w:val="20"/>
          <w:szCs w:val="20"/>
        </w:rPr>
        <w:t>, such as</w:t>
      </w:r>
      <w:r w:rsidRPr="006C7F5E">
        <w:rPr>
          <w:rFonts w:eastAsia="Times"/>
          <w:sz w:val="20"/>
          <w:szCs w:val="20"/>
        </w:rPr>
        <w:t xml:space="preserve"> milk, eggs, fish, and meat. The MPCE group breakdown shows that poorer households remain disproportionately reliant on cereals. In 1993–94, the bottom 5% obtained 81.4% of their protein from cereals, a figure that only decreased to 59.1% by 2022–23—still well above the national average. Meanwhile, the top 5% reduced their cereal share from 55.2% to 34.6% during the same period, with significant increases in milk (around 14%) and eggs, fish, and meat (16%). This growing dietary inequality exemplifies Engel’s Law: as </w:t>
      </w:r>
      <w:r w:rsidRPr="006C7F5E">
        <w:rPr>
          <w:rFonts w:eastAsia="Times"/>
          <w:sz w:val="20"/>
          <w:szCs w:val="20"/>
        </w:rPr>
        <w:lastRenderedPageBreak/>
        <w:t xml:space="preserve">incomes increase, wealthier households </w:t>
      </w:r>
      <w:r w:rsidR="00976E26" w:rsidRPr="006C7F5E">
        <w:rPr>
          <w:rFonts w:eastAsia="Times"/>
          <w:sz w:val="20"/>
          <w:szCs w:val="20"/>
        </w:rPr>
        <w:t>rapidly diversify their diets</w:t>
      </w:r>
      <w:r w:rsidRPr="006C7F5E">
        <w:rPr>
          <w:rFonts w:eastAsia="Times"/>
          <w:sz w:val="20"/>
          <w:szCs w:val="20"/>
        </w:rPr>
        <w:t>, while poorer households remain dependent on cereal-heavy consumption.</w:t>
      </w:r>
    </w:p>
    <w:p w14:paraId="61753497" w14:textId="3A366EFC" w:rsidR="00D77AA1" w:rsidRPr="006C7F5E" w:rsidRDefault="00CF18C0" w:rsidP="00180824">
      <w:pPr>
        <w:spacing w:line="240" w:lineRule="auto"/>
        <w:jc w:val="both"/>
        <w:rPr>
          <w:rFonts w:eastAsia="Times"/>
          <w:sz w:val="20"/>
          <w:szCs w:val="20"/>
        </w:rPr>
      </w:pPr>
      <w:r w:rsidRPr="006C7F5E">
        <w:rPr>
          <w:rFonts w:eastAsia="Times New Roman"/>
          <w:sz w:val="20"/>
          <w:szCs w:val="20"/>
        </w:rPr>
        <w:t>This divergence reflects the income elasticity of demand for different food groups</w:t>
      </w:r>
      <w:r w:rsidR="00976E26" w:rsidRPr="006C7F5E">
        <w:rPr>
          <w:rFonts w:eastAsia="Times New Roman"/>
          <w:sz w:val="20"/>
          <w:szCs w:val="20"/>
        </w:rPr>
        <w:t>: pulses exhibit</w:t>
      </w:r>
      <w:r w:rsidRPr="006C7F5E">
        <w:rPr>
          <w:rFonts w:eastAsia="Times New Roman"/>
          <w:sz w:val="20"/>
          <w:szCs w:val="20"/>
        </w:rPr>
        <w:t xml:space="preserve"> near-zero elasticity, remaining stable across groups, while milk and animal products emerge as luxury items with strong positive elasticity. From the perspective of Sen’s entitlement approach, dietary inequality </w:t>
      </w:r>
      <w:r w:rsidR="00976E26" w:rsidRPr="006C7F5E">
        <w:rPr>
          <w:rFonts w:eastAsia="Times New Roman"/>
          <w:sz w:val="20"/>
          <w:szCs w:val="20"/>
        </w:rPr>
        <w:t>reflects underlying disparities in access to</w:t>
      </w:r>
      <w:r w:rsidRPr="006C7F5E">
        <w:rPr>
          <w:rFonts w:eastAsia="Times New Roman"/>
          <w:sz w:val="20"/>
          <w:szCs w:val="20"/>
        </w:rPr>
        <w:t xml:space="preserve"> food, where low-expenditure households are limited to subsistence cereals due to their limited entitlements</w:t>
      </w:r>
      <w:r w:rsidR="00976E26" w:rsidRPr="006C7F5E">
        <w:rPr>
          <w:rFonts w:eastAsia="Times New Roman"/>
          <w:sz w:val="20"/>
          <w:szCs w:val="20"/>
        </w:rPr>
        <w:t>. In contrast,</w:t>
      </w:r>
      <w:r w:rsidRPr="006C7F5E">
        <w:rPr>
          <w:rFonts w:eastAsia="Times New Roman"/>
          <w:sz w:val="20"/>
          <w:szCs w:val="20"/>
        </w:rPr>
        <w:t xml:space="preserve"> wealthier households diversify into nutritionally superior sources. Furthermore, through Becker’s household production model of nutrition, these patterns highlight how households </w:t>
      </w:r>
      <w:r w:rsidR="00171853" w:rsidRPr="006C7F5E">
        <w:rPr>
          <w:rFonts w:eastAsia="Times New Roman"/>
          <w:sz w:val="20"/>
          <w:szCs w:val="20"/>
        </w:rPr>
        <w:t>maximise</w:t>
      </w:r>
      <w:r w:rsidRPr="006C7F5E">
        <w:rPr>
          <w:rFonts w:eastAsia="Times New Roman"/>
          <w:sz w:val="20"/>
          <w:szCs w:val="20"/>
        </w:rPr>
        <w:t xml:space="preserve"> utility by converting food purchases into nutrients, considering constraints of income, prices, and preferences. For poorer groups, cereals remain the most cost-effective source of protein, while richer households can afford to trade quantity for quality, seeking proteins with higher biological value. </w:t>
      </w:r>
    </w:p>
    <w:p w14:paraId="218E3E67" w14:textId="77777777" w:rsidR="006C7F5E" w:rsidRDefault="006C7F5E" w:rsidP="00180824">
      <w:pPr>
        <w:spacing w:line="240" w:lineRule="auto"/>
        <w:jc w:val="both"/>
        <w:rPr>
          <w:rFonts w:eastAsia="Times"/>
          <w:b/>
          <w:sz w:val="20"/>
          <w:szCs w:val="20"/>
        </w:rPr>
      </w:pPr>
    </w:p>
    <w:p w14:paraId="75481788" w14:textId="06AB2323" w:rsidR="00D77AA1" w:rsidRPr="006C7F5E" w:rsidRDefault="006C7F5E" w:rsidP="00180824">
      <w:pPr>
        <w:spacing w:line="240" w:lineRule="auto"/>
        <w:jc w:val="both"/>
        <w:rPr>
          <w:rFonts w:eastAsia="Times"/>
          <w:b/>
          <w:sz w:val="20"/>
          <w:szCs w:val="20"/>
          <w:u w:val="single"/>
        </w:rPr>
      </w:pPr>
      <w:r w:rsidRPr="006C7F5E">
        <w:rPr>
          <w:rFonts w:eastAsia="Times"/>
          <w:b/>
          <w:sz w:val="20"/>
          <w:szCs w:val="20"/>
          <w:u w:val="single"/>
        </w:rPr>
        <w:t xml:space="preserve">3.3.1 Deprivation of Nutrients among Social Groups </w:t>
      </w:r>
    </w:p>
    <w:p w14:paraId="69BBB62A" w14:textId="77777777" w:rsidR="00D77AA1" w:rsidRPr="006C7F5E" w:rsidRDefault="00D77AA1" w:rsidP="00180824">
      <w:pPr>
        <w:spacing w:line="240" w:lineRule="auto"/>
        <w:jc w:val="both"/>
        <w:rPr>
          <w:rFonts w:eastAsia="Times"/>
          <w:sz w:val="20"/>
          <w:szCs w:val="20"/>
        </w:rPr>
      </w:pPr>
    </w:p>
    <w:p w14:paraId="6148498A" w14:textId="77777777" w:rsidR="00D77AA1" w:rsidRPr="006C7F5E" w:rsidRDefault="00000000" w:rsidP="00180824">
      <w:pPr>
        <w:spacing w:line="240" w:lineRule="auto"/>
        <w:jc w:val="center"/>
        <w:rPr>
          <w:rFonts w:eastAsia="Times"/>
          <w:sz w:val="20"/>
          <w:szCs w:val="20"/>
        </w:rPr>
      </w:pPr>
      <w:r w:rsidRPr="006C7F5E">
        <w:rPr>
          <w:rFonts w:eastAsia="Times"/>
          <w:b/>
          <w:sz w:val="20"/>
          <w:szCs w:val="20"/>
        </w:rPr>
        <w:t>Table 6: Deprivation in Different Nutrients among Social Groups in Rural India</w:t>
      </w:r>
    </w:p>
    <w:tbl>
      <w:tblPr>
        <w:tblStyle w:val="a8"/>
        <w:tblW w:w="9846" w:type="dxa"/>
        <w:tblLayout w:type="fixed"/>
        <w:tblLook w:val="0400" w:firstRow="0" w:lastRow="0" w:firstColumn="0" w:lastColumn="0" w:noHBand="0" w:noVBand="1"/>
      </w:tblPr>
      <w:tblGrid>
        <w:gridCol w:w="1974"/>
        <w:gridCol w:w="3030"/>
        <w:gridCol w:w="1800"/>
        <w:gridCol w:w="1776"/>
        <w:gridCol w:w="1266"/>
      </w:tblGrid>
      <w:tr w:rsidR="00D77AA1" w:rsidRPr="006C7F5E" w14:paraId="035B72F9" w14:textId="77777777">
        <w:trPr>
          <w:trHeight w:val="201"/>
        </w:trPr>
        <w:tc>
          <w:tcPr>
            <w:tcW w:w="1974" w:type="dxa"/>
            <w:vMerge w:val="restart"/>
            <w:tcBorders>
              <w:right w:val="single" w:sz="4" w:space="0" w:color="000000"/>
            </w:tcBorders>
            <w:tcMar>
              <w:top w:w="0" w:type="dxa"/>
              <w:left w:w="108" w:type="dxa"/>
              <w:bottom w:w="0" w:type="dxa"/>
              <w:right w:w="108" w:type="dxa"/>
            </w:tcMar>
            <w:vAlign w:val="center"/>
          </w:tcPr>
          <w:p w14:paraId="2D3A1CA2" w14:textId="77777777" w:rsidR="00D77AA1" w:rsidRPr="006C7F5E" w:rsidRDefault="00D77AA1" w:rsidP="00180824">
            <w:pPr>
              <w:spacing w:line="240" w:lineRule="auto"/>
              <w:jc w:val="center"/>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9431A"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Nutrients</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00487"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Calorie</w:t>
            </w:r>
          </w:p>
        </w:tc>
        <w:tc>
          <w:tcPr>
            <w:tcW w:w="1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A7ED8"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Protein</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0E91A"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Fat</w:t>
            </w:r>
          </w:p>
        </w:tc>
      </w:tr>
      <w:tr w:rsidR="00D77AA1" w:rsidRPr="006C7F5E" w14:paraId="430B41A6" w14:textId="77777777">
        <w:trPr>
          <w:trHeight w:val="241"/>
        </w:trPr>
        <w:tc>
          <w:tcPr>
            <w:tcW w:w="1974" w:type="dxa"/>
            <w:vMerge/>
            <w:tcBorders>
              <w:right w:val="single" w:sz="4" w:space="0" w:color="000000"/>
            </w:tcBorders>
            <w:tcMar>
              <w:top w:w="0" w:type="dxa"/>
              <w:left w:w="108" w:type="dxa"/>
              <w:bottom w:w="0" w:type="dxa"/>
              <w:right w:w="108" w:type="dxa"/>
            </w:tcMar>
            <w:vAlign w:val="center"/>
          </w:tcPr>
          <w:p w14:paraId="66567CD7"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041C3"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Social Groups</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7A0C4"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1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F719F"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6A240"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r>
      <w:tr w:rsidR="00D77AA1" w:rsidRPr="006C7F5E" w14:paraId="2B1EF254" w14:textId="77777777">
        <w:trPr>
          <w:trHeight w:val="254"/>
        </w:trPr>
        <w:tc>
          <w:tcPr>
            <w:tcW w:w="1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5353"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1993-94</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35EB7"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53180"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0.65</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8DCFC"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0.40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28616"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0.71</w:t>
            </w:r>
          </w:p>
        </w:tc>
      </w:tr>
      <w:tr w:rsidR="00D77AA1" w:rsidRPr="006C7F5E" w14:paraId="64AF167C"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34F90"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0395A"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SC</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51D11"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0.62</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8FA41"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0.34</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56ACE"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0.67</w:t>
            </w:r>
          </w:p>
        </w:tc>
      </w:tr>
      <w:tr w:rsidR="00D77AA1" w:rsidRPr="006C7F5E" w14:paraId="0056C88B"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E6EFC"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48E84"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Non-SC/ST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370A"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0.51</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879B6"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0.25</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2175A"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0.48</w:t>
            </w:r>
          </w:p>
        </w:tc>
      </w:tr>
      <w:tr w:rsidR="00D77AA1" w:rsidRPr="006C7F5E" w14:paraId="1EE834AE"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81EE4"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5D29D"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ALL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DCBB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0.55</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C2C7B"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0.26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322BA"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0.54</w:t>
            </w:r>
          </w:p>
        </w:tc>
      </w:tr>
      <w:tr w:rsidR="00D77AA1" w:rsidRPr="006C7F5E" w14:paraId="79CC8213" w14:textId="77777777">
        <w:trPr>
          <w:trHeight w:val="254"/>
        </w:trPr>
        <w:tc>
          <w:tcPr>
            <w:tcW w:w="1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9BB65"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2004-05</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6F6C5"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5BEAD"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0.71</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EE41"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0.45</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13AC"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0.63</w:t>
            </w:r>
          </w:p>
        </w:tc>
      </w:tr>
      <w:tr w:rsidR="00D77AA1" w:rsidRPr="006C7F5E" w14:paraId="0932248B"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715E1"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F1FB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SC</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FCA08"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0.67</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64AA1"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9E566"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0.53</w:t>
            </w:r>
          </w:p>
        </w:tc>
      </w:tr>
      <w:tr w:rsidR="00D77AA1" w:rsidRPr="006C7F5E" w14:paraId="2CA5E825"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9B98"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11C7"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Non-SC/ST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CC6ED"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0.58</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83E7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09F23"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0.36</w:t>
            </w:r>
          </w:p>
        </w:tc>
      </w:tr>
      <w:tr w:rsidR="00D77AA1" w:rsidRPr="006C7F5E" w14:paraId="4C194344"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9287"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D42FF"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ALL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01784"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0.61</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2E57E"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0.33</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AD1A4"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0.42</w:t>
            </w:r>
          </w:p>
        </w:tc>
      </w:tr>
      <w:tr w:rsidR="00D77AA1" w:rsidRPr="006C7F5E" w14:paraId="161E480D" w14:textId="77777777">
        <w:trPr>
          <w:trHeight w:val="254"/>
        </w:trPr>
        <w:tc>
          <w:tcPr>
            <w:tcW w:w="1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6548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2011-12</w:t>
            </w: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4B9AC"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3C90A"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0.79</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4466B"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0.51</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E6325"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0.69</w:t>
            </w:r>
          </w:p>
        </w:tc>
      </w:tr>
      <w:tr w:rsidR="00D77AA1" w:rsidRPr="006C7F5E" w14:paraId="014CC173"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EEAC0"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07AEE"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SC</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8B24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0.72</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B77D9"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0.39</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1B2FF"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0.47</w:t>
            </w:r>
          </w:p>
        </w:tc>
      </w:tr>
      <w:tr w:rsidR="00D77AA1" w:rsidRPr="006C7F5E" w14:paraId="6FAE2B90"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5FFF6"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98080"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Non-SC/S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35E60"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0.68</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8BB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0.34</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43190"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0.39</w:t>
            </w:r>
          </w:p>
        </w:tc>
      </w:tr>
      <w:tr w:rsidR="00D77AA1" w:rsidRPr="006C7F5E" w14:paraId="5C1BE172" w14:textId="77777777">
        <w:trPr>
          <w:trHeight w:val="254"/>
        </w:trPr>
        <w:tc>
          <w:tcPr>
            <w:tcW w:w="1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A33BE" w14:textId="77777777" w:rsidR="00D77AA1" w:rsidRPr="006C7F5E" w:rsidRDefault="00D77AA1" w:rsidP="00180824">
            <w:pPr>
              <w:widowControl w:val="0"/>
              <w:pBdr>
                <w:top w:val="nil"/>
                <w:left w:val="nil"/>
                <w:bottom w:val="nil"/>
                <w:right w:val="nil"/>
                <w:between w:val="nil"/>
              </w:pBdr>
              <w:spacing w:line="240" w:lineRule="auto"/>
              <w:rPr>
                <w:rFonts w:eastAsia="Times"/>
                <w:sz w:val="20"/>
                <w:szCs w:val="20"/>
              </w:rPr>
            </w:pPr>
          </w:p>
        </w:tc>
        <w:tc>
          <w:tcPr>
            <w:tcW w:w="3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FC062"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ALL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470EE"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0.70</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D21B9"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0.37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35FB9"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0.44</w:t>
            </w:r>
          </w:p>
        </w:tc>
      </w:tr>
    </w:tbl>
    <w:p w14:paraId="34A4C251" w14:textId="77777777" w:rsidR="00D77AA1" w:rsidRPr="006C7F5E" w:rsidRDefault="00000000" w:rsidP="00180824">
      <w:pPr>
        <w:spacing w:line="240" w:lineRule="auto"/>
        <w:jc w:val="center"/>
        <w:rPr>
          <w:rFonts w:eastAsia="Times"/>
          <w:sz w:val="20"/>
          <w:szCs w:val="20"/>
        </w:rPr>
      </w:pPr>
      <w:r w:rsidRPr="006C7F5E">
        <w:rPr>
          <w:rFonts w:eastAsia="Times"/>
          <w:sz w:val="20"/>
          <w:szCs w:val="20"/>
        </w:rPr>
        <w:t>Source: Author’s calculation using various rounds of the NSSO-CES unit-level data</w:t>
      </w:r>
    </w:p>
    <w:p w14:paraId="2FBF673B" w14:textId="77777777" w:rsidR="00D77AA1" w:rsidRPr="006C7F5E" w:rsidRDefault="00D77AA1" w:rsidP="00180824">
      <w:pPr>
        <w:spacing w:line="240" w:lineRule="auto"/>
        <w:jc w:val="both"/>
        <w:rPr>
          <w:rFonts w:eastAsia="Times"/>
          <w:sz w:val="20"/>
          <w:szCs w:val="20"/>
        </w:rPr>
      </w:pPr>
    </w:p>
    <w:p w14:paraId="5CE8190D" w14:textId="4631EE49" w:rsidR="00D77AA1" w:rsidRPr="006C7F5E" w:rsidRDefault="00000000" w:rsidP="00180824">
      <w:pPr>
        <w:spacing w:line="240" w:lineRule="auto"/>
        <w:jc w:val="both"/>
        <w:rPr>
          <w:rFonts w:eastAsia="Times"/>
          <w:sz w:val="20"/>
          <w:szCs w:val="20"/>
        </w:rPr>
      </w:pPr>
      <w:r w:rsidRPr="006C7F5E">
        <w:rPr>
          <w:rFonts w:eastAsia="Times"/>
          <w:sz w:val="20"/>
          <w:szCs w:val="20"/>
        </w:rPr>
        <w:t>The incidences of deprivation</w:t>
      </w:r>
      <w:r w:rsidR="00976E26" w:rsidRPr="006C7F5E">
        <w:rPr>
          <w:rFonts w:eastAsia="Times"/>
          <w:sz w:val="20"/>
          <w:szCs w:val="20"/>
        </w:rPr>
        <w:t>, as measured by different indicators, for the periods 1993-94 and 2011-12 are expressed as the proportion of people below the cut-off line for each indicator</w:t>
      </w:r>
      <w:r w:rsidRPr="006C7F5E">
        <w:rPr>
          <w:rFonts w:eastAsia="Times"/>
          <w:sz w:val="20"/>
          <w:szCs w:val="20"/>
        </w:rPr>
        <w:t xml:space="preserve"> and </w:t>
      </w:r>
      <w:r w:rsidR="00171853" w:rsidRPr="006C7F5E">
        <w:rPr>
          <w:rFonts w:eastAsia="Times"/>
          <w:sz w:val="20"/>
          <w:szCs w:val="20"/>
        </w:rPr>
        <w:t>reveal</w:t>
      </w:r>
      <w:r w:rsidRPr="006C7F5E">
        <w:rPr>
          <w:rFonts w:eastAsia="Times"/>
          <w:sz w:val="20"/>
          <w:szCs w:val="20"/>
        </w:rPr>
        <w:t xml:space="preserve"> a mixed response. Incidence of calorie deprivation and protein deprivation increased continuously from 54.8 </w:t>
      </w:r>
      <w:r w:rsidR="00171853" w:rsidRPr="006C7F5E">
        <w:rPr>
          <w:rFonts w:eastAsia="Times"/>
          <w:sz w:val="20"/>
          <w:szCs w:val="20"/>
        </w:rPr>
        <w:t>per cent</w:t>
      </w:r>
      <w:r w:rsidRPr="006C7F5E">
        <w:rPr>
          <w:rFonts w:eastAsia="Times"/>
          <w:sz w:val="20"/>
          <w:szCs w:val="20"/>
        </w:rPr>
        <w:t xml:space="preserve"> to 70.1 per cent and </w:t>
      </w:r>
      <w:r w:rsidR="00171853" w:rsidRPr="006C7F5E">
        <w:rPr>
          <w:rFonts w:eastAsia="Times"/>
          <w:sz w:val="20"/>
          <w:szCs w:val="20"/>
        </w:rPr>
        <w:t xml:space="preserve">from </w:t>
      </w:r>
      <w:r w:rsidRPr="006C7F5E">
        <w:rPr>
          <w:rFonts w:eastAsia="Times"/>
          <w:sz w:val="20"/>
          <w:szCs w:val="20"/>
        </w:rPr>
        <w:t xml:space="preserve">25 </w:t>
      </w:r>
      <w:r w:rsidR="00171853" w:rsidRPr="006C7F5E">
        <w:rPr>
          <w:rFonts w:eastAsia="Times"/>
          <w:sz w:val="20"/>
          <w:szCs w:val="20"/>
        </w:rPr>
        <w:t>per cent</w:t>
      </w:r>
      <w:r w:rsidRPr="006C7F5E">
        <w:rPr>
          <w:rFonts w:eastAsia="Times"/>
          <w:sz w:val="20"/>
          <w:szCs w:val="20"/>
        </w:rPr>
        <w:t xml:space="preserve"> to 36.7 </w:t>
      </w:r>
      <w:r w:rsidR="00171853" w:rsidRPr="006C7F5E">
        <w:rPr>
          <w:rFonts w:eastAsia="Times"/>
          <w:sz w:val="20"/>
          <w:szCs w:val="20"/>
        </w:rPr>
        <w:t>per cent,</w:t>
      </w:r>
      <w:r w:rsidRPr="006C7F5E">
        <w:rPr>
          <w:rFonts w:eastAsia="Times"/>
          <w:sz w:val="20"/>
          <w:szCs w:val="20"/>
        </w:rPr>
        <w:t xml:space="preserve"> respectively</w:t>
      </w:r>
      <w:r w:rsidR="00171853" w:rsidRPr="006C7F5E">
        <w:rPr>
          <w:rFonts w:eastAsia="Times"/>
          <w:sz w:val="20"/>
          <w:szCs w:val="20"/>
        </w:rPr>
        <w:t>,</w:t>
      </w:r>
      <w:r w:rsidRPr="006C7F5E">
        <w:rPr>
          <w:rFonts w:eastAsia="Times"/>
          <w:sz w:val="20"/>
          <w:szCs w:val="20"/>
        </w:rPr>
        <w:t xml:space="preserve"> among rural households in India. Incidence of fat deprivation among rural households declined from 54.2 </w:t>
      </w:r>
      <w:r w:rsidR="00171853" w:rsidRPr="006C7F5E">
        <w:rPr>
          <w:rFonts w:eastAsia="Times"/>
          <w:sz w:val="20"/>
          <w:szCs w:val="20"/>
        </w:rPr>
        <w:t>per cent</w:t>
      </w:r>
      <w:r w:rsidRPr="006C7F5E">
        <w:rPr>
          <w:rFonts w:eastAsia="Times"/>
          <w:sz w:val="20"/>
          <w:szCs w:val="20"/>
        </w:rPr>
        <w:t xml:space="preserve"> to 42.3 </w:t>
      </w:r>
      <w:r w:rsidR="00171853" w:rsidRPr="006C7F5E">
        <w:rPr>
          <w:rFonts w:eastAsia="Times"/>
          <w:sz w:val="20"/>
          <w:szCs w:val="20"/>
        </w:rPr>
        <w:t>per cent</w:t>
      </w:r>
      <w:r w:rsidRPr="006C7F5E">
        <w:rPr>
          <w:rFonts w:eastAsia="Times"/>
          <w:sz w:val="20"/>
          <w:szCs w:val="20"/>
        </w:rPr>
        <w:t xml:space="preserve"> between 1993-94 </w:t>
      </w:r>
      <w:r w:rsidR="00976E26" w:rsidRPr="006C7F5E">
        <w:rPr>
          <w:rFonts w:eastAsia="Times"/>
          <w:sz w:val="20"/>
          <w:szCs w:val="20"/>
        </w:rPr>
        <w:t>and</w:t>
      </w:r>
      <w:r w:rsidRPr="006C7F5E">
        <w:rPr>
          <w:rFonts w:eastAsia="Times"/>
          <w:sz w:val="20"/>
          <w:szCs w:val="20"/>
        </w:rPr>
        <w:t xml:space="preserve"> 2004-05. Then it rose to 44.4 </w:t>
      </w:r>
      <w:r w:rsidR="00171853" w:rsidRPr="006C7F5E">
        <w:rPr>
          <w:rFonts w:eastAsia="Times"/>
          <w:sz w:val="20"/>
          <w:szCs w:val="20"/>
        </w:rPr>
        <w:t>per cent</w:t>
      </w:r>
      <w:r w:rsidRPr="006C7F5E">
        <w:rPr>
          <w:rFonts w:eastAsia="Times"/>
          <w:sz w:val="20"/>
          <w:szCs w:val="20"/>
        </w:rPr>
        <w:t xml:space="preserve"> in 2011-12. Researchers found that the average proportion of consumption expenditure on food reduces continuously over time. </w:t>
      </w:r>
      <w:r w:rsidR="00976E26" w:rsidRPr="006C7F5E">
        <w:rPr>
          <w:rFonts w:eastAsia="Times"/>
          <w:sz w:val="20"/>
          <w:szCs w:val="20"/>
        </w:rPr>
        <w:t>Among</w:t>
      </w:r>
      <w:r w:rsidRPr="006C7F5E">
        <w:rPr>
          <w:rFonts w:eastAsia="Times"/>
          <w:sz w:val="20"/>
          <w:szCs w:val="20"/>
        </w:rPr>
        <w:t xml:space="preserve"> the non-food components, the expenditure </w:t>
      </w:r>
      <w:r w:rsidR="00171853" w:rsidRPr="006C7F5E">
        <w:rPr>
          <w:rFonts w:eastAsia="Times"/>
          <w:sz w:val="20"/>
          <w:szCs w:val="20"/>
        </w:rPr>
        <w:t>on</w:t>
      </w:r>
      <w:r w:rsidRPr="006C7F5E">
        <w:rPr>
          <w:rFonts w:eastAsia="Times"/>
          <w:sz w:val="20"/>
          <w:szCs w:val="20"/>
        </w:rPr>
        <w:t xml:space="preserve"> non-food, fuel and light, and miscellaneous goods and services</w:t>
      </w:r>
      <w:r w:rsidR="00171853" w:rsidRPr="006C7F5E">
        <w:rPr>
          <w:rFonts w:eastAsia="Times"/>
          <w:sz w:val="20"/>
          <w:szCs w:val="20"/>
        </w:rPr>
        <w:t>,</w:t>
      </w:r>
      <w:r w:rsidRPr="006C7F5E">
        <w:rPr>
          <w:rFonts w:eastAsia="Times"/>
          <w:sz w:val="20"/>
          <w:szCs w:val="20"/>
        </w:rPr>
        <w:t xml:space="preserve"> which include health</w:t>
      </w:r>
      <w:r w:rsidR="00171853" w:rsidRPr="006C7F5E">
        <w:rPr>
          <w:rFonts w:eastAsia="Times"/>
          <w:sz w:val="20"/>
          <w:szCs w:val="20"/>
        </w:rPr>
        <w:t>,</w:t>
      </w:r>
      <w:r w:rsidRPr="006C7F5E">
        <w:rPr>
          <w:rFonts w:eastAsia="Times"/>
          <w:sz w:val="20"/>
          <w:szCs w:val="20"/>
        </w:rPr>
        <w:t xml:space="preserve"> </w:t>
      </w:r>
      <w:r w:rsidR="00171853" w:rsidRPr="006C7F5E">
        <w:rPr>
          <w:rFonts w:eastAsia="Times"/>
          <w:sz w:val="20"/>
          <w:szCs w:val="20"/>
        </w:rPr>
        <w:t>has</w:t>
      </w:r>
      <w:r w:rsidRPr="006C7F5E">
        <w:rPr>
          <w:rFonts w:eastAsia="Times"/>
          <w:sz w:val="20"/>
          <w:szCs w:val="20"/>
        </w:rPr>
        <w:t xml:space="preserve"> shown an increasing trend</w:t>
      </w:r>
      <w:r w:rsidR="00171853" w:rsidRPr="006C7F5E">
        <w:rPr>
          <w:rFonts w:eastAsia="Times"/>
          <w:sz w:val="20"/>
          <w:szCs w:val="20"/>
        </w:rPr>
        <w:t>,</w:t>
      </w:r>
      <w:r w:rsidRPr="006C7F5E">
        <w:rPr>
          <w:rFonts w:eastAsia="Times"/>
          <w:sz w:val="20"/>
          <w:szCs w:val="20"/>
        </w:rPr>
        <w:t xml:space="preserve"> and they argued </w:t>
      </w:r>
      <w:r w:rsidR="00976E26" w:rsidRPr="006C7F5E">
        <w:rPr>
          <w:rFonts w:eastAsia="Times"/>
          <w:sz w:val="20"/>
          <w:szCs w:val="20"/>
        </w:rPr>
        <w:t xml:space="preserve">that </w:t>
      </w:r>
      <w:r w:rsidRPr="006C7F5E">
        <w:rPr>
          <w:rFonts w:eastAsia="Times"/>
          <w:sz w:val="20"/>
          <w:szCs w:val="20"/>
        </w:rPr>
        <w:t xml:space="preserve">the </w:t>
      </w:r>
      <w:r w:rsidR="00A71986" w:rsidRPr="006C7F5E">
        <w:rPr>
          <w:rFonts w:eastAsia="Times"/>
          <w:sz w:val="20"/>
          <w:szCs w:val="20"/>
        </w:rPr>
        <w:t>growing spending in</w:t>
      </w:r>
      <w:r w:rsidRPr="006C7F5E">
        <w:rPr>
          <w:rFonts w:eastAsia="Times"/>
          <w:sz w:val="20"/>
          <w:szCs w:val="20"/>
        </w:rPr>
        <w:t xml:space="preserve"> fuel and light is because of shortages of natural resources</w:t>
      </w:r>
      <w:r w:rsidRPr="003B3ABB">
        <w:rPr>
          <w:rFonts w:eastAsia="Times"/>
          <w:sz w:val="20"/>
          <w:szCs w:val="20"/>
        </w:rPr>
        <w:t xml:space="preserve">. </w:t>
      </w:r>
      <w:r w:rsidRPr="006C7F5E">
        <w:rPr>
          <w:rFonts w:eastAsia="Times"/>
          <w:sz w:val="20"/>
          <w:szCs w:val="20"/>
        </w:rPr>
        <w:t xml:space="preserve">Despite declining intakes </w:t>
      </w:r>
      <w:r w:rsidR="00171853" w:rsidRPr="006C7F5E">
        <w:rPr>
          <w:rFonts w:eastAsia="Times"/>
          <w:sz w:val="20"/>
          <w:szCs w:val="20"/>
        </w:rPr>
        <w:t>of</w:t>
      </w:r>
      <w:r w:rsidRPr="006C7F5E">
        <w:rPr>
          <w:rFonts w:eastAsia="Times"/>
          <w:sz w:val="20"/>
          <w:szCs w:val="20"/>
        </w:rPr>
        <w:t xml:space="preserve"> </w:t>
      </w:r>
      <w:r w:rsidR="00171853" w:rsidRPr="006C7F5E">
        <w:rPr>
          <w:rFonts w:eastAsia="Times"/>
          <w:sz w:val="20"/>
          <w:szCs w:val="20"/>
        </w:rPr>
        <w:t>calories</w:t>
      </w:r>
      <w:r w:rsidRPr="006C7F5E">
        <w:rPr>
          <w:rFonts w:eastAsia="Times"/>
          <w:sz w:val="20"/>
          <w:szCs w:val="20"/>
        </w:rPr>
        <w:t>, attributed almost entirely to lower cereal intakes, there is some improvement in dietary quality, as reflected by the decreasing reliance on cereals and tubers as the principal energy source (Viswanathan &amp; Meenakshi, 200</w:t>
      </w:r>
      <w:r w:rsidR="00A71986" w:rsidRPr="006C7F5E">
        <w:rPr>
          <w:rFonts w:eastAsia="Times"/>
          <w:sz w:val="20"/>
          <w:szCs w:val="20"/>
        </w:rPr>
        <w:t>3</w:t>
      </w:r>
      <w:r w:rsidRPr="006C7F5E">
        <w:rPr>
          <w:rFonts w:eastAsia="Times"/>
          <w:sz w:val="20"/>
          <w:szCs w:val="20"/>
        </w:rPr>
        <w:t>). </w:t>
      </w:r>
    </w:p>
    <w:p w14:paraId="4F15E0A9" w14:textId="3E8C36A8" w:rsidR="00D77AA1" w:rsidRPr="006C7F5E" w:rsidRDefault="00000000" w:rsidP="00180824">
      <w:pPr>
        <w:spacing w:line="240" w:lineRule="auto"/>
        <w:jc w:val="both"/>
        <w:rPr>
          <w:rFonts w:eastAsia="Times"/>
          <w:sz w:val="20"/>
          <w:szCs w:val="20"/>
        </w:rPr>
      </w:pPr>
      <w:r w:rsidRPr="006C7F5E">
        <w:rPr>
          <w:rFonts w:eastAsia="Times"/>
          <w:sz w:val="20"/>
          <w:szCs w:val="20"/>
        </w:rPr>
        <w:t>Table 6 reveals that deprivation of nutrients (</w:t>
      </w:r>
      <w:r w:rsidR="00171853" w:rsidRPr="006C7F5E">
        <w:rPr>
          <w:rFonts w:eastAsia="Times"/>
          <w:sz w:val="20"/>
          <w:szCs w:val="20"/>
        </w:rPr>
        <w:t>calories</w:t>
      </w:r>
      <w:r w:rsidRPr="006C7F5E">
        <w:rPr>
          <w:rFonts w:eastAsia="Times"/>
          <w:sz w:val="20"/>
          <w:szCs w:val="20"/>
        </w:rPr>
        <w:t xml:space="preserve">, protein and fat) is </w:t>
      </w:r>
      <w:r w:rsidR="00171853" w:rsidRPr="006C7F5E">
        <w:rPr>
          <w:rFonts w:eastAsia="Times"/>
          <w:sz w:val="20"/>
          <w:szCs w:val="20"/>
        </w:rPr>
        <w:t>highest</w:t>
      </w:r>
      <w:r w:rsidRPr="006C7F5E">
        <w:rPr>
          <w:rFonts w:eastAsia="Times"/>
          <w:sz w:val="20"/>
          <w:szCs w:val="20"/>
        </w:rPr>
        <w:t xml:space="preserve"> among ST</w:t>
      </w:r>
      <w:r w:rsidR="00FE4B22" w:rsidRPr="006C7F5E">
        <w:rPr>
          <w:rFonts w:eastAsia="Times"/>
          <w:sz w:val="20"/>
          <w:szCs w:val="20"/>
        </w:rPr>
        <w:t>,</w:t>
      </w:r>
      <w:r w:rsidRPr="006C7F5E">
        <w:rPr>
          <w:rFonts w:eastAsia="Times"/>
          <w:sz w:val="20"/>
          <w:szCs w:val="20"/>
        </w:rPr>
        <w:t xml:space="preserve"> followed by SC. Deprivation of nutrients is </w:t>
      </w:r>
      <w:r w:rsidR="00171853" w:rsidRPr="006C7F5E">
        <w:rPr>
          <w:rFonts w:eastAsia="Times"/>
          <w:sz w:val="20"/>
          <w:szCs w:val="20"/>
        </w:rPr>
        <w:t xml:space="preserve">the </w:t>
      </w:r>
      <w:r w:rsidRPr="006C7F5E">
        <w:rPr>
          <w:rFonts w:eastAsia="Times"/>
          <w:sz w:val="20"/>
          <w:szCs w:val="20"/>
        </w:rPr>
        <w:t xml:space="preserve">least among non-SC/ST. This reveals the prevalence of disparity between social groups in the context of nutrition deprivation. </w:t>
      </w:r>
      <w:r w:rsidR="00171853" w:rsidRPr="006C7F5E">
        <w:rPr>
          <w:rFonts w:eastAsia="Times"/>
          <w:sz w:val="20"/>
          <w:szCs w:val="20"/>
        </w:rPr>
        <w:t>The percentage</w:t>
      </w:r>
      <w:r w:rsidRPr="006C7F5E">
        <w:rPr>
          <w:rFonts w:eastAsia="Times"/>
          <w:sz w:val="20"/>
          <w:szCs w:val="20"/>
        </w:rPr>
        <w:t xml:space="preserve"> of </w:t>
      </w:r>
      <w:r w:rsidR="00171853" w:rsidRPr="006C7F5E">
        <w:rPr>
          <w:rFonts w:eastAsia="Times"/>
          <w:sz w:val="20"/>
          <w:szCs w:val="20"/>
        </w:rPr>
        <w:t xml:space="preserve">the </w:t>
      </w:r>
      <w:r w:rsidRPr="006C7F5E">
        <w:rPr>
          <w:rFonts w:eastAsia="Times"/>
          <w:sz w:val="20"/>
          <w:szCs w:val="20"/>
        </w:rPr>
        <w:t xml:space="preserve">population faced calorie deprivation rose from 64.8 </w:t>
      </w:r>
      <w:r w:rsidR="00171853" w:rsidRPr="006C7F5E">
        <w:rPr>
          <w:rFonts w:eastAsia="Times"/>
          <w:sz w:val="20"/>
          <w:szCs w:val="20"/>
        </w:rPr>
        <w:t>per cent</w:t>
      </w:r>
      <w:r w:rsidRPr="006C7F5E">
        <w:rPr>
          <w:rFonts w:eastAsia="Times"/>
          <w:sz w:val="20"/>
          <w:szCs w:val="20"/>
        </w:rPr>
        <w:t xml:space="preserve"> in 1993-94 to 78.9 </w:t>
      </w:r>
      <w:r w:rsidR="00171853" w:rsidRPr="006C7F5E">
        <w:rPr>
          <w:rFonts w:eastAsia="Times"/>
          <w:sz w:val="20"/>
          <w:szCs w:val="20"/>
        </w:rPr>
        <w:t>per cent</w:t>
      </w:r>
      <w:r w:rsidRPr="006C7F5E">
        <w:rPr>
          <w:rFonts w:eastAsia="Times"/>
          <w:sz w:val="20"/>
          <w:szCs w:val="20"/>
        </w:rPr>
        <w:t xml:space="preserve"> in 2011-12 among ST in rural India. Among non-SC/ST, </w:t>
      </w:r>
      <w:r w:rsidR="00171853" w:rsidRPr="006C7F5E">
        <w:rPr>
          <w:rFonts w:eastAsia="Times"/>
          <w:sz w:val="20"/>
          <w:szCs w:val="20"/>
        </w:rPr>
        <w:t xml:space="preserve">the </w:t>
      </w:r>
      <w:r w:rsidRPr="006C7F5E">
        <w:rPr>
          <w:rFonts w:eastAsia="Times"/>
          <w:sz w:val="20"/>
          <w:szCs w:val="20"/>
        </w:rPr>
        <w:t xml:space="preserve">incidence of calorie deprivation rose continuously from 50.9 </w:t>
      </w:r>
      <w:r w:rsidR="00171853" w:rsidRPr="006C7F5E">
        <w:rPr>
          <w:rFonts w:eastAsia="Times"/>
          <w:sz w:val="20"/>
          <w:szCs w:val="20"/>
        </w:rPr>
        <w:t>per cent</w:t>
      </w:r>
      <w:r w:rsidRPr="006C7F5E">
        <w:rPr>
          <w:rFonts w:eastAsia="Times"/>
          <w:sz w:val="20"/>
          <w:szCs w:val="20"/>
        </w:rPr>
        <w:t xml:space="preserve"> to 70.1 </w:t>
      </w:r>
      <w:r w:rsidR="00171853" w:rsidRPr="006C7F5E">
        <w:rPr>
          <w:rFonts w:eastAsia="Times"/>
          <w:sz w:val="20"/>
          <w:szCs w:val="20"/>
        </w:rPr>
        <w:t>per cent</w:t>
      </w:r>
      <w:r w:rsidRPr="006C7F5E">
        <w:rPr>
          <w:rFonts w:eastAsia="Times"/>
          <w:sz w:val="20"/>
          <w:szCs w:val="20"/>
        </w:rPr>
        <w:t xml:space="preserve"> during the same period. </w:t>
      </w:r>
      <w:r w:rsidR="00976E26" w:rsidRPr="006C7F5E">
        <w:rPr>
          <w:rFonts w:eastAsia="Times"/>
          <w:sz w:val="20"/>
          <w:szCs w:val="20"/>
        </w:rPr>
        <w:t>The incidence of deprivation, in the context of normative calorie requirements</w:t>
      </w:r>
      <w:r w:rsidRPr="006C7F5E">
        <w:rPr>
          <w:rFonts w:eastAsia="Times"/>
          <w:sz w:val="20"/>
          <w:szCs w:val="20"/>
        </w:rPr>
        <w:t xml:space="preserve">, rose for all social groups. </w:t>
      </w:r>
      <w:r w:rsidR="00976E26" w:rsidRPr="006C7F5E">
        <w:rPr>
          <w:rFonts w:eastAsia="Times"/>
          <w:sz w:val="20"/>
          <w:szCs w:val="20"/>
        </w:rPr>
        <w:t>However, it rose at a higher rate among non-SC/ST individuals relative to ST individuals</w:t>
      </w:r>
      <w:r w:rsidRPr="006C7F5E">
        <w:rPr>
          <w:rFonts w:eastAsia="Times"/>
          <w:sz w:val="20"/>
          <w:szCs w:val="20"/>
        </w:rPr>
        <w:t xml:space="preserve">. This </w:t>
      </w:r>
      <w:r w:rsidR="00976E26" w:rsidRPr="006C7F5E">
        <w:rPr>
          <w:rFonts w:eastAsia="Times"/>
          <w:sz w:val="20"/>
          <w:szCs w:val="20"/>
        </w:rPr>
        <w:t>reduces the disparity in calorie deprivation</w:t>
      </w:r>
      <w:r w:rsidRPr="006C7F5E">
        <w:rPr>
          <w:rFonts w:eastAsia="Times"/>
          <w:sz w:val="20"/>
          <w:szCs w:val="20"/>
        </w:rPr>
        <w:t xml:space="preserve"> between ST and non-SC/ST. </w:t>
      </w:r>
      <w:r w:rsidR="00976E26" w:rsidRPr="006C7F5E">
        <w:rPr>
          <w:rFonts w:eastAsia="Times"/>
          <w:sz w:val="20"/>
          <w:szCs w:val="20"/>
        </w:rPr>
        <w:t>The incidence of protein deprivation also increased</w:t>
      </w:r>
      <w:r w:rsidRPr="006C7F5E">
        <w:rPr>
          <w:rFonts w:eastAsia="Times"/>
          <w:sz w:val="20"/>
          <w:szCs w:val="20"/>
        </w:rPr>
        <w:t xml:space="preserve"> among all social groups during this period. It rose 39.5 </w:t>
      </w:r>
      <w:r w:rsidR="00171853" w:rsidRPr="006C7F5E">
        <w:rPr>
          <w:rFonts w:eastAsia="Times"/>
          <w:sz w:val="20"/>
          <w:szCs w:val="20"/>
        </w:rPr>
        <w:t>per cent</w:t>
      </w:r>
      <w:r w:rsidRPr="006C7F5E">
        <w:rPr>
          <w:rFonts w:eastAsia="Times"/>
          <w:sz w:val="20"/>
          <w:szCs w:val="20"/>
        </w:rPr>
        <w:t xml:space="preserve"> to 51.4 </w:t>
      </w:r>
      <w:r w:rsidR="00171853" w:rsidRPr="006C7F5E">
        <w:rPr>
          <w:rFonts w:eastAsia="Times"/>
          <w:sz w:val="20"/>
          <w:szCs w:val="20"/>
        </w:rPr>
        <w:t>per cent</w:t>
      </w:r>
      <w:r w:rsidRPr="006C7F5E">
        <w:rPr>
          <w:rFonts w:eastAsia="Times"/>
          <w:sz w:val="20"/>
          <w:szCs w:val="20"/>
        </w:rPr>
        <w:t xml:space="preserve"> and 33.7 </w:t>
      </w:r>
      <w:r w:rsidR="00171853" w:rsidRPr="006C7F5E">
        <w:rPr>
          <w:rFonts w:eastAsia="Times"/>
          <w:sz w:val="20"/>
          <w:szCs w:val="20"/>
        </w:rPr>
        <w:t>per cent</w:t>
      </w:r>
      <w:r w:rsidRPr="006C7F5E">
        <w:rPr>
          <w:rFonts w:eastAsia="Times"/>
          <w:sz w:val="20"/>
          <w:szCs w:val="20"/>
        </w:rPr>
        <w:t xml:space="preserve"> to 39.4 </w:t>
      </w:r>
      <w:r w:rsidR="00171853" w:rsidRPr="006C7F5E">
        <w:rPr>
          <w:rFonts w:eastAsia="Times"/>
          <w:sz w:val="20"/>
          <w:szCs w:val="20"/>
        </w:rPr>
        <w:t>per cent</w:t>
      </w:r>
      <w:r w:rsidRPr="006C7F5E">
        <w:rPr>
          <w:rFonts w:eastAsia="Times"/>
          <w:sz w:val="20"/>
          <w:szCs w:val="20"/>
        </w:rPr>
        <w:t xml:space="preserve"> among ST and SC</w:t>
      </w:r>
      <w:r w:rsidR="00171853" w:rsidRPr="006C7F5E">
        <w:rPr>
          <w:rFonts w:eastAsia="Times"/>
          <w:sz w:val="20"/>
          <w:szCs w:val="20"/>
        </w:rPr>
        <w:t>,</w:t>
      </w:r>
      <w:r w:rsidRPr="006C7F5E">
        <w:rPr>
          <w:rFonts w:eastAsia="Times"/>
          <w:sz w:val="20"/>
          <w:szCs w:val="20"/>
        </w:rPr>
        <w:t xml:space="preserve"> respectively. It rose continuously from 25 </w:t>
      </w:r>
      <w:r w:rsidR="00171853" w:rsidRPr="006C7F5E">
        <w:rPr>
          <w:rFonts w:eastAsia="Times"/>
          <w:sz w:val="20"/>
          <w:szCs w:val="20"/>
        </w:rPr>
        <w:t>per cent</w:t>
      </w:r>
      <w:r w:rsidRPr="006C7F5E">
        <w:rPr>
          <w:rFonts w:eastAsia="Times"/>
          <w:sz w:val="20"/>
          <w:szCs w:val="20"/>
        </w:rPr>
        <w:t xml:space="preserve"> </w:t>
      </w:r>
      <w:r w:rsidRPr="006C7F5E">
        <w:rPr>
          <w:rFonts w:eastAsia="Times"/>
          <w:sz w:val="20"/>
          <w:szCs w:val="20"/>
        </w:rPr>
        <w:lastRenderedPageBreak/>
        <w:t xml:space="preserve">to 33.5 </w:t>
      </w:r>
      <w:r w:rsidR="00171853" w:rsidRPr="006C7F5E">
        <w:rPr>
          <w:rFonts w:eastAsia="Times"/>
          <w:sz w:val="20"/>
          <w:szCs w:val="20"/>
        </w:rPr>
        <w:t>per cent</w:t>
      </w:r>
      <w:r w:rsidRPr="006C7F5E">
        <w:rPr>
          <w:rFonts w:eastAsia="Times"/>
          <w:sz w:val="20"/>
          <w:szCs w:val="20"/>
        </w:rPr>
        <w:t xml:space="preserve"> among non-SC/ST. It reveals that </w:t>
      </w:r>
      <w:r w:rsidR="00FE4B22" w:rsidRPr="006C7F5E">
        <w:rPr>
          <w:rFonts w:eastAsia="Times"/>
          <w:sz w:val="20"/>
          <w:szCs w:val="20"/>
        </w:rPr>
        <w:t xml:space="preserve">the </w:t>
      </w:r>
      <w:r w:rsidRPr="006C7F5E">
        <w:rPr>
          <w:rFonts w:eastAsia="Times"/>
          <w:sz w:val="20"/>
          <w:szCs w:val="20"/>
        </w:rPr>
        <w:t xml:space="preserve">disparity </w:t>
      </w:r>
      <w:r w:rsidR="00976E26" w:rsidRPr="006C7F5E">
        <w:rPr>
          <w:rFonts w:eastAsia="Times"/>
          <w:sz w:val="20"/>
          <w:szCs w:val="20"/>
        </w:rPr>
        <w:t xml:space="preserve">in protein deprivation </w:t>
      </w:r>
      <w:r w:rsidRPr="006C7F5E">
        <w:rPr>
          <w:rFonts w:eastAsia="Times"/>
          <w:sz w:val="20"/>
          <w:szCs w:val="20"/>
        </w:rPr>
        <w:t xml:space="preserve">declined between ST and non-SC/ST over time. </w:t>
      </w:r>
      <w:r w:rsidR="00976E26" w:rsidRPr="006C7F5E">
        <w:rPr>
          <w:rFonts w:eastAsia="Times"/>
          <w:sz w:val="20"/>
          <w:szCs w:val="20"/>
        </w:rPr>
        <w:t>At the same time, the discrepancy in protein deprivation increased between ST and SC over time, as the incidence of protein deprivation rose at a higher rate among ST compared</w:t>
      </w:r>
      <w:r w:rsidRPr="006C7F5E">
        <w:rPr>
          <w:rFonts w:eastAsia="Times"/>
          <w:sz w:val="20"/>
          <w:szCs w:val="20"/>
        </w:rPr>
        <w:t xml:space="preserve"> to SC. </w:t>
      </w:r>
      <w:r w:rsidR="00976E26" w:rsidRPr="006C7F5E">
        <w:rPr>
          <w:rFonts w:eastAsia="Times"/>
          <w:sz w:val="20"/>
          <w:szCs w:val="20"/>
        </w:rPr>
        <w:t>The logarithmic difference in deprivation of protein intake between ST and SC reveals that the disparity further worsened between ST and SC, as the log difference increased</w:t>
      </w:r>
      <w:r w:rsidRPr="006C7F5E">
        <w:rPr>
          <w:rFonts w:eastAsia="Times"/>
          <w:sz w:val="20"/>
          <w:szCs w:val="20"/>
        </w:rPr>
        <w:t xml:space="preserve"> </w:t>
      </w:r>
      <w:r w:rsidR="00FE4B22" w:rsidRPr="006C7F5E">
        <w:rPr>
          <w:rFonts w:eastAsia="Times"/>
          <w:sz w:val="20"/>
          <w:szCs w:val="20"/>
        </w:rPr>
        <w:t xml:space="preserve">from </w:t>
      </w:r>
      <w:r w:rsidRPr="006C7F5E">
        <w:rPr>
          <w:rFonts w:eastAsia="Times"/>
          <w:sz w:val="20"/>
          <w:szCs w:val="20"/>
        </w:rPr>
        <w:t xml:space="preserve">0.07 to 0.12. Unlike </w:t>
      </w:r>
      <w:r w:rsidR="00FE4B22" w:rsidRPr="006C7F5E">
        <w:rPr>
          <w:rFonts w:eastAsia="Times"/>
          <w:sz w:val="20"/>
          <w:szCs w:val="20"/>
        </w:rPr>
        <w:t>calories</w:t>
      </w:r>
      <w:r w:rsidRPr="006C7F5E">
        <w:rPr>
          <w:rFonts w:eastAsia="Times"/>
          <w:sz w:val="20"/>
          <w:szCs w:val="20"/>
        </w:rPr>
        <w:t xml:space="preserve"> and protein, </w:t>
      </w:r>
      <w:r w:rsidR="00FE4B22" w:rsidRPr="006C7F5E">
        <w:rPr>
          <w:rFonts w:eastAsia="Times"/>
          <w:sz w:val="20"/>
          <w:szCs w:val="20"/>
        </w:rPr>
        <w:t xml:space="preserve">the </w:t>
      </w:r>
      <w:r w:rsidRPr="006C7F5E">
        <w:rPr>
          <w:rFonts w:eastAsia="Times"/>
          <w:sz w:val="20"/>
          <w:szCs w:val="20"/>
        </w:rPr>
        <w:t xml:space="preserve">incidence of fat deprivation declined </w:t>
      </w:r>
      <w:r w:rsidR="00976E26" w:rsidRPr="006C7F5E">
        <w:rPr>
          <w:rFonts w:eastAsia="Times"/>
          <w:sz w:val="20"/>
          <w:szCs w:val="20"/>
        </w:rPr>
        <w:t>among all social groups during the period of analysis</w:t>
      </w:r>
      <w:r w:rsidRPr="006C7F5E">
        <w:rPr>
          <w:rFonts w:eastAsia="Times"/>
          <w:sz w:val="20"/>
          <w:szCs w:val="20"/>
        </w:rPr>
        <w:t xml:space="preserve">. It </w:t>
      </w:r>
      <w:r w:rsidR="00976E26" w:rsidRPr="006C7F5E">
        <w:rPr>
          <w:rFonts w:eastAsia="Times"/>
          <w:sz w:val="20"/>
          <w:szCs w:val="20"/>
        </w:rPr>
        <w:t>dropped</w:t>
      </w:r>
      <w:r w:rsidRPr="006C7F5E">
        <w:rPr>
          <w:rFonts w:eastAsia="Times"/>
          <w:sz w:val="20"/>
          <w:szCs w:val="20"/>
        </w:rPr>
        <w:t xml:space="preserve"> from 70.8 </w:t>
      </w:r>
      <w:r w:rsidR="00FE4B22" w:rsidRPr="006C7F5E">
        <w:rPr>
          <w:rFonts w:eastAsia="Times"/>
          <w:sz w:val="20"/>
          <w:szCs w:val="20"/>
        </w:rPr>
        <w:t>per cent</w:t>
      </w:r>
      <w:r w:rsidRPr="006C7F5E">
        <w:rPr>
          <w:rFonts w:eastAsia="Times"/>
          <w:sz w:val="20"/>
          <w:szCs w:val="20"/>
        </w:rPr>
        <w:t xml:space="preserve"> to 69.1 </w:t>
      </w:r>
      <w:r w:rsidR="00FE4B22" w:rsidRPr="006C7F5E">
        <w:rPr>
          <w:rFonts w:eastAsia="Times"/>
          <w:sz w:val="20"/>
          <w:szCs w:val="20"/>
        </w:rPr>
        <w:t>per cent</w:t>
      </w:r>
      <w:r w:rsidRPr="006C7F5E">
        <w:rPr>
          <w:rFonts w:eastAsia="Times"/>
          <w:sz w:val="20"/>
          <w:szCs w:val="20"/>
        </w:rPr>
        <w:t xml:space="preserve"> among ST. Among SC and </w:t>
      </w:r>
      <w:r w:rsidR="00FE4B22" w:rsidRPr="006C7F5E">
        <w:rPr>
          <w:rFonts w:eastAsia="Times"/>
          <w:sz w:val="20"/>
          <w:szCs w:val="20"/>
        </w:rPr>
        <w:t>non-SC</w:t>
      </w:r>
      <w:r w:rsidRPr="006C7F5E">
        <w:rPr>
          <w:rFonts w:eastAsia="Times"/>
          <w:sz w:val="20"/>
          <w:szCs w:val="20"/>
        </w:rPr>
        <w:t xml:space="preserve">/ST, </w:t>
      </w:r>
      <w:r w:rsidR="00976E26" w:rsidRPr="006C7F5E">
        <w:rPr>
          <w:rFonts w:eastAsia="Times"/>
          <w:sz w:val="20"/>
          <w:szCs w:val="20"/>
        </w:rPr>
        <w:t>the decline was</w:t>
      </w:r>
      <w:r w:rsidRPr="006C7F5E">
        <w:rPr>
          <w:rFonts w:eastAsia="Times"/>
          <w:sz w:val="20"/>
          <w:szCs w:val="20"/>
        </w:rPr>
        <w:t xml:space="preserve"> </w:t>
      </w:r>
      <w:r w:rsidR="00FE4B22" w:rsidRPr="006C7F5E">
        <w:rPr>
          <w:rFonts w:eastAsia="Times"/>
          <w:sz w:val="20"/>
          <w:szCs w:val="20"/>
        </w:rPr>
        <w:t xml:space="preserve">from </w:t>
      </w:r>
      <w:r w:rsidRPr="006C7F5E">
        <w:rPr>
          <w:rFonts w:eastAsia="Times"/>
          <w:sz w:val="20"/>
          <w:szCs w:val="20"/>
        </w:rPr>
        <w:t xml:space="preserve">67.2 </w:t>
      </w:r>
      <w:r w:rsidR="00FE4B22" w:rsidRPr="006C7F5E">
        <w:rPr>
          <w:rFonts w:eastAsia="Times"/>
          <w:sz w:val="20"/>
          <w:szCs w:val="20"/>
        </w:rPr>
        <w:t>per cent</w:t>
      </w:r>
      <w:r w:rsidRPr="006C7F5E">
        <w:rPr>
          <w:rFonts w:eastAsia="Times"/>
          <w:sz w:val="20"/>
          <w:szCs w:val="20"/>
        </w:rPr>
        <w:t xml:space="preserve"> to 47.4 </w:t>
      </w:r>
      <w:r w:rsidR="00FE4B22" w:rsidRPr="006C7F5E">
        <w:rPr>
          <w:rFonts w:eastAsia="Times"/>
          <w:sz w:val="20"/>
          <w:szCs w:val="20"/>
        </w:rPr>
        <w:t>per cent</w:t>
      </w:r>
      <w:r w:rsidRPr="006C7F5E">
        <w:rPr>
          <w:rFonts w:eastAsia="Times"/>
          <w:sz w:val="20"/>
          <w:szCs w:val="20"/>
        </w:rPr>
        <w:t xml:space="preserve"> and </w:t>
      </w:r>
      <w:r w:rsidR="00FE4B22" w:rsidRPr="006C7F5E">
        <w:rPr>
          <w:rFonts w:eastAsia="Times"/>
          <w:sz w:val="20"/>
          <w:szCs w:val="20"/>
        </w:rPr>
        <w:t xml:space="preserve">from </w:t>
      </w:r>
      <w:r w:rsidRPr="006C7F5E">
        <w:rPr>
          <w:rFonts w:eastAsia="Times"/>
          <w:sz w:val="20"/>
          <w:szCs w:val="20"/>
        </w:rPr>
        <w:t xml:space="preserve">47.6 </w:t>
      </w:r>
      <w:r w:rsidR="00FE4B22" w:rsidRPr="006C7F5E">
        <w:rPr>
          <w:rFonts w:eastAsia="Times"/>
          <w:sz w:val="20"/>
          <w:szCs w:val="20"/>
        </w:rPr>
        <w:t>per cent</w:t>
      </w:r>
      <w:r w:rsidRPr="006C7F5E">
        <w:rPr>
          <w:rFonts w:eastAsia="Times"/>
          <w:sz w:val="20"/>
          <w:szCs w:val="20"/>
        </w:rPr>
        <w:t xml:space="preserve"> to 39.3 </w:t>
      </w:r>
      <w:r w:rsidR="00976E26" w:rsidRPr="006C7F5E">
        <w:rPr>
          <w:rFonts w:eastAsia="Times"/>
          <w:sz w:val="20"/>
          <w:szCs w:val="20"/>
        </w:rPr>
        <w:t xml:space="preserve">per cent, </w:t>
      </w:r>
      <w:r w:rsidRPr="006C7F5E">
        <w:rPr>
          <w:rFonts w:eastAsia="Times"/>
          <w:sz w:val="20"/>
          <w:szCs w:val="20"/>
        </w:rPr>
        <w:t xml:space="preserve">respectively. </w:t>
      </w:r>
      <w:r w:rsidR="00976E26" w:rsidRPr="006C7F5E">
        <w:rPr>
          <w:rFonts w:eastAsia="Times"/>
          <w:sz w:val="20"/>
          <w:szCs w:val="20"/>
        </w:rPr>
        <w:t xml:space="preserve">However, the rate of decline is lower among the ST compared to the </w:t>
      </w:r>
      <w:r w:rsidRPr="006C7F5E">
        <w:rPr>
          <w:rFonts w:eastAsia="Times"/>
          <w:sz w:val="20"/>
          <w:szCs w:val="20"/>
        </w:rPr>
        <w:t>SC and non-SC/ST.</w:t>
      </w:r>
    </w:p>
    <w:p w14:paraId="1558A48A" w14:textId="77777777" w:rsidR="00D77AA1" w:rsidRPr="006C7F5E" w:rsidRDefault="00D77AA1" w:rsidP="00180824">
      <w:pPr>
        <w:spacing w:line="240" w:lineRule="auto"/>
        <w:jc w:val="both"/>
        <w:rPr>
          <w:rFonts w:eastAsia="Times"/>
          <w:sz w:val="20"/>
          <w:szCs w:val="20"/>
        </w:rPr>
      </w:pPr>
    </w:p>
    <w:p w14:paraId="04AD0041" w14:textId="77777777" w:rsidR="00D77AA1" w:rsidRPr="006C7F5E" w:rsidRDefault="00000000" w:rsidP="00180824">
      <w:pPr>
        <w:numPr>
          <w:ilvl w:val="0"/>
          <w:numId w:val="1"/>
        </w:numPr>
        <w:spacing w:line="240" w:lineRule="auto"/>
        <w:jc w:val="both"/>
        <w:rPr>
          <w:rFonts w:eastAsia="Times"/>
          <w:b/>
        </w:rPr>
      </w:pPr>
      <w:r w:rsidRPr="006C7F5E">
        <w:rPr>
          <w:rFonts w:eastAsia="Times"/>
          <w:b/>
        </w:rPr>
        <w:t>Summary and Conclusion</w:t>
      </w:r>
    </w:p>
    <w:p w14:paraId="7BEF60FA" w14:textId="08EF223B" w:rsidR="00D77AA1" w:rsidRPr="006C7F5E" w:rsidRDefault="00CF18C0" w:rsidP="00180824">
      <w:pPr>
        <w:spacing w:line="240" w:lineRule="auto"/>
        <w:jc w:val="both"/>
        <w:rPr>
          <w:rFonts w:eastAsia="Times"/>
          <w:sz w:val="20"/>
          <w:szCs w:val="20"/>
        </w:rPr>
      </w:pPr>
      <w:r w:rsidRPr="006C7F5E">
        <w:rPr>
          <w:rFonts w:eastAsia="Times"/>
          <w:sz w:val="20"/>
          <w:szCs w:val="20"/>
        </w:rPr>
        <w:t xml:space="preserve">This study reveals the evolving dynamics of food security in rural India, </w:t>
      </w:r>
      <w:r w:rsidR="00976E26" w:rsidRPr="006C7F5E">
        <w:rPr>
          <w:rFonts w:eastAsia="Times"/>
          <w:sz w:val="20"/>
          <w:szCs w:val="20"/>
        </w:rPr>
        <w:t>particularly since the implementation of economic reforms</w:t>
      </w:r>
      <w:r w:rsidRPr="006C7F5E">
        <w:rPr>
          <w:rFonts w:eastAsia="Times"/>
          <w:sz w:val="20"/>
          <w:szCs w:val="20"/>
        </w:rPr>
        <w:t xml:space="preserve">. At the time of independence, the </w:t>
      </w:r>
      <w:r w:rsidR="00976E26" w:rsidRPr="006C7F5E">
        <w:rPr>
          <w:rFonts w:eastAsia="Times"/>
          <w:sz w:val="20"/>
          <w:szCs w:val="20"/>
        </w:rPr>
        <w:t xml:space="preserve">primary focus on food security in India was on ensuring </w:t>
      </w:r>
      <w:r w:rsidRPr="006C7F5E">
        <w:rPr>
          <w:rFonts w:eastAsia="Times"/>
          <w:sz w:val="20"/>
          <w:szCs w:val="20"/>
        </w:rPr>
        <w:t xml:space="preserve">food availability. However, since the 1970s, the focus has shifted from mere food availability to broader concerns of accessibility and </w:t>
      </w:r>
      <w:r w:rsidR="00FE4B22" w:rsidRPr="006C7F5E">
        <w:rPr>
          <w:rFonts w:eastAsia="Times"/>
          <w:sz w:val="20"/>
          <w:szCs w:val="20"/>
        </w:rPr>
        <w:t>utilisation</w:t>
      </w:r>
      <w:r w:rsidRPr="006C7F5E">
        <w:rPr>
          <w:rFonts w:eastAsia="Times"/>
          <w:sz w:val="20"/>
          <w:szCs w:val="20"/>
        </w:rPr>
        <w:t xml:space="preserve">. The study shows that, while overall food availability has increased significantly, per-capita cereal consumption has declined, along with stagnation in pulse consumption, </w:t>
      </w:r>
      <w:r w:rsidR="009F5218" w:rsidRPr="006C7F5E">
        <w:rPr>
          <w:rFonts w:eastAsia="Times"/>
          <w:sz w:val="20"/>
          <w:szCs w:val="20"/>
        </w:rPr>
        <w:t>and a more diversified diet that includes</w:t>
      </w:r>
      <w:r w:rsidRPr="006C7F5E">
        <w:rPr>
          <w:rFonts w:eastAsia="Times"/>
          <w:sz w:val="20"/>
          <w:szCs w:val="20"/>
        </w:rPr>
        <w:t xml:space="preserve"> fruits, vegetables, animal protein, and edible oils. It further highlights that nutritional outcomes remain uneven due to persistent disparities in income, entitlements, and social stratification. Despite rising per-capita rural income, calorie and protein intake have declined substantially. Evidence also suggests that Scheduled Tribes (STs) and Scheduled Castes (SCs) face disproportionately higher nutritional deprivation compared to non-SC/ST groups, underscoring the entrenched inequalities in rural India.</w:t>
      </w:r>
    </w:p>
    <w:p w14:paraId="29684CD6" w14:textId="51EFD557" w:rsidR="00D77AA1" w:rsidRDefault="00CF18C0" w:rsidP="00180824">
      <w:pPr>
        <w:spacing w:line="240" w:lineRule="auto"/>
        <w:jc w:val="both"/>
        <w:rPr>
          <w:rFonts w:eastAsia="Times"/>
          <w:sz w:val="20"/>
          <w:szCs w:val="20"/>
        </w:rPr>
      </w:pPr>
      <w:r w:rsidRPr="006C7F5E">
        <w:rPr>
          <w:rFonts w:eastAsia="Times"/>
          <w:sz w:val="20"/>
          <w:szCs w:val="20"/>
        </w:rPr>
        <w:t xml:space="preserve">The findings reveal that India’s food security challenge today lies less in overall production and more in equitable access and nutritional adequacy since the reform was initiated. It is often argued that changing food habits </w:t>
      </w:r>
      <w:r w:rsidR="00FE4B22" w:rsidRPr="006C7F5E">
        <w:rPr>
          <w:rFonts w:eastAsia="Times"/>
          <w:sz w:val="20"/>
          <w:szCs w:val="20"/>
        </w:rPr>
        <w:t>is</w:t>
      </w:r>
      <w:r w:rsidRPr="006C7F5E">
        <w:rPr>
          <w:rFonts w:eastAsia="Times"/>
          <w:sz w:val="20"/>
          <w:szCs w:val="20"/>
        </w:rPr>
        <w:t xml:space="preserve"> responsible for the paradox of declining nutrition intake despite an increase in per-capita income. However, cross-sectional statistics reveal a positive </w:t>
      </w:r>
      <w:r w:rsidR="009F5218" w:rsidRPr="006C7F5E">
        <w:rPr>
          <w:rFonts w:eastAsia="Times"/>
          <w:sz w:val="20"/>
          <w:szCs w:val="20"/>
        </w:rPr>
        <w:t>correlation between protein intake and per capita</w:t>
      </w:r>
      <w:r w:rsidRPr="006C7F5E">
        <w:rPr>
          <w:rFonts w:eastAsia="Times"/>
          <w:sz w:val="20"/>
          <w:szCs w:val="20"/>
        </w:rPr>
        <w:t xml:space="preserve"> income. This raises a pertinent question regarding the paradox. Rising income may reduce calorie intake by increasing food diversification. However, it is unlikely </w:t>
      </w:r>
      <w:r w:rsidR="009F5218" w:rsidRPr="006C7F5E">
        <w:rPr>
          <w:rFonts w:eastAsia="Times"/>
          <w:sz w:val="20"/>
          <w:szCs w:val="20"/>
        </w:rPr>
        <w:t>that there would be</w:t>
      </w:r>
      <w:r w:rsidRPr="006C7F5E">
        <w:rPr>
          <w:rFonts w:eastAsia="Times"/>
          <w:sz w:val="20"/>
          <w:szCs w:val="20"/>
        </w:rPr>
        <w:t xml:space="preserve"> a negative relationship between protein intake and per-capita income over time, as the paradox suggests. Furthermore, India ranks 105th in the Global Hunger Index out of 125 countries, with no significant improvement seen despite the increasing availability of food. Liberalisation-induced growth has not translated into universal improvements in calorie and protein intake, particularly for </w:t>
      </w:r>
      <w:r w:rsidR="00FE4B22" w:rsidRPr="006C7F5E">
        <w:rPr>
          <w:rFonts w:eastAsia="Times"/>
          <w:sz w:val="20"/>
          <w:szCs w:val="20"/>
        </w:rPr>
        <w:t>marginalised</w:t>
      </w:r>
      <w:r w:rsidRPr="006C7F5E">
        <w:rPr>
          <w:rFonts w:eastAsia="Times"/>
          <w:sz w:val="20"/>
          <w:szCs w:val="20"/>
        </w:rPr>
        <w:t xml:space="preserve"> groups. Policy attention must therefore shift from foodgrain self-sufficiency toward ensuring nutritional security by improving affordability, strengthening entitlements, diversifying diets, and addressing social disparities. In sum, the central challenge is bridging the gap between economic growth and nutritional outcomes to achieve inclusive food and nutrition security.</w:t>
      </w:r>
    </w:p>
    <w:p w14:paraId="0591F70A" w14:textId="77777777" w:rsidR="00BD5342" w:rsidRDefault="00BD5342" w:rsidP="00180824">
      <w:pPr>
        <w:spacing w:line="240" w:lineRule="auto"/>
        <w:jc w:val="both"/>
        <w:rPr>
          <w:rFonts w:eastAsia="Times"/>
          <w:sz w:val="20"/>
          <w:szCs w:val="20"/>
        </w:rPr>
      </w:pPr>
    </w:p>
    <w:p w14:paraId="68D807DF" w14:textId="11DBBF0F" w:rsidR="00BD5342" w:rsidRDefault="00BD5342" w:rsidP="00180824">
      <w:pPr>
        <w:spacing w:line="240" w:lineRule="auto"/>
        <w:jc w:val="both"/>
        <w:rPr>
          <w:rFonts w:eastAsia="Times"/>
          <w:sz w:val="20"/>
          <w:szCs w:val="20"/>
        </w:rPr>
      </w:pPr>
      <w:r>
        <w:rPr>
          <w:rFonts w:eastAsia="Times"/>
          <w:sz w:val="20"/>
          <w:szCs w:val="20"/>
        </w:rPr>
        <w:t xml:space="preserve">This study shows that calorie and protein intake significantly decreased among the upper and middle expenditure groups. Rising income coupled with declining nutritional intake, mainly among the upper and middle-income groups, reflects a lack of nutritional awareness among the people. Unregulated food pricing and harmful eating habits promoted by unchecked advertisements further worsened nutritional intake. However, this study did not consider that not all nutritional deprivation is due to nutritional unconsciousness among citizens. Entitlement failures among the </w:t>
      </w:r>
      <w:r w:rsidR="008F700D">
        <w:rPr>
          <w:rFonts w:eastAsia="Times"/>
          <w:sz w:val="20"/>
          <w:szCs w:val="20"/>
        </w:rPr>
        <w:t>marginalised</w:t>
      </w:r>
      <w:r>
        <w:rPr>
          <w:rFonts w:eastAsia="Times"/>
          <w:sz w:val="20"/>
          <w:szCs w:val="20"/>
        </w:rPr>
        <w:t xml:space="preserve"> population also contribute to this nutritional deprivation. Therefore, initiatives should aim to increase the purchasing power of the </w:t>
      </w:r>
      <w:r w:rsidR="008F700D">
        <w:rPr>
          <w:rFonts w:eastAsia="Times"/>
          <w:sz w:val="20"/>
          <w:szCs w:val="20"/>
        </w:rPr>
        <w:t>marginalised</w:t>
      </w:r>
      <w:r>
        <w:rPr>
          <w:rFonts w:eastAsia="Times"/>
          <w:sz w:val="20"/>
          <w:szCs w:val="20"/>
        </w:rPr>
        <w:t xml:space="preserve"> groups alongside regulated food prices, while also encouraging healthy eating habits. </w:t>
      </w:r>
    </w:p>
    <w:p w14:paraId="751AF153" w14:textId="77777777" w:rsidR="003B3ABB" w:rsidRDefault="003B3ABB" w:rsidP="00180824">
      <w:pPr>
        <w:spacing w:line="240" w:lineRule="auto"/>
        <w:jc w:val="both"/>
        <w:rPr>
          <w:rFonts w:eastAsia="Times"/>
          <w:sz w:val="20"/>
          <w:szCs w:val="20"/>
          <w:lang w:val="en"/>
        </w:rPr>
      </w:pPr>
    </w:p>
    <w:p w14:paraId="5B6EC772" w14:textId="77777777" w:rsidR="003B3ABB" w:rsidRDefault="003B3ABB" w:rsidP="00180824">
      <w:pPr>
        <w:spacing w:line="240" w:lineRule="auto"/>
        <w:jc w:val="both"/>
        <w:rPr>
          <w:rFonts w:eastAsia="Times"/>
          <w:sz w:val="20"/>
          <w:szCs w:val="20"/>
          <w:lang w:val="en"/>
        </w:rPr>
      </w:pPr>
    </w:p>
    <w:p w14:paraId="2719EFF5" w14:textId="77777777" w:rsidR="00B16AEC" w:rsidRDefault="00B16AEC" w:rsidP="00B16AEC">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29176126" w14:textId="1E145A20" w:rsidR="00B16AEC" w:rsidRDefault="00B16AEC" w:rsidP="00B16AEC">
      <w:pPr>
        <w:spacing w:after="160" w:line="240" w:lineRule="auto"/>
        <w:jc w:val="both"/>
        <w:rPr>
          <w:rFonts w:eastAsia="Times"/>
          <w:sz w:val="20"/>
          <w:szCs w:val="20"/>
        </w:rPr>
      </w:pPr>
      <w:r w:rsidRPr="008A22F0">
        <w:rPr>
          <w:rFonts w:eastAsia="Times"/>
          <w:sz w:val="20"/>
          <w:szCs w:val="20"/>
        </w:rPr>
        <w:t xml:space="preserve">I </w:t>
      </w:r>
      <w:r>
        <w:rPr>
          <w:rFonts w:eastAsia="Times"/>
          <w:sz w:val="20"/>
          <w:szCs w:val="20"/>
        </w:rPr>
        <w:t>want</w:t>
      </w:r>
      <w:r w:rsidRPr="008A22F0">
        <w:rPr>
          <w:rFonts w:eastAsia="Times"/>
          <w:sz w:val="20"/>
          <w:szCs w:val="20"/>
        </w:rPr>
        <w:t xml:space="preserve"> to express my heartfelt gratitude to my professor,</w:t>
      </w:r>
      <w:r>
        <w:rPr>
          <w:rFonts w:eastAsia="Times"/>
          <w:sz w:val="20"/>
          <w:szCs w:val="20"/>
        </w:rPr>
        <w:t xml:space="preserve"> Prof. Panchanan Das</w:t>
      </w:r>
      <w:r w:rsidRPr="008A22F0">
        <w:rPr>
          <w:rFonts w:eastAsia="Times"/>
          <w:sz w:val="20"/>
          <w:szCs w:val="20"/>
        </w:rPr>
        <w:t xml:space="preserve">, for his invaluable guidance, encouragement, and mentorship throughout the </w:t>
      </w:r>
      <w:r>
        <w:rPr>
          <w:rFonts w:eastAsia="Times"/>
          <w:sz w:val="20"/>
          <w:szCs w:val="20"/>
        </w:rPr>
        <w:t xml:space="preserve">research journey that contributed to the </w:t>
      </w:r>
      <w:r w:rsidRPr="008A22F0">
        <w:rPr>
          <w:rFonts w:eastAsia="Times"/>
          <w:sz w:val="20"/>
          <w:szCs w:val="20"/>
        </w:rPr>
        <w:t xml:space="preserve">development of this paper, </w:t>
      </w:r>
      <w:r w:rsidRPr="008A22F0">
        <w:rPr>
          <w:rFonts w:eastAsia="Times"/>
          <w:i/>
          <w:iCs/>
          <w:sz w:val="20"/>
          <w:szCs w:val="20"/>
        </w:rPr>
        <w:t>"Explaining Consumption Disparities between Social Groups in Rural India: Analysis with Decomposition Approach."</w:t>
      </w:r>
      <w:r w:rsidRPr="008A22F0">
        <w:rPr>
          <w:rFonts w:eastAsia="Times"/>
          <w:sz w:val="20"/>
          <w:szCs w:val="20"/>
        </w:rPr>
        <w:t xml:space="preserve"> I am deeply grateful for the opportunity to learn under his supervision.</w:t>
      </w:r>
      <w:r>
        <w:rPr>
          <w:rFonts w:eastAsia="Times"/>
          <w:sz w:val="20"/>
          <w:szCs w:val="20"/>
        </w:rPr>
        <w:t xml:space="preserve"> I am also grateful to Prof. Utsa Patnaik, whose teaching made this topic engaging for me. </w:t>
      </w:r>
      <w:r w:rsidRPr="008A22F0">
        <w:rPr>
          <w:rFonts w:eastAsia="Times"/>
          <w:sz w:val="20"/>
          <w:szCs w:val="20"/>
        </w:rPr>
        <w:t>I also declare that no financial assistance or funding was received from any institution or agency for the completion of this research.</w:t>
      </w:r>
    </w:p>
    <w:p w14:paraId="05F1C4DC" w14:textId="77777777" w:rsidR="00B16AEC" w:rsidRDefault="00B16AEC" w:rsidP="00180824">
      <w:pPr>
        <w:spacing w:line="240" w:lineRule="auto"/>
        <w:jc w:val="both"/>
        <w:rPr>
          <w:rFonts w:eastAsia="Times"/>
          <w:sz w:val="20"/>
          <w:szCs w:val="20"/>
          <w:lang w:val="en"/>
        </w:rPr>
      </w:pPr>
    </w:p>
    <w:p w14:paraId="3185638F" w14:textId="49267F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lastRenderedPageBreak/>
        <w:t>This study is based on publicly available secondary data (NSSO Consumption Expenditure Surveys)</w:t>
      </w:r>
      <w:r w:rsidR="00B16AEC">
        <w:rPr>
          <w:rFonts w:eastAsia="Times"/>
          <w:sz w:val="20"/>
          <w:szCs w:val="20"/>
          <w:lang w:val="en"/>
        </w:rPr>
        <w:t xml:space="preserve"> and, therefore,</w:t>
      </w:r>
      <w:r w:rsidRPr="0039420D">
        <w:rPr>
          <w:rFonts w:eastAsia="Times"/>
          <w:sz w:val="20"/>
          <w:szCs w:val="20"/>
          <w:lang w:val="en"/>
        </w:rPr>
        <w:t xml:space="preserve"> did not require prior ethical approval.</w:t>
      </w:r>
    </w:p>
    <w:p w14:paraId="65492ADB" w14:textId="77777777" w:rsidR="0039420D" w:rsidRPr="0039420D" w:rsidRDefault="0039420D" w:rsidP="00180824">
      <w:pPr>
        <w:spacing w:line="240" w:lineRule="auto"/>
        <w:jc w:val="both"/>
        <w:rPr>
          <w:rFonts w:eastAsia="Times"/>
          <w:sz w:val="20"/>
          <w:szCs w:val="20"/>
          <w:lang w:val="en"/>
        </w:rPr>
      </w:pPr>
    </w:p>
    <w:p w14:paraId="42FDFF75" w14:textId="77777777" w:rsidR="0039420D" w:rsidRPr="0039420D" w:rsidRDefault="0039420D" w:rsidP="00180824">
      <w:pPr>
        <w:spacing w:line="240" w:lineRule="auto"/>
        <w:jc w:val="both"/>
        <w:rPr>
          <w:rFonts w:eastAsia="Times"/>
          <w:b/>
          <w:sz w:val="20"/>
          <w:szCs w:val="20"/>
          <w:lang w:val="en-US"/>
        </w:rPr>
      </w:pPr>
      <w:r w:rsidRPr="0039420D">
        <w:rPr>
          <w:rFonts w:eastAsia="Times"/>
          <w:b/>
          <w:sz w:val="20"/>
          <w:szCs w:val="20"/>
          <w:lang w:val="en-US"/>
        </w:rPr>
        <w:t>Definitions, Acronyms, Abbreviations</w:t>
      </w:r>
    </w:p>
    <w:p w14:paraId="253DF490" w14:textId="77777777" w:rsidR="0039420D" w:rsidRPr="0039420D" w:rsidRDefault="0039420D" w:rsidP="00180824">
      <w:pPr>
        <w:spacing w:line="240" w:lineRule="auto"/>
        <w:jc w:val="both"/>
        <w:rPr>
          <w:rFonts w:eastAsia="Times"/>
          <w:b/>
          <w:bCs/>
          <w:sz w:val="20"/>
          <w:szCs w:val="20"/>
          <w:lang w:val="en"/>
        </w:rPr>
      </w:pPr>
    </w:p>
    <w:p w14:paraId="101831CC" w14:textId="0274C006" w:rsidR="0039420D" w:rsidRDefault="0039420D" w:rsidP="00180824">
      <w:pPr>
        <w:spacing w:line="240" w:lineRule="auto"/>
        <w:jc w:val="both"/>
        <w:rPr>
          <w:rFonts w:eastAsia="Times"/>
          <w:sz w:val="20"/>
          <w:szCs w:val="20"/>
          <w:lang w:val="en"/>
        </w:rPr>
      </w:pPr>
      <w:r>
        <w:rPr>
          <w:rFonts w:eastAsia="Times"/>
          <w:sz w:val="20"/>
          <w:szCs w:val="20"/>
          <w:lang w:val="en"/>
        </w:rPr>
        <w:t xml:space="preserve">FAO: Food and Agriculture </w:t>
      </w:r>
      <w:proofErr w:type="spellStart"/>
      <w:r>
        <w:rPr>
          <w:rFonts w:eastAsia="Times"/>
          <w:sz w:val="20"/>
          <w:szCs w:val="20"/>
          <w:lang w:val="en"/>
        </w:rPr>
        <w:t>Organisation</w:t>
      </w:r>
      <w:proofErr w:type="spellEnd"/>
    </w:p>
    <w:p w14:paraId="63275F0B" w14:textId="383CD084" w:rsidR="0039420D" w:rsidRDefault="0039420D" w:rsidP="00180824">
      <w:pPr>
        <w:spacing w:line="240" w:lineRule="auto"/>
        <w:jc w:val="both"/>
        <w:rPr>
          <w:rFonts w:eastAsia="Times"/>
          <w:sz w:val="20"/>
          <w:szCs w:val="20"/>
          <w:lang w:val="en"/>
        </w:rPr>
      </w:pPr>
      <w:r>
        <w:rPr>
          <w:rFonts w:eastAsia="Times"/>
          <w:sz w:val="20"/>
          <w:szCs w:val="20"/>
          <w:lang w:val="en"/>
        </w:rPr>
        <w:t>ICMR: Indian Council of Medical Research</w:t>
      </w:r>
    </w:p>
    <w:p w14:paraId="54DBEF9C" w14:textId="590D028A"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NSSO: National Sample Survey </w:t>
      </w:r>
      <w:proofErr w:type="spellStart"/>
      <w:r w:rsidRPr="0039420D">
        <w:rPr>
          <w:rFonts w:eastAsia="Times"/>
          <w:sz w:val="20"/>
          <w:szCs w:val="20"/>
          <w:lang w:val="en"/>
        </w:rPr>
        <w:t>Organisation</w:t>
      </w:r>
      <w:proofErr w:type="spellEnd"/>
    </w:p>
    <w:p w14:paraId="14840F76"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CES: Consumption Expenditure Survey</w:t>
      </w:r>
    </w:p>
    <w:p w14:paraId="2951E8E7"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SC: Scheduled Caste</w:t>
      </w:r>
    </w:p>
    <w:p w14:paraId="4660A0E3"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ST: Scheduled Tribe</w:t>
      </w:r>
    </w:p>
    <w:p w14:paraId="0408FC6F"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Non-SC/ST: Neither Scheduled Caste nor Scheduled Tribe</w:t>
      </w:r>
    </w:p>
    <w:p w14:paraId="67C8EB3D" w14:textId="77777777" w:rsidR="0039420D" w:rsidRPr="0039420D" w:rsidRDefault="0039420D" w:rsidP="00180824">
      <w:pPr>
        <w:spacing w:line="240" w:lineRule="auto"/>
        <w:jc w:val="both"/>
        <w:rPr>
          <w:rFonts w:eastAsia="Times"/>
          <w:sz w:val="20"/>
          <w:szCs w:val="20"/>
          <w:lang w:val="en"/>
        </w:rPr>
      </w:pPr>
    </w:p>
    <w:p w14:paraId="21F576DA" w14:textId="77777777" w:rsidR="0039420D" w:rsidRPr="0039420D" w:rsidRDefault="0039420D" w:rsidP="00180824">
      <w:pPr>
        <w:spacing w:line="240" w:lineRule="auto"/>
        <w:jc w:val="both"/>
        <w:rPr>
          <w:rFonts w:eastAsia="Times"/>
          <w:sz w:val="20"/>
          <w:szCs w:val="20"/>
        </w:rPr>
      </w:pPr>
    </w:p>
    <w:p w14:paraId="60DD4E0E" w14:textId="77777777" w:rsidR="0039420D" w:rsidRPr="0039420D" w:rsidRDefault="0039420D" w:rsidP="00180824">
      <w:pPr>
        <w:spacing w:line="240" w:lineRule="auto"/>
        <w:jc w:val="both"/>
        <w:rPr>
          <w:rFonts w:eastAsia="Times"/>
          <w:sz w:val="20"/>
          <w:szCs w:val="20"/>
          <w:lang w:val="en"/>
        </w:rPr>
      </w:pPr>
    </w:p>
    <w:p w14:paraId="25084628"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Disclaimer (Artificial intelligence)</w:t>
      </w:r>
    </w:p>
    <w:p w14:paraId="4978228E" w14:textId="77777777" w:rsidR="0039420D" w:rsidRPr="0039420D" w:rsidRDefault="0039420D" w:rsidP="00180824">
      <w:pPr>
        <w:spacing w:line="240" w:lineRule="auto"/>
        <w:jc w:val="both"/>
        <w:rPr>
          <w:rFonts w:eastAsia="Times"/>
          <w:sz w:val="20"/>
          <w:szCs w:val="20"/>
          <w:lang w:val="en"/>
        </w:rPr>
      </w:pPr>
    </w:p>
    <w:p w14:paraId="20D27A01"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Option 1: </w:t>
      </w:r>
    </w:p>
    <w:p w14:paraId="459F38BA" w14:textId="77777777" w:rsidR="0039420D" w:rsidRPr="0039420D" w:rsidRDefault="0039420D" w:rsidP="00180824">
      <w:pPr>
        <w:spacing w:line="240" w:lineRule="auto"/>
        <w:jc w:val="both"/>
        <w:rPr>
          <w:rFonts w:eastAsia="Times"/>
          <w:sz w:val="20"/>
          <w:szCs w:val="20"/>
          <w:lang w:val="en"/>
        </w:rPr>
      </w:pPr>
    </w:p>
    <w:p w14:paraId="08501289"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Author(s) hereby </w:t>
      </w:r>
      <w:proofErr w:type="gramStart"/>
      <w:r w:rsidRPr="0039420D">
        <w:rPr>
          <w:rFonts w:eastAsia="Times"/>
          <w:sz w:val="20"/>
          <w:szCs w:val="20"/>
          <w:lang w:val="en"/>
        </w:rPr>
        <w:t>declare</w:t>
      </w:r>
      <w:proofErr w:type="gramEnd"/>
      <w:r w:rsidRPr="0039420D">
        <w:rPr>
          <w:rFonts w:eastAsia="Times"/>
          <w:sz w:val="20"/>
          <w:szCs w:val="20"/>
          <w:lang w:val="en"/>
        </w:rPr>
        <w:t xml:space="preserve"> that NO generative AI technologies such as Large Language Models (ChatGPT, COPILOT, etc.) and text-to-image generators have been used during the writing or editing of this manuscript. </w:t>
      </w:r>
    </w:p>
    <w:p w14:paraId="02E3D8E1" w14:textId="77777777" w:rsidR="0039420D" w:rsidRPr="0039420D" w:rsidRDefault="0039420D" w:rsidP="00180824">
      <w:pPr>
        <w:spacing w:line="240" w:lineRule="auto"/>
        <w:jc w:val="both"/>
        <w:rPr>
          <w:rFonts w:eastAsia="Times"/>
          <w:sz w:val="20"/>
          <w:szCs w:val="20"/>
          <w:lang w:val="en"/>
        </w:rPr>
      </w:pPr>
    </w:p>
    <w:p w14:paraId="7A03F1AC"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Option 2: </w:t>
      </w:r>
    </w:p>
    <w:p w14:paraId="045B4DB3" w14:textId="77777777" w:rsidR="0039420D" w:rsidRPr="0039420D" w:rsidRDefault="0039420D" w:rsidP="00180824">
      <w:pPr>
        <w:spacing w:line="240" w:lineRule="auto"/>
        <w:jc w:val="both"/>
        <w:rPr>
          <w:rFonts w:eastAsia="Times"/>
          <w:sz w:val="20"/>
          <w:szCs w:val="20"/>
          <w:lang w:val="en"/>
        </w:rPr>
      </w:pPr>
    </w:p>
    <w:p w14:paraId="3DC079F5" w14:textId="77777777" w:rsidR="0039420D" w:rsidRPr="0039420D" w:rsidRDefault="0039420D" w:rsidP="00180824">
      <w:pPr>
        <w:spacing w:line="240" w:lineRule="auto"/>
        <w:jc w:val="both"/>
        <w:rPr>
          <w:rFonts w:eastAsia="Times"/>
          <w:sz w:val="20"/>
          <w:szCs w:val="20"/>
          <w:lang w:val="en"/>
        </w:rPr>
      </w:pPr>
      <w:r w:rsidRPr="0039420D">
        <w:rPr>
          <w:rFonts w:eastAsia="Times"/>
          <w:sz w:val="20"/>
          <w:szCs w:val="20"/>
          <w:lang w:val="en"/>
        </w:rPr>
        <w:t xml:space="preserve">Author(s) hereby </w:t>
      </w:r>
      <w:proofErr w:type="gramStart"/>
      <w:r w:rsidRPr="0039420D">
        <w:rPr>
          <w:rFonts w:eastAsia="Times"/>
          <w:sz w:val="20"/>
          <w:szCs w:val="20"/>
          <w:lang w:val="en"/>
        </w:rPr>
        <w:t>declare</w:t>
      </w:r>
      <w:proofErr w:type="gramEnd"/>
      <w:r w:rsidRPr="0039420D">
        <w:rPr>
          <w:rFonts w:eastAsia="Times"/>
          <w:sz w:val="20"/>
          <w:szCs w:val="20"/>
          <w:lang w:val="en"/>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A517C2" w14:textId="77777777" w:rsidR="0039420D" w:rsidRDefault="0039420D" w:rsidP="00180824">
      <w:pPr>
        <w:spacing w:line="240" w:lineRule="auto"/>
        <w:jc w:val="both"/>
        <w:rPr>
          <w:rFonts w:eastAsia="Times"/>
          <w:sz w:val="20"/>
          <w:szCs w:val="20"/>
        </w:rPr>
      </w:pPr>
    </w:p>
    <w:p w14:paraId="3FE98AA6" w14:textId="5CE36E8C" w:rsidR="00637137" w:rsidRDefault="00637137" w:rsidP="00180824">
      <w:pPr>
        <w:spacing w:line="240" w:lineRule="auto"/>
        <w:jc w:val="both"/>
        <w:rPr>
          <w:rFonts w:eastAsia="Times"/>
          <w:b/>
          <w:bCs/>
        </w:rPr>
      </w:pPr>
      <w:r>
        <w:rPr>
          <w:rFonts w:eastAsia="Times"/>
          <w:b/>
          <w:bCs/>
        </w:rPr>
        <w:t>REFERENCES</w:t>
      </w:r>
    </w:p>
    <w:p w14:paraId="0E0323FF" w14:textId="77777777" w:rsidR="00637137" w:rsidRPr="00637137" w:rsidRDefault="00637137" w:rsidP="00180824">
      <w:pPr>
        <w:spacing w:line="240" w:lineRule="auto"/>
        <w:jc w:val="both"/>
        <w:rPr>
          <w:rFonts w:eastAsia="Times"/>
          <w:b/>
          <w:bCs/>
        </w:rPr>
      </w:pPr>
    </w:p>
    <w:p w14:paraId="0295E4F9" w14:textId="77777777" w:rsidR="0076230A" w:rsidRPr="006C7F5E" w:rsidRDefault="0076230A" w:rsidP="00180824">
      <w:pPr>
        <w:pStyle w:val="Bibliography"/>
        <w:spacing w:line="240" w:lineRule="auto"/>
        <w:rPr>
          <w:sz w:val="20"/>
          <w:szCs w:val="20"/>
        </w:rPr>
      </w:pPr>
      <w:r w:rsidRPr="006C7F5E">
        <w:rPr>
          <w:rFonts w:eastAsia="Times"/>
          <w:sz w:val="20"/>
          <w:szCs w:val="20"/>
        </w:rPr>
        <w:fldChar w:fldCharType="begin"/>
      </w:r>
      <w:r w:rsidRPr="006C7F5E">
        <w:rPr>
          <w:rFonts w:eastAsia="Times"/>
          <w:sz w:val="20"/>
          <w:szCs w:val="20"/>
        </w:rPr>
        <w:instrText xml:space="preserve"> ADDIN ZOTERO_BIBL {"uncited":[],"omitted":[],"custom":[]} CSL_BIBLIOGRAPHY </w:instrText>
      </w:r>
      <w:r w:rsidRPr="006C7F5E">
        <w:rPr>
          <w:rFonts w:eastAsia="Times"/>
          <w:sz w:val="20"/>
          <w:szCs w:val="20"/>
        </w:rPr>
        <w:fldChar w:fldCharType="separate"/>
      </w:r>
      <w:r w:rsidRPr="006C7F5E">
        <w:rPr>
          <w:sz w:val="20"/>
          <w:szCs w:val="20"/>
        </w:rPr>
        <w:t xml:space="preserve">Banerjee, A., &amp; Duflo, E. (2011). </w:t>
      </w:r>
      <w:r w:rsidRPr="006C7F5E">
        <w:rPr>
          <w:i/>
          <w:iCs/>
          <w:sz w:val="20"/>
          <w:szCs w:val="20"/>
        </w:rPr>
        <w:t>Poor Economics: A Radical Rethinking of the Way to Fight Global Poverty.</w:t>
      </w:r>
      <w:r w:rsidRPr="006C7F5E">
        <w:rPr>
          <w:sz w:val="20"/>
          <w:szCs w:val="20"/>
        </w:rPr>
        <w:t xml:space="preserve"> Public Affairs.</w:t>
      </w:r>
    </w:p>
    <w:p w14:paraId="4B7DD5E9" w14:textId="77777777" w:rsidR="0076230A" w:rsidRPr="006C7F5E" w:rsidRDefault="0076230A" w:rsidP="00180824">
      <w:pPr>
        <w:pStyle w:val="Bibliography"/>
        <w:spacing w:line="240" w:lineRule="auto"/>
        <w:rPr>
          <w:sz w:val="20"/>
          <w:szCs w:val="20"/>
        </w:rPr>
      </w:pPr>
      <w:r w:rsidRPr="006C7F5E">
        <w:rPr>
          <w:sz w:val="20"/>
          <w:szCs w:val="20"/>
        </w:rPr>
        <w:t xml:space="preserve">Basu, &amp; Basole, A. (2013). The Calorie Consumption Puzzle in India: An Empirical Investigation. </w:t>
      </w:r>
      <w:r w:rsidRPr="006C7F5E">
        <w:rPr>
          <w:i/>
          <w:iCs/>
          <w:sz w:val="20"/>
          <w:szCs w:val="20"/>
        </w:rPr>
        <w:t>World Development (Elsevier)</w:t>
      </w:r>
      <w:r w:rsidRPr="006C7F5E">
        <w:rPr>
          <w:sz w:val="20"/>
          <w:szCs w:val="20"/>
        </w:rPr>
        <w:t xml:space="preserve">, </w:t>
      </w:r>
      <w:r w:rsidRPr="006C7F5E">
        <w:rPr>
          <w:i/>
          <w:iCs/>
          <w:sz w:val="20"/>
          <w:szCs w:val="20"/>
        </w:rPr>
        <w:t>50</w:t>
      </w:r>
      <w:r w:rsidRPr="006C7F5E">
        <w:rPr>
          <w:sz w:val="20"/>
          <w:szCs w:val="20"/>
        </w:rPr>
        <w:t>.</w:t>
      </w:r>
    </w:p>
    <w:p w14:paraId="358420FE" w14:textId="77777777" w:rsidR="0076230A" w:rsidRPr="006C7F5E" w:rsidRDefault="0076230A" w:rsidP="00180824">
      <w:pPr>
        <w:pStyle w:val="Bibliography"/>
        <w:spacing w:line="240" w:lineRule="auto"/>
        <w:rPr>
          <w:sz w:val="20"/>
          <w:szCs w:val="20"/>
        </w:rPr>
      </w:pPr>
      <w:r w:rsidRPr="006C7F5E">
        <w:rPr>
          <w:sz w:val="20"/>
          <w:szCs w:val="20"/>
        </w:rPr>
        <w:t xml:space="preserve">Deaton, A., &amp; Dreze, J. (2002). Poverty and Inequality in India: A Re-Examination. </w:t>
      </w:r>
      <w:r w:rsidRPr="006C7F5E">
        <w:rPr>
          <w:i/>
          <w:iCs/>
          <w:sz w:val="20"/>
          <w:szCs w:val="20"/>
        </w:rPr>
        <w:t>Economic and Political Weekly</w:t>
      </w:r>
      <w:r w:rsidRPr="006C7F5E">
        <w:rPr>
          <w:sz w:val="20"/>
          <w:szCs w:val="20"/>
        </w:rPr>
        <w:t xml:space="preserve">, </w:t>
      </w:r>
      <w:r w:rsidRPr="006C7F5E">
        <w:rPr>
          <w:i/>
          <w:iCs/>
          <w:sz w:val="20"/>
          <w:szCs w:val="20"/>
        </w:rPr>
        <w:t>37</w:t>
      </w:r>
      <w:r w:rsidRPr="006C7F5E">
        <w:rPr>
          <w:sz w:val="20"/>
          <w:szCs w:val="20"/>
        </w:rPr>
        <w:t>(36), 3729–3748.</w:t>
      </w:r>
    </w:p>
    <w:p w14:paraId="28F2767C" w14:textId="77777777" w:rsidR="0076230A" w:rsidRDefault="0076230A" w:rsidP="00180824">
      <w:pPr>
        <w:pStyle w:val="Bibliography"/>
        <w:spacing w:line="240" w:lineRule="auto"/>
        <w:rPr>
          <w:sz w:val="20"/>
          <w:szCs w:val="20"/>
        </w:rPr>
      </w:pPr>
      <w:r w:rsidRPr="006C7F5E">
        <w:rPr>
          <w:sz w:val="20"/>
          <w:szCs w:val="20"/>
        </w:rPr>
        <w:t xml:space="preserve">Gaiha, R., &amp; Thapa, G. (2012). Food Security in Asia and the Pacific: The Role of Smallholders. </w:t>
      </w:r>
      <w:r w:rsidRPr="006C7F5E">
        <w:rPr>
          <w:i/>
          <w:iCs/>
          <w:sz w:val="20"/>
          <w:szCs w:val="20"/>
        </w:rPr>
        <w:t>Asian Journal of Agriculture and Development</w:t>
      </w:r>
      <w:r w:rsidRPr="006C7F5E">
        <w:rPr>
          <w:sz w:val="20"/>
          <w:szCs w:val="20"/>
        </w:rPr>
        <w:t>.</w:t>
      </w:r>
    </w:p>
    <w:p w14:paraId="7CFB5B3C" w14:textId="2C6F9C4F" w:rsidR="00C81B55" w:rsidRDefault="00C81B55" w:rsidP="00C81B55">
      <w:pPr>
        <w:jc w:val="both"/>
        <w:rPr>
          <w:bCs/>
          <w:sz w:val="20"/>
          <w:szCs w:val="20"/>
        </w:rPr>
      </w:pPr>
      <w:r w:rsidRPr="004D1876">
        <w:rPr>
          <w:bCs/>
          <w:sz w:val="20"/>
          <w:szCs w:val="20"/>
        </w:rPr>
        <w:t xml:space="preserve">Global Hunger Index Report </w:t>
      </w:r>
      <w:r>
        <w:rPr>
          <w:bCs/>
          <w:sz w:val="20"/>
          <w:szCs w:val="20"/>
        </w:rPr>
        <w:t>2023</w:t>
      </w:r>
    </w:p>
    <w:p w14:paraId="13705697" w14:textId="1B573E3D" w:rsidR="00C81B55" w:rsidRPr="00C81B55" w:rsidRDefault="00C81B55" w:rsidP="00C81B55">
      <w:pPr>
        <w:jc w:val="both"/>
        <w:rPr>
          <w:bCs/>
          <w:sz w:val="20"/>
          <w:szCs w:val="20"/>
        </w:rPr>
      </w:pPr>
      <w:r w:rsidRPr="00C81B55">
        <w:rPr>
          <w:bCs/>
          <w:sz w:val="20"/>
          <w:szCs w:val="20"/>
        </w:rPr>
        <w:t xml:space="preserve">FAO, IFAD, UNICEF, WFP &amp; WHO (2023). </w:t>
      </w:r>
      <w:r w:rsidRPr="00C81B55">
        <w:rPr>
          <w:bCs/>
          <w:i/>
          <w:iCs/>
          <w:sz w:val="20"/>
          <w:szCs w:val="20"/>
        </w:rPr>
        <w:t>The State of Food Security and Nutrition in the World 2023</w:t>
      </w:r>
      <w:r w:rsidRPr="00C81B55">
        <w:rPr>
          <w:bCs/>
          <w:sz w:val="20"/>
          <w:szCs w:val="20"/>
        </w:rPr>
        <w:t>.</w:t>
      </w:r>
    </w:p>
    <w:p w14:paraId="78B82E16" w14:textId="77777777" w:rsidR="0076230A" w:rsidRPr="006C7F5E" w:rsidRDefault="0076230A" w:rsidP="00180824">
      <w:pPr>
        <w:pStyle w:val="Bibliography"/>
        <w:spacing w:line="240" w:lineRule="auto"/>
        <w:rPr>
          <w:sz w:val="20"/>
          <w:szCs w:val="20"/>
        </w:rPr>
      </w:pPr>
      <w:r w:rsidRPr="006C7F5E">
        <w:rPr>
          <w:sz w:val="20"/>
          <w:szCs w:val="20"/>
        </w:rPr>
        <w:t xml:space="preserve">Meenakshi, J. V., &amp; Viswanathan. (2003). Calorie Deprivation in Rural India, 1983-1999/2000. </w:t>
      </w:r>
      <w:r w:rsidRPr="006C7F5E">
        <w:rPr>
          <w:i/>
          <w:iCs/>
          <w:sz w:val="20"/>
          <w:szCs w:val="20"/>
        </w:rPr>
        <w:t>Economic and Political Weekly</w:t>
      </w:r>
      <w:r w:rsidRPr="006C7F5E">
        <w:rPr>
          <w:sz w:val="20"/>
          <w:szCs w:val="20"/>
        </w:rPr>
        <w:t xml:space="preserve">, </w:t>
      </w:r>
      <w:r w:rsidRPr="006C7F5E">
        <w:rPr>
          <w:i/>
          <w:iCs/>
          <w:sz w:val="20"/>
          <w:szCs w:val="20"/>
        </w:rPr>
        <w:t>38</w:t>
      </w:r>
      <w:r w:rsidRPr="006C7F5E">
        <w:rPr>
          <w:sz w:val="20"/>
          <w:szCs w:val="20"/>
        </w:rPr>
        <w:t>(4). https://www.epw.in/journal/2003/04/special-articles/calorie-deprivation-rural-india-1983-19992000.html</w:t>
      </w:r>
    </w:p>
    <w:p w14:paraId="4CCD074A" w14:textId="77777777" w:rsidR="0076230A" w:rsidRPr="006C7F5E" w:rsidRDefault="0076230A" w:rsidP="00180824">
      <w:pPr>
        <w:pStyle w:val="Bibliography"/>
        <w:spacing w:line="240" w:lineRule="auto"/>
        <w:rPr>
          <w:sz w:val="20"/>
          <w:szCs w:val="20"/>
        </w:rPr>
      </w:pPr>
      <w:r w:rsidRPr="006C7F5E">
        <w:rPr>
          <w:sz w:val="20"/>
          <w:szCs w:val="20"/>
        </w:rPr>
        <w:t xml:space="preserve">Patnaik, U. (2007). Neoliberalism and Rural Poverty in India. </w:t>
      </w:r>
      <w:r w:rsidRPr="006C7F5E">
        <w:rPr>
          <w:i/>
          <w:iCs/>
          <w:sz w:val="20"/>
          <w:szCs w:val="20"/>
        </w:rPr>
        <w:t>Economic and Political Weekly</w:t>
      </w:r>
      <w:r w:rsidRPr="006C7F5E">
        <w:rPr>
          <w:sz w:val="20"/>
          <w:szCs w:val="20"/>
        </w:rPr>
        <w:t xml:space="preserve">, </w:t>
      </w:r>
      <w:r w:rsidRPr="006C7F5E">
        <w:rPr>
          <w:i/>
          <w:iCs/>
          <w:sz w:val="20"/>
          <w:szCs w:val="20"/>
        </w:rPr>
        <w:t>42</w:t>
      </w:r>
      <w:r w:rsidRPr="006C7F5E">
        <w:rPr>
          <w:sz w:val="20"/>
          <w:szCs w:val="20"/>
        </w:rPr>
        <w:t>(30). https://www.epw.in/journal/2007/30/aspects-poverty-and-employment-specials/neoliberalism-and-rural-poverty-india.html</w:t>
      </w:r>
    </w:p>
    <w:p w14:paraId="21B51718" w14:textId="77777777" w:rsidR="00C81B55" w:rsidRPr="00C81B55" w:rsidRDefault="00C81B55" w:rsidP="00C81B55">
      <w:pPr>
        <w:jc w:val="both"/>
        <w:rPr>
          <w:bCs/>
          <w:sz w:val="20"/>
          <w:szCs w:val="20"/>
        </w:rPr>
      </w:pPr>
      <w:r w:rsidRPr="00C81B55">
        <w:rPr>
          <w:bCs/>
          <w:sz w:val="20"/>
          <w:szCs w:val="20"/>
        </w:rPr>
        <w:t xml:space="preserve">Pingali, P., &amp; Aiyar, A. (2022). </w:t>
      </w:r>
      <w:r w:rsidRPr="00C81B55">
        <w:rPr>
          <w:bCs/>
          <w:i/>
          <w:iCs/>
          <w:sz w:val="20"/>
          <w:szCs w:val="20"/>
        </w:rPr>
        <w:t>Transforming Food Systems for a Rising India</w:t>
      </w:r>
      <w:r w:rsidRPr="00C81B55">
        <w:rPr>
          <w:bCs/>
          <w:sz w:val="20"/>
          <w:szCs w:val="20"/>
        </w:rPr>
        <w:t>. Palgrave Macmillan.</w:t>
      </w:r>
    </w:p>
    <w:p w14:paraId="709D811D" w14:textId="5459F6B7" w:rsidR="0076230A" w:rsidRPr="006C7F5E" w:rsidRDefault="0076230A" w:rsidP="00180824">
      <w:pPr>
        <w:pStyle w:val="Bibliography"/>
        <w:spacing w:line="240" w:lineRule="auto"/>
        <w:rPr>
          <w:sz w:val="20"/>
          <w:szCs w:val="20"/>
        </w:rPr>
      </w:pPr>
      <w:r w:rsidRPr="006C7F5E">
        <w:rPr>
          <w:sz w:val="20"/>
          <w:szCs w:val="20"/>
        </w:rPr>
        <w:t xml:space="preserve">Rao, C. H. H. (2003). Reform Agenda for Agriculture. </w:t>
      </w:r>
      <w:r w:rsidRPr="006C7F5E">
        <w:rPr>
          <w:i/>
          <w:iCs/>
          <w:sz w:val="20"/>
          <w:szCs w:val="20"/>
        </w:rPr>
        <w:t>Economic and Political Weekly</w:t>
      </w:r>
      <w:r w:rsidRPr="006C7F5E">
        <w:rPr>
          <w:sz w:val="20"/>
          <w:szCs w:val="20"/>
        </w:rPr>
        <w:t xml:space="preserve">, </w:t>
      </w:r>
      <w:r w:rsidRPr="006C7F5E">
        <w:rPr>
          <w:i/>
          <w:iCs/>
          <w:sz w:val="20"/>
          <w:szCs w:val="20"/>
        </w:rPr>
        <w:t>38</w:t>
      </w:r>
      <w:r w:rsidRPr="006C7F5E">
        <w:rPr>
          <w:sz w:val="20"/>
          <w:szCs w:val="20"/>
        </w:rPr>
        <w:t>(7), 615–620.</w:t>
      </w:r>
    </w:p>
    <w:p w14:paraId="656F3091" w14:textId="77777777" w:rsidR="0076230A" w:rsidRPr="006C7F5E" w:rsidRDefault="0076230A" w:rsidP="00180824">
      <w:pPr>
        <w:pStyle w:val="Bibliography"/>
        <w:spacing w:line="240" w:lineRule="auto"/>
        <w:rPr>
          <w:sz w:val="20"/>
          <w:szCs w:val="20"/>
        </w:rPr>
      </w:pPr>
      <w:r w:rsidRPr="006C7F5E">
        <w:rPr>
          <w:sz w:val="20"/>
          <w:szCs w:val="20"/>
        </w:rPr>
        <w:t xml:space="preserve">Sattler, E., &amp; Lee, J. S. (2013). Persistent food insecurity is associated with higher levels of cost-related medication nonadherence in low-income older adults. </w:t>
      </w:r>
      <w:r w:rsidRPr="006C7F5E">
        <w:rPr>
          <w:i/>
          <w:iCs/>
          <w:sz w:val="20"/>
          <w:szCs w:val="20"/>
        </w:rPr>
        <w:t>Journal of Nutrition in Gerontology and Geriatrics</w:t>
      </w:r>
      <w:r w:rsidRPr="006C7F5E">
        <w:rPr>
          <w:sz w:val="20"/>
          <w:szCs w:val="20"/>
        </w:rPr>
        <w:t>.</w:t>
      </w:r>
    </w:p>
    <w:p w14:paraId="75A70E67" w14:textId="77777777" w:rsidR="0076230A" w:rsidRPr="006C7F5E" w:rsidRDefault="0076230A" w:rsidP="00180824">
      <w:pPr>
        <w:pStyle w:val="Bibliography"/>
        <w:spacing w:line="240" w:lineRule="auto"/>
        <w:rPr>
          <w:sz w:val="20"/>
          <w:szCs w:val="20"/>
        </w:rPr>
      </w:pPr>
      <w:r w:rsidRPr="006C7F5E">
        <w:rPr>
          <w:sz w:val="20"/>
          <w:szCs w:val="20"/>
        </w:rPr>
        <w:t xml:space="preserve">Sen, A. (1983). Poverty and Entitlements. In A. Sen (Ed.), </w:t>
      </w:r>
      <w:r w:rsidRPr="006C7F5E">
        <w:rPr>
          <w:i/>
          <w:iCs/>
          <w:sz w:val="20"/>
          <w:szCs w:val="20"/>
        </w:rPr>
        <w:t>Poverty and Famines: An Essay on Entitlement and Deprivation</w:t>
      </w:r>
      <w:r w:rsidRPr="006C7F5E">
        <w:rPr>
          <w:sz w:val="20"/>
          <w:szCs w:val="20"/>
        </w:rPr>
        <w:t xml:space="preserve"> (p. 0). Oxford University Press. https://doi.org/10.1093/0198284632.003.0001</w:t>
      </w:r>
    </w:p>
    <w:p w14:paraId="24E07C8E" w14:textId="77777777" w:rsidR="0076230A" w:rsidRPr="006C7F5E" w:rsidRDefault="0076230A" w:rsidP="00180824">
      <w:pPr>
        <w:pStyle w:val="Bibliography"/>
        <w:spacing w:line="240" w:lineRule="auto"/>
        <w:rPr>
          <w:sz w:val="20"/>
          <w:szCs w:val="20"/>
        </w:rPr>
      </w:pPr>
      <w:r w:rsidRPr="006C7F5E">
        <w:rPr>
          <w:sz w:val="20"/>
          <w:szCs w:val="20"/>
        </w:rPr>
        <w:lastRenderedPageBreak/>
        <w:t xml:space="preserve">Suryanarayana, M. (2013). Nutritional Norms for Poverty: Issues and Implications. In </w:t>
      </w:r>
      <w:r w:rsidRPr="006C7F5E">
        <w:rPr>
          <w:i/>
          <w:iCs/>
          <w:sz w:val="20"/>
          <w:szCs w:val="20"/>
        </w:rPr>
        <w:t>Working Papers</w:t>
      </w:r>
      <w:r w:rsidRPr="006C7F5E">
        <w:rPr>
          <w:sz w:val="20"/>
          <w:szCs w:val="20"/>
        </w:rPr>
        <w:t xml:space="preserve"> (id:5392; Working Papers). eSocialSciences. https://ideas.repec.org/p/ess/wpaper/id5392.html</w:t>
      </w:r>
    </w:p>
    <w:p w14:paraId="58E16D08" w14:textId="695E4F52" w:rsidR="00D77AA1" w:rsidRPr="006C7F5E" w:rsidRDefault="0076230A" w:rsidP="00C81B55">
      <w:pPr>
        <w:pStyle w:val="ListParagraph"/>
        <w:ind w:left="360"/>
        <w:jc w:val="both"/>
        <w:rPr>
          <w:rFonts w:eastAsia="Times"/>
          <w:sz w:val="20"/>
          <w:szCs w:val="20"/>
        </w:rPr>
      </w:pPr>
      <w:r w:rsidRPr="006C7F5E">
        <w:rPr>
          <w:rFonts w:eastAsia="Times"/>
          <w:sz w:val="20"/>
          <w:szCs w:val="20"/>
        </w:rPr>
        <w:fldChar w:fldCharType="end"/>
      </w:r>
    </w:p>
    <w:sectPr w:rsidR="00D77AA1" w:rsidRPr="006C7F5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B4AB" w14:textId="77777777" w:rsidR="00C27C5A" w:rsidRDefault="00C27C5A">
      <w:pPr>
        <w:spacing w:line="240" w:lineRule="auto"/>
      </w:pPr>
      <w:r>
        <w:separator/>
      </w:r>
    </w:p>
  </w:endnote>
  <w:endnote w:type="continuationSeparator" w:id="0">
    <w:p w14:paraId="7F8227A1" w14:textId="77777777" w:rsidR="00C27C5A" w:rsidRDefault="00C27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4CF2" w14:textId="77777777" w:rsidR="00C27C5A" w:rsidRDefault="00C27C5A">
      <w:pPr>
        <w:spacing w:line="240" w:lineRule="auto"/>
      </w:pPr>
      <w:r>
        <w:separator/>
      </w:r>
    </w:p>
  </w:footnote>
  <w:footnote w:type="continuationSeparator" w:id="0">
    <w:p w14:paraId="58983F92" w14:textId="77777777" w:rsidR="00C27C5A" w:rsidRDefault="00C27C5A">
      <w:pPr>
        <w:spacing w:line="240" w:lineRule="auto"/>
      </w:pPr>
      <w:r>
        <w:continuationSeparator/>
      </w:r>
    </w:p>
  </w:footnote>
  <w:footnote w:id="1">
    <w:p w14:paraId="20CD2C94" w14:textId="77777777" w:rsidR="00D77AA1"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Nutrient contents of different items are largely based on “Nutritive Values of Indian Foods” by C. Gopalan, B.V. </w:t>
      </w:r>
      <w:proofErr w:type="spellStart"/>
      <w:r>
        <w:rPr>
          <w:rFonts w:ascii="Times New Roman" w:eastAsia="Times New Roman" w:hAnsi="Times New Roman" w:cs="Times New Roman"/>
          <w:sz w:val="20"/>
          <w:szCs w:val="20"/>
        </w:rPr>
        <w:t>Ramasastry</w:t>
      </w:r>
      <w:proofErr w:type="spellEnd"/>
      <w:r>
        <w:rPr>
          <w:rFonts w:ascii="Times New Roman" w:eastAsia="Times New Roman" w:hAnsi="Times New Roman" w:cs="Times New Roman"/>
          <w:sz w:val="20"/>
          <w:szCs w:val="20"/>
        </w:rPr>
        <w:t xml:space="preserve"> and S.C. Balasubramanian, revised and updated by B.S. Narasinga, Y.G. </w:t>
      </w:r>
      <w:proofErr w:type="spellStart"/>
      <w:r>
        <w:rPr>
          <w:rFonts w:ascii="Times New Roman" w:eastAsia="Times New Roman" w:hAnsi="Times New Roman" w:cs="Times New Roman"/>
          <w:sz w:val="20"/>
          <w:szCs w:val="20"/>
        </w:rPr>
        <w:t>Deosthale</w:t>
      </w:r>
      <w:proofErr w:type="spellEnd"/>
      <w:r>
        <w:rPr>
          <w:rFonts w:ascii="Times New Roman" w:eastAsia="Times New Roman" w:hAnsi="Times New Roman" w:cs="Times New Roman"/>
          <w:sz w:val="20"/>
          <w:szCs w:val="20"/>
        </w:rPr>
        <w:t xml:space="preserve"> and K.C. Pant, 1991.</w:t>
      </w:r>
    </w:p>
  </w:footnote>
  <w:footnote w:id="2">
    <w:p w14:paraId="7A33EA93" w14:textId="77777777" w:rsidR="00D77AA1" w:rsidRDefault="0000000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30 represent for 30 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9F6"/>
    <w:multiLevelType w:val="multilevel"/>
    <w:tmpl w:val="9F446A8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4C704E"/>
    <w:multiLevelType w:val="multilevel"/>
    <w:tmpl w:val="E51AC9E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84846311">
    <w:abstractNumId w:val="0"/>
  </w:num>
  <w:num w:numId="2" w16cid:durableId="251739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A1"/>
    <w:rsid w:val="000E4AF4"/>
    <w:rsid w:val="001029F5"/>
    <w:rsid w:val="00171853"/>
    <w:rsid w:val="00180824"/>
    <w:rsid w:val="0025647B"/>
    <w:rsid w:val="00261228"/>
    <w:rsid w:val="0026628F"/>
    <w:rsid w:val="00362E95"/>
    <w:rsid w:val="0039420D"/>
    <w:rsid w:val="003B3ABB"/>
    <w:rsid w:val="005068F6"/>
    <w:rsid w:val="005842D0"/>
    <w:rsid w:val="00591D36"/>
    <w:rsid w:val="00601268"/>
    <w:rsid w:val="00637137"/>
    <w:rsid w:val="006C7F5E"/>
    <w:rsid w:val="006E418B"/>
    <w:rsid w:val="0076230A"/>
    <w:rsid w:val="00845646"/>
    <w:rsid w:val="008F5C14"/>
    <w:rsid w:val="008F700D"/>
    <w:rsid w:val="00976E26"/>
    <w:rsid w:val="009F5218"/>
    <w:rsid w:val="00A71678"/>
    <w:rsid w:val="00A71986"/>
    <w:rsid w:val="00AB4BE7"/>
    <w:rsid w:val="00B16AEC"/>
    <w:rsid w:val="00BD5342"/>
    <w:rsid w:val="00BE16D9"/>
    <w:rsid w:val="00C27C5A"/>
    <w:rsid w:val="00C5447B"/>
    <w:rsid w:val="00C81B55"/>
    <w:rsid w:val="00CF18C0"/>
    <w:rsid w:val="00D77AA1"/>
    <w:rsid w:val="00DE1D85"/>
    <w:rsid w:val="00FA4E3C"/>
    <w:rsid w:val="00FE4B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2C1E7"/>
  <w15:docId w15:val="{A48599BE-4192-4BEE-AFF9-8A38D9A8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4327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327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4135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6">
    <w:basedOn w:val="TableNormal"/>
    <w:pPr>
      <w:spacing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pPr>
      <w:spacing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Bibliography">
    <w:name w:val="Bibliography"/>
    <w:basedOn w:val="Normal"/>
    <w:next w:val="Normal"/>
    <w:uiPriority w:val="37"/>
    <w:unhideWhenUsed/>
    <w:rsid w:val="0076230A"/>
    <w:pPr>
      <w:spacing w:line="480" w:lineRule="auto"/>
      <w:ind w:left="720" w:hanging="720"/>
    </w:pPr>
  </w:style>
  <w:style w:type="paragraph" w:styleId="FootnoteText">
    <w:name w:val="footnote text"/>
    <w:basedOn w:val="Normal"/>
    <w:link w:val="FootnoteTextChar"/>
    <w:uiPriority w:val="99"/>
    <w:semiHidden/>
    <w:unhideWhenUsed/>
    <w:rsid w:val="005842D0"/>
    <w:pPr>
      <w:spacing w:line="240" w:lineRule="auto"/>
    </w:pPr>
    <w:rPr>
      <w:sz w:val="20"/>
      <w:szCs w:val="20"/>
    </w:rPr>
  </w:style>
  <w:style w:type="character" w:customStyle="1" w:styleId="FootnoteTextChar">
    <w:name w:val="Footnote Text Char"/>
    <w:basedOn w:val="DefaultParagraphFont"/>
    <w:link w:val="FootnoteText"/>
    <w:uiPriority w:val="99"/>
    <w:semiHidden/>
    <w:rsid w:val="005842D0"/>
    <w:rPr>
      <w:sz w:val="20"/>
      <w:szCs w:val="20"/>
    </w:rPr>
  </w:style>
  <w:style w:type="character" w:styleId="FootnoteReference">
    <w:name w:val="footnote reference"/>
    <w:basedOn w:val="DefaultParagraphFont"/>
    <w:uiPriority w:val="99"/>
    <w:semiHidden/>
    <w:unhideWhenUsed/>
    <w:rsid w:val="005842D0"/>
    <w:rPr>
      <w:vertAlign w:val="superscript"/>
    </w:rPr>
  </w:style>
  <w:style w:type="paragraph" w:customStyle="1" w:styleId="AcknHead">
    <w:name w:val="Ackn Head"/>
    <w:basedOn w:val="Normal"/>
    <w:rsid w:val="00B16AEC"/>
    <w:pPr>
      <w:keepNext/>
      <w:spacing w:after="240" w:line="240" w:lineRule="auto"/>
    </w:pPr>
    <w:rPr>
      <w:rFonts w:ascii="Helvetica" w:eastAsia="Times New Roman" w:hAnsi="Helvetica" w:cs="Times New Roman"/>
      <w:b/>
      <w:caps/>
      <w:szCs w:val="20"/>
      <w:lang w:val="en-US" w:eastAsia="en-US"/>
    </w:rPr>
  </w:style>
  <w:style w:type="paragraph" w:styleId="ListParagraph">
    <w:name w:val="List Paragraph"/>
    <w:basedOn w:val="Normal"/>
    <w:uiPriority w:val="34"/>
    <w:qFormat/>
    <w:rsid w:val="00C81B55"/>
    <w:pPr>
      <w:spacing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Lj8tWDYF7ANXOCNVdxy9E7L8w==">CgMxLjAaJQoBMBIgCh4IB0IaCg9UaW1lcyBOZXcgUm9tYW4SB0d1bmdzdWgyDmguZGFwOWkxM21jb2hnOAByITFHV0NNVmdTZGtvQkYteWE1b0lEclo5SG5jTml3RzJoYw==</go:docsCustomData>
</go:gDocsCustomXmlDataStorage>
</file>

<file path=customXml/itemProps1.xml><?xml version="1.0" encoding="utf-8"?>
<ds:datastoreItem xmlns:ds="http://schemas.openxmlformats.org/officeDocument/2006/customXml" ds:itemID="{96C50CD6-52AB-487B-A3E9-5F881B1738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8582</Words>
  <Characters>48921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23</cp:revision>
  <dcterms:created xsi:type="dcterms:W3CDTF">2025-08-24T16:10:00Z</dcterms:created>
  <dcterms:modified xsi:type="dcterms:W3CDTF">2025-09-08T06:32:00Z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f74b573c-90fc-49c6-8eb8-c98cb7ae5bb8</vt:lpwstr>
  </property>
  <property fmtid="{D5CDD505-2E9C-101B-9397-08002B2CF9AE}" pid="3" name="ZOTERO_PREF_1">
    <vt:lpwstr>&lt;data data-version="3" zotero-version="6.0.36"&gt;&lt;session id="ottgUCrQ"/&gt;&lt;style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