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27336" w:rsidRDefault="000120B4">
      <w:pPr>
        <w:spacing w:after="46" w:line="276" w:lineRule="auto"/>
        <w:ind w:left="720" w:hanging="360"/>
        <w:jc w:val="center"/>
        <w:rPr>
          <w:rFonts w:ascii="Times New Roman" w:eastAsia="Times New Roman" w:hAnsi="Times New Roman" w:cs="Times New Roman"/>
          <w:b/>
          <w:i/>
          <w:iCs/>
          <w:sz w:val="32"/>
          <w:szCs w:val="32"/>
          <w:lang w:val="en-US"/>
        </w:rPr>
      </w:pPr>
      <w:r>
        <w:rPr>
          <w:rFonts w:ascii="Times New Roman" w:eastAsia="Times New Roman" w:hAnsi="Times New Roman" w:cs="Times New Roman"/>
          <w:b/>
          <w:i/>
          <w:iCs/>
          <w:sz w:val="32"/>
          <w:szCs w:val="32"/>
          <w:lang w:val="en-US"/>
        </w:rPr>
        <w:t xml:space="preserve">Review Article </w:t>
      </w:r>
    </w:p>
    <w:p w:rsidR="00427336" w:rsidRDefault="000120B4">
      <w:pPr>
        <w:spacing w:after="46" w:line="276" w:lineRule="auto"/>
        <w:ind w:left="720" w:hanging="360"/>
        <w:jc w:val="center"/>
        <w:rPr>
          <w:i/>
          <w:iCs/>
          <w:sz w:val="32"/>
          <w:szCs w:val="32"/>
        </w:rPr>
      </w:pPr>
      <w:r>
        <w:rPr>
          <w:rFonts w:ascii="Times New Roman" w:eastAsia="Times New Roman" w:hAnsi="Times New Roman" w:cs="Times New Roman"/>
          <w:b/>
          <w:i/>
          <w:iCs/>
          <w:sz w:val="32"/>
          <w:szCs w:val="32"/>
          <w:lang w:val="en-US"/>
        </w:rPr>
        <w:t xml:space="preserve">The Four Dimensions of True Cost Accounting </w:t>
      </w:r>
    </w:p>
    <w:p w:rsidR="00427336" w:rsidRDefault="000120B4">
      <w:pPr>
        <w:spacing w:after="46" w:line="276" w:lineRule="auto"/>
        <w:ind w:left="720" w:hanging="360"/>
        <w:jc w:val="center"/>
        <w:rPr>
          <w:rFonts w:ascii="Times New Roman" w:eastAsia="Times New Roman" w:hAnsi="Times New Roman" w:cs="Times New Roman"/>
          <w:b/>
          <w:i/>
          <w:iCs/>
          <w:sz w:val="32"/>
          <w:szCs w:val="32"/>
          <w:lang w:val="en-US"/>
        </w:rPr>
      </w:pPr>
      <w:r>
        <w:rPr>
          <w:rFonts w:ascii="Times New Roman" w:eastAsia="Times New Roman" w:hAnsi="Times New Roman" w:cs="Times New Roman"/>
          <w:b/>
          <w:i/>
          <w:iCs/>
          <w:sz w:val="32"/>
          <w:szCs w:val="32"/>
          <w:lang w:val="en-US"/>
        </w:rPr>
        <w:t>and the role of Institutional Isomorphism</w:t>
      </w:r>
    </w:p>
    <w:p w:rsidR="00427336" w:rsidRDefault="00427336">
      <w:pPr>
        <w:spacing w:after="0" w:line="240" w:lineRule="auto"/>
        <w:rPr>
          <w:rFonts w:ascii="Liberation Serif" w:eastAsia="NSimSun" w:hAnsi="Liberation Serif" w:cs="Arial"/>
          <w:kern w:val="2"/>
          <w:lang w:val="en-US" w:eastAsia="zh-CN" w:bidi="hi-IN"/>
        </w:rPr>
      </w:pPr>
    </w:p>
    <w:p w:rsidR="00427336" w:rsidRDefault="00427336">
      <w:pPr>
        <w:spacing w:after="46" w:line="276" w:lineRule="auto"/>
        <w:ind w:left="720" w:hanging="360"/>
        <w:jc w:val="center"/>
        <w:rPr>
          <w:i/>
          <w:iCs/>
          <w:sz w:val="32"/>
          <w:szCs w:val="32"/>
        </w:rPr>
      </w:pPr>
    </w:p>
    <w:p w:rsidR="00427336" w:rsidRDefault="00427336">
      <w:pPr>
        <w:spacing w:after="46" w:line="276" w:lineRule="auto"/>
        <w:ind w:left="720" w:hanging="360"/>
        <w:jc w:val="center"/>
        <w:rPr>
          <w:rFonts w:ascii="Times New Roman" w:eastAsia="Times New Roman" w:hAnsi="Times New Roman" w:cs="Times New Roman"/>
          <w:b/>
          <w:sz w:val="28"/>
          <w:szCs w:val="28"/>
          <w:lang w:val="en-US"/>
        </w:rPr>
      </w:pPr>
    </w:p>
    <w:p w:rsidR="00427336" w:rsidRDefault="000120B4">
      <w:pPr>
        <w:spacing w:after="46" w:line="276" w:lineRule="auto"/>
      </w:pPr>
      <w:r>
        <w:rPr>
          <w:rFonts w:ascii="Times New Roman" w:eastAsia="Times New Roman" w:hAnsi="Times New Roman" w:cs="Times New Roman"/>
          <w:b/>
          <w:sz w:val="28"/>
          <w:szCs w:val="28"/>
          <w:lang w:val="en-US"/>
        </w:rPr>
        <w:t>Abstract</w:t>
      </w:r>
    </w:p>
    <w:p w:rsidR="00427336" w:rsidRDefault="000120B4">
      <w:pPr>
        <w:spacing w:line="276" w:lineRule="auto"/>
        <w:jc w:val="both"/>
      </w:pPr>
      <w:r>
        <w:rPr>
          <w:rFonts w:ascii="Times New Roman" w:eastAsia="Times New Roman" w:hAnsi="Times New Roman" w:cs="Times New Roman"/>
          <w:i/>
          <w:iCs/>
          <w:color w:val="000000"/>
          <w:lang w:val="en-US"/>
        </w:rPr>
        <w:t xml:space="preserve">Aim/Purpose: </w:t>
      </w:r>
      <w:r>
        <w:rPr>
          <w:rFonts w:ascii="Times New Roman" w:eastAsia="Times New Roman" w:hAnsi="Times New Roman" w:cs="Times New Roman"/>
          <w:color w:val="000000"/>
          <w:lang w:val="en-US"/>
        </w:rPr>
        <w:t xml:space="preserve">This </w:t>
      </w:r>
      <w:r w:rsidR="00AF74A7">
        <w:rPr>
          <w:rFonts w:ascii="Times New Roman" w:eastAsia="Times New Roman" w:hAnsi="Times New Roman" w:cs="Times New Roman"/>
          <w:color w:val="000000"/>
          <w:lang w:val="en-US"/>
        </w:rPr>
        <w:t>review</w:t>
      </w:r>
      <w:r>
        <w:rPr>
          <w:rFonts w:ascii="Times New Roman" w:eastAsia="Times New Roman" w:hAnsi="Times New Roman" w:cs="Times New Roman"/>
          <w:color w:val="000000"/>
          <w:lang w:val="en-US"/>
        </w:rPr>
        <w:t xml:space="preserve"> presents an overview of relevant literature related to True Cost Accounting. The transition from standard traditional cost accounting via Activity Based Costing towards True Cost Accounting (TCA) also will be described. </w:t>
      </w:r>
    </w:p>
    <w:p w:rsidR="00427336" w:rsidRDefault="000120B4">
      <w:pPr>
        <w:spacing w:line="276" w:lineRule="auto"/>
        <w:jc w:val="both"/>
      </w:pPr>
      <w:r>
        <w:rPr>
          <w:rFonts w:ascii="Times New Roman" w:eastAsia="Times New Roman" w:hAnsi="Times New Roman" w:cs="Times New Roman"/>
          <w:i/>
          <w:iCs/>
          <w:color w:val="000000"/>
          <w:lang w:val="en-US"/>
        </w:rPr>
        <w:t xml:space="preserve">Results: </w:t>
      </w:r>
      <w:r>
        <w:rPr>
          <w:rFonts w:ascii="Times New Roman" w:eastAsia="Times New Roman" w:hAnsi="Times New Roman" w:cs="Times New Roman"/>
          <w:color w:val="000000"/>
          <w:lang w:val="en-US"/>
        </w:rPr>
        <w:t>four dim</w:t>
      </w:r>
      <w:r>
        <w:rPr>
          <w:rFonts w:ascii="Times New Roman" w:eastAsia="Times New Roman" w:hAnsi="Times New Roman" w:cs="Times New Roman"/>
          <w:color w:val="000000"/>
          <w:lang w:val="en-US"/>
        </w:rPr>
        <w:t>ensions of TC</w:t>
      </w:r>
      <w:bookmarkStart w:id="0" w:name="_GoBack"/>
      <w:bookmarkEnd w:id="0"/>
      <w:r>
        <w:rPr>
          <w:rFonts w:ascii="Times New Roman" w:eastAsia="Times New Roman" w:hAnsi="Times New Roman" w:cs="Times New Roman"/>
          <w:color w:val="000000"/>
          <w:lang w:val="en-US"/>
        </w:rPr>
        <w:t xml:space="preserve">A are described: </w:t>
      </w:r>
      <w:r>
        <w:rPr>
          <w:rFonts w:ascii="Times New Roman" w:eastAsia="Times New Roman" w:hAnsi="Times New Roman" w:cs="Times New Roman"/>
          <w:i/>
          <w:iCs/>
          <w:color w:val="000000"/>
          <w:lang w:val="en-US"/>
        </w:rPr>
        <w:t>(1) ethical</w:t>
      </w:r>
      <w:r>
        <w:rPr>
          <w:rFonts w:ascii="Times New Roman" w:eastAsia="Times New Roman" w:hAnsi="Times New Roman" w:cs="Times New Roman"/>
          <w:color w:val="000000"/>
          <w:lang w:val="en-US"/>
        </w:rPr>
        <w:t xml:space="preserve"> (transparency, accountability, stakeholder involvement, professional accountability, ethical responsibility, greenwashing)</w:t>
      </w:r>
      <w:r>
        <w:rPr>
          <w:rFonts w:ascii="Times New Roman" w:eastAsia="Times New Roman" w:hAnsi="Times New Roman" w:cs="Times New Roman"/>
          <w:color w:val="000000"/>
          <w:lang w:val="hu-HU"/>
        </w:rPr>
        <w:t>;</w:t>
      </w:r>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(2) instrumental</w:t>
      </w:r>
      <w:r>
        <w:rPr>
          <w:rFonts w:ascii="Times New Roman" w:eastAsia="Times New Roman" w:hAnsi="Times New Roman" w:cs="Times New Roman"/>
          <w:color w:val="000000"/>
          <w:lang w:val="en-US"/>
        </w:rPr>
        <w:t xml:space="preserve"> (leadership support, employee awareness, integrating TCA with Enterprise </w:t>
      </w:r>
      <w:r>
        <w:rPr>
          <w:rFonts w:ascii="Times New Roman" w:eastAsia="Times New Roman" w:hAnsi="Times New Roman" w:cs="Times New Roman"/>
          <w:color w:val="000000"/>
          <w:lang w:val="en-US"/>
        </w:rPr>
        <w:t xml:space="preserve">Resource Planning systems); </w:t>
      </w:r>
      <w:r>
        <w:rPr>
          <w:rFonts w:ascii="Times New Roman" w:eastAsia="Times New Roman" w:hAnsi="Times New Roman" w:cs="Times New Roman"/>
          <w:i/>
          <w:iCs/>
          <w:color w:val="000000"/>
          <w:lang w:val="en-US"/>
        </w:rPr>
        <w:t>(3) environmental</w:t>
      </w:r>
      <w:r>
        <w:rPr>
          <w:rFonts w:ascii="Times New Roman" w:eastAsia="Times New Roman" w:hAnsi="Times New Roman" w:cs="Times New Roman"/>
          <w:color w:val="000000"/>
          <w:lang w:val="en-US"/>
        </w:rPr>
        <w:t xml:space="preserve"> (resource consumption and usage, emissions and waste management, environmental impact metrics); </w:t>
      </w:r>
      <w:r>
        <w:rPr>
          <w:rFonts w:ascii="Times New Roman" w:eastAsia="Times New Roman" w:hAnsi="Times New Roman" w:cs="Times New Roman"/>
          <w:i/>
          <w:iCs/>
          <w:color w:val="000000"/>
          <w:lang w:val="en-US"/>
        </w:rPr>
        <w:t>(4)</w:t>
      </w:r>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 xml:space="preserve">regulatory </w:t>
      </w:r>
      <w:r>
        <w:rPr>
          <w:rFonts w:ascii="Times New Roman" w:eastAsia="Times New Roman" w:hAnsi="Times New Roman" w:cs="Times New Roman"/>
          <w:color w:val="000000"/>
          <w:lang w:val="en-US"/>
        </w:rPr>
        <w:t>(environmental data reporting, market mechanisms for environmental costs, transition of voluntary s</w:t>
      </w:r>
      <w:r>
        <w:rPr>
          <w:rFonts w:ascii="Times New Roman" w:eastAsia="Times New Roman" w:hAnsi="Times New Roman" w:cs="Times New Roman"/>
          <w:color w:val="000000"/>
          <w:lang w:val="en-US"/>
        </w:rPr>
        <w:t>tandards to mandatory status).</w:t>
      </w:r>
    </w:p>
    <w:p w:rsidR="00427336" w:rsidRDefault="000120B4">
      <w:pPr>
        <w:spacing w:line="276" w:lineRule="auto"/>
        <w:jc w:val="both"/>
        <w:rPr>
          <w:rFonts w:ascii="Times New Roman" w:eastAsia="Times New Roman" w:hAnsi="Times New Roman" w:cs="Times New Roman"/>
          <w:color w:val="000000"/>
          <w:lang w:val="en-US"/>
        </w:rPr>
      </w:pPr>
      <w:r>
        <w:rPr>
          <w:rFonts w:ascii="Times New Roman" w:eastAsia="Times New Roman" w:hAnsi="Times New Roman" w:cs="Times New Roman"/>
          <w:i/>
          <w:iCs/>
          <w:color w:val="000000"/>
          <w:lang w:val="en-US"/>
        </w:rPr>
        <w:t>Policy relevance:</w:t>
      </w:r>
      <w:r>
        <w:rPr>
          <w:rFonts w:ascii="Times New Roman" w:eastAsia="Times New Roman" w:hAnsi="Times New Roman" w:cs="Times New Roman"/>
          <w:color w:val="000000"/>
          <w:lang w:val="en-US"/>
        </w:rPr>
        <w:t xml:space="preserve"> The role of external stakeholders will be emphasized. Also, obstacles for proper implementation like the lack of standardized frameworks, high implementation costs and a lack of expertise are described. </w:t>
      </w:r>
    </w:p>
    <w:p w:rsidR="00427336" w:rsidRDefault="000120B4">
      <w:pPr>
        <w:spacing w:line="276" w:lineRule="auto"/>
        <w:jc w:val="both"/>
        <w:rPr>
          <w:rFonts w:ascii="Times New Roman" w:eastAsia="Times New Roman" w:hAnsi="Times New Roman" w:cs="Times New Roman"/>
          <w:color w:val="000000"/>
          <w:lang w:val="en-US"/>
        </w:rPr>
      </w:pPr>
      <w:r>
        <w:rPr>
          <w:rFonts w:ascii="Times New Roman" w:eastAsia="Times New Roman" w:hAnsi="Times New Roman" w:cs="Times New Roman"/>
          <w:i/>
          <w:iCs/>
          <w:color w:val="000000"/>
          <w:lang w:val="en-US"/>
        </w:rPr>
        <w:t xml:space="preserve">Theoretical background: </w:t>
      </w:r>
      <w:r>
        <w:rPr>
          <w:rFonts w:ascii="Times New Roman" w:eastAsia="Times New Roman" w:hAnsi="Times New Roman" w:cs="Times New Roman"/>
          <w:color w:val="000000"/>
          <w:lang w:val="en-US"/>
        </w:rPr>
        <w:t xml:space="preserve">The role of Institutional Isomorphism - and its three types coercive, mimetic and normative – describes, explains and predicts what happens and will happen with TCA. </w:t>
      </w:r>
    </w:p>
    <w:p w:rsidR="00427336" w:rsidRDefault="000120B4">
      <w:pPr>
        <w:spacing w:line="276" w:lineRule="auto"/>
        <w:ind w:left="720" w:hanging="360"/>
      </w:pPr>
      <w:r>
        <w:rPr>
          <w:rFonts w:ascii="Times New Roman" w:eastAsia="Times New Roman" w:hAnsi="Times New Roman" w:cs="Times New Roman"/>
          <w:i/>
          <w:iCs/>
          <w:color w:val="000000"/>
          <w:lang w:val="en-US"/>
        </w:rPr>
        <w:t>Keywords:</w:t>
      </w:r>
      <w:r>
        <w:rPr>
          <w:rFonts w:ascii="Times New Roman" w:eastAsia="Times New Roman" w:hAnsi="Times New Roman" w:cs="Times New Roman"/>
          <w:b/>
          <w:bCs/>
          <w:i/>
          <w:iCs/>
          <w:color w:val="000000"/>
          <w:lang w:val="en-US"/>
        </w:rPr>
        <w:t xml:space="preserve"> </w:t>
      </w:r>
      <w:r>
        <w:rPr>
          <w:rFonts w:ascii="Times New Roman" w:eastAsia="Times New Roman" w:hAnsi="Times New Roman" w:cs="Times New Roman"/>
          <w:i/>
          <w:iCs/>
          <w:color w:val="000000"/>
          <w:lang w:val="en-US"/>
        </w:rPr>
        <w:t>True Cost Accounting, Environmental Costs, Institutiona</w:t>
      </w:r>
      <w:r>
        <w:rPr>
          <w:rFonts w:ascii="Times New Roman" w:eastAsia="Times New Roman" w:hAnsi="Times New Roman" w:cs="Times New Roman"/>
          <w:i/>
          <w:iCs/>
          <w:color w:val="000000"/>
          <w:lang w:val="en-US"/>
        </w:rPr>
        <w:t xml:space="preserve">l Isomorphism, Environmental reporting, </w:t>
      </w:r>
    </w:p>
    <w:p w:rsidR="00427336" w:rsidRDefault="000120B4">
      <w:pPr>
        <w:spacing w:line="276" w:lineRule="auto"/>
        <w:ind w:left="720" w:hanging="360"/>
      </w:pPr>
      <w:r>
        <w:rPr>
          <w:rFonts w:ascii="Times New Roman" w:eastAsia="Times New Roman" w:hAnsi="Times New Roman" w:cs="Times New Roman"/>
          <w:b/>
          <w:bCs/>
          <w:color w:val="000000"/>
          <w:sz w:val="28"/>
          <w:szCs w:val="28"/>
          <w:lang w:val="en-US"/>
        </w:rPr>
        <w:t xml:space="preserve">1 </w:t>
      </w:r>
      <w:bookmarkStart w:id="1" w:name="_Toc198505561"/>
      <w:r>
        <w:rPr>
          <w:rFonts w:ascii="Times New Roman" w:hAnsi="Times New Roman" w:cs="Times New Roman"/>
          <w:b/>
          <w:bCs/>
          <w:color w:val="000000"/>
          <w:sz w:val="28"/>
          <w:szCs w:val="28"/>
          <w:lang w:val="en-US"/>
        </w:rPr>
        <w:t>Introduction</w:t>
      </w:r>
      <w:bookmarkEnd w:id="1"/>
    </w:p>
    <w:p w:rsidR="00427336" w:rsidRDefault="000120B4">
      <w:pPr>
        <w:spacing w:after="0" w:line="276" w:lineRule="auto"/>
        <w:ind w:left="180" w:firstLine="449"/>
        <w:jc w:val="both"/>
      </w:pPr>
      <w:r>
        <w:rPr>
          <w:rFonts w:ascii="Times New Roman" w:eastAsia="Times New Roman" w:hAnsi="Times New Roman" w:cs="Times New Roman"/>
          <w:lang w:val="en-US"/>
        </w:rPr>
        <w:t xml:space="preserve">A growing awareness of the environmental consequences of production and consumption has led to a search for adequate accounting methods to reflect and </w:t>
      </w:r>
      <w:proofErr w:type="spellStart"/>
      <w:r>
        <w:rPr>
          <w:rFonts w:ascii="Times New Roman" w:eastAsia="Times New Roman" w:hAnsi="Times New Roman" w:cs="Times New Roman"/>
          <w:lang w:val="en-US"/>
        </w:rPr>
        <w:t>internalise</w:t>
      </w:r>
      <w:proofErr w:type="spellEnd"/>
      <w:r>
        <w:rPr>
          <w:rFonts w:ascii="Times New Roman" w:eastAsia="Times New Roman" w:hAnsi="Times New Roman" w:cs="Times New Roman"/>
          <w:lang w:val="en-US"/>
        </w:rPr>
        <w:t xml:space="preserve"> these environmental costs (</w:t>
      </w:r>
      <w:proofErr w:type="spellStart"/>
      <w:r>
        <w:rPr>
          <w:rFonts w:ascii="Times New Roman" w:eastAsia="Times New Roman" w:hAnsi="Times New Roman" w:cs="Times New Roman"/>
          <w:lang w:val="en-US"/>
        </w:rPr>
        <w:t>Bellon</w:t>
      </w:r>
      <w:proofErr w:type="spellEnd"/>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et.</w:t>
      </w:r>
      <w:r>
        <w:rPr>
          <w:rFonts w:ascii="Times New Roman" w:eastAsia="Times New Roman" w:hAnsi="Times New Roman" w:cs="Times New Roman"/>
          <w:i/>
          <w:iCs/>
          <w:lang w:val="en-US"/>
        </w:rPr>
        <w:t>al.</w:t>
      </w:r>
      <w:r>
        <w:rPr>
          <w:rFonts w:ascii="Times New Roman" w:eastAsia="Times New Roman" w:hAnsi="Times New Roman" w:cs="Times New Roman"/>
          <w:lang w:val="en-US"/>
        </w:rPr>
        <w:t xml:space="preserve"> 2024). True Cost Accounting (TCA) offers a cost control method where the cost of each activity is assigned to a specific product or service which has been consumed by the activity </w:t>
      </w:r>
      <w:r>
        <w:rPr>
          <w:rFonts w:ascii="Times New Roman" w:eastAsia="Times New Roman" w:hAnsi="Times New Roman" w:cs="Times New Roman"/>
          <w:i/>
          <w:iCs/>
          <w:lang w:val="en-US"/>
        </w:rPr>
        <w:t>including environmental costs.</w:t>
      </w:r>
      <w:r>
        <w:rPr>
          <w:rFonts w:ascii="Times New Roman" w:eastAsia="Times New Roman" w:hAnsi="Times New Roman" w:cs="Times New Roman"/>
          <w:lang w:val="en-US"/>
        </w:rPr>
        <w:t xml:space="preserve"> It might even incorporate social and publ</w:t>
      </w:r>
      <w:r>
        <w:rPr>
          <w:rFonts w:ascii="Times New Roman" w:eastAsia="Times New Roman" w:hAnsi="Times New Roman" w:cs="Times New Roman"/>
          <w:lang w:val="en-US"/>
        </w:rPr>
        <w:t>ic health consequences (</w:t>
      </w:r>
      <w:proofErr w:type="spellStart"/>
      <w:r>
        <w:rPr>
          <w:rFonts w:ascii="Times New Roman" w:eastAsia="Times New Roman" w:hAnsi="Times New Roman" w:cs="Times New Roman"/>
          <w:lang w:val="en-US"/>
        </w:rPr>
        <w:t>Aspenson</w:t>
      </w:r>
      <w:proofErr w:type="spellEnd"/>
      <w:r>
        <w:rPr>
          <w:rFonts w:ascii="Times New Roman" w:eastAsia="Times New Roman" w:hAnsi="Times New Roman" w:cs="Times New Roman"/>
          <w:lang w:val="en-US"/>
        </w:rPr>
        <w:t xml:space="preserve">, 2020). </w:t>
      </w:r>
      <w:r>
        <w:rPr>
          <w:rFonts w:ascii="Times New Roman" w:eastAsia="Times New Roman" w:hAnsi="Times New Roman" w:cs="Times New Roman"/>
          <w:shd w:val="clear" w:color="auto" w:fill="E8F2A1"/>
          <w:lang w:val="en-US"/>
        </w:rPr>
        <w:t xml:space="preserve"> </w:t>
      </w:r>
    </w:p>
    <w:p w:rsidR="00427336" w:rsidRDefault="000120B4">
      <w:pPr>
        <w:spacing w:after="46" w:line="276" w:lineRule="auto"/>
        <w:ind w:left="180" w:firstLine="449"/>
        <w:jc w:val="both"/>
      </w:pPr>
      <w:r>
        <w:rPr>
          <w:rFonts w:ascii="Times New Roman" w:eastAsia="Times New Roman" w:hAnsi="Times New Roman" w:cs="Times New Roman"/>
          <w:lang w:val="en-US"/>
        </w:rPr>
        <w:tab/>
        <w:t xml:space="preserve">This study follows the switch from standard traditional cost accounting towards TCA and examines the most important concepts related to TCA in the following sections: </w:t>
      </w:r>
      <w:r>
        <w:rPr>
          <w:rFonts w:ascii="Times New Roman" w:eastAsia="Times New Roman" w:hAnsi="Times New Roman" w:cs="Times New Roman"/>
          <w:i/>
          <w:lang w:val="en-US"/>
        </w:rPr>
        <w:t xml:space="preserve">(1) introduction; </w:t>
      </w:r>
      <w:r>
        <w:rPr>
          <w:rFonts w:ascii="Times New Roman" w:eastAsia="Times New Roman" w:hAnsi="Times New Roman" w:cs="Times New Roman"/>
          <w:i/>
          <w:iCs/>
          <w:lang w:val="en-US"/>
        </w:rPr>
        <w:t xml:space="preserve">(2) </w:t>
      </w:r>
      <w:r>
        <w:rPr>
          <w:rFonts w:ascii="Times New Roman" w:eastAsia="Times New Roman" w:hAnsi="Times New Roman" w:cs="Times New Roman"/>
          <w:lang w:val="en-US"/>
        </w:rPr>
        <w:t>what is an environmenta</w:t>
      </w:r>
      <w:r>
        <w:rPr>
          <w:rFonts w:ascii="Times New Roman" w:eastAsia="Times New Roman" w:hAnsi="Times New Roman" w:cs="Times New Roman"/>
          <w:lang w:val="en-US"/>
        </w:rPr>
        <w:t xml:space="preserve">l cost? </w:t>
      </w:r>
      <w:r>
        <w:rPr>
          <w:rFonts w:ascii="Times New Roman" w:eastAsia="Times New Roman" w:hAnsi="Times New Roman" w:cs="Times New Roman"/>
          <w:i/>
          <w:iCs/>
          <w:lang w:val="en-US"/>
        </w:rPr>
        <w:t xml:space="preserve">(3) </w:t>
      </w:r>
      <w:r>
        <w:rPr>
          <w:rFonts w:ascii="Times New Roman" w:eastAsia="Times New Roman" w:hAnsi="Times New Roman" w:cs="Times New Roman"/>
          <w:lang w:val="en-US"/>
        </w:rPr>
        <w:t>from</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Standard T</w:t>
      </w:r>
      <w:bookmarkStart w:id="2" w:name="_Toc198505563_Copy_1"/>
      <w:r>
        <w:rPr>
          <w:rFonts w:ascii="Times New Roman" w:eastAsia="Times New Roman" w:hAnsi="Times New Roman" w:cs="Times New Roman"/>
          <w:lang w:val="en-US"/>
        </w:rPr>
        <w:t>raditional Costing to Activity Based Costing</w:t>
      </w:r>
      <w:bookmarkEnd w:id="2"/>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 xml:space="preserve">(4) </w:t>
      </w:r>
      <w:r>
        <w:rPr>
          <w:rFonts w:ascii="Times New Roman" w:eastAsia="Times New Roman" w:hAnsi="Times New Roman" w:cs="Times New Roman"/>
          <w:lang w:val="en-US"/>
        </w:rPr>
        <w:t>Towards TCA</w:t>
      </w:r>
      <w:r>
        <w:rPr>
          <w:rFonts w:ascii="Times New Roman" w:eastAsia="Times New Roman" w:hAnsi="Times New Roman" w:cs="Times New Roman"/>
          <w:i/>
          <w:iCs/>
          <w:lang w:val="en-US"/>
        </w:rPr>
        <w:t>; (5)</w:t>
      </w:r>
      <w:r>
        <w:rPr>
          <w:rFonts w:ascii="Times New Roman" w:eastAsia="Times New Roman" w:hAnsi="Times New Roman" w:cs="Times New Roman"/>
          <w:lang w:val="en-US"/>
        </w:rPr>
        <w:t xml:space="preserve"> h</w:t>
      </w:r>
      <w:bookmarkStart w:id="3" w:name="_Toc198505564_Copy_1"/>
      <w:r>
        <w:rPr>
          <w:rFonts w:ascii="Times New Roman" w:eastAsia="Times New Roman" w:hAnsi="Times New Roman" w:cs="Times New Roman"/>
          <w:lang w:val="en-US"/>
        </w:rPr>
        <w:t>ow to measure environmental costs?</w:t>
      </w:r>
      <w:bookmarkEnd w:id="3"/>
      <w:r>
        <w:rPr>
          <w:rFonts w:ascii="Times New Roman" w:eastAsia="Times New Roman" w:hAnsi="Times New Roman" w:cs="Times New Roman"/>
          <w:i/>
          <w:iCs/>
          <w:lang w:val="en-US"/>
        </w:rPr>
        <w:t xml:space="preserve"> (6) </w:t>
      </w:r>
      <w:r>
        <w:rPr>
          <w:rFonts w:ascii="Times New Roman" w:eastAsia="Times New Roman" w:hAnsi="Times New Roman" w:cs="Times New Roman"/>
          <w:lang w:val="en-US"/>
        </w:rPr>
        <w:t>what drives companies: Institutional Isomorphism as a theory;</w:t>
      </w:r>
      <w:r>
        <w:rPr>
          <w:rFonts w:ascii="Times New Roman" w:eastAsia="Times New Roman" w:hAnsi="Times New Roman" w:cs="Times New Roman"/>
          <w:i/>
          <w:iCs/>
          <w:lang w:val="en-US"/>
        </w:rPr>
        <w:t xml:space="preserve"> (7)</w:t>
      </w:r>
      <w:r>
        <w:rPr>
          <w:rFonts w:ascii="Times New Roman" w:eastAsia="Times New Roman" w:hAnsi="Times New Roman" w:cs="Times New Roman"/>
          <w:lang w:val="en-US"/>
        </w:rPr>
        <w:t xml:space="preserve"> four key dimensions of </w:t>
      </w:r>
      <w:r>
        <w:rPr>
          <w:rFonts w:ascii="Times New Roman" w:eastAsia="Times New Roman" w:hAnsi="Times New Roman" w:cs="Times New Roman"/>
          <w:lang w:val="en-US"/>
        </w:rPr>
        <w:lastRenderedPageBreak/>
        <w:t>True Costs:</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 xml:space="preserve">ethical, instrumental, environmental, and regulatory; </w:t>
      </w:r>
      <w:r>
        <w:rPr>
          <w:rFonts w:ascii="Times New Roman" w:eastAsia="Times New Roman" w:hAnsi="Times New Roman" w:cs="Times New Roman"/>
          <w:i/>
          <w:iCs/>
          <w:lang w:val="en-US"/>
        </w:rPr>
        <w:t xml:space="preserve">(8) </w:t>
      </w:r>
      <w:r>
        <w:rPr>
          <w:rFonts w:ascii="Times New Roman" w:eastAsia="Times New Roman" w:hAnsi="Times New Roman" w:cs="Times New Roman"/>
          <w:lang w:val="en-US"/>
        </w:rPr>
        <w:t xml:space="preserve">overview of topics raised; </w:t>
      </w:r>
      <w:r>
        <w:rPr>
          <w:rFonts w:ascii="Times New Roman" w:eastAsia="Times New Roman" w:hAnsi="Times New Roman" w:cs="Times New Roman"/>
          <w:i/>
          <w:iCs/>
          <w:lang w:val="en-US"/>
        </w:rPr>
        <w:t>(9)</w:t>
      </w:r>
      <w:r>
        <w:rPr>
          <w:rFonts w:ascii="Times New Roman" w:eastAsia="Times New Roman" w:hAnsi="Times New Roman" w:cs="Times New Roman"/>
          <w:lang w:val="en-US"/>
        </w:rPr>
        <w:t xml:space="preserve"> conclusions. </w:t>
      </w:r>
    </w:p>
    <w:p w:rsidR="00427336" w:rsidRDefault="00427336">
      <w:pPr>
        <w:spacing w:after="46" w:line="276" w:lineRule="auto"/>
        <w:ind w:left="180" w:firstLine="449"/>
        <w:jc w:val="both"/>
        <w:rPr>
          <w:rFonts w:ascii="Times New Roman" w:eastAsia="Times New Roman" w:hAnsi="Times New Roman" w:cs="Times New Roman"/>
          <w:lang w:val="en-US"/>
        </w:rPr>
      </w:pPr>
    </w:p>
    <w:p w:rsidR="00427336" w:rsidRDefault="000120B4">
      <w:pPr>
        <w:spacing w:line="276" w:lineRule="auto"/>
        <w:ind w:left="180"/>
        <w:jc w:val="both"/>
      </w:pPr>
      <w:r>
        <w:rPr>
          <w:rFonts w:ascii="Times New Roman" w:eastAsia="Times New Roman" w:hAnsi="Times New Roman" w:cs="Times New Roman"/>
          <w:b/>
          <w:bCs/>
          <w:sz w:val="28"/>
          <w:szCs w:val="28"/>
          <w:lang w:val="en-US"/>
        </w:rPr>
        <w:t xml:space="preserve">2 </w:t>
      </w:r>
      <w:bookmarkStart w:id="4" w:name="_Toc198505562"/>
      <w:r>
        <w:rPr>
          <w:rFonts w:ascii="Times New Roman" w:hAnsi="Times New Roman" w:cs="Times New Roman"/>
          <w:b/>
          <w:bCs/>
          <w:sz w:val="28"/>
          <w:szCs w:val="28"/>
          <w:lang w:val="en-US"/>
        </w:rPr>
        <w:t>What is an Environmental Cost?</w:t>
      </w:r>
      <w:bookmarkEnd w:id="4"/>
    </w:p>
    <w:p w:rsidR="00427336" w:rsidRDefault="000120B4">
      <w:pPr>
        <w:spacing w:line="276" w:lineRule="auto"/>
        <w:jc w:val="both"/>
        <w:rPr>
          <w:rFonts w:ascii="Times New Roman" w:hAnsi="Times New Roman" w:cs="Times New Roman"/>
          <w:lang w:val="en-US"/>
        </w:rPr>
      </w:pPr>
      <w:r>
        <w:rPr>
          <w:rFonts w:ascii="Times New Roman" w:eastAsia="Times New Roman" w:hAnsi="Times New Roman" w:cs="Times New Roman"/>
          <w:lang w:val="en-US"/>
        </w:rPr>
        <w:t>Three terms tend to be used as synonyms: cost, price and value. How do they differ?</w:t>
      </w:r>
    </w:p>
    <w:p w:rsidR="00427336" w:rsidRDefault="00427336">
      <w:pPr>
        <w:spacing w:line="276" w:lineRule="auto"/>
        <w:jc w:val="both"/>
        <w:rPr>
          <w:rFonts w:ascii="Times New Roman" w:hAnsi="Times New Roman" w:cs="Times New Roman"/>
          <w:lang w:val="en-US"/>
        </w:rPr>
      </w:pPr>
    </w:p>
    <w:p w:rsidR="00427336" w:rsidRDefault="000120B4">
      <w:pPr>
        <w:spacing w:line="276" w:lineRule="auto"/>
        <w:jc w:val="both"/>
        <w:rPr>
          <w:rFonts w:ascii="Times New Roman" w:hAnsi="Times New Roman" w:cs="Times New Roman"/>
          <w:lang w:val="en-US"/>
        </w:rPr>
      </w:pPr>
      <w:r>
        <w:rPr>
          <w:rFonts w:ascii="Times New Roman" w:eastAsia="Times New Roman" w:hAnsi="Times New Roman" w:cs="Times New Roman"/>
          <w:lang w:val="en-US"/>
        </w:rPr>
        <w:t xml:space="preserve"> </w:t>
      </w:r>
    </w:p>
    <w:p w:rsidR="00427336" w:rsidRDefault="000120B4">
      <w:pPr>
        <w:pStyle w:val="Caption"/>
        <w:spacing w:before="114" w:after="314"/>
        <w:jc w:val="center"/>
        <w:rPr>
          <w:b/>
          <w:bCs/>
          <w:i w:val="0"/>
          <w:iCs w:val="0"/>
          <w:lang w:val="en-US"/>
        </w:rPr>
      </w:pPr>
      <w:r>
        <w:rPr>
          <w:rFonts w:ascii="Times New Roman" w:eastAsia="Times New Roman" w:hAnsi="Times New Roman" w:cs="Times New Roman"/>
          <w:b/>
          <w:bCs/>
          <w:i w:val="0"/>
          <w:iCs w:val="0"/>
          <w:color w:val="000000"/>
          <w:sz w:val="24"/>
          <w:szCs w:val="24"/>
          <w:lang w:val="en-US"/>
        </w:rPr>
        <w:t xml:space="preserve">Table </w:t>
      </w:r>
      <w:r>
        <w:rPr>
          <w:rFonts w:ascii="Times New Roman" w:eastAsia="Times New Roman" w:hAnsi="Times New Roman" w:cs="Times New Roman"/>
          <w:b/>
          <w:bCs/>
          <w:i w:val="0"/>
          <w:iCs w:val="0"/>
          <w:color w:val="000000"/>
          <w:sz w:val="24"/>
          <w:szCs w:val="24"/>
          <w:lang w:val="en-US"/>
        </w:rPr>
        <w:fldChar w:fldCharType="begin"/>
      </w:r>
      <w:r>
        <w:rPr>
          <w:rFonts w:ascii="Times New Roman" w:eastAsia="Times New Roman" w:hAnsi="Times New Roman" w:cs="Times New Roman"/>
          <w:b/>
          <w:bCs/>
          <w:i w:val="0"/>
          <w:iCs w:val="0"/>
          <w:color w:val="000000"/>
          <w:sz w:val="24"/>
          <w:szCs w:val="24"/>
          <w:lang w:val="en-US"/>
        </w:rPr>
        <w:instrText xml:space="preserve"> SEQ Table \* ARABIC </w:instrText>
      </w:r>
      <w:r>
        <w:rPr>
          <w:rFonts w:ascii="Times New Roman" w:eastAsia="Times New Roman" w:hAnsi="Times New Roman" w:cs="Times New Roman"/>
          <w:b/>
          <w:bCs/>
          <w:i w:val="0"/>
          <w:iCs w:val="0"/>
          <w:color w:val="000000"/>
          <w:sz w:val="24"/>
          <w:szCs w:val="24"/>
          <w:lang w:val="en-US"/>
        </w:rPr>
        <w:fldChar w:fldCharType="separate"/>
      </w:r>
      <w:r>
        <w:rPr>
          <w:rFonts w:ascii="Times New Roman" w:eastAsia="Times New Roman" w:hAnsi="Times New Roman" w:cs="Times New Roman"/>
          <w:b/>
          <w:bCs/>
          <w:i w:val="0"/>
          <w:iCs w:val="0"/>
          <w:color w:val="000000"/>
          <w:sz w:val="24"/>
          <w:szCs w:val="24"/>
          <w:lang w:val="en-US"/>
        </w:rPr>
        <w:t>1</w:t>
      </w:r>
      <w:r>
        <w:rPr>
          <w:rFonts w:ascii="Times New Roman" w:eastAsia="Times New Roman" w:hAnsi="Times New Roman" w:cs="Times New Roman"/>
          <w:b/>
          <w:bCs/>
          <w:i w:val="0"/>
          <w:iCs w:val="0"/>
          <w:color w:val="000000"/>
          <w:sz w:val="24"/>
          <w:szCs w:val="24"/>
          <w:lang w:val="en-US"/>
        </w:rPr>
        <w:fldChar w:fldCharType="end"/>
      </w:r>
      <w:r>
        <w:rPr>
          <w:rFonts w:ascii="Times New Roman" w:eastAsia="Times New Roman" w:hAnsi="Times New Roman" w:cs="Times New Roman"/>
          <w:b/>
          <w:bCs/>
          <w:i w:val="0"/>
          <w:iCs w:val="0"/>
          <w:color w:val="000000"/>
          <w:sz w:val="24"/>
          <w:szCs w:val="24"/>
          <w:lang w:val="en-US"/>
        </w:rPr>
        <w:t xml:space="preserve"> - Comparison of cost, prices and value</w:t>
      </w:r>
    </w:p>
    <w:tbl>
      <w:tblPr>
        <w:tblStyle w:val="GridTable5Dark-Accent6"/>
        <w:tblW w:w="9016" w:type="dxa"/>
        <w:shd w:val="clear" w:color="auto" w:fill="E2EFD9"/>
        <w:tblLayout w:type="fixed"/>
        <w:tblLook w:val="04A0" w:firstRow="1" w:lastRow="0" w:firstColumn="1" w:lastColumn="0" w:noHBand="0" w:noVBand="1"/>
      </w:tblPr>
      <w:tblGrid>
        <w:gridCol w:w="1980"/>
        <w:gridCol w:w="2098"/>
        <w:gridCol w:w="2267"/>
        <w:gridCol w:w="2671"/>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rsidR="00427336" w:rsidRDefault="000120B4">
            <w:pPr>
              <w:spacing w:after="0" w:line="240" w:lineRule="auto"/>
              <w:contextualSpacing/>
              <w:jc w:val="center"/>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Evaluation criteria</w:t>
            </w:r>
          </w:p>
        </w:tc>
        <w:tc>
          <w:tcPr>
            <w:tcW w:w="2098" w:type="dxa"/>
            <w:tcBorders>
              <w:bottom w:val="nil"/>
            </w:tcBorders>
          </w:tcPr>
          <w:p w:rsidR="00427336" w:rsidRDefault="000120B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Cost</w:t>
            </w:r>
          </w:p>
        </w:tc>
        <w:tc>
          <w:tcPr>
            <w:tcW w:w="2267" w:type="dxa"/>
            <w:tcBorders>
              <w:bottom w:val="nil"/>
            </w:tcBorders>
          </w:tcPr>
          <w:p w:rsidR="00427336" w:rsidRDefault="000120B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Price</w:t>
            </w:r>
          </w:p>
        </w:tc>
        <w:tc>
          <w:tcPr>
            <w:tcW w:w="2671" w:type="dxa"/>
            <w:tcBorders>
              <w:bottom w:val="nil"/>
            </w:tcBorders>
          </w:tcPr>
          <w:p w:rsidR="00427336" w:rsidRDefault="000120B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Value</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Definition</w:t>
            </w:r>
          </w:p>
        </w:tc>
        <w:tc>
          <w:tcPr>
            <w:tcW w:w="2098"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The amount spent on creating goods or services.</w:t>
            </w:r>
          </w:p>
        </w:tc>
        <w:tc>
          <w:tcPr>
            <w:tcW w:w="2267"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The amount paid for goods or services.</w:t>
            </w:r>
          </w:p>
        </w:tc>
        <w:tc>
          <w:tcPr>
            <w:tcW w:w="2671"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The customers assessment of the usefulness of a product or service.</w:t>
            </w:r>
          </w:p>
        </w:tc>
      </w:tr>
      <w:tr w:rsidR="00427336" w:rsidTr="00427336">
        <w:tc>
          <w:tcPr>
            <w:cnfStyle w:val="001000000000" w:firstRow="0" w:lastRow="0" w:firstColumn="1" w:lastColumn="0" w:oddVBand="0" w:evenVBand="0" w:oddHBand="0" w:evenHBand="0" w:firstRowFirstColumn="0" w:firstRowLastColumn="0" w:lastRowFirstColumn="0" w:lastRowLastColumn="0"/>
            <w:tcW w:w="1979"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 xml:space="preserve">Nature of </w:t>
            </w:r>
            <w:r>
              <w:rPr>
                <w:rFonts w:ascii="Times New Roman" w:eastAsia="Times New Roman" w:hAnsi="Times New Roman" w:cs="Times New Roman"/>
                <w:color w:val="FFFFFF" w:themeColor="background1"/>
                <w:sz w:val="22"/>
                <w:szCs w:val="22"/>
                <w:lang w:val="en-US"/>
              </w:rPr>
              <w:t>perception</w:t>
            </w:r>
          </w:p>
        </w:tc>
        <w:tc>
          <w:tcPr>
            <w:tcW w:w="2098"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Objective</w:t>
            </w:r>
          </w:p>
        </w:tc>
        <w:tc>
          <w:tcPr>
            <w:tcW w:w="2267"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Objective</w:t>
            </w:r>
          </w:p>
        </w:tc>
        <w:tc>
          <w:tcPr>
            <w:tcW w:w="2671"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Subjective</w:t>
            </w:r>
          </w:p>
          <w:p w:rsidR="00427336" w:rsidRDefault="00427336">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2"/>
                <w:szCs w:val="22"/>
                <w:lang w:val="en-US"/>
              </w:rPr>
            </w:pP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Determined by</w:t>
            </w:r>
          </w:p>
        </w:tc>
        <w:tc>
          <w:tcPr>
            <w:tcW w:w="2098"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Companies / sellers</w:t>
            </w:r>
          </w:p>
        </w:tc>
        <w:tc>
          <w:tcPr>
            <w:tcW w:w="2267"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Companies / sellers</w:t>
            </w:r>
          </w:p>
        </w:tc>
        <w:tc>
          <w:tcPr>
            <w:tcW w:w="2671"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Customers / buyers</w:t>
            </w:r>
          </w:p>
        </w:tc>
      </w:tr>
      <w:tr w:rsidR="00427336" w:rsidTr="00427336">
        <w:tc>
          <w:tcPr>
            <w:cnfStyle w:val="001000000000" w:firstRow="0" w:lastRow="0" w:firstColumn="1" w:lastColumn="0" w:oddVBand="0" w:evenVBand="0" w:oddHBand="0" w:evenHBand="0" w:firstRowFirstColumn="0" w:firstRowLastColumn="0" w:lastRowFirstColumn="0" w:lastRowLastColumn="0"/>
            <w:tcW w:w="1979"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Measurement</w:t>
            </w:r>
          </w:p>
        </w:tc>
        <w:tc>
          <w:tcPr>
            <w:tcW w:w="2098"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Based on factual data (numerical)</w:t>
            </w:r>
          </w:p>
        </w:tc>
        <w:tc>
          <w:tcPr>
            <w:tcW w:w="2267"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Based on factual data (numerical)</w:t>
            </w:r>
          </w:p>
        </w:tc>
        <w:tc>
          <w:tcPr>
            <w:tcW w:w="2671" w:type="dxa"/>
          </w:tcPr>
          <w:p w:rsidR="00427336" w:rsidRDefault="000120B4">
            <w:pPr>
              <w:keepNext/>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Based on opinions</w:t>
            </w:r>
          </w:p>
        </w:tc>
      </w:tr>
    </w:tbl>
    <w:p w:rsidR="00427336" w:rsidRDefault="000120B4">
      <w:pPr>
        <w:pStyle w:val="Caption"/>
        <w:spacing w:before="114" w:after="314"/>
        <w:jc w:val="center"/>
        <w:rPr>
          <w:rFonts w:ascii="Times New Roman" w:hAnsi="Times New Roman" w:cs="Times New Roman"/>
          <w:sz w:val="20"/>
          <w:szCs w:val="20"/>
          <w:lang w:val="en-US"/>
        </w:rPr>
      </w:pPr>
      <w:r>
        <w:rPr>
          <w:rFonts w:ascii="Times New Roman" w:hAnsi="Times New Roman" w:cs="Times New Roman"/>
          <w:color w:val="000000"/>
          <w:sz w:val="20"/>
          <w:szCs w:val="20"/>
          <w:lang w:val="en-US"/>
        </w:rPr>
        <w:t>based on Olajide et al., 2016</w:t>
      </w:r>
    </w:p>
    <w:p w:rsidR="00427336" w:rsidRDefault="000120B4">
      <w:pPr>
        <w:spacing w:after="46" w:line="276" w:lineRule="auto"/>
        <w:jc w:val="both"/>
      </w:pPr>
      <w:r>
        <w:rPr>
          <w:rFonts w:ascii="Times New Roman" w:eastAsia="Times New Roman" w:hAnsi="Times New Roman" w:cs="Times New Roman"/>
          <w:b/>
          <w:bCs/>
          <w:lang w:val="en-US"/>
        </w:rPr>
        <w:t xml:space="preserve">2.1 So, </w:t>
      </w:r>
      <w:r>
        <w:rPr>
          <w:rFonts w:ascii="Times New Roman" w:eastAsia="Times New Roman" w:hAnsi="Times New Roman" w:cs="Times New Roman"/>
          <w:b/>
          <w:bCs/>
          <w:lang w:val="en-US"/>
        </w:rPr>
        <w:t>what is ‘cost’</w:t>
      </w:r>
    </w:p>
    <w:p w:rsidR="00427336" w:rsidRDefault="000120B4">
      <w:pPr>
        <w:spacing w:after="46" w:line="276" w:lineRule="auto"/>
        <w:jc w:val="both"/>
      </w:pPr>
      <w:r>
        <w:rPr>
          <w:rFonts w:ascii="Times New Roman" w:eastAsia="Times New Roman" w:hAnsi="Times New Roman" w:cs="Times New Roman"/>
          <w:lang w:val="en-US"/>
        </w:rPr>
        <w:t>According to the Oxford Dictionary (2024), cost is ‘</w:t>
      </w:r>
      <w:r>
        <w:rPr>
          <w:rFonts w:ascii="Times New Roman" w:eastAsia="Times New Roman" w:hAnsi="Times New Roman" w:cs="Times New Roman"/>
          <w:i/>
          <w:lang w:val="en-US"/>
        </w:rPr>
        <w:t xml:space="preserve">the effort, loss or damage that is involved in order to do or achieve something’ </w:t>
      </w:r>
      <w:r>
        <w:rPr>
          <w:rFonts w:ascii="Times New Roman" w:eastAsia="Times New Roman" w:hAnsi="Times New Roman" w:cs="Times New Roman"/>
          <w:lang w:val="en-US"/>
        </w:rPr>
        <w:t xml:space="preserve">or the Cambridge Dictionary (2024) </w:t>
      </w:r>
      <w:r>
        <w:rPr>
          <w:rFonts w:ascii="Times New Roman" w:eastAsia="Times New Roman" w:hAnsi="Times New Roman" w:cs="Times New Roman"/>
          <w:i/>
          <w:lang w:val="en-US"/>
        </w:rPr>
        <w:t xml:space="preserve">‘the total amount of money that needs to be spent by a business’. </w:t>
      </w:r>
      <w:r>
        <w:rPr>
          <w:rFonts w:ascii="Times New Roman" w:eastAsia="Times New Roman" w:hAnsi="Times New Roman" w:cs="Times New Roman"/>
          <w:lang w:val="en-US"/>
        </w:rPr>
        <w:t>There are many more definitions of the term ‘cost’, changing from case to case, influenced by the business, the industry or simply by the circumstances or purposes it is used in relation with.  However, all refer to the monetary value of a sacrifice, eithe</w:t>
      </w:r>
      <w:r>
        <w:rPr>
          <w:rFonts w:ascii="Times New Roman" w:eastAsia="Times New Roman" w:hAnsi="Times New Roman" w:cs="Times New Roman"/>
          <w:lang w:val="en-US"/>
        </w:rPr>
        <w:t xml:space="preserve">r being cash spent, assets exchanged, shares issued, services executed, or liabilities acknowledged for the purpose of acquiring goods or services (Makris </w:t>
      </w:r>
      <w:r>
        <w:rPr>
          <w:rFonts w:ascii="Times New Roman" w:eastAsia="Times New Roman" w:hAnsi="Times New Roman" w:cs="Times New Roman"/>
          <w:i/>
          <w:iCs/>
          <w:lang w:val="en-US"/>
        </w:rPr>
        <w:t>et al.</w:t>
      </w:r>
      <w:r>
        <w:rPr>
          <w:rFonts w:ascii="Times New Roman" w:eastAsia="Times New Roman" w:hAnsi="Times New Roman" w:cs="Times New Roman"/>
          <w:lang w:val="en-US"/>
        </w:rPr>
        <w:t>, 2015).</w:t>
      </w:r>
    </w:p>
    <w:p w:rsidR="00427336" w:rsidRDefault="000120B4">
      <w:pPr>
        <w:spacing w:line="276" w:lineRule="auto"/>
        <w:ind w:firstLine="432"/>
        <w:jc w:val="both"/>
      </w:pPr>
      <w:r>
        <w:rPr>
          <w:rFonts w:ascii="Times New Roman" w:eastAsia="Times New Roman" w:hAnsi="Times New Roman" w:cs="Times New Roman"/>
          <w:lang w:val="en-US"/>
        </w:rPr>
        <w:t>Based on the literature, we state that cost have a quantitative nature; they are, or t</w:t>
      </w:r>
      <w:r>
        <w:rPr>
          <w:rFonts w:ascii="Times New Roman" w:eastAsia="Times New Roman" w:hAnsi="Times New Roman" w:cs="Times New Roman"/>
          <w:lang w:val="en-US"/>
        </w:rPr>
        <w:t>hey generate cash movements; they always act as a user of material and immaterial resources to create products or services, and they generate expenses (</w:t>
      </w:r>
      <w:proofErr w:type="spellStart"/>
      <w:r>
        <w:rPr>
          <w:rFonts w:ascii="Times New Roman" w:eastAsia="Times New Roman" w:hAnsi="Times New Roman" w:cs="Times New Roman"/>
          <w:lang w:val="en-US"/>
        </w:rPr>
        <w:t>Fülöp</w:t>
      </w:r>
      <w:proofErr w:type="spellEnd"/>
      <w:r>
        <w:rPr>
          <w:rFonts w:ascii="Times New Roman" w:eastAsia="Times New Roman" w:hAnsi="Times New Roman" w:cs="Times New Roman"/>
          <w:lang w:val="en-US"/>
        </w:rPr>
        <w:t>, 2016).</w:t>
      </w:r>
    </w:p>
    <w:p w:rsidR="00427336" w:rsidRDefault="000120B4">
      <w:pPr>
        <w:spacing w:line="276" w:lineRule="auto"/>
        <w:ind w:firstLine="720"/>
        <w:jc w:val="both"/>
      </w:pPr>
      <w:r>
        <w:rPr>
          <w:rFonts w:ascii="Times New Roman" w:eastAsia="Times New Roman" w:hAnsi="Times New Roman" w:cs="Times New Roman"/>
          <w:lang w:val="en-US"/>
        </w:rPr>
        <w:t xml:space="preserve">It means that Total cost is </w:t>
      </w:r>
      <w:r>
        <w:rPr>
          <w:rFonts w:ascii="Times New Roman" w:eastAsia="Times New Roman" w:hAnsi="Times New Roman" w:cs="Times New Roman"/>
          <w:i/>
          <w:lang w:val="en-US"/>
        </w:rPr>
        <w:t xml:space="preserve">‘the sum of all costs incurred by a firm in producing a certain level of output’ </w:t>
      </w:r>
      <w:r>
        <w:rPr>
          <w:rFonts w:ascii="Times New Roman" w:eastAsia="Times New Roman" w:hAnsi="Times New Roman" w:cs="Times New Roman"/>
          <w:lang w:val="en-US"/>
        </w:rPr>
        <w:t>(Duignan,</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2024).</w:t>
      </w:r>
      <w:r>
        <w:rPr>
          <w:rFonts w:ascii="Times New Roman" w:eastAsia="Times New Roman" w:hAnsi="Times New Roman" w:cs="Times New Roman"/>
          <w:i/>
          <w:lang w:val="en-US"/>
        </w:rPr>
        <w:t xml:space="preserve"> </w:t>
      </w:r>
      <w:r>
        <w:rPr>
          <w:rFonts w:ascii="Times New Roman" w:eastAsia="Times New Roman" w:hAnsi="Times New Roman" w:cs="Times New Roman"/>
          <w:lang w:val="en-US"/>
        </w:rPr>
        <w:t xml:space="preserve">It can be broken down into two cost groups: </w:t>
      </w:r>
      <w:r>
        <w:rPr>
          <w:rFonts w:ascii="Times New Roman" w:eastAsia="Times New Roman" w:hAnsi="Times New Roman" w:cs="Times New Roman"/>
          <w:i/>
          <w:lang w:val="en-US"/>
        </w:rPr>
        <w:t>Fixed Cost</w:t>
      </w:r>
      <w:r>
        <w:rPr>
          <w:rFonts w:ascii="Times New Roman" w:eastAsia="Times New Roman" w:hAnsi="Times New Roman" w:cs="Times New Roman"/>
          <w:lang w:val="en-US"/>
        </w:rPr>
        <w:t xml:space="preserve"> and </w:t>
      </w:r>
      <w:r>
        <w:rPr>
          <w:rFonts w:ascii="Times New Roman" w:eastAsia="Times New Roman" w:hAnsi="Times New Roman" w:cs="Times New Roman"/>
          <w:i/>
          <w:lang w:val="en-US"/>
        </w:rPr>
        <w:t>Variable Cost</w:t>
      </w:r>
      <w:r>
        <w:rPr>
          <w:rFonts w:ascii="Times New Roman" w:eastAsia="Times New Roman" w:hAnsi="Times New Roman" w:cs="Times New Roman"/>
          <w:lang w:val="en-US"/>
        </w:rPr>
        <w:t>. The former one’s main feature is that its volume is supposed to remain unaffected by</w:t>
      </w:r>
      <w:r>
        <w:rPr>
          <w:rFonts w:ascii="Times New Roman" w:eastAsia="Times New Roman" w:hAnsi="Times New Roman" w:cs="Times New Roman"/>
          <w:lang w:val="en-US"/>
        </w:rPr>
        <w:t xml:space="preserve"> the rate of production – examples are the cost of real estate rental fees or investment in machinery. The latter one is just like the cost of materials used during production (Duignan, 2024). In practice, there is a border area between the two where assig</w:t>
      </w:r>
      <w:r>
        <w:rPr>
          <w:rFonts w:ascii="Times New Roman" w:eastAsia="Times New Roman" w:hAnsi="Times New Roman" w:cs="Times New Roman"/>
          <w:lang w:val="en-US"/>
        </w:rPr>
        <w:t>ning a particular cost to a particular cost group requires consideration and understanding of the situation, while solely relying on rules might not be sufficient (</w:t>
      </w:r>
      <w:r>
        <w:rPr>
          <w:rFonts w:ascii="Times New Roman" w:eastAsia="Times New Roman" w:hAnsi="Times New Roman" w:cs="Times New Roman"/>
          <w:color w:val="000000"/>
          <w:lang w:val="en-US"/>
        </w:rPr>
        <w:t>U.S. Environmental Protection Agency, 2017;</w:t>
      </w:r>
      <w:r>
        <w:rPr>
          <w:rFonts w:ascii="Times New Roman" w:eastAsia="Times New Roman" w:hAnsi="Times New Roman" w:cs="Times New Roman"/>
          <w:lang w:val="en-US"/>
        </w:rPr>
        <w:t xml:space="preserve"> </w:t>
      </w:r>
      <w:proofErr w:type="spellStart"/>
      <w:r>
        <w:rPr>
          <w:rFonts w:ascii="Times New Roman" w:eastAsia="Times New Roman" w:hAnsi="Times New Roman" w:cs="Times New Roman"/>
          <w:lang w:val="en-US"/>
        </w:rPr>
        <w:t>Alhabeeb</w:t>
      </w:r>
      <w:proofErr w:type="spellEnd"/>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2022). </w:t>
      </w:r>
    </w:p>
    <w:p w:rsidR="00427336" w:rsidRDefault="000120B4">
      <w:pPr>
        <w:spacing w:line="276" w:lineRule="auto"/>
        <w:jc w:val="both"/>
      </w:pPr>
      <w:r>
        <w:rPr>
          <w:rFonts w:ascii="Times New Roman" w:eastAsia="Times New Roman" w:hAnsi="Times New Roman" w:cs="Times New Roman"/>
          <w:lang w:val="en-US"/>
        </w:rPr>
        <w:lastRenderedPageBreak/>
        <w:t>2.2 Environmental costs</w:t>
      </w:r>
    </w:p>
    <w:p w:rsidR="00427336" w:rsidRDefault="000120B4">
      <w:pPr>
        <w:spacing w:line="276" w:lineRule="auto"/>
        <w:jc w:val="both"/>
      </w:pPr>
      <w:r>
        <w:rPr>
          <w:rFonts w:ascii="Times New Roman" w:eastAsia="Times New Roman" w:hAnsi="Times New Roman" w:cs="Times New Roman"/>
          <w:lang w:val="en-US"/>
        </w:rPr>
        <w:t xml:space="preserve">Environmental costs have been defined as </w:t>
      </w:r>
      <w:r>
        <w:rPr>
          <w:rFonts w:ascii="Times New Roman" w:eastAsia="Times New Roman" w:hAnsi="Times New Roman" w:cs="Times New Roman"/>
          <w:i/>
          <w:lang w:val="en-US"/>
        </w:rPr>
        <w:t>‘the costs of making sure that a company’s activities do not damage the environment or that any such damage is put right. (…)’.</w:t>
      </w:r>
      <w:r>
        <w:rPr>
          <w:rFonts w:ascii="Times New Roman" w:eastAsia="Times New Roman" w:hAnsi="Times New Roman" w:cs="Times New Roman"/>
          <w:lang w:val="en-US"/>
        </w:rPr>
        <w:t xml:space="preserve"> </w:t>
      </w:r>
      <w:r>
        <w:rPr>
          <w:rFonts w:ascii="Times New Roman" w:eastAsia="Times New Roman" w:hAnsi="Times New Roman" w:cs="Times New Roman"/>
          <w:color w:val="000000"/>
          <w:lang w:val="en-US"/>
        </w:rPr>
        <w:t>O</w:t>
      </w:r>
      <w:r>
        <w:rPr>
          <w:rFonts w:ascii="Times New Roman" w:eastAsia="Times New Roman" w:hAnsi="Times New Roman" w:cs="Times New Roman"/>
          <w:lang w:val="en-US"/>
        </w:rPr>
        <w:t xml:space="preserve">r, as </w:t>
      </w:r>
      <w:r>
        <w:rPr>
          <w:rFonts w:ascii="Times New Roman" w:eastAsia="Times New Roman" w:hAnsi="Times New Roman" w:cs="Times New Roman"/>
          <w:i/>
          <w:lang w:val="en-US"/>
        </w:rPr>
        <w:t>‘expenses incurred as a result of some violation of ecological integrity either</w:t>
      </w:r>
      <w:r>
        <w:rPr>
          <w:rFonts w:ascii="Times New Roman" w:eastAsia="Times New Roman" w:hAnsi="Times New Roman" w:cs="Times New Roman"/>
          <w:i/>
          <w:lang w:val="en-US"/>
        </w:rPr>
        <w:t xml:space="preserve"> by an enterprise that implements a program to rectify the situation, or by society or the ecosystem as a whole when no person or enterprise is held liable.’</w:t>
      </w:r>
      <w:r>
        <w:rPr>
          <w:rFonts w:ascii="Times New Roman" w:eastAsia="Times New Roman" w:hAnsi="Times New Roman" w:cs="Times New Roman"/>
          <w:lang w:val="en-US"/>
        </w:rPr>
        <w:t xml:space="preserve"> (European Environment Agency, 2024)</w:t>
      </w:r>
    </w:p>
    <w:p w:rsidR="00427336" w:rsidRDefault="00427336">
      <w:pPr>
        <w:spacing w:line="276" w:lineRule="auto"/>
        <w:jc w:val="both"/>
        <w:rPr>
          <w:rFonts w:ascii="Times New Roman" w:eastAsia="Times New Roman" w:hAnsi="Times New Roman" w:cs="Times New Roman"/>
          <w:b/>
          <w:bCs/>
          <w:lang w:val="en-US"/>
        </w:rPr>
      </w:pPr>
    </w:p>
    <w:p w:rsidR="00427336" w:rsidRDefault="000120B4">
      <w:pPr>
        <w:spacing w:line="276" w:lineRule="auto"/>
        <w:jc w:val="both"/>
        <w:rPr>
          <w:rFonts w:ascii="Times New Roman" w:eastAsia="Times New Roman" w:hAnsi="Times New Roman" w:cs="Times New Roman"/>
          <w:b/>
          <w:bCs/>
          <w:lang w:val="en-US"/>
        </w:rPr>
      </w:pPr>
      <w:r>
        <w:rPr>
          <w:rFonts w:ascii="Times New Roman" w:eastAsia="Times New Roman" w:hAnsi="Times New Roman" w:cs="Times New Roman"/>
          <w:b/>
          <w:bCs/>
          <w:lang w:val="en-US"/>
        </w:rPr>
        <w:t>2.3 Internal and External Costs</w:t>
      </w:r>
    </w:p>
    <w:p w:rsidR="00427336" w:rsidRDefault="000120B4">
      <w:pPr>
        <w:spacing w:line="276" w:lineRule="auto"/>
        <w:jc w:val="both"/>
      </w:pPr>
      <w:r>
        <w:rPr>
          <w:rFonts w:ascii="Times New Roman" w:eastAsia="Times New Roman" w:hAnsi="Times New Roman" w:cs="Times New Roman"/>
          <w:lang w:val="en-US"/>
        </w:rPr>
        <w:t>‘Environmental costs comprise</w:t>
      </w:r>
      <w:r>
        <w:rPr>
          <w:rFonts w:ascii="Times New Roman" w:eastAsia="Times New Roman" w:hAnsi="Times New Roman" w:cs="Times New Roman"/>
          <w:lang w:val="en-US"/>
        </w:rPr>
        <w:t xml:space="preserve"> both </w:t>
      </w:r>
      <w:r>
        <w:rPr>
          <w:rFonts w:ascii="Times New Roman" w:eastAsia="Times New Roman" w:hAnsi="Times New Roman" w:cs="Times New Roman"/>
          <w:i/>
          <w:iCs/>
          <w:lang w:val="en-US"/>
        </w:rPr>
        <w:t>internal</w:t>
      </w:r>
      <w:r>
        <w:rPr>
          <w:rFonts w:ascii="Times New Roman" w:eastAsia="Times New Roman" w:hAnsi="Times New Roman" w:cs="Times New Roman"/>
          <w:lang w:val="en-US"/>
        </w:rPr>
        <w:t xml:space="preserve"> and </w:t>
      </w:r>
      <w:r>
        <w:rPr>
          <w:rFonts w:ascii="Times New Roman" w:eastAsia="Times New Roman" w:hAnsi="Times New Roman" w:cs="Times New Roman"/>
          <w:i/>
          <w:iCs/>
          <w:lang w:val="en-US"/>
        </w:rPr>
        <w:t>external costs</w:t>
      </w:r>
      <w:r>
        <w:rPr>
          <w:rFonts w:ascii="Times New Roman" w:eastAsia="Times New Roman" w:hAnsi="Times New Roman" w:cs="Times New Roman"/>
          <w:lang w:val="en-US"/>
        </w:rPr>
        <w:t xml:space="preserve"> and relate to all costs incurred in relation to environmental damage and protection’ (</w:t>
      </w:r>
      <w:proofErr w:type="spellStart"/>
      <w:r>
        <w:rPr>
          <w:rFonts w:ascii="Times New Roman" w:eastAsia="Times New Roman" w:hAnsi="Times New Roman" w:cs="Times New Roman"/>
          <w:lang w:val="en-US"/>
        </w:rPr>
        <w:t>Jasch</w:t>
      </w:r>
      <w:proofErr w:type="spellEnd"/>
      <w:r>
        <w:rPr>
          <w:rFonts w:ascii="Times New Roman" w:eastAsia="Times New Roman" w:hAnsi="Times New Roman" w:cs="Times New Roman"/>
          <w:lang w:val="en-US"/>
        </w:rPr>
        <w:t xml:space="preserve">, 2003, </w:t>
      </w:r>
      <w:r>
        <w:rPr>
          <w:rFonts w:ascii="Times New Roman" w:hAnsi="Times New Roman" w:cs="Times New Roman"/>
          <w:lang w:val="en-US"/>
        </w:rPr>
        <w:t>p. 669</w:t>
      </w:r>
      <w:r>
        <w:rPr>
          <w:rFonts w:ascii="Times New Roman" w:eastAsia="Times New Roman" w:hAnsi="Times New Roman" w:cs="Times New Roman"/>
          <w:lang w:val="en-US"/>
        </w:rPr>
        <w:t xml:space="preserve">). In this sense, </w:t>
      </w:r>
      <w:r>
        <w:rPr>
          <w:rFonts w:ascii="Times New Roman" w:eastAsia="Times New Roman" w:hAnsi="Times New Roman" w:cs="Times New Roman"/>
          <w:i/>
          <w:iCs/>
          <w:lang w:val="en-US"/>
        </w:rPr>
        <w:t>Internal Costs</w:t>
      </w:r>
      <w:r>
        <w:rPr>
          <w:rFonts w:ascii="Times New Roman" w:eastAsia="Times New Roman" w:hAnsi="Times New Roman" w:cs="Times New Roman"/>
          <w:lang w:val="en-US"/>
        </w:rPr>
        <w:t xml:space="preserve"> belong to either fixed costs or variable costs of the Total Cost scheme introduced a</w:t>
      </w:r>
      <w:r>
        <w:rPr>
          <w:rFonts w:ascii="Times New Roman" w:eastAsia="Times New Roman" w:hAnsi="Times New Roman" w:cs="Times New Roman"/>
          <w:lang w:val="en-US"/>
        </w:rPr>
        <w:t xml:space="preserve">bove. They result in an </w:t>
      </w:r>
      <w:r>
        <w:rPr>
          <w:rFonts w:ascii="Times New Roman" w:eastAsia="Times New Roman" w:hAnsi="Times New Roman" w:cs="Times New Roman"/>
          <w:i/>
          <w:iCs/>
          <w:lang w:val="en-US"/>
        </w:rPr>
        <w:t>impact-bearing activity</w:t>
      </w:r>
      <w:r>
        <w:rPr>
          <w:rFonts w:ascii="Times New Roman" w:eastAsia="Times New Roman" w:hAnsi="Times New Roman" w:cs="Times New Roman"/>
          <w:lang w:val="en-US"/>
        </w:rPr>
        <w:t xml:space="preserve"> (from above), while </w:t>
      </w:r>
      <w:r>
        <w:rPr>
          <w:rFonts w:ascii="Times New Roman" w:eastAsia="Times New Roman" w:hAnsi="Times New Roman" w:cs="Times New Roman"/>
          <w:i/>
          <w:lang w:val="en-US"/>
        </w:rPr>
        <w:t xml:space="preserve">External Cost </w:t>
      </w:r>
      <w:r>
        <w:rPr>
          <w:rFonts w:ascii="Times New Roman" w:eastAsia="Times New Roman" w:hAnsi="Times New Roman" w:cs="Times New Roman"/>
          <w:lang w:val="en-US"/>
        </w:rPr>
        <w:t>incurs somewhere within the environmental or the societal sphere (</w:t>
      </w:r>
      <w:proofErr w:type="spellStart"/>
      <w:r>
        <w:rPr>
          <w:rFonts w:ascii="Times New Roman" w:eastAsia="Times New Roman" w:hAnsi="Times New Roman" w:cs="Times New Roman"/>
          <w:lang w:val="en-US"/>
        </w:rPr>
        <w:t>Econation</w:t>
      </w:r>
      <w:proofErr w:type="spellEnd"/>
      <w:r>
        <w:rPr>
          <w:rFonts w:ascii="Times New Roman" w:eastAsia="Times New Roman" w:hAnsi="Times New Roman" w:cs="Times New Roman"/>
          <w:lang w:val="en-US"/>
        </w:rPr>
        <w:t xml:space="preserve">, 2024). </w:t>
      </w:r>
      <w:proofErr w:type="spellStart"/>
      <w:r>
        <w:rPr>
          <w:rFonts w:ascii="Times New Roman" w:eastAsia="Times New Roman" w:hAnsi="Times New Roman" w:cs="Times New Roman"/>
          <w:lang w:val="en-US"/>
        </w:rPr>
        <w:t>Internalisation</w:t>
      </w:r>
      <w:proofErr w:type="spellEnd"/>
      <w:r>
        <w:rPr>
          <w:rFonts w:ascii="Times New Roman" w:eastAsia="Times New Roman" w:hAnsi="Times New Roman" w:cs="Times New Roman"/>
          <w:lang w:val="en-US"/>
        </w:rPr>
        <w:t xml:space="preserve"> of external costs, i.e. turning them into internal costs and thus making t</w:t>
      </w:r>
      <w:r>
        <w:rPr>
          <w:rFonts w:ascii="Times New Roman" w:eastAsia="Times New Roman" w:hAnsi="Times New Roman" w:cs="Times New Roman"/>
          <w:lang w:val="en-US"/>
        </w:rPr>
        <w:t>hem to be considered during accounting activities is primarily forced by government regulations. (</w:t>
      </w:r>
      <w:proofErr w:type="spellStart"/>
      <w:r>
        <w:rPr>
          <w:rFonts w:ascii="Times New Roman" w:eastAsia="Times New Roman" w:hAnsi="Times New Roman" w:cs="Times New Roman"/>
          <w:lang w:val="en-US"/>
        </w:rPr>
        <w:t>Jasch</w:t>
      </w:r>
      <w:proofErr w:type="spellEnd"/>
      <w:r>
        <w:rPr>
          <w:rFonts w:ascii="Times New Roman" w:eastAsia="Times New Roman" w:hAnsi="Times New Roman" w:cs="Times New Roman"/>
          <w:lang w:val="en-US"/>
        </w:rPr>
        <w:t xml:space="preserve">, 2003). Within the scope of </w:t>
      </w:r>
      <w:r>
        <w:rPr>
          <w:rFonts w:ascii="Times New Roman" w:eastAsia="Times New Roman" w:hAnsi="Times New Roman" w:cs="Times New Roman"/>
          <w:i/>
          <w:iCs/>
          <w:lang w:val="en-US"/>
        </w:rPr>
        <w:t>this</w:t>
      </w:r>
      <w:r>
        <w:rPr>
          <w:rFonts w:ascii="Times New Roman" w:eastAsia="Times New Roman" w:hAnsi="Times New Roman" w:cs="Times New Roman"/>
          <w:lang w:val="en-US"/>
        </w:rPr>
        <w:t xml:space="preserve"> research, only the direct environmental costs, as factors beyond the companies’ control, will be solely examined. Furth</w:t>
      </w:r>
      <w:r>
        <w:rPr>
          <w:rFonts w:ascii="Times New Roman" w:eastAsia="Times New Roman" w:hAnsi="Times New Roman" w:cs="Times New Roman"/>
          <w:lang w:val="en-US"/>
        </w:rPr>
        <w:t>ermore, labelling particular costs as environmental is more a decision revealing the intention of how the company wants to use this information (U.S. Environmental Protection Agency, 1995)</w:t>
      </w:r>
    </w:p>
    <w:p w:rsidR="00427336" w:rsidRDefault="000120B4">
      <w:pPr>
        <w:spacing w:line="276" w:lineRule="auto"/>
        <w:jc w:val="both"/>
      </w:pPr>
      <w:r>
        <w:rPr>
          <w:rFonts w:ascii="Times New Roman" w:hAnsi="Times New Roman" w:cs="Times New Roman"/>
          <w:b/>
          <w:bCs/>
          <w:lang w:val="en-US"/>
        </w:rPr>
        <w:t>2.4 Categories of environmental costs</w:t>
      </w:r>
    </w:p>
    <w:p w:rsidR="00427336" w:rsidRDefault="000120B4">
      <w:pPr>
        <w:spacing w:line="276" w:lineRule="auto"/>
        <w:ind w:firstLine="720"/>
        <w:jc w:val="both"/>
      </w:pPr>
      <w:r>
        <w:rPr>
          <w:rFonts w:ascii="Times New Roman" w:eastAsia="Times New Roman" w:hAnsi="Times New Roman" w:cs="Times New Roman"/>
          <w:lang w:val="en-US"/>
        </w:rPr>
        <w:t xml:space="preserve">According to </w:t>
      </w:r>
      <w:proofErr w:type="spellStart"/>
      <w:r>
        <w:rPr>
          <w:rFonts w:ascii="Times New Roman" w:eastAsia="Times New Roman" w:hAnsi="Times New Roman" w:cs="Times New Roman"/>
          <w:color w:val="000000"/>
          <w:lang w:val="en-US"/>
        </w:rPr>
        <w:t>Sendroiu</w:t>
      </w:r>
      <w:proofErr w:type="spellEnd"/>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et al.</w:t>
      </w:r>
      <w:r>
        <w:rPr>
          <w:rFonts w:ascii="Times New Roman" w:eastAsia="Times New Roman" w:hAnsi="Times New Roman" w:cs="Times New Roman"/>
          <w:color w:val="000000"/>
          <w:lang w:val="en-US"/>
        </w:rPr>
        <w:t xml:space="preserve"> (2006) t</w:t>
      </w:r>
      <w:r>
        <w:rPr>
          <w:rFonts w:ascii="Times New Roman" w:eastAsia="Times New Roman" w:hAnsi="Times New Roman" w:cs="Times New Roman"/>
          <w:lang w:val="en-US"/>
        </w:rPr>
        <w:t>here are five main categories of environmental costs:</w:t>
      </w:r>
      <w:r>
        <w:rPr>
          <w:rFonts w:ascii="Times New Roman" w:eastAsia="Times New Roman" w:hAnsi="Times New Roman" w:cs="Times New Roman"/>
          <w:i/>
          <w:iCs/>
          <w:lang w:val="en-US"/>
        </w:rPr>
        <w:t xml:space="preserve"> (1) </w:t>
      </w:r>
      <w:r>
        <w:rPr>
          <w:rFonts w:ascii="Times New Roman" w:eastAsia="Times New Roman" w:hAnsi="Times New Roman" w:cs="Times New Roman"/>
          <w:lang w:val="en-US"/>
        </w:rPr>
        <w:t xml:space="preserve">raw materials, </w:t>
      </w:r>
      <w:r>
        <w:rPr>
          <w:rFonts w:ascii="Times New Roman" w:eastAsia="Times New Roman" w:hAnsi="Times New Roman" w:cs="Times New Roman"/>
          <w:i/>
          <w:iCs/>
          <w:lang w:val="en-US"/>
        </w:rPr>
        <w:t xml:space="preserve">(2) </w:t>
      </w:r>
      <w:r>
        <w:rPr>
          <w:rFonts w:ascii="Times New Roman" w:eastAsia="Times New Roman" w:hAnsi="Times New Roman" w:cs="Times New Roman"/>
          <w:lang w:val="en-US"/>
        </w:rPr>
        <w:t xml:space="preserve">utilities, </w:t>
      </w:r>
      <w:r>
        <w:rPr>
          <w:rFonts w:ascii="Times New Roman" w:eastAsia="Times New Roman" w:hAnsi="Times New Roman" w:cs="Times New Roman"/>
          <w:i/>
          <w:iCs/>
          <w:lang w:val="en-US"/>
        </w:rPr>
        <w:t xml:space="preserve">(3) </w:t>
      </w:r>
      <w:proofErr w:type="spellStart"/>
      <w:r>
        <w:rPr>
          <w:rFonts w:ascii="Times New Roman" w:eastAsia="Times New Roman" w:hAnsi="Times New Roman" w:cs="Times New Roman"/>
          <w:lang w:val="en-US"/>
        </w:rPr>
        <w:t>labour</w:t>
      </w:r>
      <w:proofErr w:type="spellEnd"/>
      <w:r>
        <w:rPr>
          <w:rFonts w:ascii="Times New Roman" w:eastAsia="Times New Roman" w:hAnsi="Times New Roman" w:cs="Times New Roman"/>
          <w:lang w:val="en-US"/>
        </w:rPr>
        <w:t xml:space="preserve"> and capital cost, </w:t>
      </w:r>
      <w:r>
        <w:rPr>
          <w:rFonts w:ascii="Times New Roman" w:eastAsia="Times New Roman" w:hAnsi="Times New Roman" w:cs="Times New Roman"/>
          <w:i/>
          <w:iCs/>
          <w:lang w:val="en-US"/>
        </w:rPr>
        <w:t xml:space="preserve">(4) </w:t>
      </w:r>
      <w:r>
        <w:rPr>
          <w:rFonts w:ascii="Times New Roman" w:eastAsia="Times New Roman" w:hAnsi="Times New Roman" w:cs="Times New Roman"/>
          <w:lang w:val="en-US"/>
        </w:rPr>
        <w:t xml:space="preserve">administration, </w:t>
      </w:r>
      <w:r>
        <w:rPr>
          <w:rFonts w:ascii="Times New Roman" w:eastAsia="Times New Roman" w:hAnsi="Times New Roman" w:cs="Times New Roman"/>
          <w:i/>
          <w:iCs/>
          <w:lang w:val="en-US"/>
        </w:rPr>
        <w:t xml:space="preserve">(5) </w:t>
      </w:r>
      <w:r>
        <w:rPr>
          <w:rFonts w:ascii="Times New Roman" w:eastAsia="Times New Roman" w:hAnsi="Times New Roman" w:cs="Times New Roman"/>
          <w:lang w:val="en-US"/>
        </w:rPr>
        <w:t>contingency cost. All of them have an environmental relevance. The first three categories are conventional</w:t>
      </w:r>
      <w:r>
        <w:rPr>
          <w:rFonts w:ascii="Times New Roman" w:eastAsia="Times New Roman" w:hAnsi="Times New Roman" w:cs="Times New Roman"/>
          <w:lang w:val="en-US"/>
        </w:rPr>
        <w:t xml:space="preserve"> cost items, while the latter two are more hidden. Administration costs are usually found within overhead costs and include for instance. the cost of training. The amount of contingency cost is hard to define in advance, as these may or may not occur at al</w:t>
      </w:r>
      <w:r>
        <w:rPr>
          <w:rFonts w:ascii="Times New Roman" w:eastAsia="Times New Roman" w:hAnsi="Times New Roman" w:cs="Times New Roman"/>
          <w:lang w:val="en-US"/>
        </w:rPr>
        <w:t>l, as accidents are not necessarily happening and thus fines are not paid, and repair and clean-up activities are not carried out. (</w:t>
      </w:r>
      <w:proofErr w:type="spellStart"/>
      <w:r>
        <w:rPr>
          <w:rFonts w:ascii="Times New Roman" w:eastAsia="Times New Roman" w:hAnsi="Times New Roman" w:cs="Times New Roman"/>
          <w:color w:val="000000"/>
          <w:lang w:val="en-US"/>
        </w:rPr>
        <w:t>Sendroiu</w:t>
      </w:r>
      <w:proofErr w:type="spellEnd"/>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et al,</w:t>
      </w:r>
      <w:r>
        <w:rPr>
          <w:rFonts w:ascii="Times New Roman" w:eastAsia="Times New Roman" w:hAnsi="Times New Roman" w:cs="Times New Roman"/>
          <w:color w:val="000000"/>
          <w:lang w:val="en-US"/>
        </w:rPr>
        <w:t xml:space="preserve"> 2006)</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The USA Environmental Protection Agency also mentions the conventional costs (i.e. the costs of raw ma</w:t>
      </w:r>
      <w:r>
        <w:rPr>
          <w:rFonts w:ascii="Times New Roman" w:eastAsia="Times New Roman" w:hAnsi="Times New Roman" w:cs="Times New Roman"/>
          <w:color w:val="000000"/>
          <w:lang w:val="en-US"/>
        </w:rPr>
        <w:t xml:space="preserve">terials and energy) and the contingent costs among the environmental costs, and they defined additional two groups, which are the potentially hidden costs and the image and relationship-related costs </w:t>
      </w:r>
      <w:r>
        <w:rPr>
          <w:rFonts w:ascii="Times New Roman" w:eastAsia="Times New Roman" w:hAnsi="Times New Roman" w:cs="Times New Roman"/>
          <w:i/>
          <w:iCs/>
          <w:color w:val="000000"/>
          <w:lang w:val="en-US"/>
        </w:rPr>
        <w:t>(</w:t>
      </w:r>
      <w:proofErr w:type="spellStart"/>
      <w:r>
        <w:rPr>
          <w:rFonts w:ascii="Times New Roman" w:eastAsia="Times New Roman" w:hAnsi="Times New Roman" w:cs="Times New Roman"/>
          <w:color w:val="000000"/>
          <w:lang w:val="en-US"/>
        </w:rPr>
        <w:t>Hananne</w:t>
      </w:r>
      <w:proofErr w:type="spellEnd"/>
      <w:r>
        <w:rPr>
          <w:rFonts w:ascii="Times New Roman" w:eastAsia="Times New Roman" w:hAnsi="Times New Roman" w:cs="Times New Roman"/>
          <w:color w:val="000000"/>
          <w:lang w:val="en-US"/>
        </w:rPr>
        <w:t>,</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2014).</w:t>
      </w:r>
    </w:p>
    <w:p w:rsidR="00427336" w:rsidRDefault="000120B4">
      <w:pPr>
        <w:spacing w:line="276" w:lineRule="auto"/>
        <w:jc w:val="both"/>
      </w:pPr>
      <w:r>
        <w:rPr>
          <w:rFonts w:ascii="Times New Roman" w:eastAsia="Times New Roman" w:hAnsi="Times New Roman" w:cs="Times New Roman"/>
          <w:color w:val="000000"/>
          <w:lang w:val="en-US"/>
        </w:rPr>
        <w:t xml:space="preserve">Yet another approach to </w:t>
      </w:r>
      <w:proofErr w:type="spellStart"/>
      <w:r>
        <w:rPr>
          <w:rFonts w:ascii="Times New Roman" w:eastAsia="Times New Roman" w:hAnsi="Times New Roman" w:cs="Times New Roman"/>
          <w:lang w:val="en-US"/>
        </w:rPr>
        <w:t>categorise</w:t>
      </w:r>
      <w:proofErr w:type="spellEnd"/>
      <w:r>
        <w:rPr>
          <w:rFonts w:ascii="Times New Roman" w:eastAsia="Times New Roman" w:hAnsi="Times New Roman" w:cs="Times New Roman"/>
          <w:color w:val="000000"/>
          <w:lang w:val="en-US"/>
        </w:rPr>
        <w:t xml:space="preserve"> envi</w:t>
      </w:r>
      <w:r>
        <w:rPr>
          <w:rFonts w:ascii="Times New Roman" w:eastAsia="Times New Roman" w:hAnsi="Times New Roman" w:cs="Times New Roman"/>
          <w:color w:val="000000"/>
          <w:lang w:val="en-US"/>
        </w:rPr>
        <w:t xml:space="preserve">ronmental costs comes from </w:t>
      </w:r>
      <w:proofErr w:type="spellStart"/>
      <w:r>
        <w:rPr>
          <w:rFonts w:ascii="Times New Roman" w:eastAsia="Times New Roman" w:hAnsi="Times New Roman" w:cs="Times New Roman"/>
          <w:color w:val="000000"/>
          <w:lang w:val="en-US"/>
        </w:rPr>
        <w:t>Göltenboth</w:t>
      </w:r>
      <w:proofErr w:type="spellEnd"/>
      <w:r>
        <w:rPr>
          <w:rFonts w:ascii="Times New Roman" w:eastAsia="Times New Roman" w:hAnsi="Times New Roman" w:cs="Times New Roman"/>
          <w:color w:val="000000"/>
          <w:lang w:val="en-US"/>
        </w:rPr>
        <w:t xml:space="preserve"> (2006): (1) Evaluation; (2) Prevention; (3) Mitigation; (4) </w:t>
      </w:r>
      <w:proofErr w:type="spellStart"/>
      <w:r>
        <w:rPr>
          <w:rFonts w:ascii="Times New Roman" w:eastAsia="Times New Roman" w:hAnsi="Times New Roman" w:cs="Times New Roman"/>
          <w:color w:val="000000"/>
          <w:lang w:val="en-US"/>
        </w:rPr>
        <w:t>Recultivation</w:t>
      </w:r>
      <w:proofErr w:type="spellEnd"/>
      <w:r>
        <w:rPr>
          <w:rFonts w:ascii="Times New Roman" w:eastAsia="Times New Roman" w:hAnsi="Times New Roman" w:cs="Times New Roman"/>
          <w:color w:val="000000"/>
          <w:lang w:val="en-US"/>
        </w:rPr>
        <w:t xml:space="preserve"> and (5) Compensation. Finally, the International Federation of Accountants (IFAC) has four categories: (1) Material costs (including acquisition</w:t>
      </w:r>
      <w:r>
        <w:rPr>
          <w:rFonts w:ascii="Times New Roman" w:eastAsia="Times New Roman" w:hAnsi="Times New Roman" w:cs="Times New Roman"/>
          <w:color w:val="000000"/>
          <w:lang w:val="en-US"/>
        </w:rPr>
        <w:t xml:space="preserve"> costs of natural resources and other materials and also the cost of waste and emissions); (2) Waste control costs (including compensation paid for environmental damage caused by the producing process); (3) Prevention costs (including R&amp;D costs to </w:t>
      </w:r>
      <w:proofErr w:type="spellStart"/>
      <w:r>
        <w:rPr>
          <w:rFonts w:ascii="Times New Roman" w:eastAsia="Times New Roman" w:hAnsi="Times New Roman" w:cs="Times New Roman"/>
          <w:lang w:val="en-US"/>
        </w:rPr>
        <w:t>minimise</w:t>
      </w:r>
      <w:proofErr w:type="spellEnd"/>
      <w:r>
        <w:rPr>
          <w:rFonts w:ascii="Times New Roman" w:eastAsia="Times New Roman" w:hAnsi="Times New Roman" w:cs="Times New Roman"/>
          <w:color w:val="000000"/>
          <w:lang w:val="en-US"/>
        </w:rPr>
        <w:t xml:space="preserve"> environmental impact and damage); (4) Less tangible costs which are not or not fully predictable (e.g. liabilities, legislative changes) (</w:t>
      </w:r>
      <w:proofErr w:type="spellStart"/>
      <w:r>
        <w:rPr>
          <w:rFonts w:ascii="Times New Roman" w:eastAsia="Times New Roman" w:hAnsi="Times New Roman" w:cs="Times New Roman"/>
          <w:color w:val="000000"/>
          <w:lang w:val="en-US"/>
        </w:rPr>
        <w:t>Hanane</w:t>
      </w:r>
      <w:proofErr w:type="spellEnd"/>
      <w:r>
        <w:rPr>
          <w:rFonts w:ascii="Times New Roman" w:eastAsia="Times New Roman" w:hAnsi="Times New Roman" w:cs="Times New Roman"/>
          <w:color w:val="000000"/>
          <w:lang w:val="en-US"/>
        </w:rPr>
        <w:t>, 2014).</w:t>
      </w:r>
    </w:p>
    <w:p w:rsidR="00427336" w:rsidRDefault="000120B4">
      <w:pPr>
        <w:spacing w:line="276" w:lineRule="auto"/>
        <w:jc w:val="both"/>
      </w:pPr>
      <w:r>
        <w:rPr>
          <w:rFonts w:ascii="Times New Roman" w:eastAsia="Times New Roman" w:hAnsi="Times New Roman" w:cs="Times New Roman"/>
          <w:b/>
          <w:bCs/>
          <w:color w:val="000000"/>
          <w:sz w:val="28"/>
          <w:szCs w:val="28"/>
          <w:lang w:val="en-US"/>
        </w:rPr>
        <w:lastRenderedPageBreak/>
        <w:t xml:space="preserve">3 From Standard </w:t>
      </w:r>
      <w:bookmarkStart w:id="5" w:name="_Toc198505563"/>
      <w:r>
        <w:rPr>
          <w:rFonts w:ascii="Times New Roman" w:hAnsi="Times New Roman" w:cs="Times New Roman"/>
          <w:b/>
          <w:bCs/>
          <w:sz w:val="28"/>
          <w:szCs w:val="28"/>
          <w:lang w:val="en-US"/>
        </w:rPr>
        <w:t>Traditional Costing to Activity Based Costing</w:t>
      </w:r>
      <w:bookmarkEnd w:id="5"/>
    </w:p>
    <w:p w:rsidR="00427336" w:rsidRDefault="000120B4">
      <w:pPr>
        <w:spacing w:line="276" w:lineRule="auto"/>
        <w:jc w:val="both"/>
      </w:pPr>
      <w:r>
        <w:rPr>
          <w:rFonts w:ascii="Times New Roman" w:eastAsia="Times New Roman" w:hAnsi="Times New Roman" w:cs="Times New Roman"/>
          <w:lang w:val="en-US"/>
        </w:rPr>
        <w:t xml:space="preserve">For any </w:t>
      </w:r>
      <w:proofErr w:type="spellStart"/>
      <w:r>
        <w:rPr>
          <w:rFonts w:ascii="Times New Roman" w:eastAsia="Times New Roman" w:hAnsi="Times New Roman" w:cs="Times New Roman"/>
          <w:lang w:val="en-US"/>
        </w:rPr>
        <w:t>organisation</w:t>
      </w:r>
      <w:proofErr w:type="spellEnd"/>
      <w:r>
        <w:rPr>
          <w:rFonts w:ascii="Times New Roman" w:eastAsia="Times New Roman" w:hAnsi="Times New Roman" w:cs="Times New Roman"/>
          <w:lang w:val="en-US"/>
        </w:rPr>
        <w:t>, costs are one of t</w:t>
      </w:r>
      <w:r>
        <w:rPr>
          <w:rFonts w:ascii="Times New Roman" w:eastAsia="Times New Roman" w:hAnsi="Times New Roman" w:cs="Times New Roman"/>
          <w:lang w:val="en-US"/>
        </w:rPr>
        <w:t xml:space="preserve">he most vital types of information, either as costs of a product, process or project. Cost accounting contributes to the process where, based on the incurring costs, an </w:t>
      </w:r>
      <w:proofErr w:type="spellStart"/>
      <w:r>
        <w:rPr>
          <w:rFonts w:ascii="Times New Roman" w:eastAsia="Times New Roman" w:hAnsi="Times New Roman" w:cs="Times New Roman"/>
          <w:lang w:val="en-US"/>
        </w:rPr>
        <w:t>organisation</w:t>
      </w:r>
      <w:proofErr w:type="spellEnd"/>
      <w:r>
        <w:rPr>
          <w:rFonts w:ascii="Times New Roman" w:eastAsia="Times New Roman" w:hAnsi="Times New Roman" w:cs="Times New Roman"/>
          <w:lang w:val="en-US"/>
        </w:rPr>
        <w:t xml:space="preserve"> can define the </w:t>
      </w:r>
      <w:r>
        <w:rPr>
          <w:rFonts w:ascii="Times New Roman" w:eastAsia="Times New Roman" w:hAnsi="Times New Roman" w:cs="Times New Roman"/>
          <w:i/>
          <w:iCs/>
          <w:lang w:val="en-US"/>
        </w:rPr>
        <w:t>price</w:t>
      </w:r>
      <w:r>
        <w:rPr>
          <w:rFonts w:ascii="Times New Roman" w:eastAsia="Times New Roman" w:hAnsi="Times New Roman" w:cs="Times New Roman"/>
          <w:lang w:val="en-US"/>
        </w:rPr>
        <w:t xml:space="preserve"> of its services and the </w:t>
      </w:r>
      <w:r>
        <w:rPr>
          <w:rFonts w:ascii="Times New Roman" w:eastAsia="Times New Roman" w:hAnsi="Times New Roman" w:cs="Times New Roman"/>
          <w:i/>
          <w:iCs/>
          <w:lang w:val="en-US"/>
        </w:rPr>
        <w:t>profitability</w:t>
      </w:r>
      <w:r>
        <w:rPr>
          <w:rFonts w:ascii="Times New Roman" w:eastAsia="Times New Roman" w:hAnsi="Times New Roman" w:cs="Times New Roman"/>
          <w:lang w:val="en-US"/>
        </w:rPr>
        <w:t xml:space="preserve"> of the </w:t>
      </w:r>
      <w:proofErr w:type="spellStart"/>
      <w:r>
        <w:rPr>
          <w:rFonts w:ascii="Times New Roman" w:eastAsia="Times New Roman" w:hAnsi="Times New Roman" w:cs="Times New Roman"/>
          <w:lang w:val="en-US"/>
        </w:rPr>
        <w:t>organisa</w:t>
      </w:r>
      <w:r>
        <w:rPr>
          <w:rFonts w:ascii="Times New Roman" w:eastAsia="Times New Roman" w:hAnsi="Times New Roman" w:cs="Times New Roman"/>
          <w:lang w:val="en-US"/>
        </w:rPr>
        <w:t>tion</w:t>
      </w:r>
      <w:proofErr w:type="spellEnd"/>
      <w:r>
        <w:rPr>
          <w:rFonts w:ascii="Times New Roman" w:eastAsia="Times New Roman" w:hAnsi="Times New Roman" w:cs="Times New Roman"/>
          <w:lang w:val="en-US"/>
        </w:rPr>
        <w:t>. The most used cost accounting methods are Standard Traditional Costing (STC) and Activity-Based Costing (ABC)</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w:t>
      </w:r>
      <w:proofErr w:type="spellStart"/>
      <w:r>
        <w:rPr>
          <w:rFonts w:ascii="Times New Roman" w:eastAsia="Times New Roman" w:hAnsi="Times New Roman" w:cs="Times New Roman"/>
          <w:lang w:val="en-US"/>
        </w:rPr>
        <w:t>Alsayegh</w:t>
      </w:r>
      <w:proofErr w:type="spellEnd"/>
      <w:r>
        <w:rPr>
          <w:rFonts w:ascii="Times New Roman" w:eastAsia="Times New Roman" w:hAnsi="Times New Roman" w:cs="Times New Roman"/>
          <w:lang w:val="en-US"/>
        </w:rPr>
        <w:t xml:space="preserve">, 2020; </w:t>
      </w:r>
      <w:proofErr w:type="spellStart"/>
      <w:r>
        <w:rPr>
          <w:rFonts w:ascii="Times New Roman" w:eastAsia="Times New Roman" w:hAnsi="Times New Roman" w:cs="Times New Roman"/>
          <w:lang w:val="en-US"/>
        </w:rPr>
        <w:t>Alhabeeb</w:t>
      </w:r>
      <w:proofErr w:type="spellEnd"/>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2022). The main principle of STC is the ‘cost per unit’, assuming that fixed costs contribute to the produ</w:t>
      </w:r>
      <w:r>
        <w:rPr>
          <w:rFonts w:ascii="Times New Roman" w:eastAsia="Times New Roman" w:hAnsi="Times New Roman" w:cs="Times New Roman"/>
          <w:lang w:val="en-US"/>
        </w:rPr>
        <w:t>ction process, so they are allocated, based on the proportion of variable costs (</w:t>
      </w:r>
      <w:proofErr w:type="spellStart"/>
      <w:r>
        <w:rPr>
          <w:rFonts w:ascii="Times New Roman" w:eastAsia="Times New Roman" w:hAnsi="Times New Roman" w:cs="Times New Roman"/>
          <w:lang w:val="en-US"/>
        </w:rPr>
        <w:t>Hundal</w:t>
      </w:r>
      <w:proofErr w:type="spellEnd"/>
      <w:r>
        <w:rPr>
          <w:rFonts w:ascii="Times New Roman" w:eastAsia="Times New Roman" w:hAnsi="Times New Roman" w:cs="Times New Roman"/>
          <w:lang w:val="en-US"/>
        </w:rPr>
        <w:t xml:space="preserve">, 1997). </w:t>
      </w:r>
    </w:p>
    <w:p w:rsidR="00427336" w:rsidRDefault="000120B4">
      <w:pPr>
        <w:spacing w:line="276" w:lineRule="auto"/>
        <w:ind w:firstLine="576"/>
        <w:jc w:val="both"/>
      </w:pPr>
      <w:r>
        <w:rPr>
          <w:rFonts w:ascii="Times New Roman" w:eastAsia="Times New Roman" w:hAnsi="Times New Roman" w:cs="Times New Roman"/>
          <w:lang w:val="en-US"/>
        </w:rPr>
        <w:t>Since precise cost information has become crucial for maintaining competitiveness in today’s business environment, ABC offers a good alternative to standard tr</w:t>
      </w:r>
      <w:r>
        <w:rPr>
          <w:rFonts w:ascii="Times New Roman" w:eastAsia="Times New Roman" w:hAnsi="Times New Roman" w:cs="Times New Roman"/>
          <w:lang w:val="en-US"/>
        </w:rPr>
        <w:t>aditional costing methods. It delivers more accurate and complete cost data for making decisions related to product mix, pricing, and make-or-buy scenarios (</w:t>
      </w:r>
      <w:proofErr w:type="spellStart"/>
      <w:r>
        <w:rPr>
          <w:rFonts w:ascii="Times New Roman" w:eastAsia="Times New Roman" w:hAnsi="Times New Roman" w:cs="Times New Roman"/>
          <w:color w:val="000000"/>
          <w:lang w:val="en-US"/>
        </w:rPr>
        <w:t>Teklay</w:t>
      </w:r>
      <w:proofErr w:type="spellEnd"/>
      <w:r>
        <w:rPr>
          <w:rFonts w:ascii="Times New Roman" w:eastAsia="Times New Roman" w:hAnsi="Times New Roman" w:cs="Times New Roman"/>
          <w:color w:val="000000"/>
          <w:lang w:val="en-US"/>
        </w:rPr>
        <w:t>,</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2021). ABC allocates the cost of </w:t>
      </w:r>
      <w:r>
        <w:rPr>
          <w:rFonts w:ascii="Times New Roman" w:eastAsia="Times New Roman" w:hAnsi="Times New Roman" w:cs="Times New Roman"/>
          <w:i/>
          <w:iCs/>
          <w:lang w:val="en-US"/>
        </w:rPr>
        <w:t>activities</w:t>
      </w:r>
      <w:r>
        <w:rPr>
          <w:rFonts w:ascii="Times New Roman" w:eastAsia="Times New Roman" w:hAnsi="Times New Roman" w:cs="Times New Roman"/>
          <w:lang w:val="en-US"/>
        </w:rPr>
        <w:t xml:space="preserve"> to production units, also titled as </w:t>
      </w:r>
      <w:r>
        <w:rPr>
          <w:rFonts w:ascii="Times New Roman" w:eastAsia="Times New Roman" w:hAnsi="Times New Roman" w:cs="Times New Roman"/>
          <w:i/>
          <w:iCs/>
          <w:lang w:val="en-US"/>
        </w:rPr>
        <w:t>‘co</w:t>
      </w:r>
      <w:r>
        <w:rPr>
          <w:rFonts w:ascii="Times New Roman" w:eastAsia="Times New Roman" w:hAnsi="Times New Roman" w:cs="Times New Roman"/>
          <w:i/>
          <w:iCs/>
          <w:lang w:val="en-US"/>
        </w:rPr>
        <w:t xml:space="preserve">st </w:t>
      </w:r>
      <w:proofErr w:type="gramStart"/>
      <w:r>
        <w:rPr>
          <w:rFonts w:ascii="Times New Roman" w:eastAsia="Times New Roman" w:hAnsi="Times New Roman" w:cs="Times New Roman"/>
          <w:i/>
          <w:iCs/>
          <w:lang w:val="en-US"/>
        </w:rPr>
        <w:t>objects’</w:t>
      </w:r>
      <w:proofErr w:type="gramEnd"/>
      <w:r>
        <w:rPr>
          <w:rFonts w:ascii="Times New Roman" w:eastAsia="Times New Roman" w:hAnsi="Times New Roman" w:cs="Times New Roman"/>
          <w:lang w:val="en-US"/>
        </w:rPr>
        <w:t>. The STC approach of overhead cost pooling and allocation is changed into a more complex method which also seeks answers to why and how the overhead costs change and allocates them to different categories (</w:t>
      </w:r>
      <w:proofErr w:type="spellStart"/>
      <w:r>
        <w:rPr>
          <w:rFonts w:ascii="Times New Roman" w:eastAsia="Times New Roman" w:hAnsi="Times New Roman" w:cs="Times New Roman"/>
          <w:lang w:val="en-US"/>
        </w:rPr>
        <w:t>Hundal</w:t>
      </w:r>
      <w:proofErr w:type="spellEnd"/>
      <w:r>
        <w:rPr>
          <w:rFonts w:ascii="Times New Roman" w:eastAsia="Times New Roman" w:hAnsi="Times New Roman" w:cs="Times New Roman"/>
          <w:lang w:val="en-US"/>
        </w:rPr>
        <w:t>, 1997). A cost object is a clas</w:t>
      </w:r>
      <w:r>
        <w:rPr>
          <w:rFonts w:ascii="Times New Roman" w:eastAsia="Times New Roman" w:hAnsi="Times New Roman" w:cs="Times New Roman"/>
          <w:lang w:val="en-US"/>
        </w:rPr>
        <w:t>sification category item, a collection of different costs, which arise during the creation of a specific output (</w:t>
      </w:r>
      <w:proofErr w:type="spellStart"/>
      <w:r>
        <w:rPr>
          <w:rFonts w:ascii="Times New Roman" w:eastAsia="Times New Roman" w:hAnsi="Times New Roman" w:cs="Times New Roman"/>
          <w:lang w:val="en-US"/>
        </w:rPr>
        <w:t>Averkamp</w:t>
      </w:r>
      <w:proofErr w:type="spellEnd"/>
      <w:r>
        <w:rPr>
          <w:rFonts w:ascii="Times New Roman" w:eastAsia="Times New Roman" w:hAnsi="Times New Roman" w:cs="Times New Roman"/>
          <w:lang w:val="en-US"/>
        </w:rPr>
        <w:t>,</w:t>
      </w:r>
      <w:r>
        <w:rPr>
          <w:rStyle w:val="Hyperlink"/>
          <w:rFonts w:ascii="Times New Roman" w:eastAsia="Times New Roman" w:hAnsi="Times New Roman" w:cs="Times New Roman"/>
          <w:color w:val="000000"/>
          <w:u w:val="none"/>
          <w:lang w:val="en-US"/>
        </w:rPr>
        <w:t xml:space="preserve"> 2024</w:t>
      </w:r>
      <w:r>
        <w:rPr>
          <w:rFonts w:ascii="Times New Roman" w:eastAsia="Times New Roman" w:hAnsi="Times New Roman" w:cs="Times New Roman"/>
          <w:lang w:val="en-US"/>
        </w:rPr>
        <w:t xml:space="preserve">). Cost object could be any category, e.g. products, services, projects, activities, brand categories, etc. (Novotna, 2024). </w:t>
      </w:r>
      <w:r>
        <w:rPr>
          <w:rFonts w:ascii="Times New Roman" w:eastAsia="Times New Roman" w:hAnsi="Times New Roman" w:cs="Times New Roman"/>
          <w:color w:val="000000"/>
          <w:lang w:val="en-US"/>
        </w:rPr>
        <w:t>Table 2 gives the main characteristics and differences between STC and ABC.</w:t>
      </w:r>
    </w:p>
    <w:p w:rsidR="00427336" w:rsidRDefault="000120B4">
      <w:pPr>
        <w:pStyle w:val="Caption"/>
        <w:spacing w:before="57"/>
        <w:jc w:val="center"/>
        <w:rPr>
          <w:b/>
          <w:bCs/>
          <w:i w:val="0"/>
          <w:iCs w:val="0"/>
          <w:lang w:val="en-US"/>
        </w:rPr>
      </w:pPr>
      <w:r>
        <w:rPr>
          <w:rFonts w:ascii="Times New Roman" w:eastAsia="Times New Roman" w:hAnsi="Times New Roman" w:cs="Times New Roman"/>
          <w:b/>
          <w:bCs/>
          <w:i w:val="0"/>
          <w:iCs w:val="0"/>
          <w:color w:val="000000"/>
          <w:sz w:val="24"/>
          <w:szCs w:val="24"/>
          <w:lang w:val="en-US"/>
        </w:rPr>
        <w:t xml:space="preserve">Table </w:t>
      </w:r>
      <w:r>
        <w:rPr>
          <w:rFonts w:ascii="Times New Roman" w:eastAsia="Times New Roman" w:hAnsi="Times New Roman" w:cs="Times New Roman"/>
          <w:b/>
          <w:bCs/>
          <w:i w:val="0"/>
          <w:iCs w:val="0"/>
          <w:color w:val="000000"/>
          <w:sz w:val="24"/>
          <w:szCs w:val="24"/>
          <w:lang w:val="en-US"/>
        </w:rPr>
        <w:fldChar w:fldCharType="begin"/>
      </w:r>
      <w:r>
        <w:rPr>
          <w:rFonts w:ascii="Times New Roman" w:eastAsia="Times New Roman" w:hAnsi="Times New Roman" w:cs="Times New Roman"/>
          <w:b/>
          <w:bCs/>
          <w:i w:val="0"/>
          <w:iCs w:val="0"/>
          <w:color w:val="000000"/>
          <w:sz w:val="24"/>
          <w:szCs w:val="24"/>
          <w:lang w:val="en-US"/>
        </w:rPr>
        <w:instrText xml:space="preserve"> SEQ Table \* ARABIC </w:instrText>
      </w:r>
      <w:r>
        <w:rPr>
          <w:rFonts w:ascii="Times New Roman" w:eastAsia="Times New Roman" w:hAnsi="Times New Roman" w:cs="Times New Roman"/>
          <w:b/>
          <w:bCs/>
          <w:i w:val="0"/>
          <w:iCs w:val="0"/>
          <w:color w:val="000000"/>
          <w:sz w:val="24"/>
          <w:szCs w:val="24"/>
          <w:lang w:val="en-US"/>
        </w:rPr>
        <w:fldChar w:fldCharType="separate"/>
      </w:r>
      <w:r>
        <w:rPr>
          <w:rFonts w:ascii="Times New Roman" w:eastAsia="Times New Roman" w:hAnsi="Times New Roman" w:cs="Times New Roman"/>
          <w:b/>
          <w:bCs/>
          <w:i w:val="0"/>
          <w:iCs w:val="0"/>
          <w:color w:val="000000"/>
          <w:sz w:val="24"/>
          <w:szCs w:val="24"/>
          <w:lang w:val="en-US"/>
        </w:rPr>
        <w:t>2</w:t>
      </w:r>
      <w:r>
        <w:rPr>
          <w:rFonts w:ascii="Times New Roman" w:eastAsia="Times New Roman" w:hAnsi="Times New Roman" w:cs="Times New Roman"/>
          <w:b/>
          <w:bCs/>
          <w:i w:val="0"/>
          <w:iCs w:val="0"/>
          <w:color w:val="000000"/>
          <w:sz w:val="24"/>
          <w:szCs w:val="24"/>
          <w:lang w:val="en-US"/>
        </w:rPr>
        <w:fldChar w:fldCharType="end"/>
      </w:r>
      <w:r>
        <w:rPr>
          <w:rFonts w:ascii="Times New Roman" w:eastAsia="Times New Roman" w:hAnsi="Times New Roman" w:cs="Times New Roman"/>
          <w:b/>
          <w:bCs/>
          <w:i w:val="0"/>
          <w:iCs w:val="0"/>
          <w:color w:val="000000"/>
          <w:sz w:val="24"/>
          <w:szCs w:val="24"/>
          <w:lang w:val="en-US"/>
        </w:rPr>
        <w:t xml:space="preserve"> - Comparison of costing methods</w:t>
      </w:r>
    </w:p>
    <w:tbl>
      <w:tblPr>
        <w:tblStyle w:val="GridTable5Dark-Accent6"/>
        <w:tblW w:w="9129" w:type="dxa"/>
        <w:shd w:val="clear" w:color="auto" w:fill="E2EFD9"/>
        <w:tblLayout w:type="fixed"/>
        <w:tblLook w:val="04A0" w:firstRow="1" w:lastRow="0" w:firstColumn="1" w:lastColumn="0" w:noHBand="0" w:noVBand="1"/>
      </w:tblPr>
      <w:tblGrid>
        <w:gridCol w:w="2911"/>
        <w:gridCol w:w="2182"/>
        <w:gridCol w:w="4036"/>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1" w:type="dxa"/>
          </w:tcPr>
          <w:p w:rsidR="00427336" w:rsidRDefault="000120B4">
            <w:pPr>
              <w:spacing w:after="0" w:line="240" w:lineRule="auto"/>
              <w:contextualSpacing/>
              <w:jc w:val="center"/>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Evaluation criteria</w:t>
            </w:r>
          </w:p>
        </w:tc>
        <w:tc>
          <w:tcPr>
            <w:tcW w:w="2182" w:type="dxa"/>
            <w:tcBorders>
              <w:bottom w:val="nil"/>
            </w:tcBorders>
          </w:tcPr>
          <w:p w:rsidR="00427336" w:rsidRDefault="000120B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Traditional costing</w:t>
            </w:r>
          </w:p>
        </w:tc>
        <w:tc>
          <w:tcPr>
            <w:tcW w:w="4036" w:type="dxa"/>
            <w:tcBorders>
              <w:bottom w:val="nil"/>
            </w:tcBorders>
          </w:tcPr>
          <w:p w:rsidR="00427336" w:rsidRDefault="000120B4">
            <w:pPr>
              <w:spacing w:after="0" w:line="240" w:lineRule="auto"/>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Activity Based Costing</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1"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Basis of cost allocation</w:t>
            </w:r>
          </w:p>
        </w:tc>
        <w:tc>
          <w:tcPr>
            <w:tcW w:w="2182"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 xml:space="preserve">Volume, e.g. direct </w:t>
            </w:r>
            <w:proofErr w:type="spellStart"/>
            <w:r>
              <w:rPr>
                <w:rFonts w:ascii="Times New Roman" w:eastAsia="Times New Roman" w:hAnsi="Times New Roman" w:cs="Times New Roman"/>
                <w:sz w:val="22"/>
                <w:szCs w:val="22"/>
                <w:lang w:val="en-US"/>
              </w:rPr>
              <w:t>labour</w:t>
            </w:r>
            <w:proofErr w:type="spellEnd"/>
            <w:r>
              <w:rPr>
                <w:rFonts w:ascii="Times New Roman" w:eastAsia="Times New Roman" w:hAnsi="Times New Roman" w:cs="Times New Roman"/>
                <w:sz w:val="22"/>
                <w:szCs w:val="22"/>
                <w:lang w:val="en-US"/>
              </w:rPr>
              <w:t>,</w:t>
            </w:r>
            <w:r>
              <w:rPr>
                <w:rFonts w:ascii="Times New Roman" w:eastAsia="Times New Roman" w:hAnsi="Times New Roman" w:cs="Times New Roman"/>
                <w:sz w:val="22"/>
                <w:szCs w:val="22"/>
                <w:lang w:val="en-US"/>
              </w:rPr>
              <w:t xml:space="preserve"> raw material or machine hours</w:t>
            </w:r>
          </w:p>
        </w:tc>
        <w:tc>
          <w:tcPr>
            <w:tcW w:w="403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Overhead cost pools, each of them has different basis of allocation (every cost pool has a main cost driver)</w:t>
            </w:r>
          </w:p>
        </w:tc>
      </w:tr>
      <w:tr w:rsidR="00427336" w:rsidTr="00427336">
        <w:tc>
          <w:tcPr>
            <w:cnfStyle w:val="001000000000" w:firstRow="0" w:lastRow="0" w:firstColumn="1" w:lastColumn="0" w:oddVBand="0" w:evenVBand="0" w:oddHBand="0" w:evenHBand="0" w:firstRowFirstColumn="0" w:firstRowLastColumn="0" w:lastRowFirstColumn="0" w:lastRowLastColumn="0"/>
            <w:tcW w:w="2911"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Distribution of expenses</w:t>
            </w:r>
          </w:p>
        </w:tc>
        <w:tc>
          <w:tcPr>
            <w:tcW w:w="2182"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Percentage-based, period expenses</w:t>
            </w:r>
          </w:p>
        </w:tc>
        <w:tc>
          <w:tcPr>
            <w:tcW w:w="4036"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 xml:space="preserve">Based on cost-drivers that connect expenses to certain </w:t>
            </w:r>
            <w:r>
              <w:rPr>
                <w:rFonts w:ascii="Times New Roman" w:eastAsia="Times New Roman" w:hAnsi="Times New Roman" w:cs="Times New Roman"/>
                <w:sz w:val="22"/>
                <w:szCs w:val="22"/>
                <w:lang w:val="en-US"/>
              </w:rPr>
              <w:t>activities where there is a cost effect relation</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1"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Handling of excess capacity</w:t>
            </w:r>
          </w:p>
        </w:tc>
        <w:tc>
          <w:tcPr>
            <w:tcW w:w="2182"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Assigned to products</w:t>
            </w:r>
          </w:p>
        </w:tc>
        <w:tc>
          <w:tcPr>
            <w:tcW w:w="403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Not assigned to products</w:t>
            </w:r>
          </w:p>
        </w:tc>
      </w:tr>
      <w:tr w:rsidR="00427336" w:rsidTr="00427336">
        <w:tc>
          <w:tcPr>
            <w:cnfStyle w:val="001000000000" w:firstRow="0" w:lastRow="0" w:firstColumn="1" w:lastColumn="0" w:oddVBand="0" w:evenVBand="0" w:oddHBand="0" w:evenHBand="0" w:firstRowFirstColumn="0" w:firstRowLastColumn="0" w:lastRowFirstColumn="0" w:lastRowLastColumn="0"/>
            <w:tcW w:w="2911" w:type="dxa"/>
            <w:tcBorders>
              <w:right w:val="nil"/>
            </w:tcBorders>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Focus</w:t>
            </w:r>
          </w:p>
        </w:tc>
        <w:tc>
          <w:tcPr>
            <w:tcW w:w="2182"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Outcomes</w:t>
            </w:r>
          </w:p>
        </w:tc>
        <w:tc>
          <w:tcPr>
            <w:tcW w:w="4036" w:type="dxa"/>
          </w:tcPr>
          <w:p w:rsidR="00427336" w:rsidRDefault="000120B4">
            <w:pPr>
              <w:keepNext/>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Processes</w:t>
            </w:r>
          </w:p>
        </w:tc>
      </w:tr>
    </w:tbl>
    <w:p w:rsidR="00427336" w:rsidRDefault="000120B4">
      <w:pPr>
        <w:pStyle w:val="Caption"/>
        <w:spacing w:before="57"/>
        <w:jc w:val="center"/>
        <w:rPr>
          <w:rFonts w:ascii="Times New Roman" w:hAnsi="Times New Roman" w:cs="Times New Roman"/>
          <w:lang w:val="en-US"/>
        </w:rPr>
      </w:pPr>
      <w:r>
        <w:rPr>
          <w:rFonts w:ascii="Times New Roman" w:hAnsi="Times New Roman" w:cs="Times New Roman"/>
          <w:color w:val="000000"/>
          <w:sz w:val="24"/>
          <w:szCs w:val="24"/>
          <w:lang w:val="en-US"/>
        </w:rPr>
        <w:t xml:space="preserve"> based on Hatzis et al., 2011</w:t>
      </w:r>
    </w:p>
    <w:p w:rsidR="00427336" w:rsidRDefault="000120B4">
      <w:pPr>
        <w:spacing w:line="276" w:lineRule="auto"/>
        <w:ind w:firstLine="576"/>
        <w:jc w:val="both"/>
      </w:pPr>
      <w:r>
        <w:rPr>
          <w:rFonts w:ascii="Times New Roman" w:eastAsia="Times New Roman" w:hAnsi="Times New Roman" w:cs="Times New Roman"/>
          <w:color w:val="000000"/>
          <w:lang w:val="en-US"/>
        </w:rPr>
        <w:t>Hence,</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ABC</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iCs/>
          <w:color w:val="000000"/>
          <w:lang w:val="en-US"/>
        </w:rPr>
        <w:t xml:space="preserve">is based on the idea that not the products cause costs, but the </w:t>
      </w:r>
      <w:r>
        <w:rPr>
          <w:rFonts w:ascii="Times New Roman" w:eastAsia="Times New Roman" w:hAnsi="Times New Roman" w:cs="Times New Roman"/>
          <w:iCs/>
          <w:color w:val="000000"/>
          <w:lang w:val="en-US"/>
        </w:rPr>
        <w:t>activities required to produce those products.</w:t>
      </w:r>
      <w:bookmarkStart w:id="6" w:name="_GoBack_Copy_1"/>
      <w:bookmarkEnd w:id="6"/>
      <w:r>
        <w:rPr>
          <w:rFonts w:ascii="Times New Roman" w:eastAsia="Times New Roman" w:hAnsi="Times New Roman" w:cs="Times New Roman"/>
          <w:iCs/>
          <w:color w:val="000000"/>
          <w:lang w:val="en-US"/>
        </w:rPr>
        <w:t xml:space="preserve"> But e</w:t>
      </w:r>
      <w:r>
        <w:rPr>
          <w:rFonts w:ascii="Times New Roman" w:eastAsia="Times New Roman" w:hAnsi="Times New Roman" w:cs="Times New Roman"/>
          <w:lang w:val="en-US"/>
        </w:rPr>
        <w:t xml:space="preserve">ven though ABC offers a more precise accounting method, it still does not include the internal environmental costs emerging during a company’s operation. Applying environmental accounting would have many </w:t>
      </w:r>
      <w:r>
        <w:rPr>
          <w:rFonts w:ascii="Times New Roman" w:eastAsia="Times New Roman" w:hAnsi="Times New Roman" w:cs="Times New Roman"/>
          <w:lang w:val="en-US"/>
        </w:rPr>
        <w:t>advantages, like integrating environmental factors into the business planning processes, or help companies to setup priorities. Through Life Cycle Assessment they can improve their products. Furthermore, it helps to prevent or reduce pollution, gives a mor</w:t>
      </w:r>
      <w:r>
        <w:rPr>
          <w:rFonts w:ascii="Times New Roman" w:eastAsia="Times New Roman" w:hAnsi="Times New Roman" w:cs="Times New Roman"/>
          <w:lang w:val="en-US"/>
        </w:rPr>
        <w:t xml:space="preserve">e accurate basis for resource management and internal business decisions </w:t>
      </w:r>
      <w:r>
        <w:rPr>
          <w:rFonts w:ascii="Times New Roman" w:eastAsia="Times New Roman" w:hAnsi="Times New Roman" w:cs="Times New Roman"/>
          <w:color w:val="000000"/>
          <w:lang w:val="en-US"/>
        </w:rPr>
        <w:t>(</w:t>
      </w:r>
      <w:proofErr w:type="spellStart"/>
      <w:r>
        <w:rPr>
          <w:rFonts w:ascii="Times New Roman" w:eastAsia="Times New Roman" w:hAnsi="Times New Roman" w:cs="Times New Roman"/>
          <w:color w:val="000000"/>
          <w:lang w:val="en-US"/>
        </w:rPr>
        <w:t>Hanan</w:t>
      </w:r>
      <w:r>
        <w:rPr>
          <w:rFonts w:ascii="Times New Roman" w:eastAsia="Times New Roman" w:hAnsi="Times New Roman" w:cs="Times New Roman"/>
          <w:i/>
          <w:iCs/>
          <w:color w:val="000000"/>
          <w:lang w:val="en-US"/>
        </w:rPr>
        <w:t>e</w:t>
      </w:r>
      <w:proofErr w:type="spellEnd"/>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2014)</w:t>
      </w:r>
      <w:r>
        <w:rPr>
          <w:rFonts w:ascii="Times New Roman" w:eastAsia="Times New Roman" w:hAnsi="Times New Roman" w:cs="Times New Roman"/>
          <w:i/>
          <w:iCs/>
          <w:color w:val="000000"/>
          <w:lang w:val="en-US"/>
        </w:rPr>
        <w:t>.</w:t>
      </w:r>
    </w:p>
    <w:p w:rsidR="00427336" w:rsidRDefault="000120B4">
      <w:pPr>
        <w:spacing w:line="276" w:lineRule="auto"/>
        <w:jc w:val="both"/>
      </w:pPr>
      <w:r>
        <w:rPr>
          <w:rFonts w:ascii="Times New Roman" w:eastAsia="Times New Roman" w:hAnsi="Times New Roman" w:cs="Times New Roman"/>
          <w:b/>
          <w:bCs/>
          <w:color w:val="000000"/>
          <w:sz w:val="28"/>
          <w:szCs w:val="28"/>
          <w:lang w:val="en-US"/>
        </w:rPr>
        <w:t>4 Towards True Cost Accounting</w:t>
      </w:r>
    </w:p>
    <w:p w:rsidR="00427336" w:rsidRDefault="000120B4">
      <w:pPr>
        <w:spacing w:line="276" w:lineRule="auto"/>
        <w:ind w:firstLine="576"/>
        <w:jc w:val="both"/>
      </w:pPr>
      <w:r>
        <w:rPr>
          <w:rFonts w:ascii="Times New Roman" w:eastAsia="Times New Roman" w:hAnsi="Times New Roman" w:cs="Times New Roman"/>
          <w:lang w:val="en-US"/>
        </w:rPr>
        <w:lastRenderedPageBreak/>
        <w:t xml:space="preserve">TCA, as alternative for ABC, helps to classify and measure direct and indirect </w:t>
      </w:r>
      <w:r>
        <w:rPr>
          <w:rFonts w:ascii="Times New Roman" w:eastAsia="Times New Roman" w:hAnsi="Times New Roman" w:cs="Times New Roman"/>
          <w:i/>
          <w:iCs/>
          <w:lang w:val="en-US"/>
        </w:rPr>
        <w:t>environmental</w:t>
      </w:r>
      <w:r>
        <w:rPr>
          <w:rFonts w:ascii="Times New Roman" w:eastAsia="Times New Roman" w:hAnsi="Times New Roman" w:cs="Times New Roman"/>
          <w:lang w:val="en-US"/>
        </w:rPr>
        <w:t xml:space="preserve"> costs (European Environment Agency, 2024)</w:t>
      </w:r>
      <w:r>
        <w:rPr>
          <w:rFonts w:ascii="Times New Roman" w:eastAsia="Times New Roman" w:hAnsi="Times New Roman" w:cs="Times New Roman"/>
          <w:i/>
          <w:lang w:val="en-US"/>
        </w:rPr>
        <w:t xml:space="preserve">. </w:t>
      </w:r>
      <w:r>
        <w:rPr>
          <w:rFonts w:ascii="Times New Roman" w:eastAsia="Times New Roman" w:hAnsi="Times New Roman" w:cs="Times New Roman"/>
          <w:lang w:val="en-US"/>
        </w:rPr>
        <w:t>It serves to identify, measure, and monetize costs that are relevant for pricing decisions regarding an entity's products and services. This way, these costs can be integrated into the prices of goods and services (</w:t>
      </w:r>
      <w:proofErr w:type="spellStart"/>
      <w:r>
        <w:rPr>
          <w:rFonts w:ascii="Times New Roman" w:eastAsia="Times New Roman" w:hAnsi="Times New Roman" w:cs="Times New Roman"/>
          <w:lang w:val="en-US"/>
        </w:rPr>
        <w:t>Jasinski</w:t>
      </w:r>
      <w:proofErr w:type="spellEnd"/>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2015).</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A possible TCA fra</w:t>
      </w:r>
      <w:r>
        <w:rPr>
          <w:rFonts w:ascii="Times New Roman" w:eastAsia="Times New Roman" w:hAnsi="Times New Roman" w:cs="Times New Roman"/>
          <w:lang w:val="en-US"/>
        </w:rPr>
        <w:t xml:space="preserve">mework has been described by </w:t>
      </w:r>
      <w:proofErr w:type="spellStart"/>
      <w:r>
        <w:rPr>
          <w:rFonts w:ascii="Times New Roman" w:eastAsia="Times New Roman" w:hAnsi="Times New Roman" w:cs="Times New Roman"/>
          <w:lang w:val="en-US"/>
        </w:rPr>
        <w:t>Gusc</w:t>
      </w:r>
      <w:proofErr w:type="spellEnd"/>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(2022), consisting of five steps: steps one to four are about describing a cost properly, step five is the assessment and decision making, based on the presented information, i.e. the cost (fig. 1)</w:t>
      </w:r>
    </w:p>
    <w:p w:rsidR="00427336" w:rsidRDefault="000120B4">
      <w:pPr>
        <w:jc w:val="center"/>
      </w:pPr>
      <w:r>
        <w:rPr>
          <w:noProof/>
        </w:rPr>
        <w:drawing>
          <wp:inline distT="0" distB="0" distL="0" distR="0">
            <wp:extent cx="4838700" cy="4583430"/>
            <wp:effectExtent l="0" t="0" r="0" b="0"/>
            <wp:docPr id="1" name="Kép 1" descr="A képen szöveg, képernyőkép, Betűtípus, Párhuzamos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ép 1" descr="A képen szöveg, képernyőkép, Betűtípus, Párhuzamos látható&#10;&#10;Előfordulhat, hogy az AI által létrehozott tartalom helytelen."/>
                    <pic:cNvPicPr>
                      <a:picLocks noChangeAspect="1" noChangeArrowheads="1"/>
                    </pic:cNvPicPr>
                  </pic:nvPicPr>
                  <pic:blipFill>
                    <a:blip r:embed="rId9"/>
                    <a:stretch>
                      <a:fillRect/>
                    </a:stretch>
                  </pic:blipFill>
                  <pic:spPr bwMode="auto">
                    <a:xfrm>
                      <a:off x="0" y="0"/>
                      <a:ext cx="4838700" cy="4583430"/>
                    </a:xfrm>
                    <a:prstGeom prst="rect">
                      <a:avLst/>
                    </a:prstGeom>
                    <a:noFill/>
                  </pic:spPr>
                </pic:pic>
              </a:graphicData>
            </a:graphic>
          </wp:inline>
        </w:drawing>
      </w:r>
    </w:p>
    <w:p w:rsidR="00427336" w:rsidRDefault="000120B4">
      <w:pPr>
        <w:pStyle w:val="Caption"/>
        <w:jc w:val="center"/>
        <w:rPr>
          <w:rFonts w:ascii="Times New Roman" w:hAnsi="Times New Roman" w:cs="Times New Roman"/>
          <w:color w:val="000000"/>
          <w:sz w:val="24"/>
          <w:szCs w:val="24"/>
        </w:rPr>
      </w:pPr>
      <w:r>
        <w:rPr>
          <w:rFonts w:ascii="Times New Roman" w:hAnsi="Times New Roman" w:cs="Times New Roman"/>
          <w:color w:val="000000"/>
          <w:sz w:val="24"/>
          <w:szCs w:val="24"/>
        </w:rPr>
        <w:t>own editing bas</w:t>
      </w:r>
      <w:r>
        <w:rPr>
          <w:rFonts w:ascii="Times New Roman" w:hAnsi="Times New Roman" w:cs="Times New Roman"/>
          <w:color w:val="000000"/>
          <w:sz w:val="24"/>
          <w:szCs w:val="24"/>
        </w:rPr>
        <w:t xml:space="preserve">ed on </w:t>
      </w:r>
      <w:proofErr w:type="spellStart"/>
      <w:r>
        <w:rPr>
          <w:rFonts w:ascii="Times New Roman" w:hAnsi="Times New Roman" w:cs="Times New Roman"/>
          <w:color w:val="000000"/>
          <w:sz w:val="24"/>
          <w:szCs w:val="24"/>
        </w:rPr>
        <w:t>Gusc</w:t>
      </w:r>
      <w:proofErr w:type="spellEnd"/>
      <w:r>
        <w:rPr>
          <w:rFonts w:ascii="Times New Roman" w:hAnsi="Times New Roman" w:cs="Times New Roman"/>
          <w:color w:val="000000"/>
          <w:sz w:val="24"/>
          <w:szCs w:val="24"/>
        </w:rPr>
        <w:t xml:space="preserve"> et al., 2022</w:t>
      </w:r>
    </w:p>
    <w:p w:rsidR="00427336" w:rsidRDefault="000120B4">
      <w:pPr>
        <w:pStyle w:val="Caption"/>
        <w:jc w:val="center"/>
        <w:rPr>
          <w:rFonts w:ascii="Times New Roman" w:hAnsi="Times New Roman" w:cs="Times New Roman"/>
          <w:sz w:val="24"/>
          <w:szCs w:val="24"/>
        </w:rPr>
      </w:pPr>
      <w:r>
        <w:rPr>
          <w:b/>
          <w:bCs/>
          <w:i w:val="0"/>
          <w:iCs w:val="0"/>
          <w:color w:val="000000"/>
          <w:sz w:val="24"/>
          <w:szCs w:val="24"/>
        </w:rPr>
        <w:t xml:space="preserve">Fig. </w:t>
      </w:r>
      <w:r>
        <w:rPr>
          <w:b/>
          <w:bCs/>
          <w:i w:val="0"/>
          <w:iCs w:val="0"/>
          <w:color w:val="000000"/>
          <w:sz w:val="24"/>
          <w:szCs w:val="24"/>
        </w:rPr>
        <w:fldChar w:fldCharType="begin"/>
      </w:r>
      <w:r>
        <w:rPr>
          <w:b/>
          <w:bCs/>
          <w:i w:val="0"/>
          <w:iCs w:val="0"/>
          <w:color w:val="000000"/>
          <w:sz w:val="24"/>
          <w:szCs w:val="24"/>
        </w:rPr>
        <w:instrText xml:space="preserve"> SEQ Figure \* ARABIC </w:instrText>
      </w:r>
      <w:r>
        <w:rPr>
          <w:b/>
          <w:bCs/>
          <w:i w:val="0"/>
          <w:iCs w:val="0"/>
          <w:color w:val="000000"/>
          <w:sz w:val="24"/>
          <w:szCs w:val="24"/>
        </w:rPr>
        <w:fldChar w:fldCharType="separate"/>
      </w:r>
      <w:r>
        <w:rPr>
          <w:b/>
          <w:bCs/>
          <w:i w:val="0"/>
          <w:iCs w:val="0"/>
          <w:color w:val="000000"/>
          <w:sz w:val="24"/>
          <w:szCs w:val="24"/>
        </w:rPr>
        <w:t>1</w:t>
      </w:r>
      <w:r>
        <w:rPr>
          <w:b/>
          <w:bCs/>
          <w:i w:val="0"/>
          <w:iCs w:val="0"/>
          <w:color w:val="000000"/>
          <w:sz w:val="24"/>
          <w:szCs w:val="24"/>
        </w:rPr>
        <w:fldChar w:fldCharType="end"/>
      </w:r>
      <w:r>
        <w:rPr>
          <w:b/>
          <w:bCs/>
          <w:i w:val="0"/>
          <w:iCs w:val="0"/>
          <w:color w:val="000000"/>
          <w:sz w:val="24"/>
          <w:szCs w:val="24"/>
        </w:rPr>
        <w:t xml:space="preserve"> - True Cost Accounting framework</w:t>
      </w:r>
    </w:p>
    <w:p w:rsidR="00427336" w:rsidRDefault="000120B4">
      <w:pPr>
        <w:spacing w:line="240" w:lineRule="auto"/>
        <w:ind w:left="720"/>
        <w:jc w:val="both"/>
        <w:rPr>
          <w:rFonts w:ascii="Times New Roman" w:hAnsi="Times New Roman" w:cs="Times New Roman"/>
          <w:sz w:val="28"/>
          <w:szCs w:val="28"/>
          <w:lang w:val="en-US"/>
        </w:rPr>
      </w:pPr>
      <w:bookmarkStart w:id="7" w:name="_Toc198505564"/>
      <w:r>
        <w:rPr>
          <w:rFonts w:ascii="Times New Roman" w:hAnsi="Times New Roman" w:cs="Times New Roman"/>
          <w:b/>
          <w:bCs/>
          <w:color w:val="000000"/>
          <w:sz w:val="28"/>
          <w:szCs w:val="28"/>
          <w:lang w:val="en-US"/>
        </w:rPr>
        <w:t>5 How to measure environmental costs?</w:t>
      </w:r>
      <w:bookmarkEnd w:id="7"/>
    </w:p>
    <w:p w:rsidR="00427336" w:rsidRDefault="000120B4">
      <w:pPr>
        <w:spacing w:line="276" w:lineRule="auto"/>
        <w:ind w:firstLine="720"/>
        <w:jc w:val="both"/>
      </w:pPr>
      <w:r>
        <w:rPr>
          <w:rFonts w:ascii="Times New Roman" w:eastAsia="Times New Roman" w:hAnsi="Times New Roman" w:cs="Times New Roman"/>
          <w:i/>
          <w:lang w:val="en-US"/>
        </w:rPr>
        <w:t>Measuring</w:t>
      </w:r>
      <w:r>
        <w:rPr>
          <w:rFonts w:ascii="Times New Roman" w:eastAsia="Times New Roman" w:hAnsi="Times New Roman" w:cs="Times New Roman"/>
          <w:lang w:val="en-US"/>
        </w:rPr>
        <w:t xml:space="preserve"> the environmental cost requires a thorough analysis of circumstances and systems in which the costs are embedded (Snoek</w:t>
      </w:r>
      <w:r>
        <w:rPr>
          <w:rFonts w:ascii="Times New Roman" w:eastAsia="Times New Roman" w:hAnsi="Times New Roman" w:cs="Times New Roman"/>
          <w:lang w:val="en-US"/>
        </w:rPr>
        <w:t xml:space="preserve"> et al., 2024). </w:t>
      </w:r>
      <w:r>
        <w:rPr>
          <w:rFonts w:ascii="Times New Roman" w:eastAsia="Times New Roman" w:hAnsi="Times New Roman" w:cs="Times New Roman"/>
          <w:color w:val="000000"/>
          <w:lang w:val="en-US"/>
        </w:rPr>
        <w:t>Such a framework is still in development and many different approaches compete (</w:t>
      </w:r>
      <w:proofErr w:type="spellStart"/>
      <w:r>
        <w:rPr>
          <w:rFonts w:ascii="Times New Roman" w:eastAsia="Times New Roman" w:hAnsi="Times New Roman" w:cs="Times New Roman"/>
          <w:color w:val="000000"/>
          <w:lang w:val="en-US"/>
        </w:rPr>
        <w:t>Erck</w:t>
      </w:r>
      <w:proofErr w:type="spellEnd"/>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et al.,</w:t>
      </w:r>
      <w:r>
        <w:rPr>
          <w:rFonts w:ascii="Times New Roman" w:eastAsia="Times New Roman" w:hAnsi="Times New Roman" w:cs="Times New Roman"/>
          <w:color w:val="000000"/>
          <w:lang w:val="en-US"/>
        </w:rPr>
        <w:t xml:space="preserve"> 2005 </w:t>
      </w:r>
      <w:proofErr w:type="spellStart"/>
      <w:r>
        <w:rPr>
          <w:rFonts w:ascii="Times New Roman" w:eastAsia="Times New Roman" w:hAnsi="Times New Roman" w:cs="Times New Roman"/>
          <w:color w:val="000000"/>
          <w:lang w:val="en-US"/>
        </w:rPr>
        <w:t>Kozuch</w:t>
      </w:r>
      <w:proofErr w:type="spellEnd"/>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et al.</w:t>
      </w:r>
      <w:r>
        <w:rPr>
          <w:rFonts w:ascii="Times New Roman" w:eastAsia="Times New Roman" w:hAnsi="Times New Roman" w:cs="Times New Roman"/>
          <w:color w:val="000000"/>
          <w:lang w:val="en-US"/>
        </w:rPr>
        <w:t xml:space="preserve"> 2024; </w:t>
      </w:r>
      <w:proofErr w:type="spellStart"/>
      <w:r>
        <w:rPr>
          <w:rFonts w:ascii="Times New Roman" w:eastAsia="Times New Roman" w:hAnsi="Times New Roman" w:cs="Times New Roman"/>
          <w:color w:val="000000"/>
          <w:lang w:val="en-US"/>
        </w:rPr>
        <w:t>Lindgreen</w:t>
      </w:r>
      <w:proofErr w:type="spellEnd"/>
      <w:r>
        <w:rPr>
          <w:rFonts w:ascii="Times New Roman" w:eastAsia="Times New Roman" w:hAnsi="Times New Roman" w:cs="Times New Roman"/>
          <w:color w:val="000000"/>
          <w:lang w:val="en-US"/>
        </w:rPr>
        <w:t xml:space="preserve"> &amp; Vermeulen, 2023; Mustafa et al. 2024). For instance, the Social Cost of Carbon model by Resources for the Future (</w:t>
      </w:r>
      <w:proofErr w:type="spellStart"/>
      <w:r>
        <w:rPr>
          <w:rFonts w:ascii="Times New Roman" w:eastAsia="Times New Roman" w:hAnsi="Times New Roman" w:cs="Times New Roman"/>
          <w:color w:val="000000"/>
          <w:lang w:val="en-US"/>
        </w:rPr>
        <w:t>Rennert</w:t>
      </w:r>
      <w:proofErr w:type="spellEnd"/>
      <w:r>
        <w:rPr>
          <w:rFonts w:ascii="Times New Roman" w:eastAsia="Times New Roman" w:hAnsi="Times New Roman" w:cs="Times New Roman"/>
          <w:color w:val="000000"/>
          <w:lang w:val="en-US"/>
        </w:rPr>
        <w:t xml:space="preserve"> &amp; </w:t>
      </w:r>
      <w:proofErr w:type="spellStart"/>
      <w:r>
        <w:rPr>
          <w:rFonts w:ascii="Times New Roman" w:eastAsia="Times New Roman" w:hAnsi="Times New Roman" w:cs="Times New Roman"/>
          <w:color w:val="000000"/>
          <w:lang w:val="en-US"/>
        </w:rPr>
        <w:t>Kingdon</w:t>
      </w:r>
      <w:proofErr w:type="spellEnd"/>
      <w:r>
        <w:rPr>
          <w:rFonts w:ascii="Times New Roman" w:eastAsia="Times New Roman" w:hAnsi="Times New Roman" w:cs="Times New Roman"/>
          <w:color w:val="000000"/>
          <w:lang w:val="en-US"/>
        </w:rPr>
        <w:t>,</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 xml:space="preserve">2019) estimates the cost of economic damages caused by releasing one additional ton of greenhouse gases </w:t>
      </w:r>
      <w:r>
        <w:rPr>
          <w:rFonts w:ascii="Times New Roman" w:eastAsia="Times New Roman" w:hAnsi="Times New Roman" w:cs="Times New Roman"/>
          <w:color w:val="000000"/>
          <w:lang w:val="en-US"/>
        </w:rPr>
        <w:t xml:space="preserve">into the atmosphere. It is calculated in four steps: (1) prediction of future emission; (2) examine the changes in the environment, e.g. the rising of sea levels or temperatures caused by the future </w:t>
      </w:r>
      <w:r>
        <w:rPr>
          <w:rFonts w:ascii="Times New Roman" w:eastAsia="Times New Roman" w:hAnsi="Times New Roman" w:cs="Times New Roman"/>
          <w:color w:val="000000"/>
          <w:lang w:val="en-US"/>
        </w:rPr>
        <w:lastRenderedPageBreak/>
        <w:t>emission; (3) evaluate the economic, agricultural, health</w:t>
      </w:r>
      <w:r>
        <w:rPr>
          <w:rFonts w:ascii="Times New Roman" w:eastAsia="Times New Roman" w:hAnsi="Times New Roman" w:cs="Times New Roman"/>
          <w:color w:val="000000"/>
          <w:lang w:val="en-US"/>
        </w:rPr>
        <w:t>, energy use, etc. aspects of the changes above; (4) calculate and add up the present-day value of these damages. This rather holistic model is incorporated in the resource planning and legislation of multiple states of the US and also used by Canadian and</w:t>
      </w:r>
      <w:r>
        <w:rPr>
          <w:rFonts w:ascii="Times New Roman" w:eastAsia="Times New Roman" w:hAnsi="Times New Roman" w:cs="Times New Roman"/>
          <w:color w:val="000000"/>
          <w:lang w:val="en-US"/>
        </w:rPr>
        <w:t xml:space="preserve"> Mexican governments (</w:t>
      </w:r>
      <w:proofErr w:type="spellStart"/>
      <w:r>
        <w:rPr>
          <w:rFonts w:ascii="Times New Roman" w:eastAsia="Times New Roman" w:hAnsi="Times New Roman" w:cs="Times New Roman"/>
          <w:color w:val="000000"/>
          <w:lang w:val="en-US"/>
        </w:rPr>
        <w:t>Rennert</w:t>
      </w:r>
      <w:proofErr w:type="spellEnd"/>
      <w:r>
        <w:rPr>
          <w:rFonts w:ascii="Times New Roman" w:eastAsia="Times New Roman" w:hAnsi="Times New Roman" w:cs="Times New Roman"/>
          <w:color w:val="000000"/>
          <w:lang w:val="en-US"/>
        </w:rPr>
        <w:t xml:space="preserve"> &amp; </w:t>
      </w:r>
      <w:proofErr w:type="spellStart"/>
      <w:r>
        <w:rPr>
          <w:rFonts w:ascii="Times New Roman" w:eastAsia="Times New Roman" w:hAnsi="Times New Roman" w:cs="Times New Roman"/>
          <w:color w:val="000000"/>
          <w:lang w:val="en-US"/>
        </w:rPr>
        <w:t>Kingdon</w:t>
      </w:r>
      <w:proofErr w:type="spellEnd"/>
      <w:r>
        <w:rPr>
          <w:rFonts w:ascii="Times New Roman" w:eastAsia="Times New Roman" w:hAnsi="Times New Roman" w:cs="Times New Roman"/>
          <w:color w:val="000000"/>
          <w:lang w:val="en-US"/>
        </w:rPr>
        <w:t>,</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2019).</w:t>
      </w:r>
    </w:p>
    <w:p w:rsidR="00427336" w:rsidRDefault="000120B4">
      <w:pPr>
        <w:spacing w:line="276" w:lineRule="auto"/>
        <w:ind w:firstLine="720"/>
        <w:jc w:val="both"/>
        <w:rPr>
          <w:lang w:val="en-US"/>
        </w:rPr>
      </w:pPr>
      <w:r>
        <w:rPr>
          <w:rFonts w:ascii="Times New Roman" w:eastAsia="Times New Roman" w:hAnsi="Times New Roman" w:cs="Times New Roman"/>
          <w:lang w:val="en-US"/>
        </w:rPr>
        <w:t xml:space="preserve">Wang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(2015) propose an environmental cost framework trough the example of the electric power industry, an industry subject of the Clean Development Mechanism under the Kyoto Protocol. Environmental cos</w:t>
      </w:r>
      <w:r>
        <w:rPr>
          <w:rFonts w:ascii="Times New Roman" w:eastAsia="Times New Roman" w:hAnsi="Times New Roman" w:cs="Times New Roman"/>
          <w:lang w:val="en-US"/>
        </w:rPr>
        <w:t xml:space="preserve">t is calculated both as resource consumption cost - the cost of used coal and water - and pollution control cost - CO2 emission (significant impact), SO2 and NOx emission (medium impact), wastewater and solid particles (minor impact). The impact volume is </w:t>
      </w:r>
      <w:r>
        <w:rPr>
          <w:rFonts w:ascii="Times New Roman" w:eastAsia="Times New Roman" w:hAnsi="Times New Roman" w:cs="Times New Roman"/>
          <w:lang w:val="en-US"/>
        </w:rPr>
        <w:t>defined by technological features, for example wastewater and particles have only minor impact as they sediment during the process. For resource consumption cost, the authors rely on the tax imposed on every ton of resource. The amount of imposed tax varie</w:t>
      </w:r>
      <w:r>
        <w:rPr>
          <w:rFonts w:ascii="Times New Roman" w:eastAsia="Times New Roman" w:hAnsi="Times New Roman" w:cs="Times New Roman"/>
          <w:lang w:val="en-US"/>
        </w:rPr>
        <w:t>s based on the pollution level, which is defined by locally implemented Air Pollution Index. For CO2, the article relies on local carbon tax imposed on every emitted ton of CO2. For other gases like SO2 and NOx, the article relies on local tax imposed on a</w:t>
      </w:r>
      <w:r>
        <w:rPr>
          <w:rFonts w:ascii="Times New Roman" w:eastAsia="Times New Roman" w:hAnsi="Times New Roman" w:cs="Times New Roman"/>
          <w:lang w:val="en-US"/>
        </w:rPr>
        <w:t xml:space="preserve"> relationship of all emission to other gases. In this case it is 0,95 kg SO2 and NOx for every 1 kg of total gaseous emission (Wang </w:t>
      </w:r>
      <w:r>
        <w:rPr>
          <w:rFonts w:ascii="Times New Roman" w:eastAsia="Times New Roman" w:hAnsi="Times New Roman" w:cs="Times New Roman"/>
          <w:i/>
          <w:iCs/>
          <w:lang w:val="en-US"/>
        </w:rPr>
        <w:t>et al.,</w:t>
      </w:r>
      <w:r>
        <w:rPr>
          <w:rFonts w:ascii="Times New Roman" w:eastAsia="Times New Roman" w:hAnsi="Times New Roman" w:cs="Times New Roman"/>
          <w:lang w:val="en-US"/>
        </w:rPr>
        <w:t xml:space="preserve"> 2015). </w:t>
      </w:r>
      <w:proofErr w:type="spellStart"/>
      <w:r>
        <w:rPr>
          <w:rFonts w:ascii="Times New Roman" w:eastAsia="Times New Roman" w:hAnsi="Times New Roman" w:cs="Times New Roman"/>
          <w:color w:val="000000"/>
          <w:lang w:val="en-US"/>
        </w:rPr>
        <w:t>Seo</w:t>
      </w:r>
      <w:proofErr w:type="spellEnd"/>
      <w:r>
        <w:rPr>
          <w:rFonts w:ascii="Times New Roman" w:eastAsia="Times New Roman" w:hAnsi="Times New Roman" w:cs="Times New Roman"/>
          <w:color w:val="000000"/>
          <w:lang w:val="en-US"/>
        </w:rPr>
        <w:t xml:space="preserve"> </w:t>
      </w:r>
      <w:r>
        <w:rPr>
          <w:rFonts w:ascii="Times New Roman" w:eastAsia="Times New Roman" w:hAnsi="Times New Roman" w:cs="Times New Roman"/>
          <w:i/>
          <w:iCs/>
          <w:color w:val="000000"/>
          <w:lang w:val="en-US"/>
        </w:rPr>
        <w:t>et al.</w:t>
      </w:r>
      <w:r>
        <w:rPr>
          <w:rFonts w:ascii="Times New Roman" w:eastAsia="Times New Roman" w:hAnsi="Times New Roman" w:cs="Times New Roman"/>
          <w:color w:val="000000"/>
          <w:lang w:val="en-US"/>
        </w:rPr>
        <w:t xml:space="preserve"> (2001) followed a similar approach. They focus on the rising consciousness of product </w:t>
      </w:r>
      <w:r>
        <w:rPr>
          <w:rFonts w:ascii="Times New Roman" w:eastAsia="Times New Roman" w:hAnsi="Times New Roman" w:cs="Times New Roman"/>
          <w:i/>
          <w:iCs/>
          <w:color w:val="000000"/>
          <w:lang w:val="en-US"/>
        </w:rPr>
        <w:t>recyclabilit</w:t>
      </w:r>
      <w:r>
        <w:rPr>
          <w:rFonts w:ascii="Times New Roman" w:eastAsia="Times New Roman" w:hAnsi="Times New Roman" w:cs="Times New Roman"/>
          <w:i/>
          <w:iCs/>
          <w:color w:val="000000"/>
          <w:lang w:val="en-US"/>
        </w:rPr>
        <w:t xml:space="preserve">y. </w:t>
      </w:r>
    </w:p>
    <w:p w:rsidR="00427336" w:rsidRDefault="000120B4">
      <w:pPr>
        <w:pStyle w:val="Caption"/>
        <w:spacing w:before="114" w:after="314"/>
        <w:jc w:val="center"/>
        <w:rPr>
          <w:b/>
          <w:bCs/>
          <w:i w:val="0"/>
          <w:iCs w:val="0"/>
          <w:lang w:val="en-US"/>
        </w:rPr>
      </w:pPr>
      <w:r>
        <w:rPr>
          <w:rFonts w:ascii="Times New Roman" w:hAnsi="Times New Roman" w:cs="Times New Roman"/>
          <w:b/>
          <w:bCs/>
          <w:i w:val="0"/>
          <w:iCs w:val="0"/>
          <w:sz w:val="24"/>
          <w:szCs w:val="24"/>
          <w:lang w:val="en-US"/>
        </w:rPr>
        <w:t xml:space="preserve">Table </w:t>
      </w:r>
      <w:r>
        <w:rPr>
          <w:rFonts w:ascii="Times New Roman" w:hAnsi="Times New Roman" w:cs="Times New Roman"/>
          <w:b/>
          <w:bCs/>
          <w:i w:val="0"/>
          <w:iCs w:val="0"/>
          <w:sz w:val="24"/>
          <w:szCs w:val="24"/>
          <w:lang w:val="en-US"/>
        </w:rPr>
        <w:fldChar w:fldCharType="begin"/>
      </w:r>
      <w:r>
        <w:rPr>
          <w:rFonts w:ascii="Times New Roman" w:hAnsi="Times New Roman" w:cs="Times New Roman"/>
          <w:b/>
          <w:bCs/>
          <w:i w:val="0"/>
          <w:iCs w:val="0"/>
          <w:sz w:val="24"/>
          <w:szCs w:val="24"/>
          <w:lang w:val="en-US"/>
        </w:rPr>
        <w:instrText xml:space="preserve"> SEQ Table \* ARABIC </w:instrText>
      </w:r>
      <w:r>
        <w:rPr>
          <w:rFonts w:ascii="Times New Roman" w:hAnsi="Times New Roman" w:cs="Times New Roman"/>
          <w:b/>
          <w:bCs/>
          <w:i w:val="0"/>
          <w:iCs w:val="0"/>
          <w:sz w:val="24"/>
          <w:szCs w:val="24"/>
          <w:lang w:val="en-US"/>
        </w:rPr>
        <w:fldChar w:fldCharType="separate"/>
      </w:r>
      <w:r>
        <w:rPr>
          <w:rFonts w:ascii="Times New Roman" w:hAnsi="Times New Roman" w:cs="Times New Roman"/>
          <w:b/>
          <w:bCs/>
          <w:i w:val="0"/>
          <w:iCs w:val="0"/>
          <w:sz w:val="24"/>
          <w:szCs w:val="24"/>
          <w:lang w:val="en-US"/>
        </w:rPr>
        <w:t>3</w:t>
      </w:r>
      <w:r>
        <w:rPr>
          <w:rFonts w:ascii="Times New Roman" w:hAnsi="Times New Roman" w:cs="Times New Roman"/>
          <w:b/>
          <w:bCs/>
          <w:i w:val="0"/>
          <w:iCs w:val="0"/>
          <w:sz w:val="24"/>
          <w:szCs w:val="24"/>
          <w:lang w:val="en-US"/>
        </w:rPr>
        <w:fldChar w:fldCharType="end"/>
      </w:r>
      <w:r>
        <w:rPr>
          <w:rFonts w:ascii="Times New Roman" w:hAnsi="Times New Roman" w:cs="Times New Roman"/>
          <w:b/>
          <w:bCs/>
          <w:i w:val="0"/>
          <w:iCs w:val="0"/>
          <w:sz w:val="24"/>
          <w:szCs w:val="24"/>
          <w:lang w:val="en-US"/>
        </w:rPr>
        <w:t xml:space="preserve"> - Environmental cost measurement (own editing)</w:t>
      </w:r>
    </w:p>
    <w:tbl>
      <w:tblPr>
        <w:tblStyle w:val="GridTable5Dark-Accent6"/>
        <w:tblW w:w="9016" w:type="dxa"/>
        <w:shd w:val="clear" w:color="auto" w:fill="E2EFD9"/>
        <w:tblLayout w:type="fixed"/>
        <w:tblLook w:val="04A0" w:firstRow="1" w:lastRow="0" w:firstColumn="1" w:lastColumn="0" w:noHBand="0" w:noVBand="1"/>
      </w:tblPr>
      <w:tblGrid>
        <w:gridCol w:w="1979"/>
        <w:gridCol w:w="3545"/>
        <w:gridCol w:w="3492"/>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Pr>
          <w:p w:rsidR="00427336" w:rsidRDefault="000120B4">
            <w:pPr>
              <w:spacing w:after="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Source</w:t>
            </w:r>
          </w:p>
        </w:tc>
        <w:tc>
          <w:tcPr>
            <w:tcW w:w="3545" w:type="dxa"/>
            <w:tcBorders>
              <w:bottom w:val="nil"/>
            </w:tcBorders>
          </w:tcPr>
          <w:p w:rsidR="00427336" w:rsidRDefault="000120B4">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Description of Environmental Cost Items</w:t>
            </w:r>
          </w:p>
        </w:tc>
        <w:tc>
          <w:tcPr>
            <w:tcW w:w="3492" w:type="dxa"/>
            <w:tcBorders>
              <w:bottom w:val="nil"/>
            </w:tcBorders>
          </w:tcPr>
          <w:p w:rsidR="00427336" w:rsidRDefault="000120B4">
            <w:pPr>
              <w:spacing w:after="0" w:line="240" w:lineRule="auto"/>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Basis for Calculation</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9" w:type="dxa"/>
            <w:tcBorders>
              <w:right w:val="nil"/>
            </w:tcBorders>
          </w:tcPr>
          <w:p w:rsidR="00427336" w:rsidRDefault="000120B4">
            <w:pPr>
              <w:spacing w:before="120" w:after="120" w:line="240" w:lineRule="auto"/>
              <w:contextualSpacing/>
              <w:rPr>
                <w:rFonts w:ascii="Times New Roman" w:hAnsi="Times New Roman" w:cs="Times New Roman"/>
                <w:lang w:val="en-US"/>
              </w:rPr>
            </w:pPr>
            <w:r>
              <w:rPr>
                <w:rFonts w:ascii="Times New Roman" w:eastAsia="Times New Roman" w:hAnsi="Times New Roman" w:cs="Times New Roman"/>
                <w:color w:val="FFFFFF" w:themeColor="background1"/>
                <w:sz w:val="22"/>
                <w:szCs w:val="22"/>
                <w:lang w:val="en-US"/>
              </w:rPr>
              <w:t>Wang et al. (2015)</w:t>
            </w:r>
          </w:p>
        </w:tc>
        <w:tc>
          <w:tcPr>
            <w:tcW w:w="3545" w:type="dxa"/>
          </w:tcPr>
          <w:p w:rsidR="00427336" w:rsidRDefault="000120B4">
            <w:pPr>
              <w:spacing w:before="120" w:after="12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Tax on the use of raw materials.</w:t>
            </w:r>
          </w:p>
          <w:p w:rsidR="00427336" w:rsidRDefault="000120B4">
            <w:pPr>
              <w:spacing w:before="120" w:after="12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Emitted gaseous pollutant.</w:t>
            </w:r>
          </w:p>
        </w:tc>
        <w:tc>
          <w:tcPr>
            <w:tcW w:w="3492" w:type="dxa"/>
          </w:tcPr>
          <w:p w:rsidR="00427336" w:rsidRDefault="000120B4">
            <w:pPr>
              <w:spacing w:before="120" w:after="120" w:line="240" w:lineRule="auto"/>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 xml:space="preserve">Tax or another </w:t>
            </w:r>
            <w:r>
              <w:rPr>
                <w:rFonts w:ascii="Times New Roman" w:eastAsia="Times New Roman" w:hAnsi="Times New Roman" w:cs="Times New Roman"/>
                <w:sz w:val="22"/>
                <w:szCs w:val="22"/>
                <w:lang w:val="en-US"/>
              </w:rPr>
              <w:t>regulatory fee.</w:t>
            </w:r>
          </w:p>
        </w:tc>
      </w:tr>
      <w:tr w:rsidR="00427336" w:rsidTr="00427336">
        <w:tc>
          <w:tcPr>
            <w:cnfStyle w:val="001000000000" w:firstRow="0" w:lastRow="0" w:firstColumn="1" w:lastColumn="0" w:oddVBand="0" w:evenVBand="0" w:oddHBand="0" w:evenHBand="0" w:firstRowFirstColumn="0" w:firstRowLastColumn="0" w:lastRowFirstColumn="0" w:lastRowLastColumn="0"/>
            <w:tcW w:w="1979" w:type="dxa"/>
            <w:tcBorders>
              <w:right w:val="nil"/>
            </w:tcBorders>
          </w:tcPr>
          <w:p w:rsidR="00427336" w:rsidRDefault="000120B4">
            <w:pPr>
              <w:spacing w:before="120" w:after="120" w:line="240" w:lineRule="auto"/>
              <w:contextualSpacing/>
              <w:rPr>
                <w:rFonts w:ascii="Times New Roman" w:hAnsi="Times New Roman" w:cs="Times New Roman"/>
                <w:lang w:val="en-US"/>
              </w:rPr>
            </w:pPr>
            <w:proofErr w:type="spellStart"/>
            <w:r>
              <w:rPr>
                <w:rFonts w:ascii="Times New Roman" w:eastAsia="Times New Roman" w:hAnsi="Times New Roman" w:cs="Times New Roman"/>
                <w:color w:val="FFFFFF" w:themeColor="background1"/>
                <w:sz w:val="22"/>
                <w:szCs w:val="22"/>
                <w:lang w:val="en-US"/>
              </w:rPr>
              <w:t>Seo</w:t>
            </w:r>
            <w:proofErr w:type="spellEnd"/>
            <w:r>
              <w:rPr>
                <w:rFonts w:ascii="Times New Roman" w:eastAsia="Times New Roman" w:hAnsi="Times New Roman" w:cs="Times New Roman"/>
                <w:color w:val="FFFFFF" w:themeColor="background1"/>
                <w:sz w:val="22"/>
                <w:szCs w:val="22"/>
                <w:lang w:val="en-US"/>
              </w:rPr>
              <w:t xml:space="preserve"> et al. (2001)</w:t>
            </w:r>
          </w:p>
        </w:tc>
        <w:tc>
          <w:tcPr>
            <w:tcW w:w="3545" w:type="dxa"/>
          </w:tcPr>
          <w:p w:rsidR="00427336" w:rsidRDefault="000120B4">
            <w:pPr>
              <w:spacing w:before="120" w:after="12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Use of raw materials, energy, water and chemicals.</w:t>
            </w:r>
            <w:r>
              <w:rPr>
                <w:rFonts w:ascii="Times New Roman" w:hAnsi="Times New Roman" w:cs="Times New Roman"/>
                <w:lang w:val="en-US"/>
              </w:rPr>
              <w:t xml:space="preserve"> </w:t>
            </w:r>
            <w:r>
              <w:rPr>
                <w:rFonts w:ascii="Times New Roman" w:eastAsia="Times New Roman" w:hAnsi="Times New Roman" w:cs="Times New Roman"/>
                <w:sz w:val="22"/>
                <w:szCs w:val="22"/>
                <w:lang w:val="en-US"/>
              </w:rPr>
              <w:t>Sampling, testing and reporting waste levels.</w:t>
            </w:r>
          </w:p>
          <w:p w:rsidR="00427336" w:rsidRDefault="000120B4">
            <w:pPr>
              <w:spacing w:before="120" w:after="12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Emitted wastewater treatment, filtration, sludge handling and transportation.</w:t>
            </w:r>
          </w:p>
          <w:p w:rsidR="00427336" w:rsidRDefault="000120B4">
            <w:pPr>
              <w:spacing w:before="120" w:after="12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Possible future fines.</w:t>
            </w:r>
          </w:p>
        </w:tc>
        <w:tc>
          <w:tcPr>
            <w:tcW w:w="3492" w:type="dxa"/>
          </w:tcPr>
          <w:p w:rsidR="00427336" w:rsidRDefault="000120B4">
            <w:pPr>
              <w:spacing w:before="120" w:after="12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 xml:space="preserve">Historical data, bills </w:t>
            </w:r>
            <w:r>
              <w:rPr>
                <w:rFonts w:ascii="Times New Roman" w:eastAsia="Times New Roman" w:hAnsi="Times New Roman" w:cs="Times New Roman"/>
                <w:sz w:val="22"/>
                <w:szCs w:val="22"/>
                <w:lang w:val="en-US"/>
              </w:rPr>
              <w:t>and invoices for purchasing materials (water, chemicals), and services (</w:t>
            </w:r>
            <w:proofErr w:type="spellStart"/>
            <w:r>
              <w:rPr>
                <w:rFonts w:ascii="Times New Roman" w:eastAsia="Times New Roman" w:hAnsi="Times New Roman" w:cs="Times New Roman"/>
                <w:sz w:val="22"/>
                <w:szCs w:val="22"/>
                <w:lang w:val="en-US"/>
              </w:rPr>
              <w:t>labour</w:t>
            </w:r>
            <w:proofErr w:type="spellEnd"/>
            <w:r>
              <w:rPr>
                <w:rFonts w:ascii="Times New Roman" w:eastAsia="Times New Roman" w:hAnsi="Times New Roman" w:cs="Times New Roman"/>
                <w:sz w:val="22"/>
                <w:szCs w:val="22"/>
                <w:lang w:val="en-US"/>
              </w:rPr>
              <w:t xml:space="preserve"> hour of handling, management cost of testing and reporting, delivery costs).</w:t>
            </w:r>
          </w:p>
          <w:p w:rsidR="00427336" w:rsidRDefault="000120B4">
            <w:pPr>
              <w:keepNext/>
              <w:spacing w:before="120" w:after="120" w:line="240" w:lineRule="auto"/>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eastAsia="Times New Roman" w:hAnsi="Times New Roman" w:cs="Times New Roman"/>
                <w:sz w:val="22"/>
                <w:szCs w:val="22"/>
                <w:lang w:val="en-US"/>
              </w:rPr>
              <w:t>Tax or other regulatory fee for fines.</w:t>
            </w:r>
          </w:p>
        </w:tc>
      </w:tr>
    </w:tbl>
    <w:p w:rsidR="00427336" w:rsidRDefault="00427336">
      <w:pPr>
        <w:spacing w:line="240" w:lineRule="auto"/>
        <w:ind w:firstLine="432"/>
        <w:jc w:val="both"/>
        <w:rPr>
          <w:rFonts w:ascii="Times New Roman" w:eastAsia="Times New Roman" w:hAnsi="Times New Roman" w:cs="Times New Roman"/>
          <w:color w:val="000000"/>
          <w:lang w:val="en-US"/>
        </w:rPr>
      </w:pPr>
    </w:p>
    <w:p w:rsidR="00427336" w:rsidRDefault="000120B4">
      <w:pPr>
        <w:spacing w:line="276" w:lineRule="auto"/>
        <w:ind w:firstLine="432"/>
        <w:jc w:val="both"/>
      </w:pPr>
      <w:r>
        <w:rPr>
          <w:rFonts w:ascii="Times New Roman" w:eastAsia="Times New Roman" w:hAnsi="Times New Roman" w:cs="Times New Roman"/>
          <w:color w:val="000000"/>
          <w:lang w:val="en-US"/>
        </w:rPr>
        <w:t xml:space="preserve">Authors identify environmental cost as </w:t>
      </w:r>
      <w:r>
        <w:rPr>
          <w:rFonts w:ascii="Times New Roman" w:eastAsia="Times New Roman" w:hAnsi="Times New Roman" w:cs="Times New Roman"/>
          <w:i/>
          <w:iCs/>
          <w:color w:val="000000"/>
          <w:lang w:val="en-US"/>
        </w:rPr>
        <w:t>fees</w:t>
      </w:r>
      <w:r>
        <w:rPr>
          <w:rFonts w:ascii="Times New Roman" w:eastAsia="Times New Roman" w:hAnsi="Times New Roman" w:cs="Times New Roman"/>
          <w:color w:val="000000"/>
          <w:lang w:val="en-US"/>
        </w:rPr>
        <w:t xml:space="preserve"> or </w:t>
      </w:r>
      <w:r>
        <w:rPr>
          <w:rFonts w:ascii="Times New Roman" w:eastAsia="Times New Roman" w:hAnsi="Times New Roman" w:cs="Times New Roman"/>
          <w:i/>
          <w:iCs/>
          <w:color w:val="000000"/>
          <w:lang w:val="en-US"/>
        </w:rPr>
        <w:t>fines</w:t>
      </w:r>
      <w:r>
        <w:rPr>
          <w:rFonts w:ascii="Times New Roman" w:eastAsia="Times New Roman" w:hAnsi="Times New Roman" w:cs="Times New Roman"/>
          <w:color w:val="000000"/>
          <w:lang w:val="en-US"/>
        </w:rPr>
        <w:t xml:space="preserve"> which </w:t>
      </w:r>
      <w:r>
        <w:rPr>
          <w:rFonts w:ascii="Times New Roman" w:eastAsia="Times New Roman" w:hAnsi="Times New Roman" w:cs="Times New Roman"/>
          <w:color w:val="000000"/>
          <w:lang w:val="en-US"/>
        </w:rPr>
        <w:t>must be paid for creating or mitigating pollution, or the total cost of projects aimed to install and maintain pollution treatment equipment or other measures.</w:t>
      </w:r>
    </w:p>
    <w:p w:rsidR="00427336" w:rsidRDefault="000120B4">
      <w:pPr>
        <w:spacing w:line="276" w:lineRule="auto"/>
        <w:jc w:val="both"/>
      </w:pPr>
      <w:r>
        <w:rPr>
          <w:rFonts w:ascii="Times New Roman" w:eastAsia="Times New Roman" w:hAnsi="Times New Roman" w:cs="Times New Roman"/>
          <w:b/>
          <w:bCs/>
          <w:color w:val="000000"/>
          <w:lang w:val="en-US"/>
        </w:rPr>
        <w:t>5.1 In Practice: 5 aspects</w:t>
      </w:r>
    </w:p>
    <w:p w:rsidR="00427336" w:rsidRDefault="000120B4">
      <w:pPr>
        <w:spacing w:line="276" w:lineRule="auto"/>
        <w:jc w:val="both"/>
      </w:pPr>
      <w:r>
        <w:rPr>
          <w:rFonts w:ascii="Times New Roman" w:eastAsia="Times New Roman" w:hAnsi="Times New Roman" w:cs="Times New Roman"/>
          <w:color w:val="000000"/>
          <w:lang w:val="en-US"/>
        </w:rPr>
        <w:t>In practice, when measuring environmental impacts, we observe the fol</w:t>
      </w:r>
      <w:r>
        <w:rPr>
          <w:rFonts w:ascii="Times New Roman" w:eastAsia="Times New Roman" w:hAnsi="Times New Roman" w:cs="Times New Roman"/>
          <w:color w:val="000000"/>
          <w:lang w:val="en-US"/>
        </w:rPr>
        <w:t>lowing 5 aspects</w:t>
      </w:r>
      <w:r>
        <w:rPr>
          <w:rFonts w:ascii="Times New Roman" w:eastAsia="Times New Roman" w:hAnsi="Times New Roman" w:cs="Times New Roman"/>
          <w:i/>
          <w:iCs/>
          <w:color w:val="000000"/>
          <w:lang w:val="en-US"/>
        </w:rPr>
        <w:t>:</w:t>
      </w:r>
      <w:r>
        <w:rPr>
          <w:rFonts w:ascii="Times New Roman" w:eastAsia="Times New Roman" w:hAnsi="Times New Roman" w:cs="Times New Roman"/>
          <w:color w:val="000000"/>
          <w:lang w:val="en-US"/>
        </w:rPr>
        <w:t xml:space="preserve"> (1)</w:t>
      </w:r>
      <w:r>
        <w:rPr>
          <w:rFonts w:ascii="Times New Roman" w:eastAsia="Times New Roman" w:hAnsi="Times New Roman" w:cs="Times New Roman"/>
          <w:i/>
          <w:iCs/>
          <w:color w:val="000000"/>
          <w:lang w:val="en-US"/>
        </w:rPr>
        <w:t xml:space="preserve"> Residual waste accounting: </w:t>
      </w:r>
      <w:r>
        <w:rPr>
          <w:rFonts w:ascii="Times New Roman" w:eastAsia="Times New Roman" w:hAnsi="Times New Roman" w:cs="Times New Roman"/>
          <w:color w:val="000000"/>
          <w:lang w:val="en-US"/>
        </w:rPr>
        <w:t>cost of disposal, material purchase and production costs; accounting is considered at company level; (2) A</w:t>
      </w:r>
      <w:r>
        <w:rPr>
          <w:rFonts w:ascii="Times New Roman" w:eastAsia="Times New Roman" w:hAnsi="Times New Roman" w:cs="Times New Roman"/>
          <w:i/>
          <w:iCs/>
          <w:color w:val="000000"/>
          <w:lang w:val="en-US"/>
        </w:rPr>
        <w:t>BC</w:t>
      </w:r>
      <w:r>
        <w:rPr>
          <w:rFonts w:ascii="Times New Roman" w:eastAsia="Times New Roman" w:hAnsi="Times New Roman" w:cs="Times New Roman"/>
          <w:color w:val="000000"/>
          <w:lang w:val="en-US"/>
        </w:rPr>
        <w:t xml:space="preserve"> </w:t>
      </w:r>
      <w:proofErr w:type="spellStart"/>
      <w:r>
        <w:rPr>
          <w:rFonts w:ascii="Times New Roman" w:eastAsia="Times New Roman" w:hAnsi="Times New Roman" w:cs="Times New Roman"/>
          <w:color w:val="000000"/>
          <w:lang w:val="en-US"/>
        </w:rPr>
        <w:t>summarises</w:t>
      </w:r>
      <w:proofErr w:type="spellEnd"/>
      <w:r>
        <w:rPr>
          <w:rFonts w:ascii="Times New Roman" w:eastAsia="Times New Roman" w:hAnsi="Times New Roman" w:cs="Times New Roman"/>
          <w:color w:val="000000"/>
          <w:lang w:val="en-US"/>
        </w:rPr>
        <w:t xml:space="preserve"> the following costs: cost of pollution incorporated in overhead costs; material flows a</w:t>
      </w:r>
      <w:r>
        <w:rPr>
          <w:rFonts w:ascii="Times New Roman" w:eastAsia="Times New Roman" w:hAnsi="Times New Roman" w:cs="Times New Roman"/>
          <w:color w:val="000000"/>
          <w:lang w:val="en-US"/>
        </w:rPr>
        <w:t xml:space="preserve">re traced, and their cost is shared among the polluting cost </w:t>
      </w:r>
      <w:proofErr w:type="spellStart"/>
      <w:r>
        <w:rPr>
          <w:rFonts w:ascii="Times New Roman" w:eastAsia="Times New Roman" w:hAnsi="Times New Roman" w:cs="Times New Roman"/>
          <w:color w:val="000000"/>
          <w:lang w:val="en-US"/>
        </w:rPr>
        <w:t>centres</w:t>
      </w:r>
      <w:proofErr w:type="spellEnd"/>
      <w:r>
        <w:rPr>
          <w:rFonts w:ascii="Times New Roman" w:eastAsia="Times New Roman" w:hAnsi="Times New Roman" w:cs="Times New Roman"/>
          <w:color w:val="000000"/>
          <w:lang w:val="en-US"/>
        </w:rPr>
        <w:t xml:space="preserve">; (3) </w:t>
      </w:r>
      <w:r>
        <w:rPr>
          <w:rFonts w:ascii="Times New Roman" w:eastAsia="Times New Roman" w:hAnsi="Times New Roman" w:cs="Times New Roman"/>
          <w:i/>
          <w:iCs/>
          <w:color w:val="000000"/>
          <w:lang w:val="en-US"/>
        </w:rPr>
        <w:t>Flow cost accounting</w:t>
      </w:r>
      <w:r>
        <w:rPr>
          <w:rFonts w:ascii="Times New Roman" w:eastAsia="Times New Roman" w:hAnsi="Times New Roman" w:cs="Times New Roman"/>
          <w:color w:val="000000"/>
          <w:lang w:val="en-US"/>
        </w:rPr>
        <w:t xml:space="preserve"> not only detects all costs related to environmental protection and wasting but also tracks the ratio of generated pollution from cost </w:t>
      </w:r>
      <w:proofErr w:type="spellStart"/>
      <w:r>
        <w:rPr>
          <w:rFonts w:ascii="Times New Roman" w:eastAsia="Times New Roman" w:hAnsi="Times New Roman" w:cs="Times New Roman"/>
          <w:color w:val="000000"/>
          <w:lang w:val="en-US"/>
        </w:rPr>
        <w:t>centre</w:t>
      </w:r>
      <w:proofErr w:type="spellEnd"/>
      <w:r>
        <w:rPr>
          <w:rFonts w:ascii="Times New Roman" w:eastAsia="Times New Roman" w:hAnsi="Times New Roman" w:cs="Times New Roman"/>
          <w:color w:val="000000"/>
          <w:lang w:val="en-US"/>
        </w:rPr>
        <w:t xml:space="preserve">-by-cost </w:t>
      </w:r>
      <w:proofErr w:type="spellStart"/>
      <w:r>
        <w:rPr>
          <w:rFonts w:ascii="Times New Roman" w:eastAsia="Times New Roman" w:hAnsi="Times New Roman" w:cs="Times New Roman"/>
          <w:color w:val="000000"/>
          <w:lang w:val="en-US"/>
        </w:rPr>
        <w:t>centre</w:t>
      </w:r>
      <w:proofErr w:type="spellEnd"/>
      <w:r>
        <w:rPr>
          <w:rFonts w:ascii="Times New Roman" w:eastAsia="Times New Roman" w:hAnsi="Times New Roman" w:cs="Times New Roman"/>
          <w:color w:val="000000"/>
          <w:lang w:val="en-US"/>
        </w:rPr>
        <w:t xml:space="preserve"> all along the production chain and also combines it with production </w:t>
      </w:r>
      <w:r>
        <w:rPr>
          <w:rFonts w:ascii="Times New Roman" w:eastAsia="Times New Roman" w:hAnsi="Times New Roman" w:cs="Times New Roman"/>
          <w:color w:val="000000"/>
          <w:lang w:val="en-US"/>
        </w:rPr>
        <w:lastRenderedPageBreak/>
        <w:t>costs. The result is a complete</w:t>
      </w:r>
      <w:r>
        <w:rPr>
          <w:rFonts w:ascii="Times New Roman" w:eastAsia="Times New Roman" w:hAnsi="Times New Roman" w:cs="Times New Roman"/>
          <w:color w:val="000000"/>
          <w:lang w:val="en-US"/>
        </w:rPr>
        <w:t xml:space="preserve"> list of cost </w:t>
      </w:r>
      <w:proofErr w:type="spellStart"/>
      <w:r>
        <w:rPr>
          <w:rFonts w:ascii="Times New Roman" w:eastAsia="Times New Roman" w:hAnsi="Times New Roman" w:cs="Times New Roman"/>
          <w:color w:val="000000"/>
          <w:lang w:val="en-US"/>
        </w:rPr>
        <w:t>centres</w:t>
      </w:r>
      <w:proofErr w:type="spellEnd"/>
      <w:r>
        <w:rPr>
          <w:rFonts w:ascii="Times New Roman" w:eastAsia="Times New Roman" w:hAnsi="Times New Roman" w:cs="Times New Roman"/>
          <w:color w:val="000000"/>
          <w:lang w:val="en-US"/>
        </w:rPr>
        <w:t xml:space="preserve"> by share of pollution and a better calculation of the real production value; account is considered at process level; (4)</w:t>
      </w:r>
      <w:r>
        <w:rPr>
          <w:rFonts w:ascii="Times New Roman" w:eastAsia="Times New Roman" w:hAnsi="Times New Roman" w:cs="Times New Roman"/>
          <w:i/>
          <w:iCs/>
          <w:color w:val="000000"/>
          <w:lang w:val="en-US"/>
        </w:rPr>
        <w:t xml:space="preserve"> </w:t>
      </w:r>
      <w:r>
        <w:rPr>
          <w:rFonts w:ascii="Times New Roman" w:eastAsia="Times New Roman" w:hAnsi="Times New Roman" w:cs="Times New Roman"/>
          <w:color w:val="000000"/>
          <w:lang w:val="en-US"/>
        </w:rPr>
        <w:t xml:space="preserve">Material flows could be broken down into </w:t>
      </w:r>
      <w:r>
        <w:rPr>
          <w:rFonts w:ascii="Times New Roman" w:eastAsia="Times New Roman" w:hAnsi="Times New Roman" w:cs="Times New Roman"/>
          <w:i/>
          <w:iCs/>
          <w:color w:val="000000"/>
          <w:lang w:val="en-US"/>
        </w:rPr>
        <w:t>input/output analysis</w:t>
      </w:r>
      <w:r>
        <w:rPr>
          <w:rFonts w:ascii="Times New Roman" w:eastAsia="Times New Roman" w:hAnsi="Times New Roman" w:cs="Times New Roman"/>
          <w:color w:val="000000"/>
          <w:lang w:val="en-US"/>
        </w:rPr>
        <w:t xml:space="preserve"> on a single product type; (5)</w:t>
      </w:r>
      <w:r>
        <w:rPr>
          <w:rFonts w:ascii="Times New Roman" w:eastAsia="Times New Roman" w:hAnsi="Times New Roman" w:cs="Times New Roman"/>
          <w:i/>
          <w:iCs/>
          <w:color w:val="000000"/>
          <w:lang w:val="en-US"/>
        </w:rPr>
        <w:t xml:space="preserve"> Life cycle </w:t>
      </w:r>
      <w:proofErr w:type="gramStart"/>
      <w:r>
        <w:rPr>
          <w:rFonts w:ascii="Times New Roman" w:eastAsia="Times New Roman" w:hAnsi="Times New Roman" w:cs="Times New Roman"/>
          <w:i/>
          <w:iCs/>
          <w:color w:val="000000"/>
          <w:lang w:val="en-US"/>
        </w:rPr>
        <w:t>assessmen</w:t>
      </w:r>
      <w:r>
        <w:rPr>
          <w:rFonts w:ascii="Times New Roman" w:eastAsia="Times New Roman" w:hAnsi="Times New Roman" w:cs="Times New Roman"/>
          <w:i/>
          <w:iCs/>
          <w:color w:val="000000"/>
          <w:lang w:val="en-US"/>
        </w:rPr>
        <w:t xml:space="preserve">t </w:t>
      </w:r>
      <w:r>
        <w:rPr>
          <w:rFonts w:ascii="Times New Roman" w:eastAsia="Times New Roman" w:hAnsi="Times New Roman" w:cs="Times New Roman"/>
          <w:color w:val="000000"/>
          <w:lang w:val="en-US"/>
        </w:rPr>
        <w:t xml:space="preserve"> creates</w:t>
      </w:r>
      <w:proofErr w:type="gramEnd"/>
      <w:r>
        <w:rPr>
          <w:rFonts w:ascii="Times New Roman" w:eastAsia="Times New Roman" w:hAnsi="Times New Roman" w:cs="Times New Roman"/>
          <w:color w:val="000000"/>
          <w:lang w:val="en-US"/>
        </w:rPr>
        <w:t xml:space="preserve"> new accounting methods for the whole life cycle of the product, and is not defined by the company but goes beyond it. The product price is reflecting the costs emerging before and during production. However, adding costs incurring afterwards of </w:t>
      </w:r>
      <w:r>
        <w:rPr>
          <w:rFonts w:ascii="Times New Roman" w:eastAsia="Times New Roman" w:hAnsi="Times New Roman" w:cs="Times New Roman"/>
          <w:color w:val="000000"/>
          <w:lang w:val="en-US"/>
        </w:rPr>
        <w:t>the time of sale proved to be problematic as after this point only low-quality data is available. This led to a drop of interest, which might be turned around as product stewardship and product-service systems are introduced recently, and this is placing t</w:t>
      </w:r>
      <w:r>
        <w:rPr>
          <w:rFonts w:ascii="Times New Roman" w:eastAsia="Times New Roman" w:hAnsi="Times New Roman" w:cs="Times New Roman"/>
          <w:color w:val="000000"/>
          <w:lang w:val="en-US"/>
        </w:rPr>
        <w:t>he ownership of the product into the hands of the producing company for the whole lifecycle with better quality data. (United Nations Division for Sustainable Development, 2001).</w:t>
      </w:r>
    </w:p>
    <w:p w:rsidR="00427336" w:rsidRDefault="00427336">
      <w:pPr>
        <w:spacing w:line="276" w:lineRule="auto"/>
        <w:jc w:val="both"/>
        <w:rPr>
          <w:rFonts w:ascii="Times New Roman" w:eastAsia="Times New Roman" w:hAnsi="Times New Roman" w:cs="Times New Roman"/>
          <w:b/>
          <w:bCs/>
          <w:color w:val="000000"/>
          <w:lang w:val="en-US"/>
        </w:rPr>
      </w:pPr>
    </w:p>
    <w:p w:rsidR="00427336" w:rsidRDefault="000120B4">
      <w:pPr>
        <w:spacing w:line="276" w:lineRule="auto"/>
        <w:jc w:val="both"/>
        <w:rPr>
          <w:rFonts w:ascii="Times New Roman" w:eastAsia="Times New Roman" w:hAnsi="Times New Roman" w:cs="Times New Roman"/>
          <w:b/>
          <w:bCs/>
          <w:color w:val="000000"/>
          <w:lang w:val="en-US"/>
        </w:rPr>
      </w:pPr>
      <w:r>
        <w:rPr>
          <w:rFonts w:ascii="Times New Roman" w:eastAsia="Times New Roman" w:hAnsi="Times New Roman" w:cs="Times New Roman"/>
          <w:b/>
          <w:bCs/>
          <w:color w:val="000000"/>
          <w:lang w:val="en-US"/>
        </w:rPr>
        <w:t>5.2 Evasion strategies</w:t>
      </w:r>
    </w:p>
    <w:p w:rsidR="00427336" w:rsidRDefault="000120B4">
      <w:pPr>
        <w:spacing w:before="60" w:after="60" w:line="276" w:lineRule="auto"/>
        <w:jc w:val="both"/>
      </w:pPr>
      <w:r>
        <w:rPr>
          <w:rFonts w:ascii="Times New Roman" w:eastAsia="Times New Roman" w:hAnsi="Times New Roman" w:cs="Times New Roman"/>
          <w:color w:val="000000"/>
          <w:lang w:val="en-US"/>
        </w:rPr>
        <w:t xml:space="preserve">As fees emerge so do </w:t>
      </w:r>
      <w:r>
        <w:rPr>
          <w:rFonts w:ascii="Times New Roman" w:eastAsia="Times New Roman" w:hAnsi="Times New Roman" w:cs="Times New Roman"/>
          <w:i/>
          <w:iCs/>
          <w:color w:val="000000"/>
          <w:lang w:val="en-US"/>
        </w:rPr>
        <w:t>evasion strategies</w:t>
      </w:r>
      <w:r>
        <w:rPr>
          <w:rFonts w:ascii="Times New Roman" w:eastAsia="Times New Roman" w:hAnsi="Times New Roman" w:cs="Times New Roman"/>
          <w:color w:val="000000"/>
          <w:lang w:val="en-US"/>
        </w:rPr>
        <w:t xml:space="preserve">. An example </w:t>
      </w:r>
      <w:r>
        <w:rPr>
          <w:rFonts w:ascii="Times New Roman" w:eastAsia="Times New Roman" w:hAnsi="Times New Roman" w:cs="Times New Roman"/>
          <w:color w:val="000000"/>
          <w:lang w:val="en-US"/>
        </w:rPr>
        <w:t xml:space="preserve">for this is the Extended Producer Responsibility schemes which were created to force producers to take care of their products even in their post-consumer stage, and thus reaching recycling targets, and to generate funds for supporting recycling facilities </w:t>
      </w:r>
      <w:r>
        <w:rPr>
          <w:rFonts w:ascii="Times New Roman" w:eastAsia="Times New Roman" w:hAnsi="Times New Roman" w:cs="Times New Roman"/>
          <w:color w:val="000000"/>
          <w:lang w:val="en-US"/>
        </w:rPr>
        <w:t>and activities for these products (</w:t>
      </w:r>
      <w:r>
        <w:rPr>
          <w:rFonts w:ascii="Times New Roman" w:eastAsia="Times New Roman" w:hAnsi="Times New Roman" w:cs="Times New Roman"/>
          <w:lang w:val="en-US"/>
        </w:rPr>
        <w:t>OECD,</w:t>
      </w:r>
      <w:r>
        <w:rPr>
          <w:rStyle w:val="Hyperlink"/>
          <w:rFonts w:ascii="Times New Roman" w:eastAsia="Times New Roman" w:hAnsi="Times New Roman" w:cs="Times New Roman"/>
          <w:color w:val="auto"/>
          <w:u w:val="none"/>
          <w:lang w:val="en-US"/>
        </w:rPr>
        <w:t xml:space="preserve"> 2016</w:t>
      </w:r>
      <w:r>
        <w:rPr>
          <w:rFonts w:ascii="Times New Roman" w:eastAsia="Times New Roman" w:hAnsi="Times New Roman" w:cs="Times New Roman"/>
          <w:color w:val="000000"/>
          <w:lang w:val="en-US"/>
        </w:rPr>
        <w:t xml:space="preserve">). Producers that want to avoid paying the fee ship their post-consumer stage products to African countries labeled as used products labeled as </w:t>
      </w:r>
      <w:r>
        <w:rPr>
          <w:rFonts w:ascii="Times New Roman" w:eastAsia="Times New Roman" w:hAnsi="Times New Roman" w:cs="Times New Roman"/>
          <w:i/>
          <w:iCs/>
          <w:color w:val="000000"/>
          <w:lang w:val="en-US"/>
        </w:rPr>
        <w:t xml:space="preserve">‘reusable’. </w:t>
      </w:r>
      <w:r>
        <w:rPr>
          <w:rFonts w:ascii="Times New Roman" w:eastAsia="Times New Roman" w:hAnsi="Times New Roman" w:cs="Times New Roman"/>
          <w:color w:val="000000"/>
          <w:lang w:val="en-US"/>
        </w:rPr>
        <w:t xml:space="preserve">However, a great part of these products – e.g. 70% for </w:t>
      </w:r>
      <w:r>
        <w:rPr>
          <w:rFonts w:ascii="Times New Roman" w:eastAsia="Times New Roman" w:hAnsi="Times New Roman" w:cs="Times New Roman"/>
          <w:color w:val="000000"/>
          <w:lang w:val="en-US"/>
        </w:rPr>
        <w:t>electric and electronic equipment – is unusable and should have rather been labeled as ‘waste’ (Fair Resource Foundation, 2023).</w:t>
      </w:r>
    </w:p>
    <w:p w:rsidR="00427336" w:rsidRDefault="00427336">
      <w:pPr>
        <w:spacing w:before="60" w:after="60" w:line="276" w:lineRule="auto"/>
        <w:jc w:val="both"/>
        <w:rPr>
          <w:rFonts w:ascii="Times New Roman" w:eastAsia="Times New Roman" w:hAnsi="Times New Roman" w:cs="Times New Roman"/>
          <w:color w:val="000000"/>
          <w:lang w:val="en-US"/>
        </w:rPr>
      </w:pPr>
    </w:p>
    <w:p w:rsidR="00427336" w:rsidRDefault="000120B4">
      <w:pPr>
        <w:spacing w:before="60" w:after="60" w:line="276" w:lineRule="auto"/>
        <w:jc w:val="both"/>
        <w:rPr>
          <w:rFonts w:ascii="Times New Roman" w:eastAsia="Times New Roman" w:hAnsi="Times New Roman" w:cs="Times New Roman"/>
          <w:b/>
          <w:bCs/>
          <w:color w:val="000000"/>
          <w:sz w:val="28"/>
          <w:szCs w:val="28"/>
          <w:lang w:val="en-US"/>
        </w:rPr>
      </w:pPr>
      <w:r>
        <w:rPr>
          <w:rFonts w:ascii="Times New Roman" w:eastAsia="Times New Roman" w:hAnsi="Times New Roman" w:cs="Times New Roman"/>
          <w:b/>
          <w:bCs/>
          <w:color w:val="000000"/>
          <w:sz w:val="28"/>
          <w:szCs w:val="28"/>
          <w:lang w:val="en-US"/>
        </w:rPr>
        <w:t>6 What drives companies: Institutional Isomorphism as theory</w:t>
      </w:r>
    </w:p>
    <w:p w:rsidR="00427336" w:rsidRDefault="000120B4">
      <w:pPr>
        <w:spacing w:before="240" w:line="276" w:lineRule="auto"/>
        <w:jc w:val="both"/>
      </w:pPr>
      <w:r>
        <w:rPr>
          <w:rFonts w:ascii="Times New Roman" w:eastAsia="Times New Roman" w:hAnsi="Times New Roman" w:cs="Times New Roman"/>
          <w:i/>
          <w:iCs/>
          <w:color w:val="000000"/>
          <w:lang w:val="en-US"/>
        </w:rPr>
        <w:tab/>
      </w:r>
      <w:r>
        <w:rPr>
          <w:rFonts w:ascii="Times New Roman" w:eastAsia="Times New Roman" w:hAnsi="Times New Roman" w:cs="Times New Roman"/>
          <w:color w:val="000000"/>
          <w:lang w:val="en-US"/>
        </w:rPr>
        <w:t xml:space="preserve">The theory of </w:t>
      </w:r>
      <w:r>
        <w:rPr>
          <w:rFonts w:ascii="Times New Roman" w:hAnsi="Times New Roman" w:cs="Times New Roman"/>
          <w:lang w:val="en-US"/>
        </w:rPr>
        <w:t>Institutional Isomorphism (DiMaggio &amp; Powell, 1983</w:t>
      </w:r>
      <w:r>
        <w:rPr>
          <w:rFonts w:ascii="Times New Roman" w:hAnsi="Times New Roman" w:cs="Times New Roman"/>
          <w:lang w:val="en-US"/>
        </w:rPr>
        <w:t xml:space="preserve">) suggests that </w:t>
      </w:r>
      <w:proofErr w:type="spellStart"/>
      <w:r>
        <w:rPr>
          <w:rFonts w:ascii="Times New Roman" w:hAnsi="Times New Roman" w:cs="Times New Roman"/>
          <w:lang w:val="en-US"/>
        </w:rPr>
        <w:t>organisations</w:t>
      </w:r>
      <w:proofErr w:type="spellEnd"/>
      <w:r>
        <w:rPr>
          <w:rFonts w:ascii="Times New Roman" w:hAnsi="Times New Roman" w:cs="Times New Roman"/>
          <w:lang w:val="en-US"/>
        </w:rPr>
        <w:t xml:space="preserve"> tend to apply similar solutions to similar external challenges. These challenges have three driving factors. </w:t>
      </w:r>
      <w:r>
        <w:rPr>
          <w:rFonts w:ascii="Times New Roman" w:hAnsi="Times New Roman" w:cs="Times New Roman"/>
          <w:i/>
          <w:iCs/>
          <w:lang w:val="en-US"/>
        </w:rPr>
        <w:t>(1) Coercive</w:t>
      </w:r>
      <w:r>
        <w:rPr>
          <w:rFonts w:ascii="Times New Roman" w:hAnsi="Times New Roman" w:cs="Times New Roman"/>
          <w:lang w:val="en-US"/>
        </w:rPr>
        <w:t xml:space="preserve"> drives are government regulation, stakeholder demands. These usually promote the adoption of various practices, like environmental management or accrual accounting. </w:t>
      </w:r>
      <w:r>
        <w:rPr>
          <w:rFonts w:ascii="Times New Roman" w:hAnsi="Times New Roman" w:cs="Times New Roman"/>
          <w:i/>
          <w:iCs/>
          <w:lang w:val="en-US"/>
        </w:rPr>
        <w:t>(2) Mimetic</w:t>
      </w:r>
      <w:r>
        <w:rPr>
          <w:rFonts w:ascii="Times New Roman" w:hAnsi="Times New Roman" w:cs="Times New Roman"/>
          <w:lang w:val="en-US"/>
        </w:rPr>
        <w:t xml:space="preserve"> drives – or ‘copy-cat </w:t>
      </w:r>
      <w:proofErr w:type="spellStart"/>
      <w:r>
        <w:rPr>
          <w:rFonts w:ascii="Times New Roman" w:hAnsi="Times New Roman" w:cs="Times New Roman"/>
          <w:lang w:val="en-US"/>
        </w:rPr>
        <w:t>behaviour</w:t>
      </w:r>
      <w:proofErr w:type="spellEnd"/>
      <w:r>
        <w:rPr>
          <w:rFonts w:ascii="Times New Roman" w:hAnsi="Times New Roman" w:cs="Times New Roman"/>
          <w:lang w:val="en-US"/>
        </w:rPr>
        <w:t xml:space="preserve"> - originate from industry leaders and are usua</w:t>
      </w:r>
      <w:r>
        <w:rPr>
          <w:rFonts w:ascii="Times New Roman" w:hAnsi="Times New Roman" w:cs="Times New Roman"/>
          <w:lang w:val="en-US"/>
        </w:rPr>
        <w:t xml:space="preserve">lly implemented during times of uncertainty regarding best practices. </w:t>
      </w:r>
      <w:r>
        <w:rPr>
          <w:rFonts w:ascii="Times New Roman" w:hAnsi="Times New Roman" w:cs="Times New Roman"/>
          <w:i/>
          <w:iCs/>
          <w:lang w:val="en-US"/>
        </w:rPr>
        <w:t>(3) Normative</w:t>
      </w:r>
      <w:r>
        <w:rPr>
          <w:rFonts w:ascii="Times New Roman" w:hAnsi="Times New Roman" w:cs="Times New Roman"/>
          <w:lang w:val="en-US"/>
        </w:rPr>
        <w:t xml:space="preserve"> drives are provided by professional networks, consultant and academic standards which have an effect on shaping accounting practices. </w:t>
      </w:r>
    </w:p>
    <w:p w:rsidR="00427336" w:rsidRDefault="000120B4">
      <w:pPr>
        <w:spacing w:line="276" w:lineRule="auto"/>
        <w:jc w:val="both"/>
      </w:pPr>
      <w:r>
        <w:rPr>
          <w:rFonts w:ascii="Times New Roman" w:hAnsi="Times New Roman" w:cs="Times New Roman"/>
          <w:b/>
          <w:bCs/>
          <w:lang w:val="en-US"/>
        </w:rPr>
        <w:t>6.1 Coercive drive</w:t>
      </w:r>
    </w:p>
    <w:p w:rsidR="00427336" w:rsidRDefault="000120B4">
      <w:pPr>
        <w:spacing w:line="276" w:lineRule="auto"/>
        <w:jc w:val="both"/>
      </w:pPr>
      <w:r>
        <w:rPr>
          <w:rFonts w:ascii="Times New Roman" w:hAnsi="Times New Roman" w:cs="Times New Roman"/>
          <w:lang w:val="en-US"/>
        </w:rPr>
        <w:t>It is the most wid</w:t>
      </w:r>
      <w:r>
        <w:rPr>
          <w:rFonts w:ascii="Times New Roman" w:hAnsi="Times New Roman" w:cs="Times New Roman"/>
          <w:lang w:val="en-US"/>
        </w:rPr>
        <w:t xml:space="preserve">ely observed drive across studies, however, differences between subtypes are also observed locally. Regulatory requirements and shareholder expectations for implementing environmental management practices are more often appearing in cases originating from </w:t>
      </w:r>
      <w:r>
        <w:rPr>
          <w:rFonts w:ascii="Times New Roman" w:hAnsi="Times New Roman" w:cs="Times New Roman"/>
          <w:lang w:val="en-US"/>
        </w:rPr>
        <w:t>South Africa and Malaysia (</w:t>
      </w:r>
      <w:proofErr w:type="spellStart"/>
      <w:r>
        <w:rPr>
          <w:rFonts w:ascii="Times New Roman" w:hAnsi="Times New Roman" w:cs="Times New Roman"/>
          <w:lang w:val="en-US"/>
        </w:rPr>
        <w:t>Iredele</w:t>
      </w:r>
      <w:proofErr w:type="spellEnd"/>
      <w:r>
        <w:rPr>
          <w:rFonts w:ascii="Times New Roman" w:hAnsi="Times New Roman" w:cs="Times New Roman"/>
          <w:i/>
          <w:iCs/>
          <w:lang w:val="en-US"/>
        </w:rPr>
        <w:t xml:space="preserve"> et al</w:t>
      </w:r>
      <w:r>
        <w:rPr>
          <w:rFonts w:ascii="Times New Roman" w:hAnsi="Times New Roman" w:cs="Times New Roman"/>
          <w:lang w:val="en-US"/>
        </w:rPr>
        <w:t>., 2019;</w:t>
      </w:r>
      <w:r>
        <w:rPr>
          <w:rFonts w:ascii="Times New Roman" w:hAnsi="Times New Roman" w:cs="Times New Roman"/>
          <w:i/>
          <w:iCs/>
          <w:lang w:val="en-US"/>
        </w:rPr>
        <w:t xml:space="preserve"> </w:t>
      </w:r>
      <w:proofErr w:type="spellStart"/>
      <w:r>
        <w:rPr>
          <w:rFonts w:ascii="Times New Roman" w:hAnsi="Times New Roman" w:cs="Times New Roman"/>
          <w:lang w:val="en-US"/>
        </w:rPr>
        <w:t>Razak</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w:t>
      </w:r>
      <w:r>
        <w:rPr>
          <w:rFonts w:ascii="Times New Roman" w:hAnsi="Times New Roman" w:cs="Times New Roman"/>
          <w:i/>
          <w:iCs/>
          <w:lang w:val="en-US"/>
        </w:rPr>
        <w:t>2020</w:t>
      </w:r>
      <w:r>
        <w:t xml:space="preserve"> </w:t>
      </w:r>
      <w:r>
        <w:rPr>
          <w:rFonts w:ascii="Times New Roman" w:hAnsi="Times New Roman" w:cs="Times New Roman"/>
          <w:lang w:val="en-US"/>
        </w:rPr>
        <w:t xml:space="preserve">while the central government regulations for the institutionalization of accrual accounting are more widespread in Indonesia (Savitri &amp; </w:t>
      </w:r>
      <w:proofErr w:type="spellStart"/>
      <w:r>
        <w:rPr>
          <w:rFonts w:ascii="Times New Roman" w:hAnsi="Times New Roman" w:cs="Times New Roman"/>
          <w:lang w:val="en-US"/>
        </w:rPr>
        <w:t>Fanani</w:t>
      </w:r>
      <w:proofErr w:type="spellEnd"/>
      <w:r>
        <w:rPr>
          <w:rFonts w:ascii="Times New Roman" w:hAnsi="Times New Roman" w:cs="Times New Roman"/>
          <w:lang w:val="en-US"/>
        </w:rPr>
        <w:t>, 2017).</w:t>
      </w:r>
      <w:r>
        <w:rPr>
          <w:rFonts w:ascii="Times New Roman" w:hAnsi="Times New Roman" w:cs="Times New Roman"/>
          <w:i/>
          <w:iCs/>
          <w:lang w:val="en-US"/>
        </w:rPr>
        <w:t xml:space="preserve"> </w:t>
      </w:r>
      <w:r>
        <w:rPr>
          <w:rFonts w:ascii="Times New Roman" w:hAnsi="Times New Roman" w:cs="Times New Roman"/>
          <w:lang w:val="en-US"/>
        </w:rPr>
        <w:t>A study also supports the narrative t</w:t>
      </w:r>
      <w:r>
        <w:rPr>
          <w:rFonts w:ascii="Times New Roman" w:hAnsi="Times New Roman" w:cs="Times New Roman"/>
          <w:lang w:val="en-US"/>
        </w:rPr>
        <w:t>hat the coercive drive is originating from political influence and legitimacy concerns. (DiMaggio &amp; Powell., 1983).</w:t>
      </w:r>
    </w:p>
    <w:p w:rsidR="00427336" w:rsidRDefault="000120B4">
      <w:pPr>
        <w:spacing w:line="276" w:lineRule="auto"/>
        <w:jc w:val="both"/>
        <w:rPr>
          <w:rFonts w:ascii="Times New Roman" w:hAnsi="Times New Roman" w:cs="Times New Roman"/>
          <w:b/>
          <w:bCs/>
          <w:lang w:val="en-US"/>
        </w:rPr>
      </w:pPr>
      <w:r>
        <w:rPr>
          <w:rFonts w:ascii="Times New Roman" w:hAnsi="Times New Roman" w:cs="Times New Roman"/>
          <w:b/>
          <w:bCs/>
          <w:lang w:val="en-US"/>
        </w:rPr>
        <w:lastRenderedPageBreak/>
        <w:t>6.2 Mimetic processes</w:t>
      </w:r>
    </w:p>
    <w:p w:rsidR="00427336" w:rsidRDefault="000120B4">
      <w:pPr>
        <w:spacing w:line="276" w:lineRule="auto"/>
        <w:jc w:val="both"/>
      </w:pPr>
      <w:r>
        <w:rPr>
          <w:rFonts w:ascii="Times New Roman" w:hAnsi="Times New Roman" w:cs="Times New Roman"/>
          <w:lang w:val="en-US"/>
        </w:rPr>
        <w:t xml:space="preserve">Mimetic isomorphism, or in other words change through imitation or </w:t>
      </w:r>
      <w:proofErr w:type="spellStart"/>
      <w:r>
        <w:rPr>
          <w:rFonts w:ascii="Times New Roman" w:hAnsi="Times New Roman" w:cs="Times New Roman"/>
          <w:lang w:val="en-US"/>
        </w:rPr>
        <w:t>copy cat</w:t>
      </w:r>
      <w:proofErr w:type="spellEnd"/>
      <w:r>
        <w:rPr>
          <w:rFonts w:ascii="Times New Roman" w:hAnsi="Times New Roman" w:cs="Times New Roman"/>
          <w:lang w:val="en-US"/>
        </w:rPr>
        <w:t xml:space="preserve"> </w:t>
      </w:r>
      <w:proofErr w:type="spellStart"/>
      <w:r>
        <w:rPr>
          <w:rFonts w:ascii="Times New Roman" w:hAnsi="Times New Roman" w:cs="Times New Roman"/>
          <w:lang w:val="en-US"/>
        </w:rPr>
        <w:t>behaviour</w:t>
      </w:r>
      <w:proofErr w:type="spellEnd"/>
      <w:r>
        <w:rPr>
          <w:rFonts w:ascii="Times New Roman" w:hAnsi="Times New Roman" w:cs="Times New Roman"/>
          <w:lang w:val="en-US"/>
        </w:rPr>
        <w:t>, is observed in contexts of unce</w:t>
      </w:r>
      <w:r>
        <w:rPr>
          <w:rFonts w:ascii="Times New Roman" w:hAnsi="Times New Roman" w:cs="Times New Roman"/>
          <w:lang w:val="en-US"/>
        </w:rPr>
        <w:t xml:space="preserve">rtainty or when companies are looking for best practices. For example, in Indonesia, local governments benchmark against others recognized for successful accrual accounting implementation (Savitri &amp; </w:t>
      </w:r>
      <w:proofErr w:type="spellStart"/>
      <w:r>
        <w:rPr>
          <w:rFonts w:ascii="Times New Roman" w:hAnsi="Times New Roman" w:cs="Times New Roman"/>
          <w:lang w:val="en-US"/>
        </w:rPr>
        <w:t>Fanani</w:t>
      </w:r>
      <w:proofErr w:type="spellEnd"/>
      <w:r>
        <w:rPr>
          <w:rFonts w:ascii="Times New Roman" w:hAnsi="Times New Roman" w:cs="Times New Roman"/>
          <w:lang w:val="en-US"/>
        </w:rPr>
        <w:t>, 2017)</w:t>
      </w:r>
      <w:r>
        <w:rPr>
          <w:rFonts w:ascii="Times New Roman" w:hAnsi="Times New Roman" w:cs="Times New Roman"/>
          <w:i/>
          <w:iCs/>
          <w:lang w:val="en-US"/>
        </w:rPr>
        <w:t xml:space="preserve">. </w:t>
      </w:r>
      <w:r>
        <w:rPr>
          <w:rFonts w:ascii="Times New Roman" w:hAnsi="Times New Roman" w:cs="Times New Roman"/>
          <w:lang w:val="en-US"/>
        </w:rPr>
        <w:t>Also,</w:t>
      </w:r>
      <w:r>
        <w:rPr>
          <w:rFonts w:ascii="Times New Roman" w:hAnsi="Times New Roman" w:cs="Times New Roman"/>
          <w:i/>
          <w:iCs/>
          <w:lang w:val="en-US"/>
        </w:rPr>
        <w:t xml:space="preserve"> </w:t>
      </w:r>
      <w:proofErr w:type="spellStart"/>
      <w:r>
        <w:rPr>
          <w:rFonts w:ascii="Times New Roman" w:hAnsi="Times New Roman" w:cs="Times New Roman"/>
          <w:lang w:val="en-US"/>
        </w:rPr>
        <w:t>Andajani</w:t>
      </w:r>
      <w:proofErr w:type="spellEnd"/>
      <w:r>
        <w:rPr>
          <w:rFonts w:ascii="Times New Roman" w:hAnsi="Times New Roman" w:cs="Times New Roman"/>
          <w:lang w:val="en-US"/>
        </w:rPr>
        <w:t xml:space="preserve"> and</w:t>
      </w:r>
      <w:r>
        <w:rPr>
          <w:rFonts w:ascii="Times New Roman" w:hAnsi="Times New Roman" w:cs="Times New Roman"/>
          <w:b/>
          <w:bCs/>
          <w:lang w:val="en-US"/>
        </w:rPr>
        <w:t xml:space="preserve"> </w:t>
      </w:r>
      <w:proofErr w:type="spellStart"/>
      <w:r>
        <w:rPr>
          <w:rFonts w:ascii="Times New Roman" w:hAnsi="Times New Roman" w:cs="Times New Roman"/>
          <w:lang w:val="en-US"/>
        </w:rPr>
        <w:t>Sawarjuwonot</w:t>
      </w:r>
      <w:proofErr w:type="spellEnd"/>
      <w:r>
        <w:rPr>
          <w:rFonts w:ascii="Times New Roman" w:hAnsi="Times New Roman" w:cs="Times New Roman"/>
          <w:lang w:val="en-US"/>
        </w:rPr>
        <w:t>, (2024) me</w:t>
      </w:r>
      <w:r>
        <w:rPr>
          <w:rFonts w:ascii="Times New Roman" w:hAnsi="Times New Roman" w:cs="Times New Roman"/>
          <w:lang w:val="en-US"/>
        </w:rPr>
        <w:t>ntion that some sustainability reporting practices are adopted by following along with industry peers. The theoretical work highlights mimetic isomorphism as a response to ambiguity and technical uncertainty.</w:t>
      </w:r>
    </w:p>
    <w:p w:rsidR="00427336" w:rsidRDefault="000120B4">
      <w:pPr>
        <w:spacing w:line="276" w:lineRule="auto"/>
        <w:jc w:val="both"/>
      </w:pPr>
      <w:r>
        <w:rPr>
          <w:rFonts w:ascii="Times New Roman" w:hAnsi="Times New Roman" w:cs="Times New Roman"/>
          <w:b/>
          <w:bCs/>
          <w:lang w:val="en-US"/>
        </w:rPr>
        <w:t>6.3 Normative pressures</w:t>
      </w:r>
    </w:p>
    <w:p w:rsidR="00427336" w:rsidRDefault="000120B4">
      <w:pPr>
        <w:spacing w:line="276" w:lineRule="auto"/>
        <w:jc w:val="both"/>
      </w:pPr>
      <w:r>
        <w:rPr>
          <w:rFonts w:ascii="Times New Roman" w:hAnsi="Times New Roman" w:cs="Times New Roman"/>
          <w:lang w:val="en-US"/>
        </w:rPr>
        <w:t>Normative isomorphism i</w:t>
      </w:r>
      <w:r>
        <w:rPr>
          <w:rFonts w:ascii="Times New Roman" w:hAnsi="Times New Roman" w:cs="Times New Roman"/>
          <w:lang w:val="en-US"/>
        </w:rPr>
        <w:t xml:space="preserve">s strongly linked to professionalization and to the influence of consultants, academics, and professional networks (Savitri &amp; </w:t>
      </w:r>
      <w:proofErr w:type="spellStart"/>
      <w:r>
        <w:rPr>
          <w:rFonts w:ascii="Times New Roman" w:hAnsi="Times New Roman" w:cs="Times New Roman"/>
          <w:lang w:val="en-US"/>
        </w:rPr>
        <w:t>Fanani</w:t>
      </w:r>
      <w:proofErr w:type="spellEnd"/>
      <w:r>
        <w:rPr>
          <w:rFonts w:ascii="Times New Roman" w:hAnsi="Times New Roman" w:cs="Times New Roman"/>
          <w:lang w:val="en-US"/>
        </w:rPr>
        <w:t>., 2017). Others mention the role of professional norms and standards in shaping organizational practices. In some contexts,</w:t>
      </w:r>
      <w:r>
        <w:rPr>
          <w:rFonts w:ascii="Times New Roman" w:hAnsi="Times New Roman" w:cs="Times New Roman"/>
          <w:lang w:val="en-US"/>
        </w:rPr>
        <w:t xml:space="preserve"> normative pressures are less noticeable compared to the coercive or mimetic factors </w:t>
      </w:r>
      <w:r>
        <w:rPr>
          <w:rFonts w:ascii="Times New Roman" w:hAnsi="Times New Roman" w:cs="Times New Roman"/>
          <w:i/>
          <w:iCs/>
          <w:lang w:val="en-US"/>
        </w:rPr>
        <w:t>(</w:t>
      </w:r>
      <w:proofErr w:type="spellStart"/>
      <w:r>
        <w:rPr>
          <w:rFonts w:ascii="Times New Roman" w:hAnsi="Times New Roman" w:cs="Times New Roman"/>
          <w:lang w:val="en-US"/>
        </w:rPr>
        <w:t>Iredele</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2019; </w:t>
      </w:r>
      <w:proofErr w:type="spellStart"/>
      <w:r>
        <w:rPr>
          <w:rFonts w:ascii="Times New Roman" w:hAnsi="Times New Roman" w:cs="Times New Roman"/>
          <w:lang w:val="en-US"/>
        </w:rPr>
        <w:t>Andajani</w:t>
      </w:r>
      <w:proofErr w:type="spellEnd"/>
      <w:r>
        <w:rPr>
          <w:rFonts w:ascii="Times New Roman" w:hAnsi="Times New Roman" w:cs="Times New Roman"/>
          <w:lang w:val="en-US"/>
        </w:rPr>
        <w:t xml:space="preserve"> &amp; </w:t>
      </w:r>
      <w:proofErr w:type="spellStart"/>
      <w:r>
        <w:rPr>
          <w:rFonts w:ascii="Times New Roman" w:hAnsi="Times New Roman" w:cs="Times New Roman"/>
          <w:lang w:val="en-US"/>
        </w:rPr>
        <w:t>Sawarjuwono</w:t>
      </w:r>
      <w:proofErr w:type="spellEnd"/>
      <w:r>
        <w:rPr>
          <w:rFonts w:ascii="Times New Roman" w:hAnsi="Times New Roman" w:cs="Times New Roman"/>
          <w:lang w:val="en-US"/>
        </w:rPr>
        <w:t>, 2024).</w:t>
      </w:r>
    </w:p>
    <w:p w:rsidR="00427336" w:rsidRDefault="000120B4">
      <w:pPr>
        <w:spacing w:line="276" w:lineRule="auto"/>
        <w:jc w:val="both"/>
      </w:pPr>
      <w:r>
        <w:rPr>
          <w:rFonts w:ascii="Times New Roman" w:hAnsi="Times New Roman" w:cs="Times New Roman"/>
          <w:b/>
          <w:bCs/>
          <w:lang w:val="en-US"/>
        </w:rPr>
        <w:t>6.4 Interaction</w:t>
      </w:r>
    </w:p>
    <w:p w:rsidR="00427336" w:rsidRDefault="000120B4">
      <w:pPr>
        <w:spacing w:line="276" w:lineRule="auto"/>
        <w:jc w:val="both"/>
      </w:pPr>
      <w:r>
        <w:rPr>
          <w:rFonts w:ascii="Times New Roman" w:hAnsi="Times New Roman" w:cs="Times New Roman"/>
          <w:lang w:val="en-US"/>
        </w:rPr>
        <w:t>Several studies collectively suggest that the three isomorphic pressures can interact. In some cases,</w:t>
      </w:r>
      <w:r>
        <w:rPr>
          <w:rFonts w:ascii="Times New Roman" w:hAnsi="Times New Roman" w:cs="Times New Roman"/>
          <w:lang w:val="en-US"/>
        </w:rPr>
        <w:t xml:space="preserve"> normative and mimetic pressures strengthen each other, as seen in sustainability and environmental reporting contexts. Coercive pressures may be necessary but not sufficient, especially where the legal pressure is not significant.</w:t>
      </w:r>
    </w:p>
    <w:p w:rsidR="00427336" w:rsidRDefault="000120B4">
      <w:pPr>
        <w:pStyle w:val="Caption"/>
        <w:jc w:val="center"/>
        <w:rPr>
          <w:rFonts w:ascii="Times New Roman" w:hAnsi="Times New Roman" w:cs="Times New Roman"/>
          <w:sz w:val="24"/>
          <w:szCs w:val="24"/>
          <w:lang w:val="en-US"/>
        </w:rPr>
      </w:pPr>
      <w:r>
        <w:rPr>
          <w:rFonts w:ascii="Times New Roman" w:hAnsi="Times New Roman" w:cs="Times New Roman"/>
          <w:b/>
          <w:bCs/>
          <w:i w:val="0"/>
          <w:iCs w:val="0"/>
          <w:sz w:val="24"/>
          <w:szCs w:val="24"/>
          <w:lang w:val="en-US"/>
        </w:rPr>
        <w:t xml:space="preserve">Table </w:t>
      </w:r>
      <w:r>
        <w:rPr>
          <w:rFonts w:ascii="Times New Roman" w:hAnsi="Times New Roman" w:cs="Times New Roman"/>
          <w:b/>
          <w:bCs/>
          <w:i w:val="0"/>
          <w:iCs w:val="0"/>
          <w:sz w:val="24"/>
          <w:szCs w:val="24"/>
          <w:lang w:val="en-US"/>
        </w:rPr>
        <w:fldChar w:fldCharType="begin"/>
      </w:r>
      <w:r>
        <w:rPr>
          <w:rFonts w:ascii="Times New Roman" w:hAnsi="Times New Roman" w:cs="Times New Roman"/>
          <w:b/>
          <w:bCs/>
          <w:i w:val="0"/>
          <w:iCs w:val="0"/>
          <w:sz w:val="24"/>
          <w:szCs w:val="24"/>
          <w:lang w:val="en-US"/>
        </w:rPr>
        <w:instrText xml:space="preserve"> SEQ Table \* ARAB</w:instrText>
      </w:r>
      <w:r>
        <w:rPr>
          <w:rFonts w:ascii="Times New Roman" w:hAnsi="Times New Roman" w:cs="Times New Roman"/>
          <w:b/>
          <w:bCs/>
          <w:i w:val="0"/>
          <w:iCs w:val="0"/>
          <w:sz w:val="24"/>
          <w:szCs w:val="24"/>
          <w:lang w:val="en-US"/>
        </w:rPr>
        <w:instrText xml:space="preserve">IC </w:instrText>
      </w:r>
      <w:r>
        <w:rPr>
          <w:rFonts w:ascii="Times New Roman" w:hAnsi="Times New Roman" w:cs="Times New Roman"/>
          <w:b/>
          <w:bCs/>
          <w:i w:val="0"/>
          <w:iCs w:val="0"/>
          <w:sz w:val="24"/>
          <w:szCs w:val="24"/>
          <w:lang w:val="en-US"/>
        </w:rPr>
        <w:fldChar w:fldCharType="separate"/>
      </w:r>
      <w:r>
        <w:rPr>
          <w:rFonts w:ascii="Times New Roman" w:hAnsi="Times New Roman" w:cs="Times New Roman"/>
          <w:b/>
          <w:bCs/>
          <w:i w:val="0"/>
          <w:iCs w:val="0"/>
          <w:sz w:val="24"/>
          <w:szCs w:val="24"/>
          <w:lang w:val="en-US"/>
        </w:rPr>
        <w:t>4</w:t>
      </w:r>
      <w:r>
        <w:rPr>
          <w:rFonts w:ascii="Times New Roman" w:hAnsi="Times New Roman" w:cs="Times New Roman"/>
          <w:b/>
          <w:bCs/>
          <w:i w:val="0"/>
          <w:iCs w:val="0"/>
          <w:sz w:val="24"/>
          <w:szCs w:val="24"/>
          <w:lang w:val="en-US"/>
        </w:rPr>
        <w:fldChar w:fldCharType="end"/>
      </w:r>
      <w:r>
        <w:rPr>
          <w:rFonts w:ascii="Times New Roman" w:hAnsi="Times New Roman" w:cs="Times New Roman"/>
          <w:b/>
          <w:bCs/>
          <w:i w:val="0"/>
          <w:iCs w:val="0"/>
          <w:sz w:val="24"/>
          <w:szCs w:val="24"/>
          <w:lang w:val="en-US"/>
        </w:rPr>
        <w:t>. Characteristics of Institutional Isomorphism Types</w:t>
      </w:r>
      <w:r>
        <w:rPr>
          <w:rFonts w:ascii="Times New Roman" w:hAnsi="Times New Roman" w:cs="Times New Roman"/>
          <w:sz w:val="24"/>
          <w:szCs w:val="24"/>
          <w:lang w:val="en-US"/>
        </w:rPr>
        <w:t xml:space="preserve"> </w:t>
      </w:r>
    </w:p>
    <w:tbl>
      <w:tblPr>
        <w:tblStyle w:val="GridTable5Dark-Accent6"/>
        <w:tblW w:w="9016" w:type="dxa"/>
        <w:tblInd w:w="113" w:type="dxa"/>
        <w:shd w:val="clear" w:color="auto" w:fill="E2EFD9"/>
        <w:tblLayout w:type="fixed"/>
        <w:tblLook w:val="04A0" w:firstRow="1" w:lastRow="0" w:firstColumn="1" w:lastColumn="0" w:noHBand="0" w:noVBand="1"/>
      </w:tblPr>
      <w:tblGrid>
        <w:gridCol w:w="1696"/>
        <w:gridCol w:w="2272"/>
        <w:gridCol w:w="2694"/>
        <w:gridCol w:w="2354"/>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Institutional Isomorphisms</w:t>
            </w:r>
          </w:p>
        </w:tc>
        <w:tc>
          <w:tcPr>
            <w:tcW w:w="2272" w:type="dxa"/>
            <w:tcBorders>
              <w:bottom w:val="nil"/>
            </w:tcBorders>
          </w:tcPr>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Main Influence</w:t>
            </w:r>
          </w:p>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Mechanisms</w:t>
            </w:r>
          </w:p>
        </w:tc>
        <w:tc>
          <w:tcPr>
            <w:tcW w:w="2694" w:type="dxa"/>
            <w:tcBorders>
              <w:bottom w:val="nil"/>
            </w:tcBorders>
          </w:tcPr>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Effectiveness</w:t>
            </w:r>
          </w:p>
        </w:tc>
        <w:tc>
          <w:tcPr>
            <w:tcW w:w="2354" w:type="dxa"/>
            <w:tcBorders>
              <w:bottom w:val="nil"/>
            </w:tcBorders>
          </w:tcPr>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Implementation</w:t>
            </w:r>
          </w:p>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Outcomes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Coercive</w:t>
            </w:r>
          </w:p>
        </w:tc>
        <w:tc>
          <w:tcPr>
            <w:tcW w:w="2272"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Legal mandates, state ownership, regulatory requirements.</w:t>
            </w:r>
          </w:p>
        </w:tc>
        <w:tc>
          <w:tcPr>
            <w:tcW w:w="2694"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Most effective in highly </w:t>
            </w:r>
            <w:r>
              <w:rPr>
                <w:rFonts w:ascii="Times New Roman" w:hAnsi="Times New Roman" w:cs="Times New Roman"/>
                <w:sz w:val="22"/>
                <w:szCs w:val="22"/>
                <w:lang w:val="en-US"/>
              </w:rPr>
              <w:t>institutionalized or regulated contexts.</w:t>
            </w:r>
          </w:p>
        </w:tc>
        <w:tc>
          <w:tcPr>
            <w:tcW w:w="2354"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Can drive compliance but may not improve the quality or depth of the implementation.</w:t>
            </w:r>
          </w:p>
        </w:tc>
      </w:tr>
      <w:tr w:rsidR="00427336" w:rsidTr="00427336">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Mimetic</w:t>
            </w:r>
          </w:p>
        </w:tc>
        <w:tc>
          <w:tcPr>
            <w:tcW w:w="2272"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Benchmarking, imitation of successful organizations.</w:t>
            </w:r>
          </w:p>
        </w:tc>
        <w:tc>
          <w:tcPr>
            <w:tcW w:w="2694"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Effective in competitive or uncertain environments, especially where</w:t>
            </w:r>
            <w:r>
              <w:rPr>
                <w:rFonts w:ascii="Times New Roman" w:hAnsi="Times New Roman" w:cs="Times New Roman"/>
                <w:sz w:val="22"/>
                <w:szCs w:val="22"/>
                <w:lang w:val="en-US"/>
              </w:rPr>
              <w:t xml:space="preserve"> best practices are visible.</w:t>
            </w:r>
          </w:p>
        </w:tc>
        <w:tc>
          <w:tcPr>
            <w:tcW w:w="2354"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Drives convergence and adoption, especially in voluntary or innovative practices.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Normative</w:t>
            </w:r>
          </w:p>
        </w:tc>
        <w:tc>
          <w:tcPr>
            <w:tcW w:w="2272"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Professional norms, training, consultancies, industry traditions.</w:t>
            </w:r>
          </w:p>
        </w:tc>
        <w:tc>
          <w:tcPr>
            <w:tcW w:w="2694"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Most effective where professionalization is strong.</w:t>
            </w:r>
          </w:p>
        </w:tc>
        <w:tc>
          <w:tcPr>
            <w:tcW w:w="2354" w:type="dxa"/>
          </w:tcPr>
          <w:p w:rsidR="00427336" w:rsidRDefault="000120B4">
            <w:pPr>
              <w:keepNext/>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Improves </w:t>
            </w:r>
            <w:r>
              <w:rPr>
                <w:rFonts w:ascii="Times New Roman" w:hAnsi="Times New Roman" w:cs="Times New Roman"/>
                <w:sz w:val="22"/>
                <w:szCs w:val="22"/>
                <w:lang w:val="en-US"/>
              </w:rPr>
              <w:t>quality, depth, and legitimacy of implementation.</w:t>
            </w:r>
          </w:p>
        </w:tc>
      </w:tr>
    </w:tbl>
    <w:p w:rsidR="00427336" w:rsidRDefault="000120B4">
      <w:pPr>
        <w:pStyle w:val="Caption"/>
        <w:jc w:val="center"/>
        <w:rPr>
          <w:rFonts w:ascii="Times New Roman" w:hAnsi="Times New Roman" w:cs="Times New Roman"/>
          <w:sz w:val="24"/>
          <w:szCs w:val="24"/>
          <w:lang w:val="en-US"/>
        </w:rPr>
      </w:pPr>
      <w:r>
        <w:rPr>
          <w:rFonts w:ascii="Times New Roman" w:hAnsi="Times New Roman" w:cs="Times New Roman"/>
          <w:sz w:val="24"/>
          <w:szCs w:val="24"/>
          <w:lang w:val="en-US"/>
        </w:rPr>
        <w:t xml:space="preserve">own editing based on </w:t>
      </w:r>
      <w:proofErr w:type="spellStart"/>
      <w:r>
        <w:rPr>
          <w:rFonts w:ascii="Times New Roman" w:hAnsi="Times New Roman" w:cs="Times New Roman"/>
          <w:sz w:val="24"/>
          <w:szCs w:val="24"/>
          <w:lang w:val="en-US"/>
        </w:rPr>
        <w:t>Depoers</w:t>
      </w:r>
      <w:proofErr w:type="spellEnd"/>
      <w:r>
        <w:rPr>
          <w:rFonts w:ascii="Times New Roman" w:hAnsi="Times New Roman" w:cs="Times New Roman"/>
          <w:sz w:val="24"/>
          <w:szCs w:val="24"/>
          <w:lang w:val="en-US"/>
        </w:rPr>
        <w:t xml:space="preserve"> &amp; Jerome,.2019; Saka et al.,2022; Amoako et al.,2021 and Posadas et al.,2023.</w:t>
      </w:r>
    </w:p>
    <w:p w:rsidR="00427336" w:rsidRDefault="000120B4">
      <w:pPr>
        <w:spacing w:line="276" w:lineRule="auto"/>
        <w:jc w:val="both"/>
      </w:pPr>
      <w:r>
        <w:rPr>
          <w:rFonts w:ascii="Times New Roman" w:hAnsi="Times New Roman" w:cs="Times New Roman"/>
          <w:lang w:val="en-US"/>
        </w:rPr>
        <w:t>Institutional Isomorphisms are influencing the implementation of new practices. However, their eff</w:t>
      </w:r>
      <w:r>
        <w:rPr>
          <w:rFonts w:ascii="Times New Roman" w:hAnsi="Times New Roman" w:cs="Times New Roman"/>
          <w:lang w:val="en-US"/>
        </w:rPr>
        <w:t>ectiveness varies depending on several factors. Coercive pressure was found to be the most effective in highly institutionalized or regulated environments. In such cases, external mandates and regulations drive companies to achieve compliance. Mimetic pres</w:t>
      </w:r>
      <w:r>
        <w:rPr>
          <w:rFonts w:ascii="Times New Roman" w:hAnsi="Times New Roman" w:cs="Times New Roman"/>
          <w:lang w:val="en-US"/>
        </w:rPr>
        <w:t>sure was observed to be most effective in competitive or uncertain environments, particularly where best practices are visible and available for imitation. Under these conditions, organizations adopted quite similar voluntary or innovative practices, resul</w:t>
      </w:r>
      <w:r>
        <w:rPr>
          <w:rFonts w:ascii="Times New Roman" w:hAnsi="Times New Roman" w:cs="Times New Roman"/>
          <w:lang w:val="en-US"/>
        </w:rPr>
        <w:t xml:space="preserve">ting in greater convergence and </w:t>
      </w:r>
      <w:r>
        <w:rPr>
          <w:rFonts w:ascii="Times New Roman" w:hAnsi="Times New Roman" w:cs="Times New Roman"/>
          <w:lang w:val="en-US"/>
        </w:rPr>
        <w:lastRenderedPageBreak/>
        <w:t>adoption. However, the main result was structural alignment rather than real transformation. Normative pressure demonstrated effectiveness in contexts characterized by strong professionalization or where companies wanted leg</w:t>
      </w:r>
      <w:r>
        <w:rPr>
          <w:rFonts w:ascii="Times New Roman" w:hAnsi="Times New Roman" w:cs="Times New Roman"/>
          <w:lang w:val="en-US"/>
        </w:rPr>
        <w:t>itimacy. In such cases, the influence of professional standards and norms contributed to a more meaningful implementation. The resulting outcomes included improved quality, depth, and legitimacy of practices. (</w:t>
      </w:r>
      <w:proofErr w:type="spellStart"/>
      <w:r>
        <w:rPr>
          <w:rFonts w:ascii="Times New Roman" w:hAnsi="Times New Roman" w:cs="Times New Roman"/>
          <w:lang w:val="en-US"/>
        </w:rPr>
        <w:t>Depoers</w:t>
      </w:r>
      <w:proofErr w:type="spellEnd"/>
      <w:r>
        <w:rPr>
          <w:rFonts w:ascii="Times New Roman" w:hAnsi="Times New Roman" w:cs="Times New Roman"/>
          <w:lang w:val="en-US"/>
        </w:rPr>
        <w:t xml:space="preserve"> &amp; </w:t>
      </w:r>
      <w:proofErr w:type="spellStart"/>
      <w:r>
        <w:rPr>
          <w:rFonts w:ascii="Times New Roman" w:hAnsi="Times New Roman" w:cs="Times New Roman"/>
          <w:lang w:val="en-US"/>
        </w:rPr>
        <w:t>Jérome</w:t>
      </w:r>
      <w:proofErr w:type="spellEnd"/>
      <w:r>
        <w:rPr>
          <w:rFonts w:ascii="Times New Roman" w:hAnsi="Times New Roman" w:cs="Times New Roman"/>
          <w:lang w:val="en-US"/>
        </w:rPr>
        <w:t xml:space="preserve">, 2019; Saka </w:t>
      </w:r>
      <w:r>
        <w:rPr>
          <w:rFonts w:ascii="Times New Roman" w:hAnsi="Times New Roman" w:cs="Times New Roman"/>
          <w:i/>
          <w:iCs/>
          <w:lang w:val="en-US"/>
        </w:rPr>
        <w:t>et al.</w:t>
      </w:r>
      <w:r>
        <w:rPr>
          <w:rFonts w:ascii="Times New Roman" w:hAnsi="Times New Roman" w:cs="Times New Roman"/>
          <w:lang w:val="en-US"/>
        </w:rPr>
        <w:t>, 2022; Amo</w:t>
      </w:r>
      <w:r>
        <w:rPr>
          <w:rFonts w:ascii="Times New Roman" w:hAnsi="Times New Roman" w:cs="Times New Roman"/>
          <w:lang w:val="en-US"/>
        </w:rPr>
        <w:t>ako e</w:t>
      </w:r>
      <w:r>
        <w:rPr>
          <w:rFonts w:ascii="Times New Roman" w:hAnsi="Times New Roman" w:cs="Times New Roman"/>
          <w:i/>
          <w:iCs/>
          <w:lang w:val="en-US"/>
        </w:rPr>
        <w:t>t al.,</w:t>
      </w:r>
      <w:r>
        <w:rPr>
          <w:rFonts w:ascii="Times New Roman" w:hAnsi="Times New Roman" w:cs="Times New Roman"/>
          <w:lang w:val="en-US"/>
        </w:rPr>
        <w:t xml:space="preserve"> 2021, Posadas </w:t>
      </w:r>
      <w:r>
        <w:rPr>
          <w:rFonts w:ascii="Times New Roman" w:hAnsi="Times New Roman" w:cs="Times New Roman"/>
          <w:i/>
          <w:iCs/>
          <w:lang w:val="en-US"/>
        </w:rPr>
        <w:t>et al.</w:t>
      </w:r>
      <w:r>
        <w:rPr>
          <w:rFonts w:ascii="Times New Roman" w:hAnsi="Times New Roman" w:cs="Times New Roman"/>
          <w:lang w:val="en-US"/>
        </w:rPr>
        <w:t>, 2023).</w:t>
      </w:r>
    </w:p>
    <w:p w:rsidR="00427336" w:rsidRDefault="000120B4">
      <w:pPr>
        <w:spacing w:line="276" w:lineRule="auto"/>
        <w:jc w:val="both"/>
      </w:pPr>
      <w:r>
        <w:rPr>
          <w:rFonts w:ascii="Times New Roman" w:hAnsi="Times New Roman" w:cs="Times New Roman"/>
          <w:b/>
          <w:bCs/>
          <w:lang w:val="en-US"/>
        </w:rPr>
        <w:t>6.4 Implementation</w:t>
      </w:r>
    </w:p>
    <w:p w:rsidR="00427336" w:rsidRDefault="000120B4">
      <w:pPr>
        <w:spacing w:line="276" w:lineRule="auto"/>
        <w:ind w:firstLine="720"/>
        <w:jc w:val="both"/>
      </w:pPr>
      <w:r>
        <w:rPr>
          <w:rFonts w:ascii="Times New Roman" w:hAnsi="Times New Roman" w:cs="Times New Roman"/>
          <w:lang w:val="en-US"/>
        </w:rPr>
        <w:t xml:space="preserve">Altogether, it can be said that the </w:t>
      </w:r>
      <w:r>
        <w:rPr>
          <w:rFonts w:ascii="Times New Roman" w:hAnsi="Times New Roman" w:cs="Times New Roman"/>
          <w:i/>
          <w:iCs/>
          <w:lang w:val="en-US"/>
        </w:rPr>
        <w:t>implementation</w:t>
      </w:r>
      <w:r>
        <w:rPr>
          <w:rFonts w:ascii="Times New Roman" w:hAnsi="Times New Roman" w:cs="Times New Roman"/>
          <w:lang w:val="en-US"/>
        </w:rPr>
        <w:t xml:space="preserve"> of new accounting practices is influenced by a range of institutional factors, that can be categorized under </w:t>
      </w:r>
      <w:r>
        <w:rPr>
          <w:rFonts w:ascii="Times New Roman" w:hAnsi="Times New Roman" w:cs="Times New Roman"/>
          <w:i/>
          <w:iCs/>
          <w:lang w:val="en-US"/>
        </w:rPr>
        <w:t>(1)</w:t>
      </w:r>
      <w:r>
        <w:rPr>
          <w:rFonts w:ascii="Times New Roman" w:hAnsi="Times New Roman" w:cs="Times New Roman"/>
          <w:lang w:val="en-US"/>
        </w:rPr>
        <w:t xml:space="preserve"> regulatory compliance; </w:t>
      </w:r>
      <w:r>
        <w:rPr>
          <w:rFonts w:ascii="Times New Roman" w:hAnsi="Times New Roman" w:cs="Times New Roman"/>
          <w:i/>
          <w:iCs/>
          <w:lang w:val="en-US"/>
        </w:rPr>
        <w:t>(2)</w:t>
      </w:r>
      <w:r>
        <w:rPr>
          <w:rFonts w:ascii="Times New Roman" w:hAnsi="Times New Roman" w:cs="Times New Roman"/>
          <w:lang w:val="en-US"/>
        </w:rPr>
        <w:t xml:space="preserve"> industry standards adoption, and </w:t>
      </w:r>
      <w:r>
        <w:rPr>
          <w:rFonts w:ascii="Times New Roman" w:hAnsi="Times New Roman" w:cs="Times New Roman"/>
          <w:i/>
          <w:iCs/>
          <w:lang w:val="en-US"/>
        </w:rPr>
        <w:t xml:space="preserve">(3) </w:t>
      </w:r>
      <w:r>
        <w:rPr>
          <w:rFonts w:ascii="Times New Roman" w:hAnsi="Times New Roman" w:cs="Times New Roman"/>
          <w:lang w:val="en-US"/>
        </w:rPr>
        <w:t>the role of professional networks (</w:t>
      </w:r>
      <w:proofErr w:type="spellStart"/>
      <w:r>
        <w:rPr>
          <w:rFonts w:ascii="Times New Roman" w:hAnsi="Times New Roman" w:cs="Times New Roman"/>
          <w:lang w:val="en-US"/>
        </w:rPr>
        <w:t>Iredele</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,2019; </w:t>
      </w:r>
      <w:proofErr w:type="spellStart"/>
      <w:r>
        <w:rPr>
          <w:rFonts w:ascii="Times New Roman" w:hAnsi="Times New Roman" w:cs="Times New Roman"/>
          <w:lang w:val="en-US"/>
        </w:rPr>
        <w:t>Andajani</w:t>
      </w:r>
      <w:proofErr w:type="spellEnd"/>
      <w:r>
        <w:rPr>
          <w:rFonts w:ascii="Times New Roman" w:hAnsi="Times New Roman" w:cs="Times New Roman"/>
          <w:lang w:val="en-US"/>
        </w:rPr>
        <w:t xml:space="preserve"> &amp; </w:t>
      </w:r>
      <w:proofErr w:type="spellStart"/>
      <w:r>
        <w:rPr>
          <w:rFonts w:ascii="Times New Roman" w:hAnsi="Times New Roman" w:cs="Times New Roman"/>
          <w:lang w:val="en-US"/>
        </w:rPr>
        <w:t>Sawarjuwonot</w:t>
      </w:r>
      <w:proofErr w:type="spellEnd"/>
      <w:r>
        <w:rPr>
          <w:rFonts w:ascii="Times New Roman" w:hAnsi="Times New Roman" w:cs="Times New Roman"/>
          <w:lang w:val="en-US"/>
        </w:rPr>
        <w:t xml:space="preserve">, (2024) </w:t>
      </w:r>
    </w:p>
    <w:p w:rsidR="00427336" w:rsidRDefault="000120B4">
      <w:pPr>
        <w:spacing w:line="276" w:lineRule="auto"/>
        <w:jc w:val="both"/>
      </w:pPr>
      <w:r>
        <w:rPr>
          <w:rFonts w:ascii="Times New Roman" w:hAnsi="Times New Roman" w:cs="Times New Roman"/>
          <w:i/>
          <w:iCs/>
          <w:lang w:val="en-US"/>
        </w:rPr>
        <w:t>(</w:t>
      </w:r>
      <w:proofErr w:type="gramStart"/>
      <w:r>
        <w:rPr>
          <w:rFonts w:ascii="Times New Roman" w:hAnsi="Times New Roman" w:cs="Times New Roman"/>
          <w:i/>
          <w:iCs/>
          <w:lang w:val="en-US"/>
        </w:rPr>
        <w:t>1)Regulatory</w:t>
      </w:r>
      <w:proofErr w:type="gramEnd"/>
      <w:r>
        <w:rPr>
          <w:rFonts w:ascii="Times New Roman" w:hAnsi="Times New Roman" w:cs="Times New Roman"/>
          <w:i/>
          <w:iCs/>
          <w:lang w:val="en-US"/>
        </w:rPr>
        <w:t xml:space="preserve"> compliance</w:t>
      </w:r>
      <w:r>
        <w:rPr>
          <w:rFonts w:ascii="Times New Roman" w:hAnsi="Times New Roman" w:cs="Times New Roman"/>
          <w:lang w:val="en-US"/>
        </w:rPr>
        <w:t xml:space="preserve"> is a main driver in environments, where regulatory mandates force companies to adopt standardized accounting procedures. This external pressure results in increased uniformity in accounting practices, showing the effects of coercive isomorphism. In other </w:t>
      </w:r>
      <w:r>
        <w:rPr>
          <w:rFonts w:ascii="Times New Roman" w:hAnsi="Times New Roman" w:cs="Times New Roman"/>
          <w:lang w:val="en-US"/>
        </w:rPr>
        <w:t xml:space="preserve">countries where regulatory guidance is less explicit; </w:t>
      </w:r>
      <w:r>
        <w:rPr>
          <w:rFonts w:ascii="Times New Roman" w:hAnsi="Times New Roman" w:cs="Times New Roman"/>
          <w:i/>
          <w:lang w:val="en-US"/>
        </w:rPr>
        <w:t xml:space="preserve">(2) </w:t>
      </w:r>
      <w:r>
        <w:rPr>
          <w:rFonts w:ascii="Times New Roman" w:hAnsi="Times New Roman" w:cs="Times New Roman"/>
          <w:i/>
          <w:iCs/>
          <w:lang w:val="en-US"/>
        </w:rPr>
        <w:t>Industry standards adoption</w:t>
      </w:r>
      <w:r>
        <w:rPr>
          <w:rFonts w:ascii="Times New Roman" w:hAnsi="Times New Roman" w:cs="Times New Roman"/>
          <w:lang w:val="en-US"/>
        </w:rPr>
        <w:t xml:space="preserve"> plays a central role. Organizations often benchmark themselves against industry leaders or imitate best practices to drive their implementation of a new accounting system</w:t>
      </w:r>
      <w:r>
        <w:rPr>
          <w:rFonts w:ascii="Times New Roman" w:hAnsi="Times New Roman" w:cs="Times New Roman"/>
          <w:lang w:val="en-US"/>
        </w:rPr>
        <w:t xml:space="preserve">. This mimetic </w:t>
      </w:r>
      <w:proofErr w:type="spellStart"/>
      <w:r>
        <w:rPr>
          <w:rFonts w:ascii="Times New Roman" w:hAnsi="Times New Roman" w:cs="Times New Roman"/>
          <w:lang w:val="en-US"/>
        </w:rPr>
        <w:t>behaviour</w:t>
      </w:r>
      <w:proofErr w:type="spellEnd"/>
      <w:r>
        <w:rPr>
          <w:rFonts w:ascii="Times New Roman" w:hAnsi="Times New Roman" w:cs="Times New Roman"/>
          <w:lang w:val="en-US"/>
        </w:rPr>
        <w:t xml:space="preserve"> is evident in sustainability reporting practices on a global scale, where uncertainty or a lack of detailed regulation encourages reliance on the competitors` actions; (3) The influence of</w:t>
      </w:r>
      <w:r>
        <w:rPr>
          <w:rFonts w:ascii="Times New Roman" w:hAnsi="Times New Roman" w:cs="Times New Roman"/>
          <w:i/>
          <w:iCs/>
          <w:lang w:val="en-US"/>
        </w:rPr>
        <w:t xml:space="preserve"> professional networks</w:t>
      </w:r>
      <w:r>
        <w:rPr>
          <w:rFonts w:ascii="Times New Roman" w:hAnsi="Times New Roman" w:cs="Times New Roman"/>
          <w:lang w:val="en-US"/>
        </w:rPr>
        <w:t xml:space="preserve"> also significantly c</w:t>
      </w:r>
      <w:r>
        <w:rPr>
          <w:rFonts w:ascii="Times New Roman" w:hAnsi="Times New Roman" w:cs="Times New Roman"/>
          <w:lang w:val="en-US"/>
        </w:rPr>
        <w:t>ontributes to the normalization of new accounting standards. Consultants, academics, and professional associations serve as channels for promoting new practices. This normative isomorphic pressure is particularly obvious in environments where professionali</w:t>
      </w:r>
      <w:r>
        <w:rPr>
          <w:rFonts w:ascii="Times New Roman" w:hAnsi="Times New Roman" w:cs="Times New Roman"/>
          <w:lang w:val="en-US"/>
        </w:rPr>
        <w:t>zation is well established. (</w:t>
      </w:r>
      <w:proofErr w:type="spellStart"/>
      <w:r>
        <w:rPr>
          <w:rFonts w:ascii="Times New Roman" w:hAnsi="Times New Roman" w:cs="Times New Roman"/>
          <w:lang w:val="en-US"/>
        </w:rPr>
        <w:t>Iredele</w:t>
      </w:r>
      <w:proofErr w:type="spellEnd"/>
      <w:r>
        <w:rPr>
          <w:rFonts w:ascii="Times New Roman" w:hAnsi="Times New Roman" w:cs="Times New Roman"/>
          <w:lang w:val="en-US"/>
        </w:rPr>
        <w:t xml:space="preserve"> et al., 2019; </w:t>
      </w:r>
      <w:proofErr w:type="spellStart"/>
      <w:r>
        <w:rPr>
          <w:rFonts w:ascii="Times New Roman" w:hAnsi="Times New Roman" w:cs="Times New Roman"/>
          <w:lang w:val="en-US"/>
        </w:rPr>
        <w:t>Andajani</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2024)</w:t>
      </w:r>
    </w:p>
    <w:p w:rsidR="00427336" w:rsidRDefault="000120B4">
      <w:pPr>
        <w:spacing w:before="60" w:after="60" w:line="276" w:lineRule="auto"/>
        <w:ind w:firstLine="720"/>
        <w:jc w:val="both"/>
      </w:pPr>
      <w:r>
        <w:rPr>
          <w:rFonts w:ascii="Times New Roman" w:hAnsi="Times New Roman" w:cs="Times New Roman"/>
          <w:lang w:val="en-US"/>
        </w:rPr>
        <w:t>Coercive isomorphism plays a significant role in the application of Environmental Management Accounting and TCA. However, sustainability reporting is not solely motivated by coercive</w:t>
      </w:r>
      <w:r>
        <w:rPr>
          <w:rFonts w:ascii="Times New Roman" w:hAnsi="Times New Roman" w:cs="Times New Roman"/>
          <w:lang w:val="en-US"/>
        </w:rPr>
        <w:t xml:space="preserve"> measures. Additionally, mimetic isomorphism has a role, particularly in unclear situations. In these scenarios, companies adapt successful models from other companies, benchmark processes, and seek guidance from leaders in the field. This reduces uncertai</w:t>
      </w:r>
      <w:r>
        <w:rPr>
          <w:rFonts w:ascii="Times New Roman" w:hAnsi="Times New Roman" w:cs="Times New Roman"/>
          <w:lang w:val="en-US"/>
        </w:rPr>
        <w:t>nty and enhances corporate trust. Furthermore, the influence of professional networks, such as academics, professional associations, and consultants, further shapes accounting procedures through normative isomorphism. Through advocacy, education, and train</w:t>
      </w:r>
      <w:r>
        <w:rPr>
          <w:rFonts w:ascii="Times New Roman" w:hAnsi="Times New Roman" w:cs="Times New Roman"/>
          <w:lang w:val="en-US"/>
        </w:rPr>
        <w:t>ing, these actors help spread best practices and standards, bolstering the validity of sustainable reporting frameworks and innovative accounting techniques (</w:t>
      </w:r>
      <w:proofErr w:type="spellStart"/>
      <w:r>
        <w:rPr>
          <w:rFonts w:ascii="Times New Roman" w:hAnsi="Times New Roman" w:cs="Times New Roman"/>
          <w:lang w:val="en-US"/>
        </w:rPr>
        <w:t>Iredele</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2019; </w:t>
      </w:r>
      <w:proofErr w:type="spellStart"/>
      <w:r>
        <w:rPr>
          <w:rFonts w:ascii="Times New Roman" w:hAnsi="Times New Roman" w:cs="Times New Roman"/>
          <w:lang w:val="en-US"/>
        </w:rPr>
        <w:t>Andajani</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2024).</w:t>
      </w:r>
    </w:p>
    <w:p w:rsidR="00427336" w:rsidRDefault="00427336">
      <w:pPr>
        <w:spacing w:before="60" w:after="60" w:line="276" w:lineRule="auto"/>
        <w:ind w:firstLine="720"/>
        <w:jc w:val="both"/>
        <w:rPr>
          <w:rFonts w:ascii="Times New Roman" w:hAnsi="Times New Roman" w:cs="Times New Roman"/>
          <w:lang w:val="en-US"/>
        </w:rPr>
      </w:pPr>
    </w:p>
    <w:p w:rsidR="00427336" w:rsidRDefault="000120B4">
      <w:pPr>
        <w:spacing w:before="60" w:after="60" w:line="276" w:lineRule="auto"/>
        <w:jc w:val="both"/>
        <w:rPr>
          <w:rFonts w:ascii="Times New Roman" w:hAnsi="Times New Roman" w:cs="Times New Roman"/>
          <w:b/>
          <w:bCs/>
          <w:lang w:val="en-US"/>
        </w:rPr>
      </w:pPr>
      <w:r>
        <w:rPr>
          <w:rFonts w:ascii="Times New Roman" w:hAnsi="Times New Roman" w:cs="Times New Roman"/>
          <w:b/>
          <w:bCs/>
          <w:lang w:val="en-US"/>
        </w:rPr>
        <w:t>6.5 Conclusion about isomorphism</w:t>
      </w:r>
    </w:p>
    <w:p w:rsidR="00427336" w:rsidRDefault="000120B4">
      <w:pPr>
        <w:spacing w:before="160" w:after="60" w:line="276" w:lineRule="auto"/>
        <w:jc w:val="both"/>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In conclusion: Coe</w:t>
      </w:r>
      <w:r>
        <w:rPr>
          <w:rFonts w:ascii="Times New Roman" w:eastAsia="Times New Roman" w:hAnsi="Times New Roman" w:cs="Times New Roman"/>
          <w:color w:val="000000"/>
          <w:lang w:val="en-US"/>
        </w:rPr>
        <w:t>rcive, mimetic, and normative isomorphisms are working together to create recognizable patterns of adapting new processes. Across different countries and regions, companies respond to institutional demands by aligning their practices with dominant norms, r</w:t>
      </w:r>
      <w:r>
        <w:rPr>
          <w:rFonts w:ascii="Times New Roman" w:eastAsia="Times New Roman" w:hAnsi="Times New Roman" w:cs="Times New Roman"/>
          <w:color w:val="000000"/>
          <w:lang w:val="en-US"/>
        </w:rPr>
        <w:t xml:space="preserve">egulations, and industry standards. This results in increasing </w:t>
      </w:r>
      <w:r>
        <w:rPr>
          <w:rFonts w:ascii="Times New Roman" w:eastAsia="Times New Roman" w:hAnsi="Times New Roman" w:cs="Times New Roman"/>
          <w:color w:val="000000"/>
          <w:lang w:val="en-US"/>
        </w:rPr>
        <w:lastRenderedPageBreak/>
        <w:t>homogenization of accounting practices. Several authors highlight the role of internal decision-making and firm-specific drivers in shaping responses to institutional pressures.</w:t>
      </w:r>
    </w:p>
    <w:p w:rsidR="00427336" w:rsidRDefault="000120B4">
      <w:pPr>
        <w:spacing w:before="160" w:after="60" w:line="276" w:lineRule="auto"/>
        <w:jc w:val="both"/>
      </w:pPr>
      <w:r>
        <w:rPr>
          <w:rFonts w:cs="Times New Roman"/>
          <w:b/>
          <w:bCs/>
          <w:color w:val="000000"/>
          <w:sz w:val="28"/>
          <w:szCs w:val="28"/>
          <w:lang w:val="en-US"/>
        </w:rPr>
        <w:t xml:space="preserve">7 </w:t>
      </w:r>
      <w:bookmarkStart w:id="8" w:name="_Toc198505565"/>
      <w:r>
        <w:rPr>
          <w:rFonts w:cs="Times New Roman"/>
          <w:b/>
          <w:bCs/>
          <w:color w:val="000000"/>
          <w:sz w:val="28"/>
          <w:szCs w:val="28"/>
          <w:lang w:val="en-US"/>
        </w:rPr>
        <w:t>The four dime</w:t>
      </w:r>
      <w:r>
        <w:rPr>
          <w:rFonts w:cs="Times New Roman"/>
          <w:b/>
          <w:bCs/>
          <w:color w:val="000000"/>
          <w:sz w:val="28"/>
          <w:szCs w:val="28"/>
          <w:lang w:val="en-US"/>
        </w:rPr>
        <w:t>nsions of successful implementation of TCA</w:t>
      </w:r>
      <w:bookmarkEnd w:id="8"/>
    </w:p>
    <w:p w:rsidR="00427336" w:rsidRDefault="000120B4">
      <w:pPr>
        <w:spacing w:line="276" w:lineRule="auto"/>
        <w:jc w:val="both"/>
      </w:pPr>
      <w:r>
        <w:rPr>
          <w:rFonts w:ascii="Times New Roman" w:eastAsia="Times New Roman" w:hAnsi="Times New Roman" w:cs="Times New Roman"/>
          <w:lang w:val="en-US"/>
        </w:rPr>
        <w:t>As companies and policymakers have an increasing interest in sustainability, True Cost Accounting (TCA) has emerged as a key tool to capture the full spectrum of impacts related to production and consumption. This</w:t>
      </w:r>
      <w:r>
        <w:rPr>
          <w:rFonts w:ascii="Times New Roman" w:eastAsia="Times New Roman" w:hAnsi="Times New Roman" w:cs="Times New Roman"/>
          <w:lang w:val="en-US"/>
        </w:rPr>
        <w:t xml:space="preserve"> section dives into four key dimensions of TCA: ethical, instrumental, environmental, and regulatory. Each dimension offers a specific point of view to evaluate corporate responsibility and the long-term value creation beyond traditional financial methods.</w:t>
      </w:r>
    </w:p>
    <w:p w:rsidR="00427336" w:rsidRDefault="000120B4">
      <w:pPr>
        <w:pStyle w:val="Heading2"/>
        <w:spacing w:line="276" w:lineRule="auto"/>
        <w:ind w:left="576"/>
      </w:pPr>
      <w:r>
        <w:rPr>
          <w:rFonts w:eastAsia="Times New Roman" w:cs="Times New Roman"/>
          <w:b/>
          <w:bCs/>
          <w:color w:val="000000"/>
          <w:sz w:val="24"/>
          <w:szCs w:val="24"/>
          <w:lang w:val="en-US"/>
        </w:rPr>
        <w:t xml:space="preserve">7.1 </w:t>
      </w:r>
      <w:bookmarkStart w:id="9" w:name="_Toc198505566"/>
      <w:r>
        <w:rPr>
          <w:rFonts w:eastAsia="Times New Roman" w:cs="Times New Roman"/>
          <w:b/>
          <w:bCs/>
          <w:color w:val="000000"/>
          <w:sz w:val="24"/>
          <w:szCs w:val="24"/>
          <w:lang w:val="en-US"/>
        </w:rPr>
        <w:t>The ethical dimension of T</w:t>
      </w:r>
      <w:bookmarkEnd w:id="9"/>
      <w:r>
        <w:rPr>
          <w:rFonts w:eastAsia="Times New Roman" w:cs="Times New Roman"/>
          <w:b/>
          <w:bCs/>
          <w:color w:val="000000"/>
          <w:sz w:val="24"/>
          <w:szCs w:val="24"/>
          <w:lang w:val="en-US"/>
        </w:rPr>
        <w:t>CA</w:t>
      </w:r>
    </w:p>
    <w:p w:rsidR="00427336" w:rsidRDefault="000120B4">
      <w:pPr>
        <w:spacing w:before="240" w:line="276" w:lineRule="auto"/>
        <w:ind w:firstLine="567"/>
        <w:jc w:val="both"/>
      </w:pPr>
      <w:r>
        <w:rPr>
          <w:rFonts w:ascii="Times New Roman" w:hAnsi="Times New Roman" w:cs="Times New Roman"/>
          <w:lang w:val="en-US"/>
        </w:rPr>
        <w:t xml:space="preserve">The ethical dimension of TCA focuses on transparent reporting practices and integrating social issues. </w:t>
      </w:r>
      <w:proofErr w:type="spellStart"/>
      <w:r>
        <w:rPr>
          <w:rFonts w:ascii="Times New Roman" w:hAnsi="Times New Roman" w:cs="Times New Roman"/>
          <w:lang w:val="en-US"/>
        </w:rPr>
        <w:t>Schaltegger</w:t>
      </w:r>
      <w:proofErr w:type="spellEnd"/>
      <w:r>
        <w:rPr>
          <w:rFonts w:ascii="Times New Roman" w:hAnsi="Times New Roman" w:cs="Times New Roman"/>
          <w:lang w:val="en-US"/>
        </w:rPr>
        <w:t xml:space="preserve"> (1997) and </w:t>
      </w:r>
      <w:proofErr w:type="spellStart"/>
      <w:r>
        <w:rPr>
          <w:rFonts w:ascii="Times New Roman" w:hAnsi="Times New Roman" w:cs="Times New Roman"/>
          <w:lang w:val="en-US"/>
        </w:rPr>
        <w:t>Schaltegger</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(2006) argue that accurate information and robust measurement tools are necessary for effective stakeholder involvement and accountability. Four studies mention transparency as the most consistent ethical consideration, with three studies additionally emp</w:t>
      </w:r>
      <w:r>
        <w:rPr>
          <w:rFonts w:ascii="Times New Roman" w:hAnsi="Times New Roman" w:cs="Times New Roman"/>
          <w:lang w:val="en-US"/>
        </w:rPr>
        <w:t xml:space="preserve">hasizing accountability in reporting practices </w:t>
      </w:r>
      <w:r>
        <w:rPr>
          <w:rFonts w:ascii="Times New Roman" w:eastAsia="Times New Roman" w:hAnsi="Times New Roman" w:cs="Times New Roman"/>
          <w:lang w:val="en-US"/>
        </w:rPr>
        <w:t>(</w:t>
      </w:r>
      <w:proofErr w:type="spellStart"/>
      <w:r>
        <w:rPr>
          <w:rFonts w:ascii="Times New Roman" w:eastAsia="Times New Roman" w:hAnsi="Times New Roman" w:cs="Times New Roman"/>
          <w:lang w:val="en-US"/>
        </w:rPr>
        <w:t>Schaltegger</w:t>
      </w:r>
      <w:proofErr w:type="spellEnd"/>
      <w:r>
        <w:rPr>
          <w:rFonts w:ascii="Times New Roman" w:eastAsia="Times New Roman" w:hAnsi="Times New Roman" w:cs="Times New Roman"/>
          <w:lang w:val="en-US"/>
        </w:rPr>
        <w:t xml:space="preserve"> &amp; Burritt, 2000; </w:t>
      </w:r>
      <w:proofErr w:type="spellStart"/>
      <w:r>
        <w:rPr>
          <w:rFonts w:ascii="Times New Roman" w:eastAsia="Times New Roman" w:hAnsi="Times New Roman" w:cs="Times New Roman"/>
          <w:lang w:val="en-US"/>
        </w:rPr>
        <w:t>Schaltegger</w:t>
      </w:r>
      <w:proofErr w:type="spellEnd"/>
      <w:r>
        <w:rPr>
          <w:rFonts w:ascii="Times New Roman" w:eastAsia="Times New Roman" w:hAnsi="Times New Roman" w:cs="Times New Roman"/>
          <w:lang w:val="en-US"/>
        </w:rPr>
        <w:t xml:space="preserve">, 1997). </w:t>
      </w:r>
      <w:r>
        <w:rPr>
          <w:rFonts w:ascii="Times New Roman" w:hAnsi="Times New Roman" w:cs="Times New Roman"/>
          <w:lang w:val="en-US"/>
        </w:rPr>
        <w:t xml:space="preserve">Empirical evidence shows cultural variations. </w:t>
      </w:r>
      <w:proofErr w:type="spellStart"/>
      <w:r>
        <w:rPr>
          <w:rFonts w:ascii="Times New Roman" w:hAnsi="Times New Roman" w:cs="Times New Roman"/>
          <w:lang w:val="en-US"/>
        </w:rPr>
        <w:t>Kurpierz</w:t>
      </w:r>
      <w:proofErr w:type="spellEnd"/>
      <w:r>
        <w:rPr>
          <w:rFonts w:ascii="Times New Roman" w:hAnsi="Times New Roman" w:cs="Times New Roman"/>
          <w:lang w:val="en-US"/>
        </w:rPr>
        <w:t xml:space="preserve"> and Smith (2020) describe challenges such as greenwashing and information asymmetry, supporting internat</w:t>
      </w:r>
      <w:r>
        <w:rPr>
          <w:rFonts w:ascii="Times New Roman" w:hAnsi="Times New Roman" w:cs="Times New Roman"/>
          <w:lang w:val="en-US"/>
        </w:rPr>
        <w:t xml:space="preserve">ional frameworks (e.g., Global Reporting Initiative) and tools like Environmental Management Accounting to support ethical reporting. (Hamid </w:t>
      </w:r>
      <w:r>
        <w:rPr>
          <w:rFonts w:ascii="Times New Roman" w:hAnsi="Times New Roman" w:cs="Times New Roman"/>
          <w:i/>
          <w:iCs/>
          <w:lang w:val="en-US"/>
        </w:rPr>
        <w:t>et al.,</w:t>
      </w:r>
      <w:r>
        <w:rPr>
          <w:rFonts w:ascii="Times New Roman" w:hAnsi="Times New Roman" w:cs="Times New Roman"/>
          <w:lang w:val="en-US"/>
        </w:rPr>
        <w:t xml:space="preserve"> 2020; </w:t>
      </w:r>
      <w:proofErr w:type="spellStart"/>
      <w:r>
        <w:rPr>
          <w:rFonts w:ascii="Times New Roman" w:hAnsi="Times New Roman" w:cs="Times New Roman"/>
          <w:lang w:val="en-US"/>
        </w:rPr>
        <w:t>Kurpierz</w:t>
      </w:r>
      <w:proofErr w:type="spellEnd"/>
      <w:r>
        <w:rPr>
          <w:rFonts w:ascii="Times New Roman" w:hAnsi="Times New Roman" w:cs="Times New Roman"/>
          <w:lang w:val="en-US"/>
        </w:rPr>
        <w:t xml:space="preserve"> &amp; Smith, 2020). Greenwashing “being </w:t>
      </w:r>
      <w:proofErr w:type="spellStart"/>
      <w:r>
        <w:rPr>
          <w:rFonts w:ascii="Times New Roman" w:hAnsi="Times New Roman" w:cs="Times New Roman"/>
          <w:lang w:val="en-US"/>
        </w:rPr>
        <w:t>behaviour</w:t>
      </w:r>
      <w:proofErr w:type="spellEnd"/>
      <w:r>
        <w:rPr>
          <w:rFonts w:ascii="Times New Roman" w:hAnsi="Times New Roman" w:cs="Times New Roman"/>
          <w:lang w:val="en-US"/>
        </w:rPr>
        <w:t xml:space="preserve"> or activities that make people believe that a </w:t>
      </w:r>
      <w:r>
        <w:rPr>
          <w:rFonts w:ascii="Times New Roman" w:hAnsi="Times New Roman" w:cs="Times New Roman"/>
          <w:lang w:val="en-US"/>
        </w:rPr>
        <w:t>company is doing more to protect the environment than it really is” (Cambridge Dictionary, 2025)</w:t>
      </w:r>
    </w:p>
    <w:p w:rsidR="00427336" w:rsidRDefault="000120B4">
      <w:pPr>
        <w:spacing w:line="276" w:lineRule="auto"/>
        <w:ind w:firstLine="360"/>
        <w:jc w:val="both"/>
      </w:pPr>
      <w:r>
        <w:rPr>
          <w:rFonts w:ascii="Times New Roman" w:hAnsi="Times New Roman" w:cs="Times New Roman"/>
          <w:i/>
          <w:iCs/>
          <w:lang w:val="en-US"/>
        </w:rPr>
        <w:t>7.1.1 Key ethical dimensions</w:t>
      </w:r>
    </w:p>
    <w:p w:rsidR="00427336" w:rsidRDefault="000120B4">
      <w:pPr>
        <w:pStyle w:val="ListParagraph"/>
        <w:numPr>
          <w:ilvl w:val="0"/>
          <w:numId w:val="3"/>
        </w:numPr>
        <w:spacing w:line="276" w:lineRule="auto"/>
        <w:jc w:val="both"/>
      </w:pPr>
      <w:r>
        <w:rPr>
          <w:rFonts w:ascii="Times New Roman" w:hAnsi="Times New Roman" w:cs="Times New Roman"/>
          <w:lang w:val="en-US"/>
        </w:rPr>
        <w:t>Corporate Social Responsibility (CSR) reporting or disclosure frameworks.</w:t>
      </w:r>
    </w:p>
    <w:p w:rsidR="00427336" w:rsidRDefault="000120B4">
      <w:pPr>
        <w:pStyle w:val="ListParagraph"/>
        <w:numPr>
          <w:ilvl w:val="0"/>
          <w:numId w:val="3"/>
        </w:numPr>
        <w:spacing w:line="276" w:lineRule="auto"/>
        <w:jc w:val="both"/>
      </w:pPr>
      <w:r>
        <w:rPr>
          <w:rFonts w:ascii="Times New Roman" w:hAnsi="Times New Roman" w:cs="Times New Roman"/>
          <w:lang w:val="en-US"/>
        </w:rPr>
        <w:t>Sustainability, green, or ecological accounting framewor</w:t>
      </w:r>
      <w:r>
        <w:rPr>
          <w:rFonts w:ascii="Times New Roman" w:hAnsi="Times New Roman" w:cs="Times New Roman"/>
          <w:lang w:val="en-US"/>
        </w:rPr>
        <w:t>ks.</w:t>
      </w:r>
    </w:p>
    <w:p w:rsidR="00427336" w:rsidRDefault="000120B4">
      <w:pPr>
        <w:pStyle w:val="ListParagraph"/>
        <w:numPr>
          <w:ilvl w:val="0"/>
          <w:numId w:val="3"/>
        </w:numPr>
        <w:spacing w:line="276" w:lineRule="auto"/>
      </w:pPr>
      <w:r>
        <w:rPr>
          <w:rFonts w:ascii="Times New Roman" w:hAnsi="Times New Roman" w:cs="Times New Roman"/>
          <w:lang w:val="en-US"/>
        </w:rPr>
        <w:t>Other frameworks containing international standards, social/ethical accounting, Global Reporting Initiative (GRI) and International Integrated Reporting Council (IIRC), fraud/greenwashing, Islamic/faith-based, Carroll’s dimensions (Hamid et. al. 2020),</w:t>
      </w:r>
      <w:r>
        <w:rPr>
          <w:rFonts w:ascii="Times New Roman" w:hAnsi="Times New Roman" w:cs="Times New Roman"/>
          <w:lang w:val="en-US"/>
        </w:rPr>
        <w:t xml:space="preserve"> and normative/ethical research.</w:t>
      </w:r>
    </w:p>
    <w:p w:rsidR="00427336" w:rsidRDefault="000120B4">
      <w:pPr>
        <w:pStyle w:val="ListParagraph"/>
        <w:numPr>
          <w:ilvl w:val="0"/>
          <w:numId w:val="3"/>
        </w:numPr>
        <w:spacing w:line="276" w:lineRule="auto"/>
        <w:jc w:val="both"/>
      </w:pPr>
      <w:r>
        <w:rPr>
          <w:rFonts w:ascii="Times New Roman" w:hAnsi="Times New Roman" w:cs="Times New Roman"/>
          <w:lang w:val="en-US"/>
        </w:rPr>
        <w:t xml:space="preserve">Some studies have referenced multiple frameworks </w:t>
      </w:r>
      <w:r>
        <w:rPr>
          <w:rFonts w:ascii="Times New Roman" w:hAnsi="Times New Roman" w:cs="Times New Roman"/>
          <w:i/>
          <w:iCs/>
          <w:lang w:val="en-US"/>
        </w:rPr>
        <w:t>(</w:t>
      </w:r>
      <w:r>
        <w:rPr>
          <w:rFonts w:ascii="Times New Roman" w:hAnsi="Times New Roman" w:cs="Times New Roman"/>
          <w:lang w:val="en-US"/>
        </w:rPr>
        <w:t xml:space="preserve">Lusher &amp; Way, 2012; </w:t>
      </w:r>
      <w:proofErr w:type="spellStart"/>
      <w:r>
        <w:rPr>
          <w:rFonts w:ascii="Times New Roman" w:hAnsi="Times New Roman" w:cs="Times New Roman"/>
          <w:lang w:val="en-US"/>
        </w:rPr>
        <w:t>Schaltegger</w:t>
      </w:r>
      <w:proofErr w:type="spellEnd"/>
      <w:r>
        <w:rPr>
          <w:rFonts w:ascii="Times New Roman" w:hAnsi="Times New Roman" w:cs="Times New Roman"/>
          <w:lang w:val="en-US"/>
        </w:rPr>
        <w:t xml:space="preserve">, 1997; </w:t>
      </w:r>
      <w:proofErr w:type="spellStart"/>
      <w:r>
        <w:rPr>
          <w:rFonts w:ascii="Times New Roman" w:hAnsi="Times New Roman" w:cs="Times New Roman"/>
          <w:lang w:val="en-US"/>
        </w:rPr>
        <w:t>Schaltegger</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2006</w:t>
      </w:r>
      <w:r>
        <w:rPr>
          <w:rFonts w:ascii="Times New Roman" w:hAnsi="Times New Roman" w:cs="Times New Roman"/>
          <w:i/>
          <w:iCs/>
          <w:lang w:val="en-US"/>
        </w:rPr>
        <w:t>).</w:t>
      </w:r>
    </w:p>
    <w:p w:rsidR="00427336" w:rsidRDefault="000120B4">
      <w:pPr>
        <w:spacing w:line="276" w:lineRule="auto"/>
        <w:jc w:val="both"/>
      </w:pPr>
      <w:r>
        <w:rPr>
          <w:rFonts w:ascii="Times New Roman" w:hAnsi="Times New Roman" w:cs="Times New Roman"/>
          <w:lang w:val="en-US"/>
        </w:rPr>
        <w:t>Several studies recognize the importance of the integration of ethical aspects into TCA. More authors menti</w:t>
      </w:r>
      <w:r>
        <w:rPr>
          <w:rFonts w:ascii="Times New Roman" w:hAnsi="Times New Roman" w:cs="Times New Roman"/>
          <w:lang w:val="en-US"/>
        </w:rPr>
        <w:t>on the need for accurate, reliable, and transparent information to support ethical stakeholder engagement and accountability. The practical implementation of comprehensive ethical measurement tools remains limited, because many companies are lacking robust</w:t>
      </w:r>
      <w:r>
        <w:rPr>
          <w:rFonts w:ascii="Times New Roman" w:hAnsi="Times New Roman" w:cs="Times New Roman"/>
          <w:lang w:val="en-US"/>
        </w:rPr>
        <w:t xml:space="preserve"> frameworks to be able to assess social and ethical performance. Some authors mention the role of different international standards, like the Global Reporting Initiative (GRI) and the International Integrated Reporting Council (IIRC), as main contributors </w:t>
      </w:r>
      <w:r>
        <w:rPr>
          <w:rFonts w:ascii="Times New Roman" w:hAnsi="Times New Roman" w:cs="Times New Roman"/>
          <w:lang w:val="en-US"/>
        </w:rPr>
        <w:t xml:space="preserve">in shaping ethical or green reporting. </w:t>
      </w:r>
      <w:proofErr w:type="spellStart"/>
      <w:r>
        <w:rPr>
          <w:rFonts w:ascii="Times New Roman" w:hAnsi="Times New Roman" w:cs="Times New Roman"/>
          <w:lang w:val="en-US"/>
        </w:rPr>
        <w:t>Kurpierz</w:t>
      </w:r>
      <w:proofErr w:type="spellEnd"/>
      <w:r>
        <w:rPr>
          <w:rFonts w:ascii="Times New Roman" w:hAnsi="Times New Roman" w:cs="Times New Roman"/>
          <w:lang w:val="en-US"/>
        </w:rPr>
        <w:t xml:space="preserve"> and Smith (2020) suggest adapting anti-fraud tools into Corporate </w:t>
      </w:r>
      <w:r>
        <w:rPr>
          <w:rFonts w:ascii="Times New Roman" w:hAnsi="Times New Roman" w:cs="Times New Roman"/>
          <w:lang w:val="en-US"/>
        </w:rPr>
        <w:lastRenderedPageBreak/>
        <w:t>Social Responsibility reporting to avoid greenwashing and enhance the integrity of ethical disclosures.</w:t>
      </w:r>
    </w:p>
    <w:p w:rsidR="00427336" w:rsidRDefault="000120B4">
      <w:pPr>
        <w:spacing w:line="276" w:lineRule="auto"/>
        <w:jc w:val="both"/>
        <w:rPr>
          <w:rFonts w:ascii="Times New Roman" w:hAnsi="Times New Roman" w:cs="Times New Roman"/>
          <w:lang w:val="en-US"/>
        </w:rPr>
      </w:pPr>
      <w:r>
        <w:rPr>
          <w:rFonts w:ascii="Times New Roman" w:hAnsi="Times New Roman" w:cs="Times New Roman"/>
          <w:lang w:val="en-US"/>
        </w:rPr>
        <w:t>After reviewing the literature, the fo</w:t>
      </w:r>
      <w:r>
        <w:rPr>
          <w:rFonts w:ascii="Times New Roman" w:hAnsi="Times New Roman" w:cs="Times New Roman"/>
          <w:lang w:val="en-US"/>
        </w:rPr>
        <w:t>llowing categories of implementation challenges and best practices to address ethical issues in TCA have been identified:</w:t>
      </w:r>
    </w:p>
    <w:p w:rsidR="00427336" w:rsidRDefault="00427336">
      <w:pPr>
        <w:spacing w:line="276" w:lineRule="auto"/>
        <w:jc w:val="both"/>
        <w:rPr>
          <w:rFonts w:ascii="Times New Roman" w:hAnsi="Times New Roman" w:cs="Times New Roman"/>
          <w:lang w:val="en-US"/>
        </w:rPr>
      </w:pPr>
    </w:p>
    <w:p w:rsidR="00427336" w:rsidRDefault="000120B4">
      <w:pPr>
        <w:pStyle w:val="Caption"/>
        <w:spacing w:line="276" w:lineRule="auto"/>
        <w:jc w:val="center"/>
        <w:rPr>
          <w:b/>
          <w:bCs/>
          <w:i w:val="0"/>
          <w:iCs w:val="0"/>
          <w:lang w:val="en-US"/>
        </w:rPr>
      </w:pPr>
      <w:r>
        <w:rPr>
          <w:rFonts w:ascii="Times New Roman" w:hAnsi="Times New Roman" w:cs="Times New Roman"/>
          <w:b/>
          <w:bCs/>
          <w:i w:val="0"/>
          <w:iCs w:val="0"/>
          <w:sz w:val="24"/>
          <w:szCs w:val="24"/>
          <w:lang w:val="en-US"/>
        </w:rPr>
        <w:t xml:space="preserve">Table </w:t>
      </w:r>
      <w:r>
        <w:rPr>
          <w:rFonts w:ascii="Times New Roman" w:hAnsi="Times New Roman" w:cs="Times New Roman"/>
          <w:b/>
          <w:bCs/>
          <w:i w:val="0"/>
          <w:iCs w:val="0"/>
          <w:sz w:val="24"/>
          <w:szCs w:val="24"/>
          <w:lang w:val="en-US"/>
        </w:rPr>
        <w:fldChar w:fldCharType="begin"/>
      </w:r>
      <w:r>
        <w:rPr>
          <w:rFonts w:ascii="Times New Roman" w:hAnsi="Times New Roman" w:cs="Times New Roman"/>
          <w:b/>
          <w:bCs/>
          <w:i w:val="0"/>
          <w:iCs w:val="0"/>
          <w:sz w:val="24"/>
          <w:szCs w:val="24"/>
          <w:lang w:val="en-US"/>
        </w:rPr>
        <w:instrText xml:space="preserve"> SEQ Table \* ARABIC </w:instrText>
      </w:r>
      <w:r>
        <w:rPr>
          <w:rFonts w:ascii="Times New Roman" w:hAnsi="Times New Roman" w:cs="Times New Roman"/>
          <w:b/>
          <w:bCs/>
          <w:i w:val="0"/>
          <w:iCs w:val="0"/>
          <w:sz w:val="24"/>
          <w:szCs w:val="24"/>
          <w:lang w:val="en-US"/>
        </w:rPr>
        <w:fldChar w:fldCharType="separate"/>
      </w:r>
      <w:r>
        <w:rPr>
          <w:rFonts w:ascii="Times New Roman" w:hAnsi="Times New Roman" w:cs="Times New Roman"/>
          <w:b/>
          <w:bCs/>
          <w:i w:val="0"/>
          <w:iCs w:val="0"/>
          <w:sz w:val="24"/>
          <w:szCs w:val="24"/>
          <w:lang w:val="en-US"/>
        </w:rPr>
        <w:t>5</w:t>
      </w:r>
      <w:r>
        <w:rPr>
          <w:rFonts w:ascii="Times New Roman" w:hAnsi="Times New Roman" w:cs="Times New Roman"/>
          <w:b/>
          <w:bCs/>
          <w:i w:val="0"/>
          <w:iCs w:val="0"/>
          <w:sz w:val="24"/>
          <w:szCs w:val="24"/>
          <w:lang w:val="en-US"/>
        </w:rPr>
        <w:fldChar w:fldCharType="end"/>
      </w:r>
      <w:r>
        <w:rPr>
          <w:rFonts w:ascii="Times New Roman" w:hAnsi="Times New Roman" w:cs="Times New Roman"/>
          <w:b/>
          <w:bCs/>
          <w:i w:val="0"/>
          <w:iCs w:val="0"/>
          <w:sz w:val="24"/>
          <w:szCs w:val="24"/>
          <w:lang w:val="en-US"/>
        </w:rPr>
        <w:t xml:space="preserve"> Synthesis of findings on key Ethical Features of TCA</w:t>
      </w:r>
    </w:p>
    <w:tbl>
      <w:tblPr>
        <w:tblStyle w:val="GridTable5Dark-Accent6"/>
        <w:tblW w:w="9016" w:type="dxa"/>
        <w:shd w:val="clear" w:color="auto" w:fill="E2EFD9"/>
        <w:tblLayout w:type="fixed"/>
        <w:tblLook w:val="04A0" w:firstRow="1" w:lastRow="0" w:firstColumn="1" w:lastColumn="0" w:noHBand="0" w:noVBand="1"/>
      </w:tblPr>
      <w:tblGrid>
        <w:gridCol w:w="1842"/>
        <w:gridCol w:w="2511"/>
        <w:gridCol w:w="2373"/>
        <w:gridCol w:w="2290"/>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Ethical Component</w:t>
            </w:r>
          </w:p>
        </w:tc>
        <w:tc>
          <w:tcPr>
            <w:tcW w:w="2511" w:type="dxa"/>
            <w:tcBorders>
              <w:bottom w:val="nil"/>
            </w:tcBorders>
          </w:tcPr>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Implementation Challenge</w:t>
            </w:r>
          </w:p>
        </w:tc>
        <w:tc>
          <w:tcPr>
            <w:tcW w:w="2373" w:type="dxa"/>
            <w:tcBorders>
              <w:bottom w:val="nil"/>
            </w:tcBorders>
          </w:tcPr>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 xml:space="preserve">Best </w:t>
            </w:r>
            <w:r>
              <w:rPr>
                <w:rFonts w:ascii="Times New Roman" w:hAnsi="Times New Roman" w:cs="Times New Roman"/>
                <w:color w:val="FFFFFF" w:themeColor="background1"/>
                <w:sz w:val="22"/>
                <w:szCs w:val="22"/>
                <w:lang w:val="en-US"/>
              </w:rPr>
              <w:t>Practice</w:t>
            </w:r>
          </w:p>
        </w:tc>
        <w:tc>
          <w:tcPr>
            <w:tcW w:w="2290" w:type="dxa"/>
            <w:tcBorders>
              <w:bottom w:val="nil"/>
            </w:tcBorders>
          </w:tcPr>
          <w:p w:rsidR="00427336" w:rsidRDefault="000120B4">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Future Direction</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b w:val="0"/>
                <w:bCs w:val="0"/>
                <w:color w:val="FFFFFF" w:themeColor="background1"/>
                <w:sz w:val="22"/>
                <w:szCs w:val="22"/>
                <w:lang w:val="en-US"/>
              </w:rPr>
              <w:t>Integration of ethical issues in green accounting</w:t>
            </w:r>
          </w:p>
        </w:tc>
        <w:tc>
          <w:tcPr>
            <w:tcW w:w="2511"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Lack of comprehensive measurement tools; early stage of development</w:t>
            </w:r>
          </w:p>
        </w:tc>
        <w:tc>
          <w:tcPr>
            <w:tcW w:w="2373"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Use of Environmental Management Accounting, stakeholder engagement, alignment with religious or ethical values</w:t>
            </w:r>
          </w:p>
        </w:tc>
        <w:tc>
          <w:tcPr>
            <w:tcW w:w="2290"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Develop standardized frameworks, expand measurement tools</w:t>
            </w:r>
          </w:p>
        </w:tc>
      </w:tr>
      <w:tr w:rsidR="00427336" w:rsidTr="00427336">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b w:val="0"/>
                <w:bCs w:val="0"/>
                <w:color w:val="FFFFFF" w:themeColor="background1"/>
                <w:sz w:val="22"/>
                <w:szCs w:val="22"/>
                <w:lang w:val="en-US"/>
              </w:rPr>
              <w:t>Information quality and transparency</w:t>
            </w:r>
          </w:p>
        </w:tc>
        <w:tc>
          <w:tcPr>
            <w:tcW w:w="2511"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Poor-quality information, information asymmetry, greenwashing</w:t>
            </w:r>
          </w:p>
        </w:tc>
        <w:tc>
          <w:tcPr>
            <w:tcW w:w="2373"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International standards, anti-fraud mechanisms</w:t>
            </w:r>
          </w:p>
        </w:tc>
        <w:tc>
          <w:tcPr>
            <w:tcW w:w="2290"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Strengthen regulatory oversight, adapt fraud detect</w:t>
            </w:r>
            <w:r>
              <w:rPr>
                <w:rFonts w:ascii="Times New Roman" w:hAnsi="Times New Roman" w:cs="Times New Roman"/>
                <w:sz w:val="22"/>
                <w:szCs w:val="22"/>
                <w:lang w:val="en-US"/>
              </w:rPr>
              <w:t>ion tools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b w:val="0"/>
                <w:bCs w:val="0"/>
                <w:color w:val="FFFFFF" w:themeColor="background1"/>
                <w:sz w:val="22"/>
                <w:szCs w:val="22"/>
                <w:lang w:val="en-US"/>
              </w:rPr>
              <w:t>Stakeholder-driven ethical disclosure</w:t>
            </w:r>
          </w:p>
        </w:tc>
        <w:tc>
          <w:tcPr>
            <w:tcW w:w="2511"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Limited public pressure in developing countries, external motivation</w:t>
            </w:r>
          </w:p>
        </w:tc>
        <w:tc>
          <w:tcPr>
            <w:tcW w:w="2373"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Responsive governance, stakeholder engagement</w:t>
            </w:r>
          </w:p>
        </w:tc>
        <w:tc>
          <w:tcPr>
            <w:tcW w:w="2290" w:type="dxa"/>
          </w:tcPr>
          <w:p w:rsidR="00427336" w:rsidRDefault="000120B4">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Build local stake-holder awareness, enhance public pressure</w:t>
            </w:r>
          </w:p>
        </w:tc>
      </w:tr>
      <w:tr w:rsidR="00427336" w:rsidTr="00427336">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after="0" w:line="240" w:lineRule="auto"/>
              <w:jc w:val="both"/>
              <w:rPr>
                <w:rFonts w:ascii="Times New Roman" w:hAnsi="Times New Roman" w:cs="Times New Roman"/>
                <w:lang w:val="en-US"/>
              </w:rPr>
            </w:pPr>
            <w:r>
              <w:rPr>
                <w:rFonts w:ascii="Times New Roman" w:hAnsi="Times New Roman" w:cs="Times New Roman"/>
                <w:b w:val="0"/>
                <w:bCs w:val="0"/>
                <w:color w:val="FFFFFF" w:themeColor="background1"/>
                <w:sz w:val="22"/>
                <w:szCs w:val="22"/>
                <w:lang w:val="en-US"/>
              </w:rPr>
              <w:t xml:space="preserve">Cultural and regional </w:t>
            </w:r>
            <w:r>
              <w:rPr>
                <w:rFonts w:ascii="Times New Roman" w:hAnsi="Times New Roman" w:cs="Times New Roman"/>
                <w:b w:val="0"/>
                <w:bCs w:val="0"/>
                <w:color w:val="FFFFFF" w:themeColor="background1"/>
                <w:sz w:val="22"/>
                <w:szCs w:val="22"/>
                <w:lang w:val="en-US"/>
              </w:rPr>
              <w:t>adaptation</w:t>
            </w:r>
          </w:p>
        </w:tc>
        <w:tc>
          <w:tcPr>
            <w:tcW w:w="2511"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Context-dependence, dominance of philanthropic over ethical reporting</w:t>
            </w:r>
          </w:p>
        </w:tc>
        <w:tc>
          <w:tcPr>
            <w:tcW w:w="2373"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Alignment with local values (e.g., Islamic ethics)</w:t>
            </w:r>
          </w:p>
        </w:tc>
        <w:tc>
          <w:tcPr>
            <w:tcW w:w="2290" w:type="dxa"/>
          </w:tcPr>
          <w:p w:rsidR="00427336" w:rsidRDefault="000120B4">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Contextualize frameworks, promote ethical over philanthropic focus</w:t>
            </w:r>
          </w:p>
        </w:tc>
      </w:tr>
    </w:tbl>
    <w:p w:rsidR="00427336" w:rsidRDefault="000120B4">
      <w:pPr>
        <w:pStyle w:val="Caption"/>
        <w:jc w:val="center"/>
        <w:rPr>
          <w:rFonts w:ascii="Times New Roman" w:hAnsi="Times New Roman" w:cs="Times New Roman"/>
          <w:color w:val="000000"/>
          <w:lang w:val="en-US"/>
        </w:rPr>
      </w:pPr>
      <w:r>
        <w:rPr>
          <w:rFonts w:ascii="Times New Roman" w:hAnsi="Times New Roman" w:cs="Times New Roman"/>
          <w:color w:val="000000"/>
          <w:sz w:val="24"/>
          <w:szCs w:val="24"/>
          <w:lang w:val="en-US"/>
        </w:rPr>
        <w:t xml:space="preserve">based on </w:t>
      </w:r>
      <w:proofErr w:type="spellStart"/>
      <w:r>
        <w:rPr>
          <w:rFonts w:ascii="Times New Roman" w:hAnsi="Times New Roman" w:cs="Times New Roman"/>
          <w:color w:val="000000"/>
          <w:sz w:val="24"/>
          <w:szCs w:val="24"/>
          <w:lang w:val="en-US"/>
        </w:rPr>
        <w:t>Schaltegger</w:t>
      </w:r>
      <w:proofErr w:type="spellEnd"/>
      <w:r>
        <w:rPr>
          <w:rFonts w:ascii="Times New Roman" w:hAnsi="Times New Roman" w:cs="Times New Roman"/>
          <w:color w:val="000000"/>
          <w:sz w:val="24"/>
          <w:szCs w:val="24"/>
          <w:lang w:val="en-US"/>
        </w:rPr>
        <w:t xml:space="preserve"> et al., 2006; </w:t>
      </w:r>
      <w:proofErr w:type="spellStart"/>
      <w:r>
        <w:rPr>
          <w:rFonts w:ascii="Times New Roman" w:hAnsi="Times New Roman" w:cs="Times New Roman"/>
          <w:color w:val="000000"/>
          <w:sz w:val="24"/>
          <w:szCs w:val="24"/>
          <w:lang w:val="en-US"/>
        </w:rPr>
        <w:t>Schaltegger</w:t>
      </w:r>
      <w:proofErr w:type="spellEnd"/>
      <w:r>
        <w:rPr>
          <w:rFonts w:ascii="Times New Roman" w:hAnsi="Times New Roman" w:cs="Times New Roman"/>
          <w:color w:val="000000"/>
          <w:sz w:val="24"/>
          <w:szCs w:val="24"/>
          <w:lang w:val="en-US"/>
        </w:rPr>
        <w:t>, 1997, Al</w:t>
      </w:r>
      <w:r>
        <w:rPr>
          <w:rFonts w:ascii="Times New Roman" w:hAnsi="Times New Roman" w:cs="Times New Roman"/>
          <w:color w:val="000000"/>
          <w:sz w:val="24"/>
          <w:szCs w:val="24"/>
          <w:lang w:val="en-US"/>
        </w:rPr>
        <w:t xml:space="preserve">i et al, </w:t>
      </w:r>
      <w:proofErr w:type="gramStart"/>
      <w:r>
        <w:rPr>
          <w:rFonts w:ascii="Times New Roman" w:hAnsi="Times New Roman" w:cs="Times New Roman"/>
          <w:color w:val="000000"/>
          <w:sz w:val="24"/>
          <w:szCs w:val="24"/>
          <w:lang w:val="en-US"/>
        </w:rPr>
        <w:t>2017;Andrew</w:t>
      </w:r>
      <w:proofErr w:type="gramEnd"/>
      <w:r>
        <w:rPr>
          <w:rFonts w:ascii="Times New Roman" w:hAnsi="Times New Roman" w:cs="Times New Roman"/>
          <w:color w:val="000000"/>
          <w:sz w:val="24"/>
          <w:szCs w:val="24"/>
          <w:lang w:val="en-US"/>
        </w:rPr>
        <w:t xml:space="preserve"> &amp; Baker, 2020; Hamid et. al. 2020; </w:t>
      </w:r>
      <w:proofErr w:type="spellStart"/>
      <w:r>
        <w:rPr>
          <w:rFonts w:ascii="Times New Roman" w:hAnsi="Times New Roman" w:cs="Times New Roman"/>
          <w:color w:val="000000"/>
          <w:sz w:val="24"/>
          <w:szCs w:val="24"/>
          <w:lang w:val="en-US"/>
        </w:rPr>
        <w:t>Kurpierz</w:t>
      </w:r>
      <w:proofErr w:type="spellEnd"/>
      <w:r>
        <w:rPr>
          <w:rFonts w:ascii="Times New Roman" w:hAnsi="Times New Roman" w:cs="Times New Roman"/>
          <w:color w:val="000000"/>
          <w:sz w:val="24"/>
          <w:szCs w:val="24"/>
          <w:lang w:val="en-US"/>
        </w:rPr>
        <w:t xml:space="preserve"> &amp; Smith, 2020; Lusher &amp; Way, 2012</w:t>
      </w:r>
    </w:p>
    <w:p w:rsidR="00427336" w:rsidRDefault="000120B4">
      <w:pPr>
        <w:spacing w:line="276" w:lineRule="auto"/>
        <w:ind w:firstLine="576"/>
        <w:jc w:val="both"/>
      </w:pPr>
      <w:r>
        <w:rPr>
          <w:rFonts w:ascii="Times New Roman" w:hAnsi="Times New Roman" w:cs="Times New Roman"/>
          <w:b/>
          <w:bCs/>
          <w:color w:val="000000"/>
          <w:lang w:val="en-US"/>
        </w:rPr>
        <w:t xml:space="preserve">7.2 </w:t>
      </w:r>
      <w:bookmarkStart w:id="10" w:name="_Toc198505567"/>
      <w:r>
        <w:rPr>
          <w:rFonts w:ascii="Times New Roman" w:hAnsi="Times New Roman" w:cs="Times New Roman"/>
          <w:b/>
          <w:bCs/>
          <w:color w:val="000000"/>
          <w:lang w:val="en-US"/>
        </w:rPr>
        <w:t>The instrumental dimension of TCA</w:t>
      </w:r>
      <w:bookmarkEnd w:id="10"/>
    </w:p>
    <w:p w:rsidR="00427336" w:rsidRDefault="000120B4">
      <w:pPr>
        <w:spacing w:before="240" w:line="276" w:lineRule="auto"/>
        <w:ind w:firstLine="578"/>
        <w:jc w:val="both"/>
      </w:pPr>
      <w:r>
        <w:rPr>
          <w:rFonts w:ascii="Times New Roman" w:hAnsi="Times New Roman" w:cs="Times New Roman"/>
          <w:lang w:val="en-US"/>
        </w:rPr>
        <w:t xml:space="preserve">The instrumental dimension of TCA describes the practical aspects and challenges that could influence its successful </w:t>
      </w:r>
      <w:r>
        <w:rPr>
          <w:rFonts w:ascii="Times New Roman" w:hAnsi="Times New Roman" w:cs="Times New Roman"/>
          <w:lang w:val="en-US"/>
        </w:rPr>
        <w:t>implementation for companies, also highlighting the critical role of leadership commitment, employee training, system integration, and stakeholder engagement, together with the technical and structural challenges that must be overcome.</w:t>
      </w:r>
    </w:p>
    <w:p w:rsidR="00427336" w:rsidRDefault="000120B4">
      <w:pPr>
        <w:spacing w:before="240" w:line="276" w:lineRule="auto"/>
        <w:ind w:firstLine="578"/>
        <w:jc w:val="both"/>
      </w:pPr>
      <w:r>
        <w:rPr>
          <w:rFonts w:ascii="Times New Roman" w:hAnsi="Times New Roman" w:cs="Times New Roman"/>
          <w:i/>
          <w:iCs/>
          <w:lang w:val="en-US"/>
        </w:rPr>
        <w:t>7.2.1 Factors for ef</w:t>
      </w:r>
      <w:r>
        <w:rPr>
          <w:rFonts w:ascii="Times New Roman" w:hAnsi="Times New Roman" w:cs="Times New Roman"/>
          <w:i/>
          <w:iCs/>
          <w:lang w:val="en-US"/>
        </w:rPr>
        <w:t>ficient introduction TCA</w:t>
      </w:r>
    </w:p>
    <w:p w:rsidR="00427336" w:rsidRDefault="000120B4">
      <w:pPr>
        <w:spacing w:before="240" w:line="276" w:lineRule="auto"/>
        <w:jc w:val="both"/>
      </w:pPr>
      <w:r>
        <w:rPr>
          <w:rFonts w:ascii="Times New Roman" w:hAnsi="Times New Roman" w:cs="Times New Roman"/>
          <w:lang w:val="en-US"/>
        </w:rPr>
        <w:t xml:space="preserve">Based on the literature the following factors are the most critical for an efficient introduction of TCA: </w:t>
      </w:r>
      <w:r>
        <w:rPr>
          <w:rFonts w:ascii="Times New Roman" w:hAnsi="Times New Roman" w:cs="Times New Roman"/>
          <w:i/>
          <w:iCs/>
          <w:lang w:val="en-US"/>
        </w:rPr>
        <w:t xml:space="preserve">(1) </w:t>
      </w:r>
      <w:r>
        <w:rPr>
          <w:rFonts w:ascii="Times New Roman" w:hAnsi="Times New Roman" w:cs="Times New Roman"/>
          <w:lang w:val="en-US"/>
        </w:rPr>
        <w:t xml:space="preserve">Leadership support; </w:t>
      </w:r>
      <w:r>
        <w:rPr>
          <w:rFonts w:ascii="Times New Roman" w:hAnsi="Times New Roman" w:cs="Times New Roman"/>
          <w:i/>
          <w:iCs/>
          <w:lang w:val="en-US"/>
        </w:rPr>
        <w:t xml:space="preserve">(2) </w:t>
      </w:r>
      <w:r>
        <w:rPr>
          <w:rFonts w:ascii="Times New Roman" w:hAnsi="Times New Roman" w:cs="Times New Roman"/>
          <w:lang w:val="en-US"/>
        </w:rPr>
        <w:t xml:space="preserve">Employee awareness; </w:t>
      </w:r>
      <w:r>
        <w:rPr>
          <w:rFonts w:ascii="Times New Roman" w:hAnsi="Times New Roman" w:cs="Times New Roman"/>
          <w:i/>
          <w:iCs/>
          <w:lang w:val="en-US"/>
        </w:rPr>
        <w:t xml:space="preserve">(3) </w:t>
      </w:r>
      <w:r>
        <w:rPr>
          <w:rFonts w:ascii="Times New Roman" w:hAnsi="Times New Roman" w:cs="Times New Roman"/>
          <w:lang w:val="en-US"/>
        </w:rPr>
        <w:t>Integrating TCA with Enterprise Resource Planning systems.</w:t>
      </w:r>
    </w:p>
    <w:p w:rsidR="00427336" w:rsidRDefault="000120B4">
      <w:pPr>
        <w:spacing w:line="276" w:lineRule="auto"/>
        <w:jc w:val="both"/>
      </w:pPr>
      <w:r>
        <w:rPr>
          <w:rFonts w:ascii="Times New Roman" w:hAnsi="Times New Roman" w:cs="Times New Roman"/>
          <w:lang w:val="en-US"/>
        </w:rPr>
        <w:t>The engagement</w:t>
      </w:r>
      <w:r>
        <w:rPr>
          <w:rFonts w:ascii="Times New Roman" w:hAnsi="Times New Roman" w:cs="Times New Roman"/>
          <w:lang w:val="en-US"/>
        </w:rPr>
        <w:t xml:space="preserve"> of external stakeholders and clear communication further support the embedding of True Cost Accounting into corporate sustainability strategies. Several studies mention that system integration barriers complicate the adoption of new software and process-b</w:t>
      </w:r>
      <w:r>
        <w:rPr>
          <w:rFonts w:ascii="Times New Roman" w:hAnsi="Times New Roman" w:cs="Times New Roman"/>
          <w:lang w:val="en-US"/>
        </w:rPr>
        <w:t>ased systems. Authors mention data and measurement complexities that arise from the limited availability of data and difficulties in the quantification. The lack of standardized frameworks, and the high implementation costs and expertise shortages as addit</w:t>
      </w:r>
      <w:r>
        <w:rPr>
          <w:rFonts w:ascii="Times New Roman" w:hAnsi="Times New Roman" w:cs="Times New Roman"/>
          <w:lang w:val="en-US"/>
        </w:rPr>
        <w:t xml:space="preserve">ional </w:t>
      </w:r>
      <w:r>
        <w:rPr>
          <w:rFonts w:ascii="Times New Roman" w:hAnsi="Times New Roman" w:cs="Times New Roman"/>
          <w:lang w:val="en-US"/>
        </w:rPr>
        <w:lastRenderedPageBreak/>
        <w:t xml:space="preserve">obstacles have been also mentioned as challenges of successful implementation. </w:t>
      </w:r>
      <w:r>
        <w:rPr>
          <w:rFonts w:ascii="Times New Roman" w:hAnsi="Times New Roman" w:cs="Times New Roman"/>
          <w:i/>
          <w:iCs/>
          <w:lang w:val="en-US"/>
        </w:rPr>
        <w:t>(</w:t>
      </w:r>
      <w:r>
        <w:rPr>
          <w:rFonts w:ascii="Times New Roman" w:hAnsi="Times New Roman" w:cs="Times New Roman"/>
          <w:lang w:val="en-US"/>
        </w:rPr>
        <w:t xml:space="preserve">Lee, 2011; </w:t>
      </w:r>
      <w:proofErr w:type="spellStart"/>
      <w:r>
        <w:rPr>
          <w:rFonts w:ascii="Times New Roman" w:hAnsi="Times New Roman" w:cs="Times New Roman"/>
          <w:lang w:val="en-US"/>
        </w:rPr>
        <w:t>Rikhardsson</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2005; </w:t>
      </w:r>
      <w:proofErr w:type="spellStart"/>
      <w:r>
        <w:rPr>
          <w:rFonts w:ascii="Times New Roman" w:hAnsi="Times New Roman" w:cs="Times New Roman"/>
          <w:lang w:val="en-US"/>
        </w:rPr>
        <w:t>Ambarsari</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2024; </w:t>
      </w:r>
      <w:proofErr w:type="spellStart"/>
      <w:r>
        <w:rPr>
          <w:rFonts w:ascii="Times New Roman" w:hAnsi="Times New Roman" w:cs="Times New Roman"/>
          <w:lang w:val="en-US"/>
        </w:rPr>
        <w:t>Marota</w:t>
      </w:r>
      <w:proofErr w:type="spellEnd"/>
      <w:r>
        <w:rPr>
          <w:rFonts w:ascii="Times New Roman" w:hAnsi="Times New Roman" w:cs="Times New Roman"/>
          <w:lang w:val="en-US"/>
        </w:rPr>
        <w:t xml:space="preserve">, 2024; </w:t>
      </w:r>
      <w:proofErr w:type="spellStart"/>
      <w:r>
        <w:rPr>
          <w:rFonts w:ascii="Times New Roman" w:hAnsi="Times New Roman" w:cs="Times New Roman"/>
          <w:lang w:val="en-US"/>
        </w:rPr>
        <w:t>Michalke</w:t>
      </w:r>
      <w:proofErr w:type="spellEnd"/>
      <w:r>
        <w:rPr>
          <w:rFonts w:ascii="Times New Roman" w:hAnsi="Times New Roman" w:cs="Times New Roman"/>
          <w:lang w:val="en-US"/>
        </w:rPr>
        <w:t xml:space="preserve"> </w:t>
      </w:r>
      <w:r>
        <w:rPr>
          <w:rFonts w:ascii="Times New Roman" w:hAnsi="Times New Roman" w:cs="Times New Roman"/>
          <w:i/>
          <w:iCs/>
          <w:lang w:val="en-US"/>
        </w:rPr>
        <w:t xml:space="preserve">et al., </w:t>
      </w:r>
      <w:r>
        <w:rPr>
          <w:rFonts w:ascii="Times New Roman" w:hAnsi="Times New Roman" w:cs="Times New Roman"/>
          <w:lang w:val="en-US"/>
        </w:rPr>
        <w:t xml:space="preserve">2022; </w:t>
      </w:r>
      <w:proofErr w:type="spellStart"/>
      <w:r>
        <w:rPr>
          <w:rFonts w:ascii="Times New Roman" w:hAnsi="Times New Roman" w:cs="Times New Roman"/>
          <w:lang w:val="en-US"/>
        </w:rPr>
        <w:t>Taygashinova</w:t>
      </w:r>
      <w:proofErr w:type="spellEnd"/>
      <w:r>
        <w:rPr>
          <w:rFonts w:ascii="Times New Roman" w:hAnsi="Times New Roman" w:cs="Times New Roman"/>
          <w:lang w:val="en-US"/>
        </w:rPr>
        <w:t xml:space="preserve"> &amp; </w:t>
      </w:r>
      <w:proofErr w:type="spellStart"/>
      <w:r>
        <w:rPr>
          <w:rFonts w:ascii="Times New Roman" w:hAnsi="Times New Roman" w:cs="Times New Roman"/>
          <w:lang w:val="en-US"/>
        </w:rPr>
        <w:t>Akhmetova</w:t>
      </w:r>
      <w:proofErr w:type="spellEnd"/>
      <w:r>
        <w:rPr>
          <w:rFonts w:ascii="Times New Roman" w:hAnsi="Times New Roman" w:cs="Times New Roman"/>
          <w:lang w:val="en-US"/>
        </w:rPr>
        <w:t>, 2019</w:t>
      </w:r>
      <w:r>
        <w:rPr>
          <w:rFonts w:ascii="Times New Roman" w:hAnsi="Times New Roman" w:cs="Times New Roman"/>
          <w:i/>
          <w:iCs/>
          <w:lang w:val="en-US"/>
        </w:rPr>
        <w:t>).</w:t>
      </w:r>
    </w:p>
    <w:p w:rsidR="00427336" w:rsidRDefault="000120B4">
      <w:pPr>
        <w:spacing w:line="276" w:lineRule="auto"/>
        <w:jc w:val="both"/>
        <w:rPr>
          <w:rFonts w:ascii="Times New Roman" w:hAnsi="Times New Roman" w:cs="Times New Roman"/>
          <w:lang w:val="en-US"/>
        </w:rPr>
      </w:pPr>
      <w:r>
        <w:rPr>
          <w:rFonts w:ascii="Times New Roman" w:hAnsi="Times New Roman" w:cs="Times New Roman"/>
          <w:lang w:val="en-US"/>
        </w:rPr>
        <w:t xml:space="preserve">Literature review resulted in table 6 </w:t>
      </w:r>
      <w:r>
        <w:rPr>
          <w:rFonts w:ascii="Times New Roman" w:hAnsi="Times New Roman" w:cs="Times New Roman"/>
          <w:lang w:val="en-US"/>
        </w:rPr>
        <w:t>with organizational enablers and prerequisites:</w:t>
      </w:r>
    </w:p>
    <w:p w:rsidR="00427336" w:rsidRDefault="00427336">
      <w:pPr>
        <w:spacing w:line="276" w:lineRule="auto"/>
        <w:jc w:val="both"/>
        <w:rPr>
          <w:rFonts w:ascii="Times New Roman" w:hAnsi="Times New Roman" w:cs="Times New Roman"/>
          <w:lang w:val="en-US"/>
        </w:rPr>
      </w:pPr>
    </w:p>
    <w:p w:rsidR="00427336" w:rsidRDefault="000120B4">
      <w:pPr>
        <w:pStyle w:val="Caption"/>
        <w:spacing w:line="276" w:lineRule="auto"/>
        <w:jc w:val="center"/>
      </w:pPr>
      <w:r>
        <w:rPr>
          <w:rFonts w:ascii="Times New Roman" w:hAnsi="Times New Roman" w:cs="Times New Roman"/>
          <w:b/>
          <w:bCs/>
          <w:i w:val="0"/>
          <w:iCs w:val="0"/>
          <w:sz w:val="24"/>
          <w:szCs w:val="24"/>
          <w:lang w:val="en-US"/>
        </w:rPr>
        <w:t xml:space="preserve">Table </w:t>
      </w:r>
      <w:r>
        <w:rPr>
          <w:rFonts w:ascii="Times New Roman" w:hAnsi="Times New Roman" w:cs="Times New Roman"/>
          <w:b/>
          <w:bCs/>
          <w:i w:val="0"/>
          <w:iCs w:val="0"/>
          <w:sz w:val="24"/>
          <w:szCs w:val="24"/>
          <w:lang w:val="en-US"/>
        </w:rPr>
        <w:fldChar w:fldCharType="begin"/>
      </w:r>
      <w:r>
        <w:rPr>
          <w:rFonts w:ascii="Times New Roman" w:hAnsi="Times New Roman" w:cs="Times New Roman"/>
          <w:b/>
          <w:bCs/>
          <w:i w:val="0"/>
          <w:iCs w:val="0"/>
          <w:sz w:val="24"/>
          <w:szCs w:val="24"/>
          <w:lang w:val="en-US"/>
        </w:rPr>
        <w:instrText xml:space="preserve"> SEQ Table \* ARABIC </w:instrText>
      </w:r>
      <w:r>
        <w:rPr>
          <w:rFonts w:ascii="Times New Roman" w:hAnsi="Times New Roman" w:cs="Times New Roman"/>
          <w:b/>
          <w:bCs/>
          <w:i w:val="0"/>
          <w:iCs w:val="0"/>
          <w:sz w:val="24"/>
          <w:szCs w:val="24"/>
          <w:lang w:val="en-US"/>
        </w:rPr>
        <w:fldChar w:fldCharType="separate"/>
      </w:r>
      <w:r>
        <w:rPr>
          <w:rFonts w:ascii="Times New Roman" w:hAnsi="Times New Roman" w:cs="Times New Roman"/>
          <w:b/>
          <w:bCs/>
          <w:i w:val="0"/>
          <w:iCs w:val="0"/>
          <w:sz w:val="24"/>
          <w:szCs w:val="24"/>
          <w:lang w:val="en-US"/>
        </w:rPr>
        <w:t>6</w:t>
      </w:r>
      <w:r>
        <w:rPr>
          <w:rFonts w:ascii="Times New Roman" w:hAnsi="Times New Roman" w:cs="Times New Roman"/>
          <w:b/>
          <w:bCs/>
          <w:i w:val="0"/>
          <w:iCs w:val="0"/>
          <w:sz w:val="24"/>
          <w:szCs w:val="24"/>
          <w:lang w:val="en-US"/>
        </w:rPr>
        <w:fldChar w:fldCharType="end"/>
      </w:r>
      <w:r>
        <w:rPr>
          <w:rFonts w:ascii="Times New Roman" w:hAnsi="Times New Roman" w:cs="Times New Roman"/>
          <w:b/>
          <w:bCs/>
          <w:i w:val="0"/>
          <w:iCs w:val="0"/>
          <w:sz w:val="24"/>
          <w:szCs w:val="24"/>
          <w:lang w:val="en-US"/>
        </w:rPr>
        <w:t>. Organizational enablers and prerequisites</w:t>
      </w:r>
    </w:p>
    <w:tbl>
      <w:tblPr>
        <w:tblStyle w:val="GridTable5Dark-Accent6"/>
        <w:tblW w:w="9016" w:type="dxa"/>
        <w:shd w:val="clear" w:color="auto" w:fill="E2EFD9"/>
        <w:tblLayout w:type="fixed"/>
        <w:tblLook w:val="04A0" w:firstRow="1" w:lastRow="0" w:firstColumn="1" w:lastColumn="0" w:noHBand="0" w:noVBand="1"/>
      </w:tblPr>
      <w:tblGrid>
        <w:gridCol w:w="1696"/>
        <w:gridCol w:w="3124"/>
        <w:gridCol w:w="2263"/>
        <w:gridCol w:w="1933"/>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Pr>
          <w:p w:rsidR="00427336" w:rsidRDefault="000120B4">
            <w:pPr>
              <w:spacing w:after="0" w:line="276" w:lineRule="auto"/>
              <w:contextualSpacing/>
              <w:jc w:val="both"/>
              <w:rPr>
                <w:color w:val="FFFFFF" w:themeColor="background1"/>
              </w:rPr>
            </w:pPr>
            <w:r>
              <w:rPr>
                <w:rFonts w:ascii="Times New Roman" w:hAnsi="Times New Roman" w:cs="Times New Roman"/>
                <w:color w:val="FFFFFF" w:themeColor="background1"/>
                <w:sz w:val="22"/>
                <w:szCs w:val="22"/>
                <w:lang w:val="en-US"/>
              </w:rPr>
              <w:t>Factor</w:t>
            </w:r>
          </w:p>
        </w:tc>
        <w:tc>
          <w:tcPr>
            <w:tcW w:w="3124" w:type="dxa"/>
            <w:tcBorders>
              <w:bottom w:val="nil"/>
            </w:tcBorders>
          </w:tcPr>
          <w:p w:rsidR="00427336" w:rsidRDefault="000120B4">
            <w:pPr>
              <w:spacing w:after="0" w:line="276" w:lineRule="auto"/>
              <w:contextualSpacing/>
              <w:jc w:val="both"/>
              <w:cnfStyle w:val="100000000000" w:firstRow="1" w:lastRow="0" w:firstColumn="0" w:lastColumn="0" w:oddVBand="0" w:evenVBand="0" w:oddHBand="0" w:evenHBand="0" w:firstRowFirstColumn="0" w:firstRowLastColumn="0" w:lastRowFirstColumn="0" w:lastRowLastColumn="0"/>
              <w:rPr>
                <w:color w:val="FFFFFF" w:themeColor="background1"/>
              </w:rPr>
            </w:pPr>
            <w:r>
              <w:rPr>
                <w:rFonts w:ascii="Times New Roman" w:hAnsi="Times New Roman" w:cs="Times New Roman"/>
                <w:color w:val="FFFFFF" w:themeColor="background1"/>
                <w:sz w:val="22"/>
                <w:szCs w:val="22"/>
                <w:lang w:val="en-US"/>
              </w:rPr>
              <w:t>Description</w:t>
            </w:r>
          </w:p>
        </w:tc>
        <w:tc>
          <w:tcPr>
            <w:tcW w:w="2263" w:type="dxa"/>
            <w:tcBorders>
              <w:bottom w:val="nil"/>
            </w:tcBorders>
          </w:tcPr>
          <w:p w:rsidR="00427336" w:rsidRDefault="000120B4">
            <w:pPr>
              <w:spacing w:after="0" w:line="276" w:lineRule="auto"/>
              <w:contextualSpacing/>
              <w:jc w:val="both"/>
              <w:cnfStyle w:val="100000000000" w:firstRow="1" w:lastRow="0" w:firstColumn="0" w:lastColumn="0" w:oddVBand="0" w:evenVBand="0" w:oddHBand="0" w:evenHBand="0" w:firstRowFirstColumn="0" w:firstRowLastColumn="0" w:lastRowFirstColumn="0" w:lastRowLastColumn="0"/>
              <w:rPr>
                <w:color w:val="FFFFFF" w:themeColor="background1"/>
              </w:rPr>
            </w:pPr>
            <w:r>
              <w:rPr>
                <w:rFonts w:ascii="Times New Roman" w:hAnsi="Times New Roman" w:cs="Times New Roman"/>
                <w:color w:val="FFFFFF" w:themeColor="background1"/>
                <w:sz w:val="22"/>
                <w:szCs w:val="22"/>
                <w:lang w:val="en-US"/>
              </w:rPr>
              <w:t>Implementation Impact</w:t>
            </w:r>
          </w:p>
        </w:tc>
        <w:tc>
          <w:tcPr>
            <w:tcW w:w="1933" w:type="dxa"/>
            <w:tcBorders>
              <w:bottom w:val="nil"/>
            </w:tcBorders>
          </w:tcPr>
          <w:p w:rsidR="00427336" w:rsidRDefault="000120B4">
            <w:pPr>
              <w:spacing w:after="0" w:line="276" w:lineRule="auto"/>
              <w:contextualSpacing/>
              <w:jc w:val="both"/>
              <w:cnfStyle w:val="100000000000" w:firstRow="1" w:lastRow="0" w:firstColumn="0" w:lastColumn="0" w:oddVBand="0" w:evenVBand="0" w:oddHBand="0" w:evenHBand="0" w:firstRowFirstColumn="0" w:firstRowLastColumn="0" w:lastRowFirstColumn="0" w:lastRowLastColumn="0"/>
              <w:rPr>
                <w:color w:val="FFFFFF" w:themeColor="background1"/>
              </w:rPr>
            </w:pPr>
            <w:r>
              <w:rPr>
                <w:rFonts w:ascii="Times New Roman" w:hAnsi="Times New Roman" w:cs="Times New Roman"/>
                <w:color w:val="FFFFFF" w:themeColor="background1"/>
                <w:sz w:val="22"/>
                <w:szCs w:val="22"/>
                <w:lang w:val="en-US"/>
              </w:rPr>
              <w:t>Reference</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76" w:lineRule="auto"/>
              <w:contextualSpacing/>
              <w:jc w:val="both"/>
              <w:rPr>
                <w:color w:val="FFFFFF" w:themeColor="background1"/>
              </w:rPr>
            </w:pPr>
            <w:r>
              <w:rPr>
                <w:rFonts w:ascii="Times New Roman" w:hAnsi="Times New Roman" w:cs="Times New Roman"/>
                <w:b w:val="0"/>
                <w:bCs w:val="0"/>
                <w:color w:val="FFFFFF" w:themeColor="background1"/>
                <w:sz w:val="22"/>
                <w:szCs w:val="22"/>
                <w:lang w:val="en-US"/>
              </w:rPr>
              <w:t>Top management commitment</w:t>
            </w:r>
          </w:p>
        </w:tc>
        <w:tc>
          <w:tcPr>
            <w:tcW w:w="3124"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sz w:val="22"/>
                <w:szCs w:val="22"/>
                <w:lang w:val="en-US"/>
              </w:rPr>
              <w:t xml:space="preserve">Leadership support for integrating sustainability and </w:t>
            </w:r>
            <w:r>
              <w:rPr>
                <w:rFonts w:ascii="Times New Roman" w:hAnsi="Times New Roman" w:cs="Times New Roman"/>
                <w:sz w:val="22"/>
                <w:szCs w:val="22"/>
                <w:lang w:val="en-US"/>
              </w:rPr>
              <w:t>green accounting</w:t>
            </w:r>
          </w:p>
        </w:tc>
        <w:tc>
          <w:tcPr>
            <w:tcW w:w="2263"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sz w:val="22"/>
                <w:szCs w:val="22"/>
                <w:lang w:val="en-US"/>
              </w:rPr>
              <w:t>Essential for embed-ding sustainability in strategy and ensuring resource allocation</w:t>
            </w:r>
          </w:p>
        </w:tc>
        <w:tc>
          <w:tcPr>
            <w:tcW w:w="1933"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proofErr w:type="spellStart"/>
            <w:r>
              <w:rPr>
                <w:rFonts w:ascii="Times New Roman" w:hAnsi="Times New Roman" w:cs="Times New Roman"/>
                <w:sz w:val="22"/>
                <w:szCs w:val="22"/>
                <w:lang w:val="en-US"/>
              </w:rPr>
              <w:t>Marota</w:t>
            </w:r>
            <w:proofErr w:type="spellEnd"/>
            <w:r>
              <w:rPr>
                <w:rFonts w:ascii="Times New Roman" w:hAnsi="Times New Roman" w:cs="Times New Roman"/>
                <w:sz w:val="22"/>
                <w:szCs w:val="22"/>
                <w:lang w:val="en-US"/>
              </w:rPr>
              <w:t>, 2024; Lee, 2011</w:t>
            </w:r>
          </w:p>
        </w:tc>
      </w:tr>
      <w:tr w:rsidR="00427336" w:rsidTr="00427336">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76" w:lineRule="auto"/>
              <w:contextualSpacing/>
              <w:jc w:val="both"/>
              <w:rPr>
                <w:color w:val="FFFFFF" w:themeColor="background1"/>
              </w:rPr>
            </w:pPr>
            <w:r>
              <w:rPr>
                <w:rFonts w:ascii="Times New Roman" w:hAnsi="Times New Roman" w:cs="Times New Roman"/>
                <w:b w:val="0"/>
                <w:bCs w:val="0"/>
                <w:color w:val="FFFFFF" w:themeColor="background1"/>
                <w:sz w:val="22"/>
                <w:szCs w:val="22"/>
                <w:lang w:val="en-US"/>
              </w:rPr>
              <w:t>Employee awareness and training</w:t>
            </w:r>
          </w:p>
        </w:tc>
        <w:tc>
          <w:tcPr>
            <w:tcW w:w="3124" w:type="dxa"/>
          </w:tcPr>
          <w:p w:rsidR="00427336" w:rsidRDefault="000120B4">
            <w:pPr>
              <w:spacing w:after="0" w:line="276" w:lineRule="auto"/>
              <w:contextualSpacing/>
              <w:jc w:val="both"/>
              <w:cnfStyle w:val="000000000000" w:firstRow="0" w:lastRow="0" w:firstColumn="0" w:lastColumn="0" w:oddVBand="0" w:evenVBand="0" w:oddHBand="0" w:evenHBand="0" w:firstRowFirstColumn="0" w:firstRowLastColumn="0" w:lastRowFirstColumn="0" w:lastRowLastColumn="0"/>
            </w:pPr>
            <w:r>
              <w:rPr>
                <w:rFonts w:ascii="Times New Roman" w:hAnsi="Times New Roman" w:cs="Times New Roman"/>
                <w:sz w:val="22"/>
                <w:szCs w:val="22"/>
                <w:lang w:val="en-US"/>
              </w:rPr>
              <w:t>Staff understanding and engagement with green accounting practices</w:t>
            </w:r>
          </w:p>
        </w:tc>
        <w:tc>
          <w:tcPr>
            <w:tcW w:w="2263" w:type="dxa"/>
          </w:tcPr>
          <w:p w:rsidR="00427336" w:rsidRDefault="000120B4">
            <w:pPr>
              <w:spacing w:after="0" w:line="276" w:lineRule="auto"/>
              <w:contextualSpacing/>
              <w:jc w:val="both"/>
              <w:cnfStyle w:val="000000000000" w:firstRow="0" w:lastRow="0" w:firstColumn="0" w:lastColumn="0" w:oddVBand="0" w:evenVBand="0" w:oddHBand="0" w:evenHBand="0" w:firstRowFirstColumn="0" w:firstRowLastColumn="0" w:lastRowFirstColumn="0" w:lastRowLastColumn="0"/>
            </w:pPr>
            <w:r>
              <w:rPr>
                <w:rFonts w:ascii="Times New Roman" w:hAnsi="Times New Roman" w:cs="Times New Roman"/>
                <w:sz w:val="22"/>
                <w:szCs w:val="22"/>
                <w:lang w:val="en-US"/>
              </w:rPr>
              <w:t xml:space="preserve">Facilitates adoption, reduces </w:t>
            </w:r>
            <w:r>
              <w:rPr>
                <w:rFonts w:ascii="Times New Roman" w:hAnsi="Times New Roman" w:cs="Times New Roman"/>
                <w:sz w:val="22"/>
                <w:szCs w:val="22"/>
                <w:lang w:val="en-US"/>
              </w:rPr>
              <w:t>resistance, and improves data quality</w:t>
            </w:r>
          </w:p>
        </w:tc>
        <w:tc>
          <w:tcPr>
            <w:tcW w:w="1933" w:type="dxa"/>
          </w:tcPr>
          <w:p w:rsidR="00427336" w:rsidRDefault="000120B4">
            <w:pPr>
              <w:spacing w:after="0" w:line="276" w:lineRule="auto"/>
              <w:contextualSpacing/>
              <w:jc w:val="both"/>
              <w:cnfStyle w:val="000000000000" w:firstRow="0" w:lastRow="0" w:firstColumn="0" w:lastColumn="0" w:oddVBand="0" w:evenVBand="0" w:oddHBand="0" w:evenHBand="0" w:firstRowFirstColumn="0" w:firstRowLastColumn="0" w:lastRowFirstColumn="0" w:lastRowLastColumn="0"/>
            </w:pPr>
            <w:proofErr w:type="spellStart"/>
            <w:r>
              <w:rPr>
                <w:rFonts w:ascii="Times New Roman" w:hAnsi="Times New Roman" w:cs="Times New Roman"/>
                <w:sz w:val="22"/>
                <w:szCs w:val="22"/>
                <w:lang w:val="en-US"/>
              </w:rPr>
              <w:t>Marota</w:t>
            </w:r>
            <w:proofErr w:type="spellEnd"/>
            <w:r>
              <w:rPr>
                <w:rFonts w:ascii="Times New Roman" w:hAnsi="Times New Roman" w:cs="Times New Roman"/>
                <w:sz w:val="22"/>
                <w:szCs w:val="22"/>
                <w:lang w:val="en-US"/>
              </w:rPr>
              <w:t xml:space="preserve">, 2024; </w:t>
            </w:r>
            <w:proofErr w:type="spellStart"/>
            <w:r>
              <w:rPr>
                <w:rFonts w:ascii="Times New Roman" w:hAnsi="Times New Roman" w:cs="Times New Roman"/>
                <w:sz w:val="22"/>
                <w:szCs w:val="22"/>
                <w:lang w:val="en-US"/>
              </w:rPr>
              <w:t>Ambarsari</w:t>
            </w:r>
            <w:proofErr w:type="spellEnd"/>
            <w:r>
              <w:rPr>
                <w:rFonts w:ascii="Times New Roman" w:hAnsi="Times New Roman" w:cs="Times New Roman"/>
                <w:sz w:val="22"/>
                <w:szCs w:val="22"/>
                <w:lang w:val="en-US"/>
              </w:rPr>
              <w:t xml:space="preserve"> et al., 2024</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76" w:lineRule="auto"/>
              <w:contextualSpacing/>
              <w:jc w:val="both"/>
              <w:rPr>
                <w:color w:val="FFFFFF" w:themeColor="background1"/>
              </w:rPr>
            </w:pPr>
            <w:r>
              <w:rPr>
                <w:rFonts w:ascii="Times New Roman" w:hAnsi="Times New Roman" w:cs="Times New Roman"/>
                <w:b w:val="0"/>
                <w:bCs w:val="0"/>
                <w:color w:val="FFFFFF" w:themeColor="background1"/>
                <w:sz w:val="22"/>
                <w:szCs w:val="22"/>
                <w:lang w:val="en-US"/>
              </w:rPr>
              <w:t>Integration with existing systems</w:t>
            </w:r>
          </w:p>
        </w:tc>
        <w:tc>
          <w:tcPr>
            <w:tcW w:w="3124"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sz w:val="22"/>
                <w:szCs w:val="22"/>
                <w:lang w:val="en-US"/>
              </w:rPr>
              <w:t>Embedding environmental accounting into enterprise resource planning/environmental management information systems and regular accounting</w:t>
            </w:r>
          </w:p>
        </w:tc>
        <w:tc>
          <w:tcPr>
            <w:tcW w:w="2263"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sz w:val="22"/>
                <w:szCs w:val="22"/>
                <w:lang w:val="en-US"/>
              </w:rPr>
              <w:t xml:space="preserve">Enhances </w:t>
            </w:r>
            <w:r>
              <w:rPr>
                <w:rFonts w:ascii="Times New Roman" w:hAnsi="Times New Roman" w:cs="Times New Roman"/>
                <w:sz w:val="22"/>
                <w:szCs w:val="22"/>
                <w:lang w:val="en-US"/>
              </w:rPr>
              <w:t>efficiency, reduces duplication, and supports continuous application</w:t>
            </w:r>
          </w:p>
        </w:tc>
        <w:tc>
          <w:tcPr>
            <w:tcW w:w="1933"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proofErr w:type="spellStart"/>
            <w:r>
              <w:rPr>
                <w:rFonts w:ascii="Times New Roman" w:hAnsi="Times New Roman" w:cs="Times New Roman"/>
                <w:sz w:val="22"/>
                <w:szCs w:val="22"/>
                <w:lang w:val="en-US"/>
              </w:rPr>
              <w:t>Taygashinova</w:t>
            </w:r>
            <w:proofErr w:type="spellEnd"/>
            <w:r>
              <w:rPr>
                <w:rFonts w:ascii="Times New Roman" w:hAnsi="Times New Roman" w:cs="Times New Roman"/>
                <w:sz w:val="22"/>
                <w:szCs w:val="22"/>
                <w:lang w:val="en-US"/>
              </w:rPr>
              <w:t xml:space="preserve"> </w:t>
            </w:r>
            <w:r>
              <w:rPr>
                <w:rFonts w:ascii="Times New Roman" w:hAnsi="Times New Roman" w:cs="Times New Roman"/>
                <w:color w:val="000000"/>
                <w:lang w:val="en-US"/>
              </w:rPr>
              <w:t>&amp; Akhmetova,</w:t>
            </w:r>
            <w:r>
              <w:rPr>
                <w:rFonts w:ascii="Times New Roman" w:hAnsi="Times New Roman" w:cs="Times New Roman"/>
                <w:sz w:val="22"/>
                <w:szCs w:val="22"/>
                <w:lang w:val="en-US"/>
              </w:rPr>
              <w:t xml:space="preserve">2019; </w:t>
            </w:r>
            <w:proofErr w:type="spellStart"/>
            <w:r>
              <w:rPr>
                <w:rFonts w:ascii="Times New Roman" w:hAnsi="Times New Roman" w:cs="Times New Roman"/>
                <w:sz w:val="22"/>
                <w:szCs w:val="22"/>
                <w:lang w:val="en-US"/>
              </w:rPr>
              <w:t>Rikhardsson</w:t>
            </w:r>
            <w:proofErr w:type="spellEnd"/>
            <w:r>
              <w:rPr>
                <w:rFonts w:ascii="Times New Roman" w:hAnsi="Times New Roman" w:cs="Times New Roman"/>
                <w:sz w:val="22"/>
                <w:szCs w:val="22"/>
                <w:lang w:val="en-US"/>
              </w:rPr>
              <w:t xml:space="preserve"> et al., 2005</w:t>
            </w:r>
          </w:p>
        </w:tc>
      </w:tr>
      <w:tr w:rsidR="00427336" w:rsidTr="00427336">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76" w:lineRule="auto"/>
              <w:contextualSpacing/>
              <w:jc w:val="both"/>
              <w:rPr>
                <w:color w:val="FFFFFF" w:themeColor="background1"/>
              </w:rPr>
            </w:pPr>
            <w:r>
              <w:rPr>
                <w:rFonts w:ascii="Times New Roman" w:hAnsi="Times New Roman" w:cs="Times New Roman"/>
                <w:b w:val="0"/>
                <w:bCs w:val="0"/>
                <w:color w:val="FFFFFF" w:themeColor="background1"/>
                <w:sz w:val="22"/>
                <w:szCs w:val="22"/>
                <w:lang w:val="en-US"/>
              </w:rPr>
              <w:t>Supplier and stakeholder engagement</w:t>
            </w:r>
          </w:p>
        </w:tc>
        <w:tc>
          <w:tcPr>
            <w:tcW w:w="3124" w:type="dxa"/>
          </w:tcPr>
          <w:p w:rsidR="00427336" w:rsidRDefault="000120B4">
            <w:pPr>
              <w:spacing w:after="0" w:line="276" w:lineRule="auto"/>
              <w:contextualSpacing/>
              <w:jc w:val="both"/>
              <w:cnfStyle w:val="000000000000" w:firstRow="0" w:lastRow="0" w:firstColumn="0" w:lastColumn="0" w:oddVBand="0" w:evenVBand="0" w:oddHBand="0" w:evenHBand="0" w:firstRowFirstColumn="0" w:firstRowLastColumn="0" w:lastRowFirstColumn="0" w:lastRowLastColumn="0"/>
            </w:pPr>
            <w:r>
              <w:rPr>
                <w:rFonts w:ascii="Times New Roman" w:hAnsi="Times New Roman" w:cs="Times New Roman"/>
                <w:sz w:val="22"/>
                <w:szCs w:val="22"/>
                <w:lang w:val="en-US"/>
              </w:rPr>
              <w:t>Involving supply chain and external stakeholders in sustainability efforts</w:t>
            </w:r>
          </w:p>
        </w:tc>
        <w:tc>
          <w:tcPr>
            <w:tcW w:w="2263" w:type="dxa"/>
          </w:tcPr>
          <w:p w:rsidR="00427336" w:rsidRDefault="000120B4">
            <w:pPr>
              <w:spacing w:after="0" w:line="276" w:lineRule="auto"/>
              <w:contextualSpacing/>
              <w:jc w:val="both"/>
              <w:cnfStyle w:val="000000000000" w:firstRow="0" w:lastRow="0" w:firstColumn="0" w:lastColumn="0" w:oddVBand="0" w:evenVBand="0" w:oddHBand="0" w:evenHBand="0" w:firstRowFirstColumn="0" w:firstRowLastColumn="0" w:lastRowFirstColumn="0" w:lastRowLastColumn="0"/>
            </w:pPr>
            <w:r>
              <w:rPr>
                <w:rFonts w:ascii="Times New Roman" w:hAnsi="Times New Roman" w:cs="Times New Roman"/>
                <w:sz w:val="22"/>
                <w:szCs w:val="22"/>
                <w:lang w:val="en-US"/>
              </w:rPr>
              <w:t xml:space="preserve">Extends impact </w:t>
            </w:r>
            <w:r>
              <w:rPr>
                <w:rFonts w:ascii="Times New Roman" w:hAnsi="Times New Roman" w:cs="Times New Roman"/>
                <w:sz w:val="22"/>
                <w:szCs w:val="22"/>
                <w:lang w:val="en-US"/>
              </w:rPr>
              <w:t xml:space="preserve">be-yond company </w:t>
            </w:r>
            <w:proofErr w:type="spellStart"/>
            <w:r>
              <w:rPr>
                <w:rFonts w:ascii="Times New Roman" w:hAnsi="Times New Roman" w:cs="Times New Roman"/>
                <w:sz w:val="22"/>
                <w:szCs w:val="22"/>
                <w:lang w:val="en-US"/>
              </w:rPr>
              <w:t>boun-daries</w:t>
            </w:r>
            <w:proofErr w:type="spellEnd"/>
            <w:r>
              <w:rPr>
                <w:rFonts w:ascii="Times New Roman" w:hAnsi="Times New Roman" w:cs="Times New Roman"/>
                <w:sz w:val="22"/>
                <w:szCs w:val="22"/>
                <w:lang w:val="en-US"/>
              </w:rPr>
              <w:t xml:space="preserve">, supports </w:t>
            </w:r>
            <w:proofErr w:type="spellStart"/>
            <w:r>
              <w:rPr>
                <w:rFonts w:ascii="Times New Roman" w:hAnsi="Times New Roman" w:cs="Times New Roman"/>
                <w:sz w:val="22"/>
                <w:szCs w:val="22"/>
                <w:lang w:val="en-US"/>
              </w:rPr>
              <w:t>holis</w:t>
            </w:r>
            <w:proofErr w:type="spellEnd"/>
            <w:r>
              <w:rPr>
                <w:rFonts w:ascii="Times New Roman" w:hAnsi="Times New Roman" w:cs="Times New Roman"/>
                <w:sz w:val="22"/>
                <w:szCs w:val="22"/>
                <w:lang w:val="en-US"/>
              </w:rPr>
              <w:t>-tic sustainability</w:t>
            </w:r>
          </w:p>
        </w:tc>
        <w:tc>
          <w:tcPr>
            <w:tcW w:w="1933" w:type="dxa"/>
          </w:tcPr>
          <w:p w:rsidR="00427336" w:rsidRDefault="000120B4">
            <w:pPr>
              <w:spacing w:after="0" w:line="276" w:lineRule="auto"/>
              <w:contextualSpacing/>
              <w:jc w:val="both"/>
              <w:cnfStyle w:val="000000000000" w:firstRow="0" w:lastRow="0" w:firstColumn="0" w:lastColumn="0" w:oddVBand="0" w:evenVBand="0" w:oddHBand="0" w:evenHBand="0" w:firstRowFirstColumn="0" w:firstRowLastColumn="0" w:lastRowFirstColumn="0" w:lastRowLastColumn="0"/>
            </w:pPr>
            <w:proofErr w:type="spellStart"/>
            <w:r>
              <w:rPr>
                <w:rFonts w:ascii="Times New Roman" w:hAnsi="Times New Roman" w:cs="Times New Roman"/>
                <w:sz w:val="22"/>
                <w:szCs w:val="22"/>
                <w:lang w:val="en-US"/>
              </w:rPr>
              <w:t>Marota</w:t>
            </w:r>
            <w:proofErr w:type="spellEnd"/>
            <w:r>
              <w:rPr>
                <w:rFonts w:ascii="Times New Roman" w:hAnsi="Times New Roman" w:cs="Times New Roman"/>
                <w:sz w:val="22"/>
                <w:szCs w:val="22"/>
                <w:lang w:val="en-US"/>
              </w:rPr>
              <w:t xml:space="preserve">, 2024; </w:t>
            </w:r>
            <w:proofErr w:type="spellStart"/>
            <w:r>
              <w:rPr>
                <w:rFonts w:ascii="Times New Roman" w:hAnsi="Times New Roman" w:cs="Times New Roman"/>
                <w:sz w:val="22"/>
                <w:szCs w:val="22"/>
                <w:lang w:val="en-US"/>
              </w:rPr>
              <w:t>Michalke</w:t>
            </w:r>
            <w:proofErr w:type="spellEnd"/>
            <w:r>
              <w:rPr>
                <w:rFonts w:ascii="Times New Roman" w:hAnsi="Times New Roman" w:cs="Times New Roman"/>
                <w:sz w:val="22"/>
                <w:szCs w:val="22"/>
                <w:lang w:val="en-US"/>
              </w:rPr>
              <w:t xml:space="preserve"> et al., 2022</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5" w:type="dxa"/>
            <w:tcBorders>
              <w:right w:val="nil"/>
            </w:tcBorders>
          </w:tcPr>
          <w:p w:rsidR="00427336" w:rsidRDefault="000120B4">
            <w:pPr>
              <w:spacing w:after="0" w:line="276" w:lineRule="auto"/>
              <w:contextualSpacing/>
              <w:jc w:val="both"/>
              <w:rPr>
                <w:color w:val="FFFFFF" w:themeColor="background1"/>
              </w:rPr>
            </w:pPr>
            <w:r>
              <w:rPr>
                <w:rFonts w:ascii="Times New Roman" w:hAnsi="Times New Roman" w:cs="Times New Roman"/>
                <w:b w:val="0"/>
                <w:bCs w:val="0"/>
                <w:color w:val="FFFFFF" w:themeColor="background1"/>
                <w:sz w:val="22"/>
                <w:szCs w:val="22"/>
                <w:lang w:val="en-US"/>
              </w:rPr>
              <w:t>Transparency in reporting</w:t>
            </w:r>
          </w:p>
        </w:tc>
        <w:tc>
          <w:tcPr>
            <w:tcW w:w="3124"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sz w:val="22"/>
                <w:szCs w:val="22"/>
                <w:lang w:val="en-US"/>
              </w:rPr>
              <w:t>Clear, accessible communication of environmental performance</w:t>
            </w:r>
          </w:p>
        </w:tc>
        <w:tc>
          <w:tcPr>
            <w:tcW w:w="2263"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r>
              <w:rPr>
                <w:rFonts w:ascii="Times New Roman" w:hAnsi="Times New Roman" w:cs="Times New Roman"/>
                <w:sz w:val="22"/>
                <w:szCs w:val="22"/>
                <w:lang w:val="en-US"/>
              </w:rPr>
              <w:t>Builds trust, meets stakeholder demands, and supports accountability</w:t>
            </w:r>
          </w:p>
        </w:tc>
        <w:tc>
          <w:tcPr>
            <w:tcW w:w="1933" w:type="dxa"/>
          </w:tcPr>
          <w:p w:rsidR="00427336" w:rsidRDefault="000120B4">
            <w:pPr>
              <w:spacing w:after="0" w:line="276" w:lineRule="auto"/>
              <w:contextualSpacing/>
              <w:jc w:val="both"/>
              <w:cnfStyle w:val="000000100000" w:firstRow="0" w:lastRow="0" w:firstColumn="0" w:lastColumn="0" w:oddVBand="0" w:evenVBand="0" w:oddHBand="1" w:evenHBand="0" w:firstRowFirstColumn="0" w:firstRowLastColumn="0" w:lastRowFirstColumn="0" w:lastRowLastColumn="0"/>
            </w:pPr>
            <w:proofErr w:type="spellStart"/>
            <w:r>
              <w:rPr>
                <w:rFonts w:ascii="Times New Roman" w:hAnsi="Times New Roman" w:cs="Times New Roman"/>
                <w:sz w:val="22"/>
                <w:szCs w:val="22"/>
                <w:lang w:val="en-US"/>
              </w:rPr>
              <w:t>Marota</w:t>
            </w:r>
            <w:proofErr w:type="spellEnd"/>
            <w:r>
              <w:rPr>
                <w:rFonts w:ascii="Times New Roman" w:hAnsi="Times New Roman" w:cs="Times New Roman"/>
                <w:sz w:val="22"/>
                <w:szCs w:val="22"/>
                <w:lang w:val="en-US"/>
              </w:rPr>
              <w:t xml:space="preserve">, 2024; </w:t>
            </w:r>
            <w:proofErr w:type="spellStart"/>
            <w:r>
              <w:rPr>
                <w:rFonts w:ascii="Times New Roman" w:hAnsi="Times New Roman" w:cs="Times New Roman"/>
                <w:sz w:val="22"/>
                <w:szCs w:val="22"/>
                <w:lang w:val="en-US"/>
              </w:rPr>
              <w:t>Michalke</w:t>
            </w:r>
            <w:proofErr w:type="spellEnd"/>
            <w:r>
              <w:rPr>
                <w:rFonts w:ascii="Times New Roman" w:hAnsi="Times New Roman" w:cs="Times New Roman"/>
                <w:sz w:val="22"/>
                <w:szCs w:val="22"/>
                <w:lang w:val="en-US"/>
              </w:rPr>
              <w:t xml:space="preserve"> et al., 2022; </w:t>
            </w:r>
            <w:proofErr w:type="spellStart"/>
            <w:r>
              <w:rPr>
                <w:rFonts w:ascii="Times New Roman" w:hAnsi="Times New Roman" w:cs="Times New Roman"/>
                <w:sz w:val="22"/>
                <w:szCs w:val="22"/>
                <w:lang w:val="en-US"/>
              </w:rPr>
              <w:t>Ambarsari</w:t>
            </w:r>
            <w:proofErr w:type="spellEnd"/>
            <w:r>
              <w:rPr>
                <w:rFonts w:ascii="Times New Roman" w:hAnsi="Times New Roman" w:cs="Times New Roman"/>
                <w:sz w:val="22"/>
                <w:szCs w:val="22"/>
                <w:lang w:val="en-US"/>
              </w:rPr>
              <w:t xml:space="preserve"> et al., 2024</w:t>
            </w:r>
          </w:p>
        </w:tc>
      </w:tr>
    </w:tbl>
    <w:p w:rsidR="00427336" w:rsidRDefault="000120B4">
      <w:pPr>
        <w:pStyle w:val="Caption"/>
        <w:spacing w:line="276" w:lineRule="auto"/>
        <w:jc w:val="center"/>
      </w:pPr>
      <w:r>
        <w:rPr>
          <w:rFonts w:ascii="Times New Roman" w:hAnsi="Times New Roman" w:cs="Times New Roman"/>
          <w:color w:val="000000"/>
          <w:sz w:val="24"/>
          <w:szCs w:val="24"/>
          <w:lang w:val="en-US"/>
        </w:rPr>
        <w:t xml:space="preserve">based on </w:t>
      </w:r>
      <w:proofErr w:type="spellStart"/>
      <w:r>
        <w:rPr>
          <w:rFonts w:ascii="Times New Roman" w:hAnsi="Times New Roman" w:cs="Times New Roman"/>
          <w:color w:val="000000"/>
          <w:sz w:val="24"/>
          <w:szCs w:val="24"/>
          <w:lang w:val="en-US"/>
        </w:rPr>
        <w:t>Taygashinova</w:t>
      </w:r>
      <w:proofErr w:type="spellEnd"/>
      <w:r>
        <w:rPr>
          <w:rFonts w:ascii="Times New Roman" w:hAnsi="Times New Roman" w:cs="Times New Roman"/>
          <w:color w:val="000000"/>
          <w:sz w:val="24"/>
          <w:szCs w:val="24"/>
          <w:lang w:val="en-US"/>
        </w:rPr>
        <w:t xml:space="preserve"> &amp; </w:t>
      </w:r>
      <w:proofErr w:type="spellStart"/>
      <w:r>
        <w:rPr>
          <w:rFonts w:ascii="Times New Roman" w:hAnsi="Times New Roman" w:cs="Times New Roman"/>
          <w:color w:val="000000"/>
          <w:sz w:val="24"/>
          <w:szCs w:val="24"/>
          <w:lang w:val="en-US"/>
        </w:rPr>
        <w:t>Akhmetova</w:t>
      </w:r>
      <w:proofErr w:type="spellEnd"/>
      <w:r>
        <w:rPr>
          <w:rFonts w:ascii="Times New Roman" w:hAnsi="Times New Roman" w:cs="Times New Roman"/>
          <w:color w:val="000000"/>
          <w:sz w:val="24"/>
          <w:szCs w:val="24"/>
          <w:lang w:val="en-US"/>
        </w:rPr>
        <w:t xml:space="preserve">, 2019; </w:t>
      </w:r>
      <w:proofErr w:type="spellStart"/>
      <w:r>
        <w:rPr>
          <w:rFonts w:ascii="Times New Roman" w:hAnsi="Times New Roman" w:cs="Times New Roman"/>
          <w:color w:val="000000"/>
          <w:sz w:val="24"/>
          <w:szCs w:val="24"/>
          <w:lang w:val="en-US"/>
        </w:rPr>
        <w:t>Rikhardsson</w:t>
      </w:r>
      <w:proofErr w:type="spellEnd"/>
      <w:r>
        <w:rPr>
          <w:rFonts w:ascii="Times New Roman" w:hAnsi="Times New Roman" w:cs="Times New Roman"/>
          <w:color w:val="000000"/>
          <w:sz w:val="24"/>
          <w:szCs w:val="24"/>
          <w:lang w:val="en-US"/>
        </w:rPr>
        <w:t xml:space="preserve"> </w:t>
      </w:r>
      <w:proofErr w:type="gramStart"/>
      <w:r>
        <w:rPr>
          <w:rFonts w:ascii="Times New Roman" w:hAnsi="Times New Roman" w:cs="Times New Roman"/>
          <w:color w:val="000000"/>
          <w:sz w:val="24"/>
          <w:szCs w:val="24"/>
          <w:lang w:val="en-US"/>
        </w:rPr>
        <w:t>et al.,;</w:t>
      </w:r>
      <w:proofErr w:type="gramEnd"/>
      <w:r>
        <w:rPr>
          <w:rFonts w:ascii="Times New Roman" w:hAnsi="Times New Roman" w:cs="Times New Roman"/>
          <w:color w:val="000000"/>
          <w:sz w:val="24"/>
          <w:szCs w:val="24"/>
          <w:lang w:val="en-US"/>
        </w:rPr>
        <w:t xml:space="preserve"> 2005; </w:t>
      </w:r>
      <w:proofErr w:type="spellStart"/>
      <w:r>
        <w:rPr>
          <w:rFonts w:ascii="Times New Roman" w:hAnsi="Times New Roman" w:cs="Times New Roman"/>
          <w:color w:val="000000"/>
          <w:sz w:val="24"/>
          <w:szCs w:val="24"/>
          <w:lang w:val="en-US"/>
        </w:rPr>
        <w:t>Marota</w:t>
      </w:r>
      <w:proofErr w:type="spellEnd"/>
      <w:r>
        <w:rPr>
          <w:rFonts w:ascii="Times New Roman" w:hAnsi="Times New Roman" w:cs="Times New Roman"/>
          <w:color w:val="000000"/>
          <w:sz w:val="24"/>
          <w:szCs w:val="24"/>
          <w:lang w:val="en-US"/>
        </w:rPr>
        <w:t xml:space="preserve">, 2024; </w:t>
      </w:r>
      <w:proofErr w:type="spellStart"/>
      <w:r>
        <w:rPr>
          <w:rFonts w:ascii="Times New Roman" w:hAnsi="Times New Roman" w:cs="Times New Roman"/>
          <w:color w:val="000000"/>
          <w:sz w:val="24"/>
          <w:szCs w:val="24"/>
          <w:lang w:val="en-US"/>
        </w:rPr>
        <w:t>Michalke</w:t>
      </w:r>
      <w:proofErr w:type="spellEnd"/>
      <w:r>
        <w:rPr>
          <w:rFonts w:ascii="Times New Roman" w:hAnsi="Times New Roman" w:cs="Times New Roman"/>
          <w:color w:val="000000"/>
          <w:sz w:val="24"/>
          <w:szCs w:val="24"/>
          <w:lang w:val="en-US"/>
        </w:rPr>
        <w:t xml:space="preserve"> et al., 2022; </w:t>
      </w:r>
      <w:proofErr w:type="spellStart"/>
      <w:r>
        <w:rPr>
          <w:rFonts w:ascii="Times New Roman" w:hAnsi="Times New Roman" w:cs="Times New Roman"/>
          <w:color w:val="000000"/>
          <w:sz w:val="24"/>
          <w:szCs w:val="24"/>
          <w:lang w:val="en-US"/>
        </w:rPr>
        <w:t>Ambarsari</w:t>
      </w:r>
      <w:proofErr w:type="spellEnd"/>
      <w:r>
        <w:rPr>
          <w:rFonts w:ascii="Times New Roman" w:hAnsi="Times New Roman" w:cs="Times New Roman"/>
          <w:color w:val="000000"/>
          <w:sz w:val="24"/>
          <w:szCs w:val="24"/>
          <w:lang w:val="en-US"/>
        </w:rPr>
        <w:t xml:space="preserve"> et al., 2024; Lee, 2011</w:t>
      </w:r>
    </w:p>
    <w:p w:rsidR="00427336" w:rsidRDefault="000120B4">
      <w:pPr>
        <w:spacing w:line="276" w:lineRule="auto"/>
        <w:jc w:val="both"/>
        <w:rPr>
          <w:rFonts w:ascii="Times New Roman" w:hAnsi="Times New Roman" w:cs="Times New Roman"/>
          <w:lang w:val="en-US"/>
        </w:rPr>
      </w:pPr>
      <w:r>
        <w:rPr>
          <w:rFonts w:ascii="Times New Roman" w:hAnsi="Times New Roman" w:cs="Times New Roman"/>
          <w:lang w:val="en-US"/>
        </w:rPr>
        <w:t xml:space="preserve">Table 7 shows the main technical and methodological </w:t>
      </w:r>
      <w:r>
        <w:rPr>
          <w:rFonts w:ascii="Times New Roman" w:hAnsi="Times New Roman" w:cs="Times New Roman"/>
          <w:lang w:val="en-US"/>
        </w:rPr>
        <w:t>challenges that were identified.</w:t>
      </w:r>
    </w:p>
    <w:p w:rsidR="00427336" w:rsidRDefault="000120B4">
      <w:pPr>
        <w:pStyle w:val="Caption"/>
        <w:spacing w:line="276" w:lineRule="auto"/>
        <w:jc w:val="center"/>
        <w:rPr>
          <w:lang w:val="en-US"/>
        </w:rPr>
      </w:pPr>
      <w:r>
        <w:rPr>
          <w:rFonts w:ascii="Times New Roman" w:hAnsi="Times New Roman" w:cs="Times New Roman"/>
          <w:b/>
          <w:bCs/>
          <w:i w:val="0"/>
          <w:iCs w:val="0"/>
          <w:sz w:val="24"/>
          <w:szCs w:val="24"/>
          <w:lang w:val="en-US"/>
        </w:rPr>
        <w:t xml:space="preserve">Table </w:t>
      </w:r>
      <w:r>
        <w:rPr>
          <w:rFonts w:ascii="Times New Roman" w:hAnsi="Times New Roman" w:cs="Times New Roman"/>
          <w:b/>
          <w:bCs/>
          <w:i w:val="0"/>
          <w:iCs w:val="0"/>
          <w:sz w:val="24"/>
          <w:szCs w:val="24"/>
          <w:lang w:val="en-US"/>
        </w:rPr>
        <w:fldChar w:fldCharType="begin"/>
      </w:r>
      <w:r>
        <w:rPr>
          <w:rFonts w:ascii="Times New Roman" w:hAnsi="Times New Roman" w:cs="Times New Roman"/>
          <w:b/>
          <w:bCs/>
          <w:i w:val="0"/>
          <w:iCs w:val="0"/>
          <w:sz w:val="24"/>
          <w:szCs w:val="24"/>
          <w:lang w:val="en-US"/>
        </w:rPr>
        <w:instrText xml:space="preserve"> SEQ Table \* ARABIC </w:instrText>
      </w:r>
      <w:r>
        <w:rPr>
          <w:rFonts w:ascii="Times New Roman" w:hAnsi="Times New Roman" w:cs="Times New Roman"/>
          <w:b/>
          <w:bCs/>
          <w:i w:val="0"/>
          <w:iCs w:val="0"/>
          <w:sz w:val="24"/>
          <w:szCs w:val="24"/>
          <w:lang w:val="en-US"/>
        </w:rPr>
        <w:fldChar w:fldCharType="separate"/>
      </w:r>
      <w:r>
        <w:rPr>
          <w:rFonts w:ascii="Times New Roman" w:hAnsi="Times New Roman" w:cs="Times New Roman"/>
          <w:b/>
          <w:bCs/>
          <w:i w:val="0"/>
          <w:iCs w:val="0"/>
          <w:sz w:val="24"/>
          <w:szCs w:val="24"/>
          <w:lang w:val="en-US"/>
        </w:rPr>
        <w:t>7</w:t>
      </w:r>
      <w:r>
        <w:rPr>
          <w:rFonts w:ascii="Times New Roman" w:hAnsi="Times New Roman" w:cs="Times New Roman"/>
          <w:b/>
          <w:bCs/>
          <w:i w:val="0"/>
          <w:iCs w:val="0"/>
          <w:sz w:val="24"/>
          <w:szCs w:val="24"/>
          <w:lang w:val="en-US"/>
        </w:rPr>
        <w:fldChar w:fldCharType="end"/>
      </w:r>
      <w:r>
        <w:rPr>
          <w:rFonts w:ascii="Times New Roman" w:hAnsi="Times New Roman" w:cs="Times New Roman"/>
          <w:b/>
          <w:bCs/>
          <w:i w:val="0"/>
          <w:iCs w:val="0"/>
          <w:sz w:val="24"/>
          <w:szCs w:val="24"/>
          <w:lang w:val="en-US"/>
        </w:rPr>
        <w:t xml:space="preserve"> Technical and methodological challenges</w:t>
      </w:r>
    </w:p>
    <w:tbl>
      <w:tblPr>
        <w:tblStyle w:val="GridTable5Dark-Accent6"/>
        <w:tblW w:w="9016" w:type="dxa"/>
        <w:shd w:val="clear" w:color="auto" w:fill="E2EFD9"/>
        <w:tblLayout w:type="fixed"/>
        <w:tblLook w:val="04A0" w:firstRow="1" w:lastRow="0" w:firstColumn="1" w:lastColumn="0" w:noHBand="0" w:noVBand="1"/>
      </w:tblPr>
      <w:tblGrid>
        <w:gridCol w:w="2236"/>
        <w:gridCol w:w="2236"/>
        <w:gridCol w:w="2318"/>
        <w:gridCol w:w="2226"/>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427336" w:rsidRDefault="000120B4">
            <w:pPr>
              <w:spacing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Challenge Type</w:t>
            </w:r>
          </w:p>
        </w:tc>
        <w:tc>
          <w:tcPr>
            <w:tcW w:w="2236" w:type="dxa"/>
            <w:tcBorders>
              <w:bottom w:val="nil"/>
            </w:tcBorders>
          </w:tcPr>
          <w:p w:rsidR="00427336" w:rsidRDefault="000120B4">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Description</w:t>
            </w:r>
          </w:p>
        </w:tc>
        <w:tc>
          <w:tcPr>
            <w:tcW w:w="2318" w:type="dxa"/>
            <w:tcBorders>
              <w:bottom w:val="nil"/>
            </w:tcBorders>
          </w:tcPr>
          <w:p w:rsidR="00427336" w:rsidRDefault="000120B4">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Mitigation Approaches</w:t>
            </w:r>
          </w:p>
        </w:tc>
        <w:tc>
          <w:tcPr>
            <w:tcW w:w="2226" w:type="dxa"/>
            <w:tcBorders>
              <w:bottom w:val="nil"/>
            </w:tcBorders>
          </w:tcPr>
          <w:p w:rsidR="00427336" w:rsidRDefault="000120B4">
            <w:pPr>
              <w:spacing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Reference</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right w:val="nil"/>
            </w:tcBorders>
          </w:tcPr>
          <w:p w:rsidR="00427336" w:rsidRDefault="000120B4">
            <w:pPr>
              <w:spacing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System integration barriers</w:t>
            </w:r>
          </w:p>
        </w:tc>
        <w:tc>
          <w:tcPr>
            <w:tcW w:w="223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Difficulty embedding environmental accounting into legacy </w:t>
            </w:r>
            <w:r>
              <w:rPr>
                <w:rFonts w:ascii="Times New Roman" w:hAnsi="Times New Roman" w:cs="Times New Roman"/>
                <w:sz w:val="22"/>
                <w:szCs w:val="22"/>
                <w:lang w:val="en-US"/>
              </w:rPr>
              <w:t>systems</w:t>
            </w:r>
          </w:p>
        </w:tc>
        <w:tc>
          <w:tcPr>
            <w:tcW w:w="2318"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Enterprise resources planning/environmental management information systems integration, phased implementation</w:t>
            </w:r>
          </w:p>
        </w:tc>
        <w:tc>
          <w:tcPr>
            <w:tcW w:w="222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de-DE"/>
              </w:rPr>
            </w:pPr>
            <w:r>
              <w:rPr>
                <w:rFonts w:ascii="Times New Roman" w:hAnsi="Times New Roman" w:cs="Times New Roman"/>
                <w:sz w:val="22"/>
                <w:szCs w:val="22"/>
                <w:lang w:val="de-DE"/>
              </w:rPr>
              <w:t>Lee, 2011; Lang et al., 2004; Rikhardsson et al., 2005</w:t>
            </w:r>
          </w:p>
        </w:tc>
      </w:tr>
      <w:tr w:rsidR="00427336" w:rsidTr="00427336">
        <w:tc>
          <w:tcPr>
            <w:cnfStyle w:val="001000000000" w:firstRow="0" w:lastRow="0" w:firstColumn="1" w:lastColumn="0" w:oddVBand="0" w:evenVBand="0" w:oddHBand="0" w:evenHBand="0" w:firstRowFirstColumn="0" w:firstRowLastColumn="0" w:lastRowFirstColumn="0" w:lastRowLastColumn="0"/>
            <w:tcW w:w="2235" w:type="dxa"/>
            <w:tcBorders>
              <w:right w:val="nil"/>
            </w:tcBorders>
          </w:tcPr>
          <w:p w:rsidR="00427336" w:rsidRDefault="000120B4">
            <w:pPr>
              <w:spacing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Data and measurement complexity</w:t>
            </w:r>
          </w:p>
        </w:tc>
        <w:tc>
          <w:tcPr>
            <w:tcW w:w="2236"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Limited data availability, complexity in </w:t>
            </w:r>
            <w:r>
              <w:rPr>
                <w:rFonts w:ascii="Times New Roman" w:hAnsi="Times New Roman" w:cs="Times New Roman"/>
                <w:sz w:val="22"/>
                <w:szCs w:val="22"/>
                <w:lang w:val="en-US"/>
              </w:rPr>
              <w:lastRenderedPageBreak/>
              <w:t>quantifying impacts</w:t>
            </w:r>
          </w:p>
        </w:tc>
        <w:tc>
          <w:tcPr>
            <w:tcW w:w="2318"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lastRenderedPageBreak/>
              <w:t>Standardized methods, training, external consulting</w:t>
            </w:r>
          </w:p>
        </w:tc>
        <w:tc>
          <w:tcPr>
            <w:tcW w:w="2226"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roofErr w:type="spellStart"/>
            <w:r>
              <w:rPr>
                <w:rFonts w:ascii="Times New Roman" w:hAnsi="Times New Roman" w:cs="Times New Roman"/>
                <w:sz w:val="22"/>
                <w:szCs w:val="22"/>
                <w:lang w:val="en-US"/>
              </w:rPr>
              <w:t>Ambarsari</w:t>
            </w:r>
            <w:proofErr w:type="spellEnd"/>
            <w:r>
              <w:rPr>
                <w:rFonts w:ascii="Times New Roman" w:hAnsi="Times New Roman" w:cs="Times New Roman"/>
                <w:sz w:val="22"/>
                <w:szCs w:val="22"/>
                <w:lang w:val="en-US"/>
              </w:rPr>
              <w:t xml:space="preserve"> et al., 2024; </w:t>
            </w:r>
            <w:proofErr w:type="spellStart"/>
            <w:r>
              <w:rPr>
                <w:rFonts w:ascii="Times New Roman" w:hAnsi="Times New Roman" w:cs="Times New Roman"/>
                <w:sz w:val="22"/>
                <w:szCs w:val="22"/>
                <w:lang w:val="en-US"/>
              </w:rPr>
              <w:t>Marota</w:t>
            </w:r>
            <w:proofErr w:type="spellEnd"/>
            <w:r>
              <w:rPr>
                <w:rFonts w:ascii="Times New Roman" w:hAnsi="Times New Roman" w:cs="Times New Roman"/>
                <w:sz w:val="22"/>
                <w:szCs w:val="22"/>
                <w:lang w:val="en-US"/>
              </w:rPr>
              <w:t>, 2024; Lang et al., 2004</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right w:val="nil"/>
            </w:tcBorders>
          </w:tcPr>
          <w:p w:rsidR="00427336" w:rsidRDefault="000120B4">
            <w:pPr>
              <w:spacing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Lack of standardization</w:t>
            </w:r>
          </w:p>
        </w:tc>
        <w:tc>
          <w:tcPr>
            <w:tcW w:w="223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Lack of frameworks and calculation methods</w:t>
            </w:r>
          </w:p>
        </w:tc>
        <w:tc>
          <w:tcPr>
            <w:tcW w:w="2318"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Development of standards, regulatory guidance</w:t>
            </w:r>
          </w:p>
        </w:tc>
        <w:tc>
          <w:tcPr>
            <w:tcW w:w="222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proofErr w:type="spellStart"/>
            <w:r>
              <w:rPr>
                <w:rFonts w:ascii="Times New Roman" w:hAnsi="Times New Roman" w:cs="Times New Roman"/>
                <w:sz w:val="22"/>
                <w:szCs w:val="22"/>
                <w:lang w:val="en-US"/>
              </w:rPr>
              <w:t>Michalke</w:t>
            </w:r>
            <w:proofErr w:type="spellEnd"/>
            <w:r>
              <w:rPr>
                <w:rFonts w:ascii="Times New Roman" w:hAnsi="Times New Roman" w:cs="Times New Roman"/>
                <w:sz w:val="22"/>
                <w:szCs w:val="22"/>
                <w:lang w:val="en-US"/>
              </w:rPr>
              <w:t xml:space="preserve"> et </w:t>
            </w:r>
            <w:r>
              <w:rPr>
                <w:rFonts w:ascii="Times New Roman" w:hAnsi="Times New Roman" w:cs="Times New Roman"/>
                <w:sz w:val="22"/>
                <w:szCs w:val="22"/>
                <w:lang w:val="en-US"/>
              </w:rPr>
              <w:t xml:space="preserve">al., 2022; </w:t>
            </w:r>
            <w:proofErr w:type="spellStart"/>
            <w:r>
              <w:rPr>
                <w:rFonts w:ascii="Times New Roman" w:hAnsi="Times New Roman" w:cs="Times New Roman"/>
                <w:sz w:val="22"/>
                <w:szCs w:val="22"/>
                <w:lang w:val="en-US"/>
              </w:rPr>
              <w:t>Ambarsari</w:t>
            </w:r>
            <w:proofErr w:type="spellEnd"/>
            <w:r>
              <w:rPr>
                <w:rFonts w:ascii="Times New Roman" w:hAnsi="Times New Roman" w:cs="Times New Roman"/>
                <w:sz w:val="22"/>
                <w:szCs w:val="22"/>
                <w:lang w:val="en-US"/>
              </w:rPr>
              <w:t xml:space="preserve"> et al., 2024</w:t>
            </w:r>
          </w:p>
        </w:tc>
      </w:tr>
      <w:tr w:rsidR="00427336" w:rsidTr="00427336">
        <w:tc>
          <w:tcPr>
            <w:cnfStyle w:val="001000000000" w:firstRow="0" w:lastRow="0" w:firstColumn="1" w:lastColumn="0" w:oddVBand="0" w:evenVBand="0" w:oddHBand="0" w:evenHBand="0" w:firstRowFirstColumn="0" w:firstRowLastColumn="0" w:lastRowFirstColumn="0" w:lastRowLastColumn="0"/>
            <w:tcW w:w="2235" w:type="dxa"/>
            <w:tcBorders>
              <w:right w:val="nil"/>
            </w:tcBorders>
          </w:tcPr>
          <w:p w:rsidR="00427336" w:rsidRDefault="000120B4">
            <w:pPr>
              <w:spacing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High implementation costs</w:t>
            </w:r>
          </w:p>
        </w:tc>
        <w:tc>
          <w:tcPr>
            <w:tcW w:w="2236"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Financial and resource burden of new systems and processes</w:t>
            </w:r>
          </w:p>
        </w:tc>
        <w:tc>
          <w:tcPr>
            <w:tcW w:w="2318"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Phased adoption, leveraging existing infrastructure</w:t>
            </w:r>
          </w:p>
        </w:tc>
        <w:tc>
          <w:tcPr>
            <w:tcW w:w="2226" w:type="dxa"/>
          </w:tcPr>
          <w:p w:rsidR="00427336" w:rsidRDefault="000120B4">
            <w:pPr>
              <w:spacing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proofErr w:type="spellStart"/>
            <w:r>
              <w:rPr>
                <w:rFonts w:ascii="Times New Roman" w:hAnsi="Times New Roman" w:cs="Times New Roman"/>
                <w:sz w:val="22"/>
                <w:szCs w:val="22"/>
                <w:lang w:val="en-US"/>
              </w:rPr>
              <w:t>Marota</w:t>
            </w:r>
            <w:proofErr w:type="spellEnd"/>
            <w:r>
              <w:rPr>
                <w:rFonts w:ascii="Times New Roman" w:hAnsi="Times New Roman" w:cs="Times New Roman"/>
                <w:sz w:val="22"/>
                <w:szCs w:val="22"/>
                <w:lang w:val="en-US"/>
              </w:rPr>
              <w:t xml:space="preserve">, 2024; </w:t>
            </w:r>
            <w:proofErr w:type="spellStart"/>
            <w:r>
              <w:rPr>
                <w:rFonts w:ascii="Times New Roman" w:hAnsi="Times New Roman" w:cs="Times New Roman"/>
                <w:sz w:val="22"/>
                <w:szCs w:val="22"/>
                <w:lang w:val="en-US"/>
              </w:rPr>
              <w:t>Taygashinova</w:t>
            </w:r>
            <w:proofErr w:type="spellEnd"/>
            <w:r>
              <w:rPr>
                <w:rFonts w:ascii="Times New Roman" w:hAnsi="Times New Roman" w:cs="Times New Roman"/>
                <w:sz w:val="22"/>
                <w:szCs w:val="22"/>
                <w:lang w:val="en-US"/>
              </w:rPr>
              <w:t xml:space="preserve"> &amp; </w:t>
            </w:r>
            <w:proofErr w:type="spellStart"/>
            <w:r>
              <w:rPr>
                <w:rFonts w:ascii="Times New Roman" w:hAnsi="Times New Roman" w:cs="Times New Roman"/>
                <w:sz w:val="22"/>
                <w:szCs w:val="22"/>
                <w:lang w:val="en-US"/>
              </w:rPr>
              <w:t>Akhmetova</w:t>
            </w:r>
            <w:proofErr w:type="spellEnd"/>
            <w:r>
              <w:rPr>
                <w:rFonts w:ascii="Times New Roman" w:hAnsi="Times New Roman" w:cs="Times New Roman"/>
                <w:sz w:val="22"/>
                <w:szCs w:val="22"/>
                <w:lang w:val="en-US"/>
              </w:rPr>
              <w:t>, 2019</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Borders>
              <w:right w:val="nil"/>
            </w:tcBorders>
          </w:tcPr>
          <w:p w:rsidR="00427336" w:rsidRDefault="000120B4">
            <w:pPr>
              <w:spacing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Expertise and training gaps</w:t>
            </w:r>
          </w:p>
        </w:tc>
        <w:tc>
          <w:tcPr>
            <w:tcW w:w="223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Need for </w:t>
            </w:r>
            <w:r>
              <w:rPr>
                <w:rFonts w:ascii="Times New Roman" w:hAnsi="Times New Roman" w:cs="Times New Roman"/>
                <w:sz w:val="22"/>
                <w:szCs w:val="22"/>
                <w:lang w:val="en-US"/>
              </w:rPr>
              <w:t>specialized knowledge and skills</w:t>
            </w:r>
          </w:p>
        </w:tc>
        <w:tc>
          <w:tcPr>
            <w:tcW w:w="2318"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Capacity building, external support</w:t>
            </w:r>
          </w:p>
        </w:tc>
        <w:tc>
          <w:tcPr>
            <w:tcW w:w="2226" w:type="dxa"/>
          </w:tcPr>
          <w:p w:rsidR="00427336" w:rsidRDefault="000120B4">
            <w:pPr>
              <w:spacing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Lang et al., 2004; </w:t>
            </w:r>
            <w:proofErr w:type="spellStart"/>
            <w:r>
              <w:rPr>
                <w:rFonts w:ascii="Times New Roman" w:hAnsi="Times New Roman" w:cs="Times New Roman"/>
                <w:sz w:val="22"/>
                <w:szCs w:val="22"/>
                <w:lang w:val="en-US"/>
              </w:rPr>
              <w:t>Taygashinova</w:t>
            </w:r>
            <w:proofErr w:type="spellEnd"/>
            <w:r>
              <w:rPr>
                <w:rFonts w:ascii="Times New Roman" w:hAnsi="Times New Roman" w:cs="Times New Roman"/>
                <w:sz w:val="22"/>
                <w:szCs w:val="22"/>
                <w:lang w:val="en-US"/>
              </w:rPr>
              <w:t xml:space="preserve"> </w:t>
            </w:r>
            <w:r>
              <w:rPr>
                <w:rFonts w:ascii="Times New Roman" w:hAnsi="Times New Roman" w:cs="Times New Roman"/>
                <w:color w:val="000000"/>
                <w:lang w:val="en-US"/>
              </w:rPr>
              <w:t xml:space="preserve">&amp; </w:t>
            </w:r>
            <w:proofErr w:type="spellStart"/>
            <w:r>
              <w:rPr>
                <w:rFonts w:ascii="Times New Roman" w:hAnsi="Times New Roman" w:cs="Times New Roman"/>
                <w:color w:val="000000"/>
                <w:lang w:val="en-US"/>
              </w:rPr>
              <w:t>Akhmetova</w:t>
            </w:r>
            <w:proofErr w:type="spellEnd"/>
            <w:r>
              <w:rPr>
                <w:rFonts w:ascii="Times New Roman" w:hAnsi="Times New Roman" w:cs="Times New Roman"/>
                <w:sz w:val="22"/>
                <w:szCs w:val="22"/>
                <w:lang w:val="en-US"/>
              </w:rPr>
              <w:t xml:space="preserve"> 2019</w:t>
            </w:r>
          </w:p>
        </w:tc>
      </w:tr>
    </w:tbl>
    <w:p w:rsidR="00427336" w:rsidRDefault="000120B4">
      <w:pPr>
        <w:pStyle w:val="Caption"/>
        <w:jc w:val="center"/>
        <w:rPr>
          <w:rFonts w:ascii="Times New Roman" w:hAnsi="Times New Roman" w:cs="Times New Roman"/>
          <w:color w:val="000000"/>
          <w:lang w:val="en-US"/>
        </w:rPr>
      </w:pPr>
      <w:r>
        <w:rPr>
          <w:rFonts w:ascii="Times New Roman" w:hAnsi="Times New Roman" w:cs="Times New Roman"/>
          <w:color w:val="000000"/>
          <w:sz w:val="24"/>
          <w:szCs w:val="24"/>
          <w:lang w:val="en-US"/>
        </w:rPr>
        <w:t xml:space="preserve">based on Lee, 2011; Lang et al., 2004; </w:t>
      </w:r>
      <w:proofErr w:type="spellStart"/>
      <w:r>
        <w:rPr>
          <w:rFonts w:ascii="Times New Roman" w:hAnsi="Times New Roman" w:cs="Times New Roman"/>
          <w:color w:val="000000"/>
          <w:sz w:val="24"/>
          <w:szCs w:val="24"/>
          <w:lang w:val="en-US"/>
        </w:rPr>
        <w:t>Rikhardsson</w:t>
      </w:r>
      <w:proofErr w:type="spellEnd"/>
      <w:r>
        <w:rPr>
          <w:rFonts w:ascii="Times New Roman" w:hAnsi="Times New Roman" w:cs="Times New Roman"/>
          <w:color w:val="000000"/>
          <w:sz w:val="24"/>
          <w:szCs w:val="24"/>
          <w:lang w:val="en-US"/>
        </w:rPr>
        <w:t xml:space="preserve"> et al., 2005; </w:t>
      </w:r>
      <w:proofErr w:type="spellStart"/>
      <w:r>
        <w:rPr>
          <w:rFonts w:ascii="Times New Roman" w:hAnsi="Times New Roman" w:cs="Times New Roman"/>
          <w:color w:val="000000"/>
          <w:sz w:val="24"/>
          <w:szCs w:val="24"/>
          <w:lang w:val="en-US"/>
        </w:rPr>
        <w:t>Ambarsari</w:t>
      </w:r>
      <w:proofErr w:type="spellEnd"/>
      <w:r>
        <w:rPr>
          <w:rFonts w:ascii="Times New Roman" w:hAnsi="Times New Roman" w:cs="Times New Roman"/>
          <w:color w:val="000000"/>
          <w:sz w:val="24"/>
          <w:szCs w:val="24"/>
          <w:lang w:val="en-US"/>
        </w:rPr>
        <w:t xml:space="preserve"> et al., 2024; </w:t>
      </w:r>
      <w:proofErr w:type="spellStart"/>
      <w:r>
        <w:rPr>
          <w:rFonts w:ascii="Times New Roman" w:hAnsi="Times New Roman" w:cs="Times New Roman"/>
          <w:color w:val="000000"/>
          <w:sz w:val="24"/>
          <w:szCs w:val="24"/>
          <w:lang w:val="en-US"/>
        </w:rPr>
        <w:t>Marota</w:t>
      </w:r>
      <w:proofErr w:type="spellEnd"/>
      <w:r>
        <w:rPr>
          <w:rFonts w:ascii="Times New Roman" w:hAnsi="Times New Roman" w:cs="Times New Roman"/>
          <w:color w:val="000000"/>
          <w:sz w:val="24"/>
          <w:szCs w:val="24"/>
          <w:lang w:val="en-US"/>
        </w:rPr>
        <w:t xml:space="preserve">, 2024; </w:t>
      </w:r>
      <w:proofErr w:type="spellStart"/>
      <w:r>
        <w:rPr>
          <w:rFonts w:ascii="Times New Roman" w:hAnsi="Times New Roman" w:cs="Times New Roman"/>
          <w:color w:val="000000"/>
          <w:sz w:val="24"/>
          <w:szCs w:val="24"/>
          <w:lang w:val="en-US"/>
        </w:rPr>
        <w:t>Taygashinova</w:t>
      </w:r>
      <w:proofErr w:type="spellEnd"/>
      <w:r>
        <w:rPr>
          <w:rFonts w:ascii="Times New Roman" w:hAnsi="Times New Roman" w:cs="Times New Roman"/>
          <w:color w:val="000000"/>
          <w:sz w:val="24"/>
          <w:szCs w:val="24"/>
          <w:lang w:val="en-US"/>
        </w:rPr>
        <w:t xml:space="preserve"> &amp; </w:t>
      </w:r>
      <w:proofErr w:type="spellStart"/>
      <w:r>
        <w:rPr>
          <w:rFonts w:ascii="Times New Roman" w:hAnsi="Times New Roman" w:cs="Times New Roman"/>
          <w:color w:val="000000"/>
          <w:sz w:val="24"/>
          <w:szCs w:val="24"/>
          <w:lang w:val="en-US"/>
        </w:rPr>
        <w:t>Akhmetova</w:t>
      </w:r>
      <w:proofErr w:type="spellEnd"/>
      <w:r>
        <w:rPr>
          <w:rFonts w:ascii="Times New Roman" w:hAnsi="Times New Roman" w:cs="Times New Roman"/>
          <w:color w:val="000000"/>
          <w:sz w:val="24"/>
          <w:szCs w:val="24"/>
          <w:lang w:val="en-US"/>
        </w:rPr>
        <w:t>, 2019</w:t>
      </w:r>
    </w:p>
    <w:p w:rsidR="00427336" w:rsidRDefault="000120B4">
      <w:pPr>
        <w:spacing w:line="276" w:lineRule="auto"/>
        <w:ind w:firstLine="720"/>
        <w:jc w:val="both"/>
      </w:pPr>
      <w:r>
        <w:rPr>
          <w:rFonts w:ascii="Times New Roman" w:hAnsi="Times New Roman" w:cs="Times New Roman"/>
          <w:lang w:val="en-US"/>
        </w:rPr>
        <w:t>Several authors and studies highlight the strategic role of environmental cost accounting systems. The goal would be to design them to not only track environmental impacts, but also to support high-level decision-making and to monitor organizational perfor</w:t>
      </w:r>
      <w:r>
        <w:rPr>
          <w:rFonts w:ascii="Times New Roman" w:hAnsi="Times New Roman" w:cs="Times New Roman"/>
          <w:lang w:val="en-US"/>
        </w:rPr>
        <w:t>mance. In this context, TCA is emerging from a reporting function to a strategic management tool. Environmental Management Accounting (EMA), for example, has been shown to work as a mediating tool between companies` sustainability strategy and its actual p</w:t>
      </w:r>
      <w:r>
        <w:rPr>
          <w:rFonts w:ascii="Times New Roman" w:hAnsi="Times New Roman" w:cs="Times New Roman"/>
          <w:lang w:val="en-US"/>
        </w:rPr>
        <w:t>erformance outcomes. These systems could help to bridge the gap between the environmental goals and business results, supporting a more efficient integration at companies (</w:t>
      </w:r>
      <w:proofErr w:type="spellStart"/>
      <w:r>
        <w:rPr>
          <w:rFonts w:ascii="Times New Roman" w:hAnsi="Times New Roman" w:cs="Times New Roman"/>
          <w:lang w:val="en-US"/>
        </w:rPr>
        <w:t>Gunarathne</w:t>
      </w:r>
      <w:proofErr w:type="spellEnd"/>
      <w:r>
        <w:rPr>
          <w:rFonts w:ascii="Times New Roman" w:hAnsi="Times New Roman" w:cs="Times New Roman"/>
          <w:lang w:val="en-US"/>
        </w:rPr>
        <w:t xml:space="preserve"> &amp; Lee, 2020)</w:t>
      </w:r>
      <w:r>
        <w:rPr>
          <w:rFonts w:ascii="Times New Roman" w:hAnsi="Times New Roman" w:cs="Times New Roman"/>
          <w:i/>
          <w:iCs/>
          <w:lang w:val="en-US"/>
        </w:rPr>
        <w:t>.</w:t>
      </w:r>
      <w:r>
        <w:rPr>
          <w:rFonts w:ascii="Times New Roman" w:hAnsi="Times New Roman" w:cs="Times New Roman"/>
          <w:lang w:val="en-US"/>
        </w:rPr>
        <w:t xml:space="preserve"> Moreover, the concept of </w:t>
      </w:r>
      <w:r>
        <w:rPr>
          <w:rFonts w:ascii="Times New Roman" w:hAnsi="Times New Roman" w:cs="Times New Roman"/>
          <w:i/>
          <w:iCs/>
          <w:lang w:val="en-US"/>
        </w:rPr>
        <w:t>dual value creation</w:t>
      </w:r>
      <w:r>
        <w:rPr>
          <w:rFonts w:ascii="Times New Roman" w:hAnsi="Times New Roman" w:cs="Times New Roman"/>
          <w:lang w:val="en-US"/>
        </w:rPr>
        <w:t xml:space="preserve"> is key in this</w:t>
      </w:r>
      <w:r>
        <w:rPr>
          <w:rFonts w:ascii="Times New Roman" w:hAnsi="Times New Roman" w:cs="Times New Roman"/>
          <w:lang w:val="en-US"/>
        </w:rPr>
        <w:t xml:space="preserve"> domain. </w:t>
      </w:r>
      <w:proofErr w:type="spellStart"/>
      <w:r>
        <w:rPr>
          <w:rFonts w:ascii="Times New Roman" w:hAnsi="Times New Roman" w:cs="Times New Roman"/>
          <w:lang w:val="en-US"/>
        </w:rPr>
        <w:t>Figge</w:t>
      </w:r>
      <w:proofErr w:type="spellEnd"/>
      <w:r>
        <w:rPr>
          <w:rFonts w:ascii="Times New Roman" w:hAnsi="Times New Roman" w:cs="Times New Roman"/>
          <w:lang w:val="en-US"/>
        </w:rPr>
        <w:t xml:space="preserve"> and Hahn (2013) propose an opportunity for a cost-based approach that aligns economic and environmental outcomes. However, they also mention a common limitation in practice: the tendency to limit TCA to financially driven, “win-win” scenario</w:t>
      </w:r>
      <w:r>
        <w:rPr>
          <w:rFonts w:ascii="Times New Roman" w:hAnsi="Times New Roman" w:cs="Times New Roman"/>
          <w:lang w:val="en-US"/>
        </w:rPr>
        <w:t>s, which might not consider the broader or longer-term environmental goals.</w:t>
      </w:r>
    </w:p>
    <w:p w:rsidR="00427336" w:rsidRDefault="000120B4">
      <w:pPr>
        <w:spacing w:line="276" w:lineRule="auto"/>
        <w:jc w:val="both"/>
      </w:pPr>
      <w:r>
        <w:rPr>
          <w:rFonts w:ascii="Times New Roman" w:hAnsi="Times New Roman" w:cs="Times New Roman"/>
          <w:lang w:val="en-US"/>
        </w:rPr>
        <w:t>True integration of green accounting requires more than financial alignment - it has to be embedded within companies` goals related to sustainability and operationalized through cr</w:t>
      </w:r>
      <w:r>
        <w:rPr>
          <w:rFonts w:ascii="Times New Roman" w:hAnsi="Times New Roman" w:cs="Times New Roman"/>
          <w:lang w:val="en-US"/>
        </w:rPr>
        <w:t>oss-functional collaborations. Recent studies stress the importance of this alignment, highlighting the need for accounting systems to support and reflect the organization’s broader environmental and social goals (</w:t>
      </w:r>
      <w:proofErr w:type="spellStart"/>
      <w:r>
        <w:rPr>
          <w:rFonts w:ascii="Times New Roman" w:hAnsi="Times New Roman" w:cs="Times New Roman"/>
          <w:lang w:val="en-US"/>
        </w:rPr>
        <w:t>Marota</w:t>
      </w:r>
      <w:proofErr w:type="spellEnd"/>
      <w:r>
        <w:rPr>
          <w:rFonts w:ascii="Times New Roman" w:hAnsi="Times New Roman" w:cs="Times New Roman"/>
          <w:lang w:val="en-US"/>
        </w:rPr>
        <w:t xml:space="preserve">, 2024; </w:t>
      </w:r>
      <w:proofErr w:type="spellStart"/>
      <w:r>
        <w:rPr>
          <w:rFonts w:ascii="Times New Roman" w:hAnsi="Times New Roman" w:cs="Times New Roman"/>
          <w:lang w:val="en-US"/>
        </w:rPr>
        <w:t>Ambarsari</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2024).</w:t>
      </w:r>
    </w:p>
    <w:p w:rsidR="00427336" w:rsidRDefault="000120B4">
      <w:pPr>
        <w:spacing w:line="276" w:lineRule="auto"/>
        <w:ind w:firstLine="720"/>
        <w:jc w:val="both"/>
      </w:pPr>
      <w:r>
        <w:rPr>
          <w:rFonts w:ascii="Times New Roman" w:hAnsi="Times New Roman" w:cs="Times New Roman"/>
          <w:i/>
          <w:iCs/>
          <w:lang w:val="en-US"/>
        </w:rPr>
        <w:t>7.2</w:t>
      </w:r>
      <w:r>
        <w:rPr>
          <w:rFonts w:ascii="Times New Roman" w:hAnsi="Times New Roman" w:cs="Times New Roman"/>
          <w:i/>
          <w:iCs/>
          <w:lang w:val="en-US"/>
        </w:rPr>
        <w:t>.2 Barriers to implementation</w:t>
      </w:r>
    </w:p>
    <w:p w:rsidR="00427336" w:rsidRDefault="000120B4">
      <w:pPr>
        <w:spacing w:line="276" w:lineRule="auto"/>
        <w:jc w:val="both"/>
      </w:pPr>
      <w:r>
        <w:rPr>
          <w:rFonts w:ascii="Times New Roman" w:hAnsi="Times New Roman" w:cs="Times New Roman"/>
          <w:lang w:val="en-US"/>
        </w:rPr>
        <w:t xml:space="preserve">One of the most important barriers to implementing TCA is the issue of resources. These include limitations in financial investment, human expertise, and technological capacity-factors that are particularly acute in small and </w:t>
      </w:r>
      <w:r>
        <w:rPr>
          <w:rFonts w:ascii="Times New Roman" w:hAnsi="Times New Roman" w:cs="Times New Roman"/>
          <w:lang w:val="en-US"/>
        </w:rPr>
        <w:t>medium-sized companies and in regions where resources are limited. Some studies mention that the financial burden of introducing such accounting systems can cause difficulties to organizations (</w:t>
      </w:r>
      <w:proofErr w:type="spellStart"/>
      <w:r>
        <w:rPr>
          <w:rFonts w:ascii="Times New Roman" w:hAnsi="Times New Roman" w:cs="Times New Roman"/>
          <w:lang w:val="en-US"/>
        </w:rPr>
        <w:t>Marota</w:t>
      </w:r>
      <w:proofErr w:type="spellEnd"/>
      <w:r>
        <w:rPr>
          <w:rFonts w:ascii="Times New Roman" w:hAnsi="Times New Roman" w:cs="Times New Roman"/>
          <w:lang w:val="en-US"/>
        </w:rPr>
        <w:t xml:space="preserve">, 2024; </w:t>
      </w:r>
      <w:proofErr w:type="spellStart"/>
      <w:r>
        <w:rPr>
          <w:rFonts w:ascii="Times New Roman" w:hAnsi="Times New Roman" w:cs="Times New Roman"/>
          <w:lang w:val="en-US"/>
        </w:rPr>
        <w:t>Taygashinova</w:t>
      </w:r>
      <w:proofErr w:type="spellEnd"/>
      <w:r>
        <w:rPr>
          <w:rFonts w:ascii="Times New Roman" w:hAnsi="Times New Roman" w:cs="Times New Roman"/>
          <w:lang w:val="en-US"/>
        </w:rPr>
        <w:t xml:space="preserve"> </w:t>
      </w:r>
      <w:r>
        <w:rPr>
          <w:rFonts w:ascii="Times New Roman" w:hAnsi="Times New Roman" w:cs="Times New Roman"/>
          <w:color w:val="000000"/>
          <w:lang w:val="en-US"/>
        </w:rPr>
        <w:t xml:space="preserve">&amp; </w:t>
      </w:r>
      <w:proofErr w:type="spellStart"/>
      <w:r>
        <w:rPr>
          <w:rFonts w:ascii="Times New Roman" w:hAnsi="Times New Roman" w:cs="Times New Roman"/>
          <w:color w:val="000000"/>
          <w:lang w:val="en-US"/>
        </w:rPr>
        <w:t>Akhmetova</w:t>
      </w:r>
      <w:proofErr w:type="spellEnd"/>
      <w:r>
        <w:rPr>
          <w:rFonts w:ascii="Times New Roman" w:hAnsi="Times New Roman" w:cs="Times New Roman"/>
          <w:color w:val="000000"/>
          <w:lang w:val="en-US"/>
        </w:rPr>
        <w:t>, 2</w:t>
      </w:r>
      <w:r>
        <w:rPr>
          <w:rFonts w:ascii="Times New Roman" w:hAnsi="Times New Roman" w:cs="Times New Roman"/>
          <w:lang w:val="en-US"/>
        </w:rPr>
        <w:t>019). Literature sugg</w:t>
      </w:r>
      <w:r>
        <w:rPr>
          <w:rFonts w:ascii="Times New Roman" w:hAnsi="Times New Roman" w:cs="Times New Roman"/>
          <w:lang w:val="en-US"/>
        </w:rPr>
        <w:t xml:space="preserve">ests several possible mitigation strategies. Lang </w:t>
      </w:r>
      <w:r>
        <w:rPr>
          <w:rFonts w:ascii="Times New Roman" w:hAnsi="Times New Roman" w:cs="Times New Roman"/>
          <w:i/>
          <w:iCs/>
          <w:lang w:val="en-US"/>
        </w:rPr>
        <w:t>et al.</w:t>
      </w:r>
      <w:r>
        <w:rPr>
          <w:rFonts w:ascii="Times New Roman" w:hAnsi="Times New Roman" w:cs="Times New Roman"/>
          <w:lang w:val="en-US"/>
        </w:rPr>
        <w:t xml:space="preserve"> (2004) and Bennett and James (1998) mentioned the advantages of phased implementation and the leveraging of existing infrastructure in order to reduce costs. </w:t>
      </w:r>
      <w:bookmarkStart w:id="11" w:name="_Hlk202519080"/>
      <w:r>
        <w:rPr>
          <w:rFonts w:ascii="Times New Roman" w:hAnsi="Times New Roman" w:cs="Times New Roman"/>
          <w:lang w:val="en-US"/>
        </w:rPr>
        <w:t>While the potential for long-term financi</w:t>
      </w:r>
      <w:r>
        <w:rPr>
          <w:rFonts w:ascii="Times New Roman" w:hAnsi="Times New Roman" w:cs="Times New Roman"/>
          <w:lang w:val="en-US"/>
        </w:rPr>
        <w:t>al and operational benefits is well recognized, realizing these gains requires overcoming the investment and resource barriers</w:t>
      </w:r>
      <w:bookmarkEnd w:id="11"/>
      <w:r>
        <w:rPr>
          <w:rFonts w:ascii="Times New Roman" w:hAnsi="Times New Roman" w:cs="Times New Roman"/>
          <w:lang w:val="en-US"/>
        </w:rPr>
        <w:t xml:space="preserve"> (Lang </w:t>
      </w:r>
      <w:r>
        <w:rPr>
          <w:rFonts w:ascii="Times New Roman" w:hAnsi="Times New Roman" w:cs="Times New Roman"/>
          <w:i/>
          <w:iCs/>
          <w:lang w:val="en-US"/>
        </w:rPr>
        <w:t>et al.,</w:t>
      </w:r>
      <w:r>
        <w:rPr>
          <w:rFonts w:ascii="Times New Roman" w:hAnsi="Times New Roman" w:cs="Times New Roman"/>
          <w:lang w:val="en-US"/>
        </w:rPr>
        <w:t xml:space="preserve"> 2004; Bennett &amp; James, 1998).</w:t>
      </w:r>
    </w:p>
    <w:p w:rsidR="00427336" w:rsidRDefault="000120B4">
      <w:pPr>
        <w:spacing w:line="276" w:lineRule="auto"/>
        <w:ind w:firstLine="720"/>
        <w:contextualSpacing/>
        <w:jc w:val="both"/>
      </w:pPr>
      <w:r>
        <w:rPr>
          <w:rFonts w:ascii="Times New Roman" w:hAnsi="Times New Roman" w:cs="Times New Roman"/>
          <w:i/>
          <w:iCs/>
          <w:lang w:val="en-US"/>
        </w:rPr>
        <w:t>7.2.3 In conclusion</w:t>
      </w:r>
    </w:p>
    <w:p w:rsidR="00427336" w:rsidRDefault="000120B4">
      <w:pPr>
        <w:spacing w:line="276" w:lineRule="auto"/>
        <w:contextualSpacing/>
        <w:jc w:val="both"/>
      </w:pPr>
      <w:r>
        <w:rPr>
          <w:rFonts w:ascii="Times New Roman" w:hAnsi="Times New Roman" w:cs="Times New Roman"/>
          <w:lang w:val="en-US"/>
        </w:rPr>
        <w:lastRenderedPageBreak/>
        <w:t>The instrumental dimension of True Cost Accounting focuses on the</w:t>
      </w:r>
      <w:r>
        <w:rPr>
          <w:rFonts w:ascii="Times New Roman" w:hAnsi="Times New Roman" w:cs="Times New Roman"/>
          <w:lang w:val="en-US"/>
        </w:rPr>
        <w:t xml:space="preserve"> practical factors of the implementation within organizations. The possible challenges include the technical barriers, data complexity, the lack of standards, high costs, and gaps in expertise. A successful TCA adoption requires including it in the compani</w:t>
      </w:r>
      <w:r>
        <w:rPr>
          <w:rFonts w:ascii="Times New Roman" w:hAnsi="Times New Roman" w:cs="Times New Roman"/>
          <w:lang w:val="en-US"/>
        </w:rPr>
        <w:t>es` sustainability strategies and needs to be supported by cross-functional collaboration and aligned systems. Mitigation strategies contain phased implementation, the leveraging of the existing infrastructure, and regulatory guidance to overcome the resou</w:t>
      </w:r>
      <w:r>
        <w:rPr>
          <w:rFonts w:ascii="Times New Roman" w:hAnsi="Times New Roman" w:cs="Times New Roman"/>
          <w:lang w:val="en-US"/>
        </w:rPr>
        <w:t>rce and organizational constraints.</w:t>
      </w:r>
    </w:p>
    <w:p w:rsidR="00427336" w:rsidRDefault="000120B4">
      <w:pPr>
        <w:pStyle w:val="Heading2"/>
        <w:spacing w:line="276" w:lineRule="auto"/>
        <w:ind w:left="576"/>
      </w:pPr>
      <w:r>
        <w:rPr>
          <w:rFonts w:cs="Times New Roman"/>
          <w:b/>
          <w:bCs/>
          <w:color w:val="000000"/>
          <w:sz w:val="24"/>
          <w:szCs w:val="24"/>
          <w:lang w:val="en-US"/>
        </w:rPr>
        <w:t xml:space="preserve">7.3 </w:t>
      </w:r>
      <w:bookmarkStart w:id="12" w:name="_Toc198505568"/>
      <w:r>
        <w:rPr>
          <w:rFonts w:cs="Times New Roman"/>
          <w:b/>
          <w:bCs/>
          <w:color w:val="000000"/>
          <w:sz w:val="24"/>
          <w:szCs w:val="24"/>
          <w:lang w:val="en-US"/>
        </w:rPr>
        <w:t>The environmental dimension of TCA</w:t>
      </w:r>
      <w:bookmarkEnd w:id="12"/>
    </w:p>
    <w:p w:rsidR="00427336" w:rsidRDefault="000120B4">
      <w:pPr>
        <w:spacing w:before="240" w:line="276" w:lineRule="auto"/>
        <w:jc w:val="both"/>
      </w:pPr>
      <w:r>
        <w:rPr>
          <w:rFonts w:ascii="Times New Roman" w:hAnsi="Times New Roman" w:cs="Times New Roman"/>
          <w:lang w:val="en-US"/>
        </w:rPr>
        <w:t xml:space="preserve">The environmental dimension of TCA encompasses three main factor groups: </w:t>
      </w:r>
    </w:p>
    <w:p w:rsidR="00427336" w:rsidRDefault="000120B4">
      <w:pPr>
        <w:spacing w:before="240" w:line="276" w:lineRule="auto"/>
        <w:ind w:firstLine="720"/>
        <w:jc w:val="both"/>
      </w:pPr>
      <w:r>
        <w:rPr>
          <w:rFonts w:ascii="Times New Roman" w:hAnsi="Times New Roman" w:cs="Times New Roman"/>
          <w:i/>
          <w:iCs/>
          <w:lang w:val="en-US"/>
        </w:rPr>
        <w:t>7.3.1 Resource consumption and usage</w:t>
      </w:r>
      <w:r>
        <w:rPr>
          <w:rFonts w:ascii="Times New Roman" w:hAnsi="Times New Roman" w:cs="Times New Roman"/>
          <w:lang w:val="en-US"/>
        </w:rPr>
        <w:t>:</w:t>
      </w:r>
    </w:p>
    <w:p w:rsidR="00427336" w:rsidRDefault="000120B4">
      <w:pPr>
        <w:pStyle w:val="ListParagraph"/>
        <w:numPr>
          <w:ilvl w:val="0"/>
          <w:numId w:val="6"/>
        </w:numPr>
        <w:spacing w:before="240" w:line="276" w:lineRule="auto"/>
        <w:ind w:left="1134"/>
        <w:jc w:val="both"/>
      </w:pPr>
      <w:r>
        <w:rPr>
          <w:rFonts w:ascii="Times New Roman" w:hAnsi="Times New Roman" w:cs="Times New Roman"/>
          <w:lang w:val="en-US"/>
        </w:rPr>
        <w:t>Material inputs: Tracking material inputs as a core environmental fac</w:t>
      </w:r>
      <w:r>
        <w:rPr>
          <w:rFonts w:ascii="Times New Roman" w:hAnsi="Times New Roman" w:cs="Times New Roman"/>
          <w:lang w:val="en-US"/>
        </w:rPr>
        <w:t>tor, including raw materials, chemicals, and other consumables.</w:t>
      </w:r>
    </w:p>
    <w:p w:rsidR="00427336" w:rsidRDefault="000120B4">
      <w:pPr>
        <w:pStyle w:val="ListParagraph"/>
        <w:numPr>
          <w:ilvl w:val="0"/>
          <w:numId w:val="6"/>
        </w:numPr>
        <w:spacing w:before="240" w:line="276" w:lineRule="auto"/>
        <w:ind w:left="1134"/>
        <w:jc w:val="both"/>
      </w:pPr>
      <w:r>
        <w:rPr>
          <w:rFonts w:ascii="Times New Roman" w:hAnsi="Times New Roman" w:cs="Times New Roman"/>
          <w:lang w:val="en-US"/>
        </w:rPr>
        <w:t>Energy consumption: Energy use is frequently cited as a key metric, both for its direct environmental impact and as a proxy for efficiency.</w:t>
      </w:r>
    </w:p>
    <w:p w:rsidR="00427336" w:rsidRDefault="000120B4">
      <w:pPr>
        <w:pStyle w:val="ListParagraph"/>
        <w:numPr>
          <w:ilvl w:val="0"/>
          <w:numId w:val="6"/>
        </w:numPr>
        <w:spacing w:before="240" w:line="276" w:lineRule="auto"/>
        <w:ind w:left="1134" w:hanging="357"/>
        <w:contextualSpacing w:val="0"/>
        <w:jc w:val="both"/>
      </w:pPr>
      <w:r>
        <w:rPr>
          <w:rFonts w:ascii="Times New Roman" w:hAnsi="Times New Roman" w:cs="Times New Roman"/>
          <w:lang w:val="en-US"/>
        </w:rPr>
        <w:t>Water usage: Water consumption is identified as a cr</w:t>
      </w:r>
      <w:r>
        <w:rPr>
          <w:rFonts w:ascii="Times New Roman" w:hAnsi="Times New Roman" w:cs="Times New Roman"/>
          <w:lang w:val="en-US"/>
        </w:rPr>
        <w:t>itical factor, especially in manufacturing and processing industries, agriculture and animal husbandry.</w:t>
      </w:r>
    </w:p>
    <w:p w:rsidR="00427336" w:rsidRDefault="000120B4">
      <w:pPr>
        <w:pStyle w:val="ListParagraph"/>
        <w:spacing w:before="240" w:line="276" w:lineRule="auto"/>
        <w:jc w:val="both"/>
      </w:pPr>
      <w:r>
        <w:rPr>
          <w:rFonts w:ascii="Times New Roman" w:hAnsi="Times New Roman" w:cs="Times New Roman"/>
          <w:i/>
          <w:iCs/>
          <w:lang w:val="en-US"/>
        </w:rPr>
        <w:t>7.3.2 Emissions and waste management:</w:t>
      </w:r>
    </w:p>
    <w:p w:rsidR="00427336" w:rsidRDefault="000120B4">
      <w:pPr>
        <w:pStyle w:val="ListParagraph"/>
        <w:numPr>
          <w:ilvl w:val="0"/>
          <w:numId w:val="5"/>
        </w:numPr>
        <w:spacing w:before="240" w:line="276" w:lineRule="auto"/>
        <w:ind w:left="1134"/>
        <w:jc w:val="both"/>
      </w:pPr>
      <w:r>
        <w:rPr>
          <w:rFonts w:ascii="Times New Roman" w:hAnsi="Times New Roman" w:cs="Times New Roman"/>
          <w:lang w:val="en-US"/>
        </w:rPr>
        <w:t>Air emissions: Greenhouse gases and pollutants.</w:t>
      </w:r>
    </w:p>
    <w:p w:rsidR="00427336" w:rsidRDefault="000120B4">
      <w:pPr>
        <w:pStyle w:val="ListParagraph"/>
        <w:numPr>
          <w:ilvl w:val="0"/>
          <w:numId w:val="5"/>
        </w:numPr>
        <w:spacing w:before="240" w:line="276" w:lineRule="auto"/>
        <w:ind w:left="1134"/>
        <w:jc w:val="both"/>
      </w:pPr>
      <w:r>
        <w:rPr>
          <w:rFonts w:ascii="Times New Roman" w:hAnsi="Times New Roman" w:cs="Times New Roman"/>
          <w:lang w:val="en-US"/>
        </w:rPr>
        <w:t xml:space="preserve">Sewage: Discharges to water bodies, including chemical and </w:t>
      </w:r>
      <w:r>
        <w:rPr>
          <w:rFonts w:ascii="Times New Roman" w:hAnsi="Times New Roman" w:cs="Times New Roman"/>
          <w:lang w:val="en-US"/>
        </w:rPr>
        <w:t>biological toxins.</w:t>
      </w:r>
    </w:p>
    <w:p w:rsidR="00427336" w:rsidRDefault="000120B4">
      <w:pPr>
        <w:pStyle w:val="ListParagraph"/>
        <w:numPr>
          <w:ilvl w:val="0"/>
          <w:numId w:val="5"/>
        </w:numPr>
        <w:spacing w:before="240" w:line="276" w:lineRule="auto"/>
        <w:ind w:left="1134" w:hanging="357"/>
        <w:contextualSpacing w:val="0"/>
        <w:jc w:val="both"/>
      </w:pPr>
      <w:r>
        <w:rPr>
          <w:rFonts w:ascii="Times New Roman" w:hAnsi="Times New Roman" w:cs="Times New Roman"/>
          <w:lang w:val="en-US"/>
        </w:rPr>
        <w:t>Solid waste: Hazardous and non-hazardous solid waste, with Material Flow Cost Accounting (MFCA) addressing non-product output.</w:t>
      </w:r>
    </w:p>
    <w:p w:rsidR="00427336" w:rsidRDefault="000120B4">
      <w:pPr>
        <w:pStyle w:val="ListParagraph"/>
        <w:spacing w:before="240" w:line="276" w:lineRule="auto"/>
        <w:jc w:val="both"/>
      </w:pPr>
      <w:r>
        <w:rPr>
          <w:rFonts w:ascii="Times New Roman" w:hAnsi="Times New Roman" w:cs="Times New Roman"/>
          <w:i/>
          <w:iCs/>
          <w:lang w:val="en-US"/>
        </w:rPr>
        <w:t>7.3.3 Environmental impact metrics:</w:t>
      </w:r>
    </w:p>
    <w:p w:rsidR="00427336" w:rsidRDefault="000120B4">
      <w:pPr>
        <w:pStyle w:val="ListParagraph"/>
        <w:numPr>
          <w:ilvl w:val="0"/>
          <w:numId w:val="4"/>
        </w:numPr>
        <w:spacing w:before="240" w:line="276" w:lineRule="auto"/>
        <w:ind w:left="1134"/>
        <w:jc w:val="both"/>
      </w:pPr>
      <w:r>
        <w:rPr>
          <w:rFonts w:ascii="Times New Roman" w:hAnsi="Times New Roman" w:cs="Times New Roman"/>
          <w:lang w:val="en-US"/>
        </w:rPr>
        <w:t>Ecosystem effects: Biodiversity loss and ecosystem service degradation (th</w:t>
      </w:r>
      <w:r>
        <w:rPr>
          <w:rFonts w:ascii="Times New Roman" w:hAnsi="Times New Roman" w:cs="Times New Roman"/>
          <w:lang w:val="en-US"/>
        </w:rPr>
        <w:t>ough these are less frequently operationalized in accounting systems).</w:t>
      </w:r>
    </w:p>
    <w:p w:rsidR="00427336" w:rsidRDefault="000120B4">
      <w:pPr>
        <w:pStyle w:val="ListParagraph"/>
        <w:numPr>
          <w:ilvl w:val="0"/>
          <w:numId w:val="4"/>
        </w:numPr>
        <w:spacing w:before="240" w:line="276" w:lineRule="auto"/>
        <w:ind w:left="1134"/>
        <w:jc w:val="both"/>
      </w:pPr>
      <w:r>
        <w:rPr>
          <w:rFonts w:ascii="Times New Roman" w:hAnsi="Times New Roman" w:cs="Times New Roman"/>
          <w:lang w:val="en-US"/>
        </w:rPr>
        <w:t>Biodiversity impact: While not always directly measured, the impact on biodiversity is acknowledged as an important environmental dimension.</w:t>
      </w:r>
    </w:p>
    <w:p w:rsidR="00427336" w:rsidRDefault="000120B4">
      <w:pPr>
        <w:pStyle w:val="ListParagraph"/>
        <w:numPr>
          <w:ilvl w:val="0"/>
          <w:numId w:val="4"/>
        </w:numPr>
        <w:spacing w:before="240" w:line="276" w:lineRule="auto"/>
        <w:ind w:left="1134"/>
        <w:jc w:val="both"/>
      </w:pPr>
      <w:r>
        <w:rPr>
          <w:rFonts w:ascii="Times New Roman" w:hAnsi="Times New Roman" w:cs="Times New Roman"/>
          <w:lang w:val="en-US"/>
        </w:rPr>
        <w:t>Land use changes: Land use and its transform</w:t>
      </w:r>
      <w:r>
        <w:rPr>
          <w:rFonts w:ascii="Times New Roman" w:hAnsi="Times New Roman" w:cs="Times New Roman"/>
          <w:lang w:val="en-US"/>
        </w:rPr>
        <w:t xml:space="preserve">ation, particularly in sectors with significant physical footprints (Bennett &amp; James, 1998; </w:t>
      </w:r>
      <w:proofErr w:type="spellStart"/>
      <w:r>
        <w:rPr>
          <w:rFonts w:ascii="Times New Roman" w:hAnsi="Times New Roman" w:cs="Times New Roman"/>
          <w:lang w:val="en-US"/>
        </w:rPr>
        <w:t>Tyteca</w:t>
      </w:r>
      <w:proofErr w:type="spellEnd"/>
      <w:r>
        <w:rPr>
          <w:rFonts w:ascii="Times New Roman" w:hAnsi="Times New Roman" w:cs="Times New Roman"/>
          <w:lang w:val="en-US"/>
        </w:rPr>
        <w:t xml:space="preserve">, 1996; </w:t>
      </w:r>
      <w:proofErr w:type="spellStart"/>
      <w:r>
        <w:rPr>
          <w:rFonts w:ascii="Times New Roman" w:hAnsi="Times New Roman" w:cs="Times New Roman"/>
          <w:lang w:val="en-US"/>
        </w:rPr>
        <w:t>Dinh</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2022; </w:t>
      </w:r>
      <w:proofErr w:type="spellStart"/>
      <w:r>
        <w:rPr>
          <w:rFonts w:ascii="Times New Roman" w:hAnsi="Times New Roman" w:cs="Times New Roman"/>
          <w:lang w:val="en-US"/>
        </w:rPr>
        <w:t>Doorasamy</w:t>
      </w:r>
      <w:proofErr w:type="spellEnd"/>
      <w:r>
        <w:rPr>
          <w:rFonts w:ascii="Times New Roman" w:hAnsi="Times New Roman" w:cs="Times New Roman"/>
          <w:lang w:val="en-US"/>
        </w:rPr>
        <w:t xml:space="preserve">, 2017; </w:t>
      </w:r>
      <w:proofErr w:type="spellStart"/>
      <w:r>
        <w:rPr>
          <w:rFonts w:ascii="Times New Roman" w:hAnsi="Times New Roman" w:cs="Times New Roman"/>
          <w:lang w:val="en-US"/>
        </w:rPr>
        <w:t>Azzone</w:t>
      </w:r>
      <w:proofErr w:type="spellEnd"/>
      <w:r>
        <w:rPr>
          <w:rFonts w:ascii="Times New Roman" w:hAnsi="Times New Roman" w:cs="Times New Roman"/>
          <w:lang w:val="en-US"/>
        </w:rPr>
        <w:t xml:space="preserve"> &amp; Manzini., 1994).</w:t>
      </w:r>
    </w:p>
    <w:p w:rsidR="00427336" w:rsidRDefault="000120B4">
      <w:pPr>
        <w:spacing w:before="240" w:line="276" w:lineRule="auto"/>
        <w:ind w:firstLine="720"/>
        <w:jc w:val="both"/>
      </w:pPr>
      <w:r>
        <w:rPr>
          <w:rFonts w:ascii="Times New Roman" w:hAnsi="Times New Roman" w:cs="Times New Roman"/>
          <w:i/>
          <w:iCs/>
          <w:lang w:val="en-US"/>
        </w:rPr>
        <w:t>7.3.4 Measurement techniques and obstacles</w:t>
      </w:r>
    </w:p>
    <w:p w:rsidR="00427336" w:rsidRDefault="000120B4">
      <w:pPr>
        <w:spacing w:before="240" w:line="276" w:lineRule="auto"/>
        <w:jc w:val="both"/>
      </w:pPr>
      <w:r>
        <w:rPr>
          <w:rFonts w:ascii="Times New Roman" w:hAnsi="Times New Roman" w:cs="Times New Roman"/>
          <w:lang w:val="en-US"/>
        </w:rPr>
        <w:t xml:space="preserve">There are various measurement techniques and </w:t>
      </w:r>
      <w:r>
        <w:rPr>
          <w:rFonts w:ascii="Times New Roman" w:hAnsi="Times New Roman" w:cs="Times New Roman"/>
          <w:lang w:val="en-US"/>
        </w:rPr>
        <w:t xml:space="preserve">practical obstacles associated with assessing the environmental factors in TCA (Table 8). While Material Flow Cost Accounting </w:t>
      </w:r>
      <w:r>
        <w:rPr>
          <w:rFonts w:ascii="Times New Roman" w:hAnsi="Times New Roman" w:cs="Times New Roman"/>
          <w:i/>
          <w:iCs/>
          <w:lang w:val="en-US"/>
        </w:rPr>
        <w:t>(MFCA)</w:t>
      </w:r>
      <w:r>
        <w:rPr>
          <w:rFonts w:ascii="Times New Roman" w:hAnsi="Times New Roman" w:cs="Times New Roman"/>
          <w:lang w:val="en-US"/>
        </w:rPr>
        <w:t xml:space="preserve"> is applied across </w:t>
      </w:r>
      <w:r>
        <w:rPr>
          <w:rFonts w:ascii="Times New Roman" w:hAnsi="Times New Roman" w:cs="Times New Roman"/>
          <w:i/>
          <w:iCs/>
          <w:lang w:val="en-US"/>
        </w:rPr>
        <w:t>multiple</w:t>
      </w:r>
      <w:r>
        <w:rPr>
          <w:rFonts w:ascii="Times New Roman" w:hAnsi="Times New Roman" w:cs="Times New Roman"/>
          <w:lang w:val="en-US"/>
        </w:rPr>
        <w:t xml:space="preserve"> input and waste categories, most other methods are specific to individual environmental aspects </w:t>
      </w:r>
      <w:r>
        <w:rPr>
          <w:rFonts w:ascii="Times New Roman" w:hAnsi="Times New Roman" w:cs="Times New Roman"/>
          <w:lang w:val="en-US"/>
        </w:rPr>
        <w:t>such as emissions, liabilities, or biodiversity.</w:t>
      </w:r>
    </w:p>
    <w:p w:rsidR="00427336" w:rsidRDefault="000120B4">
      <w:pPr>
        <w:pStyle w:val="Caption"/>
        <w:jc w:val="center"/>
        <w:rPr>
          <w:shd w:val="clear" w:color="auto" w:fill="C9211E"/>
          <w:lang w:val="en-US"/>
        </w:rPr>
      </w:pPr>
      <w:r>
        <w:rPr>
          <w:rFonts w:ascii="Times New Roman" w:hAnsi="Times New Roman" w:cs="Times New Roman"/>
          <w:b/>
          <w:bCs/>
          <w:i w:val="0"/>
          <w:iCs w:val="0"/>
          <w:color w:val="000000"/>
          <w:sz w:val="24"/>
          <w:szCs w:val="24"/>
          <w:lang w:val="en-US"/>
        </w:rPr>
        <w:t xml:space="preserve">Table </w:t>
      </w:r>
      <w:r>
        <w:rPr>
          <w:rFonts w:ascii="Times New Roman" w:hAnsi="Times New Roman" w:cs="Times New Roman"/>
          <w:b/>
          <w:bCs/>
          <w:i w:val="0"/>
          <w:iCs w:val="0"/>
          <w:color w:val="000000"/>
          <w:sz w:val="24"/>
          <w:szCs w:val="24"/>
          <w:lang w:val="en-US"/>
        </w:rPr>
        <w:fldChar w:fldCharType="begin"/>
      </w:r>
      <w:r>
        <w:rPr>
          <w:rFonts w:ascii="Times New Roman" w:hAnsi="Times New Roman" w:cs="Times New Roman"/>
          <w:b/>
          <w:bCs/>
          <w:i w:val="0"/>
          <w:iCs w:val="0"/>
          <w:color w:val="000000"/>
          <w:sz w:val="24"/>
          <w:szCs w:val="24"/>
          <w:lang w:val="en-US"/>
        </w:rPr>
        <w:instrText xml:space="preserve"> SEQ Table \* ARABIC </w:instrText>
      </w:r>
      <w:r>
        <w:rPr>
          <w:rFonts w:ascii="Times New Roman" w:hAnsi="Times New Roman" w:cs="Times New Roman"/>
          <w:b/>
          <w:bCs/>
          <w:i w:val="0"/>
          <w:iCs w:val="0"/>
          <w:color w:val="000000"/>
          <w:sz w:val="24"/>
          <w:szCs w:val="24"/>
          <w:lang w:val="en-US"/>
        </w:rPr>
        <w:fldChar w:fldCharType="separate"/>
      </w:r>
      <w:r>
        <w:rPr>
          <w:rFonts w:ascii="Times New Roman" w:hAnsi="Times New Roman" w:cs="Times New Roman"/>
          <w:b/>
          <w:bCs/>
          <w:i w:val="0"/>
          <w:iCs w:val="0"/>
          <w:color w:val="000000"/>
          <w:sz w:val="24"/>
          <w:szCs w:val="24"/>
          <w:lang w:val="en-US"/>
        </w:rPr>
        <w:t>8</w:t>
      </w:r>
      <w:r>
        <w:rPr>
          <w:rFonts w:ascii="Times New Roman" w:hAnsi="Times New Roman" w:cs="Times New Roman"/>
          <w:b/>
          <w:bCs/>
          <w:i w:val="0"/>
          <w:iCs w:val="0"/>
          <w:color w:val="000000"/>
          <w:sz w:val="24"/>
          <w:szCs w:val="24"/>
          <w:lang w:val="en-US"/>
        </w:rPr>
        <w:fldChar w:fldCharType="end"/>
      </w:r>
      <w:r>
        <w:rPr>
          <w:rFonts w:ascii="Times New Roman" w:hAnsi="Times New Roman" w:cs="Times New Roman"/>
          <w:b/>
          <w:bCs/>
          <w:i w:val="0"/>
          <w:iCs w:val="0"/>
          <w:color w:val="000000"/>
          <w:sz w:val="24"/>
          <w:szCs w:val="24"/>
          <w:lang w:val="en-US"/>
        </w:rPr>
        <w:t xml:space="preserve"> Measurement Methods and Implementation Challenges</w:t>
      </w:r>
      <w:r>
        <w:rPr>
          <w:rFonts w:ascii="Times New Roman" w:hAnsi="Times New Roman" w:cs="Times New Roman"/>
          <w:color w:val="000000"/>
          <w:sz w:val="24"/>
          <w:szCs w:val="24"/>
          <w:shd w:val="clear" w:color="auto" w:fill="C9211E"/>
          <w:lang w:val="en-US"/>
        </w:rPr>
        <w:t xml:space="preserve"> </w:t>
      </w:r>
    </w:p>
    <w:tbl>
      <w:tblPr>
        <w:tblStyle w:val="GridTable5Dark-Accent6"/>
        <w:tblW w:w="9016" w:type="dxa"/>
        <w:shd w:val="clear" w:color="auto" w:fill="E2EFD9"/>
        <w:tblLayout w:type="fixed"/>
        <w:tblLook w:val="04A0" w:firstRow="1" w:lastRow="0" w:firstColumn="1" w:lastColumn="0" w:noHBand="0" w:noVBand="1"/>
      </w:tblPr>
      <w:tblGrid>
        <w:gridCol w:w="2071"/>
        <w:gridCol w:w="2181"/>
        <w:gridCol w:w="2410"/>
        <w:gridCol w:w="2354"/>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Factor</w:t>
            </w:r>
          </w:p>
        </w:tc>
        <w:tc>
          <w:tcPr>
            <w:tcW w:w="2181" w:type="dxa"/>
            <w:tcBorders>
              <w:bottom w:val="nil"/>
            </w:tcBorders>
          </w:tcPr>
          <w:p w:rsidR="00427336" w:rsidRDefault="000120B4">
            <w:pPr>
              <w:spacing w:before="240"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Measurement Method</w:t>
            </w:r>
          </w:p>
        </w:tc>
        <w:tc>
          <w:tcPr>
            <w:tcW w:w="2410" w:type="dxa"/>
            <w:tcBorders>
              <w:bottom w:val="nil"/>
            </w:tcBorders>
          </w:tcPr>
          <w:p w:rsidR="00427336" w:rsidRDefault="000120B4">
            <w:pPr>
              <w:spacing w:before="240"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Implementation Challenges</w:t>
            </w:r>
          </w:p>
        </w:tc>
        <w:tc>
          <w:tcPr>
            <w:tcW w:w="2354" w:type="dxa"/>
            <w:tcBorders>
              <w:bottom w:val="nil"/>
            </w:tcBorders>
          </w:tcPr>
          <w:p w:rsidR="00427336" w:rsidRDefault="000120B4">
            <w:pPr>
              <w:spacing w:before="240"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Best Practices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lastRenderedPageBreak/>
              <w:t>Material/Energy/Water Inputs</w:t>
            </w:r>
          </w:p>
        </w:tc>
        <w:tc>
          <w:tcPr>
            <w:tcW w:w="2181"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Physical tracking, Material</w:t>
            </w:r>
            <w:r>
              <w:rPr>
                <w:rFonts w:ascii="Times New Roman" w:hAnsi="Times New Roman" w:cs="Times New Roman"/>
                <w:sz w:val="22"/>
                <w:szCs w:val="22"/>
                <w:lang w:val="en-US"/>
              </w:rPr>
              <w:t xml:space="preserve"> Flow Cost Accounting (MFCA), cost allocation</w:t>
            </w:r>
          </w:p>
        </w:tc>
        <w:tc>
          <w:tcPr>
            <w:tcW w:w="2410"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Data collection, integration with financial systems</w:t>
            </w:r>
          </w:p>
        </w:tc>
        <w:tc>
          <w:tcPr>
            <w:tcW w:w="2354"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Use of MFCA, combined physical-financial metrics</w:t>
            </w:r>
          </w:p>
        </w:tc>
      </w:tr>
      <w:tr w:rsidR="00427336" w:rsidTr="00427336">
        <w:tc>
          <w:tcPr>
            <w:cnfStyle w:val="001000000000" w:firstRow="0" w:lastRow="0" w:firstColumn="1" w:lastColumn="0" w:oddVBand="0" w:evenVBand="0" w:oddHBand="0" w:evenHBand="0" w:firstRowFirstColumn="0" w:firstRowLastColumn="0" w:lastRowFirstColumn="0" w:lastRowLastColumn="0"/>
            <w:tcW w:w="2070"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Emissions (Air/Water)</w:t>
            </w:r>
          </w:p>
        </w:tc>
        <w:tc>
          <w:tcPr>
            <w:tcW w:w="2181"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Emissions inventories, regulatory reporting</w:t>
            </w:r>
          </w:p>
        </w:tc>
        <w:tc>
          <w:tcPr>
            <w:tcW w:w="2410"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Measurement accuracy, regulatory </w:t>
            </w:r>
            <w:r>
              <w:rPr>
                <w:rFonts w:ascii="Times New Roman" w:hAnsi="Times New Roman" w:cs="Times New Roman"/>
                <w:sz w:val="22"/>
                <w:szCs w:val="22"/>
                <w:lang w:val="en-US"/>
              </w:rPr>
              <w:t>compliance</w:t>
            </w:r>
          </w:p>
        </w:tc>
        <w:tc>
          <w:tcPr>
            <w:tcW w:w="2354"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Standardized reporting, integration with management systems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Solid Waste</w:t>
            </w:r>
          </w:p>
        </w:tc>
        <w:tc>
          <w:tcPr>
            <w:tcW w:w="2181"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Waste audits, MFCA</w:t>
            </w:r>
          </w:p>
        </w:tc>
        <w:tc>
          <w:tcPr>
            <w:tcW w:w="2410"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Identifying non-product output, cost attribution</w:t>
            </w:r>
          </w:p>
        </w:tc>
        <w:tc>
          <w:tcPr>
            <w:tcW w:w="2354"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MFCA, waste minimization programs</w:t>
            </w:r>
          </w:p>
        </w:tc>
      </w:tr>
      <w:tr w:rsidR="00427336" w:rsidTr="00427336">
        <w:tc>
          <w:tcPr>
            <w:cnfStyle w:val="001000000000" w:firstRow="0" w:lastRow="0" w:firstColumn="1" w:lastColumn="0" w:oddVBand="0" w:evenVBand="0" w:oddHBand="0" w:evenHBand="0" w:firstRowFirstColumn="0" w:firstRowLastColumn="0" w:lastRowFirstColumn="0" w:lastRowLastColumn="0"/>
            <w:tcW w:w="2070"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Environmental Liabilities</w:t>
            </w:r>
          </w:p>
        </w:tc>
        <w:tc>
          <w:tcPr>
            <w:tcW w:w="2181"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Financial provisions, risk assessment</w:t>
            </w:r>
          </w:p>
        </w:tc>
        <w:tc>
          <w:tcPr>
            <w:tcW w:w="2410"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Uncertainty, valuation methods</w:t>
            </w:r>
          </w:p>
        </w:tc>
        <w:tc>
          <w:tcPr>
            <w:tcW w:w="2354" w:type="dxa"/>
          </w:tcPr>
          <w:p w:rsidR="00427336" w:rsidRDefault="000120B4">
            <w:pPr>
              <w:keepNext/>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Use of scenario analysis, regular reviews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Ecosystem/Biodiversity/Land Use</w:t>
            </w:r>
          </w:p>
        </w:tc>
        <w:tc>
          <w:tcPr>
            <w:tcW w:w="2181"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Impact assessments, qualitative indicators</w:t>
            </w:r>
          </w:p>
        </w:tc>
        <w:tc>
          <w:tcPr>
            <w:tcW w:w="2410"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Data limitations, lack of standardized metrics</w:t>
            </w:r>
          </w:p>
        </w:tc>
        <w:tc>
          <w:tcPr>
            <w:tcW w:w="2354" w:type="dxa"/>
          </w:tcPr>
          <w:p w:rsidR="00427336" w:rsidRDefault="000120B4">
            <w:pPr>
              <w:keepNext/>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Integration with sustainability reporting</w:t>
            </w:r>
          </w:p>
        </w:tc>
      </w:tr>
    </w:tbl>
    <w:p w:rsidR="00427336" w:rsidRDefault="000120B4">
      <w:pPr>
        <w:pStyle w:val="Caption"/>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own editing based on </w:t>
      </w:r>
      <w:proofErr w:type="spellStart"/>
      <w:r>
        <w:rPr>
          <w:rFonts w:ascii="Times New Roman" w:hAnsi="Times New Roman" w:cs="Times New Roman"/>
          <w:color w:val="000000"/>
          <w:sz w:val="24"/>
          <w:szCs w:val="24"/>
          <w:lang w:val="en-US"/>
        </w:rPr>
        <w:t>Tyteca</w:t>
      </w:r>
      <w:proofErr w:type="spellEnd"/>
      <w:r>
        <w:rPr>
          <w:rFonts w:ascii="Times New Roman" w:hAnsi="Times New Roman" w:cs="Times New Roman"/>
          <w:color w:val="000000"/>
          <w:sz w:val="24"/>
          <w:szCs w:val="24"/>
          <w:lang w:val="en-US"/>
        </w:rPr>
        <w:t xml:space="preserve">, 1996; </w:t>
      </w:r>
      <w:r>
        <w:rPr>
          <w:rFonts w:ascii="Times New Roman" w:eastAsia="Times New Roman" w:hAnsi="Times New Roman" w:cs="Times New Roman"/>
          <w:color w:val="000000"/>
          <w:sz w:val="24"/>
          <w:szCs w:val="24"/>
          <w:lang w:val="en-US"/>
        </w:rPr>
        <w:t xml:space="preserve">Bennett &amp; James, 1998; Baumann et al., 2015; </w:t>
      </w:r>
      <w:proofErr w:type="spellStart"/>
      <w:r>
        <w:rPr>
          <w:rFonts w:ascii="Times New Roman" w:eastAsia="Times New Roman" w:hAnsi="Times New Roman" w:cs="Times New Roman"/>
          <w:color w:val="000000"/>
          <w:sz w:val="24"/>
          <w:szCs w:val="24"/>
          <w:lang w:val="en-US"/>
        </w:rPr>
        <w:t>Doorasamy</w:t>
      </w:r>
      <w:proofErr w:type="spellEnd"/>
      <w:r>
        <w:rPr>
          <w:rFonts w:ascii="Times New Roman" w:eastAsia="Times New Roman" w:hAnsi="Times New Roman" w:cs="Times New Roman"/>
          <w:color w:val="000000"/>
          <w:sz w:val="24"/>
          <w:szCs w:val="24"/>
          <w:lang w:val="en-US"/>
        </w:rPr>
        <w:t xml:space="preserve"> 2017; Li &amp; </w:t>
      </w:r>
      <w:proofErr w:type="spellStart"/>
      <w:r>
        <w:rPr>
          <w:rFonts w:ascii="Times New Roman" w:eastAsia="Times New Roman" w:hAnsi="Times New Roman" w:cs="Times New Roman"/>
          <w:color w:val="000000"/>
          <w:sz w:val="24"/>
          <w:szCs w:val="24"/>
          <w:lang w:val="en-US"/>
        </w:rPr>
        <w:t>McConomy</w:t>
      </w:r>
      <w:proofErr w:type="spellEnd"/>
      <w:r>
        <w:rPr>
          <w:rFonts w:ascii="Times New Roman" w:eastAsia="Times New Roman" w:hAnsi="Times New Roman" w:cs="Times New Roman"/>
          <w:color w:val="000000"/>
          <w:sz w:val="24"/>
          <w:szCs w:val="24"/>
          <w:lang w:val="en-US"/>
        </w:rPr>
        <w:t>, 1999; Thomas et al., 2007</w:t>
      </w:r>
    </w:p>
    <w:p w:rsidR="00427336" w:rsidRDefault="000120B4">
      <w:pPr>
        <w:spacing w:before="240" w:line="276" w:lineRule="auto"/>
        <w:jc w:val="both"/>
      </w:pPr>
      <w:r>
        <w:rPr>
          <w:rFonts w:ascii="Times New Roman" w:eastAsia="Times New Roman" w:hAnsi="Times New Roman" w:cs="Times New Roman"/>
          <w:color w:val="000000"/>
          <w:lang w:val="en-US"/>
        </w:rPr>
        <w:t xml:space="preserve">Similarly, implementation challenges tend to be factor-specific, ranging from data collection and cost attribution to </w:t>
      </w:r>
      <w:r>
        <w:rPr>
          <w:rFonts w:ascii="Times New Roman" w:eastAsia="Times New Roman" w:hAnsi="Times New Roman" w:cs="Times New Roman"/>
          <w:color w:val="000000"/>
          <w:lang w:val="en-US"/>
        </w:rPr>
        <w:t>regulatory compliance and methodological uncertainty, underscoring the complexity of establishing consistent and reliable environmental measurements.</w:t>
      </w:r>
    </w:p>
    <w:p w:rsidR="00427336" w:rsidRDefault="000120B4">
      <w:pPr>
        <w:spacing w:line="276" w:lineRule="auto"/>
        <w:ind w:firstLine="567"/>
        <w:jc w:val="both"/>
      </w:pPr>
      <w:r>
        <w:rPr>
          <w:rFonts w:ascii="Times New Roman" w:hAnsi="Times New Roman" w:cs="Times New Roman"/>
          <w:lang w:val="en-US"/>
        </w:rPr>
        <w:t>Integrated measuring frameworks are necessary for the incorporation of environmental factors into green ac</w:t>
      </w:r>
      <w:r>
        <w:rPr>
          <w:rFonts w:ascii="Times New Roman" w:hAnsi="Times New Roman" w:cs="Times New Roman"/>
          <w:lang w:val="en-US"/>
        </w:rPr>
        <w:t xml:space="preserve">counting systems. Several studies mention the possibility of using physical indicators like tons of carbon dioxide emitted, or liters of water used as essential metrics for True Cost Accounting. At the same time, financial metrics are critical factors for </w:t>
      </w:r>
      <w:r>
        <w:rPr>
          <w:rFonts w:ascii="Times New Roman" w:hAnsi="Times New Roman" w:cs="Times New Roman"/>
          <w:lang w:val="en-US"/>
        </w:rPr>
        <w:t>translating environmental impacts into information which companies can use to drive actions, like calculating cost savings from pollution prevention. To bridge these approaches, researchers suggest using combined frameworks which are integrating the physic</w:t>
      </w:r>
      <w:r>
        <w:rPr>
          <w:rFonts w:ascii="Times New Roman" w:hAnsi="Times New Roman" w:cs="Times New Roman"/>
          <w:lang w:val="en-US"/>
        </w:rPr>
        <w:t>al and financial indicators and are supporting more complete management and decision-making. The main success factors are the pressure from regulatory systems and stakeholders, strong organizational commitment, and the access to the necessary expertise. Ho</w:t>
      </w:r>
      <w:r>
        <w:rPr>
          <w:rFonts w:ascii="Times New Roman" w:hAnsi="Times New Roman" w:cs="Times New Roman"/>
          <w:lang w:val="en-US"/>
        </w:rPr>
        <w:t>wever, there are several challenges of implementation, such as limited compatibility with existing systems, data constraints, and insufficient resources, especially in smaller companies (</w:t>
      </w:r>
      <w:proofErr w:type="spellStart"/>
      <w:r>
        <w:rPr>
          <w:rFonts w:ascii="Times New Roman" w:hAnsi="Times New Roman" w:cs="Times New Roman"/>
          <w:lang w:val="en-US"/>
        </w:rPr>
        <w:t>Tyteca</w:t>
      </w:r>
      <w:proofErr w:type="spellEnd"/>
      <w:r>
        <w:rPr>
          <w:rFonts w:ascii="Times New Roman" w:hAnsi="Times New Roman" w:cs="Times New Roman"/>
          <w:lang w:val="en-US"/>
        </w:rPr>
        <w:t xml:space="preserve">, 1996; Thomas </w:t>
      </w:r>
      <w:r>
        <w:rPr>
          <w:rFonts w:ascii="Times New Roman" w:hAnsi="Times New Roman" w:cs="Times New Roman"/>
          <w:i/>
          <w:iCs/>
          <w:lang w:val="en-US"/>
        </w:rPr>
        <w:t>et al.</w:t>
      </w:r>
      <w:r>
        <w:rPr>
          <w:rFonts w:ascii="Times New Roman" w:hAnsi="Times New Roman" w:cs="Times New Roman"/>
          <w:lang w:val="en-US"/>
        </w:rPr>
        <w:t xml:space="preserve">, 2007; Bennett &amp; James, 1998; </w:t>
      </w:r>
      <w:proofErr w:type="spellStart"/>
      <w:r>
        <w:rPr>
          <w:rFonts w:ascii="Times New Roman" w:hAnsi="Times New Roman" w:cs="Times New Roman"/>
          <w:lang w:val="en-US"/>
        </w:rPr>
        <w:t>Dinh</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2022; Li &amp; </w:t>
      </w:r>
      <w:proofErr w:type="spellStart"/>
      <w:r>
        <w:rPr>
          <w:rFonts w:ascii="Times New Roman" w:eastAsia="Times New Roman" w:hAnsi="Times New Roman" w:cs="Times New Roman"/>
          <w:color w:val="000000"/>
          <w:lang w:val="en-US"/>
        </w:rPr>
        <w:t>McConomy</w:t>
      </w:r>
      <w:proofErr w:type="spellEnd"/>
      <w:r>
        <w:rPr>
          <w:rFonts w:ascii="Times New Roman" w:hAnsi="Times New Roman" w:cs="Times New Roman"/>
          <w:lang w:val="en-US"/>
        </w:rPr>
        <w:t>, 1999).</w:t>
      </w:r>
    </w:p>
    <w:p w:rsidR="00427336" w:rsidRDefault="000120B4">
      <w:pPr>
        <w:spacing w:line="276" w:lineRule="auto"/>
        <w:ind w:firstLine="567"/>
        <w:jc w:val="both"/>
      </w:pPr>
      <w:r>
        <w:rPr>
          <w:rFonts w:ascii="Times New Roman" w:hAnsi="Times New Roman" w:cs="Times New Roman"/>
          <w:i/>
          <w:iCs/>
          <w:lang w:val="en-US"/>
        </w:rPr>
        <w:t>7.3.5 Concluding</w:t>
      </w:r>
    </w:p>
    <w:p w:rsidR="00427336" w:rsidRDefault="000120B4">
      <w:pPr>
        <w:spacing w:line="276" w:lineRule="auto"/>
        <w:jc w:val="both"/>
      </w:pPr>
      <w:r>
        <w:rPr>
          <w:rFonts w:ascii="Times New Roman" w:hAnsi="Times New Roman" w:cs="Times New Roman"/>
          <w:i/>
          <w:iCs/>
          <w:lang w:val="en-US"/>
        </w:rPr>
        <w:t>In summary</w:t>
      </w:r>
      <w:r>
        <w:rPr>
          <w:rFonts w:ascii="Times New Roman" w:hAnsi="Times New Roman" w:cs="Times New Roman"/>
          <w:lang w:val="en-US"/>
        </w:rPr>
        <w:t>, the literature shows that the most effective integration of TCA occurs when the physical and the financial data are aligned with the companies` long-term strategies. Larger businesses are more like</w:t>
      </w:r>
      <w:r>
        <w:rPr>
          <w:rFonts w:ascii="Times New Roman" w:hAnsi="Times New Roman" w:cs="Times New Roman"/>
          <w:lang w:val="en-US"/>
        </w:rPr>
        <w:t>ly to succeed in this integration process, especially when it is supported by external pressures and internal commitment. Nonetheless, achieving meaningful integration remains challenging.</w:t>
      </w:r>
    </w:p>
    <w:p w:rsidR="00427336" w:rsidRDefault="000120B4">
      <w:pPr>
        <w:spacing w:line="276" w:lineRule="auto"/>
        <w:jc w:val="both"/>
      </w:pPr>
      <w:r>
        <w:rPr>
          <w:rFonts w:ascii="Times New Roman" w:hAnsi="Times New Roman" w:cs="Times New Roman"/>
          <w:b/>
          <w:bCs/>
          <w:color w:val="000000"/>
          <w:lang w:val="en-US"/>
        </w:rPr>
        <w:t xml:space="preserve">7.4 </w:t>
      </w:r>
      <w:bookmarkStart w:id="13" w:name="_Toc198505569"/>
      <w:r>
        <w:rPr>
          <w:rFonts w:ascii="Times New Roman" w:hAnsi="Times New Roman" w:cs="Times New Roman"/>
          <w:b/>
          <w:bCs/>
          <w:color w:val="000000"/>
          <w:lang w:val="en-US"/>
        </w:rPr>
        <w:t>The regulatory dimension of TCA</w:t>
      </w:r>
      <w:bookmarkEnd w:id="13"/>
    </w:p>
    <w:p w:rsidR="00427336" w:rsidRDefault="000120B4">
      <w:pPr>
        <w:spacing w:before="240" w:line="276" w:lineRule="auto"/>
        <w:ind w:firstLine="567"/>
        <w:jc w:val="both"/>
      </w:pPr>
      <w:r>
        <w:rPr>
          <w:rFonts w:ascii="Times New Roman" w:hAnsi="Times New Roman" w:cs="Times New Roman"/>
          <w:lang w:val="en-US"/>
        </w:rPr>
        <w:t>Legal and regulatory frameworks</w:t>
      </w:r>
      <w:r>
        <w:rPr>
          <w:rFonts w:ascii="Times New Roman" w:hAnsi="Times New Roman" w:cs="Times New Roman"/>
          <w:lang w:val="en-US"/>
        </w:rPr>
        <w:t xml:space="preserve"> are described to be essential factors of TCA adoption. Several authors describe the importance of clear and standardized calculation methodologies to ensure consistency and comparability </w:t>
      </w:r>
      <w:r>
        <w:rPr>
          <w:rFonts w:ascii="Times New Roman" w:hAnsi="Times New Roman" w:cs="Times New Roman"/>
          <w:i/>
          <w:iCs/>
          <w:lang w:val="en-US"/>
        </w:rPr>
        <w:t>(</w:t>
      </w:r>
      <w:proofErr w:type="spellStart"/>
      <w:r>
        <w:rPr>
          <w:rFonts w:ascii="Times New Roman" w:hAnsi="Times New Roman" w:cs="Times New Roman"/>
          <w:lang w:val="en-US"/>
        </w:rPr>
        <w:t>Michalke</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2022; </w:t>
      </w:r>
      <w:proofErr w:type="spellStart"/>
      <w:r>
        <w:rPr>
          <w:rFonts w:ascii="Times New Roman" w:hAnsi="Times New Roman" w:cs="Times New Roman"/>
          <w:lang w:val="en-US"/>
        </w:rPr>
        <w:t>Ambarsari</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2024</w:t>
      </w:r>
      <w:r>
        <w:rPr>
          <w:rFonts w:ascii="Times New Roman" w:hAnsi="Times New Roman" w:cs="Times New Roman"/>
          <w:i/>
          <w:iCs/>
          <w:lang w:val="en-US"/>
        </w:rPr>
        <w:t>).</w:t>
      </w:r>
      <w:r>
        <w:rPr>
          <w:rFonts w:ascii="Times New Roman" w:hAnsi="Times New Roman" w:cs="Times New Roman"/>
          <w:lang w:val="en-US"/>
        </w:rPr>
        <w:t xml:space="preserve"> Government policies</w:t>
      </w:r>
      <w:r>
        <w:rPr>
          <w:rFonts w:ascii="Times New Roman" w:hAnsi="Times New Roman" w:cs="Times New Roman"/>
          <w:lang w:val="en-US"/>
        </w:rPr>
        <w:t xml:space="preserve"> and institutional support also play an important role, especially in </w:t>
      </w:r>
      <w:r>
        <w:rPr>
          <w:rFonts w:ascii="Times New Roman" w:hAnsi="Times New Roman" w:cs="Times New Roman"/>
          <w:lang w:val="en-US"/>
        </w:rPr>
        <w:lastRenderedPageBreak/>
        <w:t xml:space="preserve">developing countries where regulatory capacity and infrastructure might be limited </w:t>
      </w:r>
      <w:r>
        <w:rPr>
          <w:rFonts w:ascii="Times New Roman" w:hAnsi="Times New Roman" w:cs="Times New Roman"/>
          <w:i/>
          <w:iCs/>
          <w:lang w:val="en-US"/>
        </w:rPr>
        <w:t>(</w:t>
      </w:r>
      <w:proofErr w:type="spellStart"/>
      <w:r>
        <w:rPr>
          <w:rFonts w:ascii="Times New Roman" w:hAnsi="Times New Roman" w:cs="Times New Roman"/>
          <w:lang w:val="en-US"/>
        </w:rPr>
        <w:t>Rikhardsson</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2005; Lang </w:t>
      </w:r>
      <w:r>
        <w:rPr>
          <w:rFonts w:ascii="Times New Roman" w:hAnsi="Times New Roman" w:cs="Times New Roman"/>
          <w:i/>
          <w:iCs/>
          <w:lang w:val="en-US"/>
        </w:rPr>
        <w:t>et al.</w:t>
      </w:r>
      <w:r>
        <w:rPr>
          <w:rFonts w:ascii="Times New Roman" w:hAnsi="Times New Roman" w:cs="Times New Roman"/>
          <w:lang w:val="en-US"/>
        </w:rPr>
        <w:t>, 2004</w:t>
      </w:r>
      <w:r>
        <w:rPr>
          <w:rFonts w:ascii="Times New Roman" w:hAnsi="Times New Roman" w:cs="Times New Roman"/>
          <w:i/>
          <w:iCs/>
          <w:lang w:val="en-US"/>
        </w:rPr>
        <w:t>.</w:t>
      </w:r>
    </w:p>
    <w:p w:rsidR="00427336" w:rsidRDefault="000120B4">
      <w:pPr>
        <w:spacing w:before="240" w:line="276" w:lineRule="auto"/>
        <w:ind w:firstLine="567"/>
        <w:jc w:val="both"/>
      </w:pPr>
      <w:r>
        <w:rPr>
          <w:rFonts w:ascii="Times New Roman" w:hAnsi="Times New Roman" w:cs="Times New Roman"/>
          <w:i/>
          <w:iCs/>
          <w:lang w:val="en-US"/>
        </w:rPr>
        <w:t>7.4.1 Primary regulatory factors</w:t>
      </w:r>
    </w:p>
    <w:p w:rsidR="00427336" w:rsidRDefault="000120B4">
      <w:pPr>
        <w:spacing w:before="240" w:line="276" w:lineRule="auto"/>
        <w:jc w:val="both"/>
      </w:pPr>
      <w:r>
        <w:rPr>
          <w:rFonts w:ascii="Times New Roman" w:hAnsi="Times New Roman" w:cs="Times New Roman"/>
          <w:lang w:val="en-US"/>
        </w:rPr>
        <w:t>TCA is governed by three</w:t>
      </w:r>
      <w:r>
        <w:rPr>
          <w:rFonts w:ascii="Times New Roman" w:hAnsi="Times New Roman" w:cs="Times New Roman"/>
          <w:lang w:val="en-US"/>
        </w:rPr>
        <w:t xml:space="preserve"> primary regulatory factors: </w:t>
      </w:r>
      <w:r>
        <w:rPr>
          <w:rFonts w:ascii="Times New Roman" w:hAnsi="Times New Roman" w:cs="Times New Roman"/>
          <w:i/>
          <w:iCs/>
          <w:lang w:val="en-US"/>
        </w:rPr>
        <w:t>(1)</w:t>
      </w:r>
      <w:r>
        <w:rPr>
          <w:rFonts w:ascii="Times New Roman" w:hAnsi="Times New Roman" w:cs="Times New Roman"/>
          <w:lang w:val="en-US"/>
        </w:rPr>
        <w:t xml:space="preserve"> required environmental data reporting;</w:t>
      </w:r>
      <w:r>
        <w:rPr>
          <w:rFonts w:ascii="Times New Roman" w:hAnsi="Times New Roman" w:cs="Times New Roman"/>
          <w:i/>
          <w:iCs/>
          <w:lang w:val="en-US"/>
        </w:rPr>
        <w:t xml:space="preserve"> (2) </w:t>
      </w:r>
      <w:r>
        <w:rPr>
          <w:rFonts w:ascii="Times New Roman" w:hAnsi="Times New Roman" w:cs="Times New Roman"/>
          <w:lang w:val="en-US"/>
        </w:rPr>
        <w:t xml:space="preserve">market mechanisms for environmental costs; e.g. cap-and-trade systems; </w:t>
      </w:r>
      <w:r>
        <w:rPr>
          <w:rFonts w:ascii="Times New Roman" w:hAnsi="Times New Roman" w:cs="Times New Roman"/>
          <w:i/>
          <w:iCs/>
          <w:lang w:val="en-US"/>
        </w:rPr>
        <w:t>(3)</w:t>
      </w:r>
      <w:r>
        <w:rPr>
          <w:rFonts w:ascii="Times New Roman" w:hAnsi="Times New Roman" w:cs="Times New Roman"/>
          <w:lang w:val="en-US"/>
        </w:rPr>
        <w:t xml:space="preserve"> transition of voluntary standards to mandatory status. Mandatory governmental measures shape environmenta</w:t>
      </w:r>
      <w:r>
        <w:rPr>
          <w:rFonts w:ascii="Times New Roman" w:hAnsi="Times New Roman" w:cs="Times New Roman"/>
          <w:lang w:val="en-US"/>
        </w:rPr>
        <w:t>l accounting practices. European studies document that legal mandates - such as those based on International Accounting Standards, the EU Directive 2014/95/EU, and the European Union Emissions Trading Scheme - boost both financial and non‐financial environ</w:t>
      </w:r>
      <w:r>
        <w:rPr>
          <w:rFonts w:ascii="Times New Roman" w:hAnsi="Times New Roman" w:cs="Times New Roman"/>
          <w:lang w:val="en-US"/>
        </w:rPr>
        <w:t>mental disclosures. In Australia, the Clean Energy Act 2011 and the National Greenhouse and Energy Reporting Act 2007 helped to develop carbon-related reporting. In Indonesia, regulations like the Government Regulation No. 47/2012, Law 32/2009, and Governm</w:t>
      </w:r>
      <w:r>
        <w:rPr>
          <w:rFonts w:ascii="Times New Roman" w:hAnsi="Times New Roman" w:cs="Times New Roman"/>
          <w:lang w:val="en-US"/>
        </w:rPr>
        <w:t xml:space="preserve">ent Regulation No. 46/2017 lead to greater Global Reporting Initiative-based and carbon disclosures, though weak penalty frameworks and limited organizational resources challenge compliance </w:t>
      </w:r>
      <w:r>
        <w:rPr>
          <w:rFonts w:ascii="Times New Roman" w:hAnsi="Times New Roman" w:cs="Times New Roman"/>
          <w:i/>
          <w:iCs/>
          <w:lang w:val="en-US"/>
        </w:rPr>
        <w:t>(</w:t>
      </w:r>
      <w:proofErr w:type="spellStart"/>
      <w:r>
        <w:rPr>
          <w:rFonts w:ascii="Times New Roman" w:hAnsi="Times New Roman" w:cs="Times New Roman"/>
          <w:lang w:val="en-US"/>
        </w:rPr>
        <w:t>Barbu</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2022; Mia </w:t>
      </w:r>
      <w:r>
        <w:rPr>
          <w:rFonts w:ascii="Times New Roman" w:hAnsi="Times New Roman" w:cs="Times New Roman"/>
          <w:i/>
          <w:iCs/>
          <w:lang w:val="en-US"/>
        </w:rPr>
        <w:t>et al.</w:t>
      </w:r>
      <w:r>
        <w:rPr>
          <w:rFonts w:ascii="Times New Roman" w:hAnsi="Times New Roman" w:cs="Times New Roman"/>
          <w:lang w:val="en-US"/>
        </w:rPr>
        <w:t xml:space="preserve">, 2021; Yaya </w:t>
      </w:r>
      <w:r>
        <w:rPr>
          <w:rFonts w:ascii="Times New Roman" w:hAnsi="Times New Roman" w:cs="Times New Roman"/>
          <w:i/>
          <w:iCs/>
          <w:lang w:val="en-US"/>
        </w:rPr>
        <w:t>et al.</w:t>
      </w:r>
      <w:r>
        <w:rPr>
          <w:rFonts w:ascii="Times New Roman" w:hAnsi="Times New Roman" w:cs="Times New Roman"/>
          <w:lang w:val="en-US"/>
        </w:rPr>
        <w:t>, 2018</w:t>
      </w:r>
      <w:r>
        <w:rPr>
          <w:rFonts w:ascii="Times New Roman" w:hAnsi="Times New Roman" w:cs="Times New Roman"/>
          <w:i/>
          <w:iCs/>
          <w:lang w:val="en-US"/>
        </w:rPr>
        <w:t>).</w:t>
      </w:r>
    </w:p>
    <w:p w:rsidR="00427336" w:rsidRDefault="000120B4">
      <w:pPr>
        <w:spacing w:before="240" w:line="276" w:lineRule="auto"/>
        <w:jc w:val="both"/>
      </w:pPr>
      <w:r>
        <w:rPr>
          <w:rFonts w:ascii="Times New Roman" w:hAnsi="Times New Roman" w:cs="Times New Roman"/>
          <w:lang w:val="en-US"/>
        </w:rPr>
        <w:t>On envi</w:t>
      </w:r>
      <w:r>
        <w:rPr>
          <w:rFonts w:ascii="Times New Roman" w:hAnsi="Times New Roman" w:cs="Times New Roman"/>
          <w:lang w:val="en-US"/>
        </w:rPr>
        <w:t>ronmental reporting regulations, the following implementation mechanisms have been identified in recent studies:</w:t>
      </w:r>
    </w:p>
    <w:p w:rsidR="00427336" w:rsidRDefault="000120B4">
      <w:pPr>
        <w:pStyle w:val="ListParagraph"/>
        <w:numPr>
          <w:ilvl w:val="0"/>
          <w:numId w:val="9"/>
        </w:numPr>
        <w:spacing w:before="240" w:line="276" w:lineRule="auto"/>
        <w:jc w:val="both"/>
      </w:pPr>
      <w:r>
        <w:rPr>
          <w:rFonts w:ascii="Times New Roman" w:hAnsi="Times New Roman" w:cs="Times New Roman"/>
          <w:i/>
          <w:lang w:val="en-US"/>
        </w:rPr>
        <w:t>Compliance requirements:</w:t>
      </w:r>
      <w:r>
        <w:rPr>
          <w:rFonts w:ascii="Times New Roman" w:hAnsi="Times New Roman" w:cs="Times New Roman"/>
          <w:lang w:val="en-US"/>
        </w:rPr>
        <w:t xml:space="preserve"> Mandatory reporting, applying penalties in some regions.</w:t>
      </w:r>
    </w:p>
    <w:p w:rsidR="00427336" w:rsidRDefault="000120B4">
      <w:pPr>
        <w:pStyle w:val="ListParagraph"/>
        <w:numPr>
          <w:ilvl w:val="0"/>
          <w:numId w:val="8"/>
        </w:numPr>
        <w:spacing w:before="240" w:line="276" w:lineRule="auto"/>
        <w:jc w:val="both"/>
      </w:pPr>
      <w:r>
        <w:rPr>
          <w:rFonts w:ascii="Times New Roman" w:hAnsi="Times New Roman" w:cs="Times New Roman"/>
          <w:i/>
          <w:lang w:val="en-US"/>
        </w:rPr>
        <w:t>Incentive structures:</w:t>
      </w:r>
      <w:r>
        <w:rPr>
          <w:rFonts w:ascii="Times New Roman" w:hAnsi="Times New Roman" w:cs="Times New Roman"/>
          <w:lang w:val="en-US"/>
        </w:rPr>
        <w:t xml:space="preserve"> Reducing of regulatory burdens, tax reductions, or public recognition.</w:t>
      </w:r>
    </w:p>
    <w:p w:rsidR="00427336" w:rsidRDefault="000120B4">
      <w:pPr>
        <w:pStyle w:val="ListParagraph"/>
        <w:numPr>
          <w:ilvl w:val="0"/>
          <w:numId w:val="8"/>
        </w:numPr>
        <w:spacing w:before="240" w:line="276" w:lineRule="auto"/>
        <w:jc w:val="both"/>
      </w:pPr>
      <w:r>
        <w:rPr>
          <w:rFonts w:ascii="Times New Roman" w:hAnsi="Times New Roman" w:cs="Times New Roman"/>
          <w:i/>
          <w:lang w:val="en-US"/>
        </w:rPr>
        <w:t>Monitoring mechanisms:</w:t>
      </w:r>
      <w:r>
        <w:rPr>
          <w:rFonts w:ascii="Times New Roman" w:hAnsi="Times New Roman" w:cs="Times New Roman"/>
          <w:lang w:val="en-US"/>
        </w:rPr>
        <w:t xml:space="preserve"> Registries (European Union Emissions Trading Scheme), regular reporting (e.g. in Nordic countries), and external audits.</w:t>
      </w:r>
    </w:p>
    <w:p w:rsidR="00427336" w:rsidRDefault="000120B4">
      <w:pPr>
        <w:pStyle w:val="ListParagraph"/>
        <w:numPr>
          <w:ilvl w:val="0"/>
          <w:numId w:val="8"/>
        </w:numPr>
        <w:spacing w:before="240" w:line="276" w:lineRule="auto"/>
        <w:jc w:val="both"/>
      </w:pPr>
      <w:r>
        <w:rPr>
          <w:rFonts w:ascii="Times New Roman" w:hAnsi="Times New Roman" w:cs="Times New Roman"/>
          <w:i/>
          <w:lang w:val="en-US"/>
        </w:rPr>
        <w:t>Reporting standards:</w:t>
      </w:r>
      <w:r>
        <w:rPr>
          <w:rFonts w:ascii="Times New Roman" w:hAnsi="Times New Roman" w:cs="Times New Roman"/>
          <w:lang w:val="en-US"/>
        </w:rPr>
        <w:t xml:space="preserve"> Diverse adoption ac</w:t>
      </w:r>
      <w:r>
        <w:rPr>
          <w:rFonts w:ascii="Times New Roman" w:hAnsi="Times New Roman" w:cs="Times New Roman"/>
          <w:lang w:val="en-US"/>
        </w:rPr>
        <w:t xml:space="preserve">ross regions, some countries are using international frameworks (Global Reporting Initiative, International Accounting Standards / International Financial Reporting Standards), while others developed their own national standards (Yaya </w:t>
      </w:r>
      <w:r>
        <w:rPr>
          <w:rFonts w:ascii="Times New Roman" w:hAnsi="Times New Roman" w:cs="Times New Roman"/>
          <w:i/>
          <w:iCs/>
          <w:lang w:val="en-US"/>
        </w:rPr>
        <w:t>et al</w:t>
      </w:r>
      <w:r>
        <w:rPr>
          <w:rFonts w:ascii="Times New Roman" w:hAnsi="Times New Roman" w:cs="Times New Roman"/>
          <w:lang w:val="en-US"/>
        </w:rPr>
        <w:t>., 2018; McNally</w:t>
      </w:r>
      <w:r>
        <w:rPr>
          <w:rFonts w:ascii="Times New Roman" w:hAnsi="Times New Roman" w:cs="Times New Roman"/>
          <w:lang w:val="en-US"/>
        </w:rPr>
        <w:t xml:space="preserve">, 2015; </w:t>
      </w:r>
      <w:proofErr w:type="spellStart"/>
      <w:r>
        <w:rPr>
          <w:rFonts w:ascii="Times New Roman" w:hAnsi="Times New Roman" w:cs="Times New Roman"/>
          <w:lang w:val="en-US"/>
        </w:rPr>
        <w:t>Occhipinti</w:t>
      </w:r>
      <w:proofErr w:type="spellEnd"/>
      <w:r>
        <w:rPr>
          <w:rFonts w:ascii="Times New Roman" w:hAnsi="Times New Roman" w:cs="Times New Roman"/>
          <w:lang w:val="en-US"/>
        </w:rPr>
        <w:t>, 2023).</w:t>
      </w:r>
    </w:p>
    <w:p w:rsidR="00427336" w:rsidRDefault="000120B4">
      <w:pPr>
        <w:spacing w:before="240" w:line="276" w:lineRule="auto"/>
        <w:jc w:val="both"/>
      </w:pPr>
      <w:r>
        <w:rPr>
          <w:rFonts w:ascii="Times New Roman" w:hAnsi="Times New Roman" w:cs="Times New Roman"/>
          <w:lang w:val="en-US"/>
        </w:rPr>
        <w:t>Several studies highlight the impact of these factors on disclosure practices, the responses from stakeholders, and regional or sectoral differences in reporting:</w:t>
      </w:r>
    </w:p>
    <w:p w:rsidR="00427336" w:rsidRDefault="000120B4">
      <w:pPr>
        <w:pStyle w:val="ListParagraph"/>
        <w:numPr>
          <w:ilvl w:val="0"/>
          <w:numId w:val="7"/>
        </w:numPr>
        <w:spacing w:line="276" w:lineRule="auto"/>
      </w:pPr>
      <w:r>
        <w:rPr>
          <w:rFonts w:ascii="Times New Roman" w:hAnsi="Times New Roman" w:cs="Times New Roman"/>
          <w:i/>
          <w:lang w:val="en-US"/>
        </w:rPr>
        <w:t>Quality and quantity:</w:t>
      </w:r>
      <w:r>
        <w:rPr>
          <w:rFonts w:ascii="Times New Roman" w:hAnsi="Times New Roman" w:cs="Times New Roman"/>
          <w:lang w:val="en-US"/>
        </w:rPr>
        <w:t xml:space="preserve"> Several studies mentioned that both the qual</w:t>
      </w:r>
      <w:r>
        <w:rPr>
          <w:rFonts w:ascii="Times New Roman" w:hAnsi="Times New Roman" w:cs="Times New Roman"/>
          <w:lang w:val="en-US"/>
        </w:rPr>
        <w:t>ity and quantity of environmental disclosures increased following regulation, but there are challenges with information quality and comparability.</w:t>
      </w:r>
    </w:p>
    <w:p w:rsidR="00427336" w:rsidRDefault="000120B4">
      <w:pPr>
        <w:pStyle w:val="ListParagraph"/>
        <w:numPr>
          <w:ilvl w:val="0"/>
          <w:numId w:val="7"/>
        </w:numPr>
        <w:spacing w:line="276" w:lineRule="auto"/>
      </w:pPr>
      <w:r>
        <w:rPr>
          <w:rFonts w:ascii="Times New Roman" w:hAnsi="Times New Roman" w:cs="Times New Roman"/>
          <w:i/>
          <w:lang w:val="en-US"/>
        </w:rPr>
        <w:t>Responses from stakeholders:</w:t>
      </w:r>
      <w:r>
        <w:rPr>
          <w:rFonts w:ascii="Times New Roman" w:hAnsi="Times New Roman" w:cs="Times New Roman"/>
          <w:lang w:val="en-US"/>
        </w:rPr>
        <w:t xml:space="preserve"> Increased transparency, but ongoing challenges in making sure that the published</w:t>
      </w:r>
      <w:r>
        <w:rPr>
          <w:rFonts w:ascii="Times New Roman" w:hAnsi="Times New Roman" w:cs="Times New Roman"/>
          <w:lang w:val="en-US"/>
        </w:rPr>
        <w:t xml:space="preserve"> reports are meaningful and not too generic.</w:t>
      </w:r>
    </w:p>
    <w:p w:rsidR="00427336" w:rsidRDefault="000120B4">
      <w:pPr>
        <w:pStyle w:val="ListParagraph"/>
        <w:numPr>
          <w:ilvl w:val="0"/>
          <w:numId w:val="7"/>
        </w:numPr>
        <w:spacing w:before="240" w:line="276" w:lineRule="auto"/>
        <w:jc w:val="both"/>
      </w:pPr>
      <w:r>
        <w:rPr>
          <w:rFonts w:ascii="Times New Roman" w:hAnsi="Times New Roman" w:cs="Times New Roman"/>
          <w:i/>
          <w:lang w:val="en-US"/>
        </w:rPr>
        <w:t>Sectoral and regional differences:</w:t>
      </w:r>
      <w:r>
        <w:rPr>
          <w:rFonts w:ascii="Times New Roman" w:hAnsi="Times New Roman" w:cs="Times New Roman"/>
          <w:lang w:val="en-US"/>
        </w:rPr>
        <w:t xml:space="preserve"> More extensive reporting was reported in highly regulated sectors and countries (United States, Norway, Denmark) (</w:t>
      </w:r>
      <w:proofErr w:type="spellStart"/>
      <w:r>
        <w:rPr>
          <w:rFonts w:ascii="Times New Roman" w:hAnsi="Times New Roman" w:cs="Times New Roman"/>
          <w:lang w:val="en-US"/>
        </w:rPr>
        <w:t>Barbu</w:t>
      </w:r>
      <w:proofErr w:type="spellEnd"/>
      <w:r>
        <w:rPr>
          <w:rFonts w:ascii="Times New Roman" w:hAnsi="Times New Roman" w:cs="Times New Roman"/>
          <w:lang w:val="en-US"/>
        </w:rPr>
        <w:t xml:space="preserve"> </w:t>
      </w:r>
      <w:r>
        <w:rPr>
          <w:rFonts w:ascii="Times New Roman" w:hAnsi="Times New Roman" w:cs="Times New Roman"/>
          <w:i/>
          <w:iCs/>
          <w:lang w:val="en-US"/>
        </w:rPr>
        <w:t>et al.</w:t>
      </w:r>
      <w:r>
        <w:rPr>
          <w:rFonts w:ascii="Times New Roman" w:hAnsi="Times New Roman" w:cs="Times New Roman"/>
          <w:lang w:val="en-US"/>
        </w:rPr>
        <w:t xml:space="preserve">, 2022; </w:t>
      </w:r>
      <w:proofErr w:type="spellStart"/>
      <w:r>
        <w:rPr>
          <w:rFonts w:ascii="Times New Roman" w:eastAsia="Times New Roman" w:hAnsi="Times New Roman" w:cs="Times New Roman"/>
          <w:lang w:val="en-US"/>
        </w:rPr>
        <w:t>Schaltegger</w:t>
      </w:r>
      <w:proofErr w:type="spellEnd"/>
      <w:r>
        <w:rPr>
          <w:rFonts w:ascii="Times New Roman" w:eastAsia="Times New Roman" w:hAnsi="Times New Roman" w:cs="Times New Roman"/>
          <w:lang w:val="en-US"/>
        </w:rPr>
        <w:t>, 1997).</w:t>
      </w:r>
    </w:p>
    <w:p w:rsidR="00427336" w:rsidRDefault="000120B4">
      <w:pPr>
        <w:spacing w:before="240" w:line="276" w:lineRule="auto"/>
        <w:jc w:val="both"/>
      </w:pPr>
      <w:r>
        <w:rPr>
          <w:rFonts w:ascii="Times New Roman" w:hAnsi="Times New Roman" w:cs="Times New Roman"/>
          <w:lang w:val="en-US"/>
        </w:rPr>
        <w:t>Table 9 gives an overv</w:t>
      </w:r>
      <w:r>
        <w:rPr>
          <w:rFonts w:ascii="Times New Roman" w:hAnsi="Times New Roman" w:cs="Times New Roman"/>
          <w:lang w:val="en-US"/>
        </w:rPr>
        <w:t>iew of the effectiveness of different regulatory systems, based on a cross-jurisdictional analysis based on the available resources.</w:t>
      </w:r>
    </w:p>
    <w:p w:rsidR="00427336" w:rsidRDefault="000120B4">
      <w:pPr>
        <w:spacing w:before="240" w:line="480" w:lineRule="auto"/>
        <w:jc w:val="both"/>
        <w:rPr>
          <w:b/>
          <w:bCs/>
          <w:lang w:val="en-US"/>
        </w:rPr>
      </w:pPr>
      <w:r>
        <w:rPr>
          <w:rFonts w:ascii="Times New Roman" w:hAnsi="Times New Roman" w:cs="Times New Roman"/>
          <w:b/>
          <w:bCs/>
          <w:lang w:val="en-US"/>
        </w:rPr>
        <w:lastRenderedPageBreak/>
        <w:t xml:space="preserve">Table </w:t>
      </w:r>
      <w:r>
        <w:rPr>
          <w:rFonts w:ascii="Times New Roman" w:hAnsi="Times New Roman" w:cs="Times New Roman"/>
          <w:b/>
          <w:bCs/>
          <w:lang w:val="en-US"/>
        </w:rPr>
        <w:fldChar w:fldCharType="begin"/>
      </w:r>
      <w:r>
        <w:rPr>
          <w:rFonts w:ascii="Times New Roman" w:hAnsi="Times New Roman" w:cs="Times New Roman"/>
          <w:b/>
          <w:bCs/>
          <w:lang w:val="en-US"/>
        </w:rPr>
        <w:instrText xml:space="preserve"> SEQ Table \* ARABIC </w:instrText>
      </w:r>
      <w:r>
        <w:rPr>
          <w:rFonts w:ascii="Times New Roman" w:hAnsi="Times New Roman" w:cs="Times New Roman"/>
          <w:b/>
          <w:bCs/>
          <w:lang w:val="en-US"/>
        </w:rPr>
        <w:fldChar w:fldCharType="separate"/>
      </w:r>
      <w:r>
        <w:rPr>
          <w:rFonts w:ascii="Times New Roman" w:hAnsi="Times New Roman" w:cs="Times New Roman"/>
          <w:b/>
          <w:bCs/>
          <w:lang w:val="en-US"/>
        </w:rPr>
        <w:t>9</w:t>
      </w:r>
      <w:r>
        <w:rPr>
          <w:rFonts w:ascii="Times New Roman" w:hAnsi="Times New Roman" w:cs="Times New Roman"/>
          <w:b/>
          <w:bCs/>
          <w:lang w:val="en-US"/>
        </w:rPr>
        <w:fldChar w:fldCharType="end"/>
      </w:r>
      <w:r>
        <w:rPr>
          <w:rFonts w:ascii="Times New Roman" w:hAnsi="Times New Roman" w:cs="Times New Roman"/>
          <w:b/>
          <w:bCs/>
          <w:lang w:val="en-US"/>
        </w:rPr>
        <w:t>. Cross-Jurisdictional Analysis of effectiveness of different regulatory systems</w:t>
      </w:r>
    </w:p>
    <w:tbl>
      <w:tblPr>
        <w:tblStyle w:val="GridTable5Dark-Accent6"/>
        <w:tblW w:w="9016" w:type="dxa"/>
        <w:shd w:val="clear" w:color="auto" w:fill="E2EFD9"/>
        <w:tblLayout w:type="fixed"/>
        <w:tblLook w:val="04A0" w:firstRow="1" w:lastRow="0" w:firstColumn="1" w:lastColumn="0" w:noHBand="0" w:noVBand="1"/>
      </w:tblPr>
      <w:tblGrid>
        <w:gridCol w:w="1842"/>
        <w:gridCol w:w="2667"/>
        <w:gridCol w:w="2254"/>
        <w:gridCol w:w="2253"/>
      </w:tblGrid>
      <w:tr w:rsidR="00427336" w:rsidTr="004273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Region</w:t>
            </w:r>
          </w:p>
        </w:tc>
        <w:tc>
          <w:tcPr>
            <w:tcW w:w="2667" w:type="dxa"/>
            <w:tcBorders>
              <w:bottom w:val="nil"/>
            </w:tcBorders>
          </w:tcPr>
          <w:p w:rsidR="00427336" w:rsidRDefault="000120B4">
            <w:pPr>
              <w:spacing w:before="240"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Prim</w:t>
            </w:r>
            <w:r>
              <w:rPr>
                <w:rFonts w:ascii="Times New Roman" w:hAnsi="Times New Roman" w:cs="Times New Roman"/>
                <w:color w:val="FFFFFF" w:themeColor="background1"/>
                <w:sz w:val="22"/>
                <w:szCs w:val="22"/>
                <w:lang w:val="en-US"/>
              </w:rPr>
              <w:t>ary Regulations</w:t>
            </w:r>
          </w:p>
        </w:tc>
        <w:tc>
          <w:tcPr>
            <w:tcW w:w="2254" w:type="dxa"/>
            <w:tcBorders>
              <w:bottom w:val="nil"/>
            </w:tcBorders>
          </w:tcPr>
          <w:p w:rsidR="00427336" w:rsidRDefault="000120B4">
            <w:pPr>
              <w:spacing w:before="240"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Enforcement Methods</w:t>
            </w:r>
          </w:p>
        </w:tc>
        <w:tc>
          <w:tcPr>
            <w:tcW w:w="2253" w:type="dxa"/>
            <w:tcBorders>
              <w:bottom w:val="nil"/>
            </w:tcBorders>
          </w:tcPr>
          <w:p w:rsidR="00427336" w:rsidRDefault="000120B4">
            <w:pPr>
              <w:spacing w:before="240" w:after="0" w:line="240" w:lineRule="auto"/>
              <w:contextualSpacing/>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color w:val="FFFFFF" w:themeColor="background1"/>
                <w:sz w:val="22"/>
                <w:szCs w:val="22"/>
                <w:lang w:val="en-US"/>
              </w:rPr>
              <w:t>Effectiveness Indicators</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Europe</w:t>
            </w:r>
          </w:p>
        </w:tc>
        <w:tc>
          <w:tcPr>
            <w:tcW w:w="2667"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International Accounting Standards / International Financial Reporting Standards, European Union Directive 2014/95/EU, European Union Emissions Trading Scheme</w:t>
            </w:r>
          </w:p>
        </w:tc>
        <w:tc>
          <w:tcPr>
            <w:tcW w:w="2254"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Mandatory reporting, </w:t>
            </w:r>
            <w:r>
              <w:rPr>
                <w:rFonts w:ascii="Times New Roman" w:hAnsi="Times New Roman" w:cs="Times New Roman"/>
                <w:sz w:val="22"/>
                <w:szCs w:val="22"/>
                <w:lang w:val="en-US"/>
              </w:rPr>
              <w:t>penalties (European Union Emissions Trading Scheme), national adaptation</w:t>
            </w:r>
          </w:p>
        </w:tc>
        <w:tc>
          <w:tcPr>
            <w:tcW w:w="2253"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Improved disclosure, but low baseline; challenges in comparability</w:t>
            </w:r>
          </w:p>
        </w:tc>
      </w:tr>
      <w:tr w:rsidR="00427336" w:rsidTr="00427336">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Australia</w:t>
            </w:r>
          </w:p>
        </w:tc>
        <w:tc>
          <w:tcPr>
            <w:tcW w:w="2667"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Clean Energy Act 2011, National Greenhouse and Energy Reporting Act 2007</w:t>
            </w:r>
          </w:p>
        </w:tc>
        <w:tc>
          <w:tcPr>
            <w:tcW w:w="2254"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Carbon tax, mandatory reporting </w:t>
            </w:r>
            <w:r>
              <w:rPr>
                <w:rFonts w:ascii="Times New Roman" w:hAnsi="Times New Roman" w:cs="Times New Roman"/>
                <w:sz w:val="22"/>
                <w:szCs w:val="22"/>
                <w:lang w:val="en-US"/>
              </w:rPr>
              <w:t>for large emitters</w:t>
            </w:r>
          </w:p>
        </w:tc>
        <w:tc>
          <w:tcPr>
            <w:tcW w:w="2253"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Increased carbon disclosure, enhanced accountability</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Indonesia</w:t>
            </w:r>
          </w:p>
        </w:tc>
        <w:tc>
          <w:tcPr>
            <w:tcW w:w="2667"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Government Regulation 47/2012, Law 32/2009, Government Regulation 46/2017</w:t>
            </w:r>
          </w:p>
        </w:tc>
        <w:tc>
          <w:tcPr>
            <w:tcW w:w="2254"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Mandatory reporting, some penalties/incentives,</w:t>
            </w:r>
          </w:p>
        </w:tc>
        <w:tc>
          <w:tcPr>
            <w:tcW w:w="2253"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Increased Global Reporting Initiative/carbon </w:t>
            </w:r>
            <w:r>
              <w:rPr>
                <w:rFonts w:ascii="Times New Roman" w:hAnsi="Times New Roman" w:cs="Times New Roman"/>
                <w:sz w:val="22"/>
                <w:szCs w:val="22"/>
                <w:lang w:val="en-US"/>
              </w:rPr>
              <w:t>reporting, especially moderate/low emitters; compliance challenges</w:t>
            </w:r>
          </w:p>
        </w:tc>
      </w:tr>
      <w:tr w:rsidR="00427336" w:rsidTr="00427336">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Nordic Countries</w:t>
            </w:r>
          </w:p>
        </w:tc>
        <w:tc>
          <w:tcPr>
            <w:tcW w:w="2667"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Green accounts (Denmark), administrative reports (Norway/Sweden), voluntary standards into law (Scandinavia)</w:t>
            </w:r>
          </w:p>
        </w:tc>
        <w:tc>
          <w:tcPr>
            <w:tcW w:w="2254"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Mandatory reporting, incentives (reduced burden)</w:t>
            </w:r>
          </w:p>
        </w:tc>
        <w:tc>
          <w:tcPr>
            <w:tcW w:w="2253" w:type="dxa"/>
          </w:tcPr>
          <w:p w:rsidR="00427336" w:rsidRDefault="000120B4">
            <w:pPr>
              <w:spacing w:before="240" w:after="0" w:line="240" w:lineRule="auto"/>
              <w:contextualSpacing/>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 xml:space="preserve">Varied </w:t>
            </w:r>
            <w:r>
              <w:rPr>
                <w:rFonts w:ascii="Times New Roman" w:hAnsi="Times New Roman" w:cs="Times New Roman"/>
                <w:sz w:val="22"/>
                <w:szCs w:val="22"/>
                <w:lang w:val="en-US"/>
              </w:rPr>
              <w:t>reporting; Norway most extensive; regulatory convergence</w:t>
            </w:r>
          </w:p>
        </w:tc>
      </w:tr>
      <w:tr w:rsidR="00427336" w:rsidTr="00427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1" w:type="dxa"/>
            <w:tcBorders>
              <w:right w:val="nil"/>
            </w:tcBorders>
          </w:tcPr>
          <w:p w:rsidR="00427336" w:rsidRDefault="000120B4">
            <w:pPr>
              <w:spacing w:before="240" w:after="0" w:line="240" w:lineRule="auto"/>
              <w:contextualSpacing/>
              <w:jc w:val="both"/>
              <w:rPr>
                <w:rFonts w:ascii="Times New Roman" w:hAnsi="Times New Roman" w:cs="Times New Roman"/>
                <w:lang w:val="en-US"/>
              </w:rPr>
            </w:pPr>
            <w:r>
              <w:rPr>
                <w:rFonts w:ascii="Times New Roman" w:hAnsi="Times New Roman" w:cs="Times New Roman"/>
                <w:color w:val="FFFFFF" w:themeColor="background1"/>
                <w:sz w:val="22"/>
                <w:szCs w:val="22"/>
                <w:lang w:val="en-US"/>
              </w:rPr>
              <w:t>United States, Canada, England, Australia (oil/gas)</w:t>
            </w:r>
          </w:p>
        </w:tc>
        <w:tc>
          <w:tcPr>
            <w:tcW w:w="2667"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National sectoral regulations</w:t>
            </w:r>
          </w:p>
        </w:tc>
        <w:tc>
          <w:tcPr>
            <w:tcW w:w="2254" w:type="dxa"/>
          </w:tcPr>
          <w:p w:rsidR="00427336" w:rsidRDefault="000120B4">
            <w:pPr>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Mandatory/voluntary reporting</w:t>
            </w:r>
          </w:p>
        </w:tc>
        <w:tc>
          <w:tcPr>
            <w:tcW w:w="2253" w:type="dxa"/>
          </w:tcPr>
          <w:p w:rsidR="00427336" w:rsidRDefault="000120B4">
            <w:pPr>
              <w:keepNext/>
              <w:spacing w:before="240" w:after="0" w:line="240" w:lineRule="auto"/>
              <w:contextualSpacing/>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lang w:val="en-US"/>
              </w:rPr>
            </w:pPr>
            <w:r>
              <w:rPr>
                <w:rFonts w:ascii="Times New Roman" w:hAnsi="Times New Roman" w:cs="Times New Roman"/>
                <w:sz w:val="22"/>
                <w:szCs w:val="22"/>
                <w:lang w:val="en-US"/>
              </w:rPr>
              <w:t>More disclosure in regulated countries; United States most extensive</w:t>
            </w:r>
          </w:p>
        </w:tc>
      </w:tr>
    </w:tbl>
    <w:p w:rsidR="00427336" w:rsidRDefault="000120B4">
      <w:pPr>
        <w:pStyle w:val="Caption"/>
        <w:jc w:val="center"/>
        <w:rPr>
          <w:rFonts w:ascii="Times New Roman" w:hAnsi="Times New Roman" w:cs="Times New Roman"/>
          <w:color w:val="000000"/>
          <w:lang w:val="en-US"/>
        </w:rPr>
      </w:pPr>
      <w:r>
        <w:rPr>
          <w:rFonts w:ascii="Times New Roman" w:hAnsi="Times New Roman" w:cs="Times New Roman"/>
          <w:color w:val="000000"/>
          <w:sz w:val="24"/>
          <w:szCs w:val="24"/>
          <w:lang w:val="en-US"/>
        </w:rPr>
        <w:t xml:space="preserve">based on </w:t>
      </w:r>
      <w:proofErr w:type="spellStart"/>
      <w:r>
        <w:rPr>
          <w:rFonts w:ascii="Times New Roman" w:hAnsi="Times New Roman" w:cs="Times New Roman"/>
          <w:color w:val="000000"/>
          <w:sz w:val="24"/>
          <w:szCs w:val="24"/>
          <w:lang w:val="en-US"/>
        </w:rPr>
        <w:t>Barbu</w:t>
      </w:r>
      <w:proofErr w:type="spellEnd"/>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t xml:space="preserve">et al., 2022; </w:t>
      </w:r>
      <w:proofErr w:type="spellStart"/>
      <w:r>
        <w:rPr>
          <w:rFonts w:ascii="Times New Roman" w:hAnsi="Times New Roman" w:cs="Times New Roman"/>
          <w:color w:val="000000"/>
          <w:sz w:val="24"/>
          <w:szCs w:val="24"/>
          <w:lang w:val="en-US"/>
        </w:rPr>
        <w:t>Occhipinti</w:t>
      </w:r>
      <w:proofErr w:type="spellEnd"/>
      <w:r>
        <w:rPr>
          <w:rFonts w:ascii="Times New Roman" w:hAnsi="Times New Roman" w:cs="Times New Roman"/>
          <w:color w:val="000000"/>
          <w:sz w:val="24"/>
          <w:szCs w:val="24"/>
          <w:lang w:val="en-US"/>
        </w:rPr>
        <w:t>, 2023; Mia et al., 2021; Yaya et al., 2018; McNally, 2015; Nyquist, 2003</w:t>
      </w:r>
    </w:p>
    <w:p w:rsidR="00427336" w:rsidRDefault="000120B4">
      <w:pPr>
        <w:spacing w:before="240" w:line="276" w:lineRule="auto"/>
        <w:jc w:val="both"/>
      </w:pPr>
      <w:r>
        <w:rPr>
          <w:rFonts w:ascii="Times New Roman" w:hAnsi="Times New Roman" w:cs="Times New Roman"/>
          <w:lang w:val="en-US"/>
        </w:rPr>
        <w:t xml:space="preserve">Across the five regions analyzed, some similar patterns could be described in enforcement methods and indicators of effectiveness of the different regulatory </w:t>
      </w:r>
      <w:r>
        <w:rPr>
          <w:rFonts w:ascii="Times New Roman" w:hAnsi="Times New Roman" w:cs="Times New Roman"/>
          <w:lang w:val="en-US"/>
        </w:rPr>
        <w:t>systems. Mandatory reporting was a common feature in all regions, while penalties, like carbon taxes, were implemented in three. Incentive-based approaches appeared in two regions, and voluntary reporting appeared in one. In addition, the national adaptati</w:t>
      </w:r>
      <w:r>
        <w:rPr>
          <w:rFonts w:ascii="Times New Roman" w:hAnsi="Times New Roman" w:cs="Times New Roman"/>
          <w:lang w:val="en-US"/>
        </w:rPr>
        <w:t>on of monitoring systems was reported in two regions. In terms of effectiveness, improved or increased environmental disclosure was observed in four regions, with one region also reporting improvements in accountability. However, challenges still exist, in</w:t>
      </w:r>
      <w:r>
        <w:rPr>
          <w:rFonts w:ascii="Times New Roman" w:hAnsi="Times New Roman" w:cs="Times New Roman"/>
          <w:lang w:val="en-US"/>
        </w:rPr>
        <w:t>cluding issues with data comparability and difficulties in achieving compliance.</w:t>
      </w:r>
    </w:p>
    <w:p w:rsidR="00427336" w:rsidRDefault="000120B4">
      <w:pPr>
        <w:spacing w:after="0" w:line="276" w:lineRule="auto"/>
        <w:rPr>
          <w:rFonts w:ascii="Times New Roman" w:hAnsi="Times New Roman" w:cs="Times New Roman"/>
          <w:b/>
          <w:bCs/>
          <w:sz w:val="28"/>
          <w:szCs w:val="28"/>
          <w:lang w:val="en-US"/>
        </w:rPr>
      </w:pPr>
      <w:r>
        <w:br w:type="page"/>
      </w:r>
    </w:p>
    <w:p w:rsidR="00427336" w:rsidRDefault="000120B4">
      <w:pPr>
        <w:spacing w:line="276" w:lineRule="auto"/>
        <w:jc w:val="both"/>
      </w:pPr>
      <w:r>
        <w:rPr>
          <w:rFonts w:ascii="Times New Roman" w:hAnsi="Times New Roman" w:cs="Times New Roman"/>
          <w:b/>
          <w:bCs/>
          <w:sz w:val="28"/>
          <w:szCs w:val="28"/>
          <w:lang w:val="en-US"/>
        </w:rPr>
        <w:lastRenderedPageBreak/>
        <w:t>8. Overview</w:t>
      </w:r>
    </w:p>
    <w:p w:rsidR="00427336" w:rsidRDefault="000120B4">
      <w:pPr>
        <w:spacing w:before="240" w:line="276" w:lineRule="auto"/>
        <w:jc w:val="both"/>
      </w:pPr>
      <w:r>
        <w:rPr>
          <w:rFonts w:ascii="Times New Roman" w:hAnsi="Times New Roman" w:cs="Times New Roman"/>
          <w:lang w:val="en-US"/>
        </w:rPr>
        <w:t>Figure 2 presents an overview of the various topics, relevant to TCA.</w:t>
      </w:r>
    </w:p>
    <w:p w:rsidR="00427336" w:rsidRDefault="000120B4">
      <w:pPr>
        <w:spacing w:before="240" w:line="480" w:lineRule="auto"/>
        <w:jc w:val="center"/>
        <w:rPr>
          <w:b/>
          <w:bCs/>
        </w:rPr>
      </w:pPr>
      <w:r>
        <w:rPr>
          <w:noProof/>
        </w:rPr>
        <w:drawing>
          <wp:inline distT="0" distB="0" distL="0" distR="0">
            <wp:extent cx="5731510" cy="4527550"/>
            <wp:effectExtent l="0" t="0" r="0" b="0"/>
            <wp:docPr id="2" name="Kép 5" descr="A képen szöveg, képernyőkép, Betűtípus, diagram látható&#10;&#10;Előfordulhat, hogy az AI által létrehozott tartalom helyt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ép 5" descr="A képen szöveg, képernyőkép, Betűtípus, diagram látható&#10;&#10;Előfordulhat, hogy az AI által létrehozott tartalom helytelen."/>
                    <pic:cNvPicPr>
                      <a:picLocks noChangeAspect="1" noChangeArrowheads="1"/>
                    </pic:cNvPicPr>
                  </pic:nvPicPr>
                  <pic:blipFill>
                    <a:blip r:embed="rId10"/>
                    <a:stretch>
                      <a:fillRect/>
                    </a:stretch>
                  </pic:blipFill>
                  <pic:spPr bwMode="auto">
                    <a:xfrm>
                      <a:off x="0" y="0"/>
                      <a:ext cx="5731510" cy="4527550"/>
                    </a:xfrm>
                    <a:prstGeom prst="rect">
                      <a:avLst/>
                    </a:prstGeom>
                    <a:noFill/>
                  </pic:spPr>
                </pic:pic>
              </a:graphicData>
            </a:graphic>
          </wp:inline>
        </w:drawing>
      </w:r>
    </w:p>
    <w:p w:rsidR="00427336" w:rsidRDefault="000120B4">
      <w:pPr>
        <w:spacing w:before="240" w:line="480" w:lineRule="auto"/>
        <w:jc w:val="center"/>
        <w:rPr>
          <w:b/>
          <w:bCs/>
        </w:rPr>
      </w:pPr>
      <w:r>
        <w:rPr>
          <w:b/>
          <w:bCs/>
        </w:rPr>
        <w:t>Fig. 2. Overview of topics in literature on TCA (own editing)</w:t>
      </w:r>
    </w:p>
    <w:p w:rsidR="00427336" w:rsidRDefault="000120B4">
      <w:pPr>
        <w:spacing w:before="240" w:line="276" w:lineRule="auto"/>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9. Conclusions</w:t>
      </w:r>
    </w:p>
    <w:p w:rsidR="00427336" w:rsidRDefault="000120B4">
      <w:pPr>
        <w:spacing w:before="240" w:line="276" w:lineRule="auto"/>
        <w:jc w:val="both"/>
      </w:pPr>
      <w:r>
        <w:rPr>
          <w:rFonts w:ascii="Times New Roman" w:hAnsi="Times New Roman" w:cs="Times New Roman"/>
          <w:lang w:val="en-US"/>
        </w:rPr>
        <w:t>From the review results, we conclude that environmental costs – categorized as material costs, waste control costs, prevention costs, R&amp;D costs and less tangible costs - have become more important in present day business. It meant a switch away from standa</w:t>
      </w:r>
      <w:r>
        <w:rPr>
          <w:rFonts w:ascii="Times New Roman" w:hAnsi="Times New Roman" w:cs="Times New Roman"/>
          <w:lang w:val="en-US"/>
        </w:rPr>
        <w:t>rd traditional cost accounting passing Activity Based Costing (ABC) and applying various hybrid forms before applying True Cost Accounting (TCA). TCA today is the best ‘green’ alternative of ABC since it helps to classify and actually measure direct and in</w:t>
      </w:r>
      <w:r>
        <w:rPr>
          <w:rFonts w:ascii="Times New Roman" w:hAnsi="Times New Roman" w:cs="Times New Roman"/>
          <w:lang w:val="en-US"/>
        </w:rPr>
        <w:t xml:space="preserve">direct </w:t>
      </w:r>
      <w:r>
        <w:rPr>
          <w:rFonts w:ascii="Times New Roman" w:hAnsi="Times New Roman" w:cs="Times New Roman"/>
          <w:i/>
          <w:iCs/>
          <w:lang w:val="en-US"/>
        </w:rPr>
        <w:t>environmental costs</w:t>
      </w:r>
      <w:r>
        <w:rPr>
          <w:rFonts w:ascii="Times New Roman" w:hAnsi="Times New Roman" w:cs="Times New Roman"/>
          <w:lang w:val="en-US"/>
        </w:rPr>
        <w:t xml:space="preserve">. To move towards TCA stepwise, the </w:t>
      </w:r>
      <w:r>
        <w:rPr>
          <w:rFonts w:ascii="Times New Roman" w:hAnsi="Times New Roman" w:cs="Times New Roman"/>
          <w:i/>
          <w:iCs/>
          <w:lang w:val="en-US"/>
        </w:rPr>
        <w:t>first step</w:t>
      </w:r>
      <w:r>
        <w:rPr>
          <w:rFonts w:ascii="Times New Roman" w:hAnsi="Times New Roman" w:cs="Times New Roman"/>
          <w:lang w:val="en-US"/>
        </w:rPr>
        <w:t xml:space="preserve"> would be to take the </w:t>
      </w:r>
      <w:proofErr w:type="spellStart"/>
      <w:r>
        <w:rPr>
          <w:rFonts w:ascii="Times New Roman" w:hAnsi="Times New Roman" w:cs="Times New Roman"/>
          <w:lang w:val="en-US"/>
        </w:rPr>
        <w:t>organisation’s</w:t>
      </w:r>
      <w:proofErr w:type="spellEnd"/>
      <w:r>
        <w:rPr>
          <w:rFonts w:ascii="Times New Roman" w:hAnsi="Times New Roman" w:cs="Times New Roman"/>
          <w:lang w:val="en-US"/>
        </w:rPr>
        <w:t xml:space="preserve"> overall state into account, including stakeholder relations. In </w:t>
      </w:r>
      <w:r>
        <w:rPr>
          <w:rFonts w:ascii="Times New Roman" w:hAnsi="Times New Roman" w:cs="Times New Roman"/>
          <w:i/>
          <w:iCs/>
          <w:lang w:val="en-US"/>
        </w:rPr>
        <w:t>Step 2</w:t>
      </w:r>
      <w:r>
        <w:rPr>
          <w:rFonts w:ascii="Times New Roman" w:hAnsi="Times New Roman" w:cs="Times New Roman"/>
          <w:lang w:val="en-US"/>
        </w:rPr>
        <w:t xml:space="preserve"> the impact of the cost object -simply defined as </w:t>
      </w:r>
      <w:r>
        <w:rPr>
          <w:rFonts w:ascii="Times New Roman" w:hAnsi="Times New Roman" w:cs="Times New Roman"/>
          <w:color w:val="474747"/>
          <w:lang w:val="en-US"/>
        </w:rPr>
        <w:t>any</w:t>
      </w:r>
      <w:r>
        <w:rPr>
          <w:rFonts w:ascii="Times New Roman" w:hAnsi="Times New Roman" w:cs="Times New Roman"/>
          <w:color w:val="040C28"/>
          <w:lang w:val="en-US"/>
        </w:rPr>
        <w:t>thing to which costs are</w:t>
      </w:r>
      <w:r>
        <w:rPr>
          <w:rFonts w:ascii="Times New Roman" w:hAnsi="Times New Roman" w:cs="Times New Roman"/>
          <w:color w:val="040C28"/>
          <w:lang w:val="en-US"/>
        </w:rPr>
        <w:t xml:space="preserve"> assigned</w:t>
      </w:r>
      <w:r>
        <w:rPr>
          <w:rFonts w:ascii="Times New Roman" w:hAnsi="Times New Roman" w:cs="Times New Roman"/>
          <w:lang w:val="en-US"/>
        </w:rPr>
        <w:t xml:space="preserve"> must be identified and described. In </w:t>
      </w:r>
      <w:r>
        <w:rPr>
          <w:rFonts w:ascii="Times New Roman" w:hAnsi="Times New Roman" w:cs="Times New Roman"/>
          <w:i/>
          <w:iCs/>
          <w:lang w:val="en-US"/>
        </w:rPr>
        <w:t>Step 3</w:t>
      </w:r>
      <w:r>
        <w:rPr>
          <w:rFonts w:ascii="Times New Roman" w:hAnsi="Times New Roman" w:cs="Times New Roman"/>
          <w:lang w:val="en-US"/>
        </w:rPr>
        <w:t xml:space="preserve">, a Life Cycle Assessment has to measure the impact of the cost object. This should enable </w:t>
      </w:r>
      <w:r>
        <w:rPr>
          <w:rFonts w:ascii="Times New Roman" w:hAnsi="Times New Roman" w:cs="Times New Roman"/>
          <w:i/>
          <w:iCs/>
          <w:lang w:val="en-US"/>
        </w:rPr>
        <w:t xml:space="preserve">Step </w:t>
      </w:r>
      <w:r>
        <w:rPr>
          <w:rFonts w:ascii="Times New Roman" w:hAnsi="Times New Roman" w:cs="Times New Roman"/>
          <w:i/>
          <w:iCs/>
          <w:lang w:val="en-US"/>
        </w:rPr>
        <w:lastRenderedPageBreak/>
        <w:t>4,</w:t>
      </w:r>
      <w:r>
        <w:rPr>
          <w:rFonts w:ascii="Times New Roman" w:hAnsi="Times New Roman" w:cs="Times New Roman"/>
          <w:lang w:val="en-US"/>
        </w:rPr>
        <w:t xml:space="preserve"> where the measured impacts are </w:t>
      </w:r>
      <w:proofErr w:type="spellStart"/>
      <w:r>
        <w:rPr>
          <w:rFonts w:ascii="Times New Roman" w:hAnsi="Times New Roman" w:cs="Times New Roman"/>
          <w:lang w:val="en-US"/>
        </w:rPr>
        <w:t>monetised</w:t>
      </w:r>
      <w:proofErr w:type="spellEnd"/>
      <w:r>
        <w:rPr>
          <w:rFonts w:ascii="Times New Roman" w:hAnsi="Times New Roman" w:cs="Times New Roman"/>
          <w:lang w:val="en-US"/>
        </w:rPr>
        <w:t xml:space="preserve">. In the final </w:t>
      </w:r>
      <w:r>
        <w:rPr>
          <w:rFonts w:ascii="Times New Roman" w:hAnsi="Times New Roman" w:cs="Times New Roman"/>
          <w:i/>
          <w:iCs/>
          <w:lang w:val="en-US"/>
        </w:rPr>
        <w:t>Step 5</w:t>
      </w:r>
      <w:r>
        <w:rPr>
          <w:rFonts w:ascii="Times New Roman" w:hAnsi="Times New Roman" w:cs="Times New Roman"/>
          <w:lang w:val="en-US"/>
        </w:rPr>
        <w:t xml:space="preserve"> the results are reviewed and decision taki</w:t>
      </w:r>
      <w:r>
        <w:rPr>
          <w:rFonts w:ascii="Times New Roman" w:hAnsi="Times New Roman" w:cs="Times New Roman"/>
          <w:lang w:val="en-US"/>
        </w:rPr>
        <w:t>ng takes place.</w:t>
      </w:r>
    </w:p>
    <w:p w:rsidR="00427336" w:rsidRDefault="000120B4">
      <w:pPr>
        <w:spacing w:before="240" w:line="276" w:lineRule="auto"/>
        <w:jc w:val="both"/>
      </w:pPr>
      <w:r>
        <w:rPr>
          <w:rFonts w:ascii="Times New Roman" w:hAnsi="Times New Roman" w:cs="Times New Roman"/>
          <w:lang w:val="en-US"/>
        </w:rPr>
        <w:t xml:space="preserve">The above mentioned five steps should, in the final step, include a realistic prediction of future emissions, given possible changes in the environment. In addition, the question should be put ‘what do changes found mean for e.g. economic, </w:t>
      </w:r>
      <w:r>
        <w:rPr>
          <w:rFonts w:ascii="Times New Roman" w:hAnsi="Times New Roman" w:cs="Times New Roman"/>
          <w:lang w:val="en-US"/>
        </w:rPr>
        <w:t>agricultural, health and energy use aspects?’ The fifth step should conclude with a realistic calculation and a result in terms of a Net Present Value.</w:t>
      </w:r>
    </w:p>
    <w:p w:rsidR="00427336" w:rsidRDefault="000120B4">
      <w:pPr>
        <w:spacing w:line="276" w:lineRule="auto"/>
        <w:jc w:val="both"/>
      </w:pPr>
      <w:r>
        <w:rPr>
          <w:rFonts w:ascii="Times New Roman" w:hAnsi="Times New Roman" w:cs="Times New Roman"/>
          <w:lang w:val="en-US"/>
        </w:rPr>
        <w:t>What also came out of the literature was that the most effective integration of environmental accounting</w:t>
      </w:r>
      <w:r>
        <w:rPr>
          <w:rFonts w:ascii="Times New Roman" w:hAnsi="Times New Roman" w:cs="Times New Roman"/>
          <w:lang w:val="en-US"/>
        </w:rPr>
        <w:t xml:space="preserve"> occurs when physical and financial data are aligned with the organization’s broader strategy. Larger firms seem to be more likely to succeed in this integration.</w:t>
      </w:r>
    </w:p>
    <w:p w:rsidR="00427336" w:rsidRDefault="000120B4">
      <w:pPr>
        <w:spacing w:before="240" w:line="276" w:lineRule="auto"/>
        <w:jc w:val="both"/>
      </w:pPr>
      <w:r>
        <w:rPr>
          <w:rFonts w:ascii="Times New Roman" w:hAnsi="Times New Roman" w:cs="Times New Roman"/>
          <w:lang w:val="en-US"/>
        </w:rPr>
        <w:t>It can be concluded that TCA has a global dimension, but given its costs of implementation, e</w:t>
      </w:r>
      <w:r>
        <w:rPr>
          <w:rFonts w:ascii="Times New Roman" w:hAnsi="Times New Roman" w:cs="Times New Roman"/>
          <w:lang w:val="en-US"/>
        </w:rPr>
        <w:t>specially small enterprises may wait to implement TCA. However, inevitably, given the combination of coercive, mimetic and normative isomorphism, both smaller enterprises and large ones will have to move towards TCA in some way, either outsourced to specia</w:t>
      </w:r>
      <w:r>
        <w:rPr>
          <w:rFonts w:ascii="Times New Roman" w:hAnsi="Times New Roman" w:cs="Times New Roman"/>
          <w:lang w:val="en-US"/>
        </w:rPr>
        <w:t xml:space="preserve">lists or in-house. </w:t>
      </w:r>
    </w:p>
    <w:p w:rsidR="00427336" w:rsidRDefault="000120B4">
      <w:pPr>
        <w:spacing w:before="240" w:line="276" w:lineRule="auto"/>
        <w:jc w:val="both"/>
        <w:rPr>
          <w:rFonts w:ascii="Times New Roman" w:hAnsi="Times New Roman" w:cs="Times New Roman"/>
          <w:lang w:val="en-US"/>
        </w:rPr>
      </w:pPr>
      <w:r>
        <w:rPr>
          <w:rFonts w:ascii="Times New Roman" w:hAnsi="Times New Roman" w:cs="Times New Roman"/>
          <w:lang w:val="en-US"/>
        </w:rPr>
        <w:t>The four dimensions of TCA discussed – ethical, instrumental, environmental and regulatory proved useful perspectives to describe relevant aspects of TCA. It helped creating a clear picture, useful for academics, practitioners and polic</w:t>
      </w:r>
      <w:r>
        <w:rPr>
          <w:rFonts w:ascii="Times New Roman" w:hAnsi="Times New Roman" w:cs="Times New Roman"/>
          <w:lang w:val="en-US"/>
        </w:rPr>
        <w:t>y makers. Combined with the application of the three types of Isomorphism, it means that across different countries and regions, companies respond in a similar way to institutional demands by aligning their practices with dominant norms, regulations, and i</w:t>
      </w:r>
      <w:r>
        <w:rPr>
          <w:rFonts w:ascii="Times New Roman" w:hAnsi="Times New Roman" w:cs="Times New Roman"/>
          <w:lang w:val="en-US"/>
        </w:rPr>
        <w:t xml:space="preserve">ndustry standards. This may lead to </w:t>
      </w:r>
      <w:proofErr w:type="spellStart"/>
      <w:r>
        <w:rPr>
          <w:rFonts w:ascii="Times New Roman" w:hAnsi="Times New Roman" w:cs="Times New Roman"/>
          <w:lang w:val="en-US"/>
        </w:rPr>
        <w:t>homogenisation</w:t>
      </w:r>
      <w:proofErr w:type="spellEnd"/>
      <w:r>
        <w:rPr>
          <w:rFonts w:ascii="Times New Roman" w:hAnsi="Times New Roman" w:cs="Times New Roman"/>
          <w:lang w:val="en-US"/>
        </w:rPr>
        <w:t xml:space="preserve"> of accounting practices, both in a positive sense</w:t>
      </w:r>
      <w:r>
        <w:rPr>
          <w:rFonts w:ascii="Times New Roman" w:hAnsi="Times New Roman" w:cs="Times New Roman"/>
          <w:i/>
          <w:iCs/>
          <w:lang w:val="en-US"/>
        </w:rPr>
        <w:t xml:space="preserve"> and</w:t>
      </w:r>
      <w:r>
        <w:rPr>
          <w:rFonts w:ascii="Times New Roman" w:hAnsi="Times New Roman" w:cs="Times New Roman"/>
          <w:lang w:val="en-US"/>
        </w:rPr>
        <w:t xml:space="preserve"> a negative sense, leading to a shared form of ‘greenwashing’ avoiding fees and fines.</w:t>
      </w:r>
    </w:p>
    <w:p w:rsidR="00427336" w:rsidRDefault="00427336">
      <w:pPr>
        <w:spacing w:before="240" w:line="276" w:lineRule="auto"/>
        <w:jc w:val="both"/>
      </w:pPr>
    </w:p>
    <w:p w:rsidR="00427336" w:rsidRDefault="00427336">
      <w:pPr>
        <w:spacing w:before="240" w:line="276" w:lineRule="auto"/>
        <w:jc w:val="both"/>
      </w:pPr>
    </w:p>
    <w:p w:rsidR="00427336" w:rsidRDefault="000120B4">
      <w:pPr>
        <w:rPr>
          <w:highlight w:val="yellow"/>
        </w:rPr>
      </w:pPr>
      <w:r>
        <w:rPr>
          <w:highlight w:val="yellow"/>
        </w:rPr>
        <w:t>Disclaimer (Artificial intelligence)</w:t>
      </w:r>
    </w:p>
    <w:p w:rsidR="00427336" w:rsidRDefault="000120B4">
      <w:pPr>
        <w:rPr>
          <w:highlight w:val="yellow"/>
        </w:rPr>
      </w:pPr>
      <w:r>
        <w:rPr>
          <w:highlight w:val="yellow"/>
        </w:rPr>
        <w:t xml:space="preserve">Option 1: </w:t>
      </w:r>
    </w:p>
    <w:p w:rsidR="00427336" w:rsidRDefault="000120B4">
      <w:pPr>
        <w:rPr>
          <w:highlight w:val="yellow"/>
        </w:rPr>
      </w:pPr>
      <w:r>
        <w:rPr>
          <w:highlight w:val="yellow"/>
        </w:rPr>
        <w:t>Author(s) hereby declare that NO generative AI technologies such as Large Language Models (</w:t>
      </w:r>
      <w:proofErr w:type="spellStart"/>
      <w:r>
        <w:rPr>
          <w:highlight w:val="yellow"/>
        </w:rPr>
        <w:t>ChatGPT</w:t>
      </w:r>
      <w:proofErr w:type="spellEnd"/>
      <w:r>
        <w:rPr>
          <w:highlight w:val="yellow"/>
        </w:rPr>
        <w:t xml:space="preserve">, COPILOT, etc.) and text-to-image generators have been used during the writing or editing of this manuscript. </w:t>
      </w:r>
    </w:p>
    <w:p w:rsidR="00427336" w:rsidRDefault="000120B4">
      <w:pPr>
        <w:rPr>
          <w:highlight w:val="yellow"/>
        </w:rPr>
      </w:pPr>
      <w:r>
        <w:rPr>
          <w:highlight w:val="yellow"/>
        </w:rPr>
        <w:t xml:space="preserve">Option 2: </w:t>
      </w:r>
    </w:p>
    <w:p w:rsidR="00427336" w:rsidRDefault="000120B4">
      <w:pPr>
        <w:rPr>
          <w:highlight w:val="yellow"/>
        </w:rPr>
      </w:pPr>
      <w:r>
        <w:rPr>
          <w:highlight w:val="yellow"/>
        </w:rPr>
        <w:t>Author(s) hereby declare that gener</w:t>
      </w:r>
      <w:r>
        <w:rPr>
          <w:highlight w:val="yellow"/>
        </w:rPr>
        <w:t>ative AI technologies such as Large Language Models, etc. have been used during the writing or editing of manuscripts. This explanation will include the name, version, model, and source of the generative AI technology and as well as all input prompts provi</w:t>
      </w:r>
      <w:r>
        <w:rPr>
          <w:highlight w:val="yellow"/>
        </w:rPr>
        <w:t>ded to the generative AI technology</w:t>
      </w:r>
    </w:p>
    <w:p w:rsidR="00427336" w:rsidRDefault="000120B4">
      <w:pPr>
        <w:rPr>
          <w:highlight w:val="yellow"/>
        </w:rPr>
      </w:pPr>
      <w:r>
        <w:rPr>
          <w:highlight w:val="yellow"/>
        </w:rPr>
        <w:t>Details of the AI usage are given below:</w:t>
      </w:r>
    </w:p>
    <w:p w:rsidR="00427336" w:rsidRDefault="000120B4">
      <w:pPr>
        <w:rPr>
          <w:highlight w:val="yellow"/>
        </w:rPr>
      </w:pPr>
      <w:r>
        <w:rPr>
          <w:highlight w:val="yellow"/>
        </w:rPr>
        <w:lastRenderedPageBreak/>
        <w:t>1.</w:t>
      </w:r>
    </w:p>
    <w:p w:rsidR="00427336" w:rsidRDefault="000120B4">
      <w:pPr>
        <w:rPr>
          <w:highlight w:val="yellow"/>
        </w:rPr>
      </w:pPr>
      <w:r>
        <w:rPr>
          <w:highlight w:val="yellow"/>
        </w:rPr>
        <w:t>2.</w:t>
      </w:r>
    </w:p>
    <w:p w:rsidR="00427336" w:rsidRDefault="000120B4">
      <w:bookmarkStart w:id="14" w:name="_Hlk190852809"/>
      <w:r>
        <w:rPr>
          <w:highlight w:val="yellow"/>
        </w:rPr>
        <w:t>3.</w:t>
      </w:r>
      <w:bookmarkEnd w:id="14"/>
    </w:p>
    <w:p w:rsidR="00427336" w:rsidRDefault="00427336"/>
    <w:p w:rsidR="00427336" w:rsidRDefault="00427336">
      <w:pPr>
        <w:spacing w:before="240" w:line="276" w:lineRule="auto"/>
        <w:jc w:val="both"/>
      </w:pPr>
    </w:p>
    <w:p w:rsidR="00427336" w:rsidRDefault="000120B4">
      <w:pPr>
        <w:spacing w:before="240" w:line="276" w:lineRule="auto"/>
        <w:jc w:val="both"/>
        <w:rPr>
          <w:rFonts w:ascii="Times New Roman" w:hAnsi="Times New Roman" w:cs="Times New Roman"/>
          <w:b/>
          <w:bCs/>
          <w:sz w:val="28"/>
          <w:szCs w:val="28"/>
          <w:lang w:val="en-US"/>
        </w:rPr>
      </w:pPr>
      <w:r>
        <w:rPr>
          <w:rFonts w:ascii="Times New Roman" w:hAnsi="Times New Roman" w:cs="Times New Roman"/>
          <w:b/>
          <w:bCs/>
          <w:sz w:val="28"/>
          <w:szCs w:val="28"/>
          <w:lang w:val="en-US"/>
        </w:rPr>
        <w:t>References</w:t>
      </w:r>
    </w:p>
    <w:p w:rsidR="00427336" w:rsidRDefault="00427336">
      <w:pPr>
        <w:pStyle w:val="BodyText"/>
        <w:spacing w:after="0"/>
        <w:ind w:right="45"/>
        <w:rPr>
          <w:rFonts w:ascii="Times New Roman" w:hAnsi="Times New Roman" w:cs="Times New Roman"/>
          <w:color w:val="222222"/>
          <w:sz w:val="20"/>
          <w:shd w:val="clear" w:color="auto" w:fill="FFFF00"/>
          <w:lang w:val="en-US"/>
        </w:rPr>
      </w:pP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Alhabeeb</w:t>
      </w:r>
      <w:proofErr w:type="spellEnd"/>
      <w:r>
        <w:rPr>
          <w:rFonts w:ascii="Times New Roman" w:eastAsia="Times New Roman" w:hAnsi="Times New Roman" w:cs="Times New Roman"/>
          <w:lang w:val="en-US"/>
        </w:rPr>
        <w:t xml:space="preserve">, O.K.A., </w:t>
      </w:r>
      <w:proofErr w:type="spellStart"/>
      <w:r>
        <w:rPr>
          <w:rFonts w:ascii="Times New Roman" w:eastAsia="Times New Roman" w:hAnsi="Times New Roman" w:cs="Times New Roman"/>
          <w:lang w:val="en-US"/>
        </w:rPr>
        <w:t>Dhali</w:t>
      </w:r>
      <w:proofErr w:type="spellEnd"/>
      <w:r>
        <w:rPr>
          <w:rFonts w:ascii="Times New Roman" w:eastAsia="Times New Roman" w:hAnsi="Times New Roman" w:cs="Times New Roman"/>
          <w:lang w:val="en-US"/>
        </w:rPr>
        <w:t xml:space="preserve">, M.A. &amp; Abdullah, K.J. (2022). Key Factors and Perspectives in Cost Accounting with Real-Time Patterns, </w:t>
      </w:r>
      <w:r>
        <w:rPr>
          <w:rFonts w:ascii="Times New Roman" w:eastAsia="Times New Roman" w:hAnsi="Times New Roman" w:cs="Times New Roman"/>
          <w:i/>
          <w:iCs/>
          <w:lang w:val="en-US"/>
        </w:rPr>
        <w:t xml:space="preserve">South Asian Journal of Social Sciences and Humanities. </w:t>
      </w:r>
      <w:r>
        <w:rPr>
          <w:rFonts w:ascii="Times New Roman" w:eastAsia="Times New Roman" w:hAnsi="Times New Roman" w:cs="Times New Roman"/>
          <w:b/>
          <w:bCs/>
          <w:lang w:val="en-US"/>
        </w:rPr>
        <w:t>3</w:t>
      </w:r>
      <w:r>
        <w:rPr>
          <w:rFonts w:ascii="Times New Roman" w:eastAsia="Times New Roman" w:hAnsi="Times New Roman" w:cs="Times New Roman"/>
          <w:i/>
          <w:iCs/>
          <w:lang w:val="en-US"/>
        </w:rPr>
        <w:t xml:space="preserve"> (5):</w:t>
      </w:r>
      <w:r>
        <w:rPr>
          <w:rFonts w:ascii="Times New Roman" w:eastAsia="Times New Roman" w:hAnsi="Times New Roman" w:cs="Times New Roman"/>
          <w:lang w:val="en-US"/>
        </w:rPr>
        <w:t xml:space="preserve">103-115.  </w:t>
      </w:r>
      <w:hyperlink r:id="rId11">
        <w:r>
          <w:rPr>
            <w:rStyle w:val="Hyperlink"/>
            <w:rFonts w:ascii="Times New Roman" w:eastAsia="Times New Roman" w:hAnsi="Times New Roman" w:cs="Times New Roman"/>
            <w:color w:val="0563C1"/>
            <w:lang w:val="en-US"/>
          </w:rPr>
          <w:t>DOI:10.48165/saissh.2022.3508</w:t>
        </w:r>
      </w:hyperlink>
    </w:p>
    <w:p w:rsidR="00427336" w:rsidRDefault="000120B4">
      <w:pPr>
        <w:spacing w:line="240" w:lineRule="auto"/>
        <w:ind w:left="360"/>
        <w:jc w:val="both"/>
      </w:pPr>
      <w:r>
        <w:rPr>
          <w:rFonts w:ascii="Times New Roman" w:eastAsia="Times New Roman" w:hAnsi="Times New Roman" w:cs="Times New Roman"/>
          <w:lang w:val="en-US"/>
        </w:rPr>
        <w:t xml:space="preserve">Ali, W., </w:t>
      </w:r>
      <w:proofErr w:type="spellStart"/>
      <w:r>
        <w:rPr>
          <w:rFonts w:ascii="Times New Roman" w:eastAsia="Times New Roman" w:hAnsi="Times New Roman" w:cs="Times New Roman"/>
          <w:lang w:val="en-US"/>
        </w:rPr>
        <w:t>Frynas</w:t>
      </w:r>
      <w:proofErr w:type="spellEnd"/>
      <w:r>
        <w:rPr>
          <w:rFonts w:ascii="Times New Roman" w:eastAsia="Times New Roman" w:hAnsi="Times New Roman" w:cs="Times New Roman"/>
          <w:lang w:val="en-US"/>
        </w:rPr>
        <w:t>, J.G. &amp; Mahmood, Z. (2017). Determinants of Corporate Social Responsibility (C</w:t>
      </w:r>
      <w:r>
        <w:rPr>
          <w:rFonts w:ascii="Times New Roman" w:eastAsia="Times New Roman" w:hAnsi="Times New Roman" w:cs="Times New Roman"/>
          <w:lang w:val="en-US"/>
        </w:rPr>
        <w:t>SR) Disclosure in Developed and Developing Countries: A Literature Review.</w:t>
      </w:r>
      <w:r>
        <w:rPr>
          <w:rFonts w:ascii="Times New Roman" w:eastAsia="Times New Roman" w:hAnsi="Times New Roman" w:cs="Times New Roman"/>
          <w:i/>
          <w:iCs/>
          <w:lang w:val="en-US"/>
        </w:rPr>
        <w:t xml:space="preserve"> Corporate Social Responsibility and Environmental Management,</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24</w:t>
      </w:r>
      <w:r>
        <w:rPr>
          <w:rFonts w:ascii="Times New Roman" w:eastAsia="Times New Roman" w:hAnsi="Times New Roman" w:cs="Times New Roman"/>
          <w:lang w:val="en-US"/>
        </w:rPr>
        <w:t xml:space="preserve">(4): 273–294. </w:t>
      </w:r>
      <w:hyperlink r:id="rId12">
        <w:r>
          <w:rPr>
            <w:rStyle w:val="Hyperlink"/>
            <w:rFonts w:ascii="Times New Roman" w:eastAsia="Times New Roman" w:hAnsi="Times New Roman" w:cs="Times New Roman"/>
            <w:lang w:val="en-US"/>
          </w:rPr>
          <w:t>https://doi.org/10.1002/csr.1410</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hAnsi="Times New Roman"/>
          <w:lang w:val="en-US"/>
        </w:rPr>
        <w:t>Alsayegh</w:t>
      </w:r>
      <w:proofErr w:type="spellEnd"/>
      <w:r>
        <w:rPr>
          <w:rFonts w:ascii="Times New Roman" w:hAnsi="Times New Roman"/>
          <w:lang w:val="en-US"/>
        </w:rPr>
        <w:t>, M.F. (2</w:t>
      </w:r>
      <w:r>
        <w:rPr>
          <w:rFonts w:ascii="Times New Roman" w:hAnsi="Times New Roman"/>
          <w:lang w:val="en-US"/>
        </w:rPr>
        <w:t xml:space="preserve">020), Activity Based Costing around the World: Adoption, Implementation, Outcomes and Criticism, </w:t>
      </w:r>
      <w:r>
        <w:rPr>
          <w:rFonts w:ascii="Times New Roman" w:hAnsi="Times New Roman"/>
          <w:i/>
          <w:iCs/>
          <w:lang w:val="en-US"/>
        </w:rPr>
        <w:t xml:space="preserve">Journal of Accounting and Finance in Emerging Economies, </w:t>
      </w:r>
      <w:r>
        <w:rPr>
          <w:rFonts w:ascii="Times New Roman" w:hAnsi="Times New Roman"/>
          <w:b/>
          <w:bCs/>
          <w:lang w:val="en-US"/>
        </w:rPr>
        <w:t xml:space="preserve">6 </w:t>
      </w:r>
      <w:r>
        <w:rPr>
          <w:rFonts w:ascii="Times New Roman" w:hAnsi="Times New Roman"/>
          <w:lang w:val="en-US"/>
        </w:rPr>
        <w:t xml:space="preserve">(1): 251-262. </w:t>
      </w:r>
      <w:r>
        <w:rPr>
          <w:rFonts w:ascii="Times New Roman" w:hAnsi="Times New Roman"/>
          <w:color w:val="2A6099"/>
          <w:u w:val="single"/>
          <w:lang w:val="en-US"/>
        </w:rPr>
        <w:t>DOI: 1026710/</w:t>
      </w:r>
      <w:proofErr w:type="gramStart"/>
      <w:r>
        <w:rPr>
          <w:rFonts w:ascii="Times New Roman" w:hAnsi="Times New Roman"/>
          <w:color w:val="2A6099"/>
          <w:u w:val="single"/>
          <w:lang w:val="en-US"/>
        </w:rPr>
        <w:t>jafee.v</w:t>
      </w:r>
      <w:proofErr w:type="gramEnd"/>
      <w:r>
        <w:rPr>
          <w:rFonts w:ascii="Times New Roman" w:hAnsi="Times New Roman"/>
          <w:color w:val="2A6099"/>
          <w:u w:val="single"/>
          <w:lang w:val="en-US"/>
        </w:rPr>
        <w:t>6il.1074</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Ambarsari</w:t>
      </w:r>
      <w:proofErr w:type="spellEnd"/>
      <w:r>
        <w:rPr>
          <w:rFonts w:ascii="Times New Roman" w:eastAsia="Times New Roman" w:hAnsi="Times New Roman" w:cs="Times New Roman"/>
          <w:lang w:val="en-US"/>
        </w:rPr>
        <w:t xml:space="preserve">, S.D., </w:t>
      </w:r>
      <w:proofErr w:type="spellStart"/>
      <w:r>
        <w:rPr>
          <w:rFonts w:ascii="Times New Roman" w:eastAsia="Times New Roman" w:hAnsi="Times New Roman" w:cs="Times New Roman"/>
          <w:lang w:val="en-US"/>
        </w:rPr>
        <w:t>Ambarwati</w:t>
      </w:r>
      <w:proofErr w:type="spellEnd"/>
      <w:r>
        <w:rPr>
          <w:rFonts w:ascii="Times New Roman" w:eastAsia="Times New Roman" w:hAnsi="Times New Roman" w:cs="Times New Roman"/>
          <w:lang w:val="en-US"/>
        </w:rPr>
        <w:t xml:space="preserve">, S.D. &amp; </w:t>
      </w:r>
      <w:proofErr w:type="spellStart"/>
      <w:r>
        <w:rPr>
          <w:rFonts w:ascii="Times New Roman" w:eastAsia="Times New Roman" w:hAnsi="Times New Roman" w:cs="Times New Roman"/>
          <w:lang w:val="en-US"/>
        </w:rPr>
        <w:t>Hwihanus</w:t>
      </w:r>
      <w:proofErr w:type="spellEnd"/>
      <w:r>
        <w:rPr>
          <w:rFonts w:ascii="Times New Roman" w:eastAsia="Times New Roman" w:hAnsi="Times New Roman" w:cs="Times New Roman"/>
          <w:lang w:val="en-US"/>
        </w:rPr>
        <w:t xml:space="preserve">, H. (2024). </w:t>
      </w:r>
      <w:r>
        <w:rPr>
          <w:rFonts w:ascii="Times New Roman" w:eastAsia="Times New Roman" w:hAnsi="Times New Roman" w:cs="Times New Roman"/>
          <w:lang w:val="en-US"/>
        </w:rPr>
        <w:t xml:space="preserve">The Role </w:t>
      </w:r>
      <w:proofErr w:type="gramStart"/>
      <w:r>
        <w:rPr>
          <w:rFonts w:ascii="Times New Roman" w:eastAsia="Times New Roman" w:hAnsi="Times New Roman" w:cs="Times New Roman"/>
          <w:lang w:val="en-US"/>
        </w:rPr>
        <w:t>Of</w:t>
      </w:r>
      <w:proofErr w:type="gramEnd"/>
      <w:r>
        <w:rPr>
          <w:rFonts w:ascii="Times New Roman" w:eastAsia="Times New Roman" w:hAnsi="Times New Roman" w:cs="Times New Roman"/>
          <w:lang w:val="en-US"/>
        </w:rPr>
        <w:t xml:space="preserve"> Green Accounting In Promoting Corporate Sustainability</w:t>
      </w:r>
      <w:r>
        <w:rPr>
          <w:rFonts w:ascii="Times New Roman" w:eastAsia="Times New Roman" w:hAnsi="Times New Roman" w:cs="Times New Roman"/>
          <w:i/>
          <w:iCs/>
          <w:lang w:val="en-US"/>
        </w:rPr>
        <w:t>. International Journal of Economics, Commerce, and Management,</w:t>
      </w:r>
      <w:r>
        <w:rPr>
          <w:rFonts w:ascii="Times New Roman" w:eastAsia="Times New Roman" w:hAnsi="Times New Roman" w:cs="Times New Roman"/>
          <w:b/>
          <w:bCs/>
          <w:lang w:val="en-US"/>
        </w:rPr>
        <w:t xml:space="preserve"> 1</w:t>
      </w:r>
      <w:r>
        <w:rPr>
          <w:rFonts w:ascii="Times New Roman" w:eastAsia="Times New Roman" w:hAnsi="Times New Roman" w:cs="Times New Roman"/>
          <w:lang w:val="en-US"/>
        </w:rPr>
        <w:t xml:space="preserve">(3), 165–177. </w:t>
      </w:r>
      <w:hyperlink r:id="rId13">
        <w:r>
          <w:rPr>
            <w:rStyle w:val="Hyperlink"/>
            <w:rFonts w:ascii="Times New Roman" w:eastAsia="Times New Roman" w:hAnsi="Times New Roman" w:cs="Times New Roman"/>
            <w:lang w:val="en-US"/>
          </w:rPr>
          <w:t>https://doi.org/10.62951/ijecm.v1i3.106</w:t>
        </w:r>
      </w:hyperlink>
      <w:r>
        <w:rPr>
          <w:rFonts w:ascii="Times New Roman" w:eastAsia="Times New Roman" w:hAnsi="Times New Roman" w:cs="Times New Roman"/>
          <w:lang w:val="en-US"/>
        </w:rPr>
        <w:t xml:space="preserve"> </w:t>
      </w:r>
    </w:p>
    <w:p w:rsidR="00427336" w:rsidRDefault="000120B4">
      <w:pPr>
        <w:spacing w:line="240" w:lineRule="auto"/>
        <w:ind w:left="360"/>
        <w:jc w:val="both"/>
      </w:pPr>
      <w:r>
        <w:rPr>
          <w:rFonts w:ascii="Times New Roman" w:eastAsia="Times New Roman" w:hAnsi="Times New Roman" w:cs="Times New Roman"/>
          <w:lang w:val="en-US"/>
        </w:rPr>
        <w:t>Amoako, G.K</w:t>
      </w:r>
      <w:r>
        <w:rPr>
          <w:rFonts w:ascii="Times New Roman" w:eastAsia="Times New Roman" w:hAnsi="Times New Roman" w:cs="Times New Roman"/>
          <w:lang w:val="en-US"/>
        </w:rPr>
        <w:t xml:space="preserve">., Adam, A.M., </w:t>
      </w:r>
      <w:proofErr w:type="spellStart"/>
      <w:r>
        <w:rPr>
          <w:rFonts w:ascii="Times New Roman" w:eastAsia="Times New Roman" w:hAnsi="Times New Roman" w:cs="Times New Roman"/>
          <w:lang w:val="en-US"/>
        </w:rPr>
        <w:t>Tackie</w:t>
      </w:r>
      <w:proofErr w:type="spellEnd"/>
      <w:r>
        <w:rPr>
          <w:rFonts w:ascii="Times New Roman" w:eastAsia="Times New Roman" w:hAnsi="Times New Roman" w:cs="Times New Roman"/>
          <w:lang w:val="en-US"/>
        </w:rPr>
        <w:t xml:space="preserve">, G. &amp; Arthur, </w:t>
      </w:r>
      <w:proofErr w:type="gramStart"/>
      <w:r>
        <w:rPr>
          <w:rFonts w:ascii="Times New Roman" w:eastAsia="Times New Roman" w:hAnsi="Times New Roman" w:cs="Times New Roman"/>
          <w:lang w:val="en-US"/>
        </w:rPr>
        <w:t>C.L.(</w:t>
      </w:r>
      <w:proofErr w:type="gramEnd"/>
      <w:r>
        <w:rPr>
          <w:rFonts w:ascii="Times New Roman" w:eastAsia="Times New Roman" w:hAnsi="Times New Roman" w:cs="Times New Roman"/>
          <w:lang w:val="en-US"/>
        </w:rPr>
        <w:t xml:space="preserve">2021),Environmental Accountability Practices of Environmentally </w:t>
      </w:r>
      <w:proofErr w:type="spellStart"/>
      <w:r>
        <w:rPr>
          <w:rFonts w:ascii="Times New Roman" w:eastAsia="Times New Roman" w:hAnsi="Times New Roman" w:cs="Times New Roman"/>
          <w:lang w:val="en-US"/>
        </w:rPr>
        <w:t>SsnsitiveFirms</w:t>
      </w:r>
      <w:proofErr w:type="spellEnd"/>
      <w:r>
        <w:rPr>
          <w:rFonts w:ascii="Times New Roman" w:eastAsia="Times New Roman" w:hAnsi="Times New Roman" w:cs="Times New Roman"/>
          <w:lang w:val="en-US"/>
        </w:rPr>
        <w:t xml:space="preserve"> in Ghana: Does Institutional Isomorphism Matter? </w:t>
      </w:r>
      <w:r>
        <w:rPr>
          <w:rFonts w:ascii="Times New Roman" w:eastAsia="Times New Roman" w:hAnsi="Times New Roman" w:cs="Times New Roman"/>
          <w:i/>
          <w:iCs/>
          <w:lang w:val="en-US"/>
        </w:rPr>
        <w:t xml:space="preserve">Sustainability, </w:t>
      </w:r>
      <w:r>
        <w:rPr>
          <w:rFonts w:ascii="Times New Roman" w:eastAsia="Times New Roman" w:hAnsi="Times New Roman" w:cs="Times New Roman"/>
          <w:b/>
          <w:bCs/>
          <w:lang w:val="en-US"/>
        </w:rPr>
        <w:t xml:space="preserve">13 </w:t>
      </w:r>
      <w:r>
        <w:rPr>
          <w:rFonts w:ascii="Times New Roman" w:eastAsia="Times New Roman" w:hAnsi="Times New Roman" w:cs="Times New Roman"/>
          <w:lang w:val="en-US"/>
        </w:rPr>
        <w:t xml:space="preserve">(17), 9489, </w:t>
      </w:r>
      <w:r>
        <w:rPr>
          <w:rFonts w:ascii="Times New Roman" w:eastAsia="Times New Roman" w:hAnsi="Times New Roman" w:cs="Times New Roman"/>
          <w:color w:val="2A6099"/>
          <w:u w:val="single"/>
          <w:lang w:val="en-US"/>
        </w:rPr>
        <w:t>DOI.org/10.3390/su13179489</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Andajani</w:t>
      </w:r>
      <w:proofErr w:type="spellEnd"/>
      <w:r>
        <w:rPr>
          <w:rFonts w:ascii="Times New Roman" w:eastAsia="Times New Roman" w:hAnsi="Times New Roman" w:cs="Times New Roman"/>
          <w:lang w:val="en-US"/>
        </w:rPr>
        <w:t xml:space="preserve">, A.&amp; </w:t>
      </w:r>
      <w:proofErr w:type="spellStart"/>
      <w:r>
        <w:rPr>
          <w:rFonts w:ascii="Times New Roman" w:eastAsia="Times New Roman" w:hAnsi="Times New Roman" w:cs="Times New Roman"/>
          <w:lang w:val="en-US"/>
        </w:rPr>
        <w:t>Sawarjuwonot</w:t>
      </w:r>
      <w:proofErr w:type="spellEnd"/>
      <w:r>
        <w:rPr>
          <w:rFonts w:ascii="Times New Roman" w:eastAsia="Times New Roman" w:hAnsi="Times New Roman" w:cs="Times New Roman"/>
          <w:lang w:val="en-US"/>
        </w:rPr>
        <w:t>, T</w:t>
      </w:r>
      <w:r>
        <w:rPr>
          <w:rFonts w:ascii="Times New Roman" w:eastAsia="Times New Roman" w:hAnsi="Times New Roman" w:cs="Times New Roman"/>
          <w:lang w:val="en-US"/>
        </w:rPr>
        <w:t xml:space="preserve">. (2024), Accounting Practice and Sustainability Reporting in Institutional Theory Perspective, </w:t>
      </w:r>
      <w:r>
        <w:rPr>
          <w:rFonts w:ascii="Times New Roman" w:eastAsia="Times New Roman" w:hAnsi="Times New Roman" w:cs="Times New Roman"/>
          <w:i/>
          <w:iCs/>
          <w:lang w:val="en-US"/>
        </w:rPr>
        <w:t xml:space="preserve">International Conference of Business and Social </w:t>
      </w:r>
      <w:proofErr w:type="spellStart"/>
      <w:r>
        <w:rPr>
          <w:rFonts w:ascii="Times New Roman" w:eastAsia="Times New Roman" w:hAnsi="Times New Roman" w:cs="Times New Roman"/>
          <w:i/>
          <w:iCs/>
          <w:lang w:val="en-US"/>
        </w:rPr>
        <w:t>Sciencs</w:t>
      </w:r>
      <w:proofErr w:type="spellEnd"/>
      <w:r>
        <w:rPr>
          <w:rFonts w:ascii="Times New Roman" w:eastAsia="Times New Roman" w:hAnsi="Times New Roman" w:cs="Times New Roman"/>
          <w:i/>
          <w:iCs/>
          <w:lang w:val="en-US"/>
        </w:rPr>
        <w:t xml:space="preserve">, </w:t>
      </w:r>
      <w:r>
        <w:rPr>
          <w:rFonts w:ascii="Times New Roman" w:eastAsia="Times New Roman" w:hAnsi="Times New Roman" w:cs="Times New Roman"/>
          <w:b/>
          <w:bCs/>
          <w:lang w:val="en-US"/>
        </w:rPr>
        <w:t xml:space="preserve">3 </w:t>
      </w:r>
      <w:r>
        <w:rPr>
          <w:rFonts w:ascii="Times New Roman" w:eastAsia="Times New Roman" w:hAnsi="Times New Roman" w:cs="Times New Roman"/>
          <w:lang w:val="en-US"/>
        </w:rPr>
        <w:t xml:space="preserve">(1):488 </w:t>
      </w:r>
      <w:r>
        <w:rPr>
          <w:rFonts w:ascii="Times New Roman" w:eastAsia="Times New Roman" w:hAnsi="Times New Roman" w:cs="Times New Roman"/>
          <w:color w:val="2A6099"/>
          <w:u w:val="single"/>
          <w:lang w:val="en-US"/>
        </w:rPr>
        <w:t>DOI.org/10.24034/</w:t>
      </w:r>
      <w:proofErr w:type="gramStart"/>
      <w:r>
        <w:rPr>
          <w:rFonts w:ascii="Times New Roman" w:eastAsia="Times New Roman" w:hAnsi="Times New Roman" w:cs="Times New Roman"/>
          <w:color w:val="2A6099"/>
          <w:u w:val="single"/>
          <w:lang w:val="en-US"/>
        </w:rPr>
        <w:t>icobuss.v</w:t>
      </w:r>
      <w:proofErr w:type="gramEnd"/>
      <w:r>
        <w:rPr>
          <w:rFonts w:ascii="Times New Roman" w:eastAsia="Times New Roman" w:hAnsi="Times New Roman" w:cs="Times New Roman"/>
          <w:color w:val="2A6099"/>
          <w:u w:val="single"/>
          <w:lang w:val="en-US"/>
        </w:rPr>
        <w:t>3i1.403</w:t>
      </w:r>
    </w:p>
    <w:p w:rsidR="00427336" w:rsidRDefault="000120B4">
      <w:pPr>
        <w:spacing w:line="240" w:lineRule="auto"/>
        <w:ind w:left="360"/>
        <w:jc w:val="both"/>
        <w:rPr>
          <w:lang w:val="en-US"/>
        </w:rPr>
      </w:pPr>
      <w:r>
        <w:rPr>
          <w:rFonts w:ascii="Times New Roman" w:eastAsia="Times New Roman" w:hAnsi="Times New Roman" w:cs="Times New Roman"/>
          <w:lang w:val="en-US"/>
        </w:rPr>
        <w:t>Andrew, J. &amp; Baker, M. (2020). Corporate Social Responsibil</w:t>
      </w:r>
      <w:r>
        <w:rPr>
          <w:rFonts w:ascii="Times New Roman" w:eastAsia="Times New Roman" w:hAnsi="Times New Roman" w:cs="Times New Roman"/>
          <w:lang w:val="en-US"/>
        </w:rPr>
        <w:t xml:space="preserve">ity Reporting: The Last 40 Years and a Path to Sharing Future Insights, </w:t>
      </w:r>
      <w:r>
        <w:rPr>
          <w:rFonts w:ascii="Times New Roman" w:eastAsia="Times New Roman" w:hAnsi="Times New Roman" w:cs="Times New Roman"/>
          <w:i/>
          <w:iCs/>
          <w:lang w:val="en-US"/>
        </w:rPr>
        <w:t>Abacus,</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 xml:space="preserve">56 </w:t>
      </w:r>
      <w:r>
        <w:rPr>
          <w:rFonts w:ascii="Times New Roman" w:eastAsia="Times New Roman" w:hAnsi="Times New Roman" w:cs="Times New Roman"/>
          <w:lang w:val="en-US"/>
        </w:rPr>
        <w:t xml:space="preserve">(1):35–65. </w:t>
      </w:r>
      <w:hyperlink r:id="rId14">
        <w:r>
          <w:rPr>
            <w:rStyle w:val="Hyperlink"/>
            <w:rFonts w:ascii="Times New Roman" w:eastAsia="Times New Roman" w:hAnsi="Times New Roman" w:cs="Times New Roman"/>
            <w:lang w:val="en-US"/>
          </w:rPr>
          <w:t>https://doi.org/10.1111/abac.12181</w:t>
        </w:r>
      </w:hyperlink>
    </w:p>
    <w:p w:rsidR="00427336" w:rsidRDefault="000120B4">
      <w:pPr>
        <w:spacing w:line="240" w:lineRule="auto"/>
        <w:ind w:left="360"/>
        <w:jc w:val="both"/>
        <w:rPr>
          <w:lang w:val="en-US"/>
        </w:rPr>
      </w:pPr>
      <w:proofErr w:type="spellStart"/>
      <w:r>
        <w:rPr>
          <w:rFonts w:ascii="Times New Roman" w:hAnsi="Times New Roman" w:cs="Times New Roman"/>
          <w:lang w:val="en-US"/>
        </w:rPr>
        <w:t>Aspenson</w:t>
      </w:r>
      <w:proofErr w:type="spellEnd"/>
      <w:r>
        <w:rPr>
          <w:rFonts w:ascii="Times New Roman" w:hAnsi="Times New Roman" w:cs="Times New Roman"/>
          <w:lang w:val="en-US"/>
        </w:rPr>
        <w:t xml:space="preserve">, </w:t>
      </w:r>
      <w:proofErr w:type="gramStart"/>
      <w:r>
        <w:rPr>
          <w:rFonts w:ascii="Times New Roman" w:hAnsi="Times New Roman" w:cs="Times New Roman"/>
          <w:lang w:val="en-US"/>
        </w:rPr>
        <w:t>A.(</w:t>
      </w:r>
      <w:proofErr w:type="gramEnd"/>
      <w:r>
        <w:rPr>
          <w:rFonts w:ascii="Times New Roman" w:hAnsi="Times New Roman" w:cs="Times New Roman"/>
          <w:lang w:val="en-US"/>
        </w:rPr>
        <w:t xml:space="preserve">2020). </w:t>
      </w:r>
      <w:r>
        <w:rPr>
          <w:rFonts w:ascii="Times New Roman" w:hAnsi="Times New Roman" w:cs="Times New Roman"/>
          <w:i/>
          <w:iCs/>
          <w:lang w:val="en-US"/>
        </w:rPr>
        <w:t>True Costs for Food System Reform: An Overview of Tru</w:t>
      </w:r>
      <w:r>
        <w:rPr>
          <w:rFonts w:ascii="Times New Roman" w:hAnsi="Times New Roman" w:cs="Times New Roman"/>
          <w:i/>
          <w:iCs/>
          <w:lang w:val="en-US"/>
        </w:rPr>
        <w:t>e Cost Accounting Literature and Initiatives.</w:t>
      </w:r>
      <w:r>
        <w:rPr>
          <w:rFonts w:ascii="Times New Roman" w:hAnsi="Times New Roman" w:cs="Times New Roman"/>
          <w:lang w:val="en-US"/>
        </w:rPr>
        <w:t> Baltimore: Johns Hopkins Center for a Livable Future.</w:t>
      </w:r>
    </w:p>
    <w:p w:rsidR="00427336" w:rsidRDefault="000120B4">
      <w:pPr>
        <w:spacing w:line="240" w:lineRule="auto"/>
        <w:ind w:left="360"/>
        <w:jc w:val="both"/>
        <w:rPr>
          <w:lang w:val="en-US"/>
        </w:rPr>
      </w:pPr>
      <w:proofErr w:type="spellStart"/>
      <w:r>
        <w:rPr>
          <w:rFonts w:ascii="Times New Roman" w:eastAsia="Times New Roman" w:hAnsi="Times New Roman" w:cs="Times New Roman"/>
          <w:color w:val="000000"/>
          <w:lang w:val="en-US"/>
        </w:rPr>
        <w:t>Averkamp</w:t>
      </w:r>
      <w:proofErr w:type="spellEnd"/>
      <w:r>
        <w:rPr>
          <w:rFonts w:ascii="Times New Roman" w:eastAsia="Times New Roman" w:hAnsi="Times New Roman" w:cs="Times New Roman"/>
          <w:color w:val="000000"/>
          <w:lang w:val="en-US"/>
        </w:rPr>
        <w:t xml:space="preserve">, H. (2024). </w:t>
      </w:r>
      <w:r>
        <w:rPr>
          <w:rFonts w:ascii="Times New Roman" w:eastAsia="Times New Roman" w:hAnsi="Times New Roman" w:cs="Times New Roman"/>
          <w:i/>
          <w:iCs/>
          <w:color w:val="000000"/>
          <w:lang w:val="en-US"/>
        </w:rPr>
        <w:t>Accounting Coach Dictionary.</w:t>
      </w:r>
      <w:r>
        <w:rPr>
          <w:rFonts w:ascii="Times New Roman" w:eastAsia="Times New Roman" w:hAnsi="Times New Roman" w:cs="Times New Roman"/>
          <w:color w:val="000000"/>
          <w:lang w:val="en-US"/>
        </w:rPr>
        <w:t xml:space="preserve"> Available: </w:t>
      </w:r>
      <w:hyperlink r:id="rId15">
        <w:r>
          <w:rPr>
            <w:rStyle w:val="Hyperlink"/>
            <w:rFonts w:ascii="Times New Roman" w:eastAsia="Times New Roman" w:hAnsi="Times New Roman" w:cs="Times New Roman"/>
            <w:lang w:val="en-US"/>
          </w:rPr>
          <w:t>https://www.accountingcoach.com/terms/C/cost-object</w:t>
        </w:r>
      </w:hyperlink>
      <w:r>
        <w:rPr>
          <w:rFonts w:ascii="Times New Roman" w:eastAsia="Times New Roman" w:hAnsi="Times New Roman" w:cs="Times New Roman"/>
          <w:color w:val="000000"/>
          <w:lang w:val="en-US"/>
        </w:rPr>
        <w:t xml:space="preserve"> Downloaded: 08.11.2024</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Azzone</w:t>
      </w:r>
      <w:proofErr w:type="spellEnd"/>
      <w:r>
        <w:rPr>
          <w:rFonts w:ascii="Times New Roman" w:eastAsia="Times New Roman" w:hAnsi="Times New Roman" w:cs="Times New Roman"/>
          <w:lang w:val="en-US"/>
        </w:rPr>
        <w:t>, G. &amp; Manzini, R. (1994), Measuring strategic environmental performance</w:t>
      </w:r>
      <w:r>
        <w:rPr>
          <w:rFonts w:ascii="Times New Roman" w:eastAsia="Times New Roman" w:hAnsi="Times New Roman" w:cs="Times New Roman"/>
          <w:i/>
          <w:iCs/>
          <w:lang w:val="en-US"/>
        </w:rPr>
        <w:t>.</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Business Strategy and the Environment,</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 xml:space="preserve">3 </w:t>
      </w:r>
      <w:r>
        <w:rPr>
          <w:rFonts w:ascii="Times New Roman" w:eastAsia="Times New Roman" w:hAnsi="Times New Roman" w:cs="Times New Roman"/>
          <w:lang w:val="en-US"/>
        </w:rPr>
        <w:t xml:space="preserve">(1):1–14 </w:t>
      </w:r>
      <w:hyperlink r:id="rId16">
        <w:r>
          <w:rPr>
            <w:rStyle w:val="Hyperlink"/>
            <w:rFonts w:ascii="Times New Roman" w:eastAsia="Times New Roman" w:hAnsi="Times New Roman" w:cs="Times New Roman"/>
            <w:lang w:val="en-US"/>
          </w:rPr>
          <w:t>doi.org/10.1002/bse.3280030101</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Barbu</w:t>
      </w:r>
      <w:proofErr w:type="spellEnd"/>
      <w:r>
        <w:rPr>
          <w:rFonts w:ascii="Times New Roman" w:eastAsia="Times New Roman" w:hAnsi="Times New Roman" w:cs="Times New Roman"/>
          <w:lang w:val="en-US"/>
        </w:rPr>
        <w:t>, E. M., Ionescu-</w:t>
      </w:r>
      <w:proofErr w:type="spellStart"/>
      <w:r>
        <w:rPr>
          <w:rFonts w:ascii="Times New Roman" w:eastAsia="Times New Roman" w:hAnsi="Times New Roman" w:cs="Times New Roman"/>
          <w:lang w:val="en-US"/>
        </w:rPr>
        <w:t>Feleagă</w:t>
      </w:r>
      <w:proofErr w:type="spellEnd"/>
      <w:r>
        <w:rPr>
          <w:rFonts w:ascii="Times New Roman" w:eastAsia="Times New Roman" w:hAnsi="Times New Roman" w:cs="Times New Roman"/>
          <w:lang w:val="en-US"/>
        </w:rPr>
        <w:t xml:space="preserve">, L., &amp; </w:t>
      </w:r>
      <w:proofErr w:type="spellStart"/>
      <w:r>
        <w:rPr>
          <w:rFonts w:ascii="Times New Roman" w:eastAsia="Times New Roman" w:hAnsi="Times New Roman" w:cs="Times New Roman"/>
          <w:lang w:val="en-US"/>
        </w:rPr>
        <w:t>Ferrat</w:t>
      </w:r>
      <w:proofErr w:type="spellEnd"/>
      <w:r>
        <w:rPr>
          <w:rFonts w:ascii="Times New Roman" w:eastAsia="Times New Roman" w:hAnsi="Times New Roman" w:cs="Times New Roman"/>
          <w:lang w:val="en-US"/>
        </w:rPr>
        <w:t xml:space="preserve">, Y. (2022). The Evolution of Environmental Reporting in Europe: The Role of Financial and Non-Financial Regulation. </w:t>
      </w:r>
      <w:r>
        <w:rPr>
          <w:rFonts w:ascii="Times New Roman" w:eastAsia="Times New Roman" w:hAnsi="Times New Roman" w:cs="Times New Roman"/>
          <w:i/>
          <w:iCs/>
          <w:lang w:val="en-US"/>
        </w:rPr>
        <w:t>The International Journal of Accounting,</w:t>
      </w:r>
      <w:r>
        <w:rPr>
          <w:rFonts w:ascii="Times New Roman" w:eastAsia="Times New Roman" w:hAnsi="Times New Roman" w:cs="Times New Roman"/>
          <w:lang w:val="en-US"/>
        </w:rPr>
        <w:t xml:space="preserve"> 57(02). </w:t>
      </w:r>
      <w:hyperlink r:id="rId17">
        <w:r>
          <w:rPr>
            <w:rStyle w:val="Hyperlink"/>
            <w:rFonts w:ascii="Times New Roman" w:eastAsia="Times New Roman" w:hAnsi="Times New Roman" w:cs="Times New Roman"/>
            <w:lang w:val="en-US"/>
          </w:rPr>
          <w:t>https://doi.org/10.1142/s1094406022500081</w:t>
        </w:r>
      </w:hyperlink>
      <w:r>
        <w:rPr>
          <w:rFonts w:ascii="Times New Roman" w:eastAsia="Times New Roman" w:hAnsi="Times New Roman" w:cs="Times New Roman"/>
          <w:lang w:val="en-US"/>
        </w:rPr>
        <w:t xml:space="preserve"> </w:t>
      </w:r>
    </w:p>
    <w:p w:rsidR="00427336" w:rsidRDefault="000120B4">
      <w:pPr>
        <w:spacing w:after="0" w:line="240" w:lineRule="auto"/>
        <w:ind w:left="360"/>
        <w:jc w:val="both"/>
        <w:rPr>
          <w:lang w:val="en-US"/>
        </w:rPr>
      </w:pPr>
      <w:r>
        <w:rPr>
          <w:rFonts w:ascii="Times New Roman" w:eastAsia="Times New Roman" w:hAnsi="Times New Roman" w:cs="Times New Roman"/>
          <w:lang w:val="en-US"/>
        </w:rPr>
        <w:lastRenderedPageBreak/>
        <w:t xml:space="preserve">Baumann, S., Lehner, O. M., &amp; </w:t>
      </w:r>
      <w:proofErr w:type="spellStart"/>
      <w:r>
        <w:rPr>
          <w:rFonts w:ascii="Times New Roman" w:eastAsia="Times New Roman" w:hAnsi="Times New Roman" w:cs="Times New Roman"/>
          <w:lang w:val="en-US"/>
        </w:rPr>
        <w:t>Losbichler</w:t>
      </w:r>
      <w:proofErr w:type="spellEnd"/>
      <w:r>
        <w:rPr>
          <w:rFonts w:ascii="Times New Roman" w:eastAsia="Times New Roman" w:hAnsi="Times New Roman" w:cs="Times New Roman"/>
          <w:lang w:val="en-US"/>
        </w:rPr>
        <w:t xml:space="preserve">, H. (2015). A push-and-pull factor model for environmental management accounting: a contingency perspective. </w:t>
      </w:r>
      <w:r>
        <w:rPr>
          <w:rFonts w:ascii="Times New Roman" w:eastAsia="Times New Roman" w:hAnsi="Times New Roman" w:cs="Times New Roman"/>
          <w:i/>
          <w:iCs/>
          <w:lang w:val="en-US"/>
        </w:rPr>
        <w:t>Journal of</w:t>
      </w:r>
      <w:r>
        <w:rPr>
          <w:rFonts w:ascii="Times New Roman" w:eastAsia="Times New Roman" w:hAnsi="Times New Roman" w:cs="Times New Roman"/>
          <w:i/>
          <w:iCs/>
          <w:lang w:val="en-US"/>
        </w:rPr>
        <w:t xml:space="preserve"> Sustainable Finance &amp; Investment,</w:t>
      </w:r>
      <w:r>
        <w:rPr>
          <w:rFonts w:ascii="Times New Roman" w:eastAsia="Times New Roman" w:hAnsi="Times New Roman" w:cs="Times New Roman"/>
          <w:lang w:val="en-US"/>
        </w:rPr>
        <w:t xml:space="preserve"> 5(3</w:t>
      </w:r>
      <w:proofErr w:type="gramStart"/>
      <w:r>
        <w:rPr>
          <w:rFonts w:ascii="Times New Roman" w:eastAsia="Times New Roman" w:hAnsi="Times New Roman" w:cs="Times New Roman"/>
          <w:lang w:val="en-US"/>
        </w:rPr>
        <w:t>),:</w:t>
      </w:r>
      <w:proofErr w:type="gramEnd"/>
      <w:r>
        <w:rPr>
          <w:rFonts w:ascii="Times New Roman" w:eastAsia="Times New Roman" w:hAnsi="Times New Roman" w:cs="Times New Roman"/>
          <w:lang w:val="en-US"/>
        </w:rPr>
        <w:t xml:space="preserve"> 155–177.</w:t>
      </w:r>
    </w:p>
    <w:p w:rsidR="00427336" w:rsidRDefault="000120B4">
      <w:pPr>
        <w:spacing w:after="103" w:line="240" w:lineRule="auto"/>
        <w:ind w:left="360"/>
        <w:jc w:val="both"/>
        <w:rPr>
          <w:lang w:val="en-US"/>
        </w:rPr>
      </w:pPr>
      <w:hyperlink r:id="rId18">
        <w:r>
          <w:rPr>
            <w:rStyle w:val="Hyperlink"/>
            <w:rFonts w:ascii="Times New Roman" w:eastAsia="Times New Roman" w:hAnsi="Times New Roman" w:cs="Times New Roman"/>
            <w:lang w:val="en-US"/>
          </w:rPr>
          <w:t>https://doi.org/10.1080/20430795.2015.1100036</w:t>
        </w:r>
      </w:hyperlink>
    </w:p>
    <w:p w:rsidR="00427336" w:rsidRDefault="000120B4">
      <w:pPr>
        <w:spacing w:before="228" w:after="388" w:line="240" w:lineRule="auto"/>
        <w:ind w:left="360"/>
        <w:jc w:val="both"/>
        <w:rPr>
          <w:lang w:val="en-US"/>
        </w:rPr>
      </w:pPr>
      <w:proofErr w:type="spellStart"/>
      <w:r>
        <w:rPr>
          <w:rFonts w:ascii="Times New Roman" w:hAnsi="Times New Roman" w:cs="Times New Roman"/>
          <w:lang w:val="en-US"/>
        </w:rPr>
        <w:t>Bellon</w:t>
      </w:r>
      <w:proofErr w:type="spellEnd"/>
      <w:r>
        <w:rPr>
          <w:rFonts w:ascii="Times New Roman" w:hAnsi="Times New Roman" w:cs="Times New Roman"/>
          <w:lang w:val="en-US"/>
        </w:rPr>
        <w:t xml:space="preserve">, M.R., </w:t>
      </w:r>
      <w:proofErr w:type="spellStart"/>
      <w:proofErr w:type="gramStart"/>
      <w:r>
        <w:rPr>
          <w:rFonts w:ascii="Times New Roman" w:hAnsi="Times New Roman" w:cs="Times New Roman"/>
          <w:lang w:val="en-US"/>
        </w:rPr>
        <w:t>Benard,N.</w:t>
      </w:r>
      <w:proofErr w:type="gramEnd"/>
      <w:r>
        <w:rPr>
          <w:rFonts w:ascii="Times New Roman" w:hAnsi="Times New Roman" w:cs="Times New Roman"/>
          <w:lang w:val="en-US"/>
        </w:rPr>
        <w:t>,Vizcaino</w:t>
      </w:r>
      <w:proofErr w:type="spellEnd"/>
      <w:r>
        <w:rPr>
          <w:rFonts w:ascii="Times New Roman" w:hAnsi="Times New Roman" w:cs="Times New Roman"/>
          <w:lang w:val="en-US"/>
        </w:rPr>
        <w:t xml:space="preserve">, M., </w:t>
      </w:r>
      <w:proofErr w:type="spellStart"/>
      <w:r>
        <w:rPr>
          <w:rFonts w:ascii="Times New Roman" w:hAnsi="Times New Roman" w:cs="Times New Roman"/>
          <w:lang w:val="en-US"/>
        </w:rPr>
        <w:t>Merrigan</w:t>
      </w:r>
      <w:proofErr w:type="spellEnd"/>
      <w:r>
        <w:rPr>
          <w:rFonts w:ascii="Times New Roman" w:hAnsi="Times New Roman" w:cs="Times New Roman"/>
          <w:lang w:val="en-US"/>
        </w:rPr>
        <w:t>, K.&amp; Wharton, C. (2024). True Cost Accounting U</w:t>
      </w:r>
      <w:r>
        <w:rPr>
          <w:rFonts w:ascii="Times New Roman" w:hAnsi="Times New Roman" w:cs="Times New Roman"/>
          <w:lang w:val="en-US"/>
        </w:rPr>
        <w:t>sing Life Cycle Assessment Methods and Data: A Case Study Comparing Palm, Rapeseed, and Coconut Oils for Sustainability and Nutrition.</w:t>
      </w:r>
      <w:r>
        <w:rPr>
          <w:rFonts w:ascii="Times New Roman" w:hAnsi="Times New Roman" w:cs="Times New Roman"/>
          <w:i/>
          <w:iCs/>
          <w:lang w:val="en-US"/>
        </w:rPr>
        <w:t xml:space="preserve"> Sustainability,</w:t>
      </w:r>
      <w:r>
        <w:rPr>
          <w:rFonts w:ascii="Times New Roman" w:hAnsi="Times New Roman" w:cs="Times New Roman"/>
          <w:lang w:val="en-US"/>
        </w:rPr>
        <w:t> </w:t>
      </w:r>
      <w:r>
        <w:rPr>
          <w:rFonts w:ascii="Times New Roman" w:hAnsi="Times New Roman" w:cs="Times New Roman"/>
          <w:b/>
          <w:bCs/>
          <w:lang w:val="en-US"/>
        </w:rPr>
        <w:t>16</w:t>
      </w:r>
      <w:r>
        <w:rPr>
          <w:rFonts w:ascii="Times New Roman" w:hAnsi="Times New Roman" w:cs="Times New Roman"/>
          <w:lang w:val="en-US"/>
        </w:rPr>
        <w:t xml:space="preserve"> (23): 10366; </w:t>
      </w:r>
      <w:hyperlink r:id="rId19">
        <w:r>
          <w:rPr>
            <w:rStyle w:val="Hyperlink"/>
            <w:rFonts w:ascii="Times New Roman" w:hAnsi="Times New Roman" w:cs="Times New Roman"/>
            <w:lang w:val="en-US"/>
          </w:rPr>
          <w:t>https://doi.org/10.3390/su16231036</w:t>
        </w:r>
        <w:r>
          <w:rPr>
            <w:rStyle w:val="Hyperlink"/>
            <w:rFonts w:ascii="Times New Roman" w:hAnsi="Times New Roman" w:cs="Times New Roman"/>
            <w:lang w:val="en-US"/>
          </w:rPr>
          <w:t>6</w:t>
        </w:r>
      </w:hyperlink>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Bennett, </w:t>
      </w:r>
      <w:proofErr w:type="gramStart"/>
      <w:r>
        <w:rPr>
          <w:rFonts w:ascii="Times New Roman" w:eastAsia="Times New Roman" w:hAnsi="Times New Roman" w:cs="Times New Roman"/>
          <w:lang w:val="en-US"/>
        </w:rPr>
        <w:t>M..</w:t>
      </w:r>
      <w:proofErr w:type="gramEnd"/>
      <w:r>
        <w:rPr>
          <w:rFonts w:ascii="Times New Roman" w:eastAsia="Times New Roman" w:hAnsi="Times New Roman" w:cs="Times New Roman"/>
          <w:lang w:val="en-US"/>
        </w:rPr>
        <w:t xml:space="preserve"> &amp; James, P. (</w:t>
      </w:r>
      <w:proofErr w:type="gramStart"/>
      <w:r>
        <w:rPr>
          <w:rFonts w:ascii="Times New Roman" w:eastAsia="Times New Roman" w:hAnsi="Times New Roman" w:cs="Times New Roman"/>
          <w:lang w:val="en-US"/>
        </w:rPr>
        <w:t>Eds.)(</w:t>
      </w:r>
      <w:proofErr w:type="gramEnd"/>
      <w:r>
        <w:rPr>
          <w:rFonts w:ascii="Times New Roman" w:eastAsia="Times New Roman" w:hAnsi="Times New Roman" w:cs="Times New Roman"/>
          <w:lang w:val="en-US"/>
        </w:rPr>
        <w:t xml:space="preserve">1998). </w:t>
      </w:r>
      <w:r>
        <w:rPr>
          <w:rFonts w:ascii="Times New Roman" w:eastAsia="Times New Roman" w:hAnsi="Times New Roman" w:cs="Times New Roman"/>
          <w:i/>
          <w:iCs/>
          <w:lang w:val="en-US"/>
        </w:rPr>
        <w:t xml:space="preserve">The Green Bottom Line: Environmental Accounting for Management: Current Practice and Future Trends (1st ed.). </w:t>
      </w:r>
      <w:r>
        <w:rPr>
          <w:rFonts w:ascii="Times New Roman" w:eastAsia="Times New Roman" w:hAnsi="Times New Roman" w:cs="Times New Roman"/>
          <w:lang w:val="en-US"/>
        </w:rPr>
        <w:t xml:space="preserve">Routledge. pp. 30-59. </w:t>
      </w:r>
      <w:hyperlink r:id="rId20">
        <w:r>
          <w:rPr>
            <w:rStyle w:val="Hyperlink"/>
            <w:rFonts w:ascii="Times New Roman" w:eastAsia="Times New Roman" w:hAnsi="Times New Roman" w:cs="Times New Roman"/>
            <w:lang w:val="en-US"/>
          </w:rPr>
          <w:t>https://doi.org/10.4324/9781351283328</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Cambridge Dictionary (2024): </w:t>
      </w:r>
      <w:hyperlink r:id="rId21">
        <w:r>
          <w:rPr>
            <w:rFonts w:ascii="Times New Roman" w:eastAsia="Times New Roman" w:hAnsi="Times New Roman" w:cs="Times New Roman"/>
            <w:color w:val="0563C1"/>
            <w:u w:val="single"/>
            <w:lang w:val="en-US"/>
          </w:rPr>
          <w:t>https://dictionary.cambridge.org/dictionary/english/cost</w:t>
        </w:r>
      </w:hyperlink>
      <w:r>
        <w:rPr>
          <w:rFonts w:ascii="Times New Roman" w:eastAsia="Times New Roman" w:hAnsi="Times New Roman" w:cs="Times New Roman"/>
          <w:lang w:val="en-US"/>
        </w:rPr>
        <w:t xml:space="preserve"> Downloaded: 01.09.2024</w:t>
      </w:r>
    </w:p>
    <w:p w:rsidR="00427336" w:rsidRDefault="000120B4">
      <w:pPr>
        <w:spacing w:after="0" w:line="240" w:lineRule="auto"/>
        <w:ind w:left="360"/>
        <w:jc w:val="both"/>
        <w:rPr>
          <w:shd w:val="clear" w:color="auto" w:fill="FFBF00"/>
        </w:rPr>
      </w:pPr>
      <w:proofErr w:type="spellStart"/>
      <w:r>
        <w:rPr>
          <w:rFonts w:ascii="Times New Roman" w:eastAsia="Times New Roman" w:hAnsi="Times New Roman" w:cs="Times New Roman"/>
          <w:color w:val="000000"/>
          <w:lang w:val="en-US"/>
        </w:rPr>
        <w:t>Depoers</w:t>
      </w:r>
      <w:proofErr w:type="spellEnd"/>
      <w:r>
        <w:rPr>
          <w:rFonts w:ascii="Times New Roman" w:eastAsia="Times New Roman" w:hAnsi="Times New Roman" w:cs="Times New Roman"/>
          <w:color w:val="000000"/>
          <w:lang w:val="en-US"/>
        </w:rPr>
        <w:t>, F. &amp; Jerome, T. (2019),</w:t>
      </w:r>
      <w:r>
        <w:rPr>
          <w:rFonts w:ascii="Times New Roman" w:eastAsia="Times New Roman" w:hAnsi="Times New Roman" w:cs="Times New Roman"/>
          <w:color w:val="000000"/>
          <w:lang w:val="en-US"/>
        </w:rPr>
        <w:t xml:space="preserve"> Coercive, normative and mimetic isomorphisms as drivers of corporate tax disclosure, </w:t>
      </w:r>
      <w:r>
        <w:rPr>
          <w:rFonts w:ascii="Times New Roman" w:eastAsia="Times New Roman" w:hAnsi="Times New Roman" w:cs="Times New Roman"/>
          <w:i/>
          <w:iCs/>
          <w:color w:val="000000"/>
          <w:lang w:val="en-US"/>
        </w:rPr>
        <w:t xml:space="preserve">Journal of Applied Accounting Research, </w:t>
      </w:r>
      <w:r>
        <w:rPr>
          <w:rFonts w:ascii="Times New Roman" w:eastAsia="Times New Roman" w:hAnsi="Times New Roman" w:cs="Times New Roman"/>
          <w:color w:val="000000"/>
          <w:lang w:val="en-US"/>
        </w:rPr>
        <w:t xml:space="preserve">21 (1):90-105. </w:t>
      </w:r>
      <w:r>
        <w:rPr>
          <w:rFonts w:ascii="Times New Roman" w:eastAsia="Times New Roman" w:hAnsi="Times New Roman" w:cs="Times New Roman"/>
          <w:color w:val="2A6099"/>
          <w:u w:val="single"/>
          <w:lang w:val="en-US"/>
        </w:rPr>
        <w:t>DOI.org/10.1108/jaar-04-2018-0048</w:t>
      </w:r>
    </w:p>
    <w:p w:rsidR="00427336" w:rsidRDefault="00427336">
      <w:pPr>
        <w:spacing w:after="0" w:line="240" w:lineRule="auto"/>
        <w:ind w:left="360"/>
        <w:jc w:val="both"/>
        <w:rPr>
          <w:rFonts w:ascii="Times New Roman" w:eastAsia="Times New Roman" w:hAnsi="Times New Roman" w:cs="Times New Roman"/>
          <w:i/>
          <w:iCs/>
          <w:color w:val="000000"/>
          <w:lang w:val="en-US"/>
        </w:rPr>
      </w:pPr>
    </w:p>
    <w:p w:rsidR="00427336" w:rsidRDefault="000120B4">
      <w:pPr>
        <w:spacing w:before="80" w:after="80" w:line="240" w:lineRule="auto"/>
        <w:ind w:left="357"/>
        <w:jc w:val="both"/>
        <w:rPr>
          <w:lang w:val="en-US"/>
        </w:rPr>
      </w:pPr>
      <w:r>
        <w:rPr>
          <w:rFonts w:ascii="Times New Roman" w:eastAsia="Times New Roman" w:hAnsi="Times New Roman" w:cs="Times New Roman"/>
          <w:lang w:val="en-US"/>
        </w:rPr>
        <w:t xml:space="preserve">DiMaggio, P. J., &amp; Powell, W. W. (1983). The Iron Cage Revisited: Institutional </w:t>
      </w:r>
      <w:r>
        <w:rPr>
          <w:rFonts w:ascii="Times New Roman" w:eastAsia="Times New Roman" w:hAnsi="Times New Roman" w:cs="Times New Roman"/>
          <w:lang w:val="en-US"/>
        </w:rPr>
        <w:t xml:space="preserve">Isomorphism and Collective Rationality in Organizational Fields. American Sociological Review, 48(2), pp. 147–160. </w:t>
      </w:r>
      <w:hyperlink r:id="rId22">
        <w:r>
          <w:rPr>
            <w:rStyle w:val="Hyperlink"/>
            <w:rFonts w:ascii="Times New Roman" w:eastAsia="Times New Roman" w:hAnsi="Times New Roman" w:cs="Times New Roman"/>
            <w:lang w:val="en-US"/>
          </w:rPr>
          <w:t>https://doi.org/10.2307/2095101</w:t>
        </w:r>
      </w:hyperlink>
    </w:p>
    <w:p w:rsidR="00427336" w:rsidRDefault="00427336">
      <w:pPr>
        <w:spacing w:before="80" w:after="80" w:line="240" w:lineRule="auto"/>
        <w:ind w:left="357"/>
        <w:jc w:val="both"/>
        <w:rPr>
          <w:rFonts w:ascii="Times New Roman" w:hAnsi="Times New Roman" w:cs="Times New Roman"/>
          <w:lang w:val="en-US"/>
        </w:rPr>
      </w:pPr>
    </w:p>
    <w:p w:rsidR="00427336" w:rsidRDefault="000120B4">
      <w:pPr>
        <w:spacing w:before="80" w:after="80" w:line="240" w:lineRule="auto"/>
        <w:ind w:left="357"/>
        <w:jc w:val="both"/>
        <w:rPr>
          <w:lang w:val="en-US"/>
        </w:rPr>
      </w:pPr>
      <w:proofErr w:type="spellStart"/>
      <w:r>
        <w:rPr>
          <w:rFonts w:ascii="Times New Roman" w:eastAsia="Times New Roman" w:hAnsi="Times New Roman" w:cs="Times New Roman"/>
          <w:lang w:val="en-US"/>
        </w:rPr>
        <w:t>Dinh</w:t>
      </w:r>
      <w:proofErr w:type="spellEnd"/>
      <w:r>
        <w:rPr>
          <w:rFonts w:ascii="Times New Roman" w:eastAsia="Times New Roman" w:hAnsi="Times New Roman" w:cs="Times New Roman"/>
          <w:lang w:val="en-US"/>
        </w:rPr>
        <w:t xml:space="preserve">, T. K. X., Nguyen, T. D. &amp; Nguyen, T. H. (2022). Factors Affecting the Application of Environmental Accounting in Manufacturing Enterprises in Vietnam. </w:t>
      </w:r>
      <w:r>
        <w:rPr>
          <w:rFonts w:ascii="Times New Roman" w:eastAsia="Times New Roman" w:hAnsi="Times New Roman" w:cs="Times New Roman"/>
          <w:i/>
          <w:iCs/>
          <w:lang w:val="en-US"/>
        </w:rPr>
        <w:t>Journal of Accounting, Finance and Auditing Studies,</w:t>
      </w:r>
      <w:r>
        <w:rPr>
          <w:rFonts w:ascii="Times New Roman" w:eastAsia="Times New Roman" w:hAnsi="Times New Roman" w:cs="Times New Roman"/>
          <w:lang w:val="en-US"/>
        </w:rPr>
        <w:t xml:space="preserve">8(3):115–140 </w:t>
      </w:r>
      <w:hyperlink r:id="rId23">
        <w:r>
          <w:rPr>
            <w:rStyle w:val="Hyperlink"/>
            <w:rFonts w:ascii="Times New Roman" w:eastAsia="Times New Roman" w:hAnsi="Times New Roman" w:cs="Times New Roman"/>
            <w:lang w:val="en-US"/>
          </w:rPr>
          <w:t>doi.org/10.32602/jafas.2022.020</w:t>
        </w:r>
      </w:hyperlink>
    </w:p>
    <w:p w:rsidR="00427336" w:rsidRDefault="00427336">
      <w:pPr>
        <w:spacing w:before="80" w:after="80" w:line="240" w:lineRule="auto"/>
        <w:ind w:left="357"/>
        <w:jc w:val="both"/>
        <w:rPr>
          <w:rFonts w:ascii="Times New Roman" w:hAnsi="Times New Roman" w:cs="Times New Roman"/>
          <w:lang w:val="en-US"/>
        </w:rPr>
      </w:pPr>
    </w:p>
    <w:p w:rsidR="00427336" w:rsidRDefault="000120B4">
      <w:pPr>
        <w:spacing w:before="80" w:after="80" w:line="240" w:lineRule="auto"/>
        <w:ind w:left="357"/>
        <w:jc w:val="both"/>
      </w:pPr>
      <w:proofErr w:type="spellStart"/>
      <w:r>
        <w:rPr>
          <w:rFonts w:ascii="Times New Roman" w:eastAsia="Times New Roman" w:hAnsi="Times New Roman" w:cs="Times New Roman"/>
          <w:lang w:val="en-US"/>
        </w:rPr>
        <w:t>Doorasamy</w:t>
      </w:r>
      <w:proofErr w:type="spellEnd"/>
      <w:r>
        <w:rPr>
          <w:rFonts w:ascii="Times New Roman" w:eastAsia="Times New Roman" w:hAnsi="Times New Roman" w:cs="Times New Roman"/>
          <w:lang w:val="en-US"/>
        </w:rPr>
        <w:t xml:space="preserve">. M. (2017). </w:t>
      </w:r>
      <w:r>
        <w:rPr>
          <w:rFonts w:ascii="Times New Roman" w:eastAsia="Times New Roman" w:hAnsi="Times New Roman" w:cs="Times New Roman"/>
          <w:i/>
          <w:iCs/>
          <w:lang w:val="en-US"/>
        </w:rPr>
        <w:t>Theoretical developments in environmental management accounting and the role and importance of material flow cost accounting.</w:t>
      </w:r>
      <w:r>
        <w:rPr>
          <w:rFonts w:ascii="Times New Roman" w:eastAsia="Times New Roman" w:hAnsi="Times New Roman" w:cs="Times New Roman"/>
          <w:lang w:val="en-US"/>
        </w:rPr>
        <w:t xml:space="preserve"> Warsaw: Faculty of Management, Warsaw University o</w:t>
      </w:r>
      <w:r>
        <w:rPr>
          <w:rFonts w:ascii="Times New Roman" w:eastAsia="Times New Roman" w:hAnsi="Times New Roman" w:cs="Times New Roman"/>
          <w:lang w:val="en-US"/>
        </w:rPr>
        <w:t xml:space="preserve">f Technology. pp. 37-52. </w:t>
      </w:r>
      <w:hyperlink r:id="rId24">
        <w:r>
          <w:rPr>
            <w:rStyle w:val="Hyperlink"/>
            <w:rFonts w:ascii="Times New Roman" w:eastAsia="Times New Roman" w:hAnsi="Times New Roman" w:cs="Times New Roman"/>
            <w:lang w:val="en-US"/>
          </w:rPr>
          <w:t>https://sciendo.com/article/10.1515/fman-2015-0024</w:t>
        </w:r>
      </w:hyperlink>
    </w:p>
    <w:p w:rsidR="00427336" w:rsidRDefault="00427336">
      <w:pPr>
        <w:spacing w:after="0" w:line="240" w:lineRule="auto"/>
        <w:ind w:left="357"/>
        <w:jc w:val="both"/>
        <w:rPr>
          <w:rFonts w:ascii="Times New Roman" w:hAnsi="Times New Roman" w:cs="Times New Roman"/>
          <w:lang w:val="en-US"/>
        </w:rPr>
      </w:pPr>
    </w:p>
    <w:p w:rsidR="00427336" w:rsidRDefault="000120B4">
      <w:pPr>
        <w:spacing w:before="80" w:after="80" w:line="240" w:lineRule="auto"/>
        <w:ind w:left="357"/>
        <w:jc w:val="both"/>
      </w:pPr>
      <w:r>
        <w:rPr>
          <w:rFonts w:ascii="Times New Roman" w:eastAsia="Times New Roman" w:hAnsi="Times New Roman" w:cs="Times New Roman"/>
          <w:lang w:val="en-US"/>
        </w:rPr>
        <w:t xml:space="preserve">Duignan, B. (2024). Total cost definition. </w:t>
      </w:r>
      <w:r>
        <w:rPr>
          <w:rFonts w:ascii="Times New Roman" w:eastAsia="Times New Roman" w:hAnsi="Times New Roman" w:cs="Times New Roman"/>
          <w:i/>
          <w:iCs/>
          <w:lang w:val="en-US"/>
        </w:rPr>
        <w:t>Britannica Money</w:t>
      </w:r>
      <w:r>
        <w:rPr>
          <w:rFonts w:ascii="Times New Roman" w:eastAsia="Times New Roman" w:hAnsi="Times New Roman" w:cs="Times New Roman"/>
          <w:lang w:val="en-US"/>
        </w:rPr>
        <w:t>.</w:t>
      </w:r>
    </w:p>
    <w:p w:rsidR="00427336" w:rsidRDefault="000120B4">
      <w:pPr>
        <w:spacing w:before="80" w:after="80" w:line="240" w:lineRule="auto"/>
        <w:ind w:left="357"/>
        <w:jc w:val="both"/>
      </w:pPr>
      <w:hyperlink r:id="rId25">
        <w:r>
          <w:rPr>
            <w:rFonts w:ascii="Times New Roman" w:eastAsia="Times New Roman" w:hAnsi="Times New Roman" w:cs="Times New Roman"/>
            <w:color w:val="0563C1"/>
            <w:u w:val="single"/>
            <w:lang w:val="en-US"/>
          </w:rPr>
          <w:t>https://www.britannica.com/money/total-cost</w:t>
        </w:r>
      </w:hyperlink>
      <w:r>
        <w:rPr>
          <w:rFonts w:ascii="Times New Roman" w:eastAsia="Times New Roman" w:hAnsi="Times New Roman" w:cs="Times New Roman"/>
          <w:lang w:val="en-US"/>
        </w:rPr>
        <w:t xml:space="preserve"> Downloaded: 01.09.2024</w:t>
      </w:r>
    </w:p>
    <w:p w:rsidR="00427336" w:rsidRDefault="00427336">
      <w:pPr>
        <w:spacing w:before="80" w:after="80" w:line="240" w:lineRule="auto"/>
        <w:ind w:left="357"/>
        <w:jc w:val="both"/>
        <w:rPr>
          <w:rFonts w:ascii="Times New Roman" w:eastAsia="Times New Roman" w:hAnsi="Times New Roman" w:cs="Times New Roman"/>
          <w:lang w:val="en-US"/>
        </w:rPr>
      </w:pPr>
    </w:p>
    <w:p w:rsidR="00427336" w:rsidRDefault="000120B4">
      <w:pPr>
        <w:spacing w:line="240" w:lineRule="auto"/>
        <w:ind w:left="360"/>
        <w:jc w:val="both"/>
      </w:pPr>
      <w:proofErr w:type="spellStart"/>
      <w:r>
        <w:rPr>
          <w:rFonts w:ascii="Times New Roman" w:eastAsia="Times New Roman" w:hAnsi="Times New Roman" w:cs="Times New Roman"/>
          <w:lang w:val="en-US"/>
        </w:rPr>
        <w:t>Econation</w:t>
      </w:r>
      <w:proofErr w:type="spellEnd"/>
      <w:r>
        <w:rPr>
          <w:rFonts w:ascii="Times New Roman" w:eastAsia="Times New Roman" w:hAnsi="Times New Roman" w:cs="Times New Roman"/>
          <w:lang w:val="en-US"/>
        </w:rPr>
        <w:t xml:space="preserve"> (2024). Available: </w:t>
      </w:r>
      <w:hyperlink r:id="rId26">
        <w:r>
          <w:rPr>
            <w:rFonts w:ascii="Times New Roman" w:eastAsia="Times New Roman" w:hAnsi="Times New Roman" w:cs="Times New Roman"/>
            <w:color w:val="0563C1"/>
            <w:u w:val="single"/>
            <w:lang w:val="en-US"/>
          </w:rPr>
          <w:t>https://econation.one/external-costs/</w:t>
        </w:r>
      </w:hyperlink>
      <w:r>
        <w:rPr>
          <w:rFonts w:ascii="Times New Roman" w:eastAsia="Times New Roman" w:hAnsi="Times New Roman" w:cs="Times New Roman"/>
          <w:lang w:val="en-US"/>
        </w:rPr>
        <w:t xml:space="preserve"> Downloaded: 03.09.2024</w:t>
      </w:r>
    </w:p>
    <w:p w:rsidR="00427336" w:rsidRDefault="000120B4">
      <w:pPr>
        <w:spacing w:before="80" w:after="80" w:line="240" w:lineRule="auto"/>
        <w:ind w:left="357"/>
        <w:jc w:val="both"/>
      </w:pPr>
      <w:proofErr w:type="spellStart"/>
      <w:r>
        <w:rPr>
          <w:rFonts w:ascii="Times New Roman" w:eastAsia="Times New Roman" w:hAnsi="Times New Roman" w:cs="Times New Roman"/>
          <w:color w:val="000000"/>
          <w:lang w:val="en-US"/>
        </w:rPr>
        <w:t>Erck</w:t>
      </w:r>
      <w:proofErr w:type="spellEnd"/>
      <w:r>
        <w:rPr>
          <w:rFonts w:ascii="Times New Roman" w:eastAsia="Times New Roman" w:hAnsi="Times New Roman" w:cs="Times New Roman"/>
          <w:color w:val="000000"/>
          <w:lang w:val="en-US"/>
        </w:rPr>
        <w:t>, R.P., Labuschagne, C</w:t>
      </w:r>
      <w:r>
        <w:rPr>
          <w:rFonts w:ascii="Times New Roman" w:eastAsia="Times New Roman" w:hAnsi="Times New Roman" w:cs="Times New Roman"/>
          <w:color w:val="000000"/>
          <w:lang w:val="en-US"/>
        </w:rPr>
        <w:t xml:space="preserve">., &amp; Brent, A.C. (2005). A sustainability cost accounting methodology for technology management in the process industry. </w:t>
      </w:r>
      <w:r>
        <w:rPr>
          <w:rFonts w:ascii="Times New Roman" w:eastAsia="Times New Roman" w:hAnsi="Times New Roman" w:cs="Times New Roman"/>
          <w:i/>
          <w:iCs/>
          <w:color w:val="000000"/>
          <w:lang w:val="en-US"/>
        </w:rPr>
        <w:t>Sustainability Cost Accounting for Technology Management</w:t>
      </w:r>
      <w:r>
        <w:rPr>
          <w:rFonts w:ascii="Times New Roman" w:eastAsia="Times New Roman" w:hAnsi="Times New Roman" w:cs="Times New Roman"/>
          <w:color w:val="000000"/>
          <w:lang w:val="en-US"/>
        </w:rPr>
        <w:t xml:space="preserve">. </w:t>
      </w:r>
      <w:hyperlink r:id="rId27">
        <w:r>
          <w:rPr>
            <w:rFonts w:ascii="Times New Roman" w:eastAsia="Times New Roman" w:hAnsi="Times New Roman" w:cs="Times New Roman"/>
            <w:color w:val="0563C1"/>
            <w:u w:val="single"/>
            <w:lang w:val="en-US"/>
          </w:rPr>
          <w:t>732 (up.ac.za)</w:t>
        </w:r>
      </w:hyperlink>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European Environment Agency (2024). </w:t>
      </w:r>
      <w:hyperlink r:id="rId28">
        <w:r>
          <w:rPr>
            <w:rFonts w:ascii="Times New Roman" w:eastAsia="Times New Roman" w:hAnsi="Times New Roman" w:cs="Times New Roman"/>
            <w:color w:val="0563C1"/>
            <w:u w:val="single"/>
            <w:lang w:val="en-US"/>
          </w:rPr>
          <w:t>https://www.eea.europa.eu/help/glossary/semide-emwis-thesaurus/environmental-cost</w:t>
        </w:r>
      </w:hyperlink>
      <w:r>
        <w:rPr>
          <w:rFonts w:ascii="Times New Roman" w:eastAsia="Times New Roman" w:hAnsi="Times New Roman" w:cs="Times New Roman"/>
          <w:lang w:val="en-US"/>
        </w:rPr>
        <w:t xml:space="preserve">  Downloaded 03.09.2024</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Fair Resource Foundation (2023). </w:t>
      </w:r>
      <w:r>
        <w:rPr>
          <w:rFonts w:ascii="Times New Roman" w:eastAsia="Times New Roman" w:hAnsi="Times New Roman" w:cs="Times New Roman"/>
          <w:i/>
          <w:iCs/>
          <w:lang w:val="en-US"/>
        </w:rPr>
        <w:t>Out of sight, out of the system: producers evade EPR-costs by exporting waste to Africa.</w:t>
      </w:r>
      <w:r>
        <w:rPr>
          <w:rFonts w:ascii="Times New Roman" w:eastAsia="Times New Roman" w:hAnsi="Times New Roman" w:cs="Times New Roman"/>
          <w:lang w:val="en-US"/>
        </w:rPr>
        <w:t xml:space="preserve"> Available: </w:t>
      </w:r>
      <w:hyperlink r:id="rId29">
        <w:r>
          <w:rPr>
            <w:rStyle w:val="Hyperlink"/>
            <w:rFonts w:ascii="Times New Roman" w:eastAsia="Times New Roman" w:hAnsi="Times New Roman" w:cs="Times New Roman"/>
            <w:lang w:val="en-US"/>
          </w:rPr>
          <w:t>https://fairresourcefoundation.org/en/out-</w:t>
        </w:r>
        <w:r>
          <w:rPr>
            <w:rStyle w:val="Hyperlink"/>
            <w:rFonts w:ascii="Times New Roman" w:eastAsia="Times New Roman" w:hAnsi="Times New Roman" w:cs="Times New Roman"/>
            <w:lang w:val="en-US"/>
          </w:rPr>
          <w:lastRenderedPageBreak/>
          <w:t>of-sight-out-of-the-system-producers-evade-epr-costs-by-exporting-waste-</w:t>
        </w:r>
        <w:r>
          <w:rPr>
            <w:rStyle w:val="Hyperlink"/>
            <w:rFonts w:ascii="Times New Roman" w:eastAsia="Times New Roman" w:hAnsi="Times New Roman" w:cs="Times New Roman"/>
            <w:lang w:val="en-US"/>
          </w:rPr>
          <w:t>to-africa/</w:t>
        </w:r>
      </w:hyperlink>
      <w:r>
        <w:rPr>
          <w:rFonts w:ascii="Times New Roman" w:eastAsia="Times New Roman" w:hAnsi="Times New Roman" w:cs="Times New Roman"/>
          <w:lang w:val="en-US"/>
        </w:rPr>
        <w:t xml:space="preserve"> Downloaded: 10.11.2024</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Figge</w:t>
      </w:r>
      <w:proofErr w:type="spellEnd"/>
      <w:r>
        <w:rPr>
          <w:rFonts w:ascii="Times New Roman" w:eastAsia="Times New Roman" w:hAnsi="Times New Roman" w:cs="Times New Roman"/>
          <w:lang w:val="en-US"/>
        </w:rPr>
        <w:t xml:space="preserve">, F. &amp; Hahn, T. (2012). Is green and profitable sustainable? Assessing the trade-off between economic and environmental aspects. </w:t>
      </w:r>
      <w:r>
        <w:rPr>
          <w:rFonts w:ascii="Times New Roman" w:eastAsia="Times New Roman" w:hAnsi="Times New Roman" w:cs="Times New Roman"/>
          <w:i/>
          <w:iCs/>
          <w:lang w:val="en-US"/>
        </w:rPr>
        <w:t>International Journal of Production Economics,</w:t>
      </w:r>
      <w:r>
        <w:rPr>
          <w:rFonts w:ascii="Times New Roman" w:eastAsia="Times New Roman" w:hAnsi="Times New Roman" w:cs="Times New Roman"/>
          <w:lang w:val="en-US"/>
        </w:rPr>
        <w:t xml:space="preserve"> 140(1), 92–102. </w:t>
      </w:r>
      <w:hyperlink r:id="rId30">
        <w:r>
          <w:rPr>
            <w:rStyle w:val="Hyperlink"/>
            <w:rFonts w:ascii="Times New Roman" w:eastAsia="Times New Roman" w:hAnsi="Times New Roman" w:cs="Times New Roman"/>
            <w:lang w:val="en-US"/>
          </w:rPr>
          <w:t>https://doi.org/10.1016/j.ijpe.2012.02.001</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rFonts w:ascii="Times New Roman" w:eastAsia="Times New Roman" w:hAnsi="Times New Roman" w:cs="Times New Roman"/>
          <w:color w:val="000000"/>
          <w:shd w:val="clear" w:color="auto" w:fill="FFFF00"/>
          <w:lang w:val="en-US"/>
        </w:rPr>
      </w:pPr>
      <w:proofErr w:type="spellStart"/>
      <w:r>
        <w:rPr>
          <w:rFonts w:ascii="Times New Roman" w:eastAsia="Times New Roman" w:hAnsi="Times New Roman" w:cs="Times New Roman"/>
          <w:lang w:val="en-US"/>
        </w:rPr>
        <w:t>Fülöp</w:t>
      </w:r>
      <w:proofErr w:type="spellEnd"/>
      <w:r>
        <w:rPr>
          <w:rFonts w:ascii="Times New Roman" w:eastAsia="Times New Roman" w:hAnsi="Times New Roman" w:cs="Times New Roman"/>
          <w:lang w:val="en-US"/>
        </w:rPr>
        <w:t>, Á-Z. (2016).</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Costs, Expenses and Payments: Conceptual Approaches</w:t>
      </w:r>
      <w:r>
        <w:rPr>
          <w:rFonts w:ascii="Times New Roman" w:eastAsia="Times New Roman" w:hAnsi="Times New Roman" w:cs="Times New Roman"/>
          <w:i/>
          <w:iCs/>
          <w:lang w:val="en-US"/>
        </w:rPr>
        <w:t>,</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 xml:space="preserve">Annals of the „Constantin </w:t>
      </w:r>
      <w:proofErr w:type="spellStart"/>
      <w:r>
        <w:rPr>
          <w:rFonts w:ascii="Times New Roman" w:eastAsia="Times New Roman" w:hAnsi="Times New Roman" w:cs="Times New Roman"/>
          <w:i/>
          <w:iCs/>
          <w:lang w:val="en-US"/>
        </w:rPr>
        <w:t>Brâncuşi</w:t>
      </w:r>
      <w:proofErr w:type="spellEnd"/>
      <w:r>
        <w:rPr>
          <w:rFonts w:ascii="Times New Roman" w:eastAsia="Times New Roman" w:hAnsi="Times New Roman" w:cs="Times New Roman"/>
          <w:i/>
          <w:iCs/>
          <w:lang w:val="en-US"/>
        </w:rPr>
        <w:t xml:space="preserve">” University of </w:t>
      </w:r>
      <w:proofErr w:type="spellStart"/>
      <w:r>
        <w:rPr>
          <w:rFonts w:ascii="Times New Roman" w:eastAsia="Times New Roman" w:hAnsi="Times New Roman" w:cs="Times New Roman"/>
          <w:i/>
          <w:iCs/>
          <w:lang w:val="en-US"/>
        </w:rPr>
        <w:t>Târgu</w:t>
      </w:r>
      <w:proofErr w:type="spellEnd"/>
      <w:r>
        <w:rPr>
          <w:rFonts w:ascii="Times New Roman" w:eastAsia="Times New Roman" w:hAnsi="Times New Roman" w:cs="Times New Roman"/>
          <w:i/>
          <w:iCs/>
          <w:lang w:val="en-US"/>
        </w:rPr>
        <w:t xml:space="preserve"> Jiu, Economy Series.</w:t>
      </w:r>
      <w:r>
        <w:rPr>
          <w:rFonts w:ascii="Times New Roman" w:eastAsia="Times New Roman" w:hAnsi="Times New Roman" w:cs="Times New Roman"/>
          <w:lang w:val="en-US"/>
        </w:rPr>
        <w:t xml:space="preserve"> p. 58. </w:t>
      </w:r>
      <w:hyperlink r:id="rId31">
        <w:r>
          <w:rPr>
            <w:rStyle w:val="Hyperlink"/>
            <w:rFonts w:ascii="Times New Roman" w:eastAsia="Times New Roman" w:hAnsi="Times New Roman" w:cs="Times New Roman"/>
            <w:color w:val="0563C1"/>
            <w:lang w:val="en-US"/>
          </w:rPr>
          <w:t>https://www.researchgate.net/publication/315807983</w:t>
        </w:r>
      </w:hyperlink>
    </w:p>
    <w:p w:rsidR="00427336" w:rsidRDefault="000120B4">
      <w:pPr>
        <w:spacing w:line="240" w:lineRule="auto"/>
        <w:ind w:left="360"/>
        <w:jc w:val="both"/>
        <w:rPr>
          <w:lang w:val="de-DE"/>
        </w:rPr>
      </w:pPr>
      <w:proofErr w:type="spellStart"/>
      <w:r>
        <w:rPr>
          <w:rFonts w:ascii="Times New Roman" w:eastAsia="Times New Roman" w:hAnsi="Times New Roman" w:cs="Times New Roman"/>
          <w:color w:val="000000"/>
          <w:lang w:val="en-US"/>
        </w:rPr>
        <w:t>Göltenboth</w:t>
      </w:r>
      <w:proofErr w:type="spellEnd"/>
      <w:r>
        <w:rPr>
          <w:rFonts w:ascii="Times New Roman" w:eastAsia="Times New Roman" w:hAnsi="Times New Roman" w:cs="Times New Roman"/>
          <w:color w:val="000000"/>
          <w:lang w:val="en-US"/>
        </w:rPr>
        <w:t xml:space="preserve">, F. (2006). </w:t>
      </w:r>
      <w:r>
        <w:rPr>
          <w:rFonts w:ascii="Times New Roman" w:eastAsia="Times New Roman" w:hAnsi="Times New Roman" w:cs="Times New Roman"/>
          <w:i/>
          <w:iCs/>
          <w:color w:val="000000"/>
          <w:lang w:val="en-US"/>
        </w:rPr>
        <w:t xml:space="preserve">20 – </w:t>
      </w:r>
      <w:r>
        <w:rPr>
          <w:rFonts w:ascii="Times New Roman" w:eastAsia="Times New Roman" w:hAnsi="Times New Roman" w:cs="Times New Roman"/>
          <w:color w:val="000000"/>
          <w:lang w:val="en-US"/>
        </w:rPr>
        <w:t xml:space="preserve">Social Ecology. in </w:t>
      </w:r>
      <w:proofErr w:type="spellStart"/>
      <w:r>
        <w:rPr>
          <w:rFonts w:ascii="Times New Roman" w:eastAsia="Times New Roman" w:hAnsi="Times New Roman" w:cs="Times New Roman"/>
          <w:color w:val="000000"/>
          <w:lang w:val="en-US"/>
        </w:rPr>
        <w:t>Göltenboth</w:t>
      </w:r>
      <w:proofErr w:type="spellEnd"/>
      <w:r>
        <w:rPr>
          <w:rFonts w:ascii="Times New Roman" w:eastAsia="Times New Roman" w:hAnsi="Times New Roman" w:cs="Times New Roman"/>
          <w:color w:val="000000"/>
          <w:lang w:val="en-US"/>
        </w:rPr>
        <w:t xml:space="preserve">, F., </w:t>
      </w:r>
      <w:proofErr w:type="spellStart"/>
      <w:r>
        <w:rPr>
          <w:rFonts w:ascii="Times New Roman" w:eastAsia="Times New Roman" w:hAnsi="Times New Roman" w:cs="Times New Roman"/>
          <w:color w:val="000000"/>
          <w:lang w:val="en-US"/>
        </w:rPr>
        <w:t>Timotius</w:t>
      </w:r>
      <w:proofErr w:type="spellEnd"/>
      <w:r>
        <w:rPr>
          <w:rFonts w:ascii="Times New Roman" w:eastAsia="Times New Roman" w:hAnsi="Times New Roman" w:cs="Times New Roman"/>
          <w:color w:val="000000"/>
          <w:lang w:val="en-US"/>
        </w:rPr>
        <w:t xml:space="preserve">, K.H., Milan, P.P. &amp; </w:t>
      </w:r>
      <w:proofErr w:type="spellStart"/>
      <w:r>
        <w:rPr>
          <w:rFonts w:ascii="Times New Roman" w:eastAsia="Times New Roman" w:hAnsi="Times New Roman" w:cs="Times New Roman"/>
          <w:color w:val="000000"/>
          <w:lang w:val="en-US"/>
        </w:rPr>
        <w:t>Margraf</w:t>
      </w:r>
      <w:proofErr w:type="spellEnd"/>
      <w:r>
        <w:rPr>
          <w:rFonts w:ascii="Times New Roman" w:eastAsia="Times New Roman" w:hAnsi="Times New Roman" w:cs="Times New Roman"/>
          <w:color w:val="000000"/>
          <w:lang w:val="en-US"/>
        </w:rPr>
        <w:t xml:space="preserve">, J. (Eds), </w:t>
      </w:r>
      <w:r>
        <w:rPr>
          <w:rFonts w:ascii="Times New Roman" w:eastAsia="Times New Roman" w:hAnsi="Times New Roman" w:cs="Times New Roman"/>
          <w:i/>
          <w:iCs/>
          <w:color w:val="000000"/>
          <w:lang w:val="en-US"/>
        </w:rPr>
        <w:t>Ecology of Insular Southeast Asia</w:t>
      </w:r>
      <w:r>
        <w:rPr>
          <w:rFonts w:ascii="Times New Roman" w:eastAsia="Times New Roman" w:hAnsi="Times New Roman" w:cs="Times New Roman"/>
          <w:color w:val="000000"/>
          <w:lang w:val="en-US"/>
        </w:rPr>
        <w:t>, Elsevi</w:t>
      </w:r>
      <w:r>
        <w:rPr>
          <w:rFonts w:ascii="Times New Roman" w:eastAsia="Times New Roman" w:hAnsi="Times New Roman" w:cs="Times New Roman"/>
          <w:color w:val="000000"/>
          <w:lang w:val="en-US"/>
        </w:rPr>
        <w:t>er, 465-499</w:t>
      </w:r>
      <w:r>
        <w:rPr>
          <w:rFonts w:ascii="Times New Roman" w:eastAsia="Times New Roman" w:hAnsi="Times New Roman" w:cs="Times New Roman"/>
          <w:color w:val="0563C1"/>
          <w:u w:val="single"/>
          <w:lang w:val="en-US"/>
        </w:rPr>
        <w:t xml:space="preserve">. </w:t>
      </w:r>
      <w:hyperlink r:id="rId32">
        <w:r>
          <w:rPr>
            <w:rFonts w:ascii="Times New Roman" w:eastAsia="Times New Roman" w:hAnsi="Times New Roman" w:cs="Times New Roman"/>
            <w:color w:val="0563C1"/>
            <w:u w:val="single"/>
            <w:lang w:val="de-DE"/>
          </w:rPr>
          <w:t>https://doi.org/10.1016/B978-044452739-4/50021-8</w:t>
        </w:r>
      </w:hyperlink>
      <w:r>
        <w:rPr>
          <w:rFonts w:ascii="Times New Roman" w:eastAsia="Times New Roman" w:hAnsi="Times New Roman" w:cs="Times New Roman"/>
          <w:color w:val="0563C1"/>
          <w:u w:val="single"/>
          <w:lang w:val="de-DE"/>
        </w:rPr>
        <w:t>.</w:t>
      </w:r>
    </w:p>
    <w:p w:rsidR="00427336" w:rsidRDefault="000120B4">
      <w:pPr>
        <w:spacing w:line="240" w:lineRule="auto"/>
        <w:ind w:left="360"/>
        <w:jc w:val="both"/>
        <w:rPr>
          <w:lang w:val="de-DE"/>
        </w:rPr>
      </w:pPr>
      <w:r>
        <w:rPr>
          <w:rFonts w:ascii="Times New Roman" w:eastAsia="Times New Roman" w:hAnsi="Times New Roman" w:cs="Times New Roman"/>
          <w:lang w:val="de-DE"/>
        </w:rPr>
        <w:t xml:space="preserve">Gunarathne, A.D.N., Lee, K. &amp; Hitigala Kaluarachchilage, P. K. (2020). </w:t>
      </w:r>
      <w:r>
        <w:rPr>
          <w:rFonts w:ascii="Times New Roman" w:eastAsia="Times New Roman" w:hAnsi="Times New Roman" w:cs="Times New Roman"/>
          <w:lang w:val="en-US"/>
        </w:rPr>
        <w:t xml:space="preserve">Institutional pressures, environmental management </w:t>
      </w:r>
      <w:r>
        <w:rPr>
          <w:rFonts w:ascii="Times New Roman" w:eastAsia="Times New Roman" w:hAnsi="Times New Roman" w:cs="Times New Roman"/>
          <w:lang w:val="en-US"/>
        </w:rPr>
        <w:t>strategy, and organizational performance: The role of environmental management accounting</w:t>
      </w:r>
      <w:r>
        <w:rPr>
          <w:rFonts w:ascii="Times New Roman" w:eastAsia="Times New Roman" w:hAnsi="Times New Roman" w:cs="Times New Roman"/>
          <w:i/>
          <w:iCs/>
          <w:lang w:val="en-US"/>
        </w:rPr>
        <w:t>,</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Business Strategy and the Environment,</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 xml:space="preserve">30 </w:t>
      </w:r>
      <w:r>
        <w:rPr>
          <w:rFonts w:ascii="Times New Roman" w:eastAsia="Times New Roman" w:hAnsi="Times New Roman" w:cs="Times New Roman"/>
          <w:lang w:val="en-US"/>
        </w:rPr>
        <w:t xml:space="preserve">(2): 825–839. </w:t>
      </w:r>
      <w:hyperlink r:id="rId33">
        <w:r>
          <w:rPr>
            <w:rStyle w:val="Hyperlink"/>
            <w:rFonts w:ascii="Times New Roman" w:eastAsia="Times New Roman" w:hAnsi="Times New Roman" w:cs="Times New Roman"/>
            <w:lang w:val="de-DE"/>
          </w:rPr>
          <w:t>https://doi.org/10.1002/bse.2656</w:t>
        </w:r>
      </w:hyperlink>
      <w:r>
        <w:rPr>
          <w:rFonts w:ascii="Times New Roman" w:eastAsia="Times New Roman" w:hAnsi="Times New Roman" w:cs="Times New Roman"/>
          <w:lang w:val="de-DE"/>
        </w:rPr>
        <w:t xml:space="preserve"> </w:t>
      </w:r>
    </w:p>
    <w:p w:rsidR="00427336" w:rsidRDefault="000120B4">
      <w:pPr>
        <w:spacing w:before="80" w:after="80" w:line="240" w:lineRule="auto"/>
        <w:ind w:left="357"/>
        <w:jc w:val="both"/>
        <w:rPr>
          <w:lang w:val="de-DE"/>
        </w:rPr>
      </w:pPr>
      <w:r>
        <w:rPr>
          <w:rFonts w:ascii="Times New Roman" w:eastAsia="Times New Roman" w:hAnsi="Times New Roman" w:cs="Times New Roman"/>
          <w:color w:val="000000"/>
          <w:lang w:val="de-DE"/>
        </w:rPr>
        <w:t>Gusc, J., Bosma, P. Jar</w:t>
      </w:r>
      <w:r>
        <w:rPr>
          <w:rFonts w:ascii="Times New Roman" w:eastAsia="Times New Roman" w:hAnsi="Times New Roman" w:cs="Times New Roman"/>
          <w:color w:val="000000"/>
          <w:lang w:val="de-DE"/>
        </w:rPr>
        <w:t xml:space="preserve">ka, S. &amp; Biernat-Jarka. </w:t>
      </w:r>
      <w:proofErr w:type="gramStart"/>
      <w:r>
        <w:rPr>
          <w:rFonts w:ascii="Times New Roman" w:eastAsia="Times New Roman" w:hAnsi="Times New Roman" w:cs="Times New Roman"/>
          <w:color w:val="000000"/>
          <w:lang w:val="en-US"/>
        </w:rPr>
        <w:t>A.(</w:t>
      </w:r>
      <w:proofErr w:type="gramEnd"/>
      <w:r>
        <w:rPr>
          <w:rFonts w:ascii="Times New Roman" w:eastAsia="Times New Roman" w:hAnsi="Times New Roman" w:cs="Times New Roman"/>
          <w:color w:val="000000"/>
          <w:lang w:val="en-US"/>
        </w:rPr>
        <w:t xml:space="preserve">2022). The Big Data, Artificial Intelligence, and Blockchain in True Cost Accounting for Energy Transition in Europe. </w:t>
      </w:r>
      <w:r>
        <w:rPr>
          <w:rFonts w:ascii="Times New Roman" w:eastAsia="Times New Roman" w:hAnsi="Times New Roman" w:cs="Times New Roman"/>
          <w:i/>
          <w:iCs/>
          <w:color w:val="000000"/>
          <w:lang w:val="de-DE"/>
        </w:rPr>
        <w:t>Energies,</w:t>
      </w:r>
      <w:r>
        <w:rPr>
          <w:rFonts w:ascii="Times New Roman" w:eastAsia="Times New Roman" w:hAnsi="Times New Roman" w:cs="Times New Roman"/>
          <w:color w:val="000000"/>
          <w:lang w:val="de-DE"/>
        </w:rPr>
        <w:t xml:space="preserve"> 15, (3): 1089. pp. 2-3 </w:t>
      </w:r>
      <w:r>
        <w:fldChar w:fldCharType="begin"/>
      </w:r>
      <w:r>
        <w:instrText xml:space="preserve"> HYPERLINK "https://doi.org/10.3390/en15031089" \h </w:instrText>
      </w:r>
      <w:r>
        <w:fldChar w:fldCharType="separate"/>
      </w:r>
      <w:r>
        <w:rPr>
          <w:rStyle w:val="Hyperlink"/>
          <w:rFonts w:ascii="Times New Roman" w:eastAsia="Times New Roman" w:hAnsi="Times New Roman" w:cs="Times New Roman"/>
          <w:color w:val="0563C1"/>
          <w:lang w:val="de-DE"/>
        </w:rPr>
        <w:t>https://doi.org/10.3390/</w:t>
      </w:r>
      <w:r>
        <w:rPr>
          <w:rStyle w:val="Hyperlink"/>
          <w:rFonts w:ascii="Times New Roman" w:eastAsia="Times New Roman" w:hAnsi="Times New Roman" w:cs="Times New Roman"/>
          <w:color w:val="0563C1"/>
          <w:lang w:val="de-DE"/>
        </w:rPr>
        <w:t>en15031089</w:t>
      </w:r>
      <w:r>
        <w:rPr>
          <w:rStyle w:val="Hyperlink"/>
          <w:rFonts w:ascii="Times New Roman" w:eastAsia="Times New Roman" w:hAnsi="Times New Roman" w:cs="Times New Roman"/>
          <w:color w:val="0563C1"/>
          <w:lang w:val="de-DE"/>
        </w:rPr>
        <w:fldChar w:fldCharType="end"/>
      </w:r>
    </w:p>
    <w:p w:rsidR="00427336" w:rsidRDefault="000120B4">
      <w:pPr>
        <w:spacing w:before="80" w:after="80" w:line="240" w:lineRule="auto"/>
        <w:ind w:left="357"/>
        <w:jc w:val="both"/>
        <w:rPr>
          <w:lang w:val="en-US"/>
        </w:rPr>
      </w:pPr>
      <w:r>
        <w:rPr>
          <w:rFonts w:ascii="Times New Roman" w:eastAsia="Times New Roman" w:hAnsi="Times New Roman" w:cs="Times New Roman"/>
          <w:lang w:val="de-DE"/>
        </w:rPr>
        <w:t xml:space="preserve">Hamid, S., Riaz, Z.. </w:t>
      </w:r>
      <w:r>
        <w:rPr>
          <w:rFonts w:ascii="Times New Roman" w:eastAsia="Times New Roman" w:hAnsi="Times New Roman" w:cs="Times New Roman"/>
          <w:lang w:val="en-US"/>
        </w:rPr>
        <w:t>&amp; Azeem, S.M.W. (2020</w:t>
      </w:r>
      <w:r>
        <w:rPr>
          <w:rFonts w:ascii="Times New Roman" w:eastAsia="Times New Roman" w:hAnsi="Times New Roman" w:cs="Times New Roman"/>
          <w:i/>
          <w:iCs/>
          <w:lang w:val="en-US"/>
        </w:rPr>
        <w:t xml:space="preserve">). </w:t>
      </w:r>
      <w:r>
        <w:rPr>
          <w:rFonts w:ascii="Times New Roman" w:eastAsia="Times New Roman" w:hAnsi="Times New Roman" w:cs="Times New Roman"/>
          <w:lang w:val="en-US"/>
        </w:rPr>
        <w:t xml:space="preserve">Carroll’s dimensions and CSR disclosure: empirical evidence from Pakistan. </w:t>
      </w:r>
      <w:r>
        <w:rPr>
          <w:rFonts w:ascii="Times New Roman" w:eastAsia="Times New Roman" w:hAnsi="Times New Roman" w:cs="Times New Roman"/>
          <w:i/>
          <w:iCs/>
          <w:lang w:val="en-US"/>
        </w:rPr>
        <w:t xml:space="preserve">Corporate Governance, </w:t>
      </w:r>
      <w:r>
        <w:rPr>
          <w:rFonts w:ascii="Times New Roman" w:eastAsia="Times New Roman" w:hAnsi="Times New Roman" w:cs="Times New Roman"/>
          <w:lang w:val="en-US"/>
        </w:rPr>
        <w:t xml:space="preserve">20(3): 365–381. </w:t>
      </w:r>
      <w:hyperlink r:id="rId34">
        <w:r>
          <w:rPr>
            <w:rStyle w:val="Hyperlink"/>
            <w:rFonts w:ascii="Times New Roman" w:eastAsia="Times New Roman" w:hAnsi="Times New Roman" w:cs="Times New Roman"/>
            <w:lang w:val="en-US"/>
          </w:rPr>
          <w:t>https://doi.org/10.1108/cg-10-2018-0317</w:t>
        </w:r>
      </w:hyperlink>
      <w:r>
        <w:rPr>
          <w:rFonts w:ascii="Times New Roman" w:eastAsia="Times New Roman" w:hAnsi="Times New Roman" w:cs="Times New Roman"/>
          <w:lang w:val="en-US"/>
        </w:rPr>
        <w:t xml:space="preserve"> </w:t>
      </w:r>
    </w:p>
    <w:p w:rsidR="00427336" w:rsidRDefault="00427336">
      <w:pPr>
        <w:spacing w:before="80" w:after="80" w:line="240" w:lineRule="auto"/>
        <w:ind w:left="357"/>
        <w:jc w:val="both"/>
        <w:rPr>
          <w:lang w:val="en-US"/>
        </w:rPr>
      </w:pP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Hanane</w:t>
      </w:r>
      <w:proofErr w:type="spellEnd"/>
      <w:r>
        <w:rPr>
          <w:rFonts w:ascii="Times New Roman" w:eastAsia="Times New Roman" w:hAnsi="Times New Roman" w:cs="Times New Roman"/>
          <w:lang w:val="en-US"/>
        </w:rPr>
        <w:t xml:space="preserve">, S.S. (2014), Accounting Framework to Measure the Environmental Costs and Disclosed in Industrials Companies-Case Study of </w:t>
      </w:r>
      <w:proofErr w:type="spellStart"/>
      <w:r>
        <w:rPr>
          <w:rFonts w:ascii="Times New Roman" w:eastAsia="Times New Roman" w:hAnsi="Times New Roman" w:cs="Times New Roman"/>
          <w:lang w:val="en-US"/>
        </w:rPr>
        <w:t>Societe</w:t>
      </w:r>
      <w:proofErr w:type="spellEnd"/>
      <w:r>
        <w:rPr>
          <w:rFonts w:ascii="Times New Roman" w:eastAsia="Times New Roman" w:hAnsi="Times New Roman" w:cs="Times New Roman"/>
          <w:lang w:val="en-US"/>
        </w:rPr>
        <w:t xml:space="preserve"> Cement </w:t>
      </w:r>
      <w:proofErr w:type="spellStart"/>
      <w:r>
        <w:rPr>
          <w:rFonts w:ascii="Times New Roman" w:eastAsia="Times New Roman" w:hAnsi="Times New Roman" w:cs="Times New Roman"/>
          <w:lang w:val="en-US"/>
        </w:rPr>
        <w:t>Hamma</w:t>
      </w:r>
      <w:proofErr w:type="spellEnd"/>
      <w:r>
        <w:rPr>
          <w:rFonts w:ascii="Times New Roman" w:eastAsia="Times New Roman" w:hAnsi="Times New Roman" w:cs="Times New Roman"/>
          <w:lang w:val="en-US"/>
        </w:rPr>
        <w:t xml:space="preserve"> </w:t>
      </w:r>
      <w:proofErr w:type="spellStart"/>
      <w:r>
        <w:rPr>
          <w:rFonts w:ascii="Times New Roman" w:eastAsia="Times New Roman" w:hAnsi="Times New Roman" w:cs="Times New Roman"/>
          <w:lang w:val="en-US"/>
        </w:rPr>
        <w:t>Bouziane</w:t>
      </w:r>
      <w:proofErr w:type="spellEnd"/>
      <w:r>
        <w:rPr>
          <w:rFonts w:ascii="Times New Roman" w:eastAsia="Times New Roman" w:hAnsi="Times New Roman" w:cs="Times New Roman"/>
          <w:lang w:val="en-US"/>
        </w:rPr>
        <w:t xml:space="preserve"> (SCHB) in Constantine. </w:t>
      </w:r>
      <w:r>
        <w:rPr>
          <w:rFonts w:ascii="Times New Roman" w:eastAsia="Times New Roman" w:hAnsi="Times New Roman" w:cs="Times New Roman"/>
          <w:i/>
          <w:iCs/>
          <w:lang w:val="en-US"/>
        </w:rPr>
        <w:t>Chinese Business Review.</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13</w:t>
      </w:r>
      <w:r>
        <w:rPr>
          <w:rFonts w:ascii="Times New Roman" w:eastAsia="Times New Roman" w:hAnsi="Times New Roman" w:cs="Times New Roman"/>
          <w:lang w:val="en-US"/>
        </w:rPr>
        <w:t>. (6</w:t>
      </w:r>
      <w:r>
        <w:rPr>
          <w:rFonts w:ascii="Times New Roman" w:eastAsia="Times New Roman" w:hAnsi="Times New Roman" w:cs="Times New Roman"/>
          <w:lang w:val="en-US"/>
        </w:rPr>
        <w:t xml:space="preserve">): 356-366. </w:t>
      </w:r>
      <w:hyperlink r:id="rId35">
        <w:r>
          <w:rPr>
            <w:rFonts w:ascii="Times New Roman" w:eastAsia="Times New Roman" w:hAnsi="Times New Roman" w:cs="Times New Roman"/>
            <w:color w:val="0563C1"/>
            <w:u w:val="single"/>
            <w:lang w:val="en-US"/>
          </w:rPr>
          <w:t>https://www.res</w:t>
        </w:r>
        <w:r>
          <w:rPr>
            <w:rFonts w:ascii="Times New Roman" w:eastAsia="Times New Roman" w:hAnsi="Times New Roman" w:cs="Times New Roman"/>
            <w:color w:val="0563C1"/>
            <w:u w:val="single"/>
            <w:lang w:val="en-US"/>
          </w:rPr>
          <w:t>earchgate.net/publication/366673412</w:t>
        </w:r>
      </w:hyperlink>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Hatzis, A., </w:t>
      </w:r>
      <w:proofErr w:type="spellStart"/>
      <w:r>
        <w:rPr>
          <w:rFonts w:ascii="Times New Roman" w:eastAsia="Times New Roman" w:hAnsi="Times New Roman" w:cs="Times New Roman"/>
          <w:lang w:val="en-US"/>
        </w:rPr>
        <w:t>Koulidou</w:t>
      </w:r>
      <w:proofErr w:type="spellEnd"/>
      <w:r>
        <w:rPr>
          <w:rFonts w:ascii="Times New Roman" w:eastAsia="Times New Roman" w:hAnsi="Times New Roman" w:cs="Times New Roman"/>
          <w:lang w:val="en-US"/>
        </w:rPr>
        <w:t xml:space="preserve">, A &amp; </w:t>
      </w:r>
      <w:proofErr w:type="spellStart"/>
      <w:r>
        <w:rPr>
          <w:rFonts w:ascii="Times New Roman" w:eastAsia="Times New Roman" w:hAnsi="Times New Roman" w:cs="Times New Roman"/>
          <w:lang w:val="en-US"/>
        </w:rPr>
        <w:t>Folinas</w:t>
      </w:r>
      <w:proofErr w:type="spellEnd"/>
      <w:r>
        <w:rPr>
          <w:rFonts w:ascii="Times New Roman" w:eastAsia="Times New Roman" w:hAnsi="Times New Roman" w:cs="Times New Roman"/>
          <w:lang w:val="en-US"/>
        </w:rPr>
        <w:t xml:space="preserve">, D. (2014). Costing Logistics Services. </w:t>
      </w:r>
      <w:r>
        <w:rPr>
          <w:rFonts w:ascii="Times New Roman" w:eastAsia="Times New Roman" w:hAnsi="Times New Roman" w:cs="Times New Roman"/>
          <w:i/>
          <w:iCs/>
          <w:lang w:val="en-US"/>
        </w:rPr>
        <w:t>Operations and Supply Chain Management: An International Journal.</w:t>
      </w:r>
      <w:r>
        <w:rPr>
          <w:rFonts w:ascii="Times New Roman" w:eastAsia="Times New Roman" w:hAnsi="Times New Roman" w:cs="Times New Roman"/>
          <w:lang w:val="en-US"/>
        </w:rPr>
        <w:t xml:space="preserve"> 116-122. </w:t>
      </w:r>
      <w:hyperlink r:id="rId36">
        <w:r>
          <w:rPr>
            <w:rFonts w:ascii="Times New Roman" w:eastAsia="Times New Roman" w:hAnsi="Times New Roman" w:cs="Times New Roman"/>
            <w:color w:val="0563C1"/>
            <w:u w:val="single"/>
            <w:lang w:val="en-US"/>
          </w:rPr>
          <w:t>https://www.researchgate.net/publication/267253584_Costing_Logistics_Services</w:t>
        </w:r>
      </w:hyperlink>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Hundal</w:t>
      </w:r>
      <w:proofErr w:type="spellEnd"/>
      <w:r>
        <w:rPr>
          <w:rFonts w:ascii="Times New Roman" w:eastAsia="Times New Roman" w:hAnsi="Times New Roman" w:cs="Times New Roman"/>
          <w:lang w:val="en-US"/>
        </w:rPr>
        <w:t xml:space="preserve">, M. S. (1997). Product Costing: A Comparison of Conventional and Activity-based Costing Methods. </w:t>
      </w:r>
      <w:r>
        <w:rPr>
          <w:rFonts w:ascii="Times New Roman" w:eastAsia="Times New Roman" w:hAnsi="Times New Roman" w:cs="Times New Roman"/>
          <w:i/>
          <w:iCs/>
          <w:lang w:val="en-US"/>
        </w:rPr>
        <w:t>Journal of Engineering Design.</w:t>
      </w:r>
      <w:r>
        <w:rPr>
          <w:rFonts w:ascii="Times New Roman" w:eastAsia="Times New Roman" w:hAnsi="Times New Roman" w:cs="Times New Roman"/>
          <w:lang w:val="en-US"/>
        </w:rPr>
        <w:t xml:space="preserve"> 91–103.  </w:t>
      </w:r>
      <w:hyperlink r:id="rId37">
        <w:r>
          <w:rPr>
            <w:rStyle w:val="Hyperlink"/>
            <w:rFonts w:ascii="Times New Roman" w:eastAsia="Times New Roman" w:hAnsi="Times New Roman" w:cs="Times New Roman"/>
            <w:color w:val="0563C1"/>
            <w:lang w:val="en-US"/>
          </w:rPr>
          <w:t>https://www.tandfonline.com/doi/abs/10.1080/09544829708907954</w:t>
        </w:r>
      </w:hyperlink>
    </w:p>
    <w:p w:rsidR="00427336" w:rsidRDefault="000120B4">
      <w:pPr>
        <w:spacing w:line="240" w:lineRule="auto"/>
        <w:ind w:left="360"/>
        <w:jc w:val="both"/>
        <w:rPr>
          <w:lang w:val="en-US"/>
        </w:rPr>
      </w:pPr>
      <w:proofErr w:type="spellStart"/>
      <w:r>
        <w:rPr>
          <w:rFonts w:ascii="Times New Roman" w:eastAsia="Times New Roman" w:hAnsi="Times New Roman" w:cs="Times New Roman"/>
          <w:color w:val="000000"/>
          <w:lang w:val="en-US"/>
        </w:rPr>
        <w:t>Jasch</w:t>
      </w:r>
      <w:proofErr w:type="spellEnd"/>
      <w:r>
        <w:rPr>
          <w:rFonts w:ascii="Times New Roman" w:eastAsia="Times New Roman" w:hAnsi="Times New Roman" w:cs="Times New Roman"/>
          <w:color w:val="000000"/>
          <w:lang w:val="en-US"/>
        </w:rPr>
        <w:t xml:space="preserve">, C. (2003), The use of Environmental Management Accounting (EMA) for identifying environmental costs, </w:t>
      </w:r>
      <w:r>
        <w:rPr>
          <w:rFonts w:ascii="Times New Roman" w:eastAsia="Times New Roman" w:hAnsi="Times New Roman" w:cs="Times New Roman"/>
          <w:i/>
          <w:iCs/>
          <w:color w:val="000000"/>
          <w:lang w:val="en-US"/>
        </w:rPr>
        <w:t>Journal of Cl</w:t>
      </w:r>
      <w:r>
        <w:rPr>
          <w:rFonts w:ascii="Times New Roman" w:eastAsia="Times New Roman" w:hAnsi="Times New Roman" w:cs="Times New Roman"/>
          <w:i/>
          <w:iCs/>
          <w:color w:val="000000"/>
          <w:lang w:val="en-US"/>
        </w:rPr>
        <w:t>eaner Production,</w:t>
      </w:r>
      <w:r>
        <w:rPr>
          <w:rFonts w:ascii="Times New Roman" w:eastAsia="Times New Roman" w:hAnsi="Times New Roman" w:cs="Times New Roman"/>
          <w:color w:val="000000"/>
          <w:lang w:val="en-US"/>
        </w:rPr>
        <w:t xml:space="preserve"> </w:t>
      </w:r>
      <w:r>
        <w:rPr>
          <w:rFonts w:ascii="Times New Roman" w:eastAsia="Times New Roman" w:hAnsi="Times New Roman" w:cs="Times New Roman"/>
          <w:b/>
          <w:bCs/>
          <w:color w:val="000000"/>
          <w:lang w:val="en-US"/>
        </w:rPr>
        <w:t>11</w:t>
      </w:r>
      <w:r>
        <w:rPr>
          <w:rFonts w:ascii="Times New Roman" w:eastAsia="Times New Roman" w:hAnsi="Times New Roman" w:cs="Times New Roman"/>
          <w:color w:val="000000"/>
          <w:lang w:val="en-US"/>
        </w:rPr>
        <w:t>, (6): 667-676.</w:t>
      </w:r>
    </w:p>
    <w:p w:rsidR="00427336" w:rsidRDefault="000120B4">
      <w:pPr>
        <w:spacing w:line="240" w:lineRule="auto"/>
        <w:ind w:left="360"/>
        <w:jc w:val="both"/>
        <w:rPr>
          <w:lang w:val="en-US"/>
        </w:rPr>
      </w:pPr>
      <w:proofErr w:type="spellStart"/>
      <w:r>
        <w:rPr>
          <w:rFonts w:ascii="Times New Roman" w:eastAsia="Times New Roman" w:hAnsi="Times New Roman" w:cs="Times New Roman"/>
          <w:color w:val="000000"/>
          <w:lang w:val="en-US"/>
        </w:rPr>
        <w:t>Iredele</w:t>
      </w:r>
      <w:proofErr w:type="spellEnd"/>
      <w:r>
        <w:rPr>
          <w:rFonts w:ascii="Times New Roman" w:eastAsia="Times New Roman" w:hAnsi="Times New Roman" w:cs="Times New Roman"/>
          <w:color w:val="000000"/>
          <w:lang w:val="en-US"/>
        </w:rPr>
        <w:t xml:space="preserve">, O. O., </w:t>
      </w:r>
      <w:proofErr w:type="spellStart"/>
      <w:r>
        <w:rPr>
          <w:rFonts w:ascii="Times New Roman" w:eastAsia="Times New Roman" w:hAnsi="Times New Roman" w:cs="Times New Roman"/>
          <w:color w:val="000000"/>
          <w:lang w:val="en-US"/>
        </w:rPr>
        <w:t>Tankiso</w:t>
      </w:r>
      <w:proofErr w:type="spellEnd"/>
      <w:r>
        <w:rPr>
          <w:rFonts w:ascii="Times New Roman" w:eastAsia="Times New Roman" w:hAnsi="Times New Roman" w:cs="Times New Roman"/>
          <w:color w:val="000000"/>
          <w:lang w:val="en-US"/>
        </w:rPr>
        <w:t xml:space="preserve">, M., &amp; </w:t>
      </w:r>
      <w:proofErr w:type="spellStart"/>
      <w:r>
        <w:rPr>
          <w:rFonts w:ascii="Times New Roman" w:eastAsia="Times New Roman" w:hAnsi="Times New Roman" w:cs="Times New Roman"/>
          <w:color w:val="000000"/>
          <w:lang w:val="en-US"/>
        </w:rPr>
        <w:t>Adelowotan</w:t>
      </w:r>
      <w:proofErr w:type="spellEnd"/>
      <w:r>
        <w:rPr>
          <w:rFonts w:ascii="Times New Roman" w:eastAsia="Times New Roman" w:hAnsi="Times New Roman" w:cs="Times New Roman"/>
          <w:color w:val="000000"/>
          <w:lang w:val="en-US"/>
        </w:rPr>
        <w:t xml:space="preserve">, M. O. (2019). The influence of institutional isomorphism and </w:t>
      </w:r>
      <w:proofErr w:type="spellStart"/>
      <w:r>
        <w:rPr>
          <w:rFonts w:ascii="Times New Roman" w:eastAsia="Times New Roman" w:hAnsi="Times New Roman" w:cs="Times New Roman"/>
          <w:color w:val="000000"/>
          <w:lang w:val="en-US"/>
        </w:rPr>
        <w:t>organisational</w:t>
      </w:r>
      <w:proofErr w:type="spellEnd"/>
      <w:r>
        <w:rPr>
          <w:rFonts w:ascii="Times New Roman" w:eastAsia="Times New Roman" w:hAnsi="Times New Roman" w:cs="Times New Roman"/>
          <w:color w:val="000000"/>
          <w:lang w:val="en-US"/>
        </w:rPr>
        <w:t xml:space="preserve"> factors on environmental management accounting practices of listed Nigerian and South African firms. South African Journal of Accounting </w:t>
      </w:r>
      <w:r>
        <w:rPr>
          <w:rFonts w:ascii="Times New Roman" w:eastAsia="Times New Roman" w:hAnsi="Times New Roman" w:cs="Times New Roman"/>
          <w:color w:val="000000"/>
          <w:lang w:val="en-US"/>
        </w:rPr>
        <w:t xml:space="preserve">Research, 34(3), pp. 183–204. </w:t>
      </w:r>
      <w:hyperlink r:id="rId38">
        <w:r>
          <w:rPr>
            <w:rStyle w:val="Hyperlink"/>
            <w:rFonts w:ascii="Times New Roman" w:eastAsia="Times New Roman" w:hAnsi="Times New Roman" w:cs="Times New Roman"/>
            <w:lang w:val="en-US"/>
          </w:rPr>
          <w:t>https://doi.org/10.1080/10291954.2019.1675254</w:t>
        </w:r>
      </w:hyperlink>
      <w:r>
        <w:rPr>
          <w:rFonts w:ascii="Times New Roman" w:eastAsia="Times New Roman" w:hAnsi="Times New Roman" w:cs="Times New Roman"/>
          <w:color w:val="000000"/>
          <w:lang w:val="en-US"/>
        </w:rPr>
        <w:t xml:space="preserve"> </w:t>
      </w:r>
    </w:p>
    <w:p w:rsidR="00427336" w:rsidRDefault="000120B4">
      <w:pPr>
        <w:spacing w:after="0" w:line="240" w:lineRule="auto"/>
        <w:ind w:left="360"/>
        <w:jc w:val="both"/>
        <w:rPr>
          <w:lang w:val="en-US"/>
        </w:rPr>
      </w:pPr>
      <w:proofErr w:type="spellStart"/>
      <w:r>
        <w:rPr>
          <w:rFonts w:ascii="Times New Roman" w:eastAsia="Times New Roman" w:hAnsi="Times New Roman" w:cs="Times New Roman"/>
          <w:color w:val="000000"/>
          <w:lang w:val="en-US"/>
        </w:rPr>
        <w:t>Jasinski</w:t>
      </w:r>
      <w:proofErr w:type="spellEnd"/>
      <w:r>
        <w:rPr>
          <w:rFonts w:ascii="Times New Roman" w:eastAsia="Times New Roman" w:hAnsi="Times New Roman" w:cs="Times New Roman"/>
          <w:color w:val="000000"/>
          <w:lang w:val="en-US"/>
        </w:rPr>
        <w:t>, D., Meredith J. &amp; Kirwan, K. (2015), A comprehensive review of full cost accounting methods and their ap</w:t>
      </w:r>
      <w:r>
        <w:rPr>
          <w:rFonts w:ascii="Times New Roman" w:eastAsia="Times New Roman" w:hAnsi="Times New Roman" w:cs="Times New Roman"/>
          <w:color w:val="000000"/>
          <w:lang w:val="en-US"/>
        </w:rPr>
        <w:t xml:space="preserve">plicability to the automotive industry, </w:t>
      </w:r>
      <w:r>
        <w:rPr>
          <w:rFonts w:ascii="Times New Roman" w:eastAsia="Times New Roman" w:hAnsi="Times New Roman" w:cs="Times New Roman"/>
          <w:i/>
          <w:iCs/>
          <w:color w:val="000000"/>
          <w:lang w:val="en-US"/>
        </w:rPr>
        <w:t>Journal of Cleaner Production,</w:t>
      </w:r>
      <w:r>
        <w:rPr>
          <w:rFonts w:ascii="Times New Roman" w:eastAsia="Times New Roman" w:hAnsi="Times New Roman" w:cs="Times New Roman"/>
          <w:color w:val="000000"/>
          <w:lang w:val="en-US"/>
        </w:rPr>
        <w:t xml:space="preserve"> </w:t>
      </w:r>
      <w:r>
        <w:rPr>
          <w:rFonts w:ascii="Times New Roman" w:eastAsia="Times New Roman" w:hAnsi="Times New Roman" w:cs="Times New Roman"/>
          <w:b/>
          <w:bCs/>
          <w:color w:val="000000"/>
          <w:lang w:val="en-US"/>
        </w:rPr>
        <w:t>108:</w:t>
      </w:r>
      <w:r>
        <w:rPr>
          <w:rFonts w:ascii="Times New Roman" w:eastAsia="Times New Roman" w:hAnsi="Times New Roman" w:cs="Times New Roman"/>
          <w:color w:val="000000"/>
          <w:lang w:val="en-US"/>
        </w:rPr>
        <w:t xml:space="preserve"> 1123-1139.</w:t>
      </w:r>
    </w:p>
    <w:p w:rsidR="00427336" w:rsidRDefault="00427336">
      <w:pPr>
        <w:spacing w:after="0" w:line="240" w:lineRule="auto"/>
        <w:ind w:left="360"/>
        <w:jc w:val="both"/>
        <w:rPr>
          <w:rFonts w:ascii="Times New Roman" w:eastAsia="Times New Roman" w:hAnsi="Times New Roman" w:cs="Times New Roman"/>
          <w:color w:val="0563C1"/>
          <w:u w:val="single"/>
          <w:lang w:val="en-US"/>
        </w:rPr>
      </w:pPr>
    </w:p>
    <w:p w:rsidR="00427336" w:rsidRDefault="000120B4">
      <w:pPr>
        <w:spacing w:after="0" w:line="240" w:lineRule="auto"/>
        <w:ind w:left="360"/>
        <w:jc w:val="both"/>
      </w:pPr>
      <w:r>
        <w:rPr>
          <w:rFonts w:ascii="Times New Roman" w:eastAsia="Times New Roman" w:hAnsi="Times New Roman" w:cs="Times New Roman"/>
          <w:color w:val="000000"/>
          <w:lang w:val="de-DE"/>
        </w:rPr>
        <w:lastRenderedPageBreak/>
        <w:t xml:space="preserve">Kozuch, A., Langen, M., von Deimling, C. &amp; Eßig, M. (2024). </w:t>
      </w:r>
      <w:r>
        <w:rPr>
          <w:rFonts w:ascii="Times New Roman" w:eastAsia="Times New Roman" w:hAnsi="Times New Roman" w:cs="Times New Roman"/>
          <w:color w:val="000000"/>
          <w:lang w:val="en-US"/>
        </w:rPr>
        <w:t xml:space="preserve">Does green procurement pay off? Assessing the practice–performance link employing meta-analysis. </w:t>
      </w:r>
      <w:r>
        <w:rPr>
          <w:rFonts w:ascii="Times New Roman" w:eastAsia="Times New Roman" w:hAnsi="Times New Roman" w:cs="Times New Roman"/>
          <w:i/>
          <w:iCs/>
          <w:color w:val="000000"/>
          <w:lang w:val="en-US"/>
        </w:rPr>
        <w:t xml:space="preserve">Journal of </w:t>
      </w:r>
      <w:r>
        <w:rPr>
          <w:rFonts w:ascii="Times New Roman" w:eastAsia="Times New Roman" w:hAnsi="Times New Roman" w:cs="Times New Roman"/>
          <w:i/>
          <w:iCs/>
          <w:color w:val="000000"/>
          <w:lang w:val="en-US"/>
        </w:rPr>
        <w:t>Cleaner Producti</w:t>
      </w:r>
      <w:r>
        <w:rPr>
          <w:rFonts w:ascii="Times New Roman" w:hAnsi="Times New Roman"/>
          <w:color w:val="000000"/>
          <w:lang w:val="en-US"/>
        </w:rPr>
        <w:t>on. 34, 1 January 2024,</w:t>
      </w:r>
      <w:r>
        <w:rPr>
          <w:rFonts w:ascii="Times New Roman" w:hAnsi="Times New Roman"/>
          <w:color w:val="2A6099"/>
          <w:lang w:val="en-US"/>
        </w:rPr>
        <w:t xml:space="preserve"> </w:t>
      </w:r>
      <w:r>
        <w:rPr>
          <w:rFonts w:ascii="Times New Roman" w:hAnsi="Times New Roman"/>
          <w:color w:val="2A6099"/>
          <w:u w:val="single"/>
          <w:lang w:val="en-US"/>
        </w:rPr>
        <w:t>https://doiorg/10.1016/j.jclepro.2023.140184</w:t>
      </w:r>
      <w:r>
        <w:rPr>
          <w:rFonts w:ascii="Times New Roman" w:hAnsi="Times New Roman"/>
          <w:color w:val="000000"/>
          <w:lang w:val="en-US"/>
        </w:rPr>
        <w:t>.</w:t>
      </w:r>
    </w:p>
    <w:p w:rsidR="00427336" w:rsidRDefault="00427336">
      <w:pPr>
        <w:spacing w:after="0" w:line="240" w:lineRule="auto"/>
        <w:ind w:left="360"/>
        <w:jc w:val="both"/>
        <w:rPr>
          <w:rFonts w:ascii="Times New Roman" w:eastAsia="Times New Roman" w:hAnsi="Times New Roman" w:cs="Times New Roman"/>
          <w:color w:val="0563C1"/>
          <w:u w:val="single"/>
          <w:lang w:val="en-US"/>
        </w:rPr>
      </w:pPr>
    </w:p>
    <w:p w:rsidR="00427336" w:rsidRDefault="000120B4">
      <w:pPr>
        <w:spacing w:after="0" w:line="240" w:lineRule="auto"/>
        <w:ind w:left="360"/>
        <w:jc w:val="both"/>
        <w:rPr>
          <w:lang w:val="en-US"/>
        </w:rPr>
      </w:pPr>
      <w:proofErr w:type="spellStart"/>
      <w:r>
        <w:rPr>
          <w:rFonts w:ascii="Times New Roman" w:eastAsia="Times New Roman" w:hAnsi="Times New Roman" w:cs="Times New Roman"/>
          <w:lang w:val="en-US"/>
        </w:rPr>
        <w:t>Kurpierz</w:t>
      </w:r>
      <w:proofErr w:type="spellEnd"/>
      <w:r>
        <w:rPr>
          <w:rFonts w:ascii="Times New Roman" w:eastAsia="Times New Roman" w:hAnsi="Times New Roman" w:cs="Times New Roman"/>
          <w:lang w:val="en-US"/>
        </w:rPr>
        <w:t xml:space="preserve">, J. R. &amp; Smith, K. (2020). The greenwashing triangle: adapting tools from fraud to improve CSR reporting. </w:t>
      </w:r>
      <w:r>
        <w:rPr>
          <w:rFonts w:ascii="Times New Roman" w:eastAsia="Times New Roman" w:hAnsi="Times New Roman" w:cs="Times New Roman"/>
          <w:i/>
          <w:iCs/>
          <w:lang w:val="en-US"/>
        </w:rPr>
        <w:t>Sustainability Accounting, Management and Policy Journ</w:t>
      </w:r>
      <w:r>
        <w:rPr>
          <w:rFonts w:ascii="Times New Roman" w:eastAsia="Times New Roman" w:hAnsi="Times New Roman" w:cs="Times New Roman"/>
          <w:i/>
          <w:iCs/>
          <w:lang w:val="en-US"/>
        </w:rPr>
        <w:t>al,</w:t>
      </w:r>
      <w:r>
        <w:rPr>
          <w:rFonts w:ascii="Times New Roman" w:eastAsia="Times New Roman" w:hAnsi="Times New Roman" w:cs="Times New Roman"/>
          <w:lang w:val="en-US"/>
        </w:rPr>
        <w:t xml:space="preserve"> </w:t>
      </w:r>
      <w:r>
        <w:rPr>
          <w:rFonts w:ascii="Times New Roman" w:eastAsia="Times New Roman" w:hAnsi="Times New Roman" w:cs="Times New Roman"/>
          <w:b/>
          <w:bCs/>
          <w:lang w:val="en-US"/>
        </w:rPr>
        <w:t>11</w:t>
      </w:r>
      <w:r>
        <w:rPr>
          <w:rFonts w:ascii="Times New Roman" w:eastAsia="Times New Roman" w:hAnsi="Times New Roman" w:cs="Times New Roman"/>
          <w:lang w:val="en-US"/>
        </w:rPr>
        <w:t xml:space="preserve">(6): 1075–1093. </w:t>
      </w:r>
      <w:hyperlink r:id="rId39">
        <w:r>
          <w:rPr>
            <w:rStyle w:val="Hyperlink"/>
            <w:rFonts w:ascii="Times New Roman" w:eastAsia="Times New Roman" w:hAnsi="Times New Roman" w:cs="Times New Roman"/>
            <w:lang w:val="en-US"/>
          </w:rPr>
          <w:t>https://doi.org/10.1108/sampj-10-2018-0272</w:t>
        </w:r>
      </w:hyperlink>
      <w:r>
        <w:rPr>
          <w:rFonts w:ascii="Times New Roman" w:eastAsia="Times New Roman" w:hAnsi="Times New Roman" w:cs="Times New Roman"/>
          <w:lang w:val="en-US"/>
        </w:rPr>
        <w:t xml:space="preserve"> </w:t>
      </w:r>
    </w:p>
    <w:p w:rsidR="00427336" w:rsidRDefault="00427336">
      <w:pPr>
        <w:spacing w:after="0" w:line="240" w:lineRule="auto"/>
        <w:ind w:left="360"/>
        <w:jc w:val="both"/>
        <w:rPr>
          <w:rFonts w:ascii="Times New Roman" w:eastAsia="Times New Roman" w:hAnsi="Times New Roman" w:cs="Times New Roman"/>
          <w:lang w:val="en-US"/>
        </w:rPr>
      </w:pPr>
    </w:p>
    <w:p w:rsidR="00427336" w:rsidRDefault="000120B4">
      <w:pPr>
        <w:spacing w:line="240" w:lineRule="auto"/>
        <w:ind w:left="360"/>
        <w:jc w:val="both"/>
        <w:rPr>
          <w:lang w:val="de-DE"/>
        </w:rPr>
      </w:pPr>
      <w:r>
        <w:rPr>
          <w:rFonts w:ascii="Times New Roman" w:eastAsia="Times New Roman" w:hAnsi="Times New Roman" w:cs="Times New Roman"/>
          <w:lang w:val="de-DE"/>
        </w:rPr>
        <w:t xml:space="preserve">Lang, C., Steinfeldt, M., Loew, T., Beucker, S., Heubach, D. &amp; Keil, M. (2004). </w:t>
      </w:r>
      <w:r>
        <w:rPr>
          <w:rFonts w:ascii="Times New Roman" w:eastAsia="Times New Roman" w:hAnsi="Times New Roman" w:cs="Times New Roman"/>
          <w:i/>
          <w:iCs/>
          <w:lang w:val="de-DE"/>
        </w:rPr>
        <w:t xml:space="preserve">Konzepte zur Einführung und Anwendung von Umweltcontrollinginstrumenten in Unternehmen : Endbericht des Forschungsprojekts INTUS. </w:t>
      </w:r>
      <w:r>
        <w:rPr>
          <w:rFonts w:ascii="Times New Roman" w:eastAsia="Times New Roman" w:hAnsi="Times New Roman" w:cs="Times New Roman"/>
          <w:lang w:val="de-DE"/>
        </w:rPr>
        <w:t>Stuttgart:</w:t>
      </w:r>
      <w:r>
        <w:rPr>
          <w:rFonts w:ascii="Times New Roman" w:eastAsia="Times New Roman" w:hAnsi="Times New Roman" w:cs="Times New Roman"/>
          <w:i/>
          <w:iCs/>
          <w:lang w:val="de-DE"/>
        </w:rPr>
        <w:t xml:space="preserve"> </w:t>
      </w:r>
      <w:r>
        <w:rPr>
          <w:rFonts w:ascii="Times New Roman" w:eastAsia="Times New Roman" w:hAnsi="Times New Roman" w:cs="Times New Roman"/>
          <w:lang w:val="de-DE"/>
        </w:rPr>
        <w:t xml:space="preserve">Universität Stuttgart. pp. 70-84. </w:t>
      </w:r>
      <w:r>
        <w:fldChar w:fldCharType="begin"/>
      </w:r>
      <w:r>
        <w:instrText xml:space="preserve"> HYPERLINK "https://publica-rest.fraunhofer.de/server/api/core/bitstreams/c0d09</w:instrText>
      </w:r>
      <w:r>
        <w:instrText xml:space="preserve">6b4-3cf5-42b2-b428-dbd5ffd39d93/content" \h </w:instrText>
      </w:r>
      <w:r>
        <w:fldChar w:fldCharType="separate"/>
      </w:r>
      <w:r>
        <w:rPr>
          <w:rStyle w:val="Hyperlink"/>
          <w:rFonts w:ascii="Times New Roman" w:eastAsia="Times New Roman" w:hAnsi="Times New Roman" w:cs="Times New Roman"/>
          <w:lang w:val="de-DE"/>
        </w:rPr>
        <w:t>https://publica-rest.fraunhofer.de/server/api/core/bitstreams/c0d096b4-3cf5-42b2-b428-dbd5ffd39d93/content</w:t>
      </w:r>
      <w:r>
        <w:rPr>
          <w:rStyle w:val="Hyperlink"/>
          <w:rFonts w:ascii="Times New Roman" w:eastAsia="Times New Roman" w:hAnsi="Times New Roman" w:cs="Times New Roman"/>
          <w:lang w:val="de-DE"/>
        </w:rPr>
        <w:fldChar w:fldCharType="end"/>
      </w:r>
      <w:r>
        <w:rPr>
          <w:rFonts w:ascii="Times New Roman" w:eastAsia="Times New Roman" w:hAnsi="Times New Roman" w:cs="Times New Roman"/>
          <w:lang w:val="de-DE"/>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Lee, K. (2011). Motivations, barriers, and incentives for adopting environmental management (cost) acco</w:t>
      </w:r>
      <w:r>
        <w:rPr>
          <w:rFonts w:ascii="Times New Roman" w:eastAsia="Times New Roman" w:hAnsi="Times New Roman" w:cs="Times New Roman"/>
          <w:lang w:val="en-US"/>
        </w:rPr>
        <w:t xml:space="preserve">unting and related guidelines: a study of the republic of Korea. </w:t>
      </w:r>
      <w:r>
        <w:rPr>
          <w:rFonts w:ascii="Times New Roman" w:eastAsia="Times New Roman" w:hAnsi="Times New Roman" w:cs="Times New Roman"/>
          <w:i/>
          <w:iCs/>
          <w:lang w:val="en-US"/>
        </w:rPr>
        <w:t>Corporate Social Responsibility and Environmental Management,</w:t>
      </w:r>
      <w:r>
        <w:rPr>
          <w:rFonts w:ascii="Times New Roman" w:eastAsia="Times New Roman" w:hAnsi="Times New Roman" w:cs="Times New Roman"/>
          <w:lang w:val="en-US"/>
        </w:rPr>
        <w:t xml:space="preserve"> 18(1):39–49. </w:t>
      </w:r>
      <w:hyperlink r:id="rId40">
        <w:r>
          <w:rPr>
            <w:rStyle w:val="Hyperlink"/>
            <w:rFonts w:ascii="Times New Roman" w:eastAsia="Times New Roman" w:hAnsi="Times New Roman" w:cs="Times New Roman"/>
            <w:lang w:val="en-US"/>
          </w:rPr>
          <w:t>https://doi.org/10.1002/csr.239</w:t>
        </w:r>
      </w:hyperlink>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Li, Y., &amp; </w:t>
      </w:r>
      <w:proofErr w:type="spellStart"/>
      <w:r>
        <w:rPr>
          <w:rFonts w:ascii="Times New Roman" w:eastAsia="Times New Roman" w:hAnsi="Times New Roman" w:cs="Times New Roman"/>
          <w:lang w:val="en-US"/>
        </w:rPr>
        <w:t>McConomy</w:t>
      </w:r>
      <w:proofErr w:type="spellEnd"/>
      <w:r>
        <w:rPr>
          <w:rFonts w:ascii="Times New Roman" w:eastAsia="Times New Roman" w:hAnsi="Times New Roman" w:cs="Times New Roman"/>
          <w:lang w:val="en-US"/>
        </w:rPr>
        <w:t>, B. J. (1999).</w:t>
      </w:r>
      <w:r>
        <w:rPr>
          <w:rFonts w:ascii="Times New Roman" w:eastAsia="Times New Roman" w:hAnsi="Times New Roman" w:cs="Times New Roman"/>
          <w:lang w:val="en-US"/>
        </w:rPr>
        <w:t xml:space="preserve"> An Empirical Examination of Factors Affecting the Timing of Environmental Accounting Standard Adoption and the Impact on Corporate Valuation.</w:t>
      </w:r>
      <w:r>
        <w:rPr>
          <w:rFonts w:ascii="Times New Roman" w:eastAsia="Times New Roman" w:hAnsi="Times New Roman" w:cs="Times New Roman"/>
          <w:i/>
          <w:iCs/>
          <w:lang w:val="en-US"/>
        </w:rPr>
        <w:t xml:space="preserve"> Journal of Accounting, Auditing &amp; Finance</w:t>
      </w:r>
      <w:r>
        <w:rPr>
          <w:rFonts w:ascii="Times New Roman" w:eastAsia="Times New Roman" w:hAnsi="Times New Roman" w:cs="Times New Roman"/>
          <w:lang w:val="en-US"/>
        </w:rPr>
        <w:t xml:space="preserve">, 14 (3):279–313. </w:t>
      </w:r>
      <w:hyperlink r:id="rId41">
        <w:r>
          <w:rPr>
            <w:rStyle w:val="Hyperlink"/>
            <w:rFonts w:ascii="Times New Roman" w:eastAsia="Times New Roman" w:hAnsi="Times New Roman" w:cs="Times New Roman"/>
            <w:lang w:val="en-US"/>
          </w:rPr>
          <w:t>https://doi.org/10.1177/0148558x9901400307</w:t>
        </w:r>
      </w:hyperlink>
      <w:r>
        <w:rPr>
          <w:rFonts w:ascii="Times New Roman" w:eastAsia="Times New Roman" w:hAnsi="Times New Roman" w:cs="Times New Roman"/>
          <w:lang w:val="en-US"/>
        </w:rPr>
        <w:t xml:space="preserve"> </w:t>
      </w:r>
    </w:p>
    <w:p w:rsidR="00427336" w:rsidRDefault="000120B4">
      <w:pPr>
        <w:spacing w:before="80" w:after="80" w:line="240" w:lineRule="auto"/>
        <w:ind w:left="357"/>
        <w:jc w:val="both"/>
      </w:pPr>
      <w:proofErr w:type="spellStart"/>
      <w:r>
        <w:rPr>
          <w:rFonts w:ascii="Times New Roman" w:eastAsia="Times New Roman" w:hAnsi="Times New Roman" w:cs="Times New Roman"/>
          <w:color w:val="000000"/>
          <w:lang w:val="en-US"/>
        </w:rPr>
        <w:t>Lindgreen</w:t>
      </w:r>
      <w:proofErr w:type="spellEnd"/>
      <w:r>
        <w:rPr>
          <w:rFonts w:ascii="Times New Roman" w:eastAsia="Times New Roman" w:hAnsi="Times New Roman" w:cs="Times New Roman"/>
          <w:color w:val="000000"/>
          <w:lang w:val="en-US"/>
        </w:rPr>
        <w:t xml:space="preserve">, E.R. &amp; Vermeulen, W.J.V. (2023), In search for ground rules for product-oriented full cost accounting methods: Ensuring construct validity. </w:t>
      </w:r>
      <w:r>
        <w:rPr>
          <w:rFonts w:ascii="Times New Roman" w:eastAsia="Times New Roman" w:hAnsi="Times New Roman" w:cs="Times New Roman"/>
          <w:i/>
          <w:iCs/>
          <w:color w:val="000000"/>
          <w:lang w:val="en-US"/>
        </w:rPr>
        <w:t>Environmental and Sustainability Indicators,</w:t>
      </w:r>
      <w:r>
        <w:rPr>
          <w:rFonts w:ascii="Times New Roman" w:eastAsia="Times New Roman" w:hAnsi="Times New Roman" w:cs="Times New Roman"/>
          <w:color w:val="000000"/>
          <w:lang w:val="en-US"/>
        </w:rPr>
        <w:t xml:space="preserve"> 19, </w:t>
      </w:r>
      <w:hyperlink r:id="rId42">
        <w:r>
          <w:rPr>
            <w:rFonts w:ascii="Times New Roman" w:eastAsia="Times New Roman" w:hAnsi="Times New Roman" w:cs="Times New Roman"/>
            <w:color w:val="0563C1"/>
            <w:u w:val="single"/>
            <w:lang w:val="en-US"/>
          </w:rPr>
          <w:t>https://doi.org/10.1016/j.indic.2023.100275</w:t>
        </w:r>
      </w:hyperlink>
    </w:p>
    <w:p w:rsidR="00427336" w:rsidRDefault="000120B4">
      <w:pPr>
        <w:spacing w:after="0" w:line="240" w:lineRule="auto"/>
        <w:ind w:left="360"/>
        <w:jc w:val="both"/>
        <w:rPr>
          <w:lang w:val="en-US"/>
        </w:rPr>
      </w:pPr>
      <w:r>
        <w:rPr>
          <w:rFonts w:ascii="Times New Roman" w:eastAsia="Times New Roman" w:hAnsi="Times New Roman" w:cs="Times New Roman"/>
          <w:lang w:val="en-US"/>
        </w:rPr>
        <w:t xml:space="preserve">Lusher, A.L., &amp; Way, M. (2012). What is the Accounting Profession's Role in Accountability of Economic, Social, and Environmental Issues? </w:t>
      </w:r>
      <w:r>
        <w:rPr>
          <w:rFonts w:ascii="Times New Roman" w:eastAsia="Times New Roman" w:hAnsi="Times New Roman" w:cs="Times New Roman"/>
          <w:i/>
          <w:iCs/>
          <w:lang w:val="en-US"/>
        </w:rPr>
        <w:t>International</w:t>
      </w:r>
      <w:r>
        <w:rPr>
          <w:rFonts w:ascii="Times New Roman" w:eastAsia="Times New Roman" w:hAnsi="Times New Roman" w:cs="Times New Roman"/>
          <w:i/>
          <w:iCs/>
          <w:lang w:val="en-US"/>
        </w:rPr>
        <w:t xml:space="preserve"> Journal of Business and Social Science</w:t>
      </w:r>
      <w:r>
        <w:rPr>
          <w:rFonts w:ascii="Times New Roman" w:eastAsia="Times New Roman" w:hAnsi="Times New Roman" w:cs="Times New Roman"/>
          <w:lang w:val="en-US"/>
        </w:rPr>
        <w:t>. 3 (15): 13-19</w:t>
      </w:r>
    </w:p>
    <w:p w:rsidR="00427336" w:rsidRDefault="000120B4">
      <w:pPr>
        <w:spacing w:after="0" w:line="240" w:lineRule="auto"/>
        <w:ind w:left="360"/>
        <w:jc w:val="both"/>
        <w:rPr>
          <w:lang w:val="en-US"/>
        </w:rPr>
      </w:pPr>
      <w:hyperlink r:id="rId43">
        <w:r>
          <w:rPr>
            <w:rStyle w:val="Hyperlink"/>
            <w:rFonts w:ascii="Times New Roman" w:eastAsia="Times New Roman" w:hAnsi="Times New Roman" w:cs="Times New Roman"/>
            <w:lang w:val="en-US"/>
          </w:rPr>
          <w:t>https://api.semanticscholar.org/CorpusID:155631804</w:t>
        </w:r>
      </w:hyperlink>
    </w:p>
    <w:p w:rsidR="00427336" w:rsidRDefault="00427336">
      <w:pPr>
        <w:spacing w:after="0" w:line="240" w:lineRule="auto"/>
        <w:ind w:left="360"/>
        <w:jc w:val="both"/>
        <w:rPr>
          <w:lang w:val="en-US"/>
        </w:rPr>
      </w:pPr>
    </w:p>
    <w:p w:rsidR="00427336" w:rsidRDefault="000120B4">
      <w:pPr>
        <w:spacing w:line="240" w:lineRule="auto"/>
        <w:ind w:left="360"/>
        <w:jc w:val="both"/>
        <w:rPr>
          <w:lang w:val="en-US"/>
        </w:rPr>
      </w:pPr>
      <w:r>
        <w:rPr>
          <w:rFonts w:ascii="Times New Roman" w:eastAsia="Times New Roman" w:hAnsi="Times New Roman" w:cs="Times New Roman"/>
          <w:color w:val="000000"/>
          <w:lang w:val="en-US"/>
        </w:rPr>
        <w:t xml:space="preserve">Makris, S., </w:t>
      </w:r>
      <w:proofErr w:type="spellStart"/>
      <w:r>
        <w:rPr>
          <w:rFonts w:ascii="Times New Roman" w:eastAsia="Times New Roman" w:hAnsi="Times New Roman" w:cs="Times New Roman"/>
          <w:color w:val="000000"/>
          <w:lang w:val="en-US"/>
        </w:rPr>
        <w:t>Michalos</w:t>
      </w:r>
      <w:proofErr w:type="spellEnd"/>
      <w:r>
        <w:rPr>
          <w:rFonts w:ascii="Times New Roman" w:eastAsia="Times New Roman" w:hAnsi="Times New Roman" w:cs="Times New Roman"/>
          <w:color w:val="000000"/>
          <w:lang w:val="en-US"/>
        </w:rPr>
        <w:t xml:space="preserve">, G. &amp; </w:t>
      </w:r>
      <w:proofErr w:type="spellStart"/>
      <w:r>
        <w:rPr>
          <w:rFonts w:ascii="Times New Roman" w:eastAsia="Times New Roman" w:hAnsi="Times New Roman" w:cs="Times New Roman"/>
          <w:color w:val="000000"/>
          <w:lang w:val="en-US"/>
        </w:rPr>
        <w:t>Chryssolouris</w:t>
      </w:r>
      <w:proofErr w:type="spellEnd"/>
      <w:r>
        <w:rPr>
          <w:rFonts w:ascii="Times New Roman" w:eastAsia="Times New Roman" w:hAnsi="Times New Roman" w:cs="Times New Roman"/>
          <w:color w:val="000000"/>
          <w:lang w:val="en-US"/>
        </w:rPr>
        <w:t xml:space="preserve">, G. (2014). Cost. in: </w:t>
      </w:r>
      <w:proofErr w:type="spellStart"/>
      <w:r>
        <w:rPr>
          <w:rFonts w:ascii="Times New Roman" w:eastAsia="Times New Roman" w:hAnsi="Times New Roman" w:cs="Times New Roman"/>
          <w:color w:val="000000"/>
          <w:lang w:val="en-US"/>
        </w:rPr>
        <w:t>Laperrière</w:t>
      </w:r>
      <w:proofErr w:type="spellEnd"/>
      <w:r>
        <w:rPr>
          <w:rFonts w:ascii="Times New Roman" w:eastAsia="Times New Roman" w:hAnsi="Times New Roman" w:cs="Times New Roman"/>
          <w:color w:val="000000"/>
          <w:lang w:val="en-US"/>
        </w:rPr>
        <w:t xml:space="preserve">, L.  &amp; Reinhart, G. (eds) </w:t>
      </w:r>
      <w:r>
        <w:rPr>
          <w:rFonts w:ascii="Times New Roman" w:eastAsia="Times New Roman" w:hAnsi="Times New Roman" w:cs="Times New Roman"/>
          <w:i/>
          <w:iCs/>
          <w:color w:val="000000"/>
          <w:lang w:val="en-US"/>
        </w:rPr>
        <w:t>CIRP Encyclopedia of Production Engineering</w:t>
      </w:r>
      <w:r>
        <w:rPr>
          <w:rFonts w:ascii="Times New Roman" w:eastAsia="Times New Roman" w:hAnsi="Times New Roman" w:cs="Times New Roman"/>
          <w:color w:val="000000"/>
          <w:lang w:val="en-US"/>
        </w:rPr>
        <w:t xml:space="preserve">. Springer, Berlin, Heidelberg. pp. 289-294 </w:t>
      </w:r>
      <w:hyperlink r:id="rId44">
        <w:r>
          <w:rPr>
            <w:rFonts w:ascii="Times New Roman" w:eastAsia="Times New Roman" w:hAnsi="Times New Roman" w:cs="Times New Roman"/>
            <w:color w:val="0563C1"/>
            <w:u w:val="single"/>
            <w:lang w:val="en-US"/>
          </w:rPr>
          <w:t>htt</w:t>
        </w:r>
        <w:r>
          <w:rPr>
            <w:rFonts w:ascii="Times New Roman" w:eastAsia="Times New Roman" w:hAnsi="Times New Roman" w:cs="Times New Roman"/>
            <w:color w:val="0563C1"/>
            <w:u w:val="single"/>
            <w:lang w:val="en-US"/>
          </w:rPr>
          <w:t>ps://doi.org/10.1007/978-3-642-20617-7_6552</w:t>
        </w:r>
      </w:hyperlink>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Marota</w:t>
      </w:r>
      <w:proofErr w:type="spellEnd"/>
      <w:r>
        <w:rPr>
          <w:rFonts w:ascii="Times New Roman" w:eastAsia="Times New Roman" w:hAnsi="Times New Roman" w:cs="Times New Roman"/>
          <w:lang w:val="en-US"/>
        </w:rPr>
        <w:t xml:space="preserve">, R. (2024). Uncovering the potential of sustainability: opportunities and challenges in applying Green Accounting for natural environmental sustainability in companies, </w:t>
      </w:r>
      <w:r>
        <w:rPr>
          <w:rFonts w:ascii="Times New Roman" w:eastAsia="Times New Roman" w:hAnsi="Times New Roman" w:cs="Times New Roman"/>
          <w:i/>
          <w:iCs/>
          <w:lang w:val="en-US"/>
        </w:rPr>
        <w:t>Journal of Sustainability Science an</w:t>
      </w:r>
      <w:r>
        <w:rPr>
          <w:rFonts w:ascii="Times New Roman" w:eastAsia="Times New Roman" w:hAnsi="Times New Roman" w:cs="Times New Roman"/>
          <w:i/>
          <w:iCs/>
          <w:lang w:val="en-US"/>
        </w:rPr>
        <w:t xml:space="preserve">d Management, </w:t>
      </w:r>
      <w:r>
        <w:rPr>
          <w:rFonts w:ascii="Times New Roman" w:eastAsia="Times New Roman" w:hAnsi="Times New Roman" w:cs="Times New Roman"/>
          <w:lang w:val="en-US"/>
        </w:rPr>
        <w:t xml:space="preserve">19 (8): 89-102. </w:t>
      </w:r>
      <w:hyperlink r:id="rId45">
        <w:r>
          <w:rPr>
            <w:rStyle w:val="Hyperlink"/>
            <w:rFonts w:ascii="Times New Roman" w:eastAsia="Times New Roman" w:hAnsi="Times New Roman" w:cs="Times New Roman"/>
            <w:lang w:val="en-US"/>
          </w:rPr>
          <w:t>https://jssm.umt.edu.my/wp-content/uploads/2024/11/7-JSSM-Volume-19-Number-8-August-2024-FINAL.pdf</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McNally,</w:t>
      </w:r>
      <w:r>
        <w:rPr>
          <w:rFonts w:ascii="Times New Roman" w:eastAsia="Times New Roman" w:hAnsi="Times New Roman" w:cs="Times New Roman"/>
          <w:lang w:val="en-US"/>
        </w:rPr>
        <w:t xml:space="preserve"> J. (2015). Incorporating Voluntary Standards into National Law: An Overview of the Scandinavian Experience.</w:t>
      </w:r>
      <w:r>
        <w:rPr>
          <w:rFonts w:ascii="Times New Roman" w:eastAsia="Times New Roman" w:hAnsi="Times New Roman" w:cs="Times New Roman"/>
          <w:i/>
          <w:iCs/>
          <w:lang w:val="en-US"/>
        </w:rPr>
        <w:t xml:space="preserve"> i</w:t>
      </w:r>
      <w:r>
        <w:rPr>
          <w:rFonts w:ascii="Times New Roman" w:eastAsia="Times New Roman" w:hAnsi="Times New Roman" w:cs="Times New Roman"/>
          <w:lang w:val="en-US"/>
        </w:rPr>
        <w:t xml:space="preserve">n </w:t>
      </w:r>
      <w:r>
        <w:rPr>
          <w:rFonts w:ascii="Times New Roman" w:eastAsia="Times New Roman" w:hAnsi="Times New Roman" w:cs="Times New Roman"/>
          <w:i/>
          <w:iCs/>
          <w:lang w:val="en-US"/>
        </w:rPr>
        <w:t>Advances in Sustainability and Environmental Justice.</w:t>
      </w:r>
      <w:r>
        <w:rPr>
          <w:rFonts w:ascii="Times New Roman" w:eastAsia="Times New Roman" w:hAnsi="Times New Roman" w:cs="Times New Roman"/>
          <w:lang w:val="en-US"/>
        </w:rPr>
        <w:t xml:space="preserve"> Emerald Group Publishing Limited. pp. 67–91. </w:t>
      </w:r>
      <w:hyperlink r:id="rId46">
        <w:r>
          <w:rPr>
            <w:rStyle w:val="Hyperlink"/>
            <w:rFonts w:ascii="Times New Roman" w:eastAsia="Times New Roman" w:hAnsi="Times New Roman" w:cs="Times New Roman"/>
            <w:lang w:val="en-US"/>
          </w:rPr>
          <w:t>https://doi.org/10.1108/s2051-503020150000017011</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Mia, P., Rana, T., &amp; Ferdous, L. T. (2021). Government Reform, Regulatory Change and Carbon Disclosure: Evidence from Australia</w:t>
      </w:r>
      <w:r>
        <w:rPr>
          <w:rFonts w:ascii="Times New Roman" w:eastAsia="Times New Roman" w:hAnsi="Times New Roman" w:cs="Times New Roman"/>
          <w:i/>
          <w:iCs/>
          <w:lang w:val="en-US"/>
        </w:rPr>
        <w:t>.</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Sustainability,</w:t>
      </w:r>
      <w:r>
        <w:rPr>
          <w:rFonts w:ascii="Times New Roman" w:eastAsia="Times New Roman" w:hAnsi="Times New Roman" w:cs="Times New Roman"/>
          <w:lang w:val="en-US"/>
        </w:rPr>
        <w:t xml:space="preserve"> 13 (23), 13282. </w:t>
      </w:r>
      <w:hyperlink r:id="rId47">
        <w:r>
          <w:rPr>
            <w:rStyle w:val="Hyperlink"/>
            <w:rFonts w:ascii="Times New Roman" w:eastAsia="Times New Roman" w:hAnsi="Times New Roman" w:cs="Times New Roman"/>
            <w:lang w:val="en-US"/>
          </w:rPr>
          <w:t>https://doi.org/10.3390/su132313282</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Michalke</w:t>
      </w:r>
      <w:proofErr w:type="spellEnd"/>
      <w:r>
        <w:rPr>
          <w:rFonts w:ascii="Times New Roman" w:eastAsia="Times New Roman" w:hAnsi="Times New Roman" w:cs="Times New Roman"/>
          <w:lang w:val="en-US"/>
        </w:rPr>
        <w:t xml:space="preserve">, A., Stein, L., </w:t>
      </w:r>
      <w:proofErr w:type="spellStart"/>
      <w:r>
        <w:rPr>
          <w:rFonts w:ascii="Times New Roman" w:eastAsia="Times New Roman" w:hAnsi="Times New Roman" w:cs="Times New Roman"/>
          <w:lang w:val="en-US"/>
        </w:rPr>
        <w:t>Fichtner</w:t>
      </w:r>
      <w:proofErr w:type="spellEnd"/>
      <w:r>
        <w:rPr>
          <w:rFonts w:ascii="Times New Roman" w:eastAsia="Times New Roman" w:hAnsi="Times New Roman" w:cs="Times New Roman"/>
          <w:lang w:val="en-US"/>
        </w:rPr>
        <w:t xml:space="preserve">, R., </w:t>
      </w:r>
      <w:proofErr w:type="spellStart"/>
      <w:r>
        <w:rPr>
          <w:rFonts w:ascii="Times New Roman" w:eastAsia="Times New Roman" w:hAnsi="Times New Roman" w:cs="Times New Roman"/>
          <w:lang w:val="en-US"/>
        </w:rPr>
        <w:t>Gaugler</w:t>
      </w:r>
      <w:proofErr w:type="spellEnd"/>
      <w:r>
        <w:rPr>
          <w:rFonts w:ascii="Times New Roman" w:eastAsia="Times New Roman" w:hAnsi="Times New Roman" w:cs="Times New Roman"/>
          <w:lang w:val="en-US"/>
        </w:rPr>
        <w:t>, T. &amp; Stoll-</w:t>
      </w:r>
      <w:proofErr w:type="spellStart"/>
      <w:r>
        <w:rPr>
          <w:rFonts w:ascii="Times New Roman" w:eastAsia="Times New Roman" w:hAnsi="Times New Roman" w:cs="Times New Roman"/>
          <w:lang w:val="en-US"/>
        </w:rPr>
        <w:t>Kleemann</w:t>
      </w:r>
      <w:proofErr w:type="spellEnd"/>
      <w:r>
        <w:rPr>
          <w:rFonts w:ascii="Times New Roman" w:eastAsia="Times New Roman" w:hAnsi="Times New Roman" w:cs="Times New Roman"/>
          <w:lang w:val="en-US"/>
        </w:rPr>
        <w:t xml:space="preserve">, S. (2022), True cost accounting in agri-food networks: a German case study on informational campaigning </w:t>
      </w:r>
      <w:r>
        <w:rPr>
          <w:rFonts w:ascii="Times New Roman" w:eastAsia="Times New Roman" w:hAnsi="Times New Roman" w:cs="Times New Roman"/>
          <w:lang w:val="en-US"/>
        </w:rPr>
        <w:lastRenderedPageBreak/>
        <w:t>and responsib</w:t>
      </w:r>
      <w:r>
        <w:rPr>
          <w:rFonts w:ascii="Times New Roman" w:eastAsia="Times New Roman" w:hAnsi="Times New Roman" w:cs="Times New Roman"/>
          <w:lang w:val="en-US"/>
        </w:rPr>
        <w:t>le implementation.</w:t>
      </w:r>
      <w:r>
        <w:rPr>
          <w:rFonts w:ascii="Times New Roman" w:eastAsia="Times New Roman" w:hAnsi="Times New Roman" w:cs="Times New Roman"/>
          <w:i/>
          <w:iCs/>
          <w:lang w:val="en-US"/>
        </w:rPr>
        <w:t xml:space="preserve"> Sustainability Science,</w:t>
      </w:r>
      <w:r>
        <w:rPr>
          <w:rFonts w:ascii="Times New Roman" w:eastAsia="Times New Roman" w:hAnsi="Times New Roman" w:cs="Times New Roman"/>
          <w:lang w:val="en-US"/>
        </w:rPr>
        <w:t xml:space="preserve"> 17(6): 2269–2285. </w:t>
      </w:r>
      <w:hyperlink r:id="rId48">
        <w:r>
          <w:rPr>
            <w:rStyle w:val="Hyperlink"/>
            <w:rFonts w:ascii="Times New Roman" w:eastAsia="Times New Roman" w:hAnsi="Times New Roman" w:cs="Times New Roman"/>
            <w:lang w:val="en-US"/>
          </w:rPr>
          <w:t>https://doi.org/10.1007/s11625-022-01105-2</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Novotna, E. (2024), Definition: What is a cost object? </w:t>
      </w:r>
      <w:proofErr w:type="spellStart"/>
      <w:r>
        <w:rPr>
          <w:rFonts w:ascii="Times New Roman" w:eastAsia="Times New Roman" w:hAnsi="Times New Roman" w:cs="Times New Roman"/>
          <w:i/>
          <w:iCs/>
          <w:lang w:val="en-US"/>
        </w:rPr>
        <w:t>FinanceTuts</w:t>
      </w:r>
      <w:proofErr w:type="spellEnd"/>
      <w:r>
        <w:rPr>
          <w:rFonts w:ascii="Times New Roman" w:eastAsia="Times New Roman" w:hAnsi="Times New Roman" w:cs="Times New Roman"/>
          <w:i/>
          <w:iCs/>
          <w:lang w:val="en-US"/>
        </w:rPr>
        <w:t>.</w:t>
      </w:r>
      <w:r>
        <w:rPr>
          <w:rFonts w:ascii="Times New Roman" w:eastAsia="Times New Roman" w:hAnsi="Times New Roman" w:cs="Times New Roman"/>
          <w:lang w:val="en-US"/>
        </w:rPr>
        <w:t xml:space="preserve"> Available: </w:t>
      </w:r>
      <w:hyperlink r:id="rId49">
        <w:r>
          <w:rPr>
            <w:rStyle w:val="Hyperlink"/>
            <w:rFonts w:ascii="Times New Roman" w:eastAsia="Times New Roman" w:hAnsi="Times New Roman" w:cs="Times New Roman"/>
            <w:lang w:val="en-US"/>
          </w:rPr>
          <w:t>https://www.financetuts.com/cost-object/</w:t>
        </w:r>
      </w:hyperlink>
      <w:r>
        <w:rPr>
          <w:rFonts w:ascii="Times New Roman" w:eastAsia="Times New Roman" w:hAnsi="Times New Roman" w:cs="Times New Roman"/>
          <w:lang w:val="en-US"/>
        </w:rPr>
        <w:t xml:space="preserve"> Downloaded: 08.11.2024</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Nyquist, S. (2003), The legislation of environmental disclosures in three Nordic countries: a comparison. </w:t>
      </w:r>
      <w:r>
        <w:rPr>
          <w:rFonts w:ascii="Times New Roman" w:eastAsia="Times New Roman" w:hAnsi="Times New Roman" w:cs="Times New Roman"/>
          <w:i/>
          <w:iCs/>
          <w:lang w:val="en-US"/>
        </w:rPr>
        <w:t>Business Strategy and the En</w:t>
      </w:r>
      <w:r>
        <w:rPr>
          <w:rFonts w:ascii="Times New Roman" w:eastAsia="Times New Roman" w:hAnsi="Times New Roman" w:cs="Times New Roman"/>
          <w:i/>
          <w:iCs/>
          <w:lang w:val="en-US"/>
        </w:rPr>
        <w:t>vironment,</w:t>
      </w:r>
      <w:r>
        <w:rPr>
          <w:rFonts w:ascii="Times New Roman" w:eastAsia="Times New Roman" w:hAnsi="Times New Roman" w:cs="Times New Roman"/>
          <w:lang w:val="en-US"/>
        </w:rPr>
        <w:t xml:space="preserve"> 12(1): 12–25. </w:t>
      </w:r>
      <w:hyperlink r:id="rId50">
        <w:r>
          <w:rPr>
            <w:rStyle w:val="Hyperlink"/>
            <w:rFonts w:ascii="Times New Roman" w:eastAsia="Times New Roman" w:hAnsi="Times New Roman" w:cs="Times New Roman"/>
            <w:lang w:val="en-US"/>
          </w:rPr>
          <w:t>https://doi.org/10.1002/bse.344</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Occhipinti</w:t>
      </w:r>
      <w:proofErr w:type="spellEnd"/>
      <w:r>
        <w:rPr>
          <w:rFonts w:ascii="Times New Roman" w:eastAsia="Times New Roman" w:hAnsi="Times New Roman" w:cs="Times New Roman"/>
          <w:lang w:val="en-US"/>
        </w:rPr>
        <w:t xml:space="preserve">, Z. (2023). Environmental and Accounting Regulation: Lessons from The EU ETS. </w:t>
      </w:r>
      <w:r>
        <w:rPr>
          <w:rFonts w:ascii="Times New Roman" w:eastAsia="Times New Roman" w:hAnsi="Times New Roman" w:cs="Times New Roman"/>
          <w:i/>
          <w:iCs/>
          <w:lang w:val="en-US"/>
        </w:rPr>
        <w:t xml:space="preserve">International Journal of Academic Research in Accounting, </w:t>
      </w:r>
      <w:r>
        <w:rPr>
          <w:rFonts w:ascii="Times New Roman" w:eastAsia="Times New Roman" w:hAnsi="Times New Roman" w:cs="Times New Roman"/>
          <w:i/>
          <w:iCs/>
          <w:lang w:val="en-US"/>
        </w:rPr>
        <w:t xml:space="preserve">Finance and Management Sciences, </w:t>
      </w:r>
      <w:r>
        <w:rPr>
          <w:rFonts w:ascii="Times New Roman" w:eastAsia="Times New Roman" w:hAnsi="Times New Roman" w:cs="Times New Roman"/>
          <w:lang w:val="en-US"/>
        </w:rPr>
        <w:t xml:space="preserve">13(2). </w:t>
      </w:r>
      <w:hyperlink r:id="rId51">
        <w:r>
          <w:rPr>
            <w:rStyle w:val="Hyperlink"/>
            <w:rFonts w:ascii="Times New Roman" w:eastAsia="Times New Roman" w:hAnsi="Times New Roman" w:cs="Times New Roman"/>
            <w:lang w:val="en-US"/>
          </w:rPr>
          <w:t>https://doi.org/10.6007/ijarafms/v13-i2/16597</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OECD (2016). </w:t>
      </w:r>
      <w:r>
        <w:rPr>
          <w:rFonts w:ascii="Times New Roman" w:eastAsia="Times New Roman" w:hAnsi="Times New Roman" w:cs="Times New Roman"/>
          <w:i/>
          <w:iCs/>
          <w:lang w:val="en-US"/>
        </w:rPr>
        <w:t xml:space="preserve">Extended producer responsibility and economic instruments. Policy sub-issue. </w:t>
      </w:r>
      <w:r>
        <w:rPr>
          <w:rFonts w:ascii="Times New Roman" w:eastAsia="Times New Roman" w:hAnsi="Times New Roman" w:cs="Times New Roman"/>
          <w:lang w:val="en-US"/>
        </w:rPr>
        <w:t xml:space="preserve">Available: </w:t>
      </w:r>
      <w:hyperlink r:id="rId52">
        <w:r>
          <w:rPr>
            <w:rStyle w:val="Hyperlink"/>
            <w:rFonts w:ascii="Times New Roman" w:eastAsia="Times New Roman" w:hAnsi="Times New Roman" w:cs="Times New Roman"/>
            <w:lang w:val="en-US"/>
          </w:rPr>
          <w:t>https://www.oecd.org/en/topics/extended-producer-responsibility-and-economic-instruments.html</w:t>
        </w:r>
      </w:hyperlink>
      <w:r>
        <w:rPr>
          <w:rFonts w:ascii="Times New Roman" w:eastAsia="Times New Roman" w:hAnsi="Times New Roman" w:cs="Times New Roman"/>
          <w:lang w:val="en-US"/>
        </w:rPr>
        <w:t xml:space="preserve"> Downloaded: 09.11.2024</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Olajide, B., </w:t>
      </w:r>
      <w:proofErr w:type="spellStart"/>
      <w:proofErr w:type="gramStart"/>
      <w:r>
        <w:rPr>
          <w:rFonts w:ascii="Times New Roman" w:eastAsia="Times New Roman" w:hAnsi="Times New Roman" w:cs="Times New Roman"/>
          <w:lang w:val="en-US"/>
        </w:rPr>
        <w:t>Lizam,M</w:t>
      </w:r>
      <w:proofErr w:type="spellEnd"/>
      <w:r>
        <w:rPr>
          <w:rFonts w:ascii="Times New Roman" w:eastAsia="Times New Roman" w:hAnsi="Times New Roman" w:cs="Times New Roman"/>
          <w:lang w:val="en-US"/>
        </w:rPr>
        <w:t>.</w:t>
      </w:r>
      <w:proofErr w:type="gramEnd"/>
      <w:r>
        <w:rPr>
          <w:rFonts w:ascii="Times New Roman" w:eastAsia="Times New Roman" w:hAnsi="Times New Roman" w:cs="Times New Roman"/>
          <w:lang w:val="en-US"/>
        </w:rPr>
        <w:t>, Esther</w:t>
      </w:r>
      <w:r>
        <w:rPr>
          <w:rFonts w:ascii="Times New Roman" w:eastAsia="Times New Roman" w:hAnsi="Times New Roman" w:cs="Times New Roman"/>
          <w:lang w:val="en-US"/>
        </w:rPr>
        <w:t xml:space="preserve">, O. &amp; Onn, H. (2016). Understanding </w:t>
      </w:r>
      <w:proofErr w:type="gramStart"/>
      <w:r>
        <w:rPr>
          <w:rFonts w:ascii="Times New Roman" w:eastAsia="Times New Roman" w:hAnsi="Times New Roman" w:cs="Times New Roman"/>
          <w:lang w:val="en-US"/>
        </w:rPr>
        <w:t>The</w:t>
      </w:r>
      <w:proofErr w:type="gramEnd"/>
      <w:r>
        <w:rPr>
          <w:rFonts w:ascii="Times New Roman" w:eastAsia="Times New Roman" w:hAnsi="Times New Roman" w:cs="Times New Roman"/>
          <w:lang w:val="en-US"/>
        </w:rPr>
        <w:t xml:space="preserve"> Conceptual Definitions of Cost, Price, Worth and Value. </w:t>
      </w:r>
      <w:r>
        <w:rPr>
          <w:rFonts w:ascii="Times New Roman" w:eastAsia="Times New Roman" w:hAnsi="Times New Roman" w:cs="Times New Roman"/>
          <w:i/>
          <w:iCs/>
          <w:lang w:val="en-US"/>
        </w:rPr>
        <w:t xml:space="preserve">Journal of Humanities Social </w:t>
      </w:r>
      <w:proofErr w:type="gramStart"/>
      <w:r>
        <w:rPr>
          <w:rFonts w:ascii="Times New Roman" w:eastAsia="Times New Roman" w:hAnsi="Times New Roman" w:cs="Times New Roman"/>
          <w:i/>
          <w:iCs/>
          <w:lang w:val="en-US"/>
        </w:rPr>
        <w:t>Science</w:t>
      </w:r>
      <w:r>
        <w:rPr>
          <w:rFonts w:ascii="Times New Roman" w:eastAsia="Times New Roman" w:hAnsi="Times New Roman" w:cs="Times New Roman"/>
          <w:lang w:val="en-US"/>
        </w:rPr>
        <w:t xml:space="preserve"> .</w:t>
      </w:r>
      <w:proofErr w:type="gramEnd"/>
      <w:r>
        <w:rPr>
          <w:rFonts w:ascii="Times New Roman" w:eastAsia="Times New Roman" w:hAnsi="Times New Roman" w:cs="Times New Roman"/>
          <w:lang w:val="en-US"/>
        </w:rPr>
        <w:t xml:space="preserve"> pp. 53-57. </w:t>
      </w:r>
      <w:hyperlink r:id="rId53">
        <w:r>
          <w:rPr>
            <w:rFonts w:ascii="Times New Roman" w:eastAsia="Times New Roman" w:hAnsi="Times New Roman" w:cs="Times New Roman"/>
            <w:color w:val="0563C1"/>
            <w:u w:val="single"/>
            <w:lang w:val="en-US"/>
          </w:rPr>
          <w:t>https://www.researchgate.net/publication/307855722_Understanding_The_Conceptual_Definitions_of_Cost_Price_Worth_and_Value</w:t>
        </w:r>
      </w:hyperlink>
    </w:p>
    <w:p w:rsidR="00427336" w:rsidRDefault="000120B4">
      <w:pPr>
        <w:spacing w:after="0" w:line="240" w:lineRule="auto"/>
        <w:ind w:left="360"/>
        <w:jc w:val="both"/>
        <w:rPr>
          <w:lang w:val="en-US"/>
        </w:rPr>
      </w:pPr>
      <w:r>
        <w:rPr>
          <w:rFonts w:ascii="Times New Roman" w:eastAsia="Times New Roman" w:hAnsi="Times New Roman" w:cs="Times New Roman"/>
          <w:lang w:val="en-US"/>
        </w:rPr>
        <w:t>Oxford Advanced Learner's Dictionary (2024). Downloaded:01.09.2024</w:t>
      </w:r>
    </w:p>
    <w:p w:rsidR="00427336" w:rsidRDefault="000120B4">
      <w:pPr>
        <w:spacing w:line="240" w:lineRule="auto"/>
        <w:ind w:left="360"/>
        <w:jc w:val="both"/>
        <w:rPr>
          <w:lang w:val="en-US"/>
        </w:rPr>
      </w:pPr>
      <w:hyperlink r:id="rId54">
        <w:r>
          <w:rPr>
            <w:rStyle w:val="Hyperlink"/>
            <w:rFonts w:ascii="Times New Roman" w:eastAsia="Times New Roman" w:hAnsi="Times New Roman" w:cs="Times New Roman"/>
            <w:color w:val="0563C1"/>
            <w:lang w:val="en-US"/>
          </w:rPr>
          <w:t>https://www.oxfordlearnersdictionaries.com/definition/english/cost_1</w:t>
        </w:r>
      </w:hyperlink>
      <w:r>
        <w:rPr>
          <w:rFonts w:ascii="Times New Roman" w:eastAsia="Times New Roman" w:hAnsi="Times New Roman" w:cs="Times New Roman"/>
          <w:color w:val="0563C1"/>
          <w:u w:val="single"/>
          <w:lang w:val="en-US"/>
        </w:rPr>
        <w:t xml:space="preserve"> </w:t>
      </w:r>
      <w:r>
        <w:rPr>
          <w:rFonts w:ascii="Times New Roman" w:eastAsia="Times New Roman" w:hAnsi="Times New Roman" w:cs="Times New Roman"/>
          <w:lang w:val="en-US"/>
        </w:rPr>
        <w:t xml:space="preserve"> Downloaded: 01.09.2024</w:t>
      </w:r>
    </w:p>
    <w:p w:rsidR="00427336" w:rsidRDefault="000120B4">
      <w:pPr>
        <w:spacing w:after="0" w:line="240" w:lineRule="auto"/>
        <w:ind w:left="360"/>
        <w:jc w:val="both"/>
        <w:rPr>
          <w:lang w:val="en-US"/>
        </w:rPr>
      </w:pPr>
      <w:r>
        <w:rPr>
          <w:rFonts w:ascii="Times New Roman" w:eastAsia="Times New Roman" w:hAnsi="Times New Roman" w:cs="Times New Roman"/>
          <w:lang w:val="en-US"/>
        </w:rPr>
        <w:t>Oxford Reference (2024). Available:</w:t>
      </w:r>
    </w:p>
    <w:p w:rsidR="00427336" w:rsidRDefault="000120B4">
      <w:pPr>
        <w:spacing w:after="0" w:line="240" w:lineRule="auto"/>
        <w:ind w:left="360"/>
        <w:jc w:val="both"/>
        <w:rPr>
          <w:lang w:val="en-US"/>
        </w:rPr>
      </w:pPr>
      <w:hyperlink r:id="rId55">
        <w:r>
          <w:rPr>
            <w:rFonts w:ascii="Times New Roman" w:eastAsia="Times New Roman" w:hAnsi="Times New Roman" w:cs="Times New Roman"/>
            <w:color w:val="0563C1"/>
            <w:u w:val="single"/>
            <w:lang w:val="en-US"/>
          </w:rPr>
          <w:t>https://www.oxfordreference.com/display/10.1093/oi/authority.20110803095753535</w:t>
        </w:r>
      </w:hyperlink>
      <w:r>
        <w:rPr>
          <w:rFonts w:ascii="Times New Roman" w:eastAsia="Times New Roman" w:hAnsi="Times New Roman" w:cs="Times New Roman"/>
          <w:lang w:val="en-US"/>
        </w:rPr>
        <w:t xml:space="preserve"> </w:t>
      </w:r>
    </w:p>
    <w:p w:rsidR="00427336" w:rsidRDefault="00427336">
      <w:pPr>
        <w:spacing w:line="240" w:lineRule="auto"/>
        <w:ind w:left="360"/>
        <w:jc w:val="both"/>
        <w:rPr>
          <w:rFonts w:ascii="Times New Roman" w:hAnsi="Times New Roman" w:cs="Times New Roman"/>
          <w:lang w:val="en-US"/>
        </w:rPr>
      </w:pPr>
    </w:p>
    <w:p w:rsidR="00427336" w:rsidRDefault="000120B4">
      <w:pPr>
        <w:spacing w:line="240" w:lineRule="auto"/>
        <w:ind w:left="360"/>
        <w:jc w:val="both"/>
        <w:rPr>
          <w:lang w:val="en-US"/>
        </w:rPr>
      </w:pPr>
      <w:r>
        <w:rPr>
          <w:rFonts w:ascii="Times New Roman" w:eastAsia="Times New Roman" w:hAnsi="Times New Roman" w:cs="Times New Roman"/>
          <w:lang w:val="en-US"/>
        </w:rPr>
        <w:t>Posadas, S. C., Ruiz-Blanco, S., Fernandez-</w:t>
      </w:r>
      <w:proofErr w:type="spellStart"/>
      <w:r>
        <w:rPr>
          <w:rFonts w:ascii="Times New Roman" w:eastAsia="Times New Roman" w:hAnsi="Times New Roman" w:cs="Times New Roman"/>
          <w:lang w:val="en-US"/>
        </w:rPr>
        <w:t>Feijoo</w:t>
      </w:r>
      <w:proofErr w:type="spellEnd"/>
      <w:r>
        <w:rPr>
          <w:rFonts w:ascii="Times New Roman" w:eastAsia="Times New Roman" w:hAnsi="Times New Roman" w:cs="Times New Roman"/>
          <w:lang w:val="en-US"/>
        </w:rPr>
        <w:t xml:space="preserve">, B., &amp; </w:t>
      </w:r>
      <w:proofErr w:type="spellStart"/>
      <w:r>
        <w:rPr>
          <w:rFonts w:ascii="Times New Roman" w:eastAsia="Times New Roman" w:hAnsi="Times New Roman" w:cs="Times New Roman"/>
          <w:lang w:val="en-US"/>
        </w:rPr>
        <w:t>Tarquinio</w:t>
      </w:r>
      <w:proofErr w:type="spellEnd"/>
      <w:r>
        <w:rPr>
          <w:rFonts w:ascii="Times New Roman" w:eastAsia="Times New Roman" w:hAnsi="Times New Roman" w:cs="Times New Roman"/>
          <w:lang w:val="en-US"/>
        </w:rPr>
        <w:t xml:space="preserve">, L. (2023). Institutional isomorphism under the test of Non-financial Reporting Directive. Evidence from Italy and Spain. </w:t>
      </w:r>
      <w:proofErr w:type="spellStart"/>
      <w:r>
        <w:rPr>
          <w:rFonts w:ascii="Times New Roman" w:eastAsia="Times New Roman" w:hAnsi="Times New Roman" w:cs="Times New Roman"/>
          <w:i/>
          <w:iCs/>
          <w:lang w:val="en-US"/>
        </w:rPr>
        <w:t>Meditari</w:t>
      </w:r>
      <w:proofErr w:type="spellEnd"/>
      <w:r>
        <w:rPr>
          <w:rFonts w:ascii="Times New Roman" w:eastAsia="Times New Roman" w:hAnsi="Times New Roman" w:cs="Times New Roman"/>
          <w:i/>
          <w:iCs/>
          <w:lang w:val="en-US"/>
        </w:rPr>
        <w:t xml:space="preserve"> Accountancy Research,</w:t>
      </w:r>
      <w:r>
        <w:rPr>
          <w:rFonts w:ascii="Times New Roman" w:eastAsia="Times New Roman" w:hAnsi="Times New Roman" w:cs="Times New Roman"/>
          <w:lang w:val="en-US"/>
        </w:rPr>
        <w:t xml:space="preserve"> 31(7), pp. 26–48. </w:t>
      </w:r>
      <w:hyperlink r:id="rId56">
        <w:r>
          <w:rPr>
            <w:rStyle w:val="Hyperlink"/>
            <w:rFonts w:ascii="Times New Roman" w:eastAsia="Times New Roman" w:hAnsi="Times New Roman" w:cs="Times New Roman"/>
            <w:lang w:val="en-US"/>
          </w:rPr>
          <w:t>https://doi.org/10.1108/medar-02-2022-1606</w:t>
        </w:r>
      </w:hyperlink>
      <w:r>
        <w:rPr>
          <w:rFonts w:ascii="Times New Roman" w:eastAsia="Times New Roman" w:hAnsi="Times New Roman" w:cs="Times New Roman"/>
          <w:lang w:val="en-US"/>
        </w:rPr>
        <w:t xml:space="preserve"> </w:t>
      </w:r>
    </w:p>
    <w:p w:rsidR="00427336" w:rsidRDefault="000120B4">
      <w:pPr>
        <w:spacing w:before="228" w:after="388" w:line="240" w:lineRule="auto"/>
        <w:ind w:left="360"/>
        <w:jc w:val="both"/>
        <w:rPr>
          <w:lang w:val="en-US"/>
        </w:rPr>
      </w:pPr>
      <w:proofErr w:type="spellStart"/>
      <w:r>
        <w:rPr>
          <w:rFonts w:ascii="Times New Roman" w:eastAsia="Times New Roman" w:hAnsi="Times New Roman" w:cs="Times New Roman"/>
          <w:lang w:val="en-US"/>
        </w:rPr>
        <w:t>Razak</w:t>
      </w:r>
      <w:proofErr w:type="spellEnd"/>
      <w:r>
        <w:rPr>
          <w:rFonts w:ascii="Times New Roman" w:eastAsia="Times New Roman" w:hAnsi="Times New Roman" w:cs="Times New Roman"/>
          <w:lang w:val="en-US"/>
        </w:rPr>
        <w:t xml:space="preserve">, A., Ibrahim, M.H. &amp; Ng, A. (2020), Which sustainability dimensions affect credit risk? Evidence from corporate and country-level measures. </w:t>
      </w:r>
      <w:r>
        <w:rPr>
          <w:rFonts w:ascii="Times New Roman" w:eastAsia="Times New Roman" w:hAnsi="Times New Roman" w:cs="Times New Roman"/>
          <w:i/>
          <w:iCs/>
          <w:lang w:val="en-US"/>
        </w:rPr>
        <w:t>Journal of Risk and Fi</w:t>
      </w:r>
      <w:r>
        <w:rPr>
          <w:rFonts w:ascii="Times New Roman" w:eastAsia="Times New Roman" w:hAnsi="Times New Roman" w:cs="Times New Roman"/>
          <w:i/>
          <w:iCs/>
          <w:lang w:val="en-US"/>
        </w:rPr>
        <w:t>nancial Management,</w:t>
      </w:r>
      <w:r>
        <w:rPr>
          <w:rFonts w:ascii="Times New Roman" w:eastAsia="Times New Roman" w:hAnsi="Times New Roman" w:cs="Times New Roman"/>
          <w:lang w:val="en-US"/>
        </w:rPr>
        <w:t xml:space="preserve"> 13 (12): 316, </w:t>
      </w:r>
      <w:hyperlink r:id="rId57">
        <w:r>
          <w:rPr>
            <w:rStyle w:val="Hyperlink"/>
            <w:rFonts w:ascii="Times New Roman" w:hAnsi="Times New Roman" w:cs="Times New Roman"/>
            <w:color w:val="2A6099"/>
            <w:lang w:val="en-US"/>
          </w:rPr>
          <w:t>https://doi.org/10.3390/jrfm13120316</w:t>
        </w:r>
      </w:hyperlink>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Rennert</w:t>
      </w:r>
      <w:proofErr w:type="spellEnd"/>
      <w:r>
        <w:rPr>
          <w:rFonts w:ascii="Times New Roman" w:eastAsia="Times New Roman" w:hAnsi="Times New Roman" w:cs="Times New Roman"/>
          <w:lang w:val="en-US"/>
        </w:rPr>
        <w:t xml:space="preserve">, K. &amp; </w:t>
      </w:r>
      <w:proofErr w:type="spellStart"/>
      <w:r>
        <w:rPr>
          <w:rFonts w:ascii="Times New Roman" w:eastAsia="Times New Roman" w:hAnsi="Times New Roman" w:cs="Times New Roman"/>
          <w:lang w:val="en-US"/>
        </w:rPr>
        <w:t>Kingdon</w:t>
      </w:r>
      <w:proofErr w:type="spellEnd"/>
      <w:r>
        <w:rPr>
          <w:rFonts w:ascii="Times New Roman" w:eastAsia="Times New Roman" w:hAnsi="Times New Roman" w:cs="Times New Roman"/>
          <w:lang w:val="en-US"/>
        </w:rPr>
        <w:t>, C. (2019), Social Cost of Carbon 101 - A review of the social cost of carbon, from a basic definition to t</w:t>
      </w:r>
      <w:r>
        <w:rPr>
          <w:rFonts w:ascii="Times New Roman" w:eastAsia="Times New Roman" w:hAnsi="Times New Roman" w:cs="Times New Roman"/>
          <w:lang w:val="en-US"/>
        </w:rPr>
        <w:t xml:space="preserve">he history of its use in policy analysis. </w:t>
      </w:r>
      <w:r>
        <w:rPr>
          <w:rFonts w:ascii="Times New Roman" w:eastAsia="Times New Roman" w:hAnsi="Times New Roman" w:cs="Times New Roman"/>
          <w:i/>
          <w:iCs/>
          <w:lang w:val="en-US"/>
        </w:rPr>
        <w:t>Resources for the future</w:t>
      </w:r>
      <w:r>
        <w:rPr>
          <w:rFonts w:ascii="Times New Roman" w:eastAsia="Times New Roman" w:hAnsi="Times New Roman" w:cs="Times New Roman"/>
          <w:lang w:val="en-US"/>
        </w:rPr>
        <w:t xml:space="preserve">. Available: </w:t>
      </w:r>
      <w:hyperlink r:id="rId58">
        <w:r>
          <w:rPr>
            <w:rFonts w:ascii="Times New Roman" w:eastAsia="Times New Roman" w:hAnsi="Times New Roman" w:cs="Times New Roman"/>
            <w:color w:val="0563C1"/>
            <w:u w:val="single"/>
            <w:lang w:val="en-US"/>
          </w:rPr>
          <w:t>https://www.rff.org/publications/explainers/social-cost-carbon-101/</w:t>
        </w:r>
      </w:hyperlink>
      <w:r>
        <w:rPr>
          <w:rFonts w:ascii="Times New Roman" w:eastAsia="Times New Roman" w:hAnsi="Times New Roman" w:cs="Times New Roman"/>
          <w:lang w:val="en-US"/>
        </w:rPr>
        <w:t xml:space="preserve"> Downloaded: 05.10.2024</w:t>
      </w:r>
      <w:r>
        <w:rPr>
          <w:rFonts w:ascii="Times New Roman" w:eastAsia="Times New Roman" w:hAnsi="Times New Roman" w:cs="Times New Roman"/>
          <w:lang w:val="en-US"/>
        </w:rPr>
        <w:t>.</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Saka, A. B., Chan, D. W. M. &amp; Ajayi, S. O. (2022). Institutional isomorphism and adoption of building information modelling (BIM) in small and medium-sized enterprises (SMEs) of the Nigerian Construction Industry. </w:t>
      </w:r>
      <w:r>
        <w:rPr>
          <w:rFonts w:ascii="Times New Roman" w:eastAsia="Times New Roman" w:hAnsi="Times New Roman" w:cs="Times New Roman"/>
          <w:i/>
          <w:iCs/>
          <w:lang w:val="en-US"/>
        </w:rPr>
        <w:t>Engineering, Construction and Architectu</w:t>
      </w:r>
      <w:r>
        <w:rPr>
          <w:rFonts w:ascii="Times New Roman" w:eastAsia="Times New Roman" w:hAnsi="Times New Roman" w:cs="Times New Roman"/>
          <w:i/>
          <w:iCs/>
          <w:lang w:val="en-US"/>
        </w:rPr>
        <w:t xml:space="preserve">ral Management, </w:t>
      </w:r>
      <w:r>
        <w:rPr>
          <w:rFonts w:ascii="Times New Roman" w:eastAsia="Times New Roman" w:hAnsi="Times New Roman" w:cs="Times New Roman"/>
          <w:lang w:val="en-US"/>
        </w:rPr>
        <w:t xml:space="preserve">31(1), pp. 179–199. </w:t>
      </w:r>
      <w:hyperlink r:id="rId59">
        <w:r>
          <w:rPr>
            <w:rStyle w:val="Hyperlink"/>
            <w:rFonts w:ascii="Times New Roman" w:eastAsia="Times New Roman" w:hAnsi="Times New Roman" w:cs="Times New Roman"/>
            <w:lang w:val="en-US"/>
          </w:rPr>
          <w:t>https://doi.org/10.1108/ecam-02-2022-0188</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lastRenderedPageBreak/>
        <w:t>Rikhardsson</w:t>
      </w:r>
      <w:proofErr w:type="spellEnd"/>
      <w:r>
        <w:rPr>
          <w:rFonts w:ascii="Times New Roman" w:eastAsia="Times New Roman" w:hAnsi="Times New Roman" w:cs="Times New Roman"/>
          <w:lang w:val="en-US"/>
        </w:rPr>
        <w:t xml:space="preserve">, P.M., Bennett, M., Bouma, J.J. &amp; </w:t>
      </w:r>
      <w:proofErr w:type="spellStart"/>
      <w:r>
        <w:rPr>
          <w:rFonts w:ascii="Times New Roman" w:eastAsia="Times New Roman" w:hAnsi="Times New Roman" w:cs="Times New Roman"/>
          <w:lang w:val="en-US"/>
        </w:rPr>
        <w:t>Schaltegger</w:t>
      </w:r>
      <w:proofErr w:type="spellEnd"/>
      <w:r>
        <w:rPr>
          <w:rFonts w:ascii="Times New Roman" w:eastAsia="Times New Roman" w:hAnsi="Times New Roman" w:cs="Times New Roman"/>
          <w:lang w:val="en-US"/>
        </w:rPr>
        <w:t>, S. (2005), Implementing Environmental Management Accounti</w:t>
      </w:r>
      <w:r>
        <w:rPr>
          <w:rFonts w:ascii="Times New Roman" w:eastAsia="Times New Roman" w:hAnsi="Times New Roman" w:cs="Times New Roman"/>
          <w:lang w:val="en-US"/>
        </w:rPr>
        <w:t xml:space="preserve">ng: Status and Challenges. </w:t>
      </w:r>
      <w:r>
        <w:rPr>
          <w:rFonts w:ascii="Times New Roman" w:eastAsia="Times New Roman" w:hAnsi="Times New Roman" w:cs="Times New Roman"/>
          <w:i/>
          <w:iCs/>
          <w:lang w:val="en-US"/>
        </w:rPr>
        <w:t>Eco-Efficiency in Industry and Science.</w:t>
      </w:r>
      <w:r>
        <w:rPr>
          <w:rFonts w:ascii="Times New Roman" w:eastAsia="Times New Roman" w:hAnsi="Times New Roman" w:cs="Times New Roman"/>
          <w:lang w:val="en-US"/>
        </w:rPr>
        <w:t xml:space="preserve"> Springer-Verlag. pp. 45-62. </w:t>
      </w:r>
      <w:hyperlink r:id="rId60">
        <w:r>
          <w:rPr>
            <w:rStyle w:val="Hyperlink"/>
            <w:rFonts w:ascii="Times New Roman" w:eastAsia="Times New Roman" w:hAnsi="Times New Roman" w:cs="Times New Roman"/>
            <w:lang w:val="en-US"/>
          </w:rPr>
          <w:t>https://doi.org/10.1007/1-4020-3373-7</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lang w:val="en-US"/>
        </w:rPr>
        <w:t xml:space="preserve">Savitri, R.A. &amp; </w:t>
      </w:r>
      <w:proofErr w:type="spellStart"/>
      <w:r>
        <w:rPr>
          <w:rFonts w:ascii="Times New Roman" w:eastAsia="Times New Roman" w:hAnsi="Times New Roman" w:cs="Times New Roman"/>
          <w:lang w:val="en-US"/>
        </w:rPr>
        <w:t>Fanani</w:t>
      </w:r>
      <w:proofErr w:type="spellEnd"/>
      <w:r>
        <w:rPr>
          <w:rFonts w:ascii="Times New Roman" w:eastAsia="Times New Roman" w:hAnsi="Times New Roman" w:cs="Times New Roman"/>
          <w:lang w:val="en-US"/>
        </w:rPr>
        <w:t>, Z. (2017), The Institutionalization of Ac</w:t>
      </w:r>
      <w:r>
        <w:rPr>
          <w:rFonts w:ascii="Times New Roman" w:eastAsia="Times New Roman" w:hAnsi="Times New Roman" w:cs="Times New Roman"/>
          <w:lang w:val="en-US"/>
        </w:rPr>
        <w:t>crual Accounting: The Perspective of New Institutional Sociology Theory,</w:t>
      </w:r>
      <w:r>
        <w:rPr>
          <w:rFonts w:ascii="Times New Roman" w:eastAsia="Times New Roman" w:hAnsi="Times New Roman" w:cs="Times New Roman"/>
          <w:i/>
          <w:iCs/>
          <w:lang w:val="en-US"/>
        </w:rPr>
        <w:t xml:space="preserve"> </w:t>
      </w:r>
      <w:proofErr w:type="spellStart"/>
      <w:r>
        <w:rPr>
          <w:rFonts w:ascii="Times New Roman" w:eastAsia="Times New Roman" w:hAnsi="Times New Roman" w:cs="Times New Roman"/>
          <w:i/>
          <w:iCs/>
          <w:lang w:val="en-US"/>
        </w:rPr>
        <w:t>Jurnal</w:t>
      </w:r>
      <w:proofErr w:type="spellEnd"/>
      <w:r>
        <w:rPr>
          <w:rFonts w:ascii="Times New Roman" w:eastAsia="Times New Roman" w:hAnsi="Times New Roman" w:cs="Times New Roman"/>
          <w:i/>
          <w:iCs/>
          <w:lang w:val="en-US"/>
        </w:rPr>
        <w:t xml:space="preserve"> </w:t>
      </w:r>
      <w:proofErr w:type="spellStart"/>
      <w:r>
        <w:rPr>
          <w:rFonts w:ascii="Times New Roman" w:eastAsia="Times New Roman" w:hAnsi="Times New Roman" w:cs="Times New Roman"/>
          <w:i/>
          <w:iCs/>
          <w:lang w:val="en-US"/>
        </w:rPr>
        <w:t>Dinamika</w:t>
      </w:r>
      <w:proofErr w:type="spellEnd"/>
      <w:r>
        <w:rPr>
          <w:rFonts w:ascii="Times New Roman" w:eastAsia="Times New Roman" w:hAnsi="Times New Roman" w:cs="Times New Roman"/>
          <w:i/>
          <w:iCs/>
          <w:lang w:val="en-US"/>
        </w:rPr>
        <w:t xml:space="preserve"> </w:t>
      </w:r>
      <w:proofErr w:type="spellStart"/>
      <w:r>
        <w:rPr>
          <w:rFonts w:ascii="Times New Roman" w:eastAsia="Times New Roman" w:hAnsi="Times New Roman" w:cs="Times New Roman"/>
          <w:i/>
          <w:iCs/>
          <w:lang w:val="en-US"/>
        </w:rPr>
        <w:t>Akuntansi</w:t>
      </w:r>
      <w:proofErr w:type="spellEnd"/>
      <w:r>
        <w:rPr>
          <w:rFonts w:ascii="Times New Roman" w:eastAsia="Times New Roman" w:hAnsi="Times New Roman" w:cs="Times New Roman"/>
          <w:i/>
          <w:iCs/>
          <w:lang w:val="en-US"/>
        </w:rPr>
        <w:t>,</w:t>
      </w:r>
      <w:r>
        <w:rPr>
          <w:rFonts w:ascii="Times New Roman" w:eastAsia="Times New Roman" w:hAnsi="Times New Roman" w:cs="Times New Roman"/>
          <w:b/>
          <w:bCs/>
          <w:lang w:val="en-US"/>
        </w:rPr>
        <w:t xml:space="preserve"> 9</w:t>
      </w:r>
      <w:r>
        <w:rPr>
          <w:rFonts w:ascii="Times New Roman" w:eastAsia="Times New Roman" w:hAnsi="Times New Roman" w:cs="Times New Roman"/>
          <w:lang w:val="en-US"/>
        </w:rPr>
        <w:t xml:space="preserve"> (2): 100-109. </w:t>
      </w:r>
      <w:r>
        <w:rPr>
          <w:rFonts w:ascii="Times New Roman" w:eastAsia="Times New Roman" w:hAnsi="Times New Roman" w:cs="Times New Roman"/>
          <w:color w:val="2A6099"/>
          <w:u w:val="single"/>
          <w:lang w:val="en-US"/>
        </w:rPr>
        <w:t>https://doi.org/10.15294/jda.v9i2.10618</w:t>
      </w:r>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Schaltegger</w:t>
      </w:r>
      <w:proofErr w:type="spellEnd"/>
      <w:r>
        <w:rPr>
          <w:rFonts w:ascii="Times New Roman" w:eastAsia="Times New Roman" w:hAnsi="Times New Roman" w:cs="Times New Roman"/>
          <w:lang w:val="en-US"/>
        </w:rPr>
        <w:t xml:space="preserve">, S. (1997), Information costs, quality of information and stakeholder involvement - the necessity of international standards of ecological accounting. </w:t>
      </w:r>
      <w:r>
        <w:rPr>
          <w:rFonts w:ascii="Times New Roman" w:eastAsia="Times New Roman" w:hAnsi="Times New Roman" w:cs="Times New Roman"/>
          <w:i/>
          <w:iCs/>
          <w:lang w:val="en-US"/>
        </w:rPr>
        <w:t>Eco-Management and Auditing,</w:t>
      </w:r>
      <w:r>
        <w:rPr>
          <w:rFonts w:ascii="Times New Roman" w:eastAsia="Times New Roman" w:hAnsi="Times New Roman" w:cs="Times New Roman"/>
          <w:lang w:val="en-US"/>
        </w:rPr>
        <w:t xml:space="preserve"> 4(3), pp. 87–97. </w:t>
      </w:r>
      <w:hyperlink r:id="rId61">
        <w:r>
          <w:rPr>
            <w:rStyle w:val="Hyperlink"/>
            <w:rFonts w:ascii="Times New Roman" w:eastAsia="Times New Roman" w:hAnsi="Times New Roman" w:cs="Times New Roman"/>
            <w:lang w:val="en-US"/>
          </w:rPr>
          <w:t>https://doi.org/10.1002/(sici)1099-0925(199711)4:3&lt;87::aid-ema70&gt;3.0.co;2-z</w:t>
        </w:r>
      </w:hyperlink>
      <w:r>
        <w:rPr>
          <w:rFonts w:ascii="Times New Roman" w:eastAsia="Times New Roman" w:hAnsi="Times New Roman" w:cs="Times New Roman"/>
          <w:lang w:val="en-US"/>
        </w:rPr>
        <w:t xml:space="preserve"> </w:t>
      </w:r>
    </w:p>
    <w:p w:rsidR="00427336" w:rsidRDefault="000120B4">
      <w:pPr>
        <w:spacing w:after="0" w:line="240" w:lineRule="auto"/>
        <w:ind w:left="360"/>
        <w:jc w:val="both"/>
        <w:rPr>
          <w:lang w:val="en-US"/>
        </w:rPr>
      </w:pPr>
      <w:proofErr w:type="spellStart"/>
      <w:r>
        <w:rPr>
          <w:rFonts w:ascii="Times New Roman" w:eastAsia="Times New Roman" w:hAnsi="Times New Roman" w:cs="Times New Roman"/>
          <w:lang w:val="en-US"/>
        </w:rPr>
        <w:t>Schaltegger</w:t>
      </w:r>
      <w:proofErr w:type="spellEnd"/>
      <w:r>
        <w:rPr>
          <w:rFonts w:ascii="Times New Roman" w:eastAsia="Times New Roman" w:hAnsi="Times New Roman" w:cs="Times New Roman"/>
          <w:lang w:val="en-US"/>
        </w:rPr>
        <w:t xml:space="preserve">, S. &amp; Burritt, R- (2000). </w:t>
      </w:r>
      <w:r>
        <w:rPr>
          <w:rFonts w:ascii="Times New Roman" w:eastAsia="Times New Roman" w:hAnsi="Times New Roman" w:cs="Times New Roman"/>
          <w:i/>
          <w:iCs/>
          <w:lang w:val="en-US"/>
        </w:rPr>
        <w:t>Contemporary Environmental Accounting: Issues, Concepts and Practice</w:t>
      </w:r>
      <w:r>
        <w:rPr>
          <w:rFonts w:ascii="Times New Roman" w:eastAsia="Times New Roman" w:hAnsi="Times New Roman" w:cs="Times New Roman"/>
          <w:lang w:val="en-US"/>
        </w:rPr>
        <w:t xml:space="preserve">. </w:t>
      </w:r>
      <w:r>
        <w:rPr>
          <w:rFonts w:ascii="Times New Roman" w:eastAsia="Times New Roman" w:hAnsi="Times New Roman" w:cs="Times New Roman"/>
          <w:color w:val="232323"/>
          <w:lang w:val="en-US"/>
        </w:rPr>
        <w:t xml:space="preserve"> Sheffield: </w:t>
      </w:r>
      <w:r>
        <w:rPr>
          <w:rFonts w:ascii="Times New Roman" w:eastAsia="Times New Roman" w:hAnsi="Times New Roman" w:cs="Times New Roman"/>
          <w:color w:val="232323"/>
          <w:lang w:val="en-US"/>
        </w:rPr>
        <w:t>Greenleaf Publishing</w:t>
      </w:r>
      <w:proofErr w:type="gramStart"/>
      <w:r>
        <w:rPr>
          <w:rFonts w:ascii="Times New Roman" w:eastAsia="Times New Roman" w:hAnsi="Times New Roman" w:cs="Times New Roman"/>
          <w:color w:val="232323"/>
          <w:lang w:val="en-US"/>
        </w:rPr>
        <w:t>, .</w:t>
      </w:r>
      <w:proofErr w:type="gramEnd"/>
      <w:r>
        <w:rPr>
          <w:rFonts w:ascii="Times New Roman" w:eastAsia="Times New Roman" w:hAnsi="Times New Roman" w:cs="Times New Roman"/>
          <w:lang w:val="en-US"/>
        </w:rPr>
        <w:t xml:space="preserve"> pp. 96-97, 101.</w:t>
      </w:r>
    </w:p>
    <w:p w:rsidR="00427336" w:rsidRDefault="000120B4">
      <w:pPr>
        <w:spacing w:after="0" w:line="240" w:lineRule="auto"/>
        <w:ind w:left="360"/>
        <w:jc w:val="both"/>
        <w:rPr>
          <w:lang w:val="en-US"/>
        </w:rPr>
      </w:pPr>
      <w:hyperlink r:id="rId62">
        <w:r>
          <w:rPr>
            <w:rFonts w:ascii="Times New Roman" w:eastAsia="Times New Roman" w:hAnsi="Times New Roman" w:cs="Times New Roman"/>
            <w:color w:val="0563C1"/>
            <w:u w:val="single"/>
            <w:lang w:val="en-US"/>
          </w:rPr>
          <w:t>http://ndl.ethernet.edu.et/bitstream/123456789/18329/1/181.pdf.pdf</w:t>
        </w:r>
      </w:hyperlink>
      <w:r>
        <w:rPr>
          <w:rFonts w:ascii="Times New Roman" w:eastAsia="Times New Roman" w:hAnsi="Times New Roman" w:cs="Times New Roman"/>
          <w:lang w:val="en-US"/>
        </w:rPr>
        <w:t xml:space="preserve"> </w:t>
      </w:r>
    </w:p>
    <w:p w:rsidR="00427336" w:rsidRDefault="00427336">
      <w:pPr>
        <w:spacing w:after="0" w:line="240" w:lineRule="auto"/>
        <w:ind w:left="360"/>
        <w:jc w:val="both"/>
        <w:rPr>
          <w:rFonts w:ascii="Times New Roman" w:hAnsi="Times New Roman" w:cs="Times New Roman"/>
          <w:lang w:val="en-US"/>
        </w:rPr>
      </w:pPr>
    </w:p>
    <w:p w:rsidR="00427336" w:rsidRDefault="000120B4">
      <w:pPr>
        <w:spacing w:line="240" w:lineRule="auto"/>
        <w:ind w:left="360"/>
        <w:jc w:val="both"/>
        <w:rPr>
          <w:lang w:val="en-US"/>
        </w:rPr>
      </w:pPr>
      <w:r>
        <w:rPr>
          <w:rFonts w:ascii="Times New Roman" w:eastAsia="Times New Roman" w:hAnsi="Times New Roman" w:cs="Times New Roman"/>
          <w:lang w:val="de-DE"/>
        </w:rPr>
        <w:t xml:space="preserve">Schaltegger, S., Bennett, M. &amp; Burritt R. (Eds.) </w:t>
      </w:r>
      <w:r>
        <w:rPr>
          <w:rFonts w:ascii="Times New Roman" w:eastAsia="Times New Roman" w:hAnsi="Times New Roman" w:cs="Times New Roman"/>
          <w:lang w:val="en-US"/>
        </w:rPr>
        <w:t xml:space="preserve">(2006). </w:t>
      </w:r>
      <w:r>
        <w:rPr>
          <w:rFonts w:ascii="Times New Roman" w:eastAsia="Times New Roman" w:hAnsi="Times New Roman" w:cs="Times New Roman"/>
          <w:i/>
          <w:iCs/>
          <w:lang w:val="en-US"/>
        </w:rPr>
        <w:t>Sust</w:t>
      </w:r>
      <w:r>
        <w:rPr>
          <w:rFonts w:ascii="Times New Roman" w:eastAsia="Times New Roman" w:hAnsi="Times New Roman" w:cs="Times New Roman"/>
          <w:i/>
          <w:iCs/>
          <w:lang w:val="en-US"/>
        </w:rPr>
        <w:t>ainability Accounting and Reporting.</w:t>
      </w:r>
      <w:r>
        <w:rPr>
          <w:rFonts w:ascii="Times New Roman" w:eastAsia="Times New Roman" w:hAnsi="Times New Roman" w:cs="Times New Roman"/>
          <w:lang w:val="en-US"/>
        </w:rPr>
        <w:t xml:space="preserve"> Springer Netherlands. pp. 37-60. </w:t>
      </w:r>
      <w:hyperlink r:id="rId63">
        <w:r>
          <w:rPr>
            <w:rStyle w:val="Hyperlink"/>
            <w:rFonts w:ascii="Times New Roman" w:eastAsia="Times New Roman" w:hAnsi="Times New Roman" w:cs="Times New Roman"/>
            <w:lang w:val="en-US"/>
          </w:rPr>
          <w:t>https://doi.org/10.1007/978-1-4020-4974-3</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color w:val="000000"/>
          <w:lang w:val="en-US"/>
        </w:rPr>
        <w:t>Sendroiu</w:t>
      </w:r>
      <w:proofErr w:type="spellEnd"/>
      <w:r>
        <w:rPr>
          <w:rFonts w:ascii="Times New Roman" w:eastAsia="Times New Roman" w:hAnsi="Times New Roman" w:cs="Times New Roman"/>
          <w:color w:val="000000"/>
          <w:lang w:val="en-US"/>
        </w:rPr>
        <w:t xml:space="preserve">, C.., Roman, A., Roman, C. &amp; </w:t>
      </w:r>
      <w:proofErr w:type="spellStart"/>
      <w:r>
        <w:rPr>
          <w:rFonts w:ascii="Times New Roman" w:eastAsia="Times New Roman" w:hAnsi="Times New Roman" w:cs="Times New Roman"/>
          <w:color w:val="000000"/>
          <w:lang w:val="en-US"/>
        </w:rPr>
        <w:t>Manole</w:t>
      </w:r>
      <w:proofErr w:type="spellEnd"/>
      <w:r>
        <w:rPr>
          <w:rFonts w:ascii="Times New Roman" w:eastAsia="Times New Roman" w:hAnsi="Times New Roman" w:cs="Times New Roman"/>
          <w:color w:val="000000"/>
          <w:lang w:val="en-US"/>
        </w:rPr>
        <w:t xml:space="preserve">, A. (2006), Environmental Management </w:t>
      </w:r>
      <w:r>
        <w:rPr>
          <w:rFonts w:ascii="Times New Roman" w:eastAsia="Times New Roman" w:hAnsi="Times New Roman" w:cs="Times New Roman"/>
          <w:color w:val="000000"/>
          <w:lang w:val="en-US"/>
        </w:rPr>
        <w:t xml:space="preserve">Accounting (EMA): Reflection of Environmental Factors in the Accounting Processes through the Identification of the Environmental Costs Attached to Products, Processes and Services. </w:t>
      </w:r>
      <w:r>
        <w:rPr>
          <w:rFonts w:ascii="Times New Roman" w:eastAsia="Times New Roman" w:hAnsi="Times New Roman" w:cs="Times New Roman"/>
          <w:i/>
          <w:iCs/>
          <w:color w:val="000000"/>
          <w:lang w:val="en-US"/>
        </w:rPr>
        <w:t>Theoretical and Applied Economics,</w:t>
      </w:r>
      <w:r>
        <w:rPr>
          <w:rFonts w:ascii="Times New Roman" w:eastAsia="Times New Roman" w:hAnsi="Times New Roman" w:cs="Times New Roman"/>
          <w:color w:val="000000"/>
          <w:lang w:val="en-US"/>
        </w:rPr>
        <w:t xml:space="preserve"> </w:t>
      </w:r>
      <w:r>
        <w:rPr>
          <w:rFonts w:ascii="Times New Roman" w:eastAsia="Times New Roman" w:hAnsi="Times New Roman" w:cs="Times New Roman"/>
          <w:b/>
          <w:bCs/>
          <w:color w:val="000000"/>
          <w:lang w:val="en-US"/>
        </w:rPr>
        <w:t xml:space="preserve">10 </w:t>
      </w:r>
      <w:r>
        <w:rPr>
          <w:rFonts w:ascii="Times New Roman" w:eastAsia="Times New Roman" w:hAnsi="Times New Roman" w:cs="Times New Roman"/>
          <w:color w:val="000000"/>
          <w:lang w:val="en-US"/>
        </w:rPr>
        <w:t xml:space="preserve">(505): 81-86. </w:t>
      </w:r>
      <w:hyperlink r:id="rId64">
        <w:r>
          <w:rPr>
            <w:rFonts w:ascii="Times New Roman" w:eastAsia="Times New Roman" w:hAnsi="Times New Roman" w:cs="Times New Roman"/>
            <w:color w:val="0563C1"/>
            <w:u w:val="single"/>
            <w:lang w:val="en-US"/>
          </w:rPr>
          <w:t>12_roman.pmd (ectap.ro)</w:t>
        </w:r>
      </w:hyperlink>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Seo</w:t>
      </w:r>
      <w:proofErr w:type="spellEnd"/>
      <w:r>
        <w:rPr>
          <w:rFonts w:ascii="Times New Roman" w:eastAsia="Times New Roman" w:hAnsi="Times New Roman" w:cs="Times New Roman"/>
          <w:lang w:val="en-US"/>
        </w:rPr>
        <w:t xml:space="preserve">, K.-K., Park, J-H. &amp; Jang, D-S. (2001), Optimal Disassembly Sequence Using Genetic Algorithms Considering Economic and Environmental Aspects. </w:t>
      </w:r>
      <w:r>
        <w:rPr>
          <w:rFonts w:ascii="Times New Roman" w:eastAsia="Times New Roman" w:hAnsi="Times New Roman" w:cs="Times New Roman"/>
          <w:i/>
          <w:iCs/>
          <w:lang w:val="en-US"/>
        </w:rPr>
        <w:t xml:space="preserve">The International Journal of </w:t>
      </w:r>
      <w:r>
        <w:rPr>
          <w:rFonts w:ascii="Times New Roman" w:eastAsia="Times New Roman" w:hAnsi="Times New Roman" w:cs="Times New Roman"/>
          <w:i/>
          <w:iCs/>
          <w:lang w:val="en-US"/>
        </w:rPr>
        <w:t xml:space="preserve">Advanced Manufacturing Technology. </w:t>
      </w:r>
      <w:r>
        <w:rPr>
          <w:rFonts w:ascii="Times New Roman" w:eastAsia="Times New Roman" w:hAnsi="Times New Roman" w:cs="Times New Roman"/>
          <w:lang w:val="en-US"/>
        </w:rPr>
        <w:t xml:space="preserve">371-380. </w:t>
      </w:r>
      <w:hyperlink r:id="rId65">
        <w:r>
          <w:rPr>
            <w:rStyle w:val="Hyperlink"/>
            <w:rFonts w:ascii="Times New Roman" w:eastAsia="Times New Roman" w:hAnsi="Times New Roman" w:cs="Times New Roman"/>
            <w:color w:val="0563C1"/>
            <w:lang w:val="en-US"/>
          </w:rPr>
          <w:t>https://www.researchgate.net/publication/</w:t>
        </w:r>
        <w:r>
          <w:rPr>
            <w:rStyle w:val="Hyperlink"/>
            <w:rFonts w:ascii="Times New Roman" w:eastAsia="Times New Roman" w:hAnsi="Times New Roman" w:cs="Times New Roman"/>
            <w:color w:val="0563C1"/>
            <w:lang w:val="en-US"/>
          </w:rPr>
          <w:t>225898766</w:t>
        </w:r>
      </w:hyperlink>
    </w:p>
    <w:p w:rsidR="00427336" w:rsidRDefault="000120B4">
      <w:pPr>
        <w:spacing w:before="80" w:after="80" w:line="240" w:lineRule="auto"/>
        <w:ind w:left="357"/>
        <w:jc w:val="both"/>
      </w:pPr>
      <w:r>
        <w:rPr>
          <w:rFonts w:ascii="Times New Roman" w:eastAsia="Times New Roman" w:hAnsi="Times New Roman" w:cs="Times New Roman"/>
          <w:color w:val="000000"/>
          <w:lang w:val="en-US"/>
        </w:rPr>
        <w:t xml:space="preserve">Snoek, S., </w:t>
      </w:r>
      <w:proofErr w:type="spellStart"/>
      <w:r>
        <w:rPr>
          <w:rFonts w:ascii="Times New Roman" w:eastAsia="Times New Roman" w:hAnsi="Times New Roman" w:cs="Times New Roman"/>
          <w:color w:val="000000"/>
          <w:lang w:val="en-US"/>
        </w:rPr>
        <w:t>Oosterwijk</w:t>
      </w:r>
      <w:proofErr w:type="spellEnd"/>
      <w:r>
        <w:rPr>
          <w:rFonts w:ascii="Times New Roman" w:eastAsia="Times New Roman" w:hAnsi="Times New Roman" w:cs="Times New Roman"/>
          <w:color w:val="000000"/>
          <w:lang w:val="en-US"/>
        </w:rPr>
        <w:t xml:space="preserve">, A., </w:t>
      </w:r>
      <w:proofErr w:type="spellStart"/>
      <w:r>
        <w:rPr>
          <w:rFonts w:ascii="Times New Roman" w:eastAsia="Times New Roman" w:hAnsi="Times New Roman" w:cs="Times New Roman"/>
          <w:color w:val="000000"/>
          <w:lang w:val="en-US"/>
        </w:rPr>
        <w:t>Vrolijk</w:t>
      </w:r>
      <w:proofErr w:type="spellEnd"/>
      <w:r>
        <w:rPr>
          <w:rFonts w:ascii="Times New Roman" w:eastAsia="Times New Roman" w:hAnsi="Times New Roman" w:cs="Times New Roman"/>
          <w:color w:val="000000"/>
          <w:lang w:val="en-US"/>
        </w:rPr>
        <w:t xml:space="preserve"> H., </w:t>
      </w:r>
      <w:proofErr w:type="spellStart"/>
      <w:r>
        <w:rPr>
          <w:rFonts w:ascii="Times New Roman" w:eastAsia="Times New Roman" w:hAnsi="Times New Roman" w:cs="Times New Roman"/>
          <w:color w:val="000000"/>
          <w:lang w:val="en-US"/>
        </w:rPr>
        <w:t>Oosterkamp</w:t>
      </w:r>
      <w:proofErr w:type="spellEnd"/>
      <w:r>
        <w:rPr>
          <w:rFonts w:ascii="Times New Roman" w:eastAsia="Times New Roman" w:hAnsi="Times New Roman" w:cs="Times New Roman"/>
          <w:color w:val="000000"/>
          <w:lang w:val="en-US"/>
        </w:rPr>
        <w:t xml:space="preserve">, E., </w:t>
      </w:r>
      <w:proofErr w:type="spellStart"/>
      <w:proofErr w:type="gramStart"/>
      <w:r>
        <w:rPr>
          <w:rFonts w:ascii="Times New Roman" w:eastAsia="Times New Roman" w:hAnsi="Times New Roman" w:cs="Times New Roman"/>
          <w:color w:val="000000"/>
          <w:lang w:val="en-US"/>
        </w:rPr>
        <w:t>Broekema,R</w:t>
      </w:r>
      <w:proofErr w:type="spellEnd"/>
      <w:r>
        <w:rPr>
          <w:rFonts w:ascii="Times New Roman" w:eastAsia="Times New Roman" w:hAnsi="Times New Roman" w:cs="Times New Roman"/>
          <w:color w:val="000000"/>
          <w:lang w:val="en-US"/>
        </w:rPr>
        <w:t>.</w:t>
      </w:r>
      <w:proofErr w:type="gramEnd"/>
      <w:r>
        <w:rPr>
          <w:rFonts w:ascii="Times New Roman" w:eastAsia="Times New Roman" w:hAnsi="Times New Roman" w:cs="Times New Roman"/>
          <w:color w:val="000000"/>
          <w:lang w:val="en-US"/>
        </w:rPr>
        <w:t xml:space="preserve">, </w:t>
      </w:r>
      <w:proofErr w:type="spellStart"/>
      <w:r>
        <w:rPr>
          <w:rFonts w:ascii="Times New Roman" w:eastAsia="Times New Roman" w:hAnsi="Times New Roman" w:cs="Times New Roman"/>
          <w:color w:val="000000"/>
          <w:lang w:val="en-US"/>
        </w:rPr>
        <w:t>Baltussen</w:t>
      </w:r>
      <w:proofErr w:type="spellEnd"/>
      <w:r>
        <w:rPr>
          <w:rFonts w:ascii="Times New Roman" w:eastAsia="Times New Roman" w:hAnsi="Times New Roman" w:cs="Times New Roman"/>
          <w:color w:val="000000"/>
          <w:lang w:val="en-US"/>
        </w:rPr>
        <w:t xml:space="preserve">, W. &amp; Meeusen, M.,(2024). </w:t>
      </w:r>
      <w:r>
        <w:rPr>
          <w:rFonts w:ascii="Times New Roman" w:eastAsia="Times New Roman" w:hAnsi="Times New Roman" w:cs="Times New Roman"/>
          <w:i/>
          <w:iCs/>
          <w:color w:val="000000"/>
          <w:lang w:val="en-US"/>
        </w:rPr>
        <w:t>Data for True Cost Accounting.</w:t>
      </w:r>
      <w:r>
        <w:rPr>
          <w:rFonts w:ascii="Times New Roman" w:eastAsia="Times New Roman" w:hAnsi="Times New Roman" w:cs="Times New Roman"/>
          <w:color w:val="000000"/>
          <w:lang w:val="en-US"/>
        </w:rPr>
        <w:t xml:space="preserve"> Wageningen, Wageningen Economic Research, Policy Paper 2024-024. 20p</w:t>
      </w:r>
      <w:r>
        <w:rPr>
          <w:rFonts w:ascii="Times New Roman" w:eastAsia="Times New Roman" w:hAnsi="Times New Roman" w:cs="Times New Roman"/>
          <w:color w:val="000000"/>
          <w:u w:val="single"/>
          <w:lang w:val="en-US"/>
        </w:rPr>
        <w:t>.</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Taygashinova</w:t>
      </w:r>
      <w:proofErr w:type="spellEnd"/>
      <w:r>
        <w:rPr>
          <w:rFonts w:ascii="Times New Roman" w:eastAsia="Times New Roman" w:hAnsi="Times New Roman" w:cs="Times New Roman"/>
          <w:lang w:val="en-US"/>
        </w:rPr>
        <w:t xml:space="preserve">, K. &amp; </w:t>
      </w:r>
      <w:proofErr w:type="spellStart"/>
      <w:r>
        <w:rPr>
          <w:rFonts w:ascii="Times New Roman" w:eastAsia="Times New Roman" w:hAnsi="Times New Roman" w:cs="Times New Roman"/>
          <w:lang w:val="en-US"/>
        </w:rPr>
        <w:t>Akhmetova</w:t>
      </w:r>
      <w:proofErr w:type="spellEnd"/>
      <w:r>
        <w:rPr>
          <w:rFonts w:ascii="Times New Roman" w:eastAsia="Times New Roman" w:hAnsi="Times New Roman" w:cs="Times New Roman"/>
          <w:lang w:val="en-US"/>
        </w:rPr>
        <w:t xml:space="preserve">, A. (2019). </w:t>
      </w:r>
      <w:r>
        <w:rPr>
          <w:rFonts w:ascii="Times New Roman" w:eastAsia="Times New Roman" w:hAnsi="Times New Roman" w:cs="Times New Roman"/>
          <w:lang w:val="en-US"/>
        </w:rPr>
        <w:t>Accounting for environmental costs as an instrument of environmental controlling in the company</w:t>
      </w:r>
      <w:r>
        <w:rPr>
          <w:rFonts w:ascii="Times New Roman" w:eastAsia="Times New Roman" w:hAnsi="Times New Roman" w:cs="Times New Roman"/>
          <w:i/>
          <w:iCs/>
          <w:lang w:val="en-US"/>
        </w:rPr>
        <w:t>. Management of Environmental Quality: An International Journal,</w:t>
      </w:r>
      <w:r>
        <w:rPr>
          <w:rFonts w:ascii="Times New Roman" w:eastAsia="Times New Roman" w:hAnsi="Times New Roman" w:cs="Times New Roman"/>
          <w:lang w:val="en-US"/>
        </w:rPr>
        <w:t xml:space="preserve"> 30(1), pp. 87–97. </w:t>
      </w:r>
      <w:hyperlink r:id="rId66">
        <w:r>
          <w:rPr>
            <w:rStyle w:val="Hyperlink"/>
            <w:rFonts w:ascii="Times New Roman" w:eastAsia="Times New Roman" w:hAnsi="Times New Roman" w:cs="Times New Roman"/>
            <w:lang w:val="en-US"/>
          </w:rPr>
          <w:t>https://doi.org/10</w:t>
        </w:r>
        <w:r>
          <w:rPr>
            <w:rStyle w:val="Hyperlink"/>
            <w:rFonts w:ascii="Times New Roman" w:eastAsia="Times New Roman" w:hAnsi="Times New Roman" w:cs="Times New Roman"/>
            <w:lang w:val="en-US"/>
          </w:rPr>
          <w:t>.1108/meq-08-2017-0088</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color w:val="000000"/>
          <w:lang w:val="en-US"/>
        </w:rPr>
        <w:t>Teklay</w:t>
      </w:r>
      <w:proofErr w:type="spellEnd"/>
      <w:r>
        <w:rPr>
          <w:rFonts w:ascii="Times New Roman" w:eastAsia="Times New Roman" w:hAnsi="Times New Roman" w:cs="Times New Roman"/>
          <w:color w:val="000000"/>
          <w:lang w:val="en-US"/>
        </w:rPr>
        <w:t xml:space="preserve">, G., </w:t>
      </w:r>
      <w:proofErr w:type="spellStart"/>
      <w:r>
        <w:rPr>
          <w:rFonts w:ascii="Times New Roman" w:eastAsia="Times New Roman" w:hAnsi="Times New Roman" w:cs="Times New Roman"/>
          <w:color w:val="000000"/>
          <w:lang w:val="en-US"/>
        </w:rPr>
        <w:t>Kitaw</w:t>
      </w:r>
      <w:proofErr w:type="spellEnd"/>
      <w:r>
        <w:rPr>
          <w:rFonts w:ascii="Times New Roman" w:eastAsia="Times New Roman" w:hAnsi="Times New Roman" w:cs="Times New Roman"/>
          <w:color w:val="000000"/>
          <w:lang w:val="en-US"/>
        </w:rPr>
        <w:t xml:space="preserve">, D. &amp; </w:t>
      </w:r>
      <w:proofErr w:type="spellStart"/>
      <w:r>
        <w:rPr>
          <w:rFonts w:ascii="Times New Roman" w:eastAsia="Times New Roman" w:hAnsi="Times New Roman" w:cs="Times New Roman"/>
          <w:color w:val="000000"/>
          <w:lang w:val="en-US"/>
        </w:rPr>
        <w:t>Jilcha</w:t>
      </w:r>
      <w:proofErr w:type="spellEnd"/>
      <w:r>
        <w:rPr>
          <w:rFonts w:ascii="Times New Roman" w:eastAsia="Times New Roman" w:hAnsi="Times New Roman" w:cs="Times New Roman"/>
          <w:color w:val="000000"/>
          <w:lang w:val="en-US"/>
        </w:rPr>
        <w:t xml:space="preserve">, K. (2021). Activity-based costing applied to automotive manufacturing a case of </w:t>
      </w:r>
      <w:proofErr w:type="spellStart"/>
      <w:r>
        <w:rPr>
          <w:rFonts w:ascii="Times New Roman" w:eastAsia="Times New Roman" w:hAnsi="Times New Roman" w:cs="Times New Roman"/>
          <w:color w:val="000000"/>
          <w:lang w:val="en-US"/>
        </w:rPr>
        <w:t>Mesfin</w:t>
      </w:r>
      <w:proofErr w:type="spellEnd"/>
      <w:r>
        <w:rPr>
          <w:rFonts w:ascii="Times New Roman" w:eastAsia="Times New Roman" w:hAnsi="Times New Roman" w:cs="Times New Roman"/>
          <w:color w:val="000000"/>
          <w:lang w:val="en-US"/>
        </w:rPr>
        <w:t xml:space="preserve"> Industrial Engineering. </w:t>
      </w:r>
      <w:r>
        <w:rPr>
          <w:rFonts w:ascii="Times New Roman" w:eastAsia="Times New Roman" w:hAnsi="Times New Roman" w:cs="Times New Roman"/>
          <w:i/>
          <w:iCs/>
          <w:color w:val="000000"/>
          <w:lang w:val="en-US"/>
        </w:rPr>
        <w:t>International Research Journal of Modernization in Engineering Technology and Science</w:t>
      </w:r>
      <w:r>
        <w:rPr>
          <w:rFonts w:ascii="Times New Roman" w:eastAsia="Times New Roman" w:hAnsi="Times New Roman" w:cs="Times New Roman"/>
          <w:color w:val="000000"/>
          <w:lang w:val="en-US"/>
        </w:rPr>
        <w:t xml:space="preserve">. 3 </w:t>
      </w:r>
      <w:r>
        <w:rPr>
          <w:rFonts w:ascii="Times New Roman" w:eastAsia="Times New Roman" w:hAnsi="Times New Roman" w:cs="Times New Roman"/>
          <w:color w:val="000000"/>
          <w:lang w:val="en-US"/>
        </w:rPr>
        <w:t xml:space="preserve">(8):340-354. </w:t>
      </w:r>
    </w:p>
    <w:p w:rsidR="00427336" w:rsidRDefault="000120B4">
      <w:pPr>
        <w:spacing w:line="240" w:lineRule="auto"/>
        <w:ind w:left="360"/>
        <w:jc w:val="both"/>
        <w:rPr>
          <w:lang w:val="en-US"/>
        </w:rPr>
      </w:pPr>
      <w:r>
        <w:rPr>
          <w:rFonts w:ascii="Times New Roman" w:eastAsia="Times New Roman" w:hAnsi="Times New Roman" w:cs="Times New Roman"/>
          <w:lang w:val="en-US"/>
        </w:rPr>
        <w:t>Thomas, S., Repetto, R., &amp; Dias, D. (2007). Integrated Environmental and Financial Performance Metrics for Investment Analysis and Portfolio Management</w:t>
      </w:r>
      <w:r>
        <w:rPr>
          <w:rFonts w:ascii="Times New Roman" w:eastAsia="Times New Roman" w:hAnsi="Times New Roman" w:cs="Times New Roman"/>
          <w:i/>
          <w:iCs/>
          <w:lang w:val="en-US"/>
        </w:rPr>
        <w:t>.</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Corporate Governance: An International Review,</w:t>
      </w:r>
      <w:r>
        <w:rPr>
          <w:rFonts w:ascii="Times New Roman" w:eastAsia="Times New Roman" w:hAnsi="Times New Roman" w:cs="Times New Roman"/>
          <w:lang w:val="en-US"/>
        </w:rPr>
        <w:t xml:space="preserve"> 15(3), pp. 421–426. </w:t>
      </w:r>
      <w:hyperlink r:id="rId67">
        <w:r>
          <w:rPr>
            <w:rStyle w:val="Hyperlink"/>
            <w:rFonts w:ascii="Times New Roman" w:eastAsia="Times New Roman" w:hAnsi="Times New Roman" w:cs="Times New Roman"/>
            <w:lang w:val="en-US"/>
          </w:rPr>
          <w:t>https://doi.org/10.1111/j.1467-8683.2007.00575.x</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proofErr w:type="spellStart"/>
      <w:r>
        <w:rPr>
          <w:rFonts w:ascii="Times New Roman" w:eastAsia="Times New Roman" w:hAnsi="Times New Roman" w:cs="Times New Roman"/>
          <w:lang w:val="en-US"/>
        </w:rPr>
        <w:t>Tyteca</w:t>
      </w:r>
      <w:proofErr w:type="spellEnd"/>
      <w:r>
        <w:rPr>
          <w:rFonts w:ascii="Times New Roman" w:eastAsia="Times New Roman" w:hAnsi="Times New Roman" w:cs="Times New Roman"/>
          <w:lang w:val="en-US"/>
        </w:rPr>
        <w:t>, D. (1996). On the Measurement of the Environmental Performance of Firms— A Literature Review and a Productive Efficiency Perspective</w:t>
      </w:r>
      <w:r>
        <w:rPr>
          <w:rFonts w:ascii="Times New Roman" w:eastAsia="Times New Roman" w:hAnsi="Times New Roman" w:cs="Times New Roman"/>
          <w:lang w:val="en-US"/>
        </w:rPr>
        <w:t xml:space="preserve">. </w:t>
      </w:r>
      <w:r>
        <w:rPr>
          <w:rFonts w:ascii="Times New Roman" w:eastAsia="Times New Roman" w:hAnsi="Times New Roman" w:cs="Times New Roman"/>
          <w:i/>
          <w:iCs/>
          <w:lang w:val="en-US"/>
        </w:rPr>
        <w:t>Journal of Environmental Management,</w:t>
      </w:r>
      <w:r>
        <w:rPr>
          <w:rFonts w:ascii="Times New Roman" w:eastAsia="Times New Roman" w:hAnsi="Times New Roman" w:cs="Times New Roman"/>
          <w:lang w:val="en-US"/>
        </w:rPr>
        <w:t xml:space="preserve"> 46(3), pp. 281–308. </w:t>
      </w:r>
      <w:hyperlink r:id="rId68">
        <w:r>
          <w:rPr>
            <w:rStyle w:val="Hyperlink"/>
            <w:rFonts w:ascii="Times New Roman" w:eastAsia="Times New Roman" w:hAnsi="Times New Roman" w:cs="Times New Roman"/>
            <w:lang w:val="en-US"/>
          </w:rPr>
          <w:t>https://doi.org/10.1006/jema.1996.0022</w:t>
        </w:r>
      </w:hyperlink>
      <w:r>
        <w:rPr>
          <w:rFonts w:ascii="Times New Roman" w:eastAsia="Times New Roman" w:hAnsi="Times New Roman" w:cs="Times New Roman"/>
          <w:lang w:val="en-US"/>
        </w:rPr>
        <w:t xml:space="preserve"> </w:t>
      </w:r>
    </w:p>
    <w:p w:rsidR="00427336" w:rsidRDefault="000120B4">
      <w:pPr>
        <w:spacing w:line="240" w:lineRule="auto"/>
        <w:ind w:left="360"/>
        <w:jc w:val="both"/>
        <w:rPr>
          <w:lang w:val="en-US"/>
        </w:rPr>
      </w:pPr>
      <w:r>
        <w:rPr>
          <w:rFonts w:ascii="Times New Roman" w:eastAsia="Times New Roman" w:hAnsi="Times New Roman" w:cs="Times New Roman"/>
          <w:color w:val="000000"/>
          <w:lang w:val="en-US"/>
        </w:rPr>
        <w:t xml:space="preserve">U.S. Environmental Protection Agency, Office of Air Quality Planning and Standards (2017). </w:t>
      </w:r>
      <w:r>
        <w:rPr>
          <w:rFonts w:ascii="Times New Roman" w:eastAsia="Times New Roman" w:hAnsi="Times New Roman" w:cs="Times New Roman"/>
          <w:i/>
          <w:iCs/>
          <w:color w:val="000000"/>
          <w:lang w:val="en-US"/>
        </w:rPr>
        <w:t>Cost Rep</w:t>
      </w:r>
      <w:r>
        <w:rPr>
          <w:rFonts w:ascii="Times New Roman" w:eastAsia="Times New Roman" w:hAnsi="Times New Roman" w:cs="Times New Roman"/>
          <w:i/>
          <w:iCs/>
          <w:color w:val="000000"/>
          <w:lang w:val="en-US"/>
        </w:rPr>
        <w:t>orts and Guidance for Air Pollution Regulations</w:t>
      </w:r>
      <w:r>
        <w:rPr>
          <w:rFonts w:ascii="Times New Roman" w:eastAsia="Times New Roman" w:hAnsi="Times New Roman" w:cs="Times New Roman"/>
          <w:color w:val="000000"/>
          <w:lang w:val="en-US"/>
        </w:rPr>
        <w:t xml:space="preserve"> - Chapter 2 - Cost </w:t>
      </w:r>
      <w:r>
        <w:rPr>
          <w:rFonts w:ascii="Times New Roman" w:eastAsia="Times New Roman" w:hAnsi="Times New Roman" w:cs="Times New Roman"/>
          <w:color w:val="000000"/>
          <w:lang w:val="en-US"/>
        </w:rPr>
        <w:lastRenderedPageBreak/>
        <w:t xml:space="preserve">Estimation: Concepts and Methodology. Available: </w:t>
      </w:r>
      <w:hyperlink r:id="rId69">
        <w:r>
          <w:rPr>
            <w:rFonts w:ascii="Times New Roman" w:eastAsia="Times New Roman" w:hAnsi="Times New Roman" w:cs="Times New Roman"/>
            <w:color w:val="0563C1"/>
            <w:u w:val="single"/>
            <w:lang w:val="en-US"/>
          </w:rPr>
          <w:t>Chapter 2</w:t>
        </w:r>
        <w:r>
          <w:rPr>
            <w:rFonts w:ascii="Times New Roman" w:eastAsia="Times New Roman" w:hAnsi="Times New Roman" w:cs="Times New Roman"/>
            <w:color w:val="0563C1"/>
            <w:u w:val="single"/>
            <w:lang w:val="en-US"/>
          </w:rPr>
          <w:t xml:space="preserve"> - Cost Estimation: Concepts and Methodology (epa.gov)</w:t>
        </w:r>
      </w:hyperlink>
    </w:p>
    <w:p w:rsidR="00427336" w:rsidRDefault="000120B4">
      <w:pPr>
        <w:spacing w:after="0" w:line="240" w:lineRule="auto"/>
        <w:ind w:left="360"/>
        <w:jc w:val="both"/>
        <w:rPr>
          <w:lang w:val="en-US"/>
        </w:rPr>
      </w:pPr>
      <w:r>
        <w:rPr>
          <w:rFonts w:ascii="Times New Roman" w:eastAsia="Times New Roman" w:hAnsi="Times New Roman" w:cs="Times New Roman"/>
          <w:lang w:val="en-US"/>
        </w:rPr>
        <w:t xml:space="preserve">U.S. Environmental Protection Agency, Office of Pollution Prevention and Toxics (1995). </w:t>
      </w:r>
      <w:r>
        <w:rPr>
          <w:rFonts w:ascii="Times New Roman" w:eastAsia="Times New Roman" w:hAnsi="Times New Roman" w:cs="Times New Roman"/>
          <w:i/>
          <w:iCs/>
          <w:lang w:val="en-US"/>
        </w:rPr>
        <w:t xml:space="preserve">An introduction to Environmental Accounting </w:t>
      </w:r>
      <w:proofErr w:type="gramStart"/>
      <w:r>
        <w:rPr>
          <w:rFonts w:ascii="Times New Roman" w:eastAsia="Times New Roman" w:hAnsi="Times New Roman" w:cs="Times New Roman"/>
          <w:i/>
          <w:iCs/>
          <w:lang w:val="en-US"/>
        </w:rPr>
        <w:t>As</w:t>
      </w:r>
      <w:proofErr w:type="gramEnd"/>
      <w:r>
        <w:rPr>
          <w:rFonts w:ascii="Times New Roman" w:eastAsia="Times New Roman" w:hAnsi="Times New Roman" w:cs="Times New Roman"/>
          <w:i/>
          <w:iCs/>
          <w:lang w:val="en-US"/>
        </w:rPr>
        <w:t xml:space="preserve"> A Business Management Tool: Key Concepts And Terms,</w:t>
      </w:r>
      <w:r>
        <w:rPr>
          <w:rFonts w:ascii="Times New Roman" w:eastAsia="Times New Roman" w:hAnsi="Times New Roman" w:cs="Times New Roman"/>
          <w:lang w:val="en-US"/>
        </w:rPr>
        <w:t xml:space="preserve"> pp. 7-11.</w:t>
      </w:r>
    </w:p>
    <w:p w:rsidR="00427336" w:rsidRDefault="000120B4">
      <w:pPr>
        <w:spacing w:after="0" w:line="240" w:lineRule="auto"/>
        <w:ind w:left="360"/>
        <w:jc w:val="both"/>
        <w:rPr>
          <w:lang w:val="en-US"/>
        </w:rPr>
      </w:pPr>
      <w:hyperlink r:id="rId70">
        <w:r>
          <w:rPr>
            <w:rFonts w:ascii="Times New Roman" w:eastAsia="Times New Roman" w:hAnsi="Times New Roman" w:cs="Times New Roman"/>
            <w:color w:val="0563C1"/>
            <w:u w:val="single"/>
            <w:lang w:val="en-US"/>
          </w:rPr>
          <w:t>https://www.epa.gov/sites/default/files/2014-01/documents/busmgt.pdf</w:t>
        </w:r>
      </w:hyperlink>
      <w:r>
        <w:rPr>
          <w:rFonts w:ascii="Times New Roman" w:eastAsia="Times New Roman" w:hAnsi="Times New Roman" w:cs="Times New Roman"/>
          <w:lang w:val="en-US"/>
        </w:rPr>
        <w:t xml:space="preserve"> </w:t>
      </w:r>
    </w:p>
    <w:p w:rsidR="00427336" w:rsidRDefault="00427336">
      <w:pPr>
        <w:spacing w:after="0" w:line="240" w:lineRule="auto"/>
        <w:ind w:left="360"/>
        <w:jc w:val="both"/>
        <w:rPr>
          <w:lang w:val="en-US"/>
        </w:rPr>
      </w:pPr>
    </w:p>
    <w:p w:rsidR="00427336" w:rsidRDefault="000120B4">
      <w:pPr>
        <w:spacing w:line="240" w:lineRule="auto"/>
        <w:ind w:left="360"/>
        <w:jc w:val="both"/>
        <w:rPr>
          <w:lang w:val="en-US"/>
        </w:rPr>
      </w:pPr>
      <w:r>
        <w:rPr>
          <w:rFonts w:ascii="Times New Roman" w:eastAsia="Times New Roman" w:hAnsi="Times New Roman" w:cs="Times New Roman"/>
          <w:color w:val="000000"/>
          <w:lang w:val="en-US"/>
        </w:rPr>
        <w:t xml:space="preserve">United Nations Division for Sustainable Development (2001). </w:t>
      </w:r>
      <w:r>
        <w:rPr>
          <w:rFonts w:ascii="Times New Roman" w:eastAsia="Times New Roman" w:hAnsi="Times New Roman" w:cs="Times New Roman"/>
          <w:i/>
          <w:iCs/>
          <w:color w:val="000000"/>
          <w:lang w:val="en-US"/>
        </w:rPr>
        <w:t>Environmental Management Accounting Proce</w:t>
      </w:r>
      <w:r>
        <w:rPr>
          <w:rFonts w:ascii="Times New Roman" w:eastAsia="Times New Roman" w:hAnsi="Times New Roman" w:cs="Times New Roman"/>
          <w:i/>
          <w:iCs/>
          <w:color w:val="000000"/>
          <w:lang w:val="en-US"/>
        </w:rPr>
        <w:t>dures and Principles</w:t>
      </w:r>
      <w:r>
        <w:rPr>
          <w:rFonts w:ascii="Times New Roman" w:eastAsia="Times New Roman" w:hAnsi="Times New Roman" w:cs="Times New Roman"/>
          <w:color w:val="000000"/>
          <w:lang w:val="en-US"/>
        </w:rPr>
        <w:t xml:space="preserve">. Available: </w:t>
      </w:r>
      <w:hyperlink r:id="rId71">
        <w:r>
          <w:rPr>
            <w:rFonts w:ascii="Times New Roman" w:eastAsia="Times New Roman" w:hAnsi="Times New Roman" w:cs="Times New Roman"/>
            <w:color w:val="0563C1"/>
            <w:u w:val="single"/>
            <w:lang w:val="en-US"/>
          </w:rPr>
          <w:t>Webversion.PDF (un.org)</w:t>
        </w:r>
      </w:hyperlink>
    </w:p>
    <w:p w:rsidR="00427336" w:rsidRDefault="000120B4">
      <w:pPr>
        <w:spacing w:after="0" w:line="240" w:lineRule="auto"/>
        <w:ind w:left="360"/>
        <w:jc w:val="both"/>
        <w:rPr>
          <w:lang w:val="en-US"/>
        </w:rPr>
      </w:pPr>
      <w:r>
        <w:rPr>
          <w:rFonts w:ascii="Times New Roman" w:eastAsia="Times New Roman" w:hAnsi="Times New Roman" w:cs="Times New Roman"/>
          <w:lang w:val="en-US"/>
        </w:rPr>
        <w:t xml:space="preserve">Wang, J., Chao, M., Lin, G., </w:t>
      </w:r>
      <w:proofErr w:type="spellStart"/>
      <w:proofErr w:type="gramStart"/>
      <w:r>
        <w:rPr>
          <w:rFonts w:ascii="Times New Roman" w:eastAsia="Times New Roman" w:hAnsi="Times New Roman" w:cs="Times New Roman"/>
          <w:lang w:val="en-US"/>
        </w:rPr>
        <w:t>Gao,C</w:t>
      </w:r>
      <w:proofErr w:type="spellEnd"/>
      <w:r>
        <w:rPr>
          <w:rFonts w:ascii="Times New Roman" w:eastAsia="Times New Roman" w:hAnsi="Times New Roman" w:cs="Times New Roman"/>
          <w:lang w:val="en-US"/>
        </w:rPr>
        <w:t>.</w:t>
      </w:r>
      <w:proofErr w:type="gramEnd"/>
      <w:r>
        <w:rPr>
          <w:rFonts w:ascii="Times New Roman" w:eastAsia="Times New Roman" w:hAnsi="Times New Roman" w:cs="Times New Roman"/>
          <w:lang w:val="en-US"/>
        </w:rPr>
        <w:t xml:space="preserve"> &amp; Liu, D. (2015). </w:t>
      </w:r>
      <w:r>
        <w:rPr>
          <w:rFonts w:ascii="Times New Roman" w:eastAsia="Times New Roman" w:hAnsi="Times New Roman" w:cs="Times New Roman"/>
          <w:i/>
          <w:iCs/>
          <w:lang w:val="en-US"/>
        </w:rPr>
        <w:t>Proceedings of the 2015 International Symposium on Mat</w:t>
      </w:r>
      <w:r>
        <w:rPr>
          <w:rFonts w:ascii="Times New Roman" w:eastAsia="Times New Roman" w:hAnsi="Times New Roman" w:cs="Times New Roman"/>
          <w:i/>
          <w:iCs/>
          <w:lang w:val="en-US"/>
        </w:rPr>
        <w:t>erial, Energy and Environment Engineering.</w:t>
      </w:r>
      <w:r>
        <w:rPr>
          <w:rFonts w:ascii="Times New Roman" w:eastAsia="Times New Roman" w:hAnsi="Times New Roman" w:cs="Times New Roman"/>
          <w:lang w:val="en-US"/>
        </w:rPr>
        <w:t xml:space="preserve"> pp. 263-266. </w:t>
      </w:r>
      <w:hyperlink r:id="rId72">
        <w:r>
          <w:rPr>
            <w:rStyle w:val="Hyperlink"/>
            <w:rFonts w:ascii="Times New Roman" w:eastAsia="Times New Roman" w:hAnsi="Times New Roman" w:cs="Times New Roman"/>
            <w:color w:val="0563C1"/>
            <w:lang w:val="en-US"/>
          </w:rPr>
          <w:t>https://www.atlantis-press.com/proceedings/ism3e-15/25846188</w:t>
        </w:r>
      </w:hyperlink>
    </w:p>
    <w:p w:rsidR="00427336" w:rsidRDefault="00427336">
      <w:pPr>
        <w:spacing w:after="0" w:line="240" w:lineRule="auto"/>
        <w:ind w:left="360"/>
        <w:jc w:val="both"/>
        <w:rPr>
          <w:rFonts w:ascii="Times New Roman" w:eastAsia="Times New Roman" w:hAnsi="Times New Roman" w:cs="Times New Roman"/>
          <w:color w:val="0563C1"/>
          <w:u w:val="single"/>
          <w:lang w:val="en-US"/>
        </w:rPr>
      </w:pPr>
    </w:p>
    <w:p w:rsidR="00427336" w:rsidRDefault="000120B4">
      <w:pPr>
        <w:spacing w:after="0" w:line="240" w:lineRule="auto"/>
        <w:ind w:left="360"/>
        <w:jc w:val="both"/>
        <w:rPr>
          <w:lang w:val="en-US"/>
        </w:rPr>
      </w:pPr>
      <w:r>
        <w:rPr>
          <w:rFonts w:ascii="Times New Roman" w:eastAsia="Times New Roman" w:hAnsi="Times New Roman" w:cs="Times New Roman"/>
          <w:lang w:val="en-US"/>
        </w:rPr>
        <w:t xml:space="preserve">Yaya, R., </w:t>
      </w:r>
      <w:proofErr w:type="spellStart"/>
      <w:r>
        <w:rPr>
          <w:rFonts w:ascii="Times New Roman" w:eastAsia="Times New Roman" w:hAnsi="Times New Roman" w:cs="Times New Roman"/>
          <w:lang w:val="en-US"/>
        </w:rPr>
        <w:t>Wibowo</w:t>
      </w:r>
      <w:proofErr w:type="spellEnd"/>
      <w:r>
        <w:rPr>
          <w:rFonts w:ascii="Times New Roman" w:eastAsia="Times New Roman" w:hAnsi="Times New Roman" w:cs="Times New Roman"/>
          <w:lang w:val="en-US"/>
        </w:rPr>
        <w:t xml:space="preserve">, S.A., </w:t>
      </w:r>
      <w:proofErr w:type="spellStart"/>
      <w:r>
        <w:rPr>
          <w:rFonts w:ascii="Times New Roman" w:eastAsia="Times New Roman" w:hAnsi="Times New Roman" w:cs="Times New Roman"/>
          <w:lang w:val="en-US"/>
        </w:rPr>
        <w:t>Ulfaturrahmah</w:t>
      </w:r>
      <w:proofErr w:type="spellEnd"/>
      <w:r>
        <w:rPr>
          <w:rFonts w:ascii="Times New Roman" w:eastAsia="Times New Roman" w:hAnsi="Times New Roman" w:cs="Times New Roman"/>
          <w:lang w:val="en-US"/>
        </w:rPr>
        <w:t xml:space="preserve">, &amp; </w:t>
      </w:r>
      <w:proofErr w:type="spellStart"/>
      <w:r>
        <w:rPr>
          <w:rFonts w:ascii="Times New Roman" w:eastAsia="Times New Roman" w:hAnsi="Times New Roman" w:cs="Times New Roman"/>
          <w:lang w:val="en-US"/>
        </w:rPr>
        <w:t>Jalaludin</w:t>
      </w:r>
      <w:proofErr w:type="spellEnd"/>
      <w:r>
        <w:rPr>
          <w:rFonts w:ascii="Times New Roman" w:eastAsia="Times New Roman" w:hAnsi="Times New Roman" w:cs="Times New Roman"/>
          <w:lang w:val="en-US"/>
        </w:rPr>
        <w:t xml:space="preserve">, D. </w:t>
      </w:r>
      <w:r>
        <w:rPr>
          <w:rFonts w:ascii="Times New Roman" w:eastAsia="Times New Roman" w:hAnsi="Times New Roman" w:cs="Times New Roman"/>
          <w:lang w:val="en-US"/>
        </w:rPr>
        <w:t>(2018). Environmental disclosure practices after mandatory disclosure policy in Indonesia.</w:t>
      </w:r>
      <w:r>
        <w:rPr>
          <w:rFonts w:ascii="Times New Roman" w:eastAsia="Times New Roman" w:hAnsi="Times New Roman" w:cs="Times New Roman"/>
          <w:i/>
          <w:iCs/>
          <w:lang w:val="en-US"/>
        </w:rPr>
        <w:t> Journal of Business &amp; Retail Management Research,</w:t>
      </w:r>
      <w:r>
        <w:rPr>
          <w:rFonts w:ascii="Times New Roman" w:eastAsia="Times New Roman" w:hAnsi="Times New Roman" w:cs="Times New Roman"/>
          <w:lang w:val="en-US"/>
        </w:rPr>
        <w:t xml:space="preserve"> 12 (4): 88-100.</w:t>
      </w:r>
    </w:p>
    <w:p w:rsidR="00427336" w:rsidRDefault="000120B4">
      <w:pPr>
        <w:spacing w:after="0" w:line="240" w:lineRule="auto"/>
        <w:ind w:left="360"/>
        <w:jc w:val="both"/>
        <w:rPr>
          <w:lang w:val="en-US"/>
        </w:rPr>
      </w:pPr>
      <w:hyperlink r:id="rId73">
        <w:r>
          <w:rPr>
            <w:rStyle w:val="Hyperlink"/>
            <w:rFonts w:ascii="Times New Roman" w:eastAsia="Times New Roman" w:hAnsi="Times New Roman" w:cs="Times New Roman"/>
            <w:lang w:val="en-US"/>
          </w:rPr>
          <w:t>https://doi.org/10.24052/JBRMR/V12</w:t>
        </w:r>
        <w:r>
          <w:rPr>
            <w:rStyle w:val="Hyperlink"/>
            <w:rFonts w:ascii="Times New Roman" w:eastAsia="Times New Roman" w:hAnsi="Times New Roman" w:cs="Times New Roman"/>
            <w:lang w:val="en-US"/>
          </w:rPr>
          <w:t>IS04/ART-09</w:t>
        </w:r>
      </w:hyperlink>
      <w:r>
        <w:rPr>
          <w:rFonts w:ascii="Times New Roman" w:eastAsia="Times New Roman" w:hAnsi="Times New Roman" w:cs="Times New Roman"/>
          <w:lang w:val="en-US"/>
        </w:rPr>
        <w:t xml:space="preserve"> </w:t>
      </w:r>
    </w:p>
    <w:p w:rsidR="00427336" w:rsidRDefault="00427336">
      <w:pPr>
        <w:spacing w:line="240" w:lineRule="auto"/>
        <w:ind w:left="360"/>
        <w:jc w:val="both"/>
        <w:rPr>
          <w:rFonts w:ascii="Times New Roman" w:hAnsi="Times New Roman" w:cs="Times New Roman"/>
          <w:lang w:val="en-US"/>
        </w:rPr>
      </w:pPr>
    </w:p>
    <w:sectPr w:rsidR="00427336">
      <w:headerReference w:type="even" r:id="rId74"/>
      <w:headerReference w:type="default" r:id="rId75"/>
      <w:footerReference w:type="even" r:id="rId76"/>
      <w:footerReference w:type="default" r:id="rId77"/>
      <w:headerReference w:type="first" r:id="rId78"/>
      <w:footerReference w:type="first" r:id="rId79"/>
      <w:pgSz w:w="11906" w:h="16838"/>
      <w:pgMar w:top="1440" w:right="1440" w:bottom="1440" w:left="1440" w:header="708" w:footer="708"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20B4" w:rsidRDefault="000120B4">
      <w:pPr>
        <w:spacing w:after="0" w:line="240" w:lineRule="auto"/>
      </w:pPr>
      <w:r>
        <w:separator/>
      </w:r>
    </w:p>
  </w:endnote>
  <w:endnote w:type="continuationSeparator" w:id="0">
    <w:p w:rsidR="000120B4" w:rsidRDefault="000120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CAAD2567-4BA8-4983-8A30-77A446CDB6B8}"/>
    <w:embedBold r:id="rId2" w:fontKey="{33191C84-B9B3-4EFD-ABE8-19EDA417AA15}"/>
    <w:embedItalic r:id="rId3" w:fontKey="{2392A905-2346-4E1F-B4A1-5FCAEDCA90AE}"/>
  </w:font>
  <w:font w:name="Noto Sans Symbols">
    <w:charset w:val="01"/>
    <w:family w:val="swiss"/>
    <w:pitch w:val="default"/>
  </w:font>
  <w:font w:name="Calibri Light">
    <w:panose1 w:val="020F0302020204030204"/>
    <w:charset w:val="00"/>
    <w:family w:val="swiss"/>
    <w:pitch w:val="variable"/>
    <w:sig w:usb0="E4002EFF" w:usb1="C200247B" w:usb2="00000009" w:usb3="00000000" w:csb0="000001FF" w:csb1="00000000"/>
    <w:embedRegular r:id="rId4" w:fontKey="{F511D70C-3624-4A46-AABC-4043EDCA0892}"/>
    <w:embedBold r:id="rId5" w:fontKey="{71D6864E-138D-4074-9F7D-393CADD20566}"/>
    <w:embedItalic r:id="rId6" w:fontKey="{638EA9FA-AC32-4AB0-BF5F-4997F0658F24}"/>
  </w:font>
  <w:font w:name="Segoe UI">
    <w:panose1 w:val="020B0502040204020203"/>
    <w:charset w:val="00"/>
    <w:family w:val="swiss"/>
    <w:pitch w:val="variable"/>
    <w:sig w:usb0="E4002EFF" w:usb1="C000E47F" w:usb2="00000009" w:usb3="00000000" w:csb0="000001FF" w:csb1="00000000"/>
    <w:embedRegular r:id="rId7" w:fontKey="{42C1305D-CCB0-4710-9D96-38A0B0CD8133}"/>
  </w:font>
  <w:font w:name="Liberation Sans">
    <w:altName w:val="Arial"/>
    <w:charset w:val="00"/>
    <w:family w:val="swiss"/>
    <w:pitch w:val="variable"/>
    <w:embedRegular r:id="rId8" w:fontKey="{74D5A9B1-0044-4A7A-A8F9-849B583A6022}"/>
  </w:font>
  <w:font w:name="Microsoft YaHei">
    <w:panose1 w:val="020B0503020204020204"/>
    <w:charset w:val="00"/>
    <w:family w:val="roman"/>
    <w:notTrueType/>
    <w:pitch w:val="default"/>
    <w:embedRegular r:id="rId9" w:fontKey="{81329778-021E-46B7-B8EC-67050A389BA8}"/>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0" w:fontKey="{C7F4A0E0-8253-4369-BC90-435584D94D3B}"/>
    <w:embedItalic r:id="rId11" w:fontKey="{C6E3174A-B2A0-4829-AB37-5D194E748993}"/>
  </w:font>
  <w:font w:name="Liberation Serif">
    <w:altName w:val="Times New Roman"/>
    <w:charset w:val="00"/>
    <w:family w:val="roman"/>
    <w:pitch w:val="variable"/>
    <w:embedRegular r:id="rId12" w:fontKey="{C683FA7D-3A81-4F94-97D1-8FDD29E8FAF7}"/>
  </w:font>
  <w:font w:name="NSimSun">
    <w:panose1 w:val="02010609030101010101"/>
    <w:charset w:val="00"/>
    <w:family w:val="roman"/>
    <w:notTrueType/>
    <w:pitch w:val="default"/>
    <w:embedRegular r:id="rId13" w:fontKey="{F18AFDE2-8086-4FA4-9D3D-EE8B33049ED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7336" w:rsidRDefault="0042733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7336" w:rsidRDefault="000120B4">
    <w:pPr>
      <w:tabs>
        <w:tab w:val="center" w:pos="4513"/>
        <w:tab w:val="right" w:pos="9026"/>
      </w:tabs>
      <w:spacing w:after="0" w:line="240" w:lineRule="auto"/>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27</w:t>
    </w:r>
    <w:r>
      <w:rPr>
        <w:color w:val="000000"/>
      </w:rPr>
      <w:fldChar w:fldCharType="end"/>
    </w:r>
  </w:p>
  <w:p w:rsidR="00427336" w:rsidRDefault="00427336">
    <w:pPr>
      <w:tabs>
        <w:tab w:val="center" w:pos="4513"/>
        <w:tab w:val="right" w:pos="9026"/>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7336" w:rsidRDefault="000120B4">
    <w:pPr>
      <w:tabs>
        <w:tab w:val="center" w:pos="4513"/>
        <w:tab w:val="right" w:pos="9026"/>
      </w:tabs>
      <w:spacing w:after="0" w:line="240" w:lineRule="auto"/>
      <w:jc w:val="center"/>
      <w:rPr>
        <w:color w:val="000000"/>
      </w:rPr>
    </w:pPr>
    <w:r>
      <w:rPr>
        <w:color w:val="000000"/>
      </w:rPr>
      <w:fldChar w:fldCharType="begin"/>
    </w:r>
    <w:r>
      <w:rPr>
        <w:color w:val="000000"/>
      </w:rPr>
      <w:instrText xml:space="preserve"> PAGE </w:instrText>
    </w:r>
    <w:r>
      <w:rPr>
        <w:color w:val="000000"/>
      </w:rPr>
      <w:fldChar w:fldCharType="separate"/>
    </w:r>
    <w:r>
      <w:rPr>
        <w:color w:val="000000"/>
      </w:rPr>
      <w:t>27</w:t>
    </w:r>
    <w:r>
      <w:rPr>
        <w:color w:val="000000"/>
      </w:rPr>
      <w:fldChar w:fldCharType="end"/>
    </w:r>
  </w:p>
  <w:p w:rsidR="00427336" w:rsidRDefault="00427336">
    <w:pP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20B4" w:rsidRDefault="000120B4">
      <w:pPr>
        <w:spacing w:after="0" w:line="240" w:lineRule="auto"/>
      </w:pPr>
      <w:r>
        <w:separator/>
      </w:r>
    </w:p>
  </w:footnote>
  <w:footnote w:type="continuationSeparator" w:id="0">
    <w:p w:rsidR="000120B4" w:rsidRDefault="000120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7336" w:rsidRDefault="000120B4">
    <w:pPr>
      <w:pStyle w:val="Head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591126" o:spid="_x0000_s2051" type="#_x0000_t136" style="position:absolute;margin-left:0;margin-top:0;width:535.75pt;height:61.85pt;rotation:315;z-index:251656704;mso-wrap-style:none;mso-position-horizontal:center;mso-position-horizontal-relative:margin;mso-position-vertical:center;mso-position-vertical-relative:margin;v-text-anchor:middle" o:allowincell="f" fillcolor="silver" stroked="f" strokecolor="#3465a4">
          <v:fill opacity=".5" color2="#3f3f3f" o:detectmouseclick="t"/>
          <v:textpath style="font-family:&quot;Calibri&quot;;font-size:1pt" trim="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7336" w:rsidRDefault="000120B4">
    <w:pPr>
      <w:tabs>
        <w:tab w:val="center" w:pos="4513"/>
        <w:tab w:val="right" w:pos="9026"/>
      </w:tabs>
      <w:spacing w:after="0" w:line="240" w:lineRule="auto"/>
      <w:rPr>
        <w:color w:val="000000"/>
      </w:rPr>
    </w:pPr>
    <w:r>
      <w:rPr>
        <w:color w:val="00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63591127" o:spid="_x0000_s2050" type="#_x0000_t136" style="position:absolute;margin-left:0;margin-top:0;width:535.75pt;height:61.85pt;rotation:315;z-index:251657728;mso-wrap-style:none;mso-position-horizontal:center;mso-position-horizontal-relative:margin;mso-position-vertical:center;mso-position-vertical-relative:margin;v-text-anchor:middle" o:allowincell="f" fillcolor="silver" stroked="f" strokecolor="#3465a4">
          <v:fill opacity=".5" color2="#3f3f3f" o:detectmouseclick="t"/>
          <v:textpath style="font-family:&quot;Calibri&quot;;font-size:1pt" trim="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27336" w:rsidRDefault="000120B4">
    <w:pPr>
      <w:tabs>
        <w:tab w:val="center" w:pos="4513"/>
        <w:tab w:val="right" w:pos="9026"/>
      </w:tabs>
      <w:spacing w:after="0" w:line="240" w:lineRule="auto"/>
      <w:rPr>
        <w:color w:val="000000"/>
      </w:rPr>
    </w:pPr>
    <w:r>
      <w:rPr>
        <w:color w:val="00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margin-left:0;margin-top:0;width:535.75pt;height:61.85pt;rotation:315;z-index:251658752;mso-wrap-style:none;mso-position-horizontal:center;mso-position-horizontal-relative:margin;mso-position-vertical:center;mso-position-vertical-relative:margin;v-text-anchor:middle" o:allowincell="f" fillcolor="silver" stroked="f" strokecolor="#3465a4">
          <v:fill opacity=".5" color2="#3f3f3f" o:detectmouseclick="t"/>
          <v:textpath style="font-family:&quot;Calibri&quot;;font-size:1pt" trim="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E5F1C"/>
    <w:multiLevelType w:val="multilevel"/>
    <w:tmpl w:val="1E4246E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0D1753C2"/>
    <w:multiLevelType w:val="multilevel"/>
    <w:tmpl w:val="1A3A7EC2"/>
    <w:lvl w:ilvl="0">
      <w:start w:val="5"/>
      <w:numFmt w:val="bullet"/>
      <w:lvlText w:val="-"/>
      <w:lvlJc w:val="left"/>
      <w:pPr>
        <w:tabs>
          <w:tab w:val="num" w:pos="0"/>
        </w:tabs>
        <w:ind w:left="720" w:hanging="360"/>
      </w:pPr>
      <w:rPr>
        <w:rFonts w:ascii="Calibri" w:hAnsi="Calibri" w:cs="Calibri"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pStyle w:val="Heading3"/>
      <w:lvlText w:val="▪"/>
      <w:lvlJc w:val="left"/>
      <w:pPr>
        <w:tabs>
          <w:tab w:val="num" w:pos="0"/>
        </w:tabs>
        <w:ind w:left="2160" w:hanging="360"/>
      </w:pPr>
      <w:rPr>
        <w:rFonts w:ascii="Noto Sans Symbols" w:hAnsi="Noto Sans Symbols" w:cs="Noto Sans Symbols" w:hint="default"/>
      </w:rPr>
    </w:lvl>
    <w:lvl w:ilvl="3">
      <w:start w:val="1"/>
      <w:numFmt w:val="bullet"/>
      <w:pStyle w:val="Heading4"/>
      <w:lvlText w:val="●"/>
      <w:lvlJc w:val="left"/>
      <w:pPr>
        <w:tabs>
          <w:tab w:val="num" w:pos="0"/>
        </w:tabs>
        <w:ind w:left="2880" w:hanging="360"/>
      </w:pPr>
      <w:rPr>
        <w:rFonts w:ascii="Noto Sans Symbols" w:hAnsi="Noto Sans Symbols" w:cs="Noto Sans Symbols" w:hint="default"/>
      </w:rPr>
    </w:lvl>
    <w:lvl w:ilvl="4">
      <w:start w:val="1"/>
      <w:numFmt w:val="bullet"/>
      <w:pStyle w:val="Heading5"/>
      <w:lvlText w:val="o"/>
      <w:lvlJc w:val="left"/>
      <w:pPr>
        <w:tabs>
          <w:tab w:val="num" w:pos="0"/>
        </w:tabs>
        <w:ind w:left="3600" w:hanging="360"/>
      </w:pPr>
      <w:rPr>
        <w:rFonts w:ascii="Courier New" w:hAnsi="Courier New" w:cs="Courier New" w:hint="default"/>
      </w:rPr>
    </w:lvl>
    <w:lvl w:ilvl="5">
      <w:start w:val="1"/>
      <w:numFmt w:val="bullet"/>
      <w:pStyle w:val="Heading6"/>
      <w:lvlText w:val="▪"/>
      <w:lvlJc w:val="left"/>
      <w:pPr>
        <w:tabs>
          <w:tab w:val="num" w:pos="0"/>
        </w:tabs>
        <w:ind w:left="4320" w:hanging="360"/>
      </w:pPr>
      <w:rPr>
        <w:rFonts w:ascii="Noto Sans Symbols" w:hAnsi="Noto Sans Symbols" w:cs="Noto Sans Symbols" w:hint="default"/>
      </w:rPr>
    </w:lvl>
    <w:lvl w:ilvl="6">
      <w:start w:val="1"/>
      <w:numFmt w:val="bullet"/>
      <w:pStyle w:val="Heading7"/>
      <w:lvlText w:val="●"/>
      <w:lvlJc w:val="left"/>
      <w:pPr>
        <w:tabs>
          <w:tab w:val="num" w:pos="0"/>
        </w:tabs>
        <w:ind w:left="5040" w:hanging="360"/>
      </w:pPr>
      <w:rPr>
        <w:rFonts w:ascii="Noto Sans Symbols" w:hAnsi="Noto Sans Symbols" w:cs="Noto Sans Symbols" w:hint="default"/>
      </w:rPr>
    </w:lvl>
    <w:lvl w:ilvl="7">
      <w:start w:val="1"/>
      <w:numFmt w:val="bullet"/>
      <w:pStyle w:val="Heading8"/>
      <w:lvlText w:val="o"/>
      <w:lvlJc w:val="left"/>
      <w:pPr>
        <w:tabs>
          <w:tab w:val="num" w:pos="0"/>
        </w:tabs>
        <w:ind w:left="5760" w:hanging="360"/>
      </w:pPr>
      <w:rPr>
        <w:rFonts w:ascii="Courier New" w:hAnsi="Courier New" w:cs="Courier New" w:hint="default"/>
      </w:rPr>
    </w:lvl>
    <w:lvl w:ilvl="8">
      <w:start w:val="1"/>
      <w:numFmt w:val="bullet"/>
      <w:pStyle w:val="Heading9"/>
      <w:lvlText w:val="▪"/>
      <w:lvlJc w:val="left"/>
      <w:pPr>
        <w:tabs>
          <w:tab w:val="num" w:pos="0"/>
        </w:tabs>
        <w:ind w:left="6480" w:hanging="360"/>
      </w:pPr>
      <w:rPr>
        <w:rFonts w:ascii="Noto Sans Symbols" w:hAnsi="Noto Sans Symbols" w:cs="Noto Sans Symbols" w:hint="default"/>
      </w:rPr>
    </w:lvl>
  </w:abstractNum>
  <w:abstractNum w:abstractNumId="2" w15:restartNumberingAfterBreak="0">
    <w:nsid w:val="161E3842"/>
    <w:multiLevelType w:val="multilevel"/>
    <w:tmpl w:val="F8A0CCC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1A584C41"/>
    <w:multiLevelType w:val="multilevel"/>
    <w:tmpl w:val="3DE2567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2D9D17DC"/>
    <w:multiLevelType w:val="multilevel"/>
    <w:tmpl w:val="F51E3B7C"/>
    <w:lvl w:ilvl="0">
      <w:start w:val="1"/>
      <w:numFmt w:val="decimal"/>
      <w:pStyle w:val="Heading1"/>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5" w15:restartNumberingAfterBreak="0">
    <w:nsid w:val="41A21B32"/>
    <w:multiLevelType w:val="multilevel"/>
    <w:tmpl w:val="09F2E9F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4D4C290E"/>
    <w:multiLevelType w:val="multilevel"/>
    <w:tmpl w:val="6B062B4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64611EEF"/>
    <w:multiLevelType w:val="multilevel"/>
    <w:tmpl w:val="B75E13C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771A6A6F"/>
    <w:multiLevelType w:val="multilevel"/>
    <w:tmpl w:val="016601A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abstractNumId w:val="1"/>
  </w:num>
  <w:num w:numId="2">
    <w:abstractNumId w:val="4"/>
  </w:num>
  <w:num w:numId="3">
    <w:abstractNumId w:val="5"/>
  </w:num>
  <w:num w:numId="4">
    <w:abstractNumId w:val="3"/>
  </w:num>
  <w:num w:numId="5">
    <w:abstractNumId w:val="6"/>
  </w:num>
  <w:num w:numId="6">
    <w:abstractNumId w:val="0"/>
  </w:num>
  <w:num w:numId="7">
    <w:abstractNumId w:val="2"/>
  </w:num>
  <w:num w:numId="8">
    <w:abstractNumId w:val="8"/>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embedTrueTypeFonts/>
  <w:proofState w:spelling="clean" w:grammar="clean"/>
  <w:defaultTabStop w:val="720"/>
  <w:autoHyphenation/>
  <w:hyphenationZone w:val="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xMLAwNTMzMLc0MjYwNrJQ0lEKTi0uzszPAykwrAUArhU7FywAAAA="/>
  </w:docVars>
  <w:rsids>
    <w:rsidRoot w:val="00427336"/>
    <w:rsid w:val="000120B4"/>
    <w:rsid w:val="00427336"/>
    <w:rsid w:val="00AF74A7"/>
  </w:rsids>
  <m:mathPr>
    <m:mathFont m:val="Cambria Math"/>
    <m:brkBin m:val="before"/>
    <m:brkBinSub m:val="--"/>
    <m:smallFrac m:val="0"/>
    <m:dispDef/>
    <m:lMargin m:val="0"/>
    <m:rMargin m:val="0"/>
    <m:defJc m:val="centerGroup"/>
    <m:wrapIndent m:val="1440"/>
    <m:intLim m:val="subSup"/>
    <m:naryLim m:val="undOvr"/>
  </m:mathPr>
  <w:themeFontLang w:val="hu-HU" w:eastAsia="" w:bidi=""/>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07B63456"/>
  <w15:docId w15:val="{9EDF4473-A43C-4D76-8F8A-EB5AD0D5E6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en-GB" w:eastAsia="hu-HU" w:bidi="ar-SA"/>
      </w:rPr>
    </w:rPrDefault>
    <w:pPrDefault>
      <w:pPr>
        <w:suppressAutoHyphens/>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64E86"/>
    <w:pPr>
      <w:spacing w:after="160" w:line="259" w:lineRule="auto"/>
    </w:pPr>
  </w:style>
  <w:style w:type="paragraph" w:styleId="Heading1">
    <w:name w:val="heading 1"/>
    <w:basedOn w:val="Normal"/>
    <w:next w:val="Normal"/>
    <w:link w:val="Heading1Char"/>
    <w:uiPriority w:val="9"/>
    <w:qFormat/>
    <w:rsid w:val="00D017A7"/>
    <w:pPr>
      <w:keepNext/>
      <w:keepLines/>
      <w:numPr>
        <w:numId w:val="2"/>
      </w:numPr>
      <w:spacing w:before="240" w:after="120"/>
      <w:outlineLvl w:val="0"/>
    </w:pPr>
    <w:rPr>
      <w:rFonts w:ascii="Times New Roman" w:eastAsiaTheme="majorEastAsia" w:hAnsi="Times New Roman"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017A7"/>
    <w:pPr>
      <w:keepNext/>
      <w:keepLines/>
      <w:spacing w:before="160" w:after="120"/>
      <w:outlineLvl w:val="1"/>
    </w:pPr>
    <w:rPr>
      <w:rFonts w:ascii="Times New Roman" w:eastAsiaTheme="majorEastAsia" w:hAnsi="Times New Roman"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4B19EC"/>
    <w:pPr>
      <w:keepNext/>
      <w:keepLines/>
      <w:numPr>
        <w:ilvl w:val="2"/>
        <w:numId w:val="1"/>
      </w:numPr>
      <w:spacing w:before="40" w:after="0"/>
      <w:outlineLvl w:val="2"/>
    </w:pPr>
    <w:rPr>
      <w:rFonts w:ascii="Times New Roman" w:eastAsiaTheme="majorEastAsia" w:hAnsi="Times New Roman" w:cstheme="majorBidi"/>
      <w:color w:val="1F3763" w:themeColor="accent1" w:themeShade="7F"/>
    </w:rPr>
  </w:style>
  <w:style w:type="paragraph" w:styleId="Heading4">
    <w:name w:val="heading 4"/>
    <w:basedOn w:val="Normal"/>
    <w:next w:val="Normal"/>
    <w:link w:val="Heading4Char"/>
    <w:uiPriority w:val="9"/>
    <w:semiHidden/>
    <w:unhideWhenUsed/>
    <w:qFormat/>
    <w:rsid w:val="00BB236C"/>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BB236C"/>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B236C"/>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BB236C"/>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B236C"/>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B236C"/>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306F9"/>
    <w:rPr>
      <w:color w:val="0563C1" w:themeColor="hyperlink"/>
      <w:u w:val="single"/>
    </w:rPr>
  </w:style>
  <w:style w:type="character" w:customStyle="1" w:styleId="Heading1Char">
    <w:name w:val="Heading 1 Char"/>
    <w:basedOn w:val="DefaultParagraphFont"/>
    <w:link w:val="Heading1"/>
    <w:uiPriority w:val="9"/>
    <w:qFormat/>
    <w:rsid w:val="000171DB"/>
    <w:rPr>
      <w:rFonts w:ascii="Times New Roman" w:eastAsiaTheme="majorEastAsia" w:hAnsi="Times New Roman" w:cstheme="majorBidi"/>
      <w:color w:val="2F5496" w:themeColor="accent1" w:themeShade="BF"/>
      <w:sz w:val="32"/>
      <w:szCs w:val="32"/>
    </w:rPr>
  </w:style>
  <w:style w:type="character" w:customStyle="1" w:styleId="Heading2Char">
    <w:name w:val="Heading 2 Char"/>
    <w:basedOn w:val="DefaultParagraphFont"/>
    <w:link w:val="Heading2"/>
    <w:uiPriority w:val="9"/>
    <w:qFormat/>
    <w:rsid w:val="00463AD3"/>
    <w:rPr>
      <w:rFonts w:ascii="Times New Roman" w:eastAsiaTheme="majorEastAsia" w:hAnsi="Times New Roman" w:cstheme="majorBidi"/>
      <w:color w:val="2F5496" w:themeColor="accent1" w:themeShade="BF"/>
      <w:sz w:val="26"/>
      <w:szCs w:val="26"/>
    </w:rPr>
  </w:style>
  <w:style w:type="character" w:customStyle="1" w:styleId="Heading3Char">
    <w:name w:val="Heading 3 Char"/>
    <w:basedOn w:val="DefaultParagraphFont"/>
    <w:link w:val="Heading3"/>
    <w:uiPriority w:val="9"/>
    <w:qFormat/>
    <w:rsid w:val="004B19EC"/>
    <w:rPr>
      <w:rFonts w:ascii="Times New Roman" w:eastAsiaTheme="majorEastAsia" w:hAnsi="Times New Roman" w:cstheme="majorBidi"/>
      <w:color w:val="1F3763" w:themeColor="accent1" w:themeShade="7F"/>
      <w:sz w:val="24"/>
      <w:szCs w:val="24"/>
    </w:rPr>
  </w:style>
  <w:style w:type="character" w:customStyle="1" w:styleId="Heading4Char">
    <w:name w:val="Heading 4 Char"/>
    <w:basedOn w:val="DefaultParagraphFont"/>
    <w:link w:val="Heading4"/>
    <w:uiPriority w:val="9"/>
    <w:semiHidden/>
    <w:qFormat/>
    <w:rsid w:val="00BB236C"/>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qFormat/>
    <w:rsid w:val="00BB236C"/>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qFormat/>
    <w:rsid w:val="00BB236C"/>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qFormat/>
    <w:rsid w:val="00BB236C"/>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qFormat/>
    <w:rsid w:val="00BB236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qFormat/>
    <w:rsid w:val="00BB236C"/>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sid w:val="005F4ACB"/>
    <w:rPr>
      <w:color w:val="954F72" w:themeColor="followedHyperlink"/>
      <w:u w:val="single"/>
    </w:rPr>
  </w:style>
  <w:style w:type="character" w:customStyle="1" w:styleId="UnresolvedMention1">
    <w:name w:val="Unresolved Mention1"/>
    <w:basedOn w:val="DefaultParagraphFont"/>
    <w:uiPriority w:val="99"/>
    <w:semiHidden/>
    <w:unhideWhenUsed/>
    <w:qFormat/>
    <w:rsid w:val="005F4ACB"/>
    <w:rPr>
      <w:color w:val="605E5C"/>
      <w:shd w:val="clear" w:color="auto" w:fill="E1DFDD"/>
    </w:rPr>
  </w:style>
  <w:style w:type="character" w:customStyle="1" w:styleId="CommentTextChar">
    <w:name w:val="Comment Text Char"/>
    <w:basedOn w:val="DefaultParagraphFont"/>
    <w:link w:val="CommentText"/>
    <w:uiPriority w:val="99"/>
    <w:qFormat/>
    <w:rPr>
      <w:sz w:val="20"/>
      <w:szCs w:val="20"/>
    </w:rPr>
  </w:style>
  <w:style w:type="character" w:styleId="CommentReference">
    <w:name w:val="annotation reference"/>
    <w:basedOn w:val="DefaultParagraphFont"/>
    <w:uiPriority w:val="99"/>
    <w:semiHidden/>
    <w:unhideWhenUsed/>
    <w:qFormat/>
    <w:rPr>
      <w:sz w:val="16"/>
      <w:szCs w:val="16"/>
    </w:rPr>
  </w:style>
  <w:style w:type="character" w:customStyle="1" w:styleId="HeaderChar">
    <w:name w:val="Header Char"/>
    <w:basedOn w:val="DefaultParagraphFont"/>
    <w:link w:val="Header"/>
    <w:uiPriority w:val="99"/>
    <w:qFormat/>
    <w:rsid w:val="00810451"/>
  </w:style>
  <w:style w:type="character" w:customStyle="1" w:styleId="FooterChar">
    <w:name w:val="Footer Char"/>
    <w:basedOn w:val="DefaultParagraphFont"/>
    <w:link w:val="Footer"/>
    <w:uiPriority w:val="99"/>
    <w:qFormat/>
    <w:rsid w:val="00810451"/>
  </w:style>
  <w:style w:type="character" w:customStyle="1" w:styleId="CommentSubjectChar">
    <w:name w:val="Comment Subject Char"/>
    <w:basedOn w:val="CommentTextChar"/>
    <w:link w:val="CommentSubject"/>
    <w:uiPriority w:val="99"/>
    <w:semiHidden/>
    <w:qFormat/>
    <w:rsid w:val="00C5578B"/>
    <w:rPr>
      <w:b/>
      <w:bCs/>
      <w:sz w:val="20"/>
      <w:szCs w:val="20"/>
    </w:rPr>
  </w:style>
  <w:style w:type="character" w:customStyle="1" w:styleId="cf01">
    <w:name w:val="cf01"/>
    <w:basedOn w:val="DefaultParagraphFont"/>
    <w:qFormat/>
    <w:rsid w:val="00B049D7"/>
    <w:rPr>
      <w:rFonts w:ascii="Segoe UI" w:hAnsi="Segoe UI" w:cs="Segoe UI"/>
      <w:sz w:val="18"/>
      <w:szCs w:val="18"/>
    </w:rPr>
  </w:style>
  <w:style w:type="character" w:customStyle="1" w:styleId="BodyTextChar">
    <w:name w:val="Body Text Char"/>
    <w:basedOn w:val="DefaultParagraphFont"/>
    <w:link w:val="BodyText"/>
    <w:uiPriority w:val="99"/>
    <w:semiHidden/>
    <w:qFormat/>
    <w:rsid w:val="00E76B21"/>
  </w:style>
  <w:style w:type="character" w:customStyle="1" w:styleId="BodyTextFirstIndentChar">
    <w:name w:val="Body Text First Indent Char"/>
    <w:basedOn w:val="BodyTextChar"/>
    <w:link w:val="BodyTextFirstIndent"/>
    <w:uiPriority w:val="99"/>
    <w:qFormat/>
    <w:rsid w:val="00E76B21"/>
  </w:style>
  <w:style w:type="character" w:customStyle="1" w:styleId="IndexLink">
    <w:name w:val="Index Link"/>
    <w:qFormat/>
  </w:style>
  <w:style w:type="character" w:styleId="Emphasis">
    <w:name w:val="Emphasis"/>
    <w:qFormat/>
    <w:rPr>
      <w:i/>
      <w:iCs/>
    </w:rPr>
  </w:style>
  <w:style w:type="character" w:customStyle="1" w:styleId="NumberingSymbols">
    <w:name w:val="Numbering Symbols"/>
    <w:qFormat/>
  </w:style>
  <w:style w:type="character" w:customStyle="1" w:styleId="Feloldatlanmegemlts1">
    <w:name w:val="Feloldatlan megemlítés1"/>
    <w:basedOn w:val="DefaultParagraphFont"/>
    <w:uiPriority w:val="99"/>
    <w:semiHidden/>
    <w:unhideWhenUsed/>
    <w:qFormat/>
    <w:rsid w:val="009800A2"/>
    <w:rPr>
      <w:color w:val="605E5C"/>
      <w:shd w:val="clear" w:color="auto" w:fill="E1DFDD"/>
    </w:rPr>
  </w:style>
  <w:style w:type="paragraph" w:customStyle="1" w:styleId="Heading">
    <w:name w:val="Heading"/>
    <w:basedOn w:val="Normal"/>
    <w:next w:val="BodyText"/>
    <w:qFormat/>
    <w:pPr>
      <w:keepNext/>
      <w:spacing w:before="240" w:after="120"/>
    </w:pPr>
    <w:rPr>
      <w:rFonts w:ascii="Liberation Sans" w:eastAsia="Microsoft YaHei" w:hAnsi="Liberation Sans" w:cs="Arial"/>
      <w:sz w:val="28"/>
      <w:szCs w:val="28"/>
    </w:rPr>
  </w:style>
  <w:style w:type="paragraph" w:styleId="BodyText">
    <w:name w:val="Body Text"/>
    <w:basedOn w:val="Normal"/>
    <w:link w:val="BodyTextChar"/>
    <w:uiPriority w:val="99"/>
    <w:semiHidden/>
    <w:unhideWhenUsed/>
    <w:rsid w:val="00E76B21"/>
    <w:pPr>
      <w:spacing w:after="120"/>
    </w:pPr>
  </w:style>
  <w:style w:type="paragraph" w:styleId="List">
    <w:name w:val="List"/>
    <w:basedOn w:val="BodyText"/>
    <w:rPr>
      <w:rFonts w:cs="Arial"/>
    </w:rPr>
  </w:style>
  <w:style w:type="paragraph" w:styleId="Caption">
    <w:name w:val="caption"/>
    <w:basedOn w:val="Normal"/>
    <w:next w:val="Normal"/>
    <w:uiPriority w:val="35"/>
    <w:unhideWhenUsed/>
    <w:qFormat/>
    <w:rsid w:val="00936196"/>
    <w:pPr>
      <w:spacing w:after="200" w:line="240" w:lineRule="auto"/>
    </w:pPr>
    <w:rPr>
      <w:i/>
      <w:iCs/>
      <w:color w:val="44546A" w:themeColor="text2"/>
      <w:sz w:val="18"/>
      <w:szCs w:val="18"/>
    </w:rPr>
  </w:style>
  <w:style w:type="paragraph" w:customStyle="1" w:styleId="Index">
    <w:name w:val="Index"/>
    <w:basedOn w:val="Normal"/>
    <w:qFormat/>
    <w:pPr>
      <w:suppressLineNumbers/>
    </w:pPr>
    <w:rPr>
      <w:rFonts w:cs="Arial"/>
    </w:rPr>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B95C29"/>
    <w:pPr>
      <w:ind w:left="720"/>
      <w:contextualSpacing/>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CommentText">
    <w:name w:val="annotation text"/>
    <w:basedOn w:val="Normal"/>
    <w:link w:val="CommentTextChar"/>
    <w:uiPriority w:val="99"/>
    <w:unhideWhenUsed/>
    <w:pPr>
      <w:spacing w:line="240" w:lineRule="auto"/>
    </w:pPr>
    <w:rPr>
      <w:sz w:val="20"/>
      <w:szCs w:val="20"/>
    </w:rPr>
  </w:style>
  <w:style w:type="paragraph" w:customStyle="1" w:styleId="HeaderandFooter">
    <w:name w:val="Header and Footer"/>
    <w:basedOn w:val="Normal"/>
    <w:qFormat/>
  </w:style>
  <w:style w:type="paragraph" w:styleId="Header">
    <w:name w:val="header"/>
    <w:basedOn w:val="Normal"/>
    <w:link w:val="HeaderChar"/>
    <w:uiPriority w:val="99"/>
    <w:unhideWhenUsed/>
    <w:rsid w:val="00810451"/>
    <w:pPr>
      <w:tabs>
        <w:tab w:val="center" w:pos="4513"/>
        <w:tab w:val="right" w:pos="9026"/>
      </w:tabs>
      <w:spacing w:after="0" w:line="240" w:lineRule="auto"/>
    </w:pPr>
  </w:style>
  <w:style w:type="paragraph" w:styleId="Footer">
    <w:name w:val="footer"/>
    <w:basedOn w:val="Normal"/>
    <w:link w:val="FooterChar"/>
    <w:uiPriority w:val="99"/>
    <w:unhideWhenUsed/>
    <w:rsid w:val="00810451"/>
    <w:pPr>
      <w:tabs>
        <w:tab w:val="center" w:pos="4513"/>
        <w:tab w:val="right" w:pos="9026"/>
      </w:tabs>
      <w:spacing w:after="0" w:line="240" w:lineRule="auto"/>
    </w:pPr>
  </w:style>
  <w:style w:type="paragraph" w:styleId="IndexHeading">
    <w:name w:val="index heading"/>
    <w:basedOn w:val="Heading"/>
  </w:style>
  <w:style w:type="paragraph" w:styleId="TOCHeading">
    <w:name w:val="TOC Heading"/>
    <w:basedOn w:val="Heading1"/>
    <w:next w:val="Normal"/>
    <w:uiPriority w:val="39"/>
    <w:unhideWhenUsed/>
    <w:qFormat/>
    <w:rsid w:val="009C7DFB"/>
    <w:pPr>
      <w:numPr>
        <w:numId w:val="0"/>
      </w:numPr>
      <w:outlineLvl w:val="9"/>
    </w:pPr>
    <w:rPr>
      <w:rFonts w:asciiTheme="majorHAnsi" w:hAnsiTheme="majorHAnsi"/>
      <w:lang w:val="en-US" w:eastAsia="en-US"/>
    </w:rPr>
  </w:style>
  <w:style w:type="paragraph" w:styleId="TOC1">
    <w:name w:val="toc 1"/>
    <w:basedOn w:val="Normal"/>
    <w:next w:val="Normal"/>
    <w:autoRedefine/>
    <w:uiPriority w:val="39"/>
    <w:unhideWhenUsed/>
    <w:rsid w:val="009C7DFB"/>
    <w:pPr>
      <w:spacing w:after="100"/>
    </w:pPr>
  </w:style>
  <w:style w:type="paragraph" w:styleId="TOC2">
    <w:name w:val="toc 2"/>
    <w:basedOn w:val="Normal"/>
    <w:next w:val="Normal"/>
    <w:autoRedefine/>
    <w:uiPriority w:val="39"/>
    <w:unhideWhenUsed/>
    <w:rsid w:val="009C7DFB"/>
    <w:pPr>
      <w:spacing w:after="100"/>
      <w:ind w:left="240"/>
    </w:pPr>
  </w:style>
  <w:style w:type="paragraph" w:styleId="NormalWeb">
    <w:name w:val="Normal (Web)"/>
    <w:basedOn w:val="Normal"/>
    <w:uiPriority w:val="99"/>
    <w:unhideWhenUsed/>
    <w:qFormat/>
    <w:rsid w:val="00D67805"/>
    <w:pPr>
      <w:spacing w:beforeAutospacing="1" w:afterAutospacing="1" w:line="240" w:lineRule="auto"/>
    </w:pPr>
    <w:rPr>
      <w:rFonts w:ascii="Times New Roman" w:eastAsia="Times New Roman" w:hAnsi="Times New Roman" w:cs="Times New Roman"/>
    </w:rPr>
  </w:style>
  <w:style w:type="paragraph" w:styleId="Revision">
    <w:name w:val="Revision"/>
    <w:uiPriority w:val="99"/>
    <w:semiHidden/>
    <w:qFormat/>
    <w:rsid w:val="00D80B19"/>
  </w:style>
  <w:style w:type="paragraph" w:styleId="CommentSubject">
    <w:name w:val="annotation subject"/>
    <w:basedOn w:val="CommentText"/>
    <w:next w:val="CommentText"/>
    <w:link w:val="CommentSubjectChar"/>
    <w:uiPriority w:val="99"/>
    <w:semiHidden/>
    <w:unhideWhenUsed/>
    <w:qFormat/>
    <w:rsid w:val="00C5578B"/>
    <w:rPr>
      <w:b/>
      <w:bCs/>
    </w:rPr>
  </w:style>
  <w:style w:type="paragraph" w:customStyle="1" w:styleId="pf0">
    <w:name w:val="pf0"/>
    <w:basedOn w:val="Normal"/>
    <w:qFormat/>
    <w:rsid w:val="00B049D7"/>
    <w:pPr>
      <w:spacing w:beforeAutospacing="1" w:afterAutospacing="1" w:line="240" w:lineRule="auto"/>
    </w:pPr>
    <w:rPr>
      <w:rFonts w:ascii="Times New Roman" w:eastAsia="Times New Roman" w:hAnsi="Times New Roman" w:cs="Times New Roman"/>
      <w:lang w:eastAsia="en-GB"/>
    </w:rPr>
  </w:style>
  <w:style w:type="paragraph" w:styleId="BodyTextFirstIndent">
    <w:name w:val="Body Text First Indent"/>
    <w:basedOn w:val="BodyText"/>
    <w:link w:val="BodyTextFirstIndentChar"/>
    <w:uiPriority w:val="99"/>
    <w:unhideWhenUsed/>
    <w:rsid w:val="00E76B21"/>
    <w:pPr>
      <w:spacing w:after="160"/>
      <w:ind w:firstLine="360"/>
    </w:pPr>
  </w:style>
  <w:style w:type="paragraph" w:styleId="TOC3">
    <w:name w:val="toc 3"/>
    <w:basedOn w:val="Index"/>
  </w:style>
  <w:style w:type="paragraph" w:styleId="TOC4">
    <w:name w:val="toc 4"/>
    <w:basedOn w:val="Index"/>
  </w:style>
  <w:style w:type="paragraph" w:styleId="TOC5">
    <w:name w:val="toc 5"/>
    <w:basedOn w:val="Index"/>
  </w:style>
  <w:style w:type="paragraph" w:styleId="TOC6">
    <w:name w:val="toc 6"/>
    <w:basedOn w:val="Index"/>
  </w:style>
  <w:style w:type="paragraph" w:styleId="TOC7">
    <w:name w:val="toc 7"/>
    <w:basedOn w:val="Index"/>
  </w:style>
  <w:style w:type="paragraph" w:styleId="TOC8">
    <w:name w:val="toc 8"/>
    <w:basedOn w:val="Index"/>
  </w:style>
  <w:style w:type="paragraph" w:styleId="TOC9">
    <w:name w:val="toc 9"/>
    <w:basedOn w:val="Index"/>
  </w:style>
  <w:style w:type="paragraph" w:customStyle="1" w:styleId="FrameContentsuser">
    <w:name w:val="Frame Contents (user)"/>
    <w:basedOn w:val="Normal"/>
    <w:qFormat/>
  </w:style>
  <w:style w:type="paragraph" w:customStyle="1" w:styleId="HeaderLeftuser">
    <w:name w:val="Header Left (user)"/>
    <w:basedOn w:val="Header"/>
    <w:qFormat/>
  </w:style>
  <w:style w:type="paragraph" w:customStyle="1" w:styleId="FrameContents">
    <w:name w:val="Frame Contents"/>
    <w:basedOn w:val="Normal"/>
    <w:qFormat/>
  </w:style>
  <w:style w:type="table" w:customStyle="1" w:styleId="TableNormal1">
    <w:name w:val="Table Normal1"/>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table" w:styleId="TableGrid">
    <w:name w:val="Table Grid"/>
    <w:basedOn w:val="TableNormal"/>
    <w:uiPriority w:val="59"/>
    <w:rsid w:val="00714B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1">
    <w:name w:val="Plain Table 1"/>
    <w:basedOn w:val="TableNormal"/>
    <w:uiPriority w:val="41"/>
    <w:rsid w:val="00714B9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blStylePr w:type="firstRow">
      <w:rPr>
        <w:b/>
        <w:bCs/>
      </w:rPr>
    </w:tblStylePr>
    <w:tblStylePr w:type="lastRow">
      <w:rPr>
        <w:b/>
        <w:bCs/>
      </w:rPr>
      <w:tblPr/>
      <w:tcPr>
        <w:tcBorders>
          <w:top w:val="double" w:sz="4" w:space="0" w:color="FFFFFF" w:themeColor="background1"/>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714B9D"/>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style>
  <w:style w:type="table" w:styleId="GridTable4-Accent3">
    <w:name w:val="Grid Table 4 Accent 3"/>
    <w:basedOn w:val="TableNormal"/>
    <w:uiPriority w:val="49"/>
    <w:rsid w:val="00714B9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
    <w:name w:val="Grid Table 2"/>
    <w:basedOn w:val="TableNormal"/>
    <w:uiPriority w:val="47"/>
    <w:rsid w:val="00714B9D"/>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000000" w:themeColor="text1"/>
          <w:insideH w:val="nil"/>
          <w:insideV w:val="nil"/>
        </w:tcBorders>
        <w:shd w:val="clear" w:color="auto" w:fill="FFFFFF" w:themeFill="background1"/>
      </w:tcPr>
    </w:tblStylePr>
    <w:tblStylePr w:type="lastRow">
      <w:rPr>
        <w:b/>
        <w:bCs/>
      </w:rPr>
      <w:tblPr/>
      <w:tcPr>
        <w:tcBorders>
          <w:top w:val="double" w:sz="2" w:space="0" w:color="000000" w:themeColor="text1"/>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37296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styleId="GridTable5Dark-Accent3">
    <w:name w:val="Grid Table 5 Dark Accent 3"/>
    <w:basedOn w:val="TableNormal"/>
    <w:uiPriority w:val="50"/>
    <w:rsid w:val="00E40C1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5Dark-Accent6">
    <w:name w:val="Grid Table 5 Dark Accent 6"/>
    <w:basedOn w:val="TableNormal"/>
    <w:uiPriority w:val="50"/>
    <w:rsid w:val="00E40C1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s://econation.one/external-costs/" TargetMode="External"/><Relationship Id="rId21" Type="http://schemas.openxmlformats.org/officeDocument/2006/relationships/hyperlink" Target="https://dictionary.cambridge.org/dictionary/english/cost" TargetMode="External"/><Relationship Id="rId42" Type="http://schemas.openxmlformats.org/officeDocument/2006/relationships/hyperlink" Target="https://doi.org/10.1016/j.indic.2023.100275" TargetMode="External"/><Relationship Id="rId47" Type="http://schemas.openxmlformats.org/officeDocument/2006/relationships/hyperlink" Target="https://doi.org/10.3390/su132313282" TargetMode="External"/><Relationship Id="rId63" Type="http://schemas.openxmlformats.org/officeDocument/2006/relationships/hyperlink" Target="https://doi.org/10.1007/978-1-4020-4974-3" TargetMode="External"/><Relationship Id="rId68" Type="http://schemas.openxmlformats.org/officeDocument/2006/relationships/hyperlink" Target="https://doi.org/10.1006/jema.1996.0022" TargetMode="External"/><Relationship Id="rId16" Type="http://schemas.openxmlformats.org/officeDocument/2006/relationships/hyperlink" Target="https://doi.org/10.1002/bse.3280030101" TargetMode="External"/><Relationship Id="rId11" Type="http://schemas.openxmlformats.org/officeDocument/2006/relationships/hyperlink" Target="https://doi.org/10.48165/saissh.2022.3508" TargetMode="External"/><Relationship Id="rId32" Type="http://schemas.openxmlformats.org/officeDocument/2006/relationships/hyperlink" Target="https://doi.org/10.1016/B978-044452739-4/50021-8" TargetMode="External"/><Relationship Id="rId37" Type="http://schemas.openxmlformats.org/officeDocument/2006/relationships/hyperlink" Target="https://www.tandfonline.com/doi/abs/10.1080/09544829708907954" TargetMode="External"/><Relationship Id="rId53" Type="http://schemas.openxmlformats.org/officeDocument/2006/relationships/hyperlink" Target="https://www.researchgate.net/publication/307855722_Understanding_The_Conceptual_Definitions_of_Cost_Price_Worth_and_Value" TargetMode="External"/><Relationship Id="rId58" Type="http://schemas.openxmlformats.org/officeDocument/2006/relationships/hyperlink" Target="https://www.rff.org/publications/explainers/social-cost-carbon-101/" TargetMode="External"/><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hyperlink" Target="https://doi.org/10.1002/(sici)1099-0925(199711)4:3%3C87::aid-ema70%3E3.0.co;2-z" TargetMode="External"/><Relationship Id="rId19" Type="http://schemas.openxmlformats.org/officeDocument/2006/relationships/hyperlink" Target="https://doi.org/10.3390/su162310366" TargetMode="External"/><Relationship Id="rId14" Type="http://schemas.openxmlformats.org/officeDocument/2006/relationships/hyperlink" Target="https://doi.org/10.1111/abac.12181" TargetMode="External"/><Relationship Id="rId22" Type="http://schemas.openxmlformats.org/officeDocument/2006/relationships/hyperlink" Target="https://doi.org/10.2307/2095101" TargetMode="External"/><Relationship Id="rId27" Type="http://schemas.openxmlformats.org/officeDocument/2006/relationships/hyperlink" Target="https://repository.up.ac.za/bitstream/handle/2263/4901/IAMOT%202005%20Paper%20Brent%20et%20al.pdf?sequence=1" TargetMode="External"/><Relationship Id="rId30" Type="http://schemas.openxmlformats.org/officeDocument/2006/relationships/hyperlink" Target="https://doi.org/10.1016/j.ijpe.2012.02.001" TargetMode="External"/><Relationship Id="rId35" Type="http://schemas.openxmlformats.org/officeDocument/2006/relationships/hyperlink" Target="https://www.researchgate.net/publication/366673412_Accounting_Framework_to_Measure_the_Environmental_Costs_and_Disclosed_in_Industrials_Companies-Case_Study_of_Societe_Cement_Hamma_Bouziane_SCHB_in_Constantine" TargetMode="External"/><Relationship Id="rId43" Type="http://schemas.openxmlformats.org/officeDocument/2006/relationships/hyperlink" Target="https://api.semanticscholar.org/CorpusID:155631804" TargetMode="External"/><Relationship Id="rId48" Type="http://schemas.openxmlformats.org/officeDocument/2006/relationships/hyperlink" Target="https://doi.org/10.1007/s11625-022-01105-2" TargetMode="External"/><Relationship Id="rId56" Type="http://schemas.openxmlformats.org/officeDocument/2006/relationships/hyperlink" Target="https://doi.org/10.1108/medar-02-2022-1606" TargetMode="External"/><Relationship Id="rId64" Type="http://schemas.openxmlformats.org/officeDocument/2006/relationships/hyperlink" Target="https://store.ectap.ro/articole/173.pdf" TargetMode="External"/><Relationship Id="rId69" Type="http://schemas.openxmlformats.org/officeDocument/2006/relationships/hyperlink" Target="https://www.epa.gov/sites/default/files/2017-12/documents/epaccmcostestimationmethodchapter_7thedition_2017.pdf" TargetMode="External"/><Relationship Id="rId77"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s://doi.org/10.6007/ijarafms/v13-i2/16597" TargetMode="External"/><Relationship Id="rId72" Type="http://schemas.openxmlformats.org/officeDocument/2006/relationships/hyperlink" Target="https://www.atlantis-press.com/proceedings/ism3e-15/25846188" TargetMode="External"/><Relationship Id="rId80"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https://doi.org/10.1002/csr.1410" TargetMode="External"/><Relationship Id="rId17" Type="http://schemas.openxmlformats.org/officeDocument/2006/relationships/hyperlink" Target="https://doi.org/10.1142/s1094406022500081" TargetMode="External"/><Relationship Id="rId25" Type="http://schemas.openxmlformats.org/officeDocument/2006/relationships/hyperlink" Target="https://www.britannica.com/money/total-cost" TargetMode="External"/><Relationship Id="rId33" Type="http://schemas.openxmlformats.org/officeDocument/2006/relationships/hyperlink" Target="https://doi.org/10.1002/bse.2656" TargetMode="External"/><Relationship Id="rId38" Type="http://schemas.openxmlformats.org/officeDocument/2006/relationships/hyperlink" Target="https://doi.org/10.1080/10291954.2019.1675254" TargetMode="External"/><Relationship Id="rId46" Type="http://schemas.openxmlformats.org/officeDocument/2006/relationships/hyperlink" Target="https://doi.org/10.1108/s2051-503020150000017011" TargetMode="External"/><Relationship Id="rId59" Type="http://schemas.openxmlformats.org/officeDocument/2006/relationships/hyperlink" Target="https://doi.org/10.1108/ecam-02-2022-0188" TargetMode="External"/><Relationship Id="rId67" Type="http://schemas.openxmlformats.org/officeDocument/2006/relationships/hyperlink" Target="https://doi.org/10.1111/j.1467-8683.2007.00575.x" TargetMode="External"/><Relationship Id="rId20" Type="http://schemas.openxmlformats.org/officeDocument/2006/relationships/hyperlink" Target="https://doi.org/10.4324/9781351283328" TargetMode="External"/><Relationship Id="rId41" Type="http://schemas.openxmlformats.org/officeDocument/2006/relationships/hyperlink" Target="https://doi.org/10.1177/0148558x9901400307" TargetMode="External"/><Relationship Id="rId54" Type="http://schemas.openxmlformats.org/officeDocument/2006/relationships/hyperlink" Target="https://www.oxfordlearnersdictionaries.com/definition/english/cost_1" TargetMode="External"/><Relationship Id="rId62" Type="http://schemas.openxmlformats.org/officeDocument/2006/relationships/hyperlink" Target="http://ndl.ethernet.edu.et/bitstream/123456789/18329/1/181.pdf.pdf" TargetMode="External"/><Relationship Id="rId70" Type="http://schemas.openxmlformats.org/officeDocument/2006/relationships/hyperlink" Target="https://www.epa.gov/sites/default/files/2014-01/documents/busmgt.pdf" TargetMode="External"/><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accountingcoach.com/terms/C/cost-object" TargetMode="External"/><Relationship Id="rId23" Type="http://schemas.openxmlformats.org/officeDocument/2006/relationships/hyperlink" Target="https://doi.org/10.32602/jafas.2022.020" TargetMode="External"/><Relationship Id="rId28" Type="http://schemas.openxmlformats.org/officeDocument/2006/relationships/hyperlink" Target="https://www.eea.europa.eu/help/glossary/semide-emwis-thesaurus/environmental-cost" TargetMode="External"/><Relationship Id="rId36" Type="http://schemas.openxmlformats.org/officeDocument/2006/relationships/hyperlink" Target="https://www.researchgate.net/publication/267253584_Costing_Logistics_Services" TargetMode="External"/><Relationship Id="rId49" Type="http://schemas.openxmlformats.org/officeDocument/2006/relationships/hyperlink" Target="https://www.financetuts.com/cost-object/" TargetMode="External"/><Relationship Id="rId57" Type="http://schemas.openxmlformats.org/officeDocument/2006/relationships/hyperlink" Target="https://doi.org/10.3390/jrfm13120316" TargetMode="External"/><Relationship Id="rId10" Type="http://schemas.openxmlformats.org/officeDocument/2006/relationships/image" Target="media/image2.jpeg"/><Relationship Id="rId31" Type="http://schemas.openxmlformats.org/officeDocument/2006/relationships/hyperlink" Target="https://www.researchgate.net/publication/315807983" TargetMode="External"/><Relationship Id="rId44" Type="http://schemas.openxmlformats.org/officeDocument/2006/relationships/hyperlink" Target="https://doi.org/10.1007/978-3-642-20617-7_6552" TargetMode="External"/><Relationship Id="rId52" Type="http://schemas.openxmlformats.org/officeDocument/2006/relationships/hyperlink" Target="https://www.oecd.org/en/topics/extended-producer-responsibility-and-economic-instruments.html" TargetMode="External"/><Relationship Id="rId60" Type="http://schemas.openxmlformats.org/officeDocument/2006/relationships/hyperlink" Target="https://doi.org/10.1007/1-4020-3373-7" TargetMode="External"/><Relationship Id="rId65" Type="http://schemas.openxmlformats.org/officeDocument/2006/relationships/hyperlink" Target="https://www.researchgate.net/publication/225898766_Optimal_Disassembly_Sequence_Using_Genetic_Algorithms_Considering_Economic_and_Environmental_Aspects" TargetMode="External"/><Relationship Id="rId73" Type="http://schemas.openxmlformats.org/officeDocument/2006/relationships/hyperlink" Target="https://doi.org/10.24052/JBRMR/V12IS04/ART-09" TargetMode="External"/><Relationship Id="rId78" Type="http://schemas.openxmlformats.org/officeDocument/2006/relationships/header" Target="header3.xml"/><Relationship Id="rId81"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doi.org/10.62951/ijecm.v1i3.106" TargetMode="External"/><Relationship Id="rId18" Type="http://schemas.openxmlformats.org/officeDocument/2006/relationships/hyperlink" Target="https://doi.org/10.1080/20430795.2015.1100036" TargetMode="External"/><Relationship Id="rId39" Type="http://schemas.openxmlformats.org/officeDocument/2006/relationships/hyperlink" Target="https://doi.org/10.1108/sampj-10-2018-0272" TargetMode="External"/><Relationship Id="rId34" Type="http://schemas.openxmlformats.org/officeDocument/2006/relationships/hyperlink" Target="https://doi.org/10.1108/cg-10-2018-0317" TargetMode="External"/><Relationship Id="rId50" Type="http://schemas.openxmlformats.org/officeDocument/2006/relationships/hyperlink" Target="https://doi.org/10.1002/bse.344" TargetMode="External"/><Relationship Id="rId55" Type="http://schemas.openxmlformats.org/officeDocument/2006/relationships/hyperlink" Target="https://www.oxfordreference.com/display/10.1093/oi/authority.20110803095753535" TargetMode="External"/><Relationship Id="rId7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hyperlink" Target="https://www.un.org/esa/sustdev/publications/proceduresandprinciples.pdf" TargetMode="External"/><Relationship Id="rId2" Type="http://schemas.openxmlformats.org/officeDocument/2006/relationships/customXml" Target="../customXml/item2.xml"/><Relationship Id="rId29" Type="http://schemas.openxmlformats.org/officeDocument/2006/relationships/hyperlink" Target="https://fairresourcefoundation.org/en/out-of-sight-out-of-the-system-producers-evade-epr-costs-by-exporting-waste-to-africa/" TargetMode="External"/><Relationship Id="rId24" Type="http://schemas.openxmlformats.org/officeDocument/2006/relationships/hyperlink" Target="https://sciendo.com/article/10.1515/fman-2015-0024" TargetMode="External"/><Relationship Id="rId40" Type="http://schemas.openxmlformats.org/officeDocument/2006/relationships/hyperlink" Target="https://doi.org/10.1002/csr.239" TargetMode="External"/><Relationship Id="rId45" Type="http://schemas.openxmlformats.org/officeDocument/2006/relationships/hyperlink" Target="https://jssm.umt.edu.my/wp-content/uploads/2024/11/7-JSSM-Volume-19-Number-8-August-2024-FINAL.pdf" TargetMode="External"/><Relationship Id="rId66" Type="http://schemas.openxmlformats.org/officeDocument/2006/relationships/hyperlink" Target="https://doi.org/10.1108/meq-08-2017-0088"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rgbClr val="000000"/>
      </a:dk1>
      <a:lt1>
        <a:srgbClr val="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majorFont>
      <a:minorFont>
        <a:latin typeface="Calibri" panose="020F050202020403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roundtripDataSignature="AMtx7mhlJu1PvBpaAy6sniViaQ0Yu3y7dw==">CgMxLjAyCGgubG54Yno5MgloLjM1bmt1bjIyCWguMWtzdjR1djIJaC40NHNpbmlvMgloLjJqeHN4cWgyCGguejMzN3lhMgloLjNqMnFxbTMyCWguMXk4MTB0dzIJaC40aTdvamhwMgloLjJ4Y3l0cGkyCWguMWNpOTN4YjIJaC4zd2h3bWw0MgloLjJibjZ3c3gyCGgucXNoNzBxMgloLjNhczRwb2oyCWguMXB4ZXp3YzgAciExWUdUd2UzcDFZLWxBb0h3UkE2Mklsc05pMWhKZ0ZmbH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05E5ECE-757B-44A9-AF1C-0DDD63A163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418</TotalTime>
  <Pages>26</Pages>
  <Words>10988</Words>
  <Characters>62638</Characters>
  <Application>Microsoft Office Word</Application>
  <DocSecurity>0</DocSecurity>
  <Lines>521</Lines>
  <Paragraphs>146</Paragraphs>
  <ScaleCrop>false</ScaleCrop>
  <Company/>
  <LinksUpToDate>false</LinksUpToDate>
  <CharactersWithSpaces>73480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Horváth-Kraft, Nikolett</dc:creator>
  <dc:description/>
  <cp:lastModifiedBy>SDI PC New 16</cp:lastModifiedBy>
  <cp:revision>11</cp:revision>
  <cp:lastPrinted>2025-06-14T13:21:00Z</cp:lastPrinted>
  <dcterms:created xsi:type="dcterms:W3CDTF">2025-08-25T18:28:00Z</dcterms:created>
  <dcterms:modified xsi:type="dcterms:W3CDTF">2025-08-28T12:10:00Z</dcterms:modified>
  <dc:language>en-US</dc:language>
</cp:coreProperties>
</file>