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15D" w:rsidRDefault="001C415D" w:rsidP="001C415D">
      <w:pPr>
        <w:jc w:val="center"/>
        <w:rPr>
          <w:rFonts w:ascii="Times New Roman" w:eastAsia="Calibri" w:hAnsi="Times New Roman" w:cs="Times New Roman"/>
          <w:b/>
          <w:bCs/>
          <w:sz w:val="24"/>
          <w:szCs w:val="24"/>
          <w:lang w:bidi="hi-IN"/>
        </w:rPr>
      </w:pPr>
      <w:r w:rsidRPr="00AE77DC">
        <w:rPr>
          <w:rFonts w:ascii="Times New Roman" w:eastAsia="Calibri" w:hAnsi="Times New Roman" w:cs="Times New Roman"/>
          <w:b/>
          <w:bCs/>
          <w:sz w:val="24"/>
          <w:szCs w:val="24"/>
          <w:lang w:bidi="hi-IN"/>
        </w:rPr>
        <w:t xml:space="preserve">Extent of Farmer Participation in the Tribal Sub Plan in </w:t>
      </w:r>
      <w:proofErr w:type="spellStart"/>
      <w:r w:rsidRPr="00AE77DC">
        <w:rPr>
          <w:rFonts w:ascii="Times New Roman" w:eastAsia="Calibri" w:hAnsi="Times New Roman" w:cs="Times New Roman"/>
          <w:b/>
          <w:bCs/>
          <w:sz w:val="24"/>
          <w:szCs w:val="24"/>
          <w:lang w:bidi="hi-IN"/>
        </w:rPr>
        <w:t>Udham</w:t>
      </w:r>
      <w:proofErr w:type="spellEnd"/>
      <w:r w:rsidRPr="00AE77DC">
        <w:rPr>
          <w:rFonts w:ascii="Times New Roman" w:eastAsia="Calibri" w:hAnsi="Times New Roman" w:cs="Times New Roman"/>
          <w:b/>
          <w:bCs/>
          <w:sz w:val="24"/>
          <w:szCs w:val="24"/>
          <w:lang w:bidi="hi-IN"/>
        </w:rPr>
        <w:t xml:space="preserve"> Singh Nagar District of Uttarakhand</w:t>
      </w:r>
      <w:r w:rsidR="00857227">
        <w:rPr>
          <w:rFonts w:ascii="Times New Roman" w:eastAsia="Calibri" w:hAnsi="Times New Roman" w:cs="Times New Roman"/>
          <w:b/>
          <w:bCs/>
          <w:sz w:val="24"/>
          <w:szCs w:val="24"/>
          <w:lang w:bidi="hi-IN"/>
        </w:rPr>
        <w:t>, India</w:t>
      </w:r>
    </w:p>
    <w:p w:rsidR="001C415D" w:rsidRPr="001C415D" w:rsidRDefault="001C415D" w:rsidP="001C415D">
      <w:pPr>
        <w:spacing w:before="100" w:beforeAutospacing="1" w:after="100" w:afterAutospacing="1" w:line="240" w:lineRule="auto"/>
        <w:jc w:val="center"/>
        <w:outlineLvl w:val="1"/>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b/>
          <w:bCs/>
          <w:sz w:val="24"/>
          <w:szCs w:val="24"/>
          <w:lang w:eastAsia="en-IN" w:bidi="hi-IN"/>
        </w:rPr>
        <w:t>Abstract</w:t>
      </w:r>
    </w:p>
    <w:p w:rsidR="001C415D" w:rsidRPr="001C415D" w:rsidRDefault="001C415D" w:rsidP="001C415D">
      <w:pPr>
        <w:jc w:val="both"/>
        <w:rPr>
          <w:rFonts w:ascii="Times New Roman" w:hAnsi="Times New Roman" w:cs="Times New Roman"/>
          <w:sz w:val="24"/>
          <w:szCs w:val="24"/>
        </w:rPr>
      </w:pPr>
      <w:r w:rsidRPr="001C415D">
        <w:rPr>
          <w:rFonts w:ascii="Times New Roman" w:hAnsi="Times New Roman" w:cs="Times New Roman"/>
          <w:sz w:val="24"/>
          <w:szCs w:val="24"/>
        </w:rPr>
        <w:t xml:space="preserve">Farmer participation plays a pivotal role in the successful implementation of government programmes, particularly those targeting marginalized communities. The Tribal Sub Plan (TSP) is a focused initiative aimed at improving the socio-economic conditions of tribal farmers through agricultural support, input distribution, training, and livelihood diversification. The present study was conducted in </w:t>
      </w:r>
      <w:proofErr w:type="spellStart"/>
      <w:r w:rsidRPr="001C415D">
        <w:rPr>
          <w:rFonts w:ascii="Times New Roman" w:hAnsi="Times New Roman" w:cs="Times New Roman"/>
          <w:sz w:val="24"/>
          <w:szCs w:val="24"/>
        </w:rPr>
        <w:t>Udham</w:t>
      </w:r>
      <w:proofErr w:type="spellEnd"/>
      <w:r w:rsidRPr="001C415D">
        <w:rPr>
          <w:rFonts w:ascii="Times New Roman" w:hAnsi="Times New Roman" w:cs="Times New Roman"/>
          <w:sz w:val="24"/>
          <w:szCs w:val="24"/>
        </w:rPr>
        <w:t xml:space="preserve"> Singh Nagar district of Uttarakhand, with a purposive sample of 400 tribal farmers drawn from TSP-covered villages. Data were collected using a structured interview schedule to assess the extent of farmer participation across different stages of the programme, including planning, resource utilization, execution, and evaluation. The findings revealed that a majority of farmers exhibited medium to high levels of participation in resource utilization and capacity-building activities, while comparatively lower participation was observed in planning and decision-making stages. Correlation analysis indicated that education, socio-economic status, extension contact, and economic motivation were positively and significantly associated with farmer participation, whereas age exhibited a negative relationship. The study underscores the need to enhance farmer participation in the Tribal Sub Plan through greater involvement of local institutions, strengthening of extension services, timely input delivery, and inclusion of farmers in planning and monitoring processes. Such participatory approaches are essential to ensure that the TSP effectively achieves its objectives of tribal empowerment and sustainable agricultural development.</w:t>
      </w:r>
    </w:p>
    <w:p w:rsidR="001C415D" w:rsidRPr="00AE77DC" w:rsidRDefault="001C415D" w:rsidP="001C415D">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Keywords:</w:t>
      </w:r>
      <w:r w:rsidRPr="00AE77DC">
        <w:rPr>
          <w:rFonts w:ascii="Times New Roman" w:eastAsia="Times New Roman" w:hAnsi="Times New Roman" w:cs="Times New Roman"/>
          <w:sz w:val="24"/>
          <w:szCs w:val="24"/>
          <w:lang w:eastAsia="en-IN" w:bidi="hi-IN"/>
        </w:rPr>
        <w:t xml:space="preserve"> Tribal Sub Plan, Farmer Participation, Tribal Farmers, </w:t>
      </w:r>
      <w:proofErr w:type="spellStart"/>
      <w:r w:rsidRPr="00AE77DC">
        <w:rPr>
          <w:rFonts w:ascii="Times New Roman" w:eastAsia="Times New Roman" w:hAnsi="Times New Roman" w:cs="Times New Roman"/>
          <w:sz w:val="24"/>
          <w:szCs w:val="24"/>
          <w:lang w:eastAsia="en-IN" w:bidi="hi-IN"/>
        </w:rPr>
        <w:t>Udham</w:t>
      </w:r>
      <w:proofErr w:type="spellEnd"/>
      <w:r w:rsidRPr="00AE77DC">
        <w:rPr>
          <w:rFonts w:ascii="Times New Roman" w:eastAsia="Times New Roman" w:hAnsi="Times New Roman" w:cs="Times New Roman"/>
          <w:sz w:val="24"/>
          <w:szCs w:val="24"/>
          <w:lang w:eastAsia="en-IN" w:bidi="hi-IN"/>
        </w:rPr>
        <w:t xml:space="preserve"> Singh Nagar</w:t>
      </w:r>
    </w:p>
    <w:p w:rsidR="006C408F" w:rsidRPr="00AE77DC" w:rsidRDefault="006C408F" w:rsidP="006C408F">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sz w:val="36"/>
          <w:szCs w:val="24"/>
          <w:lang w:eastAsia="en-IN" w:bidi="hi-IN"/>
        </w:rPr>
        <w:t>Introduction</w:t>
      </w:r>
    </w:p>
    <w:p w:rsidR="006C408F" w:rsidRPr="00190D35"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Tribal communities are among the most marginalized groups in India due to their socio-economic, educational, and infrastructural disadvantages</w:t>
      </w:r>
      <w:r w:rsidR="00857227">
        <w:rPr>
          <w:rFonts w:ascii="Times New Roman" w:eastAsia="Times New Roman" w:hAnsi="Times New Roman" w:cs="Times New Roman"/>
          <w:sz w:val="24"/>
          <w:szCs w:val="24"/>
          <w:lang w:eastAsia="en-IN" w:bidi="hi-IN"/>
        </w:rPr>
        <w:t xml:space="preserve"> (</w:t>
      </w:r>
      <w:proofErr w:type="spellStart"/>
      <w:r w:rsidR="00857227" w:rsidRPr="00857227">
        <w:rPr>
          <w:rFonts w:ascii="Times New Roman" w:eastAsia="Times New Roman" w:hAnsi="Times New Roman" w:cs="Times New Roman"/>
          <w:sz w:val="24"/>
          <w:szCs w:val="24"/>
          <w:lang w:eastAsia="en-IN" w:bidi="hi-IN"/>
        </w:rPr>
        <w:t>Sahu</w:t>
      </w:r>
      <w:proofErr w:type="spellEnd"/>
      <w:r w:rsidR="00857227">
        <w:rPr>
          <w:rFonts w:ascii="Times New Roman" w:eastAsia="Times New Roman" w:hAnsi="Times New Roman" w:cs="Times New Roman"/>
          <w:sz w:val="24"/>
          <w:szCs w:val="24"/>
          <w:lang w:eastAsia="en-IN" w:bidi="hi-IN"/>
        </w:rPr>
        <w:t xml:space="preserve"> et al., 2025)</w:t>
      </w:r>
      <w:r w:rsidRPr="00AE77DC">
        <w:rPr>
          <w:rFonts w:ascii="Times New Roman" w:eastAsia="Times New Roman" w:hAnsi="Times New Roman" w:cs="Times New Roman"/>
          <w:sz w:val="24"/>
          <w:szCs w:val="24"/>
          <w:lang w:eastAsia="en-IN" w:bidi="hi-IN"/>
        </w:rPr>
        <w:t xml:space="preserve">. According to Census 2011, Scheduled Tribes constitute 8.6% of the total population, and a large section of them still depend on subsistence agriculture and forest-based activities. Agriculture is the primary source of livelihood for </w:t>
      </w:r>
      <w:proofErr w:type="spellStart"/>
      <w:r w:rsidRPr="00AE77DC">
        <w:rPr>
          <w:rFonts w:ascii="Times New Roman" w:eastAsia="Times New Roman" w:hAnsi="Times New Roman" w:cs="Times New Roman"/>
          <w:sz w:val="24"/>
          <w:szCs w:val="24"/>
          <w:lang w:eastAsia="en-IN" w:bidi="hi-IN"/>
        </w:rPr>
        <w:t>tribals</w:t>
      </w:r>
      <w:proofErr w:type="spellEnd"/>
      <w:r w:rsidRPr="00AE77DC">
        <w:rPr>
          <w:rFonts w:ascii="Times New Roman" w:eastAsia="Times New Roman" w:hAnsi="Times New Roman" w:cs="Times New Roman"/>
          <w:sz w:val="24"/>
          <w:szCs w:val="24"/>
          <w:lang w:eastAsia="en-IN" w:bidi="hi-IN"/>
        </w:rPr>
        <w:t>, yet it remains largely traditional and low in productivity. Value addition of agricultural produce has been identified as a key strategy to enhance income, reduce post-harvest losses, and create employment opportunities. Processing raw produce into products like jams, pickles, squashes, spices, and bakery items can increase profitability and open new market avenues for tribal farmers.</w:t>
      </w:r>
      <w:r w:rsidR="00190D35" w:rsidRPr="00190D35">
        <w:rPr>
          <w:rFonts w:ascii="Times New Roman" w:eastAsia="Times New Roman" w:hAnsi="Times New Roman" w:cs="Times New Roman"/>
          <w:b/>
          <w:bCs/>
          <w:color w:val="FF0000"/>
          <w:sz w:val="24"/>
          <w:szCs w:val="24"/>
          <w:lang w:eastAsia="en-IN"/>
        </w:rPr>
        <w:t xml:space="preserve"> </w:t>
      </w:r>
      <w:r w:rsidR="00190D35" w:rsidRPr="00190D35">
        <w:rPr>
          <w:rFonts w:ascii="Times New Roman" w:eastAsia="Times New Roman" w:hAnsi="Times New Roman" w:cs="Times New Roman"/>
          <w:b/>
          <w:bCs/>
          <w:sz w:val="24"/>
          <w:szCs w:val="24"/>
          <w:lang w:eastAsia="en-IN"/>
        </w:rPr>
        <w:t xml:space="preserve">Zeng </w:t>
      </w:r>
      <w:r w:rsidR="00190D35" w:rsidRPr="00190D35">
        <w:rPr>
          <w:rFonts w:ascii="Times New Roman" w:eastAsia="Times New Roman" w:hAnsi="Times New Roman" w:cs="Times New Roman"/>
          <w:b/>
          <w:bCs/>
          <w:i/>
          <w:iCs/>
          <w:sz w:val="24"/>
          <w:szCs w:val="24"/>
          <w:lang w:eastAsia="en-IN"/>
        </w:rPr>
        <w:t>et.al</w:t>
      </w:r>
      <w:r w:rsidR="00190D35" w:rsidRPr="00190D35">
        <w:rPr>
          <w:rFonts w:ascii="Times New Roman" w:eastAsia="Times New Roman" w:hAnsi="Times New Roman" w:cs="Times New Roman"/>
          <w:b/>
          <w:bCs/>
          <w:sz w:val="24"/>
          <w:szCs w:val="24"/>
          <w:lang w:eastAsia="en-IN"/>
        </w:rPr>
        <w:t>. (2024).</w:t>
      </w:r>
    </w:p>
    <w:p w:rsidR="006C408F" w:rsidRPr="00AE77DC"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Despite this potential, tribal face several challenges that restrict their growth and participation in development programmes. </w:t>
      </w:r>
      <w:r w:rsidR="00190D35" w:rsidRPr="00190D35">
        <w:rPr>
          <w:rFonts w:ascii="Times New Roman" w:eastAsia="Times New Roman" w:hAnsi="Times New Roman" w:cs="Times New Roman"/>
          <w:b/>
          <w:bCs/>
          <w:sz w:val="24"/>
          <w:szCs w:val="24"/>
          <w:lang w:eastAsia="en-IN" w:bidi="hi-IN"/>
        </w:rPr>
        <w:t>(</w:t>
      </w:r>
      <w:proofErr w:type="spellStart"/>
      <w:r w:rsidR="00190D35" w:rsidRPr="00190D35">
        <w:rPr>
          <w:rFonts w:ascii="Times New Roman" w:eastAsia="Times New Roman" w:hAnsi="Times New Roman" w:cs="Times New Roman"/>
          <w:b/>
          <w:bCs/>
          <w:sz w:val="24"/>
          <w:szCs w:val="24"/>
          <w:lang w:eastAsia="en-IN" w:bidi="hi-IN"/>
        </w:rPr>
        <w:t>Kandpal</w:t>
      </w:r>
      <w:proofErr w:type="spellEnd"/>
      <w:r w:rsidR="00190D35" w:rsidRPr="00190D35">
        <w:rPr>
          <w:rFonts w:ascii="Times New Roman" w:eastAsia="Times New Roman" w:hAnsi="Times New Roman" w:cs="Times New Roman"/>
          <w:b/>
          <w:bCs/>
          <w:sz w:val="24"/>
          <w:szCs w:val="24"/>
          <w:lang w:eastAsia="en-IN" w:bidi="hi-IN"/>
        </w:rPr>
        <w:t xml:space="preserve"> and </w:t>
      </w:r>
      <w:proofErr w:type="spellStart"/>
      <w:r w:rsidR="00190D35" w:rsidRPr="00190D35">
        <w:rPr>
          <w:rFonts w:ascii="Times New Roman" w:eastAsia="Times New Roman" w:hAnsi="Times New Roman" w:cs="Times New Roman"/>
          <w:b/>
          <w:bCs/>
          <w:sz w:val="24"/>
          <w:szCs w:val="24"/>
          <w:lang w:eastAsia="en-IN" w:bidi="hi-IN"/>
        </w:rPr>
        <w:t>Kwatra</w:t>
      </w:r>
      <w:proofErr w:type="spellEnd"/>
      <w:r w:rsidR="00190D35" w:rsidRPr="00190D35">
        <w:rPr>
          <w:rFonts w:ascii="Times New Roman" w:eastAsia="Times New Roman" w:hAnsi="Times New Roman" w:cs="Times New Roman"/>
          <w:b/>
          <w:bCs/>
          <w:sz w:val="24"/>
          <w:szCs w:val="24"/>
          <w:lang w:eastAsia="en-IN" w:bidi="hi-IN"/>
        </w:rPr>
        <w:t>, 2025).</w:t>
      </w:r>
      <w:r w:rsidR="00190D35">
        <w:rPr>
          <w:rFonts w:ascii="Times New Roman" w:eastAsia="Times New Roman" w:hAnsi="Times New Roman" w:cs="Times New Roman"/>
          <w:sz w:val="24"/>
          <w:szCs w:val="24"/>
          <w:lang w:eastAsia="en-IN" w:bidi="hi-IN"/>
        </w:rPr>
        <w:t xml:space="preserve"> </w:t>
      </w:r>
      <w:r w:rsidRPr="00AE77DC">
        <w:rPr>
          <w:rFonts w:ascii="Times New Roman" w:eastAsia="Times New Roman" w:hAnsi="Times New Roman" w:cs="Times New Roman"/>
          <w:sz w:val="24"/>
          <w:szCs w:val="24"/>
          <w:lang w:eastAsia="en-IN" w:bidi="hi-IN"/>
        </w:rPr>
        <w:t xml:space="preserve">Low awareness and education limit their ability to adopt scientific methods. Poor access to markets forces them to sell raw produce at low prices due to lack of processing knowledge, poor connectivity, and absence of collective bargaining power. Inadequate infrastructure such as cold storage, processing units, and transport facilities further leads to post-harvest losses. Financial constraints and limited access to institutional credit push </w:t>
      </w:r>
      <w:proofErr w:type="spellStart"/>
      <w:r w:rsidRPr="00AE77DC">
        <w:rPr>
          <w:rFonts w:ascii="Times New Roman" w:eastAsia="Times New Roman" w:hAnsi="Times New Roman" w:cs="Times New Roman"/>
          <w:sz w:val="24"/>
          <w:szCs w:val="24"/>
          <w:lang w:eastAsia="en-IN" w:bidi="hi-IN"/>
        </w:rPr>
        <w:t>tribals</w:t>
      </w:r>
      <w:proofErr w:type="spellEnd"/>
      <w:r w:rsidRPr="00AE77DC">
        <w:rPr>
          <w:rFonts w:ascii="Times New Roman" w:eastAsia="Times New Roman" w:hAnsi="Times New Roman" w:cs="Times New Roman"/>
          <w:sz w:val="24"/>
          <w:szCs w:val="24"/>
          <w:lang w:eastAsia="en-IN" w:bidi="hi-IN"/>
        </w:rPr>
        <w:t xml:space="preserve"> towards dependence on local moneylenders, restricting investment in farm and allied activities</w:t>
      </w:r>
      <w:r w:rsidR="00857227">
        <w:rPr>
          <w:rFonts w:ascii="Times New Roman" w:eastAsia="Times New Roman" w:hAnsi="Times New Roman" w:cs="Times New Roman"/>
          <w:sz w:val="24"/>
          <w:szCs w:val="24"/>
          <w:lang w:eastAsia="en-IN" w:bidi="hi-IN"/>
        </w:rPr>
        <w:t xml:space="preserve"> (</w:t>
      </w:r>
      <w:r w:rsidR="00857227" w:rsidRPr="00857227">
        <w:rPr>
          <w:rFonts w:ascii="Times New Roman" w:eastAsia="Times New Roman" w:hAnsi="Times New Roman" w:cs="Times New Roman"/>
          <w:sz w:val="24"/>
          <w:szCs w:val="24"/>
          <w:lang w:eastAsia="en-IN" w:bidi="hi-IN"/>
        </w:rPr>
        <w:t>Kumar</w:t>
      </w:r>
      <w:r w:rsidR="00857227">
        <w:rPr>
          <w:rFonts w:ascii="Times New Roman" w:eastAsia="Times New Roman" w:hAnsi="Times New Roman" w:cs="Times New Roman"/>
          <w:sz w:val="24"/>
          <w:szCs w:val="24"/>
          <w:lang w:eastAsia="en-IN" w:bidi="hi-IN"/>
        </w:rPr>
        <w:t xml:space="preserve"> &amp; </w:t>
      </w:r>
      <w:r w:rsidR="00857227" w:rsidRPr="00857227">
        <w:rPr>
          <w:rFonts w:ascii="Times New Roman" w:eastAsia="Times New Roman" w:hAnsi="Times New Roman" w:cs="Times New Roman"/>
          <w:sz w:val="24"/>
          <w:szCs w:val="24"/>
          <w:lang w:eastAsia="en-IN" w:bidi="hi-IN"/>
        </w:rPr>
        <w:t>Thakur</w:t>
      </w:r>
      <w:r w:rsidR="00857227">
        <w:rPr>
          <w:rFonts w:ascii="Times New Roman" w:eastAsia="Times New Roman" w:hAnsi="Times New Roman" w:cs="Times New Roman"/>
          <w:sz w:val="24"/>
          <w:szCs w:val="24"/>
          <w:lang w:eastAsia="en-IN" w:bidi="hi-IN"/>
        </w:rPr>
        <w:t>, 2024)</w:t>
      </w:r>
      <w:r w:rsidRPr="00AE77DC">
        <w:rPr>
          <w:rFonts w:ascii="Times New Roman" w:eastAsia="Times New Roman" w:hAnsi="Times New Roman" w:cs="Times New Roman"/>
          <w:sz w:val="24"/>
          <w:szCs w:val="24"/>
          <w:lang w:eastAsia="en-IN" w:bidi="hi-IN"/>
        </w:rPr>
        <w:t xml:space="preserve">. </w:t>
      </w:r>
      <w:r w:rsidRPr="00AE77DC">
        <w:rPr>
          <w:rFonts w:ascii="Times New Roman" w:eastAsia="Times New Roman" w:hAnsi="Times New Roman" w:cs="Times New Roman"/>
          <w:sz w:val="24"/>
          <w:szCs w:val="24"/>
          <w:lang w:eastAsia="en-IN" w:bidi="hi-IN"/>
        </w:rPr>
        <w:lastRenderedPageBreak/>
        <w:t>Moreover, poor reach of extension services and insufficient technical guidance prevent timely adoption of innovations. Social and cultural barriers also play a role, as tribal communities are often hesitant in interacting with outsiders and in adopting practices that deviate from their traditions. Most importantly, their low participation in decision-making processes makes them passive beneficiaries rather than active partners, reducing the effectiveness of such programmes.</w:t>
      </w:r>
    </w:p>
    <w:p w:rsidR="006C408F" w:rsidRPr="00AE77DC"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In </w:t>
      </w:r>
      <w:proofErr w:type="spellStart"/>
      <w:r w:rsidRPr="00AE77DC">
        <w:rPr>
          <w:rFonts w:ascii="Times New Roman" w:eastAsia="Times New Roman" w:hAnsi="Times New Roman" w:cs="Times New Roman"/>
          <w:sz w:val="24"/>
          <w:szCs w:val="24"/>
          <w:lang w:eastAsia="en-IN" w:bidi="hi-IN"/>
        </w:rPr>
        <w:t>Udham</w:t>
      </w:r>
      <w:proofErr w:type="spellEnd"/>
      <w:r w:rsidRPr="00AE77DC">
        <w:rPr>
          <w:rFonts w:ascii="Times New Roman" w:eastAsia="Times New Roman" w:hAnsi="Times New Roman" w:cs="Times New Roman"/>
          <w:sz w:val="24"/>
          <w:szCs w:val="24"/>
          <w:lang w:eastAsia="en-IN" w:bidi="hi-IN"/>
        </w:rPr>
        <w:t xml:space="preserve"> Singh Nagar district of Uttarakhand, although agriculture is relatively developed, tribal communities such as the </w:t>
      </w:r>
      <w:proofErr w:type="spellStart"/>
      <w:r w:rsidRPr="00AE77DC">
        <w:rPr>
          <w:rFonts w:ascii="Times New Roman" w:eastAsia="Times New Roman" w:hAnsi="Times New Roman" w:cs="Times New Roman"/>
          <w:sz w:val="24"/>
          <w:szCs w:val="24"/>
          <w:lang w:eastAsia="en-IN" w:bidi="hi-IN"/>
        </w:rPr>
        <w:t>Tharu</w:t>
      </w:r>
      <w:proofErr w:type="spellEnd"/>
      <w:r w:rsidRPr="00AE77DC">
        <w:rPr>
          <w:rFonts w:ascii="Times New Roman" w:eastAsia="Times New Roman" w:hAnsi="Times New Roman" w:cs="Times New Roman"/>
          <w:sz w:val="24"/>
          <w:szCs w:val="24"/>
          <w:lang w:eastAsia="en-IN" w:bidi="hi-IN"/>
        </w:rPr>
        <w:t xml:space="preserve"> and </w:t>
      </w:r>
      <w:proofErr w:type="spellStart"/>
      <w:r w:rsidRPr="00AE77DC">
        <w:rPr>
          <w:rFonts w:ascii="Times New Roman" w:eastAsia="Times New Roman" w:hAnsi="Times New Roman" w:cs="Times New Roman"/>
          <w:sz w:val="24"/>
          <w:szCs w:val="24"/>
          <w:lang w:eastAsia="en-IN" w:bidi="hi-IN"/>
        </w:rPr>
        <w:t>Buksa</w:t>
      </w:r>
      <w:proofErr w:type="spellEnd"/>
      <w:r w:rsidRPr="00AE77DC">
        <w:rPr>
          <w:rFonts w:ascii="Times New Roman" w:eastAsia="Times New Roman" w:hAnsi="Times New Roman" w:cs="Times New Roman"/>
          <w:sz w:val="24"/>
          <w:szCs w:val="24"/>
          <w:lang w:eastAsia="en-IN" w:bidi="hi-IN"/>
        </w:rPr>
        <w:t xml:space="preserve"> tribes continue to face these problems. To address this, under the Tribal Sub Plan, a series of ten training programmes were organized focusing on value addition of agricultural produce. Farmers were trained in preparation, packaging, branding, and marketing of value-added products to increase their income and enhance livelihood opportunities.</w:t>
      </w:r>
    </w:p>
    <w:p w:rsidR="006C408F" w:rsidRPr="00AE77DC" w:rsidRDefault="006C408F" w:rsidP="006C408F">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b/>
          <w:bCs/>
          <w:sz w:val="24"/>
          <w:szCs w:val="24"/>
          <w:lang w:eastAsia="en-IN" w:bidi="hi-IN"/>
        </w:rPr>
        <w:t>Objectives of the Study</w:t>
      </w:r>
    </w:p>
    <w:p w:rsidR="006C408F" w:rsidRPr="00AE77DC" w:rsidRDefault="006C408F" w:rsidP="006C408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To study the socio-economic and personal profile of tribal farmers in </w:t>
      </w:r>
      <w:proofErr w:type="spellStart"/>
      <w:r w:rsidRPr="00AE77DC">
        <w:rPr>
          <w:rFonts w:ascii="Times New Roman" w:eastAsia="Times New Roman" w:hAnsi="Times New Roman" w:cs="Times New Roman"/>
          <w:sz w:val="24"/>
          <w:szCs w:val="24"/>
          <w:lang w:eastAsia="en-IN" w:bidi="hi-IN"/>
        </w:rPr>
        <w:t>Udham</w:t>
      </w:r>
      <w:proofErr w:type="spellEnd"/>
      <w:r w:rsidRPr="00AE77DC">
        <w:rPr>
          <w:rFonts w:ascii="Times New Roman" w:eastAsia="Times New Roman" w:hAnsi="Times New Roman" w:cs="Times New Roman"/>
          <w:sz w:val="24"/>
          <w:szCs w:val="24"/>
          <w:lang w:eastAsia="en-IN" w:bidi="hi-IN"/>
        </w:rPr>
        <w:t xml:space="preserve"> Singh Nagar district.</w:t>
      </w:r>
    </w:p>
    <w:p w:rsidR="006C408F" w:rsidRPr="00AE77DC" w:rsidRDefault="006C408F" w:rsidP="006C408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To assess the extent of farm women participation in different stages of the Tribal Sub Plan, such as planning, training, execution of activities, and evaluation.</w:t>
      </w:r>
    </w:p>
    <w:p w:rsidR="006C408F" w:rsidRPr="00AE77DC" w:rsidRDefault="006C408F" w:rsidP="006C408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To examine the relationship between socio-economic and personal variables of farmers with their extent of participation in the Tribal Sub Plan.</w:t>
      </w:r>
    </w:p>
    <w:p w:rsidR="004D60D5" w:rsidRDefault="006C408F" w:rsidP="004D60D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b/>
          <w:bCs/>
          <w:sz w:val="24"/>
          <w:szCs w:val="24"/>
          <w:lang w:eastAsia="en-IN" w:bidi="hi-IN"/>
        </w:rPr>
        <w:t>Methodology</w:t>
      </w:r>
    </w:p>
    <w:p w:rsidR="006C408F" w:rsidRPr="004D60D5" w:rsidRDefault="006C408F" w:rsidP="004D60D5">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sz w:val="24"/>
          <w:szCs w:val="21"/>
          <w:lang w:bidi="hi-IN"/>
        </w:rPr>
        <w:t xml:space="preserve">The present investigation was carried out in </w:t>
      </w:r>
      <w:proofErr w:type="spellStart"/>
      <w:r w:rsidRPr="00AE77DC">
        <w:rPr>
          <w:rFonts w:ascii="Times New Roman" w:eastAsia="Times New Roman" w:hAnsi="Times New Roman" w:cs="Times New Roman"/>
          <w:sz w:val="24"/>
          <w:szCs w:val="21"/>
          <w:lang w:bidi="hi-IN"/>
        </w:rPr>
        <w:t>Udham</w:t>
      </w:r>
      <w:proofErr w:type="spellEnd"/>
      <w:r w:rsidRPr="00AE77DC">
        <w:rPr>
          <w:rFonts w:ascii="Times New Roman" w:eastAsia="Times New Roman" w:hAnsi="Times New Roman" w:cs="Times New Roman"/>
          <w:sz w:val="24"/>
          <w:szCs w:val="21"/>
          <w:lang w:bidi="hi-IN"/>
        </w:rPr>
        <w:t xml:space="preserve"> Singh Nagar district of Uttarakhand,</w:t>
      </w:r>
      <w:r w:rsidR="00857227">
        <w:rPr>
          <w:rFonts w:ascii="Times New Roman" w:eastAsia="Times New Roman" w:hAnsi="Times New Roman" w:cs="Times New Roman"/>
          <w:sz w:val="24"/>
          <w:szCs w:val="21"/>
          <w:lang w:bidi="hi-IN"/>
        </w:rPr>
        <w:t xml:space="preserve"> India,</w:t>
      </w:r>
      <w:r w:rsidRPr="00AE77DC">
        <w:rPr>
          <w:rFonts w:ascii="Times New Roman" w:eastAsia="Times New Roman" w:hAnsi="Times New Roman" w:cs="Times New Roman"/>
          <w:sz w:val="24"/>
          <w:szCs w:val="21"/>
          <w:lang w:bidi="hi-IN"/>
        </w:rPr>
        <w:t xml:space="preserve"> which has a considerable tribal population. For the implementation of the Tribal Sub Plan (TSP), the villages of </w:t>
      </w:r>
      <w:proofErr w:type="spellStart"/>
      <w:r w:rsidRPr="00AE77DC">
        <w:rPr>
          <w:rFonts w:ascii="Times New Roman" w:eastAsia="Times New Roman" w:hAnsi="Times New Roman" w:cs="Times New Roman"/>
          <w:sz w:val="24"/>
          <w:szCs w:val="21"/>
          <w:lang w:bidi="hi-IN"/>
        </w:rPr>
        <w:t>Haripura</w:t>
      </w:r>
      <w:proofErr w:type="spellEnd"/>
      <w:r w:rsidRPr="00AE77DC">
        <w:rPr>
          <w:rFonts w:ascii="Times New Roman" w:eastAsia="Times New Roman" w:hAnsi="Times New Roman" w:cs="Times New Roman"/>
          <w:sz w:val="24"/>
          <w:szCs w:val="21"/>
          <w:lang w:bidi="hi-IN"/>
        </w:rPr>
        <w:t xml:space="preserve">, </w:t>
      </w:r>
      <w:proofErr w:type="spellStart"/>
      <w:r w:rsidRPr="00AE77DC">
        <w:rPr>
          <w:rFonts w:ascii="Times New Roman" w:eastAsia="Times New Roman" w:hAnsi="Times New Roman" w:cs="Times New Roman"/>
          <w:sz w:val="24"/>
          <w:szCs w:val="21"/>
          <w:lang w:bidi="hi-IN"/>
        </w:rPr>
        <w:t>Ratanpur</w:t>
      </w:r>
      <w:proofErr w:type="spellEnd"/>
      <w:r w:rsidRPr="00AE77DC">
        <w:rPr>
          <w:rFonts w:ascii="Times New Roman" w:eastAsia="Times New Roman" w:hAnsi="Times New Roman" w:cs="Times New Roman"/>
          <w:sz w:val="24"/>
          <w:szCs w:val="21"/>
          <w:lang w:bidi="hi-IN"/>
        </w:rPr>
        <w:t xml:space="preserve">, </w:t>
      </w:r>
      <w:proofErr w:type="spellStart"/>
      <w:r w:rsidRPr="00AE77DC">
        <w:rPr>
          <w:rFonts w:ascii="Times New Roman" w:eastAsia="Times New Roman" w:hAnsi="Times New Roman" w:cs="Times New Roman"/>
          <w:sz w:val="24"/>
          <w:szCs w:val="21"/>
          <w:lang w:bidi="hi-IN"/>
        </w:rPr>
        <w:t>Anjaniya</w:t>
      </w:r>
      <w:proofErr w:type="spellEnd"/>
      <w:r w:rsidRPr="00AE77DC">
        <w:rPr>
          <w:rFonts w:ascii="Times New Roman" w:eastAsia="Times New Roman" w:hAnsi="Times New Roman" w:cs="Times New Roman"/>
          <w:sz w:val="24"/>
          <w:szCs w:val="21"/>
          <w:lang w:bidi="hi-IN"/>
        </w:rPr>
        <w:t xml:space="preserve">, </w:t>
      </w:r>
      <w:proofErr w:type="spellStart"/>
      <w:r w:rsidRPr="00AE77DC">
        <w:rPr>
          <w:rFonts w:ascii="Times New Roman" w:eastAsia="Times New Roman" w:hAnsi="Times New Roman" w:cs="Times New Roman"/>
          <w:sz w:val="24"/>
          <w:szCs w:val="21"/>
          <w:lang w:bidi="hi-IN"/>
        </w:rPr>
        <w:t>Madnapur</w:t>
      </w:r>
      <w:proofErr w:type="spellEnd"/>
      <w:r w:rsidRPr="00AE77DC">
        <w:rPr>
          <w:rFonts w:ascii="Times New Roman" w:eastAsia="Times New Roman" w:hAnsi="Times New Roman" w:cs="Times New Roman"/>
          <w:sz w:val="24"/>
          <w:szCs w:val="21"/>
          <w:lang w:bidi="hi-IN"/>
        </w:rPr>
        <w:t xml:space="preserve">, </w:t>
      </w:r>
      <w:proofErr w:type="spellStart"/>
      <w:r w:rsidRPr="00AE77DC">
        <w:rPr>
          <w:rFonts w:ascii="Times New Roman" w:eastAsia="Times New Roman" w:hAnsi="Times New Roman" w:cs="Times New Roman"/>
          <w:sz w:val="24"/>
          <w:szCs w:val="21"/>
          <w:lang w:bidi="hi-IN"/>
        </w:rPr>
        <w:t>Lalpuri</w:t>
      </w:r>
      <w:proofErr w:type="spellEnd"/>
      <w:r w:rsidRPr="00AE77DC">
        <w:rPr>
          <w:rFonts w:ascii="Times New Roman" w:eastAsia="Times New Roman" w:hAnsi="Times New Roman" w:cs="Times New Roman"/>
          <w:sz w:val="24"/>
          <w:szCs w:val="21"/>
          <w:lang w:bidi="hi-IN"/>
        </w:rPr>
        <w:t xml:space="preserve">, </w:t>
      </w:r>
      <w:proofErr w:type="spellStart"/>
      <w:r w:rsidRPr="00AE77DC">
        <w:rPr>
          <w:rFonts w:ascii="Times New Roman" w:eastAsia="Times New Roman" w:hAnsi="Times New Roman" w:cs="Times New Roman"/>
          <w:sz w:val="24"/>
          <w:szCs w:val="21"/>
          <w:lang w:bidi="hi-IN"/>
        </w:rPr>
        <w:t>Lauka</w:t>
      </w:r>
      <w:proofErr w:type="spellEnd"/>
      <w:r w:rsidRPr="00AE77DC">
        <w:rPr>
          <w:rFonts w:ascii="Times New Roman" w:eastAsia="Times New Roman" w:hAnsi="Times New Roman" w:cs="Times New Roman"/>
          <w:sz w:val="24"/>
          <w:szCs w:val="21"/>
          <w:lang w:bidi="hi-IN"/>
        </w:rPr>
        <w:t xml:space="preserve">, </w:t>
      </w:r>
      <w:proofErr w:type="spellStart"/>
      <w:r w:rsidRPr="00AE77DC">
        <w:rPr>
          <w:rFonts w:ascii="Times New Roman" w:eastAsia="Times New Roman" w:hAnsi="Times New Roman" w:cs="Times New Roman"/>
          <w:sz w:val="24"/>
          <w:szCs w:val="21"/>
          <w:lang w:bidi="hi-IN"/>
        </w:rPr>
        <w:t>Sadhunagar</w:t>
      </w:r>
      <w:proofErr w:type="spellEnd"/>
      <w:r w:rsidRPr="00AE77DC">
        <w:rPr>
          <w:rFonts w:ascii="Times New Roman" w:eastAsia="Times New Roman" w:hAnsi="Times New Roman" w:cs="Times New Roman"/>
          <w:sz w:val="24"/>
          <w:szCs w:val="21"/>
          <w:lang w:bidi="hi-IN"/>
        </w:rPr>
        <w:t xml:space="preserve">, </w:t>
      </w:r>
      <w:proofErr w:type="spellStart"/>
      <w:r w:rsidRPr="00AE77DC">
        <w:rPr>
          <w:rFonts w:ascii="Times New Roman" w:eastAsia="Times New Roman" w:hAnsi="Times New Roman" w:cs="Times New Roman"/>
          <w:sz w:val="24"/>
          <w:szCs w:val="21"/>
          <w:lang w:bidi="hi-IN"/>
        </w:rPr>
        <w:t>Jaganpuri</w:t>
      </w:r>
      <w:proofErr w:type="spellEnd"/>
      <w:r w:rsidRPr="00AE77DC">
        <w:rPr>
          <w:rFonts w:ascii="Times New Roman" w:eastAsia="Times New Roman" w:hAnsi="Times New Roman" w:cs="Times New Roman"/>
          <w:sz w:val="24"/>
          <w:szCs w:val="21"/>
          <w:lang w:bidi="hi-IN"/>
        </w:rPr>
        <w:t xml:space="preserve">, </w:t>
      </w:r>
      <w:proofErr w:type="spellStart"/>
      <w:r w:rsidRPr="00AE77DC">
        <w:rPr>
          <w:rFonts w:ascii="Times New Roman" w:eastAsia="Times New Roman" w:hAnsi="Times New Roman" w:cs="Times New Roman"/>
          <w:sz w:val="24"/>
          <w:szCs w:val="21"/>
          <w:lang w:bidi="hi-IN"/>
        </w:rPr>
        <w:t>Bhadabutiya</w:t>
      </w:r>
      <w:proofErr w:type="spellEnd"/>
      <w:r w:rsidRPr="00AE77DC">
        <w:rPr>
          <w:rFonts w:ascii="Times New Roman" w:eastAsia="Times New Roman" w:hAnsi="Times New Roman" w:cs="Times New Roman"/>
          <w:sz w:val="24"/>
          <w:szCs w:val="21"/>
          <w:lang w:bidi="hi-IN"/>
        </w:rPr>
        <w:t xml:space="preserve">, and </w:t>
      </w:r>
      <w:proofErr w:type="spellStart"/>
      <w:r w:rsidRPr="00AE77DC">
        <w:rPr>
          <w:rFonts w:ascii="Times New Roman" w:eastAsia="Times New Roman" w:hAnsi="Times New Roman" w:cs="Times New Roman"/>
          <w:sz w:val="24"/>
          <w:szCs w:val="21"/>
          <w:lang w:bidi="hi-IN"/>
        </w:rPr>
        <w:t>Charanpur</w:t>
      </w:r>
      <w:proofErr w:type="spellEnd"/>
      <w:r w:rsidRPr="00AE77DC">
        <w:rPr>
          <w:rFonts w:ascii="Times New Roman" w:eastAsia="Times New Roman" w:hAnsi="Times New Roman" w:cs="Times New Roman"/>
          <w:sz w:val="24"/>
          <w:szCs w:val="21"/>
          <w:lang w:bidi="hi-IN"/>
        </w:rPr>
        <w:t xml:space="preserve"> located in the blocks of </w:t>
      </w:r>
      <w:proofErr w:type="spellStart"/>
      <w:r w:rsidRPr="00AE77DC">
        <w:rPr>
          <w:rFonts w:ascii="Times New Roman" w:eastAsia="Times New Roman" w:hAnsi="Times New Roman" w:cs="Times New Roman"/>
          <w:sz w:val="24"/>
          <w:szCs w:val="21"/>
          <w:lang w:bidi="hi-IN"/>
        </w:rPr>
        <w:t>Gadarpur</w:t>
      </w:r>
      <w:proofErr w:type="spellEnd"/>
      <w:r w:rsidRPr="00AE77DC">
        <w:rPr>
          <w:rFonts w:ascii="Times New Roman" w:eastAsia="Times New Roman" w:hAnsi="Times New Roman" w:cs="Times New Roman"/>
          <w:sz w:val="24"/>
          <w:szCs w:val="21"/>
          <w:lang w:bidi="hi-IN"/>
        </w:rPr>
        <w:t xml:space="preserve">, </w:t>
      </w:r>
      <w:proofErr w:type="spellStart"/>
      <w:r w:rsidRPr="00AE77DC">
        <w:rPr>
          <w:rFonts w:ascii="Times New Roman" w:eastAsia="Times New Roman" w:hAnsi="Times New Roman" w:cs="Times New Roman"/>
          <w:sz w:val="24"/>
          <w:szCs w:val="21"/>
          <w:lang w:bidi="hi-IN"/>
        </w:rPr>
        <w:t>Khateema</w:t>
      </w:r>
      <w:proofErr w:type="spellEnd"/>
      <w:r w:rsidRPr="00AE77DC">
        <w:rPr>
          <w:rFonts w:ascii="Times New Roman" w:eastAsia="Times New Roman" w:hAnsi="Times New Roman" w:cs="Times New Roman"/>
          <w:sz w:val="24"/>
          <w:szCs w:val="21"/>
          <w:lang w:bidi="hi-IN"/>
        </w:rPr>
        <w:t xml:space="preserve">, and </w:t>
      </w:r>
      <w:proofErr w:type="spellStart"/>
      <w:r w:rsidRPr="00AE77DC">
        <w:rPr>
          <w:rFonts w:ascii="Times New Roman" w:eastAsia="Times New Roman" w:hAnsi="Times New Roman" w:cs="Times New Roman"/>
          <w:sz w:val="24"/>
          <w:szCs w:val="21"/>
          <w:lang w:bidi="hi-IN"/>
        </w:rPr>
        <w:t>Sitarganj</w:t>
      </w:r>
      <w:proofErr w:type="spellEnd"/>
      <w:r w:rsidRPr="00AE77DC">
        <w:rPr>
          <w:rFonts w:ascii="Times New Roman" w:eastAsia="Times New Roman" w:hAnsi="Times New Roman" w:cs="Times New Roman"/>
          <w:sz w:val="24"/>
          <w:szCs w:val="21"/>
          <w:lang w:bidi="hi-IN"/>
        </w:rPr>
        <w:t xml:space="preserve"> were purposively selected. The study was designed to assess the extent of participation of tribal farm women in TSP activities, with a particular focus on value addition–based trainings. A total of 400 tribal farm women were purposively selected from the villages covered under the programme. Total ten trainings were organized. These trainings primarily concentrated on value addition of agricultural produce, including preparation of pickles, jams, squashes, bakery products, and spice powders, along with sessions on packaging, branding, and marketing. Primary data were collected through </w:t>
      </w:r>
      <w:r w:rsidRPr="00AE77DC">
        <w:rPr>
          <w:rFonts w:ascii="Times New Roman" w:eastAsia="Times New Roman" w:hAnsi="Times New Roman" w:cs="Times New Roman"/>
          <w:b/>
          <w:bCs/>
          <w:sz w:val="24"/>
          <w:szCs w:val="21"/>
          <w:lang w:bidi="hi-IN"/>
        </w:rPr>
        <w:t>structured interview schedules</w:t>
      </w:r>
      <w:r w:rsidRPr="00AE77DC">
        <w:rPr>
          <w:rFonts w:ascii="Times New Roman" w:eastAsia="Times New Roman" w:hAnsi="Times New Roman" w:cs="Times New Roman"/>
          <w:sz w:val="24"/>
          <w:szCs w:val="21"/>
          <w:lang w:bidi="hi-IN"/>
        </w:rPr>
        <w:t xml:space="preserve"> prepared in consultation with subject matter specialists. The schedule included questions on socio-economic profile, participation in trainings, extent of involvement in planning, execution, and marketing stages, as well as constraints faced by farmers. Data were collected by personal interviews at the farmers’ households and during training sessions. The collected data were classified, tabulated, and </w:t>
      </w:r>
      <w:proofErr w:type="spellStart"/>
      <w:r w:rsidRPr="00AE77DC">
        <w:rPr>
          <w:rFonts w:ascii="Times New Roman" w:eastAsia="Times New Roman" w:hAnsi="Times New Roman" w:cs="Times New Roman"/>
          <w:sz w:val="24"/>
          <w:szCs w:val="21"/>
          <w:lang w:bidi="hi-IN"/>
        </w:rPr>
        <w:t>analyzed</w:t>
      </w:r>
      <w:proofErr w:type="spellEnd"/>
      <w:r w:rsidRPr="00AE77DC">
        <w:rPr>
          <w:rFonts w:ascii="Times New Roman" w:eastAsia="Times New Roman" w:hAnsi="Times New Roman" w:cs="Times New Roman"/>
          <w:sz w:val="24"/>
          <w:szCs w:val="21"/>
          <w:lang w:bidi="hi-IN"/>
        </w:rPr>
        <w:t xml:space="preserve"> using both </w:t>
      </w:r>
      <w:r w:rsidRPr="00AE77DC">
        <w:rPr>
          <w:rFonts w:ascii="Times New Roman" w:eastAsia="Times New Roman" w:hAnsi="Times New Roman" w:cs="Times New Roman"/>
          <w:b/>
          <w:bCs/>
          <w:sz w:val="24"/>
          <w:szCs w:val="21"/>
          <w:lang w:bidi="hi-IN"/>
        </w:rPr>
        <w:t>descriptive</w:t>
      </w:r>
      <w:r w:rsidRPr="00AE77DC">
        <w:rPr>
          <w:rFonts w:ascii="Times New Roman" w:eastAsia="Times New Roman" w:hAnsi="Times New Roman" w:cs="Times New Roman"/>
          <w:sz w:val="24"/>
          <w:szCs w:val="21"/>
          <w:lang w:bidi="hi-IN"/>
        </w:rPr>
        <w:t xml:space="preserve"> and </w:t>
      </w:r>
      <w:r w:rsidRPr="00AE77DC">
        <w:rPr>
          <w:rFonts w:ascii="Times New Roman" w:eastAsia="Times New Roman" w:hAnsi="Times New Roman" w:cs="Times New Roman"/>
          <w:b/>
          <w:bCs/>
          <w:sz w:val="24"/>
          <w:szCs w:val="21"/>
          <w:lang w:bidi="hi-IN"/>
        </w:rPr>
        <w:t>inferential statistics. A. Descriptive statistics</w:t>
      </w:r>
      <w:r w:rsidRPr="00AE77DC">
        <w:rPr>
          <w:rFonts w:ascii="Times New Roman" w:eastAsia="Times New Roman" w:hAnsi="Times New Roman" w:cs="Times New Roman"/>
          <w:sz w:val="24"/>
          <w:szCs w:val="21"/>
          <w:lang w:bidi="hi-IN"/>
        </w:rPr>
        <w:t xml:space="preserve"> such as frequency, percentage, and mean scores were used to measure the extent of participation. B. </w:t>
      </w:r>
      <w:r w:rsidRPr="00AE77DC">
        <w:rPr>
          <w:rFonts w:ascii="Times New Roman" w:eastAsia="Times New Roman" w:hAnsi="Times New Roman" w:cs="Times New Roman"/>
          <w:b/>
          <w:bCs/>
          <w:sz w:val="24"/>
          <w:szCs w:val="21"/>
          <w:lang w:bidi="hi-IN"/>
        </w:rPr>
        <w:t>Correlation analysis</w:t>
      </w:r>
      <w:r w:rsidRPr="00AE77DC">
        <w:rPr>
          <w:rFonts w:ascii="Times New Roman" w:eastAsia="Times New Roman" w:hAnsi="Times New Roman" w:cs="Times New Roman"/>
          <w:sz w:val="24"/>
          <w:szCs w:val="21"/>
          <w:lang w:bidi="hi-IN"/>
        </w:rPr>
        <w:t xml:space="preserve"> was employed to examine the relationship between farmers’ socio-economic and personal variables (age, education, socio-economic status, extension contact, mass media exposure, economic motivation, and risk orientation) and their extent of participation in the TSP. For correlation, </w:t>
      </w:r>
      <w:r w:rsidRPr="00AE77DC">
        <w:rPr>
          <w:rFonts w:ascii="Times New Roman" w:eastAsia="Times New Roman" w:hAnsi="Times New Roman" w:cs="Times New Roman"/>
          <w:b/>
          <w:bCs/>
          <w:sz w:val="24"/>
          <w:szCs w:val="21"/>
          <w:lang w:bidi="hi-IN"/>
        </w:rPr>
        <w:t>Karl Pearson’s Correlation Coefficient (r)</w:t>
      </w:r>
      <w:r w:rsidRPr="00AE77DC">
        <w:rPr>
          <w:rFonts w:ascii="Times New Roman" w:eastAsia="Times New Roman" w:hAnsi="Times New Roman" w:cs="Times New Roman"/>
          <w:sz w:val="24"/>
          <w:szCs w:val="21"/>
          <w:lang w:bidi="hi-IN"/>
        </w:rPr>
        <w:t xml:space="preserve"> was calculated using the formula:</w:t>
      </w:r>
      <w:r w:rsidR="004D60D5">
        <w:rPr>
          <w:rFonts w:ascii="Times New Roman" w:eastAsia="Times New Roman" w:hAnsi="Times New Roman" w:cs="Times New Roman"/>
          <w:sz w:val="24"/>
          <w:szCs w:val="21"/>
          <w:lang w:bidi="hi-IN"/>
        </w:rPr>
        <w:t xml:space="preserve"> </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Results and discussion:</w:t>
      </w:r>
    </w:p>
    <w:p w:rsidR="002A26DE" w:rsidRDefault="002A26DE" w:rsidP="006C408F">
      <w:pPr>
        <w:spacing w:before="100" w:beforeAutospacing="1" w:after="100" w:afterAutospacing="1" w:line="240" w:lineRule="auto"/>
        <w:ind w:firstLine="720"/>
        <w:jc w:val="both"/>
        <w:outlineLvl w:val="1"/>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noProof/>
          <w:sz w:val="24"/>
          <w:szCs w:val="24"/>
          <w:lang w:eastAsia="en-IN" w:bidi="hi-IN"/>
        </w:rPr>
        <w:lastRenderedPageBreak/>
        <w:drawing>
          <wp:anchor distT="0" distB="0" distL="114300" distR="114300" simplePos="0" relativeHeight="251662336" behindDoc="1" locked="0" layoutInCell="1" allowOverlap="1" wp14:anchorId="54A82EBB" wp14:editId="5315994B">
            <wp:simplePos x="0" y="0"/>
            <wp:positionH relativeFrom="margin">
              <wp:posOffset>1608455</wp:posOffset>
            </wp:positionH>
            <wp:positionV relativeFrom="margin">
              <wp:posOffset>-210185</wp:posOffset>
            </wp:positionV>
            <wp:extent cx="1849120" cy="919480"/>
            <wp:effectExtent l="0" t="0" r="0" b="0"/>
            <wp:wrapTight wrapText="bothSides">
              <wp:wrapPolygon edited="0">
                <wp:start x="0" y="0"/>
                <wp:lineTo x="0" y="21033"/>
                <wp:lineTo x="21363" y="21033"/>
                <wp:lineTo x="21363" y="0"/>
                <wp:lineTo x="0" y="0"/>
              </wp:wrapPolygon>
            </wp:wrapTight>
            <wp:docPr id="1" name="Picture 1" descr="Karl Pearson Correlation Coefficient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l Pearson Correlation Coefficient Formu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9120" cy="9194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26DE" w:rsidRDefault="002A26DE" w:rsidP="006C408F">
      <w:pPr>
        <w:spacing w:before="100" w:beforeAutospacing="1" w:after="100" w:afterAutospacing="1" w:line="240" w:lineRule="auto"/>
        <w:ind w:firstLine="720"/>
        <w:jc w:val="both"/>
        <w:outlineLvl w:val="1"/>
        <w:rPr>
          <w:rFonts w:ascii="Times New Roman" w:eastAsia="Times New Roman" w:hAnsi="Times New Roman" w:cs="Times New Roman"/>
          <w:sz w:val="24"/>
          <w:szCs w:val="24"/>
          <w:lang w:eastAsia="en-IN" w:bidi="hi-IN"/>
        </w:rPr>
      </w:pPr>
    </w:p>
    <w:p w:rsidR="002A26DE" w:rsidRDefault="002A26DE" w:rsidP="006C408F">
      <w:pPr>
        <w:spacing w:before="100" w:beforeAutospacing="1" w:after="100" w:afterAutospacing="1" w:line="240" w:lineRule="auto"/>
        <w:ind w:firstLine="720"/>
        <w:jc w:val="both"/>
        <w:outlineLvl w:val="1"/>
        <w:rPr>
          <w:rFonts w:ascii="Times New Roman" w:eastAsia="Times New Roman" w:hAnsi="Times New Roman" w:cs="Times New Roman"/>
          <w:sz w:val="24"/>
          <w:szCs w:val="24"/>
          <w:lang w:eastAsia="en-IN" w:bidi="hi-IN"/>
        </w:rPr>
      </w:pPr>
    </w:p>
    <w:p w:rsidR="006C408F" w:rsidRPr="00AE77DC" w:rsidRDefault="006C408F" w:rsidP="006C408F">
      <w:pPr>
        <w:spacing w:before="100" w:beforeAutospacing="1" w:after="100" w:afterAutospacing="1" w:line="240" w:lineRule="auto"/>
        <w:ind w:firstLine="720"/>
        <w:jc w:val="both"/>
        <w:outlineLvl w:val="1"/>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sz w:val="24"/>
          <w:szCs w:val="24"/>
          <w:lang w:eastAsia="en-IN" w:bidi="hi-IN"/>
        </w:rPr>
        <w:t xml:space="preserve">The socio-economic profile of 400 tribal farmers in </w:t>
      </w:r>
      <w:proofErr w:type="spellStart"/>
      <w:r w:rsidRPr="00AE77DC">
        <w:rPr>
          <w:rFonts w:ascii="Times New Roman" w:eastAsia="Times New Roman" w:hAnsi="Times New Roman" w:cs="Times New Roman"/>
          <w:sz w:val="24"/>
          <w:szCs w:val="24"/>
          <w:lang w:eastAsia="en-IN" w:bidi="hi-IN"/>
        </w:rPr>
        <w:t>Udham</w:t>
      </w:r>
      <w:proofErr w:type="spellEnd"/>
      <w:r w:rsidRPr="00AE77DC">
        <w:rPr>
          <w:rFonts w:ascii="Times New Roman" w:eastAsia="Times New Roman" w:hAnsi="Times New Roman" w:cs="Times New Roman"/>
          <w:sz w:val="24"/>
          <w:szCs w:val="24"/>
          <w:lang w:eastAsia="en-IN" w:bidi="hi-IN"/>
        </w:rPr>
        <w:t xml:space="preserve"> Singh Nagar district shows their demographic and farming background. This information is important for understanding their participation in the Tribal Sub</w:t>
      </w:r>
      <w:r w:rsidRPr="00AE77DC">
        <w:rPr>
          <w:rFonts w:ascii="Times New Roman" w:eastAsia="Times New Roman" w:hAnsi="Times New Roman" w:cs="Times New Roman"/>
          <w:b/>
          <w:bCs/>
          <w:sz w:val="24"/>
          <w:szCs w:val="24"/>
          <w:lang w:eastAsia="en-IN" w:bidi="hi-IN"/>
        </w:rPr>
        <w:t xml:space="preserve"> </w:t>
      </w:r>
      <w:r w:rsidRPr="00AE77DC">
        <w:rPr>
          <w:rFonts w:ascii="Times New Roman" w:eastAsia="Times New Roman" w:hAnsi="Times New Roman" w:cs="Times New Roman"/>
          <w:sz w:val="24"/>
          <w:szCs w:val="24"/>
          <w:lang w:eastAsia="en-IN" w:bidi="hi-IN"/>
        </w:rPr>
        <w:t>Plan</w:t>
      </w:r>
      <w:r w:rsidRPr="00AE77DC">
        <w:rPr>
          <w:rFonts w:ascii="Times New Roman" w:eastAsia="Times New Roman" w:hAnsi="Times New Roman" w:cs="Times New Roman"/>
          <w:b/>
          <w:bCs/>
          <w:sz w:val="24"/>
          <w:szCs w:val="24"/>
          <w:lang w:eastAsia="en-IN" w:bidi="hi-IN"/>
        </w:rPr>
        <w:t>.</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b/>
          <w:bCs/>
          <w:sz w:val="24"/>
          <w:szCs w:val="24"/>
          <w:lang w:eastAsia="en-IN" w:bidi="hi-IN"/>
        </w:rPr>
        <w:t>Table 1: Socio-economic characteristics of tribal women</w:t>
      </w:r>
    </w:p>
    <w:tbl>
      <w:tblPr>
        <w:tblStyle w:val="TableGrid1"/>
        <w:tblW w:w="0" w:type="auto"/>
        <w:tblLook w:val="04A0" w:firstRow="1" w:lastRow="0" w:firstColumn="1" w:lastColumn="0" w:noHBand="0" w:noVBand="1"/>
      </w:tblPr>
      <w:tblGrid>
        <w:gridCol w:w="2122"/>
        <w:gridCol w:w="3130"/>
        <w:gridCol w:w="1609"/>
        <w:gridCol w:w="1809"/>
      </w:tblGrid>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Variable</w:t>
            </w:r>
          </w:p>
        </w:tc>
        <w:tc>
          <w:tcPr>
            <w:tcW w:w="3130" w:type="dxa"/>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Category</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Frequency (f)</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Percentage (%)</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Age</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 xml:space="preserve">Young (up to 30 </w:t>
            </w:r>
            <w:proofErr w:type="spellStart"/>
            <w:r w:rsidRPr="00AE77DC">
              <w:rPr>
                <w:rFonts w:ascii="Times New Roman" w:eastAsia="Times New Roman" w:hAnsi="Times New Roman" w:cs="Times New Roman"/>
                <w:sz w:val="24"/>
                <w:szCs w:val="24"/>
                <w:lang w:eastAsia="en-IN"/>
              </w:rPr>
              <w:t>yrs</w:t>
            </w:r>
            <w:proofErr w:type="spellEnd"/>
            <w:r w:rsidRPr="00AE77DC">
              <w:rPr>
                <w:rFonts w:ascii="Times New Roman" w:eastAsia="Times New Roman" w:hAnsi="Times New Roman" w:cs="Times New Roman"/>
                <w:sz w:val="24"/>
                <w:szCs w:val="24"/>
                <w:lang w:eastAsia="en-IN"/>
              </w:rPr>
              <w:t>)</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136</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34.0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 xml:space="preserve">Middle (31–50 </w:t>
            </w:r>
            <w:proofErr w:type="spellStart"/>
            <w:r w:rsidRPr="00AE77DC">
              <w:rPr>
                <w:rFonts w:ascii="Times New Roman" w:eastAsia="Times New Roman" w:hAnsi="Times New Roman" w:cs="Times New Roman"/>
                <w:sz w:val="24"/>
                <w:szCs w:val="24"/>
                <w:lang w:eastAsia="en-IN"/>
              </w:rPr>
              <w:t>yrs</w:t>
            </w:r>
            <w:proofErr w:type="spellEnd"/>
            <w:r w:rsidRPr="00AE77DC">
              <w:rPr>
                <w:rFonts w:ascii="Times New Roman" w:eastAsia="Times New Roman" w:hAnsi="Times New Roman" w:cs="Times New Roman"/>
                <w:sz w:val="24"/>
                <w:szCs w:val="24"/>
                <w:lang w:eastAsia="en-IN"/>
              </w:rPr>
              <w:t>)</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184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46.0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 xml:space="preserve">Old (above 50 </w:t>
            </w:r>
            <w:proofErr w:type="spellStart"/>
            <w:r w:rsidRPr="00AE77DC">
              <w:rPr>
                <w:rFonts w:ascii="Times New Roman" w:eastAsia="Times New Roman" w:hAnsi="Times New Roman" w:cs="Times New Roman"/>
                <w:sz w:val="24"/>
                <w:szCs w:val="24"/>
                <w:lang w:eastAsia="en-IN"/>
              </w:rPr>
              <w:t>yrs</w:t>
            </w:r>
            <w:proofErr w:type="spellEnd"/>
            <w:r w:rsidRPr="00AE77DC">
              <w:rPr>
                <w:rFonts w:ascii="Times New Roman" w:eastAsia="Times New Roman" w:hAnsi="Times New Roman" w:cs="Times New Roman"/>
                <w:sz w:val="24"/>
                <w:szCs w:val="24"/>
                <w:lang w:eastAsia="en-IN"/>
              </w:rPr>
              <w:t>)</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20.0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Education</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Illiterate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144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36.0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Primary–Middle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160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40.0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Secondary</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72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18.0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Higher Secondary &amp; above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6.0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Landholding size</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Marginal (&lt;1 ha)</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176</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44.0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Small (1–2 ha)</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144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36.0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Semi-medium (2–4 ha)</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60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15.0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Medium &amp; above (&gt;4 ha)</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5.0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Annual income</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&lt; ₹80,000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192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48.0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₹80,000–1,50,000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160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40.0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&gt; ₹1,50,000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48</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12.0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Extension contact</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Low</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120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30.0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Medium</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168</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42.0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High</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112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28.0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Mass media exposure</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Low</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184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46.0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Medium</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152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38.0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High</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64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16.0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Economic motivation</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Low</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76</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19.0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Medium</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176</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44.0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High</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148</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37.0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Risk orientation</w:t>
            </w: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Low</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88</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22.0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Medium</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172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43.0</w:t>
            </w:r>
          </w:p>
        </w:tc>
      </w:tr>
      <w:tr w:rsidR="006C408F" w:rsidRPr="00AE77DC" w:rsidTr="00B67715">
        <w:tc>
          <w:tcPr>
            <w:tcW w:w="2122" w:type="dxa"/>
            <w:hideMark/>
          </w:tcPr>
          <w:p w:rsidR="006C408F" w:rsidRPr="00AE77DC" w:rsidRDefault="006C408F" w:rsidP="00B67715">
            <w:pPr>
              <w:jc w:val="both"/>
              <w:rPr>
                <w:rFonts w:ascii="Times New Roman" w:eastAsia="Times New Roman" w:hAnsi="Times New Roman" w:cs="Times New Roman"/>
                <w:sz w:val="24"/>
                <w:szCs w:val="24"/>
                <w:lang w:eastAsia="en-IN"/>
              </w:rPr>
            </w:pPr>
          </w:p>
        </w:tc>
        <w:tc>
          <w:tcPr>
            <w:tcW w:w="3130" w:type="dxa"/>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High</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140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35.0</w:t>
            </w:r>
          </w:p>
        </w:tc>
      </w:tr>
    </w:tbl>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The socio-economic characteristics of the 400 respondents revealed important insights into their demographic background, educational attainment, landholding pattern, income, and access to resources. These characteristics are important in understanding the extent of farmer participation in the Tribal Sub Plan.</w:t>
      </w:r>
    </w:p>
    <w:p w:rsidR="00DE1087" w:rsidRDefault="006C408F" w:rsidP="00F97C5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DE1087">
        <w:rPr>
          <w:rFonts w:ascii="Times New Roman" w:eastAsia="Times New Roman" w:hAnsi="Times New Roman" w:cs="Times New Roman"/>
          <w:b/>
          <w:bCs/>
          <w:sz w:val="24"/>
          <w:szCs w:val="24"/>
          <w:lang w:eastAsia="en-IN" w:bidi="hi-IN"/>
        </w:rPr>
        <w:t>Age</w:t>
      </w:r>
      <w:r w:rsidRPr="00DE1087">
        <w:rPr>
          <w:rFonts w:ascii="Times New Roman" w:eastAsia="Times New Roman" w:hAnsi="Times New Roman" w:cs="Times New Roman"/>
          <w:sz w:val="24"/>
          <w:szCs w:val="24"/>
          <w:lang w:eastAsia="en-IN" w:bidi="hi-IN"/>
        </w:rPr>
        <w:t xml:space="preserve">: A majority of the farmers (46%) belonged to the middle age group (31–50 years), followed by 34% in the young category (up to 30 years), and only 20% in the old age </w:t>
      </w:r>
      <w:r w:rsidRPr="00DE1087">
        <w:rPr>
          <w:rFonts w:ascii="Times New Roman" w:eastAsia="Times New Roman" w:hAnsi="Times New Roman" w:cs="Times New Roman"/>
          <w:sz w:val="24"/>
          <w:szCs w:val="24"/>
          <w:lang w:eastAsia="en-IN" w:bidi="hi-IN"/>
        </w:rPr>
        <w:lastRenderedPageBreak/>
        <w:t xml:space="preserve">group (above 50 years). Middle-aged farmers were found to be more energetic, receptive to new knowledge, and active participants in trainings. </w:t>
      </w:r>
    </w:p>
    <w:p w:rsidR="006C408F" w:rsidRPr="00DE1087" w:rsidRDefault="006C408F" w:rsidP="00F97C5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DE1087">
        <w:rPr>
          <w:rFonts w:ascii="Times New Roman" w:eastAsia="Times New Roman" w:hAnsi="Times New Roman" w:cs="Times New Roman"/>
          <w:b/>
          <w:bCs/>
          <w:sz w:val="24"/>
          <w:szCs w:val="24"/>
          <w:lang w:eastAsia="en-IN" w:bidi="hi-IN"/>
        </w:rPr>
        <w:t>Education</w:t>
      </w:r>
      <w:r w:rsidRPr="00DE1087">
        <w:rPr>
          <w:rFonts w:ascii="Times New Roman" w:eastAsia="Times New Roman" w:hAnsi="Times New Roman" w:cs="Times New Roman"/>
          <w:sz w:val="24"/>
          <w:szCs w:val="24"/>
          <w:lang w:eastAsia="en-IN" w:bidi="hi-IN"/>
        </w:rPr>
        <w:t xml:space="preserve">: Educational status was generally low among tribal farmers. About 36% of the respondents were illiterate, 40% had studied up to primary or middle school, 18% up to secondary level, while only 6% had higher secondary or above education. Low literacy restricted their access to written information, but the practical and demonstration-based approach of trainings made participation easier. </w:t>
      </w:r>
    </w:p>
    <w:p w:rsidR="006C408F" w:rsidRPr="00AE77DC" w:rsidRDefault="006C408F" w:rsidP="006C408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Landholding</w:t>
      </w:r>
      <w:r w:rsidRPr="00AE77DC">
        <w:rPr>
          <w:rFonts w:ascii="Times New Roman" w:eastAsia="Times New Roman" w:hAnsi="Times New Roman" w:cs="Times New Roman"/>
          <w:sz w:val="24"/>
          <w:szCs w:val="24"/>
          <w:lang w:eastAsia="en-IN" w:bidi="hi-IN"/>
        </w:rPr>
        <w:t>: Landholdings were generally small and fragmented. About 44% of farmers were marginal (below 1 ha), 36% were small (1–2 ha), 15% were semi-medium (2–4 ha), and only 5% were medium or large farmers. This small-scale farming restricted commercial production, thereby increasing the importance of value addition for income enhancement.</w:t>
      </w:r>
    </w:p>
    <w:p w:rsidR="006C408F" w:rsidRPr="00AE77DC" w:rsidRDefault="006C408F" w:rsidP="006C408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Annual Income</w:t>
      </w:r>
      <w:r w:rsidRPr="00AE77DC">
        <w:rPr>
          <w:rFonts w:ascii="Times New Roman" w:eastAsia="Times New Roman" w:hAnsi="Times New Roman" w:cs="Times New Roman"/>
          <w:sz w:val="24"/>
          <w:szCs w:val="24"/>
          <w:lang w:eastAsia="en-IN" w:bidi="hi-IN"/>
        </w:rPr>
        <w:t>: The annual household income of most farmers was modest. Around 48% earned below ₹80,000 per year, 40% were in the range of ₹80,000–1,50,000, while only 12% earned above ₹1,50,000. Income levels improved slightly for farmers who adopted value addition practices after the trainings.</w:t>
      </w:r>
    </w:p>
    <w:p w:rsidR="006C408F" w:rsidRPr="007623F9" w:rsidRDefault="006C408F" w:rsidP="006C408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Extension Contact</w:t>
      </w:r>
      <w:r w:rsidRPr="00AE77DC">
        <w:rPr>
          <w:rFonts w:ascii="Times New Roman" w:eastAsia="Times New Roman" w:hAnsi="Times New Roman" w:cs="Times New Roman"/>
          <w:sz w:val="24"/>
          <w:szCs w:val="24"/>
          <w:lang w:eastAsia="en-IN" w:bidi="hi-IN"/>
        </w:rPr>
        <w:t xml:space="preserve">: Extension contact was found to be limited. About 42% of farmers had medium contact with extension workers, 28% had high contact, while 30% had low contact. Farmers with better extension contact were more likely to attend trainings and participate actively, which supports the findings of </w:t>
      </w:r>
      <w:proofErr w:type="spellStart"/>
      <w:r w:rsidR="007623F9" w:rsidRPr="007623F9">
        <w:rPr>
          <w:rFonts w:ascii="Times New Roman" w:eastAsia="Times New Roman" w:hAnsi="Times New Roman" w:cs="Times New Roman"/>
          <w:b/>
          <w:bCs/>
          <w:sz w:val="24"/>
          <w:szCs w:val="24"/>
          <w:lang w:eastAsia="en-IN" w:bidi="hi-IN"/>
        </w:rPr>
        <w:t>Kandpal</w:t>
      </w:r>
      <w:proofErr w:type="spellEnd"/>
      <w:r w:rsidR="007623F9" w:rsidRPr="007623F9">
        <w:rPr>
          <w:rFonts w:ascii="Times New Roman" w:eastAsia="Times New Roman" w:hAnsi="Times New Roman" w:cs="Times New Roman"/>
          <w:b/>
          <w:bCs/>
          <w:sz w:val="24"/>
          <w:szCs w:val="24"/>
          <w:lang w:eastAsia="en-IN" w:bidi="hi-IN"/>
        </w:rPr>
        <w:t xml:space="preserve"> (2025</w:t>
      </w:r>
      <w:r w:rsidRPr="007623F9">
        <w:rPr>
          <w:rFonts w:ascii="Times New Roman" w:eastAsia="Times New Roman" w:hAnsi="Times New Roman" w:cs="Times New Roman"/>
          <w:b/>
          <w:bCs/>
          <w:sz w:val="24"/>
          <w:szCs w:val="24"/>
          <w:lang w:eastAsia="en-IN" w:bidi="hi-IN"/>
        </w:rPr>
        <w:t>).</w:t>
      </w:r>
    </w:p>
    <w:p w:rsidR="006C408F" w:rsidRPr="00AE77DC" w:rsidRDefault="006C408F" w:rsidP="006C408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Mass Media Exposure</w:t>
      </w:r>
      <w:r w:rsidRPr="00AE77DC">
        <w:rPr>
          <w:rFonts w:ascii="Times New Roman" w:eastAsia="Times New Roman" w:hAnsi="Times New Roman" w:cs="Times New Roman"/>
          <w:sz w:val="24"/>
          <w:szCs w:val="24"/>
          <w:lang w:eastAsia="en-IN" w:bidi="hi-IN"/>
        </w:rPr>
        <w:t xml:space="preserve">: Mass media exposure was low among </w:t>
      </w:r>
      <w:proofErr w:type="spellStart"/>
      <w:r w:rsidRPr="00AE77DC">
        <w:rPr>
          <w:rFonts w:ascii="Times New Roman" w:eastAsia="Times New Roman" w:hAnsi="Times New Roman" w:cs="Times New Roman"/>
          <w:sz w:val="24"/>
          <w:szCs w:val="24"/>
          <w:lang w:eastAsia="en-IN" w:bidi="hi-IN"/>
        </w:rPr>
        <w:t>tribals</w:t>
      </w:r>
      <w:proofErr w:type="spellEnd"/>
      <w:r w:rsidRPr="00AE77DC">
        <w:rPr>
          <w:rFonts w:ascii="Times New Roman" w:eastAsia="Times New Roman" w:hAnsi="Times New Roman" w:cs="Times New Roman"/>
          <w:sz w:val="24"/>
          <w:szCs w:val="24"/>
          <w:lang w:eastAsia="en-IN" w:bidi="hi-IN"/>
        </w:rPr>
        <w:t xml:space="preserve"> due to limited access to television, radio, and newspapers. Nearly 46% reported low exposure, 38% medium, and only 16% high exposure. This highlights the importance of interpersonal communication and demonstration-based training in tribal areas.</w:t>
      </w:r>
    </w:p>
    <w:p w:rsidR="006C408F" w:rsidRPr="007623F9" w:rsidRDefault="006C408F" w:rsidP="007623F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Economic Motivation and Risk Orientation</w:t>
      </w:r>
      <w:r w:rsidRPr="00AE77DC">
        <w:rPr>
          <w:rFonts w:ascii="Times New Roman" w:eastAsia="Times New Roman" w:hAnsi="Times New Roman" w:cs="Times New Roman"/>
          <w:sz w:val="24"/>
          <w:szCs w:val="24"/>
          <w:lang w:eastAsia="en-IN" w:bidi="hi-IN"/>
        </w:rPr>
        <w:t xml:space="preserve">: Most respondents (62%) had medium to high economic motivation, showing interest in activities that could supplement their household income. About 58% also had medium to high risk orientation, indicating willingness to try new practices when benefits were clear. This matches with the findings of </w:t>
      </w:r>
      <w:proofErr w:type="spellStart"/>
      <w:r w:rsidR="007623F9" w:rsidRPr="007623F9">
        <w:rPr>
          <w:rFonts w:ascii="Times New Roman" w:eastAsia="Times New Roman" w:hAnsi="Times New Roman" w:cs="Times New Roman"/>
          <w:b/>
          <w:bCs/>
          <w:sz w:val="24"/>
          <w:szCs w:val="24"/>
          <w:lang w:eastAsia="en-IN" w:bidi="hi-IN"/>
        </w:rPr>
        <w:t>Kandpal</w:t>
      </w:r>
      <w:proofErr w:type="spellEnd"/>
      <w:r w:rsidR="007623F9" w:rsidRPr="007623F9">
        <w:rPr>
          <w:rFonts w:ascii="Times New Roman" w:eastAsia="Times New Roman" w:hAnsi="Times New Roman" w:cs="Times New Roman"/>
          <w:b/>
          <w:bCs/>
          <w:sz w:val="24"/>
          <w:szCs w:val="24"/>
          <w:lang w:eastAsia="en-IN" w:bidi="hi-IN"/>
        </w:rPr>
        <w:t xml:space="preserve"> (2025</w:t>
      </w:r>
      <w:r w:rsidR="007623F9">
        <w:rPr>
          <w:rFonts w:ascii="Times New Roman" w:eastAsia="Times New Roman" w:hAnsi="Times New Roman" w:cs="Times New Roman"/>
          <w:b/>
          <w:bCs/>
          <w:sz w:val="24"/>
          <w:szCs w:val="24"/>
          <w:lang w:eastAsia="en-IN" w:bidi="hi-IN"/>
        </w:rPr>
        <w:t>)</w:t>
      </w:r>
      <w:r w:rsidRPr="007623F9">
        <w:rPr>
          <w:rFonts w:ascii="Times New Roman" w:eastAsia="Times New Roman" w:hAnsi="Times New Roman" w:cs="Times New Roman"/>
          <w:b/>
          <w:bCs/>
          <w:sz w:val="24"/>
          <w:szCs w:val="24"/>
          <w:lang w:eastAsia="en-IN" w:bidi="hi-IN"/>
        </w:rPr>
        <w:t>,</w:t>
      </w:r>
      <w:r w:rsidRPr="007623F9">
        <w:rPr>
          <w:rFonts w:ascii="Times New Roman" w:eastAsia="Times New Roman" w:hAnsi="Times New Roman" w:cs="Times New Roman"/>
          <w:sz w:val="24"/>
          <w:szCs w:val="24"/>
          <w:lang w:eastAsia="en-IN" w:bidi="hi-IN"/>
        </w:rPr>
        <w:t xml:space="preserve"> who observed that higher economic motivation enhances farmer participation in development programmes.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Table 2: Extent of people’s participation at various stages of tribal sub plan programme</w:t>
      </w:r>
      <w:r w:rsidRPr="00AE77DC">
        <w:rPr>
          <w:rFonts w:ascii="Times New Roman" w:eastAsia="Times New Roman" w:hAnsi="Times New Roman" w:cs="Times New Roman"/>
          <w:sz w:val="24"/>
          <w:szCs w:val="24"/>
          <w:lang w:eastAsia="en-IN" w:bidi="hi-IN"/>
        </w:rPr>
        <w:t xml:space="preserve"> </w:t>
      </w:r>
    </w:p>
    <w:tbl>
      <w:tblPr>
        <w:tblStyle w:val="TableGrid1"/>
        <w:tblpPr w:leftFromText="180" w:rightFromText="180" w:vertAnchor="text" w:horzAnchor="margin" w:tblpXSpec="center" w:tblpY="270"/>
        <w:tblW w:w="0" w:type="auto"/>
        <w:tblLook w:val="04A0" w:firstRow="1" w:lastRow="0" w:firstColumn="1" w:lastColumn="0" w:noHBand="0" w:noVBand="1"/>
      </w:tblPr>
      <w:tblGrid>
        <w:gridCol w:w="2656"/>
        <w:gridCol w:w="976"/>
        <w:gridCol w:w="1216"/>
        <w:gridCol w:w="1216"/>
      </w:tblGrid>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Stage of participation</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 xml:space="preserve">Low </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Medium</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 xml:space="preserve">High </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Planning stage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10 (2.5)</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140 (35.0)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250 (62.5)</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Resource analysis</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 (2.0)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120 (30.0)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272 (68.0)</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Executive stage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12 (3.0)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150 (37.5)</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238 (59.5)</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Progress evaluation stage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10 (2.5)</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136 (34.0)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254 (63.5)</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Overall participation</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 (2.0)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128 (32.0)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264 (66.0)</w:t>
            </w:r>
          </w:p>
        </w:tc>
      </w:tr>
    </w:tbl>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p>
    <w:p w:rsidR="006C408F" w:rsidRPr="00AE77DC" w:rsidRDefault="006C408F" w:rsidP="006C408F">
      <w:pPr>
        <w:spacing w:before="100" w:beforeAutospacing="1" w:after="100" w:afterAutospacing="1" w:line="240" w:lineRule="auto"/>
        <w:ind w:firstLine="720"/>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The analysis of people’s participation at various stages of the Tribal Sub Plan (TSP) revealed consistently high levels of involvement among tribal farmers.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In the </w:t>
      </w:r>
      <w:r w:rsidRPr="00AE77DC">
        <w:rPr>
          <w:rFonts w:ascii="Times New Roman" w:eastAsia="Times New Roman" w:hAnsi="Times New Roman" w:cs="Times New Roman"/>
          <w:b/>
          <w:bCs/>
          <w:sz w:val="24"/>
          <w:szCs w:val="24"/>
          <w:lang w:eastAsia="en-IN" w:bidi="hi-IN"/>
        </w:rPr>
        <w:t>planning stage</w:t>
      </w:r>
      <w:r w:rsidRPr="00AE77DC">
        <w:rPr>
          <w:rFonts w:ascii="Times New Roman" w:eastAsia="Times New Roman" w:hAnsi="Times New Roman" w:cs="Times New Roman"/>
          <w:sz w:val="24"/>
          <w:szCs w:val="24"/>
          <w:lang w:eastAsia="en-IN" w:bidi="hi-IN"/>
        </w:rPr>
        <w:t>, a large proportion of respondents (62.5%) reported high participation, while only 2.5% had low participation. This shows that farmers were eager to engage in the identification of training needs and decision-making, especially when the programmes were directly linked to value addition and livelihood improvement.</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lastRenderedPageBreak/>
        <w:t xml:space="preserve">The </w:t>
      </w:r>
      <w:r w:rsidRPr="00AE77DC">
        <w:rPr>
          <w:rFonts w:ascii="Times New Roman" w:eastAsia="Times New Roman" w:hAnsi="Times New Roman" w:cs="Times New Roman"/>
          <w:b/>
          <w:bCs/>
          <w:sz w:val="24"/>
          <w:szCs w:val="24"/>
          <w:lang w:eastAsia="en-IN" w:bidi="hi-IN"/>
        </w:rPr>
        <w:t>resource analysis stage</w:t>
      </w:r>
      <w:r w:rsidRPr="00AE77DC">
        <w:rPr>
          <w:rFonts w:ascii="Times New Roman" w:eastAsia="Times New Roman" w:hAnsi="Times New Roman" w:cs="Times New Roman"/>
          <w:sz w:val="24"/>
          <w:szCs w:val="24"/>
          <w:lang w:eastAsia="en-IN" w:bidi="hi-IN"/>
        </w:rPr>
        <w:t xml:space="preserve"> recorded the </w:t>
      </w:r>
      <w:r w:rsidRPr="00AE77DC">
        <w:rPr>
          <w:rFonts w:ascii="Times New Roman" w:eastAsia="Times New Roman" w:hAnsi="Times New Roman" w:cs="Times New Roman"/>
          <w:b/>
          <w:bCs/>
          <w:sz w:val="24"/>
          <w:szCs w:val="24"/>
          <w:lang w:eastAsia="en-IN" w:bidi="hi-IN"/>
        </w:rPr>
        <w:t>highest participation</w:t>
      </w:r>
      <w:r w:rsidRPr="00AE77DC">
        <w:rPr>
          <w:rFonts w:ascii="Times New Roman" w:eastAsia="Times New Roman" w:hAnsi="Times New Roman" w:cs="Times New Roman"/>
          <w:sz w:val="24"/>
          <w:szCs w:val="24"/>
          <w:lang w:eastAsia="en-IN" w:bidi="hi-IN"/>
        </w:rPr>
        <w:t>, with 68.0% of farmers in the high category. This indicates that tribal farmers were confident in contributing their indigenous knowledge about land, water, crops, and local resources. Only 2.0% reported low participation, highlighting the overall enthusiasm at this stage.</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In the </w:t>
      </w:r>
      <w:r w:rsidRPr="00AE77DC">
        <w:rPr>
          <w:rFonts w:ascii="Times New Roman" w:eastAsia="Times New Roman" w:hAnsi="Times New Roman" w:cs="Times New Roman"/>
          <w:b/>
          <w:bCs/>
          <w:sz w:val="24"/>
          <w:szCs w:val="24"/>
          <w:lang w:eastAsia="en-IN" w:bidi="hi-IN"/>
        </w:rPr>
        <w:t>executive stage</w:t>
      </w:r>
      <w:r w:rsidRPr="00AE77DC">
        <w:rPr>
          <w:rFonts w:ascii="Times New Roman" w:eastAsia="Times New Roman" w:hAnsi="Times New Roman" w:cs="Times New Roman"/>
          <w:sz w:val="24"/>
          <w:szCs w:val="24"/>
          <w:lang w:eastAsia="en-IN" w:bidi="hi-IN"/>
        </w:rPr>
        <w:t>, 59.5% of respondents reported high participation and 37.5% were in the medium category. This reflects that farmers were actively involved in the implementation of trainings, preparation of value-added products, and adoption of improved techniques. The low participation was minimal (3.0%), suggesting that execution was widely accepted.</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The </w:t>
      </w:r>
      <w:r w:rsidRPr="00AE77DC">
        <w:rPr>
          <w:rFonts w:ascii="Times New Roman" w:eastAsia="Times New Roman" w:hAnsi="Times New Roman" w:cs="Times New Roman"/>
          <w:b/>
          <w:bCs/>
          <w:sz w:val="24"/>
          <w:szCs w:val="24"/>
          <w:lang w:eastAsia="en-IN" w:bidi="hi-IN"/>
        </w:rPr>
        <w:t>progress evaluation stage</w:t>
      </w:r>
      <w:r w:rsidRPr="00AE77DC">
        <w:rPr>
          <w:rFonts w:ascii="Times New Roman" w:eastAsia="Times New Roman" w:hAnsi="Times New Roman" w:cs="Times New Roman"/>
          <w:sz w:val="24"/>
          <w:szCs w:val="24"/>
          <w:lang w:eastAsia="en-IN" w:bidi="hi-IN"/>
        </w:rPr>
        <w:t xml:space="preserve"> also recorded strong participation, with 63.5% in the high category and 34.0% in the medium category. Farmers not only attended trainings but also shared feedback and evaluated programme outcomes, showing their willingness to stay engaged even after implementation.</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Considering </w:t>
      </w:r>
      <w:r w:rsidRPr="00AE77DC">
        <w:rPr>
          <w:rFonts w:ascii="Times New Roman" w:eastAsia="Times New Roman" w:hAnsi="Times New Roman" w:cs="Times New Roman"/>
          <w:b/>
          <w:bCs/>
          <w:sz w:val="24"/>
          <w:szCs w:val="24"/>
          <w:lang w:eastAsia="en-IN" w:bidi="hi-IN"/>
        </w:rPr>
        <w:t>overall participation</w:t>
      </w:r>
      <w:r w:rsidRPr="00AE77DC">
        <w:rPr>
          <w:rFonts w:ascii="Times New Roman" w:eastAsia="Times New Roman" w:hAnsi="Times New Roman" w:cs="Times New Roman"/>
          <w:sz w:val="24"/>
          <w:szCs w:val="24"/>
          <w:lang w:eastAsia="en-IN" w:bidi="hi-IN"/>
        </w:rPr>
        <w:t>, two-thirds of respondents (66.0%) were in the high category and 32.0% in the medium category. Low participation was negligible (2.0%). This clearly indicates that the TSP interventions were well accepted, practical, and relevant to the tribal farmers’ livelihood needs.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The stacked bar chart above further illustrates the dominance of medium to high participation across all stages, confirming that the Tribal Sub Plan generated strong involvement and ownership among the tribal community.</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b/>
          <w:bCs/>
          <w:noProof/>
          <w:sz w:val="24"/>
          <w:szCs w:val="24"/>
          <w:lang w:eastAsia="en-IN" w:bidi="hi-IN"/>
        </w:rPr>
        <w:drawing>
          <wp:anchor distT="0" distB="0" distL="114300" distR="114300" simplePos="0" relativeHeight="251660288" behindDoc="0" locked="0" layoutInCell="1" allowOverlap="1" wp14:anchorId="7CF031AE" wp14:editId="25AED733">
            <wp:simplePos x="0" y="0"/>
            <wp:positionH relativeFrom="column">
              <wp:posOffset>1501775</wp:posOffset>
            </wp:positionH>
            <wp:positionV relativeFrom="paragraph">
              <wp:posOffset>-1905</wp:posOffset>
            </wp:positionV>
            <wp:extent cx="2908300" cy="2197100"/>
            <wp:effectExtent l="0" t="0" r="6350" b="0"/>
            <wp:wrapSquare wrapText="bothSides"/>
            <wp:docPr id="3" name="Picture 3" descr="C:\Users\User.DESKTOP-NC7QMQ4\Desktop\76558069-f65a-45e0-bce6-0ba3707aa4b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NC7QMQ4\Desktop\76558069-f65a-45e0-bce6-0ba3707aa4b6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8300" cy="219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7DC">
        <w:rPr>
          <w:rFonts w:ascii="Times New Roman" w:eastAsia="Times New Roman" w:hAnsi="Times New Roman" w:cs="Times New Roman"/>
          <w:noProof/>
          <w:sz w:val="24"/>
          <w:szCs w:val="24"/>
          <w:lang w:eastAsia="en-IN" w:bidi="hi-IN"/>
        </w:rPr>
        <mc:AlternateContent>
          <mc:Choice Requires="wps">
            <w:drawing>
              <wp:inline distT="0" distB="0" distL="0" distR="0" wp14:anchorId="3F828416" wp14:editId="0D12218D">
                <wp:extent cx="303530" cy="303530"/>
                <wp:effectExtent l="0" t="0" r="0" b="0"/>
                <wp:docPr id="2"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6655A" id="Rectangle 2" o:spid="_x0000_s1026" alt="Output image"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" filled="f" stroked="f">
                <o:lock v:ext="edit" aspectratio="t"/>
                <w10:anchorlock/>
              </v:rect>
            </w:pict>
          </mc:Fallback>
        </mc:AlternateConten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p>
    <w:p w:rsidR="00857227" w:rsidRDefault="00857227"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Fig 1: Extent of people’s participation at various stages of TSP</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b/>
          <w:bCs/>
          <w:sz w:val="24"/>
          <w:szCs w:val="24"/>
          <w:lang w:eastAsia="en-IN" w:bidi="hi-IN"/>
        </w:rPr>
        <w:t xml:space="preserve">Table 3: Relationship between respondent’s personal variables and extent of participation                                                                                                            </w:t>
      </w:r>
      <w:proofErr w:type="gramStart"/>
      <w:r w:rsidRPr="00AE77DC">
        <w:rPr>
          <w:rFonts w:ascii="Times New Roman" w:eastAsia="Times New Roman" w:hAnsi="Times New Roman" w:cs="Times New Roman"/>
          <w:b/>
          <w:bCs/>
          <w:sz w:val="24"/>
          <w:szCs w:val="24"/>
          <w:lang w:eastAsia="en-IN" w:bidi="hi-IN"/>
        </w:rPr>
        <w:t xml:space="preserve">   (</w:t>
      </w:r>
      <w:proofErr w:type="gramEnd"/>
      <w:r w:rsidRPr="00AE77DC">
        <w:rPr>
          <w:rFonts w:ascii="Times New Roman" w:eastAsia="Times New Roman" w:hAnsi="Times New Roman" w:cs="Times New Roman"/>
          <w:b/>
          <w:bCs/>
          <w:sz w:val="24"/>
          <w:szCs w:val="24"/>
          <w:lang w:eastAsia="en-IN" w:bidi="hi-IN"/>
        </w:rPr>
        <w:t>N=400)</w:t>
      </w:r>
    </w:p>
    <w:tbl>
      <w:tblPr>
        <w:tblStyle w:val="TableGrid1"/>
        <w:tblW w:w="0" w:type="auto"/>
        <w:tblLook w:val="04A0" w:firstRow="1" w:lastRow="0" w:firstColumn="1" w:lastColumn="0" w:noHBand="0" w:noVBand="1"/>
      </w:tblPr>
      <w:tblGrid>
        <w:gridCol w:w="771"/>
        <w:gridCol w:w="2118"/>
        <w:gridCol w:w="2555"/>
        <w:gridCol w:w="2571"/>
        <w:gridCol w:w="1001"/>
      </w:tblGrid>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S. No.</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Variable</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Correlation coefficient (r)</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Regression coefficients (β)</w:t>
            </w:r>
          </w:p>
        </w:tc>
        <w:tc>
          <w:tcPr>
            <w:tcW w:w="0" w:type="auto"/>
            <w:hideMark/>
          </w:tcPr>
          <w:p w:rsidR="006C408F" w:rsidRPr="00AE77DC" w:rsidRDefault="006C408F" w:rsidP="00B67715">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t-values</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Age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-0.168*</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-0.112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-2.45*</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Education</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0.226*</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0.184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3.78*</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Landholding size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0.132*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0.098</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2.10*</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Annual income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0.118NS</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0.092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1.84NS</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5.</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Extension contact</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0.241*</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0.176</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4.02*</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lastRenderedPageBreak/>
              <w:t>6.</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Mass media exposure</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0.106NS</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0.083</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1.76NS</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7.</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Economic motivation</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0.192*</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0.140</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2.95*</w:t>
            </w:r>
          </w:p>
        </w:tc>
      </w:tr>
      <w:tr w:rsidR="006C408F" w:rsidRPr="00AE77DC" w:rsidTr="00B67715">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Risk orientation</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0.144*</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0.115</w:t>
            </w:r>
          </w:p>
        </w:tc>
        <w:tc>
          <w:tcPr>
            <w:tcW w:w="0" w:type="auto"/>
            <w:hideMark/>
          </w:tcPr>
          <w:p w:rsidR="006C408F" w:rsidRPr="00AE77DC" w:rsidRDefault="006C408F" w:rsidP="00B67715">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2.24*</w:t>
            </w:r>
          </w:p>
        </w:tc>
      </w:tr>
    </w:tbl>
    <w:p w:rsidR="006C408F" w:rsidRPr="00AE77DC"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The analysis of the relationship between the personal variables of tribal farmers and their extent of participation in the Tribal Sub Plan revealed some important trends. The results are given in table 3: </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A </w:t>
      </w:r>
      <w:r w:rsidRPr="00AE77DC">
        <w:rPr>
          <w:rFonts w:ascii="Times New Roman" w:eastAsia="Times New Roman" w:hAnsi="Times New Roman" w:cs="Times New Roman"/>
          <w:b/>
          <w:bCs/>
          <w:sz w:val="24"/>
          <w:szCs w:val="24"/>
          <w:lang w:eastAsia="en-IN" w:bidi="hi-IN"/>
        </w:rPr>
        <w:t>negative and significant correlation</w:t>
      </w:r>
      <w:r w:rsidRPr="00AE77DC">
        <w:rPr>
          <w:rFonts w:ascii="Times New Roman" w:eastAsia="Times New Roman" w:hAnsi="Times New Roman" w:cs="Times New Roman"/>
          <w:sz w:val="24"/>
          <w:szCs w:val="24"/>
          <w:lang w:eastAsia="en-IN" w:bidi="hi-IN"/>
        </w:rPr>
        <w:t xml:space="preserve"> was observed between </w:t>
      </w:r>
      <w:r w:rsidRPr="00AE77DC">
        <w:rPr>
          <w:rFonts w:ascii="Times New Roman" w:eastAsia="Times New Roman" w:hAnsi="Times New Roman" w:cs="Times New Roman"/>
          <w:b/>
          <w:bCs/>
          <w:sz w:val="24"/>
          <w:szCs w:val="24"/>
          <w:lang w:eastAsia="en-IN" w:bidi="hi-IN"/>
        </w:rPr>
        <w:t>age and participation</w:t>
      </w:r>
      <w:r w:rsidRPr="00AE77DC">
        <w:rPr>
          <w:rFonts w:ascii="Times New Roman" w:eastAsia="Times New Roman" w:hAnsi="Times New Roman" w:cs="Times New Roman"/>
          <w:sz w:val="24"/>
          <w:szCs w:val="24"/>
          <w:lang w:eastAsia="en-IN" w:bidi="hi-IN"/>
        </w:rPr>
        <w:t xml:space="preserve"> (r = -0.168). This implies that younger farmers were more enthusiastic and active in attending trainings, adopting value addition practices, and engaging in marketing activities, while older farmers were relatively hesitant. The regression coefficient for age (-0.112) and t-value (-2.45) further confirmed this relationship. Similar findings were reported by </w:t>
      </w:r>
      <w:proofErr w:type="spellStart"/>
      <w:r w:rsidR="00190D35" w:rsidRPr="00190D35">
        <w:rPr>
          <w:rFonts w:ascii="Times New Roman" w:eastAsia="Times New Roman" w:hAnsi="Times New Roman" w:cs="Times New Roman"/>
          <w:b/>
          <w:bCs/>
          <w:sz w:val="24"/>
          <w:szCs w:val="24"/>
          <w:lang w:eastAsia="en-IN" w:bidi="hi-IN"/>
        </w:rPr>
        <w:t>Kandpal</w:t>
      </w:r>
      <w:proofErr w:type="spellEnd"/>
      <w:r w:rsidR="00190D35" w:rsidRPr="00190D35">
        <w:rPr>
          <w:rFonts w:ascii="Times New Roman" w:eastAsia="Times New Roman" w:hAnsi="Times New Roman" w:cs="Times New Roman"/>
          <w:b/>
          <w:bCs/>
          <w:sz w:val="24"/>
          <w:szCs w:val="24"/>
          <w:lang w:eastAsia="en-IN" w:bidi="hi-IN"/>
        </w:rPr>
        <w:t xml:space="preserve"> and </w:t>
      </w:r>
      <w:proofErr w:type="spellStart"/>
      <w:r w:rsidR="00190D35" w:rsidRPr="00190D35">
        <w:rPr>
          <w:rFonts w:ascii="Times New Roman" w:eastAsia="Times New Roman" w:hAnsi="Times New Roman" w:cs="Times New Roman"/>
          <w:b/>
          <w:bCs/>
          <w:sz w:val="24"/>
          <w:szCs w:val="24"/>
          <w:lang w:eastAsia="en-IN" w:bidi="hi-IN"/>
        </w:rPr>
        <w:t>Kwatra</w:t>
      </w:r>
      <w:proofErr w:type="spellEnd"/>
      <w:r w:rsidR="00190D35" w:rsidRPr="00190D35">
        <w:rPr>
          <w:rFonts w:ascii="Times New Roman" w:eastAsia="Times New Roman" w:hAnsi="Times New Roman" w:cs="Times New Roman"/>
          <w:b/>
          <w:bCs/>
          <w:sz w:val="24"/>
          <w:szCs w:val="24"/>
          <w:lang w:eastAsia="en-IN" w:bidi="hi-IN"/>
        </w:rPr>
        <w:t>, 2025</w:t>
      </w:r>
      <w:r w:rsidRPr="00190D35">
        <w:rPr>
          <w:rFonts w:ascii="Times New Roman" w:eastAsia="Times New Roman" w:hAnsi="Times New Roman" w:cs="Times New Roman"/>
          <w:b/>
          <w:bCs/>
          <w:sz w:val="24"/>
          <w:szCs w:val="24"/>
          <w:lang w:eastAsia="en-IN" w:bidi="hi-IN"/>
        </w:rPr>
        <w:t>,</w:t>
      </w:r>
      <w:r w:rsidRPr="00190D35">
        <w:rPr>
          <w:rFonts w:ascii="Times New Roman" w:eastAsia="Times New Roman" w:hAnsi="Times New Roman" w:cs="Times New Roman"/>
          <w:sz w:val="24"/>
          <w:szCs w:val="24"/>
          <w:lang w:eastAsia="en-IN" w:bidi="hi-IN"/>
        </w:rPr>
        <w:t xml:space="preserve"> </w:t>
      </w:r>
      <w:r w:rsidRPr="00AE77DC">
        <w:rPr>
          <w:rFonts w:ascii="Times New Roman" w:eastAsia="Times New Roman" w:hAnsi="Times New Roman" w:cs="Times New Roman"/>
          <w:sz w:val="24"/>
          <w:szCs w:val="24"/>
          <w:lang w:eastAsia="en-IN" w:bidi="hi-IN"/>
        </w:rPr>
        <w:t>where younger farmers in Ethiopia had higher levels of participation in extension programmes.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In contrast, </w:t>
      </w:r>
      <w:r w:rsidRPr="00AE77DC">
        <w:rPr>
          <w:rFonts w:ascii="Times New Roman" w:eastAsia="Times New Roman" w:hAnsi="Times New Roman" w:cs="Times New Roman"/>
          <w:b/>
          <w:bCs/>
          <w:sz w:val="24"/>
          <w:szCs w:val="24"/>
          <w:lang w:eastAsia="en-IN" w:bidi="hi-IN"/>
        </w:rPr>
        <w:t>education showed a positive and significant correlation</w:t>
      </w:r>
      <w:r w:rsidRPr="00AE77DC">
        <w:rPr>
          <w:rFonts w:ascii="Times New Roman" w:eastAsia="Times New Roman" w:hAnsi="Times New Roman" w:cs="Times New Roman"/>
          <w:sz w:val="24"/>
          <w:szCs w:val="24"/>
          <w:lang w:eastAsia="en-IN" w:bidi="hi-IN"/>
        </w:rPr>
        <w:t xml:space="preserve"> (r = 0.226) with participation. Farmers with higher levels of education were more likely to understand the benefits of trainings, adopt new techniques, and contribute ideas during planning and evaluation. The regression coefficient (0.184) and t-value (3.78) confirmed this strong influence. This observation supports the studies of </w:t>
      </w:r>
      <w:proofErr w:type="spellStart"/>
      <w:r w:rsidR="00190D35" w:rsidRPr="00190D35">
        <w:rPr>
          <w:rFonts w:ascii="Times New Roman" w:hAnsi="Times New Roman" w:cs="Times New Roman"/>
          <w:b/>
          <w:bCs/>
          <w:sz w:val="24"/>
          <w:szCs w:val="24"/>
          <w:shd w:val="clear" w:color="auto" w:fill="FFFFFF"/>
        </w:rPr>
        <w:t>Gebremariam</w:t>
      </w:r>
      <w:proofErr w:type="spellEnd"/>
      <w:r w:rsidR="00190D35" w:rsidRPr="00AE77DC">
        <w:rPr>
          <w:rFonts w:ascii="Times New Roman" w:eastAsia="Times New Roman" w:hAnsi="Times New Roman" w:cs="Times New Roman"/>
          <w:b/>
          <w:bCs/>
          <w:sz w:val="24"/>
          <w:szCs w:val="24"/>
          <w:lang w:eastAsia="en-IN" w:bidi="hi-IN"/>
        </w:rPr>
        <w:t xml:space="preserve"> </w:t>
      </w:r>
      <w:r w:rsidR="00190D35" w:rsidRPr="00190D35">
        <w:rPr>
          <w:rFonts w:ascii="Times New Roman" w:eastAsia="Times New Roman" w:hAnsi="Times New Roman" w:cs="Times New Roman"/>
          <w:b/>
          <w:bCs/>
          <w:i/>
          <w:iCs/>
          <w:sz w:val="24"/>
          <w:szCs w:val="24"/>
          <w:lang w:eastAsia="en-IN" w:bidi="hi-IN"/>
        </w:rPr>
        <w:t>et.al</w:t>
      </w:r>
      <w:r w:rsidR="00190D35">
        <w:rPr>
          <w:rFonts w:ascii="Times New Roman" w:eastAsia="Times New Roman" w:hAnsi="Times New Roman" w:cs="Times New Roman"/>
          <w:b/>
          <w:bCs/>
          <w:sz w:val="24"/>
          <w:szCs w:val="24"/>
          <w:lang w:eastAsia="en-IN" w:bidi="hi-IN"/>
        </w:rPr>
        <w:t>. (2001</w:t>
      </w:r>
      <w:r w:rsidRPr="00AE77DC">
        <w:rPr>
          <w:rFonts w:ascii="Times New Roman" w:eastAsia="Times New Roman" w:hAnsi="Times New Roman" w:cs="Times New Roman"/>
          <w:b/>
          <w:bCs/>
          <w:sz w:val="24"/>
          <w:szCs w:val="24"/>
          <w:lang w:eastAsia="en-IN" w:bidi="hi-IN"/>
        </w:rPr>
        <w:t>)</w:t>
      </w:r>
      <w:r w:rsidRPr="00AE77DC">
        <w:rPr>
          <w:rFonts w:ascii="Times New Roman" w:eastAsia="Times New Roman" w:hAnsi="Times New Roman" w:cs="Times New Roman"/>
          <w:sz w:val="24"/>
          <w:szCs w:val="24"/>
          <w:lang w:eastAsia="en-IN" w:bidi="hi-IN"/>
        </w:rPr>
        <w:t xml:space="preserve"> who highlighted education as a key determinant of farmer participation in development programmes.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Landholding size</w:t>
      </w:r>
      <w:r w:rsidRPr="00AE77DC">
        <w:rPr>
          <w:rFonts w:ascii="Times New Roman" w:eastAsia="Times New Roman" w:hAnsi="Times New Roman" w:cs="Times New Roman"/>
          <w:sz w:val="24"/>
          <w:szCs w:val="24"/>
          <w:lang w:eastAsia="en-IN" w:bidi="hi-IN"/>
        </w:rPr>
        <w:t xml:space="preserve"> was also positively and significantly related (r = 0.132) to participation. Farmers with larger holdings were better able to experiment with value addition and had more confidence in marketing products. The regression coefficient (0.098) and t-value (2.10) showed that landholding plays a moderate but important role.</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Annual income,</w:t>
      </w:r>
      <w:r w:rsidRPr="00AE77DC">
        <w:rPr>
          <w:rFonts w:ascii="Times New Roman" w:eastAsia="Times New Roman" w:hAnsi="Times New Roman" w:cs="Times New Roman"/>
          <w:sz w:val="24"/>
          <w:szCs w:val="24"/>
          <w:lang w:eastAsia="en-IN" w:bidi="hi-IN"/>
        </w:rPr>
        <w:t xml:space="preserve"> though positively correlated (r = 0.118), was not statistically significant (t = 1.84). This indicates that even farmers with lower incomes participated actively in the Tribal Sub Plan, probably because the trainings required low investment and promised immediate benefits.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Extension contact</w:t>
      </w:r>
      <w:r w:rsidRPr="00AE77DC">
        <w:rPr>
          <w:rFonts w:ascii="Times New Roman" w:eastAsia="Times New Roman" w:hAnsi="Times New Roman" w:cs="Times New Roman"/>
          <w:sz w:val="24"/>
          <w:szCs w:val="24"/>
          <w:lang w:eastAsia="en-IN" w:bidi="hi-IN"/>
        </w:rPr>
        <w:t xml:space="preserve"> showed the strongest positive and significant correlation (r = 0.241) with participation. Farmers who had frequent interactions with extension workers or programme staff were more informed, motivated, and confident to adopt value addition practices. The regression coefficient (0.176) and high t-value (4.02) confirmed this relationship. Similar observations were made by </w:t>
      </w:r>
      <w:proofErr w:type="spellStart"/>
      <w:r w:rsidR="00190D35" w:rsidRPr="00190D35">
        <w:rPr>
          <w:rFonts w:ascii="Times New Roman" w:eastAsia="Times New Roman" w:hAnsi="Times New Roman" w:cs="Times New Roman"/>
          <w:b/>
          <w:bCs/>
          <w:sz w:val="24"/>
          <w:szCs w:val="24"/>
          <w:lang w:eastAsia="en-IN"/>
        </w:rPr>
        <w:t>Bayeta</w:t>
      </w:r>
      <w:proofErr w:type="spellEnd"/>
      <w:r w:rsidR="00190D35" w:rsidRPr="00190D35">
        <w:rPr>
          <w:rFonts w:ascii="Times New Roman" w:eastAsia="Times New Roman" w:hAnsi="Times New Roman" w:cs="Times New Roman"/>
          <w:b/>
          <w:bCs/>
          <w:sz w:val="24"/>
          <w:szCs w:val="24"/>
          <w:lang w:eastAsia="en-IN" w:bidi="hi-IN"/>
        </w:rPr>
        <w:t xml:space="preserve"> </w:t>
      </w:r>
      <w:r w:rsidRPr="00190D35">
        <w:rPr>
          <w:rFonts w:ascii="Times New Roman" w:eastAsia="Times New Roman" w:hAnsi="Times New Roman" w:cs="Times New Roman"/>
          <w:b/>
          <w:bCs/>
          <w:sz w:val="24"/>
          <w:szCs w:val="24"/>
          <w:lang w:eastAsia="en-IN" w:bidi="hi-IN"/>
        </w:rPr>
        <w:t>(</w:t>
      </w:r>
      <w:r w:rsidR="00190D35" w:rsidRPr="00190D35">
        <w:rPr>
          <w:rFonts w:ascii="Times New Roman" w:eastAsia="Times New Roman" w:hAnsi="Times New Roman" w:cs="Times New Roman"/>
          <w:b/>
          <w:bCs/>
          <w:sz w:val="24"/>
          <w:szCs w:val="24"/>
          <w:lang w:eastAsia="en-IN" w:bidi="hi-IN"/>
        </w:rPr>
        <w:t>202</w:t>
      </w:r>
      <w:r w:rsidRPr="00190D35">
        <w:rPr>
          <w:rFonts w:ascii="Times New Roman" w:eastAsia="Times New Roman" w:hAnsi="Times New Roman" w:cs="Times New Roman"/>
          <w:b/>
          <w:bCs/>
          <w:sz w:val="24"/>
          <w:szCs w:val="24"/>
          <w:lang w:eastAsia="en-IN" w:bidi="hi-IN"/>
        </w:rPr>
        <w:t>3),</w:t>
      </w:r>
      <w:r w:rsidRPr="00190D35">
        <w:rPr>
          <w:rFonts w:ascii="Times New Roman" w:eastAsia="Times New Roman" w:hAnsi="Times New Roman" w:cs="Times New Roman"/>
          <w:sz w:val="24"/>
          <w:szCs w:val="24"/>
          <w:lang w:eastAsia="en-IN" w:bidi="hi-IN"/>
        </w:rPr>
        <w:t xml:space="preserve"> </w:t>
      </w:r>
      <w:r w:rsidRPr="00AE77DC">
        <w:rPr>
          <w:rFonts w:ascii="Times New Roman" w:eastAsia="Times New Roman" w:hAnsi="Times New Roman" w:cs="Times New Roman"/>
          <w:sz w:val="24"/>
          <w:szCs w:val="24"/>
          <w:lang w:eastAsia="en-IN" w:bidi="hi-IN"/>
        </w:rPr>
        <w:t>who found that extension contact directly influences adoption of improved technologies.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Mass media exposure</w:t>
      </w:r>
      <w:r w:rsidRPr="00AE77DC">
        <w:rPr>
          <w:rFonts w:ascii="Times New Roman" w:eastAsia="Times New Roman" w:hAnsi="Times New Roman" w:cs="Times New Roman"/>
          <w:sz w:val="24"/>
          <w:szCs w:val="24"/>
          <w:lang w:eastAsia="en-IN" w:bidi="hi-IN"/>
        </w:rPr>
        <w:t xml:space="preserve"> was positively correlated (r = 0.106) but not significant (t = 1.76). Since many tribal farmers had limited access to radio, TV, or newspapers, mass media had little influence compared to direct training and extension contact.</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b/>
          <w:bCs/>
          <w:sz w:val="24"/>
          <w:szCs w:val="24"/>
          <w:lang w:eastAsia="en-IN" w:bidi="hi-IN"/>
        </w:rPr>
        <w:t>Economic motivation</w:t>
      </w:r>
      <w:r w:rsidRPr="00AE77DC">
        <w:rPr>
          <w:rFonts w:ascii="Times New Roman" w:eastAsia="Times New Roman" w:hAnsi="Times New Roman" w:cs="Times New Roman"/>
          <w:sz w:val="24"/>
          <w:szCs w:val="24"/>
          <w:lang w:eastAsia="en-IN" w:bidi="hi-IN"/>
        </w:rPr>
        <w:t xml:space="preserve"> (r = 0.192) and </w:t>
      </w:r>
      <w:r w:rsidRPr="00AE77DC">
        <w:rPr>
          <w:rFonts w:ascii="Times New Roman" w:eastAsia="Times New Roman" w:hAnsi="Times New Roman" w:cs="Times New Roman"/>
          <w:b/>
          <w:bCs/>
          <w:sz w:val="24"/>
          <w:szCs w:val="24"/>
          <w:lang w:eastAsia="en-IN" w:bidi="hi-IN"/>
        </w:rPr>
        <w:t>risk orientation</w:t>
      </w:r>
      <w:r w:rsidRPr="00AE77DC">
        <w:rPr>
          <w:rFonts w:ascii="Times New Roman" w:eastAsia="Times New Roman" w:hAnsi="Times New Roman" w:cs="Times New Roman"/>
          <w:sz w:val="24"/>
          <w:szCs w:val="24"/>
          <w:lang w:eastAsia="en-IN" w:bidi="hi-IN"/>
        </w:rPr>
        <w:t xml:space="preserve"> (r = 0.144) were both positive and significant. Farmers who were motivated to improve their economic status and those willing to take risks were more active participants in trainings, product preparation, and marketing. The </w:t>
      </w:r>
      <w:r w:rsidRPr="00AE77DC">
        <w:rPr>
          <w:rFonts w:ascii="Times New Roman" w:eastAsia="Times New Roman" w:hAnsi="Times New Roman" w:cs="Times New Roman"/>
          <w:sz w:val="24"/>
          <w:szCs w:val="24"/>
          <w:lang w:eastAsia="en-IN" w:bidi="hi-IN"/>
        </w:rPr>
        <w:lastRenderedPageBreak/>
        <w:t xml:space="preserve">regression coefficients (0.140 and 0.115) and respective t-values (2.95 and 2.24) confirmed their importance. These results agree with the findings of </w:t>
      </w:r>
      <w:r w:rsidR="00190D35" w:rsidRPr="00190D35">
        <w:rPr>
          <w:rFonts w:ascii="Times New Roman" w:hAnsi="Times New Roman" w:cs="Times New Roman"/>
          <w:b/>
          <w:bCs/>
          <w:sz w:val="24"/>
          <w:szCs w:val="24"/>
          <w:shd w:val="clear" w:color="auto" w:fill="FFFFFF"/>
        </w:rPr>
        <w:t xml:space="preserve">Asfaw </w:t>
      </w:r>
      <w:proofErr w:type="gramStart"/>
      <w:r w:rsidR="00190D35" w:rsidRPr="00190D35">
        <w:rPr>
          <w:rFonts w:ascii="Times New Roman" w:hAnsi="Times New Roman" w:cs="Times New Roman"/>
          <w:b/>
          <w:bCs/>
          <w:i/>
          <w:iCs/>
          <w:sz w:val="24"/>
          <w:szCs w:val="24"/>
          <w:shd w:val="clear" w:color="auto" w:fill="FFFFFF"/>
        </w:rPr>
        <w:t>et.al</w:t>
      </w:r>
      <w:r w:rsidR="00190D35" w:rsidRPr="00190D35">
        <w:rPr>
          <w:rFonts w:ascii="Times New Roman" w:hAnsi="Times New Roman" w:cs="Times New Roman"/>
          <w:b/>
          <w:bCs/>
          <w:sz w:val="24"/>
          <w:szCs w:val="24"/>
          <w:shd w:val="clear" w:color="auto" w:fill="FFFFFF"/>
        </w:rPr>
        <w:t xml:space="preserve"> </w:t>
      </w:r>
      <w:r w:rsidR="00190D35" w:rsidRPr="00190D35">
        <w:rPr>
          <w:rFonts w:ascii="Times New Roman" w:eastAsia="Times New Roman" w:hAnsi="Times New Roman" w:cs="Times New Roman"/>
          <w:b/>
          <w:bCs/>
          <w:sz w:val="24"/>
          <w:szCs w:val="24"/>
          <w:lang w:eastAsia="en-IN" w:bidi="hi-IN"/>
        </w:rPr>
        <w:t xml:space="preserve"> (</w:t>
      </w:r>
      <w:proofErr w:type="gramEnd"/>
      <w:r w:rsidR="00190D35" w:rsidRPr="00190D35">
        <w:rPr>
          <w:rFonts w:ascii="Times New Roman" w:eastAsia="Times New Roman" w:hAnsi="Times New Roman" w:cs="Times New Roman"/>
          <w:b/>
          <w:bCs/>
          <w:sz w:val="24"/>
          <w:szCs w:val="24"/>
          <w:lang w:eastAsia="en-IN" w:bidi="hi-IN"/>
        </w:rPr>
        <w:t>20</w:t>
      </w:r>
      <w:r w:rsidR="00190D35">
        <w:rPr>
          <w:rFonts w:ascii="Times New Roman" w:eastAsia="Times New Roman" w:hAnsi="Times New Roman" w:cs="Times New Roman"/>
          <w:b/>
          <w:bCs/>
          <w:sz w:val="24"/>
          <w:szCs w:val="24"/>
          <w:lang w:eastAsia="en-IN" w:bidi="hi-IN"/>
        </w:rPr>
        <w:t>2</w:t>
      </w:r>
      <w:r w:rsidR="00190D35" w:rsidRPr="00190D35">
        <w:rPr>
          <w:rFonts w:ascii="Times New Roman" w:eastAsia="Times New Roman" w:hAnsi="Times New Roman" w:cs="Times New Roman"/>
          <w:b/>
          <w:bCs/>
          <w:sz w:val="24"/>
          <w:szCs w:val="24"/>
          <w:lang w:eastAsia="en-IN" w:bidi="hi-IN"/>
        </w:rPr>
        <w:t>2</w:t>
      </w:r>
      <w:r w:rsidRPr="00190D35">
        <w:rPr>
          <w:rFonts w:ascii="Times New Roman" w:eastAsia="Times New Roman" w:hAnsi="Times New Roman" w:cs="Times New Roman"/>
          <w:b/>
          <w:bCs/>
          <w:sz w:val="24"/>
          <w:szCs w:val="24"/>
          <w:lang w:eastAsia="en-IN" w:bidi="hi-IN"/>
        </w:rPr>
        <w:t>),</w:t>
      </w:r>
      <w:r w:rsidRPr="00190D35">
        <w:rPr>
          <w:rFonts w:ascii="Times New Roman" w:eastAsia="Times New Roman" w:hAnsi="Times New Roman" w:cs="Times New Roman"/>
          <w:sz w:val="24"/>
          <w:szCs w:val="24"/>
          <w:lang w:eastAsia="en-IN" w:bidi="hi-IN"/>
        </w:rPr>
        <w:t xml:space="preserve"> </w:t>
      </w:r>
      <w:r w:rsidRPr="00AE77DC">
        <w:rPr>
          <w:rFonts w:ascii="Times New Roman" w:eastAsia="Times New Roman" w:hAnsi="Times New Roman" w:cs="Times New Roman"/>
          <w:sz w:val="24"/>
          <w:szCs w:val="24"/>
          <w:lang w:eastAsia="en-IN" w:bidi="hi-IN"/>
        </w:rPr>
        <w:t>who noted that farmers with high motivation and risk-taking ability are more likely to engage in innovative practices.</w:t>
      </w:r>
    </w:p>
    <w:p w:rsidR="006C408F" w:rsidRPr="00AE77DC" w:rsidRDefault="006C408F" w:rsidP="006C408F">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Overall, the results suggest that </w:t>
      </w:r>
      <w:r w:rsidRPr="00AE77DC">
        <w:rPr>
          <w:rFonts w:ascii="Times New Roman" w:eastAsia="Times New Roman" w:hAnsi="Times New Roman" w:cs="Times New Roman"/>
          <w:b/>
          <w:bCs/>
          <w:sz w:val="24"/>
          <w:szCs w:val="24"/>
          <w:lang w:eastAsia="en-IN" w:bidi="hi-IN"/>
        </w:rPr>
        <w:t>education, extension contact, economic motivation, and risk orientation</w:t>
      </w:r>
      <w:r w:rsidRPr="00AE77DC">
        <w:rPr>
          <w:rFonts w:ascii="Times New Roman" w:eastAsia="Times New Roman" w:hAnsi="Times New Roman" w:cs="Times New Roman"/>
          <w:sz w:val="24"/>
          <w:szCs w:val="24"/>
          <w:lang w:eastAsia="en-IN" w:bidi="hi-IN"/>
        </w:rPr>
        <w:t xml:space="preserve"> were the strongest drivers of farmer participation in the Tribal Sub Plan. On the other hand, </w:t>
      </w:r>
      <w:r w:rsidRPr="00AE77DC">
        <w:rPr>
          <w:rFonts w:ascii="Times New Roman" w:eastAsia="Times New Roman" w:hAnsi="Times New Roman" w:cs="Times New Roman"/>
          <w:b/>
          <w:bCs/>
          <w:sz w:val="24"/>
          <w:szCs w:val="24"/>
          <w:lang w:eastAsia="en-IN" w:bidi="hi-IN"/>
        </w:rPr>
        <w:t>age was a limiting factor</w:t>
      </w:r>
      <w:r w:rsidRPr="00AE77DC">
        <w:rPr>
          <w:rFonts w:ascii="Times New Roman" w:eastAsia="Times New Roman" w:hAnsi="Times New Roman" w:cs="Times New Roman"/>
          <w:sz w:val="24"/>
          <w:szCs w:val="24"/>
          <w:lang w:eastAsia="en-IN" w:bidi="hi-IN"/>
        </w:rPr>
        <w:t>, while income and mass media exposure had little effect.</w:t>
      </w:r>
    </w:p>
    <w:p w:rsidR="006C408F" w:rsidRPr="00AE77DC" w:rsidRDefault="006C408F" w:rsidP="006C408F">
      <w:pPr>
        <w:spacing w:before="100" w:beforeAutospacing="1" w:after="100" w:afterAutospacing="1" w:line="240" w:lineRule="auto"/>
        <w:rPr>
          <w:rFonts w:ascii="Times New Roman" w:eastAsia="Times New Roman" w:hAnsi="Times New Roman" w:cs="Times New Roman"/>
          <w:b/>
          <w:bCs/>
          <w:sz w:val="24"/>
          <w:szCs w:val="24"/>
          <w:lang w:eastAsia="en-IN" w:bidi="hi-IN"/>
        </w:rPr>
      </w:pPr>
      <w:r w:rsidRPr="00AE77DC">
        <w:rPr>
          <w:rFonts w:ascii="Times New Roman" w:eastAsia="Times New Roman" w:hAnsi="Times New Roman" w:cs="Times New Roman"/>
          <w:b/>
          <w:bCs/>
          <w:sz w:val="24"/>
          <w:szCs w:val="24"/>
          <w:lang w:eastAsia="en-IN" w:bidi="hi-IN"/>
        </w:rPr>
        <w:t>Conclusion</w:t>
      </w:r>
    </w:p>
    <w:p w:rsidR="006C408F" w:rsidRPr="00AE77DC"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 xml:space="preserve">The study clearly revealed that the Tribal Sub Plan interventions in </w:t>
      </w:r>
      <w:proofErr w:type="spellStart"/>
      <w:r w:rsidRPr="00AE77DC">
        <w:rPr>
          <w:rFonts w:ascii="Times New Roman" w:eastAsia="Times New Roman" w:hAnsi="Times New Roman" w:cs="Times New Roman"/>
          <w:sz w:val="24"/>
          <w:szCs w:val="24"/>
          <w:lang w:eastAsia="en-IN" w:bidi="hi-IN"/>
        </w:rPr>
        <w:t>Udham</w:t>
      </w:r>
      <w:proofErr w:type="spellEnd"/>
      <w:r w:rsidRPr="00AE77DC">
        <w:rPr>
          <w:rFonts w:ascii="Times New Roman" w:eastAsia="Times New Roman" w:hAnsi="Times New Roman" w:cs="Times New Roman"/>
          <w:sz w:val="24"/>
          <w:szCs w:val="24"/>
          <w:lang w:eastAsia="en-IN" w:bidi="hi-IN"/>
        </w:rPr>
        <w:t xml:space="preserve"> Singh Nagar district were successful in ensuring active and meaningful participation of tribal farm women across different stages of the programme. Farm women showed particularly high involvement in the resource analysis and progress evaluation stages, indicating their confidence in sharing indigenous knowledge and providing constructive feedback. Trainings on value addition emerged as a highly relevant and practical approach, enabling farm women to prepare products such as pickles, jams, squashes, spices, and bakery items, and enhancing their potential to access local markets.</w:t>
      </w:r>
    </w:p>
    <w:p w:rsidR="006C408F" w:rsidRPr="00AE77DC"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The socio-economic profile highlighted that the majority of respondents were middle-aged, had low levels of formal education, and possessed marginal or small landholdings. Despite these limitations, participation levels remained high because the interventions directly addressed their livelihood concerns. Correlation and regression analysis showed that education, extension contact, economic motivation, and risk orientation were the most significant determinants of participation. Tribal farm women were more willing to experiment and adopt new practices, while mass media exposure and income had only a marginal influence.</w:t>
      </w:r>
    </w:p>
    <w:p w:rsidR="006C408F" w:rsidRPr="00AE77DC"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The findings emphasize that tribal communities are not passive recipients but active contributors when programmes are participatory, context-specific, and livelihood-oriented. Strengthening extension contact, ensuring continuous capacity building, and facilitating marketing linkages for value-added products will further enhance the sustainability and impact of such initiatives.</w:t>
      </w:r>
    </w:p>
    <w:p w:rsidR="006C408F" w:rsidRPr="00AE77DC" w:rsidRDefault="006C408F" w:rsidP="006C408F">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hi-IN"/>
        </w:rPr>
      </w:pPr>
      <w:r w:rsidRPr="00AE77DC">
        <w:rPr>
          <w:rFonts w:ascii="Times New Roman" w:eastAsia="Times New Roman" w:hAnsi="Times New Roman" w:cs="Times New Roman"/>
          <w:sz w:val="24"/>
          <w:szCs w:val="24"/>
          <w:lang w:eastAsia="en-IN" w:bidi="hi-IN"/>
        </w:rPr>
        <w:t>Thus, the Tribal Sub Plan not only improved the knowledge and skills of tribal farmers but also created pathways for their socio-economic empowerment by integrating traditional knowledge with modern value addition techniques.</w:t>
      </w:r>
    </w:p>
    <w:p w:rsidR="00857227" w:rsidRPr="00857227" w:rsidRDefault="00857227" w:rsidP="00857227">
      <w:pPr>
        <w:spacing w:before="100" w:beforeAutospacing="1" w:after="100" w:afterAutospacing="1" w:line="240" w:lineRule="auto"/>
        <w:jc w:val="both"/>
        <w:rPr>
          <w:rFonts w:ascii="Times New Roman" w:eastAsia="Times New Roman" w:hAnsi="Times New Roman" w:cs="Times New Roman"/>
          <w:b/>
          <w:sz w:val="24"/>
          <w:szCs w:val="24"/>
          <w:lang w:eastAsia="en-IN" w:bidi="hi-IN"/>
        </w:rPr>
      </w:pPr>
      <w:r w:rsidRPr="00857227">
        <w:rPr>
          <w:rFonts w:ascii="Times New Roman" w:eastAsia="Times New Roman" w:hAnsi="Times New Roman" w:cs="Times New Roman"/>
          <w:b/>
          <w:sz w:val="24"/>
          <w:szCs w:val="24"/>
          <w:lang w:eastAsia="en-IN" w:bidi="hi-IN"/>
        </w:rPr>
        <w:t>Disclaimer (Artificial intelligence)</w:t>
      </w:r>
    </w:p>
    <w:p w:rsidR="00857227" w:rsidRPr="00857227" w:rsidRDefault="00857227" w:rsidP="00857227">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857227">
        <w:rPr>
          <w:rFonts w:ascii="Times New Roman" w:eastAsia="Times New Roman" w:hAnsi="Times New Roman" w:cs="Times New Roman"/>
          <w:sz w:val="24"/>
          <w:szCs w:val="24"/>
          <w:lang w:eastAsia="en-IN" w:bidi="hi-IN"/>
        </w:rPr>
        <w:t xml:space="preserve">Option 1: </w:t>
      </w:r>
    </w:p>
    <w:p w:rsidR="00857227" w:rsidRPr="00857227" w:rsidRDefault="00857227" w:rsidP="00857227">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857227">
        <w:rPr>
          <w:rFonts w:ascii="Times New Roman" w:eastAsia="Times New Roman" w:hAnsi="Times New Roman" w:cs="Times New Roman"/>
          <w:sz w:val="24"/>
          <w:szCs w:val="24"/>
          <w:lang w:eastAsia="en-IN" w:bidi="hi-IN"/>
        </w:rPr>
        <w:t>Author(s) hereby declare that NO generative AI technologies such as Large Language Models (</w:t>
      </w:r>
      <w:proofErr w:type="spellStart"/>
      <w:r w:rsidRPr="00857227">
        <w:rPr>
          <w:rFonts w:ascii="Times New Roman" w:eastAsia="Times New Roman" w:hAnsi="Times New Roman" w:cs="Times New Roman"/>
          <w:sz w:val="24"/>
          <w:szCs w:val="24"/>
          <w:lang w:eastAsia="en-IN" w:bidi="hi-IN"/>
        </w:rPr>
        <w:t>ChatGPT</w:t>
      </w:r>
      <w:proofErr w:type="spellEnd"/>
      <w:r w:rsidRPr="00857227">
        <w:rPr>
          <w:rFonts w:ascii="Times New Roman" w:eastAsia="Times New Roman" w:hAnsi="Times New Roman" w:cs="Times New Roman"/>
          <w:sz w:val="24"/>
          <w:szCs w:val="24"/>
          <w:lang w:eastAsia="en-IN" w:bidi="hi-IN"/>
        </w:rPr>
        <w:t xml:space="preserve">, COPILOT, etc.) and text-to-image generators have been used during the writing or editing of this manuscript. </w:t>
      </w:r>
    </w:p>
    <w:p w:rsidR="00857227" w:rsidRPr="00857227" w:rsidRDefault="00857227" w:rsidP="00857227">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857227">
        <w:rPr>
          <w:rFonts w:ascii="Times New Roman" w:eastAsia="Times New Roman" w:hAnsi="Times New Roman" w:cs="Times New Roman"/>
          <w:sz w:val="24"/>
          <w:szCs w:val="24"/>
          <w:lang w:eastAsia="en-IN" w:bidi="hi-IN"/>
        </w:rPr>
        <w:t xml:space="preserve">Option 2: </w:t>
      </w:r>
    </w:p>
    <w:p w:rsidR="00857227" w:rsidRPr="00857227" w:rsidRDefault="00857227" w:rsidP="00857227">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857227">
        <w:rPr>
          <w:rFonts w:ascii="Times New Roman" w:eastAsia="Times New Roman" w:hAnsi="Times New Roman" w:cs="Times New Roman"/>
          <w:sz w:val="24"/>
          <w:szCs w:val="24"/>
          <w:lang w:eastAsia="en-IN" w:bidi="hi-IN"/>
        </w:rPr>
        <w:t xml:space="preserve">Author(s) hereby declare that generative AI technologies such as Large Language Models, etc. have been used during the writing or editing of manuscripts. This explanation will include the </w:t>
      </w:r>
      <w:r w:rsidRPr="00857227">
        <w:rPr>
          <w:rFonts w:ascii="Times New Roman" w:eastAsia="Times New Roman" w:hAnsi="Times New Roman" w:cs="Times New Roman"/>
          <w:sz w:val="24"/>
          <w:szCs w:val="24"/>
          <w:lang w:eastAsia="en-IN" w:bidi="hi-IN"/>
        </w:rPr>
        <w:lastRenderedPageBreak/>
        <w:t>name, version, model, and source of the generative AI technology and as well as all input prompts provided to the generative AI technology</w:t>
      </w:r>
    </w:p>
    <w:p w:rsidR="00857227" w:rsidRPr="00857227" w:rsidRDefault="00857227" w:rsidP="00857227">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857227">
        <w:rPr>
          <w:rFonts w:ascii="Times New Roman" w:eastAsia="Times New Roman" w:hAnsi="Times New Roman" w:cs="Times New Roman"/>
          <w:sz w:val="24"/>
          <w:szCs w:val="24"/>
          <w:lang w:eastAsia="en-IN" w:bidi="hi-IN"/>
        </w:rPr>
        <w:t>Details of the AI usage are given below:</w:t>
      </w:r>
    </w:p>
    <w:p w:rsidR="00857227" w:rsidRPr="00857227" w:rsidRDefault="00857227" w:rsidP="00857227">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857227">
        <w:rPr>
          <w:rFonts w:ascii="Times New Roman" w:eastAsia="Times New Roman" w:hAnsi="Times New Roman" w:cs="Times New Roman"/>
          <w:sz w:val="24"/>
          <w:szCs w:val="24"/>
          <w:lang w:eastAsia="en-IN" w:bidi="hi-IN"/>
        </w:rPr>
        <w:t>1.</w:t>
      </w:r>
    </w:p>
    <w:p w:rsidR="00857227" w:rsidRPr="00857227" w:rsidRDefault="00857227" w:rsidP="00857227">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857227">
        <w:rPr>
          <w:rFonts w:ascii="Times New Roman" w:eastAsia="Times New Roman" w:hAnsi="Times New Roman" w:cs="Times New Roman"/>
          <w:sz w:val="24"/>
          <w:szCs w:val="24"/>
          <w:lang w:eastAsia="en-IN" w:bidi="hi-IN"/>
        </w:rPr>
        <w:t>2.</w:t>
      </w:r>
    </w:p>
    <w:p w:rsidR="006C408F" w:rsidRPr="00AE77DC" w:rsidRDefault="00857227" w:rsidP="00857227">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857227">
        <w:rPr>
          <w:rFonts w:ascii="Times New Roman" w:eastAsia="Times New Roman" w:hAnsi="Times New Roman" w:cs="Times New Roman"/>
          <w:sz w:val="24"/>
          <w:szCs w:val="24"/>
          <w:lang w:eastAsia="en-IN" w:bidi="hi-IN"/>
        </w:rPr>
        <w:t>3.</w:t>
      </w:r>
    </w:p>
    <w:p w:rsidR="006C408F" w:rsidRPr="002A26DE" w:rsidRDefault="006C408F" w:rsidP="006C408F">
      <w:pPr>
        <w:spacing w:before="100" w:beforeAutospacing="1" w:after="100" w:afterAutospacing="1" w:line="240" w:lineRule="auto"/>
        <w:outlineLvl w:val="1"/>
        <w:rPr>
          <w:rFonts w:ascii="Times New Roman" w:eastAsia="Times New Roman" w:hAnsi="Times New Roman" w:cs="Times New Roman"/>
          <w:b/>
          <w:bCs/>
          <w:sz w:val="36"/>
          <w:szCs w:val="36"/>
          <w:lang w:eastAsia="en-IN" w:bidi="hi-IN"/>
        </w:rPr>
      </w:pPr>
      <w:r w:rsidRPr="002A26DE">
        <w:rPr>
          <w:rFonts w:ascii="Times New Roman" w:eastAsia="Times New Roman" w:hAnsi="Times New Roman" w:cs="Times New Roman"/>
          <w:b/>
          <w:bCs/>
          <w:sz w:val="36"/>
          <w:szCs w:val="36"/>
          <w:lang w:eastAsia="en-IN" w:bidi="hi-IN"/>
        </w:rPr>
        <w:t>References</w:t>
      </w:r>
    </w:p>
    <w:p w:rsidR="006C408F" w:rsidRPr="002A26DE" w:rsidRDefault="0077400C" w:rsidP="006C408F">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2A26DE">
        <w:rPr>
          <w:rFonts w:ascii="Times New Roman" w:hAnsi="Times New Roman" w:cs="Times New Roman"/>
          <w:b/>
          <w:bCs/>
          <w:sz w:val="24"/>
          <w:szCs w:val="24"/>
          <w:shd w:val="clear" w:color="auto" w:fill="FFFFFF"/>
        </w:rPr>
        <w:t xml:space="preserve">Asfaw, D. M., </w:t>
      </w:r>
      <w:proofErr w:type="spellStart"/>
      <w:r w:rsidRPr="002A26DE">
        <w:rPr>
          <w:rFonts w:ascii="Times New Roman" w:hAnsi="Times New Roman" w:cs="Times New Roman"/>
          <w:b/>
          <w:bCs/>
          <w:sz w:val="24"/>
          <w:szCs w:val="24"/>
          <w:shd w:val="clear" w:color="auto" w:fill="FFFFFF"/>
        </w:rPr>
        <w:t>Shifaw</w:t>
      </w:r>
      <w:proofErr w:type="spellEnd"/>
      <w:r w:rsidRPr="002A26DE">
        <w:rPr>
          <w:rFonts w:ascii="Times New Roman" w:hAnsi="Times New Roman" w:cs="Times New Roman"/>
          <w:b/>
          <w:bCs/>
          <w:sz w:val="24"/>
          <w:szCs w:val="24"/>
          <w:shd w:val="clear" w:color="auto" w:fill="FFFFFF"/>
        </w:rPr>
        <w:t xml:space="preserve">, S. M., </w:t>
      </w:r>
      <w:proofErr w:type="gramStart"/>
      <w:r w:rsidRPr="002A26DE">
        <w:rPr>
          <w:rFonts w:ascii="Times New Roman" w:hAnsi="Times New Roman" w:cs="Times New Roman"/>
          <w:b/>
          <w:bCs/>
          <w:sz w:val="24"/>
          <w:szCs w:val="24"/>
          <w:shd w:val="clear" w:color="auto" w:fill="FFFFFF"/>
        </w:rPr>
        <w:t xml:space="preserve">and </w:t>
      </w:r>
      <w:r w:rsidR="006C408F" w:rsidRPr="002A26DE">
        <w:rPr>
          <w:rFonts w:ascii="Times New Roman" w:hAnsi="Times New Roman" w:cs="Times New Roman"/>
          <w:b/>
          <w:bCs/>
          <w:sz w:val="24"/>
          <w:szCs w:val="24"/>
          <w:shd w:val="clear" w:color="auto" w:fill="FFFFFF"/>
        </w:rPr>
        <w:t xml:space="preserve"> </w:t>
      </w:r>
      <w:proofErr w:type="spellStart"/>
      <w:r w:rsidR="006C408F" w:rsidRPr="002A26DE">
        <w:rPr>
          <w:rFonts w:ascii="Times New Roman" w:hAnsi="Times New Roman" w:cs="Times New Roman"/>
          <w:b/>
          <w:bCs/>
          <w:sz w:val="24"/>
          <w:szCs w:val="24"/>
          <w:shd w:val="clear" w:color="auto" w:fill="FFFFFF"/>
        </w:rPr>
        <w:t>Belete</w:t>
      </w:r>
      <w:proofErr w:type="spellEnd"/>
      <w:proofErr w:type="gramEnd"/>
      <w:r w:rsidR="006C408F" w:rsidRPr="002A26DE">
        <w:rPr>
          <w:rFonts w:ascii="Times New Roman" w:hAnsi="Times New Roman" w:cs="Times New Roman"/>
          <w:b/>
          <w:bCs/>
          <w:sz w:val="24"/>
          <w:szCs w:val="24"/>
          <w:shd w:val="clear" w:color="auto" w:fill="FFFFFF"/>
        </w:rPr>
        <w:t>, A. A. (2022).</w:t>
      </w:r>
      <w:r w:rsidR="006C408F" w:rsidRPr="002A26DE">
        <w:rPr>
          <w:rFonts w:ascii="Times New Roman" w:hAnsi="Times New Roman" w:cs="Times New Roman"/>
          <w:sz w:val="24"/>
          <w:szCs w:val="24"/>
          <w:shd w:val="clear" w:color="auto" w:fill="FFFFFF"/>
        </w:rPr>
        <w:t xml:space="preserve"> Determinants of Market Participation Decision and Intensity among Date Producers in Afar Region, Ethiopia: A Double Hurdle Approach. </w:t>
      </w:r>
      <w:r w:rsidR="006C408F" w:rsidRPr="002A26DE">
        <w:rPr>
          <w:rFonts w:ascii="Times New Roman" w:hAnsi="Times New Roman" w:cs="Times New Roman"/>
          <w:i/>
          <w:iCs/>
          <w:sz w:val="24"/>
          <w:szCs w:val="24"/>
          <w:shd w:val="clear" w:color="auto" w:fill="FFFFFF"/>
        </w:rPr>
        <w:t>International J</w:t>
      </w:r>
      <w:bookmarkStart w:id="0" w:name="_GoBack"/>
      <w:bookmarkEnd w:id="0"/>
      <w:r w:rsidR="006C408F" w:rsidRPr="002A26DE">
        <w:rPr>
          <w:rFonts w:ascii="Times New Roman" w:hAnsi="Times New Roman" w:cs="Times New Roman"/>
          <w:i/>
          <w:iCs/>
          <w:sz w:val="24"/>
          <w:szCs w:val="24"/>
          <w:shd w:val="clear" w:color="auto" w:fill="FFFFFF"/>
        </w:rPr>
        <w:t>ournal of Fruit Science</w:t>
      </w:r>
      <w:r w:rsidR="006C408F" w:rsidRPr="002A26DE">
        <w:rPr>
          <w:rFonts w:ascii="Times New Roman" w:hAnsi="Times New Roman" w:cs="Times New Roman"/>
          <w:sz w:val="24"/>
          <w:szCs w:val="24"/>
          <w:shd w:val="clear" w:color="auto" w:fill="FFFFFF"/>
        </w:rPr>
        <w:t>, </w:t>
      </w:r>
      <w:r w:rsidR="006C408F" w:rsidRPr="002A26DE">
        <w:rPr>
          <w:rFonts w:ascii="Times New Roman" w:hAnsi="Times New Roman" w:cs="Times New Roman"/>
          <w:i/>
          <w:iCs/>
          <w:sz w:val="24"/>
          <w:szCs w:val="24"/>
          <w:shd w:val="clear" w:color="auto" w:fill="FFFFFF"/>
        </w:rPr>
        <w:t>22</w:t>
      </w:r>
      <w:r w:rsidR="006C408F" w:rsidRPr="002A26DE">
        <w:rPr>
          <w:rFonts w:ascii="Times New Roman" w:hAnsi="Times New Roman" w:cs="Times New Roman"/>
          <w:sz w:val="24"/>
          <w:szCs w:val="24"/>
          <w:shd w:val="clear" w:color="auto" w:fill="FFFFFF"/>
        </w:rPr>
        <w:t xml:space="preserve">(1), 741–758. </w:t>
      </w:r>
      <w:hyperlink r:id="rId7" w:history="1">
        <w:r w:rsidRPr="002A26DE">
          <w:rPr>
            <w:rStyle w:val="Hyperlink"/>
            <w:rFonts w:ascii="Times New Roman" w:hAnsi="Times New Roman" w:cs="Times New Roman"/>
            <w:color w:val="auto"/>
            <w:sz w:val="24"/>
            <w:szCs w:val="24"/>
            <w:shd w:val="clear" w:color="auto" w:fill="FFFFFF"/>
          </w:rPr>
          <w:t>https://doi.org/10.1080/15538362.2022.2119189</w:t>
        </w:r>
      </w:hyperlink>
      <w:r w:rsidRPr="002A26DE">
        <w:rPr>
          <w:rFonts w:ascii="Times New Roman" w:hAnsi="Times New Roman" w:cs="Times New Roman"/>
          <w:sz w:val="24"/>
          <w:szCs w:val="24"/>
          <w:shd w:val="clear" w:color="auto" w:fill="FFFFFF"/>
        </w:rPr>
        <w:t>.</w:t>
      </w:r>
    </w:p>
    <w:p w:rsidR="0077400C" w:rsidRPr="002A26DE" w:rsidRDefault="0077400C" w:rsidP="006C408F">
      <w:pPr>
        <w:autoSpaceDE w:val="0"/>
        <w:autoSpaceDN w:val="0"/>
        <w:adjustRightInd w:val="0"/>
        <w:spacing w:after="0" w:line="240" w:lineRule="auto"/>
        <w:jc w:val="both"/>
        <w:rPr>
          <w:rFonts w:ascii="Times New Roman" w:eastAsia="Times New Roman" w:hAnsi="Times New Roman" w:cs="Times New Roman"/>
          <w:sz w:val="24"/>
          <w:szCs w:val="24"/>
          <w:lang w:eastAsia="en-IN"/>
        </w:rPr>
      </w:pPr>
    </w:p>
    <w:p w:rsidR="006C408F" w:rsidRPr="002A26DE" w:rsidRDefault="006C408F" w:rsidP="006C408F">
      <w:pPr>
        <w:autoSpaceDE w:val="0"/>
        <w:autoSpaceDN w:val="0"/>
        <w:adjustRightInd w:val="0"/>
        <w:spacing w:after="0" w:line="240" w:lineRule="auto"/>
        <w:jc w:val="both"/>
        <w:rPr>
          <w:rFonts w:ascii="Times New Roman" w:eastAsia="Times New Roman" w:hAnsi="Times New Roman" w:cs="Times New Roman"/>
          <w:sz w:val="24"/>
          <w:szCs w:val="24"/>
          <w:lang w:eastAsia="en-IN"/>
        </w:rPr>
      </w:pPr>
      <w:proofErr w:type="spellStart"/>
      <w:r w:rsidRPr="002A26DE">
        <w:rPr>
          <w:rFonts w:ascii="Times New Roman" w:eastAsia="Times New Roman" w:hAnsi="Times New Roman" w:cs="Times New Roman"/>
          <w:b/>
          <w:bCs/>
          <w:sz w:val="24"/>
          <w:szCs w:val="24"/>
          <w:lang w:eastAsia="en-IN"/>
        </w:rPr>
        <w:t>Bayeta</w:t>
      </w:r>
      <w:proofErr w:type="spellEnd"/>
      <w:r w:rsidRPr="002A26DE">
        <w:rPr>
          <w:rFonts w:ascii="Times New Roman" w:eastAsia="Times New Roman" w:hAnsi="Times New Roman" w:cs="Times New Roman"/>
          <w:b/>
          <w:bCs/>
          <w:sz w:val="24"/>
          <w:szCs w:val="24"/>
          <w:lang w:eastAsia="en-IN"/>
        </w:rPr>
        <w:t xml:space="preserve"> </w:t>
      </w:r>
      <w:proofErr w:type="spellStart"/>
      <w:r w:rsidRPr="002A26DE">
        <w:rPr>
          <w:rFonts w:ascii="Times New Roman" w:eastAsia="Times New Roman" w:hAnsi="Times New Roman" w:cs="Times New Roman"/>
          <w:b/>
          <w:bCs/>
          <w:sz w:val="24"/>
          <w:szCs w:val="24"/>
          <w:lang w:eastAsia="en-IN"/>
        </w:rPr>
        <w:t>Gadissa</w:t>
      </w:r>
      <w:proofErr w:type="spellEnd"/>
      <w:r w:rsidRPr="002A26DE">
        <w:rPr>
          <w:rFonts w:ascii="Times New Roman" w:eastAsia="Times New Roman" w:hAnsi="Times New Roman" w:cs="Times New Roman"/>
          <w:b/>
          <w:bCs/>
          <w:sz w:val="24"/>
          <w:szCs w:val="24"/>
          <w:lang w:eastAsia="en-IN"/>
        </w:rPr>
        <w:t xml:space="preserve"> </w:t>
      </w:r>
      <w:proofErr w:type="spellStart"/>
      <w:r w:rsidRPr="002A26DE">
        <w:rPr>
          <w:rFonts w:ascii="Times New Roman" w:eastAsia="Times New Roman" w:hAnsi="Times New Roman" w:cs="Times New Roman"/>
          <w:b/>
          <w:bCs/>
          <w:sz w:val="24"/>
          <w:szCs w:val="24"/>
          <w:lang w:eastAsia="en-IN"/>
        </w:rPr>
        <w:t>Gemechu</w:t>
      </w:r>
      <w:proofErr w:type="spellEnd"/>
      <w:r w:rsidRPr="002A26DE">
        <w:rPr>
          <w:rFonts w:ascii="Times New Roman" w:eastAsia="Times New Roman" w:hAnsi="Times New Roman" w:cs="Times New Roman"/>
          <w:b/>
          <w:bCs/>
          <w:sz w:val="24"/>
          <w:szCs w:val="24"/>
          <w:lang w:eastAsia="en-IN"/>
        </w:rPr>
        <w:t>. (2023).</w:t>
      </w:r>
      <w:r w:rsidRPr="002A26DE">
        <w:rPr>
          <w:rFonts w:ascii="Times New Roman" w:eastAsia="Times New Roman" w:hAnsi="Times New Roman" w:cs="Times New Roman"/>
          <w:sz w:val="24"/>
          <w:szCs w:val="24"/>
          <w:lang w:eastAsia="en-IN"/>
        </w:rPr>
        <w:t xml:space="preserve"> Determinants of Women Farmers’ Access to Agricultural Extension Services in Ethiopia: A Review. </w:t>
      </w:r>
      <w:r w:rsidRPr="002A26DE">
        <w:rPr>
          <w:rFonts w:ascii="Times New Roman" w:eastAsia="Times New Roman" w:hAnsi="Times New Roman" w:cs="Times New Roman"/>
          <w:i/>
          <w:iCs/>
          <w:sz w:val="24"/>
          <w:szCs w:val="24"/>
          <w:lang w:eastAsia="en-IN"/>
        </w:rPr>
        <w:t>Advances, 4</w:t>
      </w:r>
      <w:r w:rsidRPr="002A26DE">
        <w:rPr>
          <w:rFonts w:ascii="Times New Roman" w:eastAsia="Times New Roman" w:hAnsi="Times New Roman" w:cs="Times New Roman"/>
          <w:sz w:val="24"/>
          <w:szCs w:val="24"/>
          <w:lang w:eastAsia="en-IN"/>
        </w:rPr>
        <w:t>(2), 44-48. DOI: 10.11648/j.advances.20230402.12</w:t>
      </w:r>
    </w:p>
    <w:p w:rsidR="006C408F" w:rsidRPr="002A26DE" w:rsidRDefault="006C408F" w:rsidP="006C408F">
      <w:pPr>
        <w:autoSpaceDE w:val="0"/>
        <w:autoSpaceDN w:val="0"/>
        <w:adjustRightInd w:val="0"/>
        <w:spacing w:after="0" w:line="240" w:lineRule="auto"/>
        <w:jc w:val="both"/>
        <w:rPr>
          <w:rFonts w:ascii="Times New Roman" w:eastAsia="Times New Roman" w:hAnsi="Times New Roman" w:cs="Times New Roman"/>
          <w:sz w:val="24"/>
          <w:szCs w:val="24"/>
          <w:lang w:eastAsia="en-IN"/>
        </w:rPr>
      </w:pPr>
    </w:p>
    <w:p w:rsidR="006C408F" w:rsidRPr="002A26DE" w:rsidRDefault="00500C51" w:rsidP="006C408F">
      <w:pPr>
        <w:autoSpaceDE w:val="0"/>
        <w:autoSpaceDN w:val="0"/>
        <w:adjustRightInd w:val="0"/>
        <w:spacing w:after="0" w:line="240" w:lineRule="auto"/>
        <w:jc w:val="both"/>
        <w:rPr>
          <w:rFonts w:ascii="Times New Roman" w:hAnsi="Times New Roman" w:cs="Times New Roman"/>
          <w:sz w:val="24"/>
          <w:szCs w:val="24"/>
          <w:shd w:val="clear" w:color="auto" w:fill="FFFFFF"/>
        </w:rPr>
      </w:pPr>
      <w:proofErr w:type="spellStart"/>
      <w:r w:rsidRPr="002A26DE">
        <w:rPr>
          <w:rFonts w:ascii="Times New Roman" w:hAnsi="Times New Roman" w:cs="Times New Roman"/>
          <w:b/>
          <w:bCs/>
          <w:sz w:val="24"/>
          <w:szCs w:val="24"/>
          <w:shd w:val="clear" w:color="auto" w:fill="FFFFFF"/>
        </w:rPr>
        <w:t>Gebremariam</w:t>
      </w:r>
      <w:proofErr w:type="spellEnd"/>
      <w:r w:rsidRPr="002A26DE">
        <w:rPr>
          <w:rFonts w:ascii="Times New Roman" w:hAnsi="Times New Roman" w:cs="Times New Roman"/>
          <w:b/>
          <w:bCs/>
          <w:sz w:val="24"/>
          <w:szCs w:val="24"/>
          <w:shd w:val="clear" w:color="auto" w:fill="FFFFFF"/>
        </w:rPr>
        <w:t xml:space="preserve">, Y.A.; </w:t>
      </w:r>
      <w:proofErr w:type="spellStart"/>
      <w:r w:rsidRPr="002A26DE">
        <w:rPr>
          <w:rFonts w:ascii="Times New Roman" w:hAnsi="Times New Roman" w:cs="Times New Roman"/>
          <w:b/>
          <w:bCs/>
          <w:sz w:val="24"/>
          <w:szCs w:val="24"/>
          <w:shd w:val="clear" w:color="auto" w:fill="FFFFFF"/>
        </w:rPr>
        <w:t>Dessein</w:t>
      </w:r>
      <w:proofErr w:type="spellEnd"/>
      <w:r w:rsidRPr="002A26DE">
        <w:rPr>
          <w:rFonts w:ascii="Times New Roman" w:hAnsi="Times New Roman" w:cs="Times New Roman"/>
          <w:b/>
          <w:bCs/>
          <w:sz w:val="24"/>
          <w:szCs w:val="24"/>
          <w:shd w:val="clear" w:color="auto" w:fill="FFFFFF"/>
        </w:rPr>
        <w:t xml:space="preserve">, J.; </w:t>
      </w:r>
      <w:proofErr w:type="spellStart"/>
      <w:r w:rsidRPr="002A26DE">
        <w:rPr>
          <w:rFonts w:ascii="Times New Roman" w:hAnsi="Times New Roman" w:cs="Times New Roman"/>
          <w:b/>
          <w:bCs/>
          <w:sz w:val="24"/>
          <w:szCs w:val="24"/>
          <w:shd w:val="clear" w:color="auto" w:fill="FFFFFF"/>
        </w:rPr>
        <w:t>Wondimagegnhu</w:t>
      </w:r>
      <w:proofErr w:type="spellEnd"/>
      <w:r w:rsidRPr="002A26DE">
        <w:rPr>
          <w:rFonts w:ascii="Times New Roman" w:hAnsi="Times New Roman" w:cs="Times New Roman"/>
          <w:b/>
          <w:bCs/>
          <w:sz w:val="24"/>
          <w:szCs w:val="24"/>
          <w:shd w:val="clear" w:color="auto" w:fill="FFFFFF"/>
        </w:rPr>
        <w:t xml:space="preserve">, B.A.; </w:t>
      </w:r>
      <w:proofErr w:type="spellStart"/>
      <w:r w:rsidRPr="002A26DE">
        <w:rPr>
          <w:rFonts w:ascii="Times New Roman" w:hAnsi="Times New Roman" w:cs="Times New Roman"/>
          <w:b/>
          <w:bCs/>
          <w:sz w:val="24"/>
          <w:szCs w:val="24"/>
          <w:shd w:val="clear" w:color="auto" w:fill="FFFFFF"/>
        </w:rPr>
        <w:t>Breusers</w:t>
      </w:r>
      <w:proofErr w:type="spellEnd"/>
      <w:r w:rsidRPr="002A26DE">
        <w:rPr>
          <w:rFonts w:ascii="Times New Roman" w:hAnsi="Times New Roman" w:cs="Times New Roman"/>
          <w:b/>
          <w:bCs/>
          <w:sz w:val="24"/>
          <w:szCs w:val="24"/>
          <w:shd w:val="clear" w:color="auto" w:fill="FFFFFF"/>
        </w:rPr>
        <w:t xml:space="preserve">, M.; </w:t>
      </w:r>
      <w:proofErr w:type="spellStart"/>
      <w:r w:rsidRPr="002A26DE">
        <w:rPr>
          <w:rFonts w:ascii="Times New Roman" w:hAnsi="Times New Roman" w:cs="Times New Roman"/>
          <w:b/>
          <w:bCs/>
          <w:sz w:val="24"/>
          <w:szCs w:val="24"/>
          <w:shd w:val="clear" w:color="auto" w:fill="FFFFFF"/>
        </w:rPr>
        <w:t>Lenaerts</w:t>
      </w:r>
      <w:proofErr w:type="spellEnd"/>
      <w:r w:rsidRPr="002A26DE">
        <w:rPr>
          <w:rFonts w:ascii="Times New Roman" w:hAnsi="Times New Roman" w:cs="Times New Roman"/>
          <w:b/>
          <w:bCs/>
          <w:sz w:val="24"/>
          <w:szCs w:val="24"/>
          <w:shd w:val="clear" w:color="auto" w:fill="FFFFFF"/>
        </w:rPr>
        <w:t xml:space="preserve">, L.; </w:t>
      </w:r>
      <w:proofErr w:type="spellStart"/>
      <w:r w:rsidRPr="002A26DE">
        <w:rPr>
          <w:rFonts w:ascii="Times New Roman" w:hAnsi="Times New Roman" w:cs="Times New Roman"/>
          <w:b/>
          <w:bCs/>
          <w:sz w:val="24"/>
          <w:szCs w:val="24"/>
          <w:shd w:val="clear" w:color="auto" w:fill="FFFFFF"/>
        </w:rPr>
        <w:t>Adgo</w:t>
      </w:r>
      <w:proofErr w:type="spellEnd"/>
      <w:r w:rsidRPr="002A26DE">
        <w:rPr>
          <w:rFonts w:ascii="Times New Roman" w:hAnsi="Times New Roman" w:cs="Times New Roman"/>
          <w:b/>
          <w:bCs/>
          <w:sz w:val="24"/>
          <w:szCs w:val="24"/>
          <w:shd w:val="clear" w:color="auto" w:fill="FFFFFF"/>
        </w:rPr>
        <w:t xml:space="preserve">, E.; </w:t>
      </w:r>
      <w:proofErr w:type="spellStart"/>
      <w:r w:rsidRPr="002A26DE">
        <w:rPr>
          <w:rFonts w:ascii="Times New Roman" w:hAnsi="Times New Roman" w:cs="Times New Roman"/>
          <w:b/>
          <w:bCs/>
          <w:sz w:val="24"/>
          <w:szCs w:val="24"/>
          <w:shd w:val="clear" w:color="auto" w:fill="FFFFFF"/>
        </w:rPr>
        <w:t>Ayalew</w:t>
      </w:r>
      <w:proofErr w:type="spellEnd"/>
      <w:r w:rsidRPr="002A26DE">
        <w:rPr>
          <w:rFonts w:ascii="Times New Roman" w:hAnsi="Times New Roman" w:cs="Times New Roman"/>
          <w:b/>
          <w:bCs/>
          <w:sz w:val="24"/>
          <w:szCs w:val="24"/>
          <w:shd w:val="clear" w:color="auto" w:fill="FFFFFF"/>
        </w:rPr>
        <w:t xml:space="preserve">, Z.; </w:t>
      </w:r>
      <w:proofErr w:type="spellStart"/>
      <w:r w:rsidRPr="002A26DE">
        <w:rPr>
          <w:rFonts w:ascii="Times New Roman" w:hAnsi="Times New Roman" w:cs="Times New Roman"/>
          <w:b/>
          <w:bCs/>
          <w:sz w:val="24"/>
          <w:szCs w:val="24"/>
          <w:shd w:val="clear" w:color="auto" w:fill="FFFFFF"/>
        </w:rPr>
        <w:t>Minale</w:t>
      </w:r>
      <w:proofErr w:type="spellEnd"/>
      <w:r w:rsidRPr="002A26DE">
        <w:rPr>
          <w:rFonts w:ascii="Times New Roman" w:hAnsi="Times New Roman" w:cs="Times New Roman"/>
          <w:b/>
          <w:bCs/>
          <w:sz w:val="24"/>
          <w:szCs w:val="24"/>
          <w:shd w:val="clear" w:color="auto" w:fill="FFFFFF"/>
        </w:rPr>
        <w:t xml:space="preserve">, A.S.; Nyssen, J. </w:t>
      </w:r>
      <w:r w:rsidR="00190D35" w:rsidRPr="002A26DE">
        <w:rPr>
          <w:rFonts w:ascii="Times New Roman" w:hAnsi="Times New Roman" w:cs="Times New Roman"/>
          <w:b/>
          <w:bCs/>
          <w:sz w:val="24"/>
          <w:szCs w:val="24"/>
          <w:shd w:val="clear" w:color="auto" w:fill="FFFFFF"/>
        </w:rPr>
        <w:t>(2021).</w:t>
      </w:r>
      <w:r w:rsidR="00190D35" w:rsidRPr="002A26DE">
        <w:rPr>
          <w:rFonts w:ascii="Times New Roman" w:hAnsi="Times New Roman" w:cs="Times New Roman"/>
          <w:sz w:val="24"/>
          <w:szCs w:val="24"/>
          <w:shd w:val="clear" w:color="auto" w:fill="FFFFFF"/>
        </w:rPr>
        <w:t xml:space="preserve"> </w:t>
      </w:r>
      <w:r w:rsidRPr="002A26DE">
        <w:rPr>
          <w:rFonts w:ascii="Times New Roman" w:hAnsi="Times New Roman" w:cs="Times New Roman"/>
          <w:sz w:val="24"/>
          <w:szCs w:val="24"/>
          <w:shd w:val="clear" w:color="auto" w:fill="FFFFFF"/>
        </w:rPr>
        <w:t>Determinants of Farmers’ Level of Interaction with Agricultural Extension Agencies in Northwest Ethiopia. </w:t>
      </w:r>
      <w:proofErr w:type="gramStart"/>
      <w:r w:rsidRPr="002A26DE">
        <w:rPr>
          <w:rStyle w:val="Emphasis"/>
          <w:rFonts w:ascii="Times New Roman" w:hAnsi="Times New Roman" w:cs="Times New Roman"/>
          <w:sz w:val="24"/>
          <w:szCs w:val="24"/>
          <w:shd w:val="clear" w:color="auto" w:fill="FFFFFF"/>
        </w:rPr>
        <w:t>Sustainability</w:t>
      </w:r>
      <w:r w:rsidRPr="002A26DE">
        <w:rPr>
          <w:rFonts w:ascii="Times New Roman" w:hAnsi="Times New Roman" w:cs="Times New Roman"/>
          <w:sz w:val="24"/>
          <w:szCs w:val="24"/>
          <w:shd w:val="clear" w:color="auto" w:fill="FFFFFF"/>
        </w:rPr>
        <w:t> ,</w:t>
      </w:r>
      <w:proofErr w:type="gramEnd"/>
      <w:r w:rsidRPr="002A26DE">
        <w:rPr>
          <w:rFonts w:ascii="Times New Roman" w:hAnsi="Times New Roman" w:cs="Times New Roman"/>
          <w:sz w:val="24"/>
          <w:szCs w:val="24"/>
          <w:shd w:val="clear" w:color="auto" w:fill="FFFFFF"/>
        </w:rPr>
        <w:t> </w:t>
      </w:r>
      <w:r w:rsidRPr="002A26DE">
        <w:rPr>
          <w:rStyle w:val="Emphasis"/>
          <w:rFonts w:ascii="Times New Roman" w:hAnsi="Times New Roman" w:cs="Times New Roman"/>
          <w:sz w:val="24"/>
          <w:szCs w:val="24"/>
          <w:shd w:val="clear" w:color="auto" w:fill="FFFFFF"/>
        </w:rPr>
        <w:t>13</w:t>
      </w:r>
      <w:r w:rsidRPr="002A26DE">
        <w:rPr>
          <w:rFonts w:ascii="Times New Roman" w:hAnsi="Times New Roman" w:cs="Times New Roman"/>
          <w:sz w:val="24"/>
          <w:szCs w:val="24"/>
          <w:shd w:val="clear" w:color="auto" w:fill="FFFFFF"/>
        </w:rPr>
        <w:t xml:space="preserve">, 3447. </w:t>
      </w:r>
      <w:hyperlink r:id="rId8" w:history="1">
        <w:r w:rsidRPr="002A26DE">
          <w:rPr>
            <w:rStyle w:val="Hyperlink"/>
            <w:rFonts w:ascii="Times New Roman" w:hAnsi="Times New Roman" w:cs="Times New Roman"/>
            <w:color w:val="auto"/>
            <w:sz w:val="24"/>
            <w:szCs w:val="24"/>
            <w:shd w:val="clear" w:color="auto" w:fill="FFFFFF"/>
          </w:rPr>
          <w:t>https://doi.org/10.3390/su13063447</w:t>
        </w:r>
      </w:hyperlink>
      <w:r w:rsidRPr="002A26DE">
        <w:rPr>
          <w:rFonts w:ascii="Times New Roman" w:hAnsi="Times New Roman" w:cs="Times New Roman"/>
          <w:sz w:val="24"/>
          <w:szCs w:val="24"/>
          <w:shd w:val="clear" w:color="auto" w:fill="FFFFFF"/>
        </w:rPr>
        <w:t>.</w:t>
      </w:r>
    </w:p>
    <w:p w:rsidR="00500C51" w:rsidRPr="002A26DE" w:rsidRDefault="00500C51" w:rsidP="006C408F">
      <w:pPr>
        <w:autoSpaceDE w:val="0"/>
        <w:autoSpaceDN w:val="0"/>
        <w:adjustRightInd w:val="0"/>
        <w:spacing w:after="0" w:line="240" w:lineRule="auto"/>
        <w:jc w:val="both"/>
        <w:rPr>
          <w:rFonts w:ascii="Times New Roman" w:eastAsia="Times New Roman" w:hAnsi="Times New Roman" w:cs="Times New Roman"/>
          <w:sz w:val="24"/>
          <w:szCs w:val="24"/>
          <w:lang w:eastAsia="en-IN"/>
        </w:rPr>
      </w:pPr>
    </w:p>
    <w:p w:rsidR="006C408F" w:rsidRPr="002A26DE" w:rsidRDefault="006C408F" w:rsidP="006C408F">
      <w:pPr>
        <w:autoSpaceDE w:val="0"/>
        <w:autoSpaceDN w:val="0"/>
        <w:adjustRightInd w:val="0"/>
        <w:spacing w:after="0" w:line="240" w:lineRule="auto"/>
        <w:jc w:val="both"/>
        <w:rPr>
          <w:rFonts w:ascii="Times New Roman" w:eastAsia="Times New Roman" w:hAnsi="Times New Roman" w:cs="Times New Roman"/>
          <w:sz w:val="24"/>
          <w:szCs w:val="24"/>
          <w:lang w:eastAsia="en-IN"/>
        </w:rPr>
      </w:pPr>
      <w:proofErr w:type="spellStart"/>
      <w:r w:rsidRPr="002A26DE">
        <w:rPr>
          <w:rFonts w:ascii="Times New Roman" w:eastAsia="Times New Roman" w:hAnsi="Times New Roman" w:cs="Times New Roman"/>
          <w:b/>
          <w:bCs/>
          <w:sz w:val="24"/>
          <w:szCs w:val="24"/>
          <w:lang w:eastAsia="en-IN"/>
        </w:rPr>
        <w:t>Kandpal</w:t>
      </w:r>
      <w:proofErr w:type="spellEnd"/>
      <w:r w:rsidRPr="002A26DE">
        <w:rPr>
          <w:rFonts w:ascii="Times New Roman" w:eastAsia="Times New Roman" w:hAnsi="Times New Roman" w:cs="Times New Roman"/>
          <w:b/>
          <w:bCs/>
          <w:sz w:val="24"/>
          <w:szCs w:val="24"/>
          <w:lang w:eastAsia="en-IN"/>
        </w:rPr>
        <w:t xml:space="preserve">, A. S., </w:t>
      </w:r>
      <w:proofErr w:type="spellStart"/>
      <w:r w:rsidRPr="002A26DE">
        <w:rPr>
          <w:rFonts w:ascii="Times New Roman" w:eastAsia="Times New Roman" w:hAnsi="Times New Roman" w:cs="Times New Roman"/>
          <w:b/>
          <w:bCs/>
          <w:sz w:val="24"/>
          <w:szCs w:val="24"/>
          <w:lang w:eastAsia="en-IN"/>
        </w:rPr>
        <w:t>Kwatra</w:t>
      </w:r>
      <w:proofErr w:type="spellEnd"/>
      <w:r w:rsidRPr="002A26DE">
        <w:rPr>
          <w:rFonts w:ascii="Times New Roman" w:eastAsia="Times New Roman" w:hAnsi="Times New Roman" w:cs="Times New Roman"/>
          <w:b/>
          <w:bCs/>
          <w:sz w:val="24"/>
          <w:szCs w:val="24"/>
          <w:lang w:eastAsia="en-IN"/>
        </w:rPr>
        <w:t xml:space="preserve">, J., Bajpai, M., Goswami, P. and Joshi, A. (2025). </w:t>
      </w:r>
      <w:r w:rsidRPr="002A26DE">
        <w:rPr>
          <w:rFonts w:ascii="Times New Roman" w:eastAsia="Times New Roman" w:hAnsi="Times New Roman" w:cs="Times New Roman"/>
          <w:sz w:val="24"/>
          <w:szCs w:val="24"/>
          <w:lang w:eastAsia="en-IN"/>
        </w:rPr>
        <w:t xml:space="preserve">Empowering tribal women through value addition: Impact of training on knowledge, economic motivation and livelihood enhancement in Uttarakhand. </w:t>
      </w:r>
      <w:r w:rsidRPr="002A26DE">
        <w:rPr>
          <w:rFonts w:ascii="Times New Roman" w:eastAsia="Times New Roman" w:hAnsi="Times New Roman" w:cs="Times New Roman"/>
          <w:i/>
          <w:iCs/>
          <w:sz w:val="24"/>
          <w:szCs w:val="24"/>
          <w:lang w:eastAsia="en-IN"/>
        </w:rPr>
        <w:t>International Journal of Agriculture Extension and Social Development.</w:t>
      </w:r>
      <w:r w:rsidRPr="002A26DE">
        <w:rPr>
          <w:rFonts w:ascii="Times New Roman" w:eastAsia="Times New Roman" w:hAnsi="Times New Roman" w:cs="Times New Roman"/>
          <w:sz w:val="24"/>
          <w:szCs w:val="24"/>
          <w:lang w:eastAsia="en-IN"/>
        </w:rPr>
        <w:t xml:space="preserve"> Vol. 8, Issue:3, pp:277-282. Doi:</w:t>
      </w:r>
      <w:r w:rsidRPr="002A26DE">
        <w:rPr>
          <w:rFonts w:ascii="Times New Roman" w:eastAsia="Times New Roman" w:hAnsi="Times New Roman" w:cs="Times New Roman"/>
          <w:b/>
          <w:bCs/>
          <w:sz w:val="24"/>
          <w:szCs w:val="24"/>
          <w:lang w:eastAsia="en-IN"/>
        </w:rPr>
        <w:t xml:space="preserve"> </w:t>
      </w:r>
      <w:r w:rsidRPr="002A26DE">
        <w:rPr>
          <w:rFonts w:ascii="Times New Roman" w:eastAsia="Times New Roman" w:hAnsi="Times New Roman" w:cs="Times New Roman"/>
          <w:sz w:val="24"/>
          <w:szCs w:val="24"/>
          <w:lang w:eastAsia="en-IN"/>
        </w:rPr>
        <w:t xml:space="preserve">https://doi.org/10.33545/26180723.2024.v7.i11g.1361 </w:t>
      </w:r>
    </w:p>
    <w:p w:rsidR="006C408F" w:rsidRPr="002A26DE" w:rsidRDefault="006C408F" w:rsidP="006C408F">
      <w:pPr>
        <w:autoSpaceDE w:val="0"/>
        <w:autoSpaceDN w:val="0"/>
        <w:adjustRightInd w:val="0"/>
        <w:spacing w:after="0" w:line="240" w:lineRule="auto"/>
        <w:rPr>
          <w:rFonts w:ascii="Times New Roman" w:eastAsia="Times New Roman" w:hAnsi="Times New Roman" w:cs="Times New Roman"/>
          <w:sz w:val="20"/>
          <w:szCs w:val="20"/>
          <w:lang w:eastAsia="en-IN"/>
        </w:rPr>
      </w:pPr>
    </w:p>
    <w:p w:rsidR="006C408F" w:rsidRPr="002A26DE" w:rsidRDefault="006C408F" w:rsidP="006C408F">
      <w:pPr>
        <w:autoSpaceDE w:val="0"/>
        <w:autoSpaceDN w:val="0"/>
        <w:adjustRightInd w:val="0"/>
        <w:spacing w:after="0" w:line="240" w:lineRule="auto"/>
        <w:rPr>
          <w:rFonts w:ascii="Times New Roman" w:eastAsia="Calibri" w:hAnsi="Times New Roman" w:cs="Times New Roman"/>
          <w:sz w:val="24"/>
          <w:szCs w:val="24"/>
          <w:lang w:bidi="hi-IN"/>
        </w:rPr>
      </w:pPr>
      <w:proofErr w:type="spellStart"/>
      <w:r w:rsidRPr="002A26DE">
        <w:rPr>
          <w:rFonts w:ascii="Times New Roman" w:eastAsia="Times New Roman" w:hAnsi="Times New Roman" w:cs="Times New Roman"/>
          <w:b/>
          <w:bCs/>
          <w:sz w:val="24"/>
          <w:szCs w:val="24"/>
          <w:lang w:eastAsia="en-IN"/>
        </w:rPr>
        <w:t>Kandpal</w:t>
      </w:r>
      <w:proofErr w:type="spellEnd"/>
      <w:r w:rsidRPr="002A26DE">
        <w:rPr>
          <w:rFonts w:ascii="Times New Roman" w:eastAsia="Times New Roman" w:hAnsi="Times New Roman" w:cs="Times New Roman"/>
          <w:b/>
          <w:bCs/>
          <w:sz w:val="24"/>
          <w:szCs w:val="24"/>
          <w:lang w:eastAsia="en-IN"/>
        </w:rPr>
        <w:t xml:space="preserve">, A.S. and </w:t>
      </w:r>
      <w:proofErr w:type="spellStart"/>
      <w:r w:rsidRPr="002A26DE">
        <w:rPr>
          <w:rFonts w:ascii="Times New Roman" w:eastAsia="Times New Roman" w:hAnsi="Times New Roman" w:cs="Times New Roman"/>
          <w:b/>
          <w:bCs/>
          <w:sz w:val="24"/>
          <w:szCs w:val="24"/>
          <w:lang w:eastAsia="en-IN"/>
        </w:rPr>
        <w:t>Kwatra</w:t>
      </w:r>
      <w:proofErr w:type="spellEnd"/>
      <w:r w:rsidRPr="002A26DE">
        <w:rPr>
          <w:rFonts w:ascii="Times New Roman" w:eastAsia="Times New Roman" w:hAnsi="Times New Roman" w:cs="Times New Roman"/>
          <w:b/>
          <w:bCs/>
          <w:sz w:val="24"/>
          <w:szCs w:val="24"/>
          <w:lang w:eastAsia="en-IN"/>
        </w:rPr>
        <w:t xml:space="preserve">, J. (2025). </w:t>
      </w:r>
      <w:r w:rsidRPr="002A26DE">
        <w:rPr>
          <w:rFonts w:ascii="Times New Roman" w:eastAsia="Times New Roman" w:hAnsi="Times New Roman" w:cs="Times New Roman"/>
          <w:sz w:val="24"/>
          <w:szCs w:val="24"/>
          <w:lang w:eastAsia="en-IN"/>
        </w:rPr>
        <w:t xml:space="preserve">Impact analysis of the mushroom cultivation training and demonstrations programme in TSP, project, ICAR, Uttarakhand, India. International </w:t>
      </w:r>
      <w:r w:rsidRPr="002A26DE">
        <w:rPr>
          <w:rFonts w:ascii="Times New Roman" w:eastAsia="Times New Roman" w:hAnsi="Times New Roman" w:cs="Times New Roman"/>
          <w:i/>
          <w:iCs/>
          <w:sz w:val="24"/>
          <w:szCs w:val="24"/>
          <w:lang w:eastAsia="en-IN"/>
        </w:rPr>
        <w:t>Journal of Agriculture Extension and Social Development</w:t>
      </w:r>
      <w:r w:rsidRPr="002A26DE">
        <w:rPr>
          <w:rFonts w:ascii="Times New Roman" w:eastAsia="Times New Roman" w:hAnsi="Times New Roman" w:cs="Times New Roman"/>
          <w:sz w:val="24"/>
          <w:szCs w:val="24"/>
          <w:lang w:eastAsia="en-IN"/>
        </w:rPr>
        <w:t xml:space="preserve">. Vol.8, Issue:3, pp: 198-202. </w:t>
      </w:r>
    </w:p>
    <w:p w:rsidR="006C408F" w:rsidRPr="002A26DE" w:rsidRDefault="006C408F" w:rsidP="006C408F">
      <w:pPr>
        <w:autoSpaceDE w:val="0"/>
        <w:autoSpaceDN w:val="0"/>
        <w:adjustRightInd w:val="0"/>
        <w:spacing w:after="0" w:line="240" w:lineRule="auto"/>
        <w:rPr>
          <w:rFonts w:ascii="Times New Roman" w:eastAsia="Times New Roman" w:hAnsi="Times New Roman" w:cs="Times New Roman"/>
          <w:sz w:val="24"/>
          <w:szCs w:val="24"/>
          <w:lang w:eastAsia="en-IN"/>
        </w:rPr>
      </w:pPr>
      <w:r w:rsidRPr="002A26DE">
        <w:rPr>
          <w:rFonts w:ascii="Times New Roman" w:eastAsia="Times New Roman" w:hAnsi="Times New Roman" w:cs="Times New Roman"/>
          <w:sz w:val="24"/>
          <w:szCs w:val="24"/>
          <w:lang w:eastAsia="en-IN"/>
        </w:rPr>
        <w:t xml:space="preserve"> https://www.doi.org/10.33545/26180723.2025.v8.i3c.1697</w:t>
      </w:r>
    </w:p>
    <w:p w:rsidR="006C408F" w:rsidRPr="002A26DE" w:rsidRDefault="006C408F" w:rsidP="006C408F">
      <w:pPr>
        <w:autoSpaceDE w:val="0"/>
        <w:autoSpaceDN w:val="0"/>
        <w:adjustRightInd w:val="0"/>
        <w:spacing w:after="0" w:line="240" w:lineRule="auto"/>
        <w:rPr>
          <w:rFonts w:ascii="Times New Roman" w:eastAsia="Times New Roman" w:hAnsi="Times New Roman" w:cs="Times New Roman"/>
          <w:sz w:val="24"/>
          <w:szCs w:val="24"/>
          <w:lang w:eastAsia="en-IN"/>
        </w:rPr>
      </w:pPr>
    </w:p>
    <w:p w:rsidR="006C408F" w:rsidRPr="002A26DE" w:rsidRDefault="006C408F" w:rsidP="006C408F">
      <w:pPr>
        <w:autoSpaceDE w:val="0"/>
        <w:autoSpaceDN w:val="0"/>
        <w:adjustRightInd w:val="0"/>
        <w:spacing w:after="0" w:line="240" w:lineRule="auto"/>
        <w:rPr>
          <w:rFonts w:ascii="Times New Roman" w:eastAsia="Calibri" w:hAnsi="Times New Roman" w:cs="Times New Roman"/>
          <w:sz w:val="24"/>
          <w:szCs w:val="24"/>
          <w:lang w:bidi="hi-IN"/>
        </w:rPr>
      </w:pPr>
      <w:proofErr w:type="spellStart"/>
      <w:r w:rsidRPr="002A26DE">
        <w:rPr>
          <w:rFonts w:ascii="Times New Roman" w:eastAsia="Times New Roman" w:hAnsi="Times New Roman" w:cs="Times New Roman"/>
          <w:b/>
          <w:bCs/>
          <w:sz w:val="24"/>
          <w:szCs w:val="24"/>
          <w:lang w:eastAsia="en-IN"/>
        </w:rPr>
        <w:t>Kandpal</w:t>
      </w:r>
      <w:proofErr w:type="spellEnd"/>
      <w:r w:rsidRPr="002A26DE">
        <w:rPr>
          <w:rFonts w:ascii="Times New Roman" w:eastAsia="Times New Roman" w:hAnsi="Times New Roman" w:cs="Times New Roman"/>
          <w:b/>
          <w:bCs/>
          <w:sz w:val="24"/>
          <w:szCs w:val="24"/>
          <w:lang w:eastAsia="en-IN"/>
        </w:rPr>
        <w:t xml:space="preserve">, A. S. and </w:t>
      </w:r>
      <w:proofErr w:type="spellStart"/>
      <w:r w:rsidRPr="002A26DE">
        <w:rPr>
          <w:rFonts w:ascii="Times New Roman" w:eastAsia="Times New Roman" w:hAnsi="Times New Roman" w:cs="Times New Roman"/>
          <w:b/>
          <w:bCs/>
          <w:sz w:val="24"/>
          <w:szCs w:val="24"/>
          <w:lang w:eastAsia="en-IN"/>
        </w:rPr>
        <w:t>Kwatra</w:t>
      </w:r>
      <w:proofErr w:type="spellEnd"/>
      <w:r w:rsidRPr="002A26DE">
        <w:rPr>
          <w:rFonts w:ascii="Times New Roman" w:eastAsia="Times New Roman" w:hAnsi="Times New Roman" w:cs="Times New Roman"/>
          <w:b/>
          <w:bCs/>
          <w:sz w:val="24"/>
          <w:szCs w:val="24"/>
          <w:lang w:eastAsia="en-IN"/>
        </w:rPr>
        <w:t>, J. (2025).</w:t>
      </w:r>
      <w:r w:rsidRPr="002A26DE">
        <w:rPr>
          <w:rFonts w:ascii="Times New Roman" w:eastAsia="Times New Roman" w:hAnsi="Times New Roman" w:cs="Times New Roman"/>
          <w:sz w:val="24"/>
          <w:szCs w:val="24"/>
          <w:lang w:eastAsia="en-IN"/>
        </w:rPr>
        <w:t xml:space="preserve">  Women’s Acceptance of Training in Clean Milk Production </w:t>
      </w:r>
      <w:proofErr w:type="gramStart"/>
      <w:r w:rsidRPr="002A26DE">
        <w:rPr>
          <w:rFonts w:ascii="Times New Roman" w:eastAsia="Times New Roman" w:hAnsi="Times New Roman" w:cs="Times New Roman"/>
          <w:sz w:val="24"/>
          <w:szCs w:val="24"/>
          <w:lang w:eastAsia="en-IN"/>
        </w:rPr>
        <w:t>and  Milk</w:t>
      </w:r>
      <w:proofErr w:type="gramEnd"/>
      <w:r w:rsidRPr="002A26DE">
        <w:rPr>
          <w:rFonts w:ascii="Times New Roman" w:eastAsia="Times New Roman" w:hAnsi="Times New Roman" w:cs="Times New Roman"/>
          <w:sz w:val="24"/>
          <w:szCs w:val="24"/>
          <w:lang w:eastAsia="en-IN"/>
        </w:rPr>
        <w:t xml:space="preserve"> Processing. </w:t>
      </w:r>
      <w:r w:rsidRPr="002A26DE">
        <w:rPr>
          <w:rFonts w:ascii="Times New Roman" w:eastAsia="Times New Roman" w:hAnsi="Times New Roman" w:cs="Times New Roman"/>
          <w:i/>
          <w:iCs/>
          <w:sz w:val="24"/>
          <w:szCs w:val="24"/>
          <w:lang w:eastAsia="en-IN"/>
        </w:rPr>
        <w:t>Journal of Scientific Research and Reports.</w:t>
      </w:r>
      <w:r w:rsidRPr="002A26DE">
        <w:rPr>
          <w:rFonts w:ascii="Times New Roman" w:eastAsia="Times New Roman" w:hAnsi="Times New Roman" w:cs="Times New Roman"/>
          <w:sz w:val="24"/>
          <w:szCs w:val="24"/>
          <w:lang w:eastAsia="en-IN"/>
        </w:rPr>
        <w:t xml:space="preserve"> Volume 31, Issue 6, Page 697-706, ISSN: 2320-0227 </w:t>
      </w:r>
      <w:r w:rsidRPr="002A26DE">
        <w:rPr>
          <w:rFonts w:ascii="Times New Roman" w:eastAsia="Calibri" w:hAnsi="Times New Roman" w:cs="Times New Roman"/>
          <w:sz w:val="24"/>
          <w:szCs w:val="24"/>
          <w:lang w:bidi="hi-IN"/>
        </w:rPr>
        <w:t xml:space="preserve">DOI: </w:t>
      </w:r>
      <w:hyperlink r:id="rId9" w:history="1">
        <w:r w:rsidRPr="002A26DE">
          <w:rPr>
            <w:rFonts w:ascii="Times New Roman" w:eastAsia="Calibri" w:hAnsi="Times New Roman" w:cs="Times New Roman"/>
            <w:sz w:val="24"/>
            <w:szCs w:val="24"/>
            <w:u w:val="single"/>
            <w:lang w:bidi="hi-IN"/>
          </w:rPr>
          <w:t>https://doi.org/10.9734/jsrr/2025/v31i63165</w:t>
        </w:r>
      </w:hyperlink>
    </w:p>
    <w:p w:rsidR="006C408F" w:rsidRPr="002A26DE" w:rsidRDefault="006C408F" w:rsidP="006C408F">
      <w:pPr>
        <w:autoSpaceDE w:val="0"/>
        <w:autoSpaceDN w:val="0"/>
        <w:adjustRightInd w:val="0"/>
        <w:spacing w:after="0" w:line="240" w:lineRule="auto"/>
        <w:rPr>
          <w:rFonts w:ascii="Times New Roman" w:eastAsia="Times New Roman" w:hAnsi="Times New Roman" w:cs="Times New Roman"/>
          <w:b/>
          <w:bCs/>
          <w:sz w:val="24"/>
          <w:szCs w:val="24"/>
          <w:lang w:eastAsia="en-IN"/>
        </w:rPr>
      </w:pPr>
    </w:p>
    <w:p w:rsidR="006C408F" w:rsidRPr="002A26DE" w:rsidRDefault="006C408F" w:rsidP="006C408F">
      <w:pPr>
        <w:autoSpaceDE w:val="0"/>
        <w:autoSpaceDN w:val="0"/>
        <w:adjustRightInd w:val="0"/>
        <w:spacing w:after="0" w:line="240" w:lineRule="auto"/>
        <w:rPr>
          <w:rFonts w:ascii="Times New Roman" w:eastAsia="Calibri" w:hAnsi="Times New Roman" w:cs="Times New Roman"/>
          <w:sz w:val="24"/>
          <w:szCs w:val="24"/>
          <w:lang w:bidi="hi-IN"/>
        </w:rPr>
      </w:pPr>
      <w:proofErr w:type="spellStart"/>
      <w:r w:rsidRPr="002A26DE">
        <w:rPr>
          <w:rFonts w:ascii="Times New Roman" w:eastAsia="Times New Roman" w:hAnsi="Times New Roman" w:cs="Times New Roman"/>
          <w:b/>
          <w:bCs/>
          <w:sz w:val="24"/>
          <w:szCs w:val="24"/>
          <w:lang w:eastAsia="en-IN"/>
        </w:rPr>
        <w:t>Kandpal</w:t>
      </w:r>
      <w:proofErr w:type="spellEnd"/>
      <w:r w:rsidRPr="002A26DE">
        <w:rPr>
          <w:rFonts w:ascii="Times New Roman" w:eastAsia="Times New Roman" w:hAnsi="Times New Roman" w:cs="Times New Roman"/>
          <w:b/>
          <w:bCs/>
          <w:sz w:val="24"/>
          <w:szCs w:val="24"/>
          <w:lang w:eastAsia="en-IN"/>
        </w:rPr>
        <w:t xml:space="preserve">, A. S.  and </w:t>
      </w:r>
      <w:proofErr w:type="spellStart"/>
      <w:r w:rsidRPr="002A26DE">
        <w:rPr>
          <w:rFonts w:ascii="Times New Roman" w:eastAsia="Times New Roman" w:hAnsi="Times New Roman" w:cs="Times New Roman"/>
          <w:b/>
          <w:bCs/>
          <w:sz w:val="24"/>
          <w:szCs w:val="24"/>
          <w:lang w:eastAsia="en-IN"/>
        </w:rPr>
        <w:t>Kwatra</w:t>
      </w:r>
      <w:proofErr w:type="spellEnd"/>
      <w:r w:rsidRPr="002A26DE">
        <w:rPr>
          <w:rFonts w:ascii="Times New Roman" w:eastAsia="Times New Roman" w:hAnsi="Times New Roman" w:cs="Times New Roman"/>
          <w:b/>
          <w:bCs/>
          <w:sz w:val="24"/>
          <w:szCs w:val="24"/>
          <w:lang w:eastAsia="en-IN"/>
        </w:rPr>
        <w:t>, J. (2025).</w:t>
      </w:r>
      <w:r w:rsidRPr="002A26DE">
        <w:rPr>
          <w:rFonts w:ascii="Times New Roman" w:eastAsia="Times New Roman" w:hAnsi="Times New Roman" w:cs="Times New Roman"/>
          <w:sz w:val="24"/>
          <w:szCs w:val="24"/>
          <w:lang w:eastAsia="en-IN"/>
        </w:rPr>
        <w:t xml:space="preserve"> Enhancing tribal dairy farming: from tradition to innovation. </w:t>
      </w:r>
      <w:r w:rsidRPr="002A26DE">
        <w:rPr>
          <w:rFonts w:ascii="Times New Roman" w:eastAsia="Times New Roman" w:hAnsi="Times New Roman" w:cs="Times New Roman"/>
          <w:i/>
          <w:iCs/>
          <w:sz w:val="24"/>
          <w:szCs w:val="24"/>
          <w:lang w:eastAsia="en-IN"/>
        </w:rPr>
        <w:t>International Journal of Research in Agronomy</w:t>
      </w:r>
      <w:r w:rsidRPr="002A26DE">
        <w:rPr>
          <w:rFonts w:ascii="Times New Roman" w:eastAsia="Times New Roman" w:hAnsi="Times New Roman" w:cs="Times New Roman"/>
          <w:sz w:val="24"/>
          <w:szCs w:val="24"/>
          <w:lang w:eastAsia="en-IN"/>
        </w:rPr>
        <w:t xml:space="preserve">. 8(5):158-161. </w:t>
      </w:r>
    </w:p>
    <w:p w:rsidR="006C408F" w:rsidRPr="002A26DE" w:rsidRDefault="006C408F" w:rsidP="006C408F">
      <w:pPr>
        <w:autoSpaceDE w:val="0"/>
        <w:autoSpaceDN w:val="0"/>
        <w:adjustRightInd w:val="0"/>
        <w:spacing w:after="0" w:line="240" w:lineRule="auto"/>
        <w:rPr>
          <w:rFonts w:ascii="Times New Roman" w:eastAsia="Times New Roman" w:hAnsi="Times New Roman" w:cs="Times New Roman"/>
          <w:sz w:val="24"/>
          <w:szCs w:val="24"/>
          <w:u w:val="single"/>
          <w:lang w:eastAsia="en-IN"/>
        </w:rPr>
      </w:pPr>
      <w:r w:rsidRPr="002A26DE">
        <w:rPr>
          <w:rFonts w:ascii="Times New Roman" w:eastAsia="Times New Roman" w:hAnsi="Times New Roman" w:cs="Times New Roman"/>
          <w:sz w:val="24"/>
          <w:szCs w:val="24"/>
          <w:lang w:eastAsia="en-IN"/>
        </w:rPr>
        <w:t xml:space="preserve"> </w:t>
      </w:r>
      <w:r w:rsidRPr="002A26DE">
        <w:rPr>
          <w:rFonts w:ascii="Times New Roman" w:eastAsia="Times New Roman" w:hAnsi="Times New Roman" w:cs="Times New Roman"/>
          <w:b/>
          <w:bCs/>
          <w:sz w:val="24"/>
          <w:szCs w:val="24"/>
          <w:lang w:eastAsia="en-IN"/>
        </w:rPr>
        <w:t xml:space="preserve">DOI: </w:t>
      </w:r>
      <w:hyperlink r:id="rId10" w:history="1">
        <w:r w:rsidRPr="002A26DE">
          <w:rPr>
            <w:rFonts w:ascii="Times New Roman" w:eastAsia="Times New Roman" w:hAnsi="Times New Roman" w:cs="Times New Roman"/>
            <w:sz w:val="24"/>
            <w:szCs w:val="24"/>
            <w:u w:val="single"/>
            <w:lang w:eastAsia="en-IN"/>
          </w:rPr>
          <w:t>https://www.doi.org/10.33545/2618060X.2025.v8.i5Sc.2948</w:t>
        </w:r>
      </w:hyperlink>
    </w:p>
    <w:p w:rsidR="00500C51" w:rsidRPr="002A26DE" w:rsidRDefault="00500C51" w:rsidP="006C408F">
      <w:pPr>
        <w:autoSpaceDE w:val="0"/>
        <w:autoSpaceDN w:val="0"/>
        <w:adjustRightInd w:val="0"/>
        <w:spacing w:after="0" w:line="240" w:lineRule="auto"/>
        <w:rPr>
          <w:rFonts w:ascii="Times New Roman" w:eastAsia="Times New Roman" w:hAnsi="Times New Roman" w:cs="Times New Roman"/>
          <w:sz w:val="20"/>
          <w:szCs w:val="24"/>
          <w:lang w:eastAsia="en-IN"/>
        </w:rPr>
      </w:pPr>
    </w:p>
    <w:p w:rsidR="00500C51" w:rsidRDefault="00500C51" w:rsidP="00500C51">
      <w:pPr>
        <w:shd w:val="clear" w:color="auto" w:fill="FFFFFF"/>
        <w:spacing w:after="150" w:line="240" w:lineRule="auto"/>
        <w:rPr>
          <w:rStyle w:val="Hyperlink"/>
          <w:rFonts w:ascii="Times New Roman" w:eastAsia="Times New Roman" w:hAnsi="Times New Roman" w:cs="Times New Roman"/>
          <w:color w:val="auto"/>
          <w:sz w:val="24"/>
          <w:szCs w:val="24"/>
          <w:lang w:eastAsia="en-IN"/>
        </w:rPr>
      </w:pPr>
      <w:r w:rsidRPr="002A26DE">
        <w:rPr>
          <w:rFonts w:ascii="Times New Roman" w:eastAsia="Times New Roman" w:hAnsi="Times New Roman" w:cs="Times New Roman"/>
          <w:b/>
          <w:bCs/>
          <w:sz w:val="24"/>
          <w:szCs w:val="24"/>
          <w:lang w:eastAsia="en-IN"/>
        </w:rPr>
        <w:t>Zeng, D.; Chen, B.; Wang, J.; Innes, J.L.; Lu, J.; Guo, F.; Yan, Y.; Wang, G</w:t>
      </w:r>
      <w:r w:rsidRPr="002A26DE">
        <w:rPr>
          <w:rFonts w:ascii="Times New Roman" w:eastAsia="Times New Roman" w:hAnsi="Times New Roman" w:cs="Times New Roman"/>
          <w:sz w:val="24"/>
          <w:szCs w:val="24"/>
          <w:lang w:eastAsia="en-IN"/>
        </w:rPr>
        <w:t xml:space="preserve">. </w:t>
      </w:r>
      <w:r w:rsidR="00190D35" w:rsidRPr="002A26DE">
        <w:rPr>
          <w:rFonts w:ascii="Times New Roman" w:eastAsia="Times New Roman" w:hAnsi="Times New Roman" w:cs="Times New Roman"/>
          <w:b/>
          <w:bCs/>
          <w:sz w:val="24"/>
          <w:szCs w:val="24"/>
          <w:lang w:eastAsia="en-IN"/>
        </w:rPr>
        <w:t>(2024).</w:t>
      </w:r>
      <w:r w:rsidR="00190D35" w:rsidRPr="002A26DE">
        <w:rPr>
          <w:rFonts w:ascii="Times New Roman" w:eastAsia="Times New Roman" w:hAnsi="Times New Roman" w:cs="Times New Roman"/>
          <w:sz w:val="24"/>
          <w:szCs w:val="24"/>
          <w:lang w:eastAsia="en-IN"/>
        </w:rPr>
        <w:t xml:space="preserve"> </w:t>
      </w:r>
      <w:r w:rsidRPr="002A26DE">
        <w:rPr>
          <w:rFonts w:ascii="Times New Roman" w:eastAsia="Times New Roman" w:hAnsi="Times New Roman" w:cs="Times New Roman"/>
          <w:sz w:val="24"/>
          <w:szCs w:val="24"/>
          <w:lang w:eastAsia="en-IN"/>
        </w:rPr>
        <w:t>Determinants of Public Participation in Watershed Management in Southeast China: An Application of the Institutional Analysis and Development Framework. </w:t>
      </w:r>
      <w:proofErr w:type="gramStart"/>
      <w:r w:rsidRPr="002A26DE">
        <w:rPr>
          <w:rFonts w:ascii="Times New Roman" w:eastAsia="Times New Roman" w:hAnsi="Times New Roman" w:cs="Times New Roman"/>
          <w:i/>
          <w:iCs/>
          <w:sz w:val="24"/>
          <w:szCs w:val="24"/>
          <w:lang w:eastAsia="en-IN"/>
        </w:rPr>
        <w:t>Land</w:t>
      </w:r>
      <w:r w:rsidRPr="002A26DE">
        <w:rPr>
          <w:rFonts w:ascii="Times New Roman" w:eastAsia="Times New Roman" w:hAnsi="Times New Roman" w:cs="Times New Roman"/>
          <w:sz w:val="24"/>
          <w:szCs w:val="24"/>
          <w:lang w:eastAsia="en-IN"/>
        </w:rPr>
        <w:t xml:space="preserve">  </w:t>
      </w:r>
      <w:r w:rsidRPr="002A26DE">
        <w:rPr>
          <w:rFonts w:ascii="Times New Roman" w:eastAsia="Times New Roman" w:hAnsi="Times New Roman" w:cs="Times New Roman"/>
          <w:b/>
          <w:bCs/>
          <w:sz w:val="24"/>
          <w:szCs w:val="24"/>
          <w:lang w:eastAsia="en-IN"/>
        </w:rPr>
        <w:t>2024</w:t>
      </w:r>
      <w:proofErr w:type="gramEnd"/>
      <w:r w:rsidRPr="002A26DE">
        <w:rPr>
          <w:rFonts w:ascii="Times New Roman" w:eastAsia="Times New Roman" w:hAnsi="Times New Roman" w:cs="Times New Roman"/>
          <w:sz w:val="24"/>
          <w:szCs w:val="24"/>
          <w:lang w:eastAsia="en-IN"/>
        </w:rPr>
        <w:t>, </w:t>
      </w:r>
      <w:r w:rsidRPr="002A26DE">
        <w:rPr>
          <w:rFonts w:ascii="Times New Roman" w:eastAsia="Times New Roman" w:hAnsi="Times New Roman" w:cs="Times New Roman"/>
          <w:i/>
          <w:iCs/>
          <w:sz w:val="24"/>
          <w:szCs w:val="24"/>
          <w:lang w:eastAsia="en-IN"/>
        </w:rPr>
        <w:t>13</w:t>
      </w:r>
      <w:r w:rsidRPr="002A26DE">
        <w:rPr>
          <w:rFonts w:ascii="Times New Roman" w:eastAsia="Times New Roman" w:hAnsi="Times New Roman" w:cs="Times New Roman"/>
          <w:sz w:val="24"/>
          <w:szCs w:val="24"/>
          <w:lang w:eastAsia="en-IN"/>
        </w:rPr>
        <w:t xml:space="preserve">, 1824. </w:t>
      </w:r>
      <w:hyperlink r:id="rId11" w:history="1">
        <w:r w:rsidRPr="002A26DE">
          <w:rPr>
            <w:rStyle w:val="Hyperlink"/>
            <w:rFonts w:ascii="Times New Roman" w:eastAsia="Times New Roman" w:hAnsi="Times New Roman" w:cs="Times New Roman"/>
            <w:color w:val="auto"/>
            <w:sz w:val="24"/>
            <w:szCs w:val="24"/>
            <w:lang w:eastAsia="en-IN"/>
          </w:rPr>
          <w:t>https://doi.org/10.3390/land13111824</w:t>
        </w:r>
      </w:hyperlink>
    </w:p>
    <w:p w:rsidR="00857227" w:rsidRPr="002A26DE" w:rsidRDefault="00857227" w:rsidP="00500C51">
      <w:pPr>
        <w:shd w:val="clear" w:color="auto" w:fill="FFFFFF"/>
        <w:spacing w:after="150" w:line="240" w:lineRule="auto"/>
        <w:rPr>
          <w:rFonts w:ascii="Times New Roman" w:eastAsia="Times New Roman" w:hAnsi="Times New Roman" w:cs="Times New Roman"/>
          <w:sz w:val="24"/>
          <w:szCs w:val="24"/>
          <w:lang w:eastAsia="en-IN"/>
        </w:rPr>
      </w:pPr>
      <w:proofErr w:type="spellStart"/>
      <w:r w:rsidRPr="00857227">
        <w:rPr>
          <w:rFonts w:ascii="Times New Roman" w:eastAsia="Times New Roman" w:hAnsi="Times New Roman" w:cs="Times New Roman"/>
          <w:sz w:val="24"/>
          <w:szCs w:val="24"/>
          <w:lang w:eastAsia="en-IN"/>
        </w:rPr>
        <w:lastRenderedPageBreak/>
        <w:t>Sahu</w:t>
      </w:r>
      <w:proofErr w:type="spellEnd"/>
      <w:r w:rsidRPr="00857227">
        <w:rPr>
          <w:rFonts w:ascii="Times New Roman" w:eastAsia="Times New Roman" w:hAnsi="Times New Roman" w:cs="Times New Roman"/>
          <w:sz w:val="24"/>
          <w:szCs w:val="24"/>
          <w:lang w:eastAsia="en-IN"/>
        </w:rPr>
        <w:t xml:space="preserve">, S., Mallik, P. S., </w:t>
      </w:r>
      <w:proofErr w:type="spellStart"/>
      <w:r w:rsidRPr="00857227">
        <w:rPr>
          <w:rFonts w:ascii="Times New Roman" w:eastAsia="Times New Roman" w:hAnsi="Times New Roman" w:cs="Times New Roman"/>
          <w:sz w:val="24"/>
          <w:szCs w:val="24"/>
          <w:lang w:eastAsia="en-IN"/>
        </w:rPr>
        <w:t>Bankira</w:t>
      </w:r>
      <w:proofErr w:type="spellEnd"/>
      <w:r w:rsidRPr="00857227">
        <w:rPr>
          <w:rFonts w:ascii="Times New Roman" w:eastAsia="Times New Roman" w:hAnsi="Times New Roman" w:cs="Times New Roman"/>
          <w:sz w:val="24"/>
          <w:szCs w:val="24"/>
          <w:lang w:eastAsia="en-IN"/>
        </w:rPr>
        <w:t xml:space="preserve">, S., </w:t>
      </w:r>
      <w:proofErr w:type="spellStart"/>
      <w:r w:rsidRPr="00857227">
        <w:rPr>
          <w:rFonts w:ascii="Times New Roman" w:eastAsia="Times New Roman" w:hAnsi="Times New Roman" w:cs="Times New Roman"/>
          <w:sz w:val="24"/>
          <w:szCs w:val="24"/>
          <w:lang w:eastAsia="en-IN"/>
        </w:rPr>
        <w:t>Sahu</w:t>
      </w:r>
      <w:proofErr w:type="spellEnd"/>
      <w:r w:rsidRPr="00857227">
        <w:rPr>
          <w:rFonts w:ascii="Times New Roman" w:eastAsia="Times New Roman" w:hAnsi="Times New Roman" w:cs="Times New Roman"/>
          <w:sz w:val="24"/>
          <w:szCs w:val="24"/>
          <w:lang w:eastAsia="en-IN"/>
        </w:rPr>
        <w:t>, D., &amp; Sahoo, S. (2025). TRIBAL EDUCATION IN INDIA: SOCIO-CULTURAL, INSTITUTIONAL AND ECONOMICAL CONSTRAINTS. European Journal of Education Studies, 12(8).</w:t>
      </w:r>
    </w:p>
    <w:p w:rsidR="00500C51" w:rsidRPr="002A26DE" w:rsidRDefault="00857227" w:rsidP="00500C51">
      <w:pPr>
        <w:shd w:val="clear" w:color="auto" w:fill="FFFFFF"/>
        <w:spacing w:after="150" w:line="240" w:lineRule="auto"/>
        <w:rPr>
          <w:rFonts w:ascii="Times New Roman" w:eastAsia="Times New Roman" w:hAnsi="Times New Roman" w:cs="Times New Roman"/>
          <w:sz w:val="24"/>
          <w:szCs w:val="24"/>
          <w:lang w:eastAsia="en-IN"/>
        </w:rPr>
      </w:pPr>
      <w:r w:rsidRPr="00857227">
        <w:rPr>
          <w:rFonts w:ascii="Times New Roman" w:eastAsia="Times New Roman" w:hAnsi="Times New Roman" w:cs="Times New Roman"/>
          <w:sz w:val="24"/>
          <w:szCs w:val="24"/>
          <w:lang w:eastAsia="en-IN"/>
        </w:rPr>
        <w:t xml:space="preserve">Kumar, V., &amp; Thakur, K. (2024). Challenges in accessing agricultural credit among tribal and non-tribal communities in </w:t>
      </w:r>
      <w:proofErr w:type="spellStart"/>
      <w:r w:rsidRPr="00857227">
        <w:rPr>
          <w:rFonts w:ascii="Times New Roman" w:eastAsia="Times New Roman" w:hAnsi="Times New Roman" w:cs="Times New Roman"/>
          <w:sz w:val="24"/>
          <w:szCs w:val="24"/>
          <w:lang w:eastAsia="en-IN"/>
        </w:rPr>
        <w:t>Chamba</w:t>
      </w:r>
      <w:proofErr w:type="spellEnd"/>
      <w:r w:rsidRPr="00857227">
        <w:rPr>
          <w:rFonts w:ascii="Times New Roman" w:eastAsia="Times New Roman" w:hAnsi="Times New Roman" w:cs="Times New Roman"/>
          <w:sz w:val="24"/>
          <w:szCs w:val="24"/>
          <w:lang w:eastAsia="en-IN"/>
        </w:rPr>
        <w:t xml:space="preserve">, Himachal Pradesh. Himachal Pradesh University Journal, </w:t>
      </w:r>
      <w:r>
        <w:rPr>
          <w:rFonts w:ascii="Times New Roman" w:eastAsia="Times New Roman" w:hAnsi="Times New Roman" w:cs="Times New Roman"/>
          <w:sz w:val="24"/>
          <w:szCs w:val="24"/>
          <w:lang w:eastAsia="en-IN"/>
        </w:rPr>
        <w:t>12(2)</w:t>
      </w:r>
      <w:r w:rsidRPr="00857227">
        <w:rPr>
          <w:rFonts w:ascii="Times New Roman" w:eastAsia="Times New Roman" w:hAnsi="Times New Roman" w:cs="Times New Roman"/>
          <w:sz w:val="24"/>
          <w:szCs w:val="24"/>
          <w:lang w:eastAsia="en-IN"/>
        </w:rPr>
        <w:t>136.</w:t>
      </w:r>
    </w:p>
    <w:p w:rsidR="006C408F" w:rsidRPr="002A26DE" w:rsidRDefault="006C408F" w:rsidP="006C408F">
      <w:pPr>
        <w:autoSpaceDE w:val="0"/>
        <w:autoSpaceDN w:val="0"/>
        <w:adjustRightInd w:val="0"/>
        <w:spacing w:after="0" w:line="240" w:lineRule="auto"/>
        <w:rPr>
          <w:rFonts w:ascii="Times New Roman" w:eastAsia="Times New Roman" w:hAnsi="Times New Roman" w:cs="Times New Roman"/>
          <w:sz w:val="24"/>
          <w:szCs w:val="24"/>
          <w:lang w:eastAsia="en-IN"/>
        </w:rPr>
      </w:pPr>
    </w:p>
    <w:p w:rsidR="00112477" w:rsidRPr="002A26DE" w:rsidRDefault="00112477" w:rsidP="001C415D"/>
    <w:sectPr w:rsidR="00112477" w:rsidRPr="002A2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D7B4A"/>
    <w:multiLevelType w:val="multilevel"/>
    <w:tmpl w:val="37C4D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8D6537"/>
    <w:multiLevelType w:val="multilevel"/>
    <w:tmpl w:val="87568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F8A"/>
    <w:rsid w:val="00112477"/>
    <w:rsid w:val="00190D35"/>
    <w:rsid w:val="001C415D"/>
    <w:rsid w:val="00261AAC"/>
    <w:rsid w:val="002A26DE"/>
    <w:rsid w:val="003A7223"/>
    <w:rsid w:val="004D60D5"/>
    <w:rsid w:val="00500C51"/>
    <w:rsid w:val="006C408F"/>
    <w:rsid w:val="007623F9"/>
    <w:rsid w:val="0077400C"/>
    <w:rsid w:val="007D7FAE"/>
    <w:rsid w:val="00857227"/>
    <w:rsid w:val="00C332E2"/>
    <w:rsid w:val="00DE1087"/>
    <w:rsid w:val="00E93F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275C"/>
  <w15:docId w15:val="{98D18794-95DA-448B-ADDA-B8F84A87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C40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C408F"/>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408F"/>
    <w:rPr>
      <w:rFonts w:ascii="Times New Roman" w:eastAsia="Times New Roman" w:hAnsi="Times New Roman" w:cs="Times New Roman"/>
      <w:b/>
      <w:bCs/>
      <w:kern w:val="36"/>
      <w:sz w:val="48"/>
      <w:szCs w:val="48"/>
      <w:lang w:eastAsia="en-IN"/>
    </w:rPr>
  </w:style>
  <w:style w:type="character" w:customStyle="1" w:styleId="Title1">
    <w:name w:val="Title1"/>
    <w:basedOn w:val="DefaultParagraphFont"/>
    <w:rsid w:val="006C408F"/>
  </w:style>
  <w:style w:type="character" w:styleId="Hyperlink">
    <w:name w:val="Hyperlink"/>
    <w:basedOn w:val="DefaultParagraphFont"/>
    <w:uiPriority w:val="99"/>
    <w:unhideWhenUsed/>
    <w:rsid w:val="0077400C"/>
    <w:rPr>
      <w:color w:val="0000FF" w:themeColor="hyperlink"/>
      <w:u w:val="single"/>
    </w:rPr>
  </w:style>
  <w:style w:type="character" w:styleId="Emphasis">
    <w:name w:val="Emphasis"/>
    <w:basedOn w:val="DefaultParagraphFont"/>
    <w:uiPriority w:val="20"/>
    <w:qFormat/>
    <w:rsid w:val="00500C51"/>
    <w:rPr>
      <w:i/>
      <w:iCs/>
    </w:rPr>
  </w:style>
  <w:style w:type="paragraph" w:styleId="NormalWeb">
    <w:name w:val="Normal (Web)"/>
    <w:basedOn w:val="Normal"/>
    <w:uiPriority w:val="99"/>
    <w:semiHidden/>
    <w:unhideWhenUsed/>
    <w:rsid w:val="00500C5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144">
      <w:bodyDiv w:val="1"/>
      <w:marLeft w:val="0"/>
      <w:marRight w:val="0"/>
      <w:marTop w:val="0"/>
      <w:marBottom w:val="0"/>
      <w:divBdr>
        <w:top w:val="none" w:sz="0" w:space="0" w:color="auto"/>
        <w:left w:val="none" w:sz="0" w:space="0" w:color="auto"/>
        <w:bottom w:val="none" w:sz="0" w:space="0" w:color="auto"/>
        <w:right w:val="none" w:sz="0" w:space="0" w:color="auto"/>
      </w:divBdr>
    </w:div>
    <w:div w:id="1917281225">
      <w:bodyDiv w:val="1"/>
      <w:marLeft w:val="0"/>
      <w:marRight w:val="0"/>
      <w:marTop w:val="0"/>
      <w:marBottom w:val="0"/>
      <w:divBdr>
        <w:top w:val="none" w:sz="0" w:space="0" w:color="auto"/>
        <w:left w:val="none" w:sz="0" w:space="0" w:color="auto"/>
        <w:bottom w:val="none" w:sz="0" w:space="0" w:color="auto"/>
        <w:right w:val="none" w:sz="0" w:space="0" w:color="auto"/>
      </w:divBdr>
      <w:divsChild>
        <w:div w:id="578447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30634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80/15538362.2022.211918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3390/land13111824" TargetMode="External"/><Relationship Id="rId5" Type="http://schemas.openxmlformats.org/officeDocument/2006/relationships/image" Target="media/image1.png"/><Relationship Id="rId10" Type="http://schemas.openxmlformats.org/officeDocument/2006/relationships/hyperlink" Target="https://www.doi.org/10.33545/2618060X.2025.v8.i5Sc.2948" TargetMode="External"/><Relationship Id="rId4" Type="http://schemas.openxmlformats.org/officeDocument/2006/relationships/webSettings" Target="webSettings.xml"/><Relationship Id="rId9" Type="http://schemas.openxmlformats.org/officeDocument/2006/relationships/hyperlink" Target="https://doi.org/10.9734/jsrr/2025/v31i63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3383</Words>
  <Characters>19286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SDI 1183</cp:lastModifiedBy>
  <cp:revision>6</cp:revision>
  <dcterms:created xsi:type="dcterms:W3CDTF">2025-09-20T06:07:00Z</dcterms:created>
  <dcterms:modified xsi:type="dcterms:W3CDTF">2025-09-22T06:02:00Z</dcterms:modified>
</cp:coreProperties>
</file>