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B99A" w14:textId="77777777" w:rsidR="00754C9A" w:rsidRPr="00EA1A6D" w:rsidRDefault="00754C9A" w:rsidP="00441B6F">
      <w:pPr>
        <w:pStyle w:val="Title"/>
        <w:spacing w:after="0"/>
        <w:jc w:val="both"/>
        <w:rPr>
          <w:rFonts w:ascii="Arial" w:hAnsi="Arial" w:cs="Arial"/>
          <w:sz w:val="18"/>
          <w:szCs w:val="18"/>
        </w:rPr>
      </w:pPr>
      <w:bookmarkStart w:id="0" w:name="_GoBack"/>
    </w:p>
    <w:p w14:paraId="2A489003" w14:textId="77777777" w:rsidR="00656577" w:rsidRPr="00EA1A6D" w:rsidRDefault="00656577" w:rsidP="00656577">
      <w:pPr>
        <w:pStyle w:val="Author"/>
        <w:rPr>
          <w:rFonts w:ascii="Arial" w:hAnsi="Arial" w:cs="Arial"/>
          <w:bCs/>
          <w:i/>
          <w:iCs/>
          <w:kern w:val="28"/>
          <w:sz w:val="18"/>
          <w:szCs w:val="18"/>
          <w:u w:val="single"/>
        </w:rPr>
      </w:pPr>
      <w:r w:rsidRPr="00EA1A6D">
        <w:rPr>
          <w:rFonts w:ascii="Arial" w:hAnsi="Arial" w:cs="Arial"/>
          <w:bCs/>
          <w:i/>
          <w:iCs/>
          <w:kern w:val="28"/>
          <w:sz w:val="18"/>
          <w:szCs w:val="18"/>
          <w:u w:val="single"/>
        </w:rPr>
        <w:t>Original Research Article</w:t>
      </w:r>
    </w:p>
    <w:p w14:paraId="28CBE419" w14:textId="7C86DE76" w:rsidR="00A258C3" w:rsidRPr="00EA1A6D" w:rsidRDefault="00D23D77" w:rsidP="00441B6F">
      <w:pPr>
        <w:pStyle w:val="Author"/>
        <w:spacing w:line="240" w:lineRule="auto"/>
        <w:jc w:val="both"/>
        <w:rPr>
          <w:rFonts w:ascii="Arial" w:hAnsi="Arial" w:cs="Arial"/>
          <w:sz w:val="36"/>
        </w:rPr>
      </w:pPr>
      <w:r w:rsidRPr="00EA1A6D">
        <w:rPr>
          <w:rFonts w:ascii="Arial" w:hAnsi="Arial" w:cs="Arial"/>
          <w:sz w:val="36"/>
        </w:rPr>
        <w:t xml:space="preserve">Hematology </w:t>
      </w:r>
      <w:r w:rsidR="00CD5DA5" w:rsidRPr="00EA1A6D">
        <w:rPr>
          <w:rFonts w:ascii="Arial" w:hAnsi="Arial" w:cs="Arial"/>
          <w:sz w:val="36"/>
        </w:rPr>
        <w:t>Descriptions’</w:t>
      </w:r>
      <w:r w:rsidRPr="00EA1A6D">
        <w:rPr>
          <w:rFonts w:ascii="Arial" w:hAnsi="Arial" w:cs="Arial"/>
          <w:sz w:val="36"/>
        </w:rPr>
        <w:t xml:space="preserve"> Significance for Toddlers who are stunting and those who are not in </w:t>
      </w:r>
      <w:proofErr w:type="spellStart"/>
      <w:r w:rsidRPr="00EA1A6D">
        <w:rPr>
          <w:rFonts w:ascii="Arial" w:hAnsi="Arial" w:cs="Arial"/>
          <w:sz w:val="36"/>
        </w:rPr>
        <w:t>Babakan</w:t>
      </w:r>
      <w:proofErr w:type="spellEnd"/>
      <w:r w:rsidRPr="00EA1A6D">
        <w:rPr>
          <w:rFonts w:ascii="Arial" w:hAnsi="Arial" w:cs="Arial"/>
          <w:sz w:val="36"/>
        </w:rPr>
        <w:t xml:space="preserve"> </w:t>
      </w:r>
      <w:proofErr w:type="spellStart"/>
      <w:r w:rsidRPr="00EA1A6D">
        <w:rPr>
          <w:rFonts w:ascii="Arial" w:hAnsi="Arial" w:cs="Arial"/>
          <w:sz w:val="36"/>
        </w:rPr>
        <w:t>Mandang</w:t>
      </w:r>
      <w:proofErr w:type="spellEnd"/>
      <w:r w:rsidRPr="00EA1A6D">
        <w:rPr>
          <w:rFonts w:ascii="Arial" w:hAnsi="Arial" w:cs="Arial"/>
          <w:sz w:val="36"/>
        </w:rPr>
        <w:t xml:space="preserve">, </w:t>
      </w:r>
      <w:proofErr w:type="spellStart"/>
      <w:r w:rsidRPr="00EA1A6D">
        <w:rPr>
          <w:rFonts w:ascii="Arial" w:hAnsi="Arial" w:cs="Arial"/>
          <w:sz w:val="36"/>
        </w:rPr>
        <w:t>Gunung</w:t>
      </w:r>
      <w:proofErr w:type="spellEnd"/>
      <w:r w:rsidRPr="00EA1A6D">
        <w:rPr>
          <w:rFonts w:ascii="Arial" w:hAnsi="Arial" w:cs="Arial"/>
          <w:sz w:val="36"/>
        </w:rPr>
        <w:t xml:space="preserve"> </w:t>
      </w:r>
      <w:proofErr w:type="spellStart"/>
      <w:r w:rsidRPr="00EA1A6D">
        <w:rPr>
          <w:rFonts w:ascii="Arial" w:hAnsi="Arial" w:cs="Arial"/>
          <w:sz w:val="36"/>
        </w:rPr>
        <w:t>Pancar</w:t>
      </w:r>
      <w:proofErr w:type="spellEnd"/>
      <w:r w:rsidRPr="00EA1A6D">
        <w:rPr>
          <w:rFonts w:ascii="Arial" w:hAnsi="Arial" w:cs="Arial"/>
          <w:sz w:val="36"/>
        </w:rPr>
        <w:t>, Sentul</w:t>
      </w:r>
    </w:p>
    <w:p w14:paraId="611FC4AD" w14:textId="77777777" w:rsidR="002C57D2" w:rsidRPr="00EA1A6D" w:rsidRDefault="002C57D2" w:rsidP="00441B6F">
      <w:pPr>
        <w:pStyle w:val="Affiliation"/>
        <w:spacing w:after="0" w:line="240" w:lineRule="auto"/>
        <w:jc w:val="both"/>
        <w:rPr>
          <w:rFonts w:ascii="Arial" w:hAnsi="Arial" w:cs="Arial"/>
        </w:rPr>
      </w:pPr>
    </w:p>
    <w:p w14:paraId="1AC911FE" w14:textId="0818C1F1" w:rsidR="00B01FCD" w:rsidRPr="00EA1A6D" w:rsidRDefault="003B22B3" w:rsidP="00441B6F">
      <w:pPr>
        <w:pStyle w:val="Copyright"/>
        <w:spacing w:after="0" w:line="240" w:lineRule="auto"/>
        <w:jc w:val="both"/>
        <w:rPr>
          <w:rFonts w:ascii="Arial" w:hAnsi="Arial" w:cs="Arial"/>
        </w:rPr>
        <w:sectPr w:rsidR="00B01FCD" w:rsidRPr="00EA1A6D" w:rsidSect="003658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A1A6D">
        <w:rPr>
          <w:rFonts w:ascii="Arial" w:hAnsi="Arial" w:cs="Arial"/>
          <w:noProof/>
        </w:rPr>
        <mc:AlternateContent>
          <mc:Choice Requires="wps">
            <w:drawing>
              <wp:inline distT="0" distB="0" distL="0" distR="0" wp14:anchorId="1FBCC316" wp14:editId="12274899">
                <wp:extent cx="5303520" cy="635"/>
                <wp:effectExtent l="13335" t="14605" r="17145" b="13970"/>
                <wp:docPr id="3187826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7497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A1A6D">
        <w:rPr>
          <w:rFonts w:ascii="Arial" w:hAnsi="Arial" w:cs="Arial"/>
        </w:rPr>
        <w:t>.</w:t>
      </w:r>
    </w:p>
    <w:p w14:paraId="2EC3FB64" w14:textId="690A9D09" w:rsidR="00B01FCD" w:rsidRPr="00EA1A6D" w:rsidRDefault="00B01FCD" w:rsidP="00441B6F">
      <w:pPr>
        <w:pStyle w:val="AbstHead"/>
        <w:spacing w:after="0"/>
        <w:jc w:val="both"/>
        <w:rPr>
          <w:rFonts w:ascii="Arial" w:hAnsi="Arial" w:cs="Arial"/>
        </w:rPr>
      </w:pPr>
      <w:r w:rsidRPr="00EA1A6D">
        <w:rPr>
          <w:rFonts w:ascii="Arial" w:hAnsi="Arial" w:cs="Arial"/>
        </w:rPr>
        <w:t>ABSTRACT</w:t>
      </w:r>
      <w:r w:rsidR="0066510A" w:rsidRPr="00EA1A6D">
        <w:rPr>
          <w:rFonts w:ascii="Arial" w:hAnsi="Arial" w:cs="Arial"/>
        </w:rPr>
        <w:t xml:space="preserve"> </w:t>
      </w:r>
    </w:p>
    <w:p w14:paraId="2F8FF50F" w14:textId="77777777" w:rsidR="00790ADA" w:rsidRPr="00EA1A6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A1A6D" w:rsidRPr="00EA1A6D" w14:paraId="3A5ADDC1" w14:textId="77777777" w:rsidTr="001E44FE">
        <w:tc>
          <w:tcPr>
            <w:tcW w:w="9576" w:type="dxa"/>
            <w:shd w:val="clear" w:color="auto" w:fill="F2F2F2"/>
          </w:tcPr>
          <w:p w14:paraId="6A00183C" w14:textId="7D71AC28" w:rsidR="00BA1B01" w:rsidRPr="00EA1A6D" w:rsidRDefault="00183292" w:rsidP="00441B6F">
            <w:pPr>
              <w:pStyle w:val="Body"/>
              <w:spacing w:after="0"/>
              <w:rPr>
                <w:rFonts w:ascii="Arial" w:eastAsia="Calibri" w:hAnsi="Arial" w:cs="Arial"/>
                <w:szCs w:val="22"/>
              </w:rPr>
            </w:pPr>
            <w:r w:rsidRPr="00EA1A6D">
              <w:rPr>
                <w:rFonts w:ascii="Arial" w:eastAsia="Calibri" w:hAnsi="Arial" w:cs="Arial"/>
                <w:b/>
                <w:szCs w:val="22"/>
              </w:rPr>
              <w:t>Introduction</w:t>
            </w:r>
            <w:r w:rsidR="00BA1B01" w:rsidRPr="00EA1A6D">
              <w:rPr>
                <w:rFonts w:ascii="Arial" w:eastAsia="Calibri" w:hAnsi="Arial" w:cs="Arial"/>
                <w:b/>
                <w:szCs w:val="22"/>
              </w:rPr>
              <w:t xml:space="preserve">: </w:t>
            </w:r>
            <w:r w:rsidR="00944359" w:rsidRPr="00EA1A6D">
              <w:rPr>
                <w:rFonts w:ascii="Arial" w:eastAsia="Calibri" w:hAnsi="Arial" w:cs="Arial"/>
                <w:bCs/>
                <w:szCs w:val="22"/>
              </w:rPr>
              <w:t xml:space="preserve">Inadequate intake of macronutrients and micronutrients </w:t>
            </w:r>
            <w:r w:rsidR="00B60D26" w:rsidRPr="00EA1A6D">
              <w:rPr>
                <w:rFonts w:ascii="Arial" w:eastAsia="Calibri" w:hAnsi="Arial" w:cs="Arial"/>
                <w:bCs/>
                <w:szCs w:val="22"/>
              </w:rPr>
              <w:t>is associated</w:t>
            </w:r>
            <w:r w:rsidR="00944359" w:rsidRPr="00EA1A6D">
              <w:rPr>
                <w:rFonts w:ascii="Arial" w:eastAsia="Calibri" w:hAnsi="Arial" w:cs="Arial"/>
                <w:bCs/>
                <w:szCs w:val="22"/>
              </w:rPr>
              <w:t xml:space="preserve"> </w:t>
            </w:r>
            <w:r w:rsidR="00B60D26" w:rsidRPr="00EA1A6D">
              <w:rPr>
                <w:rFonts w:ascii="Arial" w:eastAsia="Calibri" w:hAnsi="Arial" w:cs="Arial"/>
                <w:bCs/>
                <w:szCs w:val="22"/>
              </w:rPr>
              <w:t>with</w:t>
            </w:r>
            <w:r w:rsidR="00944359" w:rsidRPr="00EA1A6D">
              <w:rPr>
                <w:rFonts w:ascii="Arial" w:eastAsia="Calibri" w:hAnsi="Arial" w:cs="Arial"/>
                <w:bCs/>
                <w:szCs w:val="22"/>
              </w:rPr>
              <w:t xml:space="preserve"> the incidence of stunting. Apart from affecting linear growth, inadequate nutritional intake also affects erythropoiesis, which can cause anemia. Lack of micronutrients such as zinc can also affect a child's immunity, hence increasing the risk of infection. This research aims to understand the hematological features of stunting and non-stunting in </w:t>
            </w:r>
            <w:proofErr w:type="spellStart"/>
            <w:r w:rsidR="00944359" w:rsidRPr="00EA1A6D">
              <w:rPr>
                <w:rFonts w:ascii="Arial" w:eastAsia="Calibri" w:hAnsi="Arial" w:cs="Arial"/>
                <w:bCs/>
                <w:szCs w:val="22"/>
              </w:rPr>
              <w:t>Babakan</w:t>
            </w:r>
            <w:proofErr w:type="spellEnd"/>
            <w:r w:rsidR="00944359" w:rsidRPr="00EA1A6D">
              <w:rPr>
                <w:rFonts w:ascii="Arial" w:eastAsia="Calibri" w:hAnsi="Arial" w:cs="Arial"/>
                <w:bCs/>
                <w:szCs w:val="22"/>
              </w:rPr>
              <w:t xml:space="preserve"> </w:t>
            </w:r>
            <w:proofErr w:type="spellStart"/>
            <w:r w:rsidR="00944359" w:rsidRPr="00EA1A6D">
              <w:rPr>
                <w:rFonts w:ascii="Arial" w:eastAsia="Calibri" w:hAnsi="Arial" w:cs="Arial"/>
                <w:bCs/>
                <w:szCs w:val="22"/>
              </w:rPr>
              <w:t>Mandang</w:t>
            </w:r>
            <w:proofErr w:type="spellEnd"/>
            <w:r w:rsidR="00944359" w:rsidRPr="00EA1A6D">
              <w:rPr>
                <w:rFonts w:ascii="Arial" w:eastAsia="Calibri" w:hAnsi="Arial" w:cs="Arial"/>
                <w:bCs/>
                <w:szCs w:val="22"/>
              </w:rPr>
              <w:t xml:space="preserve">, </w:t>
            </w:r>
            <w:proofErr w:type="spellStart"/>
            <w:r w:rsidR="00944359" w:rsidRPr="00EA1A6D">
              <w:rPr>
                <w:rFonts w:ascii="Arial" w:eastAsia="Calibri" w:hAnsi="Arial" w:cs="Arial"/>
                <w:bCs/>
                <w:szCs w:val="22"/>
              </w:rPr>
              <w:t>Gunung</w:t>
            </w:r>
            <w:proofErr w:type="spellEnd"/>
            <w:r w:rsidR="00944359" w:rsidRPr="00EA1A6D">
              <w:rPr>
                <w:rFonts w:ascii="Arial" w:eastAsia="Calibri" w:hAnsi="Arial" w:cs="Arial"/>
                <w:bCs/>
                <w:szCs w:val="22"/>
              </w:rPr>
              <w:t xml:space="preserve"> </w:t>
            </w:r>
            <w:proofErr w:type="spellStart"/>
            <w:r w:rsidR="00944359" w:rsidRPr="00EA1A6D">
              <w:rPr>
                <w:rFonts w:ascii="Arial" w:eastAsia="Calibri" w:hAnsi="Arial" w:cs="Arial"/>
                <w:bCs/>
                <w:szCs w:val="22"/>
              </w:rPr>
              <w:t>Pancar</w:t>
            </w:r>
            <w:proofErr w:type="spellEnd"/>
            <w:r w:rsidR="006F4FD5" w:rsidRPr="00EA1A6D">
              <w:rPr>
                <w:rFonts w:ascii="Arial" w:eastAsia="Calibri" w:hAnsi="Arial" w:cs="Arial"/>
                <w:bCs/>
                <w:szCs w:val="22"/>
              </w:rPr>
              <w:t>,</w:t>
            </w:r>
            <w:r w:rsidR="00944359" w:rsidRPr="00EA1A6D">
              <w:rPr>
                <w:rFonts w:ascii="Arial" w:eastAsia="Calibri" w:hAnsi="Arial" w:cs="Arial"/>
                <w:bCs/>
                <w:szCs w:val="22"/>
              </w:rPr>
              <w:t xml:space="preserve"> Sentul</w:t>
            </w:r>
            <w:r w:rsidR="00BA1B01" w:rsidRPr="00EA1A6D">
              <w:rPr>
                <w:rFonts w:ascii="Arial" w:eastAsia="Calibri" w:hAnsi="Arial" w:cs="Arial"/>
                <w:szCs w:val="22"/>
              </w:rPr>
              <w:t>.</w:t>
            </w:r>
          </w:p>
          <w:p w14:paraId="20AEA478" w14:textId="66AE5CCC" w:rsidR="00BA1B01" w:rsidRPr="00EA1A6D" w:rsidRDefault="00BA1B01" w:rsidP="00441B6F">
            <w:pPr>
              <w:pStyle w:val="Body"/>
              <w:spacing w:after="0"/>
              <w:rPr>
                <w:rFonts w:ascii="Arial" w:eastAsia="Calibri" w:hAnsi="Arial" w:cs="Arial"/>
                <w:szCs w:val="22"/>
              </w:rPr>
            </w:pPr>
            <w:r w:rsidRPr="00EA1A6D">
              <w:rPr>
                <w:rFonts w:ascii="Arial" w:eastAsia="Calibri" w:hAnsi="Arial" w:cs="Arial"/>
                <w:b/>
                <w:szCs w:val="22"/>
              </w:rPr>
              <w:t xml:space="preserve">Study </w:t>
            </w:r>
            <w:r w:rsidR="00183292" w:rsidRPr="00EA1A6D">
              <w:rPr>
                <w:rFonts w:ascii="Arial" w:eastAsia="Calibri" w:hAnsi="Arial" w:cs="Arial"/>
                <w:b/>
                <w:szCs w:val="22"/>
              </w:rPr>
              <w:t>objective</w:t>
            </w:r>
            <w:r w:rsidRPr="00EA1A6D">
              <w:rPr>
                <w:rFonts w:ascii="Arial" w:eastAsia="Calibri" w:hAnsi="Arial" w:cs="Arial"/>
                <w:b/>
                <w:szCs w:val="22"/>
              </w:rPr>
              <w:t>:</w:t>
            </w:r>
            <w:r w:rsidRPr="00EA1A6D">
              <w:rPr>
                <w:rFonts w:ascii="Arial" w:eastAsia="Calibri" w:hAnsi="Arial" w:cs="Arial"/>
                <w:szCs w:val="22"/>
              </w:rPr>
              <w:t xml:space="preserve"> </w:t>
            </w:r>
            <w:r w:rsidR="00944359" w:rsidRPr="00EA1A6D">
              <w:rPr>
                <w:rFonts w:ascii="Arial" w:eastAsia="Calibri" w:hAnsi="Arial" w:cs="Arial"/>
                <w:szCs w:val="22"/>
              </w:rPr>
              <w:t>The research method used is an observational case-control analytical study with a cross-sectional approach. Analysis of the data obtained used an Independent T-Test</w:t>
            </w:r>
            <w:r w:rsidR="006F4FD5" w:rsidRPr="00EA1A6D">
              <w:rPr>
                <w:rFonts w:ascii="Arial" w:eastAsia="Calibri" w:hAnsi="Arial" w:cs="Arial"/>
                <w:szCs w:val="22"/>
              </w:rPr>
              <w:t xml:space="preserve">. </w:t>
            </w:r>
          </w:p>
          <w:p w14:paraId="7902A875" w14:textId="594872A3" w:rsidR="00BA1B01" w:rsidRPr="00EA1A6D" w:rsidRDefault="00BA1B01" w:rsidP="00441B6F">
            <w:pPr>
              <w:pStyle w:val="Body"/>
              <w:spacing w:after="0"/>
              <w:rPr>
                <w:rFonts w:ascii="Arial" w:eastAsia="Calibri" w:hAnsi="Arial" w:cs="Arial"/>
                <w:szCs w:val="22"/>
              </w:rPr>
            </w:pPr>
            <w:r w:rsidRPr="00EA1A6D">
              <w:rPr>
                <w:rFonts w:ascii="Arial" w:eastAsia="Calibri" w:hAnsi="Arial" w:cs="Arial"/>
                <w:b/>
                <w:bCs/>
                <w:szCs w:val="22"/>
              </w:rPr>
              <w:t>Metho</w:t>
            </w:r>
            <w:r w:rsidR="00183292" w:rsidRPr="00EA1A6D">
              <w:rPr>
                <w:rFonts w:ascii="Arial" w:eastAsia="Calibri" w:hAnsi="Arial" w:cs="Arial"/>
                <w:b/>
                <w:bCs/>
                <w:szCs w:val="22"/>
              </w:rPr>
              <w:t>ds</w:t>
            </w:r>
            <w:r w:rsidRPr="00EA1A6D">
              <w:rPr>
                <w:rFonts w:ascii="Arial" w:eastAsia="Calibri" w:hAnsi="Arial" w:cs="Arial"/>
                <w:b/>
                <w:bCs/>
                <w:szCs w:val="22"/>
              </w:rPr>
              <w:t>:</w:t>
            </w:r>
            <w:r w:rsidRPr="00EA1A6D">
              <w:rPr>
                <w:rFonts w:ascii="Arial" w:eastAsia="Calibri" w:hAnsi="Arial" w:cs="Arial"/>
                <w:szCs w:val="22"/>
              </w:rPr>
              <w:t xml:space="preserve"> </w:t>
            </w:r>
            <w:r w:rsidR="00A55D0C" w:rsidRPr="00EA1A6D">
              <w:rPr>
                <w:rFonts w:ascii="Arial" w:eastAsia="Calibri" w:hAnsi="Arial" w:cs="Arial"/>
                <w:szCs w:val="22"/>
              </w:rPr>
              <w:t>O</w:t>
            </w:r>
            <w:r w:rsidR="00944359" w:rsidRPr="00EA1A6D">
              <w:rPr>
                <w:rFonts w:ascii="Arial" w:eastAsia="Calibri" w:hAnsi="Arial" w:cs="Arial"/>
                <w:szCs w:val="22"/>
              </w:rPr>
              <w:t xml:space="preserve">bservational case-control analytical research with a cross-sectional design. The sampling method </w:t>
            </w:r>
            <w:r w:rsidR="00B726F5" w:rsidRPr="00EA1A6D">
              <w:rPr>
                <w:rFonts w:ascii="Arial" w:eastAsia="Calibri" w:hAnsi="Arial" w:cs="Arial"/>
                <w:szCs w:val="22"/>
              </w:rPr>
              <w:t>employed is non-probability sampling, specifically</w:t>
            </w:r>
            <w:r w:rsidR="00944359" w:rsidRPr="00EA1A6D">
              <w:rPr>
                <w:rFonts w:ascii="Arial" w:eastAsia="Calibri" w:hAnsi="Arial" w:cs="Arial"/>
                <w:szCs w:val="22"/>
              </w:rPr>
              <w:t xml:space="preserve"> quota sampling. The total sample in this study was 42 samples, with each group consisting of 21 samples</w:t>
            </w:r>
            <w:r w:rsidRPr="00EA1A6D">
              <w:rPr>
                <w:rFonts w:ascii="Arial" w:eastAsia="Calibri" w:hAnsi="Arial" w:cs="Arial"/>
                <w:szCs w:val="22"/>
              </w:rPr>
              <w:t>.</w:t>
            </w:r>
            <w:r w:rsidR="00183292" w:rsidRPr="00EA1A6D">
              <w:rPr>
                <w:rFonts w:ascii="Arial" w:eastAsia="Calibri" w:hAnsi="Arial" w:cs="Arial"/>
                <w:szCs w:val="22"/>
              </w:rPr>
              <w:t xml:space="preserve"> Research was conducted in </w:t>
            </w:r>
            <w:proofErr w:type="spellStart"/>
            <w:r w:rsidR="00183292" w:rsidRPr="00EA1A6D">
              <w:rPr>
                <w:rFonts w:ascii="Arial" w:eastAsia="Calibri" w:hAnsi="Arial" w:cs="Arial"/>
                <w:szCs w:val="22"/>
              </w:rPr>
              <w:t>Babakan</w:t>
            </w:r>
            <w:proofErr w:type="spellEnd"/>
            <w:r w:rsidR="00183292" w:rsidRPr="00EA1A6D">
              <w:rPr>
                <w:rFonts w:ascii="Arial" w:eastAsia="Calibri" w:hAnsi="Arial" w:cs="Arial"/>
                <w:szCs w:val="22"/>
              </w:rPr>
              <w:t xml:space="preserve"> </w:t>
            </w:r>
            <w:proofErr w:type="spellStart"/>
            <w:r w:rsidR="00183292" w:rsidRPr="00EA1A6D">
              <w:rPr>
                <w:rFonts w:ascii="Arial" w:eastAsia="Calibri" w:hAnsi="Arial" w:cs="Arial"/>
                <w:szCs w:val="22"/>
              </w:rPr>
              <w:t>Mandang</w:t>
            </w:r>
            <w:proofErr w:type="spellEnd"/>
            <w:r w:rsidR="00183292" w:rsidRPr="00EA1A6D">
              <w:rPr>
                <w:rFonts w:ascii="Arial" w:eastAsia="Calibri" w:hAnsi="Arial" w:cs="Arial"/>
                <w:szCs w:val="22"/>
              </w:rPr>
              <w:t xml:space="preserve">, </w:t>
            </w:r>
            <w:proofErr w:type="spellStart"/>
            <w:r w:rsidR="00183292" w:rsidRPr="00EA1A6D">
              <w:rPr>
                <w:rFonts w:ascii="Arial" w:eastAsia="Calibri" w:hAnsi="Arial" w:cs="Arial"/>
                <w:szCs w:val="22"/>
              </w:rPr>
              <w:t>Gunung</w:t>
            </w:r>
            <w:proofErr w:type="spellEnd"/>
            <w:r w:rsidR="00183292" w:rsidRPr="00EA1A6D">
              <w:rPr>
                <w:rFonts w:ascii="Arial" w:eastAsia="Calibri" w:hAnsi="Arial" w:cs="Arial"/>
                <w:szCs w:val="22"/>
              </w:rPr>
              <w:t xml:space="preserve"> </w:t>
            </w:r>
            <w:proofErr w:type="spellStart"/>
            <w:r w:rsidR="00183292" w:rsidRPr="00EA1A6D">
              <w:rPr>
                <w:rFonts w:ascii="Arial" w:eastAsia="Calibri" w:hAnsi="Arial" w:cs="Arial"/>
                <w:szCs w:val="22"/>
              </w:rPr>
              <w:t>Pancar</w:t>
            </w:r>
            <w:proofErr w:type="spellEnd"/>
            <w:r w:rsidR="00183292" w:rsidRPr="00EA1A6D">
              <w:rPr>
                <w:rFonts w:ascii="Arial" w:eastAsia="Calibri" w:hAnsi="Arial" w:cs="Arial"/>
                <w:szCs w:val="22"/>
              </w:rPr>
              <w:t>, Sentul, West Java, between June and December 2023.</w:t>
            </w:r>
            <w:r w:rsidR="00465207" w:rsidRPr="00EA1A6D">
              <w:rPr>
                <w:rFonts w:ascii="Arial" w:eastAsia="Calibri" w:hAnsi="Arial" w:cs="Arial"/>
                <w:szCs w:val="22"/>
              </w:rPr>
              <w:t xml:space="preserve"> Determination of stunting status is based on height for age (HAZ) WHO anthropometry analysis (SD ≤-2).</w:t>
            </w:r>
          </w:p>
          <w:p w14:paraId="76057A26" w14:textId="3A441A4B" w:rsidR="00BA1B01" w:rsidRPr="00EA1A6D" w:rsidRDefault="00BA1B01" w:rsidP="00441B6F">
            <w:pPr>
              <w:pStyle w:val="Body"/>
              <w:spacing w:after="0"/>
              <w:rPr>
                <w:rFonts w:ascii="Arial" w:eastAsia="Calibri" w:hAnsi="Arial" w:cs="Arial"/>
                <w:b/>
                <w:bCs/>
                <w:szCs w:val="22"/>
              </w:rPr>
            </w:pPr>
            <w:r w:rsidRPr="00EA1A6D">
              <w:rPr>
                <w:rFonts w:ascii="Arial" w:eastAsia="Calibri" w:hAnsi="Arial" w:cs="Arial"/>
                <w:b/>
                <w:bCs/>
                <w:szCs w:val="22"/>
              </w:rPr>
              <w:t>Results:</w:t>
            </w:r>
            <w:r w:rsidRPr="00EA1A6D">
              <w:rPr>
                <w:rFonts w:ascii="Arial" w:eastAsia="Calibri" w:hAnsi="Arial" w:cs="Arial"/>
                <w:szCs w:val="22"/>
              </w:rPr>
              <w:t xml:space="preserve"> </w:t>
            </w:r>
            <w:r w:rsidR="00A55D0C" w:rsidRPr="00EA1A6D">
              <w:rPr>
                <w:rFonts w:ascii="Arial" w:eastAsia="Calibri" w:hAnsi="Arial" w:cs="Arial"/>
                <w:szCs w:val="22"/>
              </w:rPr>
              <w:t>T</w:t>
            </w:r>
            <w:r w:rsidR="00944359" w:rsidRPr="00EA1A6D">
              <w:rPr>
                <w:rFonts w:ascii="Arial" w:eastAsia="Calibri" w:hAnsi="Arial" w:cs="Arial"/>
                <w:szCs w:val="22"/>
              </w:rPr>
              <w:t xml:space="preserve">here was a significant </w:t>
            </w:r>
            <w:r w:rsidR="004825EC" w:rsidRPr="00EA1A6D">
              <w:rPr>
                <w:rFonts w:ascii="Arial" w:eastAsia="Calibri" w:hAnsi="Arial" w:cs="Arial"/>
                <w:szCs w:val="22"/>
              </w:rPr>
              <w:t xml:space="preserve">average </w:t>
            </w:r>
            <w:r w:rsidR="00944359" w:rsidRPr="00EA1A6D">
              <w:rPr>
                <w:rFonts w:ascii="Arial" w:eastAsia="Calibri" w:hAnsi="Arial" w:cs="Arial"/>
                <w:szCs w:val="22"/>
              </w:rPr>
              <w:t xml:space="preserve">difference </w:t>
            </w:r>
            <w:r w:rsidR="004825EC" w:rsidRPr="00EA1A6D">
              <w:rPr>
                <w:rFonts w:ascii="Arial" w:eastAsia="Calibri" w:hAnsi="Arial" w:cs="Arial"/>
                <w:szCs w:val="22"/>
              </w:rPr>
              <w:t xml:space="preserve">between stunting and non-stunting; </w:t>
            </w:r>
            <w:r w:rsidR="00944359" w:rsidRPr="00EA1A6D">
              <w:rPr>
                <w:rFonts w:ascii="Arial" w:eastAsia="Calibri" w:hAnsi="Arial" w:cs="Arial"/>
                <w:szCs w:val="22"/>
              </w:rPr>
              <w:t xml:space="preserve">hemoglobin levels </w:t>
            </w:r>
            <w:r w:rsidR="004825EC" w:rsidRPr="00EA1A6D">
              <w:rPr>
                <w:rFonts w:ascii="Arial" w:eastAsia="Calibri" w:hAnsi="Arial" w:cs="Arial"/>
                <w:szCs w:val="22"/>
              </w:rPr>
              <w:t>(</w:t>
            </w:r>
            <w:r w:rsidR="00B726F5" w:rsidRPr="00EA1A6D">
              <w:rPr>
                <w:rFonts w:ascii="Arial" w:eastAsia="Calibri" w:hAnsi="Arial" w:cs="Arial"/>
                <w:szCs w:val="22"/>
              </w:rPr>
              <w:t>P =</w:t>
            </w:r>
            <w:r w:rsidR="00944359" w:rsidRPr="00EA1A6D">
              <w:rPr>
                <w:rFonts w:ascii="Arial" w:eastAsia="Calibri" w:hAnsi="Arial" w:cs="Arial"/>
                <w:szCs w:val="22"/>
              </w:rPr>
              <w:t>.004</w:t>
            </w:r>
            <w:r w:rsidR="004825EC" w:rsidRPr="00EA1A6D">
              <w:rPr>
                <w:rFonts w:ascii="Arial" w:eastAsia="Calibri" w:hAnsi="Arial" w:cs="Arial"/>
                <w:szCs w:val="22"/>
              </w:rPr>
              <w:t xml:space="preserve">), </w:t>
            </w:r>
            <w:r w:rsidR="00944359" w:rsidRPr="00EA1A6D">
              <w:rPr>
                <w:rFonts w:ascii="Arial" w:eastAsia="Calibri" w:hAnsi="Arial" w:cs="Arial"/>
                <w:szCs w:val="22"/>
              </w:rPr>
              <w:t xml:space="preserve">hematocrit levels </w:t>
            </w:r>
            <w:r w:rsidR="004825EC" w:rsidRPr="00EA1A6D">
              <w:rPr>
                <w:rFonts w:ascii="Arial" w:eastAsia="Calibri" w:hAnsi="Arial" w:cs="Arial"/>
                <w:szCs w:val="22"/>
              </w:rPr>
              <w:t>(</w:t>
            </w:r>
            <w:r w:rsidR="00B726F5" w:rsidRPr="00EA1A6D">
              <w:rPr>
                <w:rFonts w:ascii="Arial" w:eastAsia="Calibri" w:hAnsi="Arial" w:cs="Arial"/>
                <w:szCs w:val="22"/>
              </w:rPr>
              <w:t xml:space="preserve">P = </w:t>
            </w:r>
            <w:r w:rsidR="00944359" w:rsidRPr="00EA1A6D">
              <w:rPr>
                <w:rFonts w:ascii="Arial" w:eastAsia="Calibri" w:hAnsi="Arial" w:cs="Arial"/>
                <w:szCs w:val="22"/>
              </w:rPr>
              <w:t>.003</w:t>
            </w:r>
            <w:r w:rsidR="004825EC" w:rsidRPr="00EA1A6D">
              <w:rPr>
                <w:rFonts w:ascii="Arial" w:eastAsia="Calibri" w:hAnsi="Arial" w:cs="Arial"/>
                <w:szCs w:val="22"/>
              </w:rPr>
              <w:t>)</w:t>
            </w:r>
            <w:r w:rsidR="00944359" w:rsidRPr="00EA1A6D">
              <w:rPr>
                <w:rFonts w:ascii="Arial" w:eastAsia="Calibri" w:hAnsi="Arial" w:cs="Arial"/>
                <w:szCs w:val="22"/>
              </w:rPr>
              <w:t xml:space="preserve">. </w:t>
            </w:r>
            <w:r w:rsidR="004825EC" w:rsidRPr="00EA1A6D">
              <w:rPr>
                <w:rFonts w:ascii="Arial" w:eastAsia="Calibri" w:hAnsi="Arial" w:cs="Arial"/>
                <w:szCs w:val="22"/>
              </w:rPr>
              <w:t>But the</w:t>
            </w:r>
            <w:r w:rsidR="00944359" w:rsidRPr="00EA1A6D">
              <w:rPr>
                <w:rFonts w:ascii="Arial" w:eastAsia="Calibri" w:hAnsi="Arial" w:cs="Arial"/>
                <w:szCs w:val="22"/>
              </w:rPr>
              <w:t xml:space="preserve"> average levels of MCV, MCH, and leukocyte count in the two study groups showed no significant differences. In both study groups, MCV levels decreased, but the lowest amount of MCV in stunting children (51,3 </w:t>
            </w:r>
            <w:proofErr w:type="spellStart"/>
            <w:r w:rsidR="00944359" w:rsidRPr="00EA1A6D">
              <w:rPr>
                <w:rFonts w:ascii="Arial" w:eastAsia="Calibri" w:hAnsi="Arial" w:cs="Arial"/>
                <w:szCs w:val="22"/>
              </w:rPr>
              <w:t>fL</w:t>
            </w:r>
            <w:proofErr w:type="spellEnd"/>
            <w:r w:rsidR="00944359" w:rsidRPr="00EA1A6D">
              <w:rPr>
                <w:rFonts w:ascii="Arial" w:eastAsia="Calibri" w:hAnsi="Arial" w:cs="Arial"/>
                <w:szCs w:val="22"/>
              </w:rPr>
              <w:t xml:space="preserve">) is lower than the lowest amount of MCV in non-stunting children (56,7 </w:t>
            </w:r>
            <w:proofErr w:type="spellStart"/>
            <w:r w:rsidR="00944359" w:rsidRPr="00EA1A6D">
              <w:rPr>
                <w:rFonts w:ascii="Arial" w:eastAsia="Calibri" w:hAnsi="Arial" w:cs="Arial"/>
                <w:szCs w:val="22"/>
              </w:rPr>
              <w:t>fL</w:t>
            </w:r>
            <w:proofErr w:type="spellEnd"/>
            <w:r w:rsidR="00944359" w:rsidRPr="00EA1A6D">
              <w:rPr>
                <w:rFonts w:ascii="Arial" w:eastAsia="Calibri" w:hAnsi="Arial" w:cs="Arial"/>
                <w:szCs w:val="22"/>
              </w:rPr>
              <w:t xml:space="preserve">). The average amount of MCV in children stunting was 67,3 </w:t>
            </w:r>
            <w:proofErr w:type="spellStart"/>
            <w:r w:rsidR="00944359" w:rsidRPr="00EA1A6D">
              <w:rPr>
                <w:rFonts w:ascii="Arial" w:eastAsia="Calibri" w:hAnsi="Arial" w:cs="Arial"/>
                <w:szCs w:val="22"/>
              </w:rPr>
              <w:t>fL</w:t>
            </w:r>
            <w:proofErr w:type="spellEnd"/>
            <w:r w:rsidR="00944359" w:rsidRPr="00EA1A6D">
              <w:rPr>
                <w:rFonts w:ascii="Arial" w:eastAsia="Calibri" w:hAnsi="Arial" w:cs="Arial"/>
                <w:szCs w:val="22"/>
              </w:rPr>
              <w:t xml:space="preserve"> and </w:t>
            </w:r>
            <w:r w:rsidR="004825EC" w:rsidRPr="00EA1A6D">
              <w:rPr>
                <w:rFonts w:ascii="Arial" w:eastAsia="Calibri" w:hAnsi="Arial" w:cs="Arial"/>
                <w:szCs w:val="22"/>
              </w:rPr>
              <w:t xml:space="preserve">in </w:t>
            </w:r>
            <w:r w:rsidR="00944359" w:rsidRPr="00EA1A6D">
              <w:rPr>
                <w:rFonts w:ascii="Arial" w:eastAsia="Calibri" w:hAnsi="Arial" w:cs="Arial"/>
                <w:szCs w:val="22"/>
              </w:rPr>
              <w:t xml:space="preserve">non-stunting was 68,5 </w:t>
            </w:r>
            <w:proofErr w:type="spellStart"/>
            <w:r w:rsidR="00944359" w:rsidRPr="00EA1A6D">
              <w:rPr>
                <w:rFonts w:ascii="Arial" w:eastAsia="Calibri" w:hAnsi="Arial" w:cs="Arial"/>
                <w:szCs w:val="22"/>
              </w:rPr>
              <w:t>fL.</w:t>
            </w:r>
            <w:proofErr w:type="spellEnd"/>
            <w:r w:rsidR="00944359" w:rsidRPr="00EA1A6D">
              <w:rPr>
                <w:rFonts w:ascii="Arial" w:eastAsia="Calibri" w:hAnsi="Arial" w:cs="Arial"/>
                <w:szCs w:val="22"/>
              </w:rPr>
              <w:t xml:space="preserve"> Meanwhile, the average </w:t>
            </w:r>
            <w:r w:rsidR="0038713F" w:rsidRPr="00EA1A6D">
              <w:rPr>
                <w:rFonts w:ascii="Arial" w:eastAsia="Calibri" w:hAnsi="Arial" w:cs="Arial"/>
                <w:szCs w:val="22"/>
              </w:rPr>
              <w:t xml:space="preserve">MCH levels in children with stunted growth were 23.1 </w:t>
            </w:r>
            <w:proofErr w:type="spellStart"/>
            <w:r w:rsidR="0038713F" w:rsidRPr="00EA1A6D">
              <w:rPr>
                <w:rFonts w:ascii="Arial" w:eastAsia="Calibri" w:hAnsi="Arial" w:cs="Arial"/>
                <w:szCs w:val="22"/>
              </w:rPr>
              <w:t>pg</w:t>
            </w:r>
            <w:proofErr w:type="spellEnd"/>
            <w:r w:rsidR="0038713F" w:rsidRPr="00EA1A6D">
              <w:rPr>
                <w:rFonts w:ascii="Arial" w:eastAsia="Calibri" w:hAnsi="Arial" w:cs="Arial"/>
                <w:szCs w:val="22"/>
              </w:rPr>
              <w:t>, and in those without stunted growth, they were 24.2</w:t>
            </w:r>
            <w:r w:rsidR="00944359" w:rsidRPr="00EA1A6D">
              <w:rPr>
                <w:rFonts w:ascii="Arial" w:eastAsia="Calibri" w:hAnsi="Arial" w:cs="Arial"/>
                <w:szCs w:val="22"/>
              </w:rPr>
              <w:t xml:space="preserve"> pg. The average number of leukocytes in children who suffer stunting is 10,3 10</w:t>
            </w:r>
            <w:r w:rsidR="00944359" w:rsidRPr="00EA1A6D">
              <w:rPr>
                <w:rFonts w:ascii="Arial" w:eastAsia="Calibri" w:hAnsi="Arial" w:cs="Arial"/>
                <w:szCs w:val="22"/>
                <w:vertAlign w:val="superscript"/>
              </w:rPr>
              <w:t>3</w:t>
            </w:r>
            <w:r w:rsidR="00944359" w:rsidRPr="00EA1A6D">
              <w:rPr>
                <w:rFonts w:ascii="Arial" w:eastAsia="Calibri" w:hAnsi="Arial" w:cs="Arial"/>
                <w:szCs w:val="22"/>
              </w:rPr>
              <w:t>/</w:t>
            </w:r>
            <w:proofErr w:type="spellStart"/>
            <w:r w:rsidR="00944359" w:rsidRPr="00EA1A6D">
              <w:rPr>
                <w:rFonts w:ascii="Arial" w:eastAsia="Calibri" w:hAnsi="Arial" w:cs="Arial"/>
                <w:szCs w:val="22"/>
              </w:rPr>
              <w:t>uL</w:t>
            </w:r>
            <w:proofErr w:type="spellEnd"/>
            <w:r w:rsidR="00944359" w:rsidRPr="00EA1A6D">
              <w:rPr>
                <w:rFonts w:ascii="Arial" w:eastAsia="Calibri" w:hAnsi="Arial" w:cs="Arial"/>
                <w:szCs w:val="22"/>
              </w:rPr>
              <w:t xml:space="preserve"> and </w:t>
            </w:r>
            <w:r w:rsidR="004825EC" w:rsidRPr="00EA1A6D">
              <w:rPr>
                <w:rFonts w:ascii="Arial" w:eastAsia="Calibri" w:hAnsi="Arial" w:cs="Arial"/>
                <w:szCs w:val="22"/>
              </w:rPr>
              <w:t xml:space="preserve">in </w:t>
            </w:r>
            <w:r w:rsidR="00944359" w:rsidRPr="00EA1A6D">
              <w:rPr>
                <w:rFonts w:ascii="Arial" w:eastAsia="Calibri" w:hAnsi="Arial" w:cs="Arial"/>
                <w:szCs w:val="22"/>
              </w:rPr>
              <w:t>non-stunting is 12,4 10</w:t>
            </w:r>
            <w:r w:rsidR="00944359" w:rsidRPr="00EA1A6D">
              <w:rPr>
                <w:rFonts w:ascii="Arial" w:eastAsia="Calibri" w:hAnsi="Arial" w:cs="Arial"/>
                <w:szCs w:val="22"/>
                <w:vertAlign w:val="superscript"/>
              </w:rPr>
              <w:t>3</w:t>
            </w:r>
            <w:r w:rsidR="00944359" w:rsidRPr="00EA1A6D">
              <w:rPr>
                <w:rFonts w:ascii="Arial" w:eastAsia="Calibri" w:hAnsi="Arial" w:cs="Arial"/>
                <w:szCs w:val="22"/>
              </w:rPr>
              <w:t>/</w:t>
            </w:r>
            <w:proofErr w:type="spellStart"/>
            <w:r w:rsidR="00944359" w:rsidRPr="00EA1A6D">
              <w:rPr>
                <w:rFonts w:ascii="Arial" w:eastAsia="Calibri" w:hAnsi="Arial" w:cs="Arial"/>
                <w:szCs w:val="22"/>
              </w:rPr>
              <w:t>uL</w:t>
            </w:r>
            <w:proofErr w:type="spellEnd"/>
          </w:p>
          <w:p w14:paraId="734F0AB6" w14:textId="5FC3E403" w:rsidR="00505F06" w:rsidRPr="00EA1A6D" w:rsidRDefault="00BA1B01" w:rsidP="00441B6F">
            <w:pPr>
              <w:pStyle w:val="Body"/>
              <w:spacing w:after="0"/>
              <w:rPr>
                <w:rFonts w:ascii="Arial" w:eastAsia="Calibri" w:hAnsi="Arial" w:cs="Arial"/>
                <w:szCs w:val="22"/>
              </w:rPr>
            </w:pPr>
            <w:r w:rsidRPr="00EA1A6D">
              <w:rPr>
                <w:rFonts w:ascii="Arial" w:eastAsia="Calibri" w:hAnsi="Arial" w:cs="Arial"/>
                <w:b/>
                <w:bCs/>
                <w:szCs w:val="22"/>
              </w:rPr>
              <w:t>Conclusion:</w:t>
            </w:r>
            <w:r w:rsidR="004825EC" w:rsidRPr="00EA1A6D">
              <w:t xml:space="preserve"> </w:t>
            </w:r>
            <w:r w:rsidR="004825EC" w:rsidRPr="00EA1A6D">
              <w:rPr>
                <w:rFonts w:ascii="Arial" w:eastAsia="Calibri" w:hAnsi="Arial" w:cs="Arial"/>
                <w:szCs w:val="22"/>
              </w:rPr>
              <w:t>Stunted toddlers had lower average hemoglobin, hematocrit, MCV, and MCH levels than non-stunted toddlers, but a larger average number of leukocytes</w:t>
            </w:r>
          </w:p>
        </w:tc>
      </w:tr>
    </w:tbl>
    <w:p w14:paraId="4AFA15D8" w14:textId="77777777" w:rsidR="00636EB2" w:rsidRPr="00EA1A6D" w:rsidRDefault="00636EB2" w:rsidP="00441B6F">
      <w:pPr>
        <w:pStyle w:val="Body"/>
        <w:spacing w:after="0"/>
        <w:rPr>
          <w:rFonts w:ascii="Arial" w:hAnsi="Arial" w:cs="Arial"/>
          <w:i/>
        </w:rPr>
      </w:pPr>
    </w:p>
    <w:p w14:paraId="3953AFDE" w14:textId="5EC1DD4A" w:rsidR="00505F06" w:rsidRPr="00EA1A6D" w:rsidRDefault="00A24E7E" w:rsidP="00441B6F">
      <w:pPr>
        <w:pStyle w:val="Body"/>
        <w:spacing w:after="0"/>
        <w:rPr>
          <w:rFonts w:ascii="Arial" w:hAnsi="Arial" w:cs="Arial"/>
          <w:i/>
        </w:rPr>
      </w:pPr>
      <w:r w:rsidRPr="00EA1A6D">
        <w:rPr>
          <w:rFonts w:ascii="Arial" w:hAnsi="Arial" w:cs="Arial"/>
          <w:i/>
        </w:rPr>
        <w:t>Key</w:t>
      </w:r>
      <w:r w:rsidR="00183292" w:rsidRPr="00EA1A6D">
        <w:rPr>
          <w:rFonts w:ascii="Arial" w:hAnsi="Arial" w:cs="Arial"/>
          <w:i/>
        </w:rPr>
        <w:t xml:space="preserve"> </w:t>
      </w:r>
      <w:r w:rsidRPr="00EA1A6D">
        <w:rPr>
          <w:rFonts w:ascii="Arial" w:hAnsi="Arial" w:cs="Arial"/>
          <w:i/>
        </w:rPr>
        <w:t>words: [</w:t>
      </w:r>
      <w:r w:rsidR="004825EC" w:rsidRPr="00EA1A6D">
        <w:rPr>
          <w:rFonts w:ascii="Arial" w:hAnsi="Arial" w:cs="Arial"/>
          <w:i/>
        </w:rPr>
        <w:t xml:space="preserve">Stunting, hemoglobin, </w:t>
      </w:r>
      <w:proofErr w:type="spellStart"/>
      <w:r w:rsidR="004825EC" w:rsidRPr="00EA1A6D">
        <w:rPr>
          <w:rFonts w:ascii="Arial" w:hAnsi="Arial" w:cs="Arial"/>
          <w:i/>
        </w:rPr>
        <w:t>hematokrit</w:t>
      </w:r>
      <w:proofErr w:type="spellEnd"/>
      <w:r w:rsidR="004825EC" w:rsidRPr="00EA1A6D">
        <w:rPr>
          <w:rFonts w:ascii="Arial" w:hAnsi="Arial" w:cs="Arial"/>
          <w:i/>
        </w:rPr>
        <w:t>, MCV, MCH, leukocytes</w:t>
      </w:r>
      <w:r w:rsidR="003B22B3" w:rsidRPr="00EA1A6D">
        <w:rPr>
          <w:rFonts w:ascii="Arial" w:hAnsi="Arial" w:cs="Arial"/>
          <w:i/>
        </w:rPr>
        <w:t>]</w:t>
      </w:r>
    </w:p>
    <w:p w14:paraId="22C487B6" w14:textId="77777777" w:rsidR="00365806" w:rsidRPr="00EA1A6D" w:rsidRDefault="00365806" w:rsidP="00441B6F">
      <w:pPr>
        <w:pStyle w:val="Body"/>
        <w:spacing w:after="0"/>
        <w:rPr>
          <w:rFonts w:ascii="Arial" w:hAnsi="Arial" w:cs="Arial"/>
          <w:i/>
        </w:rPr>
      </w:pPr>
    </w:p>
    <w:p w14:paraId="5A8EA3ED" w14:textId="315C88AB" w:rsidR="007F7B32" w:rsidRPr="00EA1A6D" w:rsidRDefault="00B01FCD" w:rsidP="00441B6F">
      <w:pPr>
        <w:pStyle w:val="AbstHead"/>
        <w:spacing w:after="0"/>
        <w:jc w:val="both"/>
        <w:rPr>
          <w:rFonts w:ascii="Arial" w:hAnsi="Arial" w:cs="Arial"/>
        </w:rPr>
      </w:pPr>
      <w:r w:rsidRPr="00EA1A6D">
        <w:rPr>
          <w:rFonts w:ascii="Arial" w:hAnsi="Arial" w:cs="Arial"/>
        </w:rPr>
        <w:t>INTRODUCTION</w:t>
      </w:r>
      <w:r w:rsidR="007F7B32" w:rsidRPr="00EA1A6D">
        <w:rPr>
          <w:rFonts w:ascii="Arial" w:hAnsi="Arial" w:cs="Arial"/>
        </w:rPr>
        <w:t xml:space="preserve"> </w:t>
      </w:r>
    </w:p>
    <w:p w14:paraId="2D33917E" w14:textId="77777777" w:rsidR="00790ADA" w:rsidRPr="00EA1A6D" w:rsidRDefault="00790ADA" w:rsidP="00441B6F">
      <w:pPr>
        <w:pStyle w:val="AbstHead"/>
        <w:spacing w:after="0"/>
        <w:jc w:val="both"/>
        <w:rPr>
          <w:rFonts w:ascii="Arial" w:hAnsi="Arial" w:cs="Arial"/>
        </w:rPr>
      </w:pPr>
    </w:p>
    <w:p w14:paraId="4DB6F955" w14:textId="208E0288" w:rsidR="006D6BAC" w:rsidRPr="00EA1A6D" w:rsidRDefault="006B57D0" w:rsidP="006D6BAC">
      <w:pPr>
        <w:pStyle w:val="Body"/>
        <w:rPr>
          <w:rFonts w:ascii="Arial" w:hAnsi="Arial" w:cs="Arial"/>
        </w:rPr>
      </w:pPr>
      <w:r w:rsidRPr="00EA1A6D">
        <w:rPr>
          <w:rFonts w:ascii="Arial" w:hAnsi="Arial" w:cs="Arial"/>
        </w:rPr>
        <w:t>[</w:t>
      </w:r>
      <w:r w:rsidR="006D6BAC" w:rsidRPr="00EA1A6D">
        <w:rPr>
          <w:rFonts w:ascii="Arial" w:hAnsi="Arial" w:cs="Arial"/>
        </w:rPr>
        <w:t xml:space="preserve">Stunting is a form of malnutrition that is a global health problem among children, especially in developing countries like Indonesia. Stunting affects children's physical and cognitive development with long-term effects in the form of sub-optimal learning abilities and increased risk of degenerative diseases. Globally, the number of children experiencing stunting reached 148.1 million or 22.3% in 2022. Almost all children experiencing stunting live in developing countries, especially in Asia and Africa. Based on the results of the Indonesian Nutritional Status Survey (SSGI) in 2022, the prevalence of stunting in Indonesia was </w:t>
      </w:r>
      <w:r w:rsidR="002C5122" w:rsidRPr="00EA1A6D">
        <w:rPr>
          <w:rFonts w:ascii="Arial" w:hAnsi="Arial" w:cs="Arial"/>
        </w:rPr>
        <w:t xml:space="preserve">21.6%, and the </w:t>
      </w:r>
      <w:r w:rsidR="002C5122" w:rsidRPr="00EA1A6D">
        <w:rPr>
          <w:rFonts w:ascii="Arial" w:hAnsi="Arial" w:cs="Arial"/>
        </w:rPr>
        <w:lastRenderedPageBreak/>
        <w:t>government aims to reduce this rate to 14% by</w:t>
      </w:r>
      <w:r w:rsidR="006D6BAC" w:rsidRPr="00EA1A6D">
        <w:rPr>
          <w:rFonts w:ascii="Arial" w:hAnsi="Arial" w:cs="Arial"/>
        </w:rPr>
        <w:t xml:space="preserve"> 2024 </w:t>
      </w:r>
      <w:r w:rsidR="00956784" w:rsidRPr="00EA1A6D">
        <w:rPr>
          <w:rFonts w:ascii="Arial" w:hAnsi="Arial" w:cs="Arial"/>
        </w:rPr>
        <w:t>(</w:t>
      </w:r>
      <w:proofErr w:type="spellStart"/>
      <w:r w:rsidR="00956784" w:rsidRPr="00EA1A6D">
        <w:rPr>
          <w:rFonts w:ascii="Arial" w:hAnsi="Arial" w:cs="Arial"/>
        </w:rPr>
        <w:t>Yadika</w:t>
      </w:r>
      <w:proofErr w:type="spellEnd"/>
      <w:r w:rsidR="00956784" w:rsidRPr="00EA1A6D">
        <w:rPr>
          <w:rFonts w:ascii="Arial" w:hAnsi="Arial" w:cs="Arial"/>
        </w:rPr>
        <w:t>, 2021; WHO, 2023;</w:t>
      </w:r>
      <w:r w:rsidR="002C5122" w:rsidRPr="00EA1A6D">
        <w:rPr>
          <w:rFonts w:ascii="Arial" w:hAnsi="Arial" w:cs="Arial"/>
        </w:rPr>
        <w:t xml:space="preserve"> Health Development Policy Agency</w:t>
      </w:r>
      <w:r w:rsidR="00956784" w:rsidRPr="00EA1A6D">
        <w:rPr>
          <w:rFonts w:ascii="Arial" w:hAnsi="Arial" w:cs="Arial"/>
        </w:rPr>
        <w:t>, 2022)</w:t>
      </w:r>
      <w:r w:rsidR="006D6BAC" w:rsidRPr="00EA1A6D">
        <w:rPr>
          <w:rFonts w:ascii="Arial" w:hAnsi="Arial" w:cs="Arial"/>
        </w:rPr>
        <w:t xml:space="preserve">. </w:t>
      </w:r>
    </w:p>
    <w:p w14:paraId="7F880B1D" w14:textId="6B8F412B" w:rsidR="006D6BAC" w:rsidRPr="00EA1A6D" w:rsidRDefault="006D6BAC" w:rsidP="006D6BAC">
      <w:pPr>
        <w:pStyle w:val="Body"/>
        <w:rPr>
          <w:rFonts w:ascii="Arial" w:hAnsi="Arial" w:cs="Arial"/>
        </w:rPr>
      </w:pPr>
      <w:r w:rsidRPr="00EA1A6D">
        <w:rPr>
          <w:rFonts w:ascii="Arial" w:hAnsi="Arial" w:cs="Arial"/>
        </w:rPr>
        <w:t xml:space="preserve">The occurrence of short toddlers or stunting is a condition of chronic malnutrition where toddlers have a height that is less than the height of children of the same age. Based on the WHO child growth standards, this condition is measured by height or length according to age (H/A or W/A) </w:t>
      </w:r>
      <w:r w:rsidR="00A148C5" w:rsidRPr="00EA1A6D">
        <w:rPr>
          <w:rFonts w:ascii="Arial" w:hAnsi="Arial" w:cs="Arial"/>
        </w:rPr>
        <w:t xml:space="preserve">≤ -2 </w:t>
      </w:r>
      <w:r w:rsidRPr="00EA1A6D">
        <w:rPr>
          <w:rFonts w:ascii="Arial" w:hAnsi="Arial" w:cs="Arial"/>
        </w:rPr>
        <w:t xml:space="preserve">SD. Chronic malnutrition experienced by stunted children is related to a lack of macronutrient intake in the form of protein, carbohydrates, and fat, while micronutrients in the form of zinc, calcium, vitamin D, </w:t>
      </w:r>
      <w:r w:rsidR="00A148C5" w:rsidRPr="00EA1A6D">
        <w:rPr>
          <w:rFonts w:ascii="Arial" w:hAnsi="Arial" w:cs="Arial"/>
        </w:rPr>
        <w:t>iron</w:t>
      </w:r>
      <w:r w:rsidRPr="00EA1A6D">
        <w:rPr>
          <w:rFonts w:ascii="Arial" w:hAnsi="Arial" w:cs="Arial"/>
        </w:rPr>
        <w:t xml:space="preserve">, and others. Therefore, </w:t>
      </w:r>
      <w:r w:rsidR="00A148C5" w:rsidRPr="00EA1A6D">
        <w:rPr>
          <w:rFonts w:ascii="Arial" w:hAnsi="Arial" w:cs="Arial"/>
        </w:rPr>
        <w:t xml:space="preserve">the </w:t>
      </w:r>
      <w:r w:rsidRPr="00EA1A6D">
        <w:rPr>
          <w:rFonts w:ascii="Arial" w:hAnsi="Arial" w:cs="Arial"/>
        </w:rPr>
        <w:t xml:space="preserve">possibility of stunted toddlers experiencing anemia is higher compared to toddlers who are not stunted </w:t>
      </w:r>
      <w:r w:rsidR="00410575" w:rsidRPr="00EA1A6D">
        <w:rPr>
          <w:rFonts w:ascii="Arial" w:hAnsi="Arial" w:cs="Arial"/>
        </w:rPr>
        <w:t>(</w:t>
      </w:r>
      <w:r w:rsidR="00956784" w:rsidRPr="00EA1A6D">
        <w:rPr>
          <w:rFonts w:ascii="Arial" w:hAnsi="Arial" w:cs="Arial"/>
        </w:rPr>
        <w:t>Ikhsan, 2019)</w:t>
      </w:r>
      <w:r w:rsidRPr="00EA1A6D">
        <w:rPr>
          <w:rFonts w:ascii="Arial" w:hAnsi="Arial" w:cs="Arial"/>
        </w:rPr>
        <w:t xml:space="preserve">. </w:t>
      </w:r>
    </w:p>
    <w:p w14:paraId="48F5473D" w14:textId="52CA1311" w:rsidR="006D6BAC" w:rsidRPr="00EA1A6D" w:rsidRDefault="006D6BAC" w:rsidP="00183292">
      <w:pPr>
        <w:pStyle w:val="Body"/>
        <w:rPr>
          <w:rFonts w:ascii="Arial" w:hAnsi="Arial" w:cs="Arial"/>
        </w:rPr>
      </w:pPr>
      <w:r w:rsidRPr="00EA1A6D">
        <w:rPr>
          <w:rFonts w:ascii="Arial" w:hAnsi="Arial" w:cs="Arial"/>
        </w:rPr>
        <w:t>Iron deficiency anemia is one of the most common types of anemia in the world. This disease will reduce the production of erythrocytes and cause a person's cognitive function deficit. If stunting and anemia occur simultaneously in a child, the effects will be worse than if only one of these conditions is affected. In addition to anemia, stunted children are also susceptible to infection due to zinc deficiency</w:t>
      </w:r>
      <w:r w:rsidR="00A148C5" w:rsidRPr="00EA1A6D">
        <w:rPr>
          <w:rFonts w:ascii="Arial" w:hAnsi="Arial" w:cs="Arial"/>
        </w:rPr>
        <w:t>,</w:t>
      </w:r>
      <w:r w:rsidRPr="00EA1A6D">
        <w:rPr>
          <w:rFonts w:ascii="Arial" w:hAnsi="Arial" w:cs="Arial"/>
        </w:rPr>
        <w:t xml:space="preserve"> which can interfere with the child's immune response. Thus, a hematology examination is needed for initial screening to confirm this condition </w:t>
      </w:r>
      <w:r w:rsidR="00956784" w:rsidRPr="00EA1A6D">
        <w:rPr>
          <w:rFonts w:ascii="Arial" w:hAnsi="Arial" w:cs="Arial"/>
        </w:rPr>
        <w:t>(</w:t>
      </w:r>
      <w:proofErr w:type="spellStart"/>
      <w:r w:rsidR="00956784" w:rsidRPr="00EA1A6D">
        <w:rPr>
          <w:rFonts w:ascii="Arial" w:hAnsi="Arial" w:cs="Arial"/>
        </w:rPr>
        <w:t>Utami</w:t>
      </w:r>
      <w:proofErr w:type="spellEnd"/>
      <w:r w:rsidR="00956784" w:rsidRPr="00EA1A6D">
        <w:rPr>
          <w:rFonts w:ascii="Arial" w:hAnsi="Arial" w:cs="Arial"/>
        </w:rPr>
        <w:t xml:space="preserve">, 2023; </w:t>
      </w:r>
      <w:proofErr w:type="spellStart"/>
      <w:r w:rsidR="00956784" w:rsidRPr="00EA1A6D">
        <w:rPr>
          <w:rFonts w:ascii="Arial" w:hAnsi="Arial" w:cs="Arial"/>
        </w:rPr>
        <w:t>Sanatang</w:t>
      </w:r>
      <w:proofErr w:type="spellEnd"/>
      <w:r w:rsidR="00956784" w:rsidRPr="00EA1A6D">
        <w:rPr>
          <w:rFonts w:ascii="Arial" w:hAnsi="Arial" w:cs="Arial"/>
        </w:rPr>
        <w:t>, 20</w:t>
      </w:r>
      <w:r w:rsidR="00410575" w:rsidRPr="00EA1A6D">
        <w:rPr>
          <w:rFonts w:ascii="Arial" w:hAnsi="Arial" w:cs="Arial"/>
        </w:rPr>
        <w:t>2</w:t>
      </w:r>
      <w:r w:rsidR="00956784" w:rsidRPr="00EA1A6D">
        <w:rPr>
          <w:rFonts w:ascii="Arial" w:hAnsi="Arial" w:cs="Arial"/>
        </w:rPr>
        <w:t xml:space="preserve">2). </w:t>
      </w:r>
      <w:r w:rsidRPr="00EA1A6D">
        <w:rPr>
          <w:rFonts w:ascii="Arial" w:hAnsi="Arial" w:cs="Arial"/>
        </w:rPr>
        <w:t xml:space="preserve"> </w:t>
      </w:r>
    </w:p>
    <w:p w14:paraId="55174C23" w14:textId="0599D318" w:rsidR="006D6BAC" w:rsidRPr="00EA1A6D" w:rsidRDefault="006D6BAC" w:rsidP="006D6BAC">
      <w:pPr>
        <w:pStyle w:val="Body"/>
        <w:rPr>
          <w:rFonts w:ascii="Arial" w:eastAsia="Calibri" w:hAnsi="Arial" w:cs="Arial"/>
          <w:szCs w:val="22"/>
        </w:rPr>
      </w:pPr>
      <w:r w:rsidRPr="00EA1A6D">
        <w:rPr>
          <w:rFonts w:ascii="Arial" w:eastAsia="Calibri" w:hAnsi="Arial" w:cs="Arial"/>
          <w:szCs w:val="22"/>
        </w:rPr>
        <w:t xml:space="preserve">Toddlers in urban poverty clusters were more likely to be stunted than those in urban non-poor clusters.  In half of the nations analyzed, toddlers in impoverished urban clusters were more likely to have mild anemia. Toddlers in urban non-poor clusters are less likely to have severe anemia.  In an 11-country DHS analysis, researchers discovered that child stunting is equally prevalent in urban and rural settings, regardless of socioeconomic class (SES) </w:t>
      </w:r>
      <w:r w:rsidR="00956784" w:rsidRPr="00EA1A6D">
        <w:rPr>
          <w:rFonts w:ascii="Arial" w:eastAsia="Calibri" w:hAnsi="Arial" w:cs="Arial"/>
          <w:szCs w:val="22"/>
        </w:rPr>
        <w:t>(Dessie, 202</w:t>
      </w:r>
      <w:r w:rsidR="00410575" w:rsidRPr="00EA1A6D">
        <w:rPr>
          <w:rFonts w:ascii="Arial" w:eastAsia="Calibri" w:hAnsi="Arial" w:cs="Arial"/>
          <w:szCs w:val="22"/>
        </w:rPr>
        <w:t>5</w:t>
      </w:r>
      <w:r w:rsidR="00956784" w:rsidRPr="00EA1A6D">
        <w:rPr>
          <w:rFonts w:ascii="Arial" w:eastAsia="Calibri" w:hAnsi="Arial" w:cs="Arial"/>
          <w:szCs w:val="22"/>
        </w:rPr>
        <w:t>)</w:t>
      </w:r>
      <w:r w:rsidRPr="00EA1A6D">
        <w:rPr>
          <w:rFonts w:ascii="Arial" w:eastAsia="Calibri" w:hAnsi="Arial" w:cs="Arial"/>
          <w:szCs w:val="22"/>
        </w:rPr>
        <w:t xml:space="preserve"> </w:t>
      </w:r>
    </w:p>
    <w:p w14:paraId="79D0AF61" w14:textId="7444A0A9" w:rsidR="006D6BAC" w:rsidRPr="00EA1A6D" w:rsidRDefault="006D6BAC" w:rsidP="006D6BAC">
      <w:pPr>
        <w:pStyle w:val="Body"/>
        <w:rPr>
          <w:rFonts w:ascii="Arial" w:eastAsia="Calibri" w:hAnsi="Arial" w:cs="Arial"/>
          <w:szCs w:val="22"/>
        </w:rPr>
      </w:pPr>
      <w:r w:rsidRPr="00EA1A6D">
        <w:rPr>
          <w:rFonts w:ascii="Arial" w:eastAsia="Calibri" w:hAnsi="Arial" w:cs="Arial"/>
          <w:szCs w:val="22"/>
        </w:rPr>
        <w:t xml:space="preserve">Childhood stunting is a major public health issue in Indonesia, with slow progress towards eliminating under-nutrition over the previous decade.  From 1997 to 2007, the Indonesia Family Life Survey found </w:t>
      </w:r>
      <w:r w:rsidR="00A148C5" w:rsidRPr="00EA1A6D">
        <w:rPr>
          <w:rFonts w:ascii="Arial" w:eastAsia="Calibri" w:hAnsi="Arial" w:cs="Arial"/>
          <w:szCs w:val="22"/>
        </w:rPr>
        <w:t xml:space="preserve">a </w:t>
      </w:r>
      <w:r w:rsidRPr="00EA1A6D">
        <w:rPr>
          <w:rFonts w:ascii="Arial" w:eastAsia="Calibri" w:hAnsi="Arial" w:cs="Arial"/>
          <w:szCs w:val="22"/>
        </w:rPr>
        <w:t xml:space="preserve">10.1% reduction in stunting among </w:t>
      </w:r>
      <w:r w:rsidR="00A148C5" w:rsidRPr="00EA1A6D">
        <w:rPr>
          <w:rFonts w:ascii="Arial" w:eastAsia="Calibri" w:hAnsi="Arial" w:cs="Arial"/>
          <w:szCs w:val="22"/>
        </w:rPr>
        <w:t>toddlers</w:t>
      </w:r>
      <w:r w:rsidRPr="00EA1A6D">
        <w:rPr>
          <w:rFonts w:ascii="Arial" w:eastAsia="Calibri" w:hAnsi="Arial" w:cs="Arial"/>
          <w:szCs w:val="22"/>
        </w:rPr>
        <w:t xml:space="preserve"> under the age of five in Indonesia</w:t>
      </w:r>
      <w:r w:rsidR="00A148C5" w:rsidRPr="00EA1A6D">
        <w:rPr>
          <w:rFonts w:ascii="Arial" w:eastAsia="Calibri" w:hAnsi="Arial" w:cs="Arial"/>
          <w:szCs w:val="22"/>
        </w:rPr>
        <w:t>,</w:t>
      </w:r>
      <w:r w:rsidRPr="00EA1A6D">
        <w:rPr>
          <w:rFonts w:ascii="Arial" w:eastAsia="Calibri" w:hAnsi="Arial" w:cs="Arial"/>
          <w:szCs w:val="22"/>
        </w:rPr>
        <w:t xml:space="preserve"> </w:t>
      </w:r>
      <w:r w:rsidR="00A148C5" w:rsidRPr="00EA1A6D">
        <w:rPr>
          <w:rFonts w:ascii="Arial" w:eastAsia="Calibri" w:hAnsi="Arial" w:cs="Arial"/>
          <w:szCs w:val="22"/>
        </w:rPr>
        <w:t>decreasing</w:t>
      </w:r>
      <w:r w:rsidRPr="00EA1A6D">
        <w:rPr>
          <w:rFonts w:ascii="Arial" w:eastAsia="Calibri" w:hAnsi="Arial" w:cs="Arial"/>
          <w:szCs w:val="22"/>
        </w:rPr>
        <w:t xml:space="preserve"> from 46.8% to 36.7%.  In 2007, the Basic Health Research Survey found that 36.8% of Indonesian </w:t>
      </w:r>
      <w:r w:rsidR="00A148C5" w:rsidRPr="00EA1A6D">
        <w:rPr>
          <w:rFonts w:ascii="Arial" w:eastAsia="Calibri" w:hAnsi="Arial" w:cs="Arial"/>
          <w:szCs w:val="22"/>
        </w:rPr>
        <w:t>toddlers</w:t>
      </w:r>
      <w:r w:rsidRPr="00EA1A6D">
        <w:rPr>
          <w:rFonts w:ascii="Arial" w:eastAsia="Calibri" w:hAnsi="Arial" w:cs="Arial"/>
          <w:szCs w:val="22"/>
        </w:rPr>
        <w:t xml:space="preserve"> under the age of 5 were stunted</w:t>
      </w:r>
      <w:r w:rsidR="00A148C5" w:rsidRPr="00EA1A6D">
        <w:rPr>
          <w:rFonts w:ascii="Arial" w:eastAsia="Calibri" w:hAnsi="Arial" w:cs="Arial"/>
          <w:szCs w:val="22"/>
        </w:rPr>
        <w:t>;</w:t>
      </w:r>
      <w:r w:rsidRPr="00EA1A6D">
        <w:rPr>
          <w:rFonts w:ascii="Arial" w:eastAsia="Calibri" w:hAnsi="Arial" w:cs="Arial"/>
          <w:szCs w:val="22"/>
        </w:rPr>
        <w:t xml:space="preserve"> these survey results are consistent with this.  According to 2013 data from the Basic Health Research Survey, the proportion of stunted children in Indonesia has reached 37.2% </w:t>
      </w:r>
      <w:r w:rsidR="00956784" w:rsidRPr="00EA1A6D">
        <w:rPr>
          <w:rFonts w:ascii="Arial" w:eastAsia="Calibri" w:hAnsi="Arial" w:cs="Arial"/>
          <w:szCs w:val="22"/>
        </w:rPr>
        <w:t>(</w:t>
      </w:r>
      <w:proofErr w:type="spellStart"/>
      <w:r w:rsidR="00956784" w:rsidRPr="00EA1A6D">
        <w:rPr>
          <w:rFonts w:ascii="Arial" w:eastAsia="Calibri" w:hAnsi="Arial" w:cs="Arial"/>
          <w:szCs w:val="22"/>
        </w:rPr>
        <w:t>Sartike</w:t>
      </w:r>
      <w:proofErr w:type="spellEnd"/>
      <w:r w:rsidR="00956784" w:rsidRPr="00EA1A6D">
        <w:rPr>
          <w:rFonts w:ascii="Arial" w:eastAsia="Calibri" w:hAnsi="Arial" w:cs="Arial"/>
          <w:szCs w:val="22"/>
        </w:rPr>
        <w:t xml:space="preserve"> et al, 2021)</w:t>
      </w:r>
      <w:r w:rsidRPr="00EA1A6D">
        <w:rPr>
          <w:rFonts w:ascii="Arial" w:eastAsia="Calibri" w:hAnsi="Arial" w:cs="Arial"/>
          <w:szCs w:val="22"/>
        </w:rPr>
        <w:t xml:space="preserve">. </w:t>
      </w:r>
      <w:proofErr w:type="spellStart"/>
      <w:r w:rsidRPr="00EA1A6D">
        <w:rPr>
          <w:rFonts w:ascii="Arial" w:eastAsia="Calibri" w:hAnsi="Arial" w:cs="Arial"/>
          <w:szCs w:val="22"/>
        </w:rPr>
        <w:t>Sartika</w:t>
      </w:r>
      <w:proofErr w:type="spellEnd"/>
      <w:r w:rsidRPr="00EA1A6D">
        <w:rPr>
          <w:rFonts w:ascii="Arial" w:eastAsia="Calibri" w:hAnsi="Arial" w:cs="Arial"/>
          <w:szCs w:val="22"/>
        </w:rPr>
        <w:t xml:space="preserve"> et all found that 20.8% of the 559 children studied were stunted.  When low birth weight (LBW) was used as a predictor for stunting, children who weighed less than 2.500 g at birth experienced diarrhea within 2 weeks, and as infants aged 9-11 months, they received insufficient basic immunizations.  Without LBW, children with preterm birth, short maternal stature, and insufficient basic vaccination coverage for babies aged 9-11 months were more likely to experience stunting </w:t>
      </w:r>
      <w:r w:rsidR="00956784" w:rsidRPr="00EA1A6D">
        <w:rPr>
          <w:rFonts w:ascii="Arial" w:eastAsia="Calibri" w:hAnsi="Arial" w:cs="Arial"/>
          <w:szCs w:val="22"/>
        </w:rPr>
        <w:t>(</w:t>
      </w:r>
      <w:proofErr w:type="spellStart"/>
      <w:r w:rsidR="00956784" w:rsidRPr="00EA1A6D">
        <w:rPr>
          <w:rFonts w:ascii="Arial" w:eastAsia="Calibri" w:hAnsi="Arial" w:cs="Arial"/>
          <w:szCs w:val="22"/>
        </w:rPr>
        <w:t>Sartika</w:t>
      </w:r>
      <w:proofErr w:type="spellEnd"/>
      <w:r w:rsidR="00956784" w:rsidRPr="00EA1A6D">
        <w:rPr>
          <w:rFonts w:ascii="Arial" w:eastAsia="Calibri" w:hAnsi="Arial" w:cs="Arial"/>
          <w:szCs w:val="22"/>
        </w:rPr>
        <w:t xml:space="preserve"> et al, 2021)</w:t>
      </w:r>
      <w:r w:rsidRPr="00EA1A6D">
        <w:rPr>
          <w:rFonts w:ascii="Arial" w:eastAsia="Calibri" w:hAnsi="Arial" w:cs="Arial"/>
          <w:szCs w:val="22"/>
        </w:rPr>
        <w:t xml:space="preserve">. </w:t>
      </w:r>
    </w:p>
    <w:p w14:paraId="55E5262E" w14:textId="4136FB6B" w:rsidR="006D6BAC" w:rsidRPr="00EA1A6D" w:rsidRDefault="006D6BAC" w:rsidP="006D6BAC">
      <w:pPr>
        <w:pStyle w:val="Body"/>
        <w:rPr>
          <w:rFonts w:ascii="Arial" w:eastAsia="Calibri" w:hAnsi="Arial" w:cs="Arial"/>
          <w:szCs w:val="22"/>
        </w:rPr>
      </w:pPr>
      <w:r w:rsidRPr="00EA1A6D">
        <w:rPr>
          <w:rFonts w:ascii="Arial" w:eastAsia="Calibri" w:hAnsi="Arial" w:cs="Arial"/>
          <w:szCs w:val="22"/>
        </w:rPr>
        <w:t xml:space="preserve">Stunting and anemia are common health issues in underdeveloped nations.  </w:t>
      </w:r>
      <w:proofErr w:type="spellStart"/>
      <w:r w:rsidRPr="00EA1A6D">
        <w:rPr>
          <w:rFonts w:ascii="Arial" w:eastAsia="Calibri" w:hAnsi="Arial" w:cs="Arial"/>
          <w:szCs w:val="22"/>
        </w:rPr>
        <w:t>Anaemia</w:t>
      </w:r>
      <w:proofErr w:type="spellEnd"/>
      <w:r w:rsidRPr="00EA1A6D">
        <w:rPr>
          <w:rFonts w:ascii="Arial" w:eastAsia="Calibri" w:hAnsi="Arial" w:cs="Arial"/>
          <w:szCs w:val="22"/>
        </w:rPr>
        <w:t xml:space="preserve"> occurs when the body's oxygen-carrying ability and red blood cell count are insufficient to meet its physiological needs.  </w:t>
      </w:r>
      <w:proofErr w:type="spellStart"/>
      <w:r w:rsidRPr="00EA1A6D">
        <w:rPr>
          <w:rFonts w:ascii="Arial" w:eastAsia="Calibri" w:hAnsi="Arial" w:cs="Arial"/>
          <w:szCs w:val="22"/>
        </w:rPr>
        <w:t>Anaemia</w:t>
      </w:r>
      <w:proofErr w:type="spellEnd"/>
      <w:r w:rsidRPr="00EA1A6D">
        <w:rPr>
          <w:rFonts w:ascii="Arial" w:eastAsia="Calibri" w:hAnsi="Arial" w:cs="Arial"/>
          <w:szCs w:val="22"/>
        </w:rPr>
        <w:t xml:space="preserve"> in stunted children is typically caused by an iron deficit.  Children under five are especially prone to anemia and stunting, posing a significant burden for individuals and the country.  Long-term consequences, such as poor nutrition, can negatively damage children's growth and adulthood.  Adults who were stunted as children may have lower productivity, education, and knowledge, leading to an 8% loss in Indonesia's economic growth. Laboratory tests such as </w:t>
      </w:r>
      <w:proofErr w:type="spellStart"/>
      <w:r w:rsidRPr="00EA1A6D">
        <w:rPr>
          <w:rFonts w:ascii="Arial" w:eastAsia="Calibri" w:hAnsi="Arial" w:cs="Arial"/>
          <w:szCs w:val="22"/>
        </w:rPr>
        <w:t>haematology</w:t>
      </w:r>
      <w:proofErr w:type="spellEnd"/>
      <w:r w:rsidRPr="00EA1A6D">
        <w:rPr>
          <w:rFonts w:ascii="Arial" w:eastAsia="Calibri" w:hAnsi="Arial" w:cs="Arial"/>
          <w:szCs w:val="22"/>
        </w:rPr>
        <w:t xml:space="preserve">, serum iron, and ferritin are essential for identifying and treating </w:t>
      </w:r>
      <w:proofErr w:type="spellStart"/>
      <w:r w:rsidRPr="00EA1A6D">
        <w:rPr>
          <w:rFonts w:ascii="Arial" w:eastAsia="Calibri" w:hAnsi="Arial" w:cs="Arial"/>
          <w:szCs w:val="22"/>
        </w:rPr>
        <w:t>anaemia</w:t>
      </w:r>
      <w:proofErr w:type="spellEnd"/>
      <w:r w:rsidRPr="00EA1A6D">
        <w:rPr>
          <w:rFonts w:ascii="Arial" w:eastAsia="Calibri" w:hAnsi="Arial" w:cs="Arial"/>
          <w:szCs w:val="22"/>
        </w:rPr>
        <w:t xml:space="preserve"> in stunted children.  The neutrophil-to-lymphocyte ratio (NLR) and platelet-to-lymphocyte ratio (PLR) are inflammatory markers.  Inflammation has already </w:t>
      </w:r>
      <w:r w:rsidR="00A148C5" w:rsidRPr="00EA1A6D">
        <w:rPr>
          <w:rFonts w:ascii="Arial" w:eastAsia="Calibri" w:hAnsi="Arial" w:cs="Arial"/>
          <w:szCs w:val="22"/>
        </w:rPr>
        <w:t xml:space="preserve">been </w:t>
      </w:r>
      <w:r w:rsidRPr="00EA1A6D">
        <w:rPr>
          <w:rFonts w:ascii="Arial" w:eastAsia="Calibri" w:hAnsi="Arial" w:cs="Arial"/>
          <w:szCs w:val="22"/>
        </w:rPr>
        <w:t xml:space="preserve">identified as a crucial component. </w:t>
      </w:r>
      <w:r w:rsidR="0082432D" w:rsidRPr="00EA1A6D">
        <w:rPr>
          <w:rFonts w:ascii="Arial" w:eastAsia="Calibri" w:hAnsi="Arial" w:cs="Arial"/>
          <w:szCs w:val="22"/>
        </w:rPr>
        <w:t>(Dessie, 202</w:t>
      </w:r>
      <w:r w:rsidR="00410575" w:rsidRPr="00EA1A6D">
        <w:rPr>
          <w:rFonts w:ascii="Arial" w:eastAsia="Calibri" w:hAnsi="Arial" w:cs="Arial"/>
          <w:szCs w:val="22"/>
        </w:rPr>
        <w:t>5</w:t>
      </w:r>
      <w:r w:rsidR="0082432D" w:rsidRPr="00EA1A6D">
        <w:rPr>
          <w:rFonts w:ascii="Arial" w:eastAsia="Calibri" w:hAnsi="Arial" w:cs="Arial"/>
          <w:szCs w:val="22"/>
        </w:rPr>
        <w:t>)</w:t>
      </w:r>
    </w:p>
    <w:p w14:paraId="44125581" w14:textId="77777777" w:rsidR="00183292" w:rsidRPr="00EA1A6D" w:rsidRDefault="006D6BAC" w:rsidP="00441B6F">
      <w:pPr>
        <w:pStyle w:val="Body"/>
        <w:spacing w:after="0"/>
        <w:rPr>
          <w:rFonts w:ascii="Arial" w:hAnsi="Arial" w:cs="Arial"/>
        </w:rPr>
      </w:pPr>
      <w:r w:rsidRPr="00EA1A6D">
        <w:rPr>
          <w:rFonts w:ascii="Arial" w:eastAsia="Calibri" w:hAnsi="Arial" w:cs="Arial"/>
          <w:szCs w:val="22"/>
        </w:rPr>
        <w:lastRenderedPageBreak/>
        <w:t xml:space="preserve">Malnutrition, inflammation, and atherosclerosis can lead to calcification syndrome.  Severe acute malnutrition can lead to </w:t>
      </w:r>
      <w:proofErr w:type="spellStart"/>
      <w:r w:rsidRPr="00EA1A6D">
        <w:rPr>
          <w:rFonts w:ascii="Arial" w:eastAsia="Calibri" w:hAnsi="Arial" w:cs="Arial"/>
          <w:szCs w:val="22"/>
        </w:rPr>
        <w:t>haematological</w:t>
      </w:r>
      <w:proofErr w:type="spellEnd"/>
      <w:r w:rsidRPr="00EA1A6D">
        <w:rPr>
          <w:rFonts w:ascii="Arial" w:eastAsia="Calibri" w:hAnsi="Arial" w:cs="Arial"/>
          <w:szCs w:val="22"/>
        </w:rPr>
        <w:t xml:space="preserve"> abnormalities such as elevated platelets, neutrophils, and reduced lymphocyte counts.  The Indonesian Association of Clinical Pathology Specialists (PDS </w:t>
      </w:r>
      <w:proofErr w:type="spellStart"/>
      <w:r w:rsidRPr="00EA1A6D">
        <w:rPr>
          <w:rFonts w:ascii="Arial" w:eastAsia="Calibri" w:hAnsi="Arial" w:cs="Arial"/>
          <w:szCs w:val="22"/>
        </w:rPr>
        <w:t>PatKLin</w:t>
      </w:r>
      <w:proofErr w:type="spellEnd"/>
      <w:r w:rsidRPr="00EA1A6D">
        <w:rPr>
          <w:rFonts w:ascii="Arial" w:eastAsia="Calibri" w:hAnsi="Arial" w:cs="Arial"/>
          <w:szCs w:val="22"/>
        </w:rPr>
        <w:t xml:space="preserve">) recognized the need to do laboratory testing for stunted children to detect illnesses.  Stunted children may have underlying or concomitant disorders, which can be detected with </w:t>
      </w:r>
      <w:proofErr w:type="spellStart"/>
      <w:r w:rsidRPr="00EA1A6D">
        <w:rPr>
          <w:rFonts w:ascii="Arial" w:eastAsia="Calibri" w:hAnsi="Arial" w:cs="Arial"/>
          <w:szCs w:val="22"/>
        </w:rPr>
        <w:t>haematological</w:t>
      </w:r>
      <w:proofErr w:type="spellEnd"/>
      <w:r w:rsidRPr="00EA1A6D">
        <w:rPr>
          <w:rFonts w:ascii="Arial" w:eastAsia="Calibri" w:hAnsi="Arial" w:cs="Arial"/>
          <w:szCs w:val="22"/>
        </w:rPr>
        <w:t xml:space="preserve"> screening and inflammatory indicators. </w:t>
      </w:r>
      <w:r w:rsidR="00956784" w:rsidRPr="00EA1A6D">
        <w:rPr>
          <w:rFonts w:ascii="Arial" w:eastAsia="Calibri" w:hAnsi="Arial" w:cs="Arial"/>
          <w:szCs w:val="22"/>
        </w:rPr>
        <w:t>(</w:t>
      </w:r>
      <w:proofErr w:type="spellStart"/>
      <w:r w:rsidR="00956784" w:rsidRPr="00EA1A6D">
        <w:rPr>
          <w:rFonts w:ascii="Arial" w:eastAsia="Calibri" w:hAnsi="Arial" w:cs="Arial"/>
          <w:szCs w:val="22"/>
        </w:rPr>
        <w:t>Budiail</w:t>
      </w:r>
      <w:r w:rsidR="00757DBA" w:rsidRPr="00EA1A6D">
        <w:rPr>
          <w:rFonts w:ascii="Arial" w:eastAsia="Calibri" w:hAnsi="Arial" w:cs="Arial"/>
          <w:szCs w:val="22"/>
        </w:rPr>
        <w:t>miawan</w:t>
      </w:r>
      <w:proofErr w:type="spellEnd"/>
      <w:r w:rsidR="00757DBA" w:rsidRPr="00EA1A6D">
        <w:rPr>
          <w:rFonts w:ascii="Arial" w:eastAsia="Calibri" w:hAnsi="Arial" w:cs="Arial"/>
          <w:szCs w:val="22"/>
        </w:rPr>
        <w:t xml:space="preserve">, 2024). </w:t>
      </w:r>
      <w:r w:rsidRPr="00EA1A6D">
        <w:rPr>
          <w:rFonts w:ascii="Arial" w:hAnsi="Arial" w:cs="Arial"/>
        </w:rPr>
        <w:t xml:space="preserve"> </w:t>
      </w:r>
    </w:p>
    <w:p w14:paraId="232E39ED" w14:textId="77777777" w:rsidR="00183292" w:rsidRPr="00EA1A6D" w:rsidRDefault="00183292" w:rsidP="00441B6F">
      <w:pPr>
        <w:pStyle w:val="Body"/>
        <w:spacing w:after="0"/>
        <w:rPr>
          <w:rFonts w:ascii="Arial" w:hAnsi="Arial" w:cs="Arial"/>
        </w:rPr>
      </w:pPr>
    </w:p>
    <w:p w14:paraId="2D76C3AA" w14:textId="4F3EC396" w:rsidR="00790ADA" w:rsidRPr="00EA1A6D" w:rsidRDefault="00183292" w:rsidP="00441B6F">
      <w:pPr>
        <w:pStyle w:val="Body"/>
        <w:spacing w:after="0"/>
        <w:rPr>
          <w:rFonts w:ascii="Arial" w:hAnsi="Arial" w:cs="Arial"/>
        </w:rPr>
      </w:pPr>
      <w:r w:rsidRPr="00EA1A6D">
        <w:rPr>
          <w:rFonts w:ascii="Arial" w:hAnsi="Arial" w:cs="Arial"/>
        </w:rPr>
        <w:t xml:space="preserve">Based on this background, the researcher is interested in analyzing </w:t>
      </w:r>
      <w:r w:rsidR="00CA72D5" w:rsidRPr="00EA1A6D">
        <w:rPr>
          <w:rFonts w:ascii="Arial" w:hAnsi="Arial" w:cs="Arial"/>
        </w:rPr>
        <w:t>and determining the differences in hemoglobin, hematocrit, MCV, MCH, and leukocyte counts (</w:t>
      </w:r>
      <w:r w:rsidRPr="00EA1A6D">
        <w:rPr>
          <w:rFonts w:ascii="Arial" w:hAnsi="Arial" w:cs="Arial"/>
        </w:rPr>
        <w:t xml:space="preserve">hematological </w:t>
      </w:r>
      <w:r w:rsidR="00D23D77" w:rsidRPr="00EA1A6D">
        <w:rPr>
          <w:rFonts w:ascii="Arial" w:hAnsi="Arial" w:cs="Arial"/>
        </w:rPr>
        <w:t>description</w:t>
      </w:r>
      <w:r w:rsidR="00CA72D5" w:rsidRPr="00EA1A6D">
        <w:rPr>
          <w:rFonts w:ascii="Arial" w:hAnsi="Arial" w:cs="Arial"/>
        </w:rPr>
        <w:t>)</w:t>
      </w:r>
      <w:r w:rsidRPr="00EA1A6D">
        <w:rPr>
          <w:rFonts w:ascii="Arial" w:hAnsi="Arial" w:cs="Arial"/>
        </w:rPr>
        <w:t xml:space="preserve"> of stunted and non-stunted toddlers in the </w:t>
      </w:r>
      <w:proofErr w:type="spellStart"/>
      <w:r w:rsidRPr="00EA1A6D">
        <w:rPr>
          <w:rFonts w:ascii="Arial" w:hAnsi="Arial" w:cs="Arial"/>
        </w:rPr>
        <w:t>Lokus</w:t>
      </w:r>
      <w:proofErr w:type="spellEnd"/>
      <w:r w:rsidRPr="00EA1A6D">
        <w:rPr>
          <w:rFonts w:ascii="Arial" w:hAnsi="Arial" w:cs="Arial"/>
        </w:rPr>
        <w:t xml:space="preserve"> </w:t>
      </w:r>
      <w:proofErr w:type="spellStart"/>
      <w:r w:rsidRPr="00EA1A6D">
        <w:rPr>
          <w:rFonts w:ascii="Arial" w:hAnsi="Arial" w:cs="Arial"/>
        </w:rPr>
        <w:t>Gunung</w:t>
      </w:r>
      <w:proofErr w:type="spellEnd"/>
      <w:r w:rsidRPr="00EA1A6D">
        <w:rPr>
          <w:rFonts w:ascii="Arial" w:hAnsi="Arial" w:cs="Arial"/>
        </w:rPr>
        <w:t xml:space="preserve"> </w:t>
      </w:r>
      <w:proofErr w:type="spellStart"/>
      <w:r w:rsidRPr="00EA1A6D">
        <w:rPr>
          <w:rFonts w:ascii="Arial" w:hAnsi="Arial" w:cs="Arial"/>
        </w:rPr>
        <w:t>Pancar</w:t>
      </w:r>
      <w:proofErr w:type="spellEnd"/>
      <w:r w:rsidRPr="00EA1A6D">
        <w:rPr>
          <w:rFonts w:ascii="Arial" w:hAnsi="Arial" w:cs="Arial"/>
        </w:rPr>
        <w:t xml:space="preserve"> Sentul village.   </w:t>
      </w:r>
      <w:r w:rsidR="00CA72D5" w:rsidRPr="00EA1A6D">
        <w:rPr>
          <w:rFonts w:ascii="Arial" w:hAnsi="Arial" w:cs="Arial"/>
        </w:rPr>
        <w:t>Prediction of anemia condition as p</w:t>
      </w:r>
      <w:r w:rsidRPr="00EA1A6D">
        <w:rPr>
          <w:rFonts w:ascii="Arial" w:hAnsi="Arial" w:cs="Arial"/>
        </w:rPr>
        <w:t>reventive measures through toddler nutrient intake, considering that the long-term effects caused by this condition can affect the socio-economic life of patients, families, and the country</w:t>
      </w:r>
      <w:r w:rsidR="00D23D77" w:rsidRPr="00EA1A6D">
        <w:rPr>
          <w:rFonts w:ascii="Arial" w:hAnsi="Arial" w:cs="Arial"/>
        </w:rPr>
        <w:t>]</w:t>
      </w:r>
    </w:p>
    <w:p w14:paraId="09CF8881" w14:textId="77777777" w:rsidR="00183292" w:rsidRPr="00EA1A6D" w:rsidRDefault="00183292" w:rsidP="00441B6F">
      <w:pPr>
        <w:pStyle w:val="Body"/>
        <w:spacing w:after="0"/>
        <w:rPr>
          <w:rFonts w:ascii="Arial" w:hAnsi="Arial" w:cs="Arial"/>
        </w:rPr>
      </w:pPr>
    </w:p>
    <w:p w14:paraId="01D7EC74" w14:textId="6193FDDD" w:rsidR="00790ADA" w:rsidRPr="00EA1A6D" w:rsidRDefault="00932AD1" w:rsidP="00441B6F">
      <w:pPr>
        <w:pStyle w:val="AbstHead"/>
        <w:spacing w:after="0"/>
        <w:jc w:val="both"/>
        <w:rPr>
          <w:rFonts w:ascii="Arial" w:hAnsi="Arial" w:cs="Arial"/>
        </w:rPr>
      </w:pPr>
      <w:r w:rsidRPr="00EA1A6D">
        <w:rPr>
          <w:rFonts w:ascii="Arial" w:hAnsi="Arial" w:cs="Arial"/>
        </w:rPr>
        <w:t>Materials</w:t>
      </w:r>
      <w:r w:rsidR="00902823" w:rsidRPr="00EA1A6D">
        <w:rPr>
          <w:rFonts w:ascii="Arial" w:hAnsi="Arial" w:cs="Arial"/>
        </w:rPr>
        <w:t xml:space="preserve"> and method</w:t>
      </w:r>
      <w:r w:rsidR="00000F8F" w:rsidRPr="00EA1A6D">
        <w:rPr>
          <w:rFonts w:ascii="Arial" w:hAnsi="Arial" w:cs="Arial"/>
        </w:rPr>
        <w:t xml:space="preserve">s </w:t>
      </w:r>
    </w:p>
    <w:p w14:paraId="3C9511D6" w14:textId="77777777" w:rsidR="00757DBA" w:rsidRPr="00EA1A6D" w:rsidRDefault="00757DBA" w:rsidP="00441B6F">
      <w:pPr>
        <w:pStyle w:val="AbstHead"/>
        <w:spacing w:after="0"/>
        <w:jc w:val="both"/>
        <w:rPr>
          <w:rFonts w:ascii="Arial" w:hAnsi="Arial" w:cs="Arial"/>
        </w:rPr>
      </w:pPr>
    </w:p>
    <w:p w14:paraId="3A48AD43" w14:textId="6117E767" w:rsidR="00E66E10" w:rsidRPr="00EA1A6D" w:rsidRDefault="006B57D0" w:rsidP="00D1172D">
      <w:pPr>
        <w:pStyle w:val="Body"/>
        <w:spacing w:after="0"/>
        <w:rPr>
          <w:rFonts w:ascii="Arial" w:hAnsi="Arial" w:cs="Arial"/>
        </w:rPr>
      </w:pPr>
      <w:r w:rsidRPr="00EA1A6D">
        <w:rPr>
          <w:rFonts w:ascii="Arial" w:hAnsi="Arial" w:cs="Arial"/>
        </w:rPr>
        <w:t>[</w:t>
      </w:r>
      <w:r w:rsidR="00933CB6" w:rsidRPr="00EA1A6D">
        <w:rPr>
          <w:rFonts w:ascii="Arial" w:hAnsi="Arial" w:cs="Arial"/>
        </w:rPr>
        <w:t xml:space="preserve">This study is included in the type of observational case control analytical research with a cross-sectional design, located in </w:t>
      </w:r>
      <w:proofErr w:type="spellStart"/>
      <w:r w:rsidR="00933CB6" w:rsidRPr="00EA1A6D">
        <w:rPr>
          <w:rFonts w:ascii="Arial" w:hAnsi="Arial" w:cs="Arial"/>
        </w:rPr>
        <w:t>Babakan</w:t>
      </w:r>
      <w:proofErr w:type="spellEnd"/>
      <w:r w:rsidR="00933CB6" w:rsidRPr="00EA1A6D">
        <w:rPr>
          <w:rFonts w:ascii="Arial" w:hAnsi="Arial" w:cs="Arial"/>
        </w:rPr>
        <w:t xml:space="preserve"> </w:t>
      </w:r>
      <w:proofErr w:type="spellStart"/>
      <w:r w:rsidR="00933CB6" w:rsidRPr="00EA1A6D">
        <w:rPr>
          <w:rFonts w:ascii="Arial" w:hAnsi="Arial" w:cs="Arial"/>
        </w:rPr>
        <w:t>Mandang</w:t>
      </w:r>
      <w:proofErr w:type="spellEnd"/>
      <w:r w:rsidR="00933CB6" w:rsidRPr="00EA1A6D">
        <w:rPr>
          <w:rFonts w:ascii="Arial" w:hAnsi="Arial" w:cs="Arial"/>
        </w:rPr>
        <w:t xml:space="preserve"> </w:t>
      </w:r>
      <w:proofErr w:type="spellStart"/>
      <w:r w:rsidR="00933CB6" w:rsidRPr="00EA1A6D">
        <w:rPr>
          <w:rFonts w:ascii="Arial" w:hAnsi="Arial" w:cs="Arial"/>
        </w:rPr>
        <w:t>Gunung</w:t>
      </w:r>
      <w:proofErr w:type="spellEnd"/>
      <w:r w:rsidR="00933CB6" w:rsidRPr="00EA1A6D">
        <w:rPr>
          <w:rFonts w:ascii="Arial" w:hAnsi="Arial" w:cs="Arial"/>
        </w:rPr>
        <w:t xml:space="preserve"> </w:t>
      </w:r>
      <w:proofErr w:type="spellStart"/>
      <w:r w:rsidR="00933CB6" w:rsidRPr="00EA1A6D">
        <w:rPr>
          <w:rFonts w:ascii="Arial" w:hAnsi="Arial" w:cs="Arial"/>
        </w:rPr>
        <w:t>Pancar</w:t>
      </w:r>
      <w:proofErr w:type="spellEnd"/>
      <w:r w:rsidR="00932AD1" w:rsidRPr="00EA1A6D">
        <w:rPr>
          <w:rFonts w:ascii="Arial" w:hAnsi="Arial" w:cs="Arial"/>
        </w:rPr>
        <w:t>,</w:t>
      </w:r>
      <w:r w:rsidR="00933CB6" w:rsidRPr="00EA1A6D">
        <w:rPr>
          <w:rFonts w:ascii="Arial" w:hAnsi="Arial" w:cs="Arial"/>
        </w:rPr>
        <w:t xml:space="preserve"> Sentul</w:t>
      </w:r>
      <w:r w:rsidR="00932AD1" w:rsidRPr="00EA1A6D">
        <w:rPr>
          <w:rFonts w:ascii="Arial" w:hAnsi="Arial" w:cs="Arial"/>
        </w:rPr>
        <w:t>,</w:t>
      </w:r>
      <w:r w:rsidR="00933CB6" w:rsidRPr="00EA1A6D">
        <w:rPr>
          <w:rFonts w:ascii="Arial" w:hAnsi="Arial" w:cs="Arial"/>
        </w:rPr>
        <w:t xml:space="preserve"> West Java. The research instrument uses primary data obtained from the results of anthropometric (based on WHO-Anthro) and hematological examinations. The sampling method employed is non-probability sampling, specifically quota sampling. The total sample size in this study was 42, with each group comprising 21 samples. Ethical Clearance no. 004/</w:t>
      </w:r>
      <w:proofErr w:type="spellStart"/>
      <w:r w:rsidR="00933CB6" w:rsidRPr="00EA1A6D">
        <w:rPr>
          <w:rFonts w:ascii="Arial" w:hAnsi="Arial" w:cs="Arial"/>
        </w:rPr>
        <w:t>Etik</w:t>
      </w:r>
      <w:proofErr w:type="spellEnd"/>
      <w:r w:rsidR="00933CB6" w:rsidRPr="00EA1A6D">
        <w:rPr>
          <w:rFonts w:ascii="Arial" w:hAnsi="Arial" w:cs="Arial"/>
        </w:rPr>
        <w:t xml:space="preserve"> </w:t>
      </w:r>
      <w:proofErr w:type="spellStart"/>
      <w:r w:rsidR="00933CB6" w:rsidRPr="00EA1A6D">
        <w:rPr>
          <w:rFonts w:ascii="Arial" w:hAnsi="Arial" w:cs="Arial"/>
        </w:rPr>
        <w:t>Penelitian</w:t>
      </w:r>
      <w:proofErr w:type="spellEnd"/>
      <w:r w:rsidR="00933CB6" w:rsidRPr="00EA1A6D">
        <w:rPr>
          <w:rFonts w:ascii="Arial" w:hAnsi="Arial" w:cs="Arial"/>
        </w:rPr>
        <w:t>/FKUKI/2023. Data processing was carried out using the SPSS program. Data analysis used comparative analysis. The variables to be studied include</w:t>
      </w:r>
      <w:r w:rsidR="00932AD1" w:rsidRPr="00EA1A6D">
        <w:rPr>
          <w:rFonts w:ascii="Arial" w:hAnsi="Arial" w:cs="Arial"/>
        </w:rPr>
        <w:t>:</w:t>
      </w:r>
      <w:r w:rsidR="00933CB6" w:rsidRPr="00EA1A6D">
        <w:rPr>
          <w:rFonts w:ascii="Arial" w:hAnsi="Arial" w:cs="Arial"/>
        </w:rPr>
        <w:t xml:space="preserve"> Hemoglobin, Hematocrit, MCV, MCH, and Leukocytes. </w:t>
      </w:r>
      <w:r w:rsidR="00465207" w:rsidRPr="00EA1A6D">
        <w:rPr>
          <w:rFonts w:ascii="Arial" w:hAnsi="Arial" w:cs="Arial"/>
        </w:rPr>
        <w:t>Determination of stunting status is based on height for age (HAZ) WHO anthropometry analysis (SD ≤ -2</w:t>
      </w:r>
      <w:proofErr w:type="gramStart"/>
      <w:r w:rsidR="00465207" w:rsidRPr="00EA1A6D">
        <w:rPr>
          <w:rFonts w:ascii="Arial" w:hAnsi="Arial" w:cs="Arial"/>
        </w:rPr>
        <w:t>) .</w:t>
      </w:r>
      <w:proofErr w:type="gramEnd"/>
    </w:p>
    <w:p w14:paraId="112BB4F1" w14:textId="77777777" w:rsidR="00790ADA" w:rsidRPr="00EA1A6D" w:rsidRDefault="00790ADA" w:rsidP="00441B6F">
      <w:pPr>
        <w:pStyle w:val="Body"/>
        <w:spacing w:after="0"/>
        <w:rPr>
          <w:rFonts w:ascii="Arial" w:hAnsi="Arial" w:cs="Arial"/>
        </w:rPr>
      </w:pPr>
    </w:p>
    <w:p w14:paraId="54C92D9C" w14:textId="6BB67846" w:rsidR="00B726F5" w:rsidRPr="00EA1A6D" w:rsidRDefault="00B726F5" w:rsidP="00B726F5">
      <w:pPr>
        <w:pStyle w:val="Body"/>
        <w:spacing w:after="0"/>
        <w:rPr>
          <w:rFonts w:ascii="Arial" w:hAnsi="Arial" w:cs="Arial"/>
          <w:b/>
          <w:caps/>
          <w:sz w:val="22"/>
        </w:rPr>
      </w:pPr>
      <w:r w:rsidRPr="00EA1A6D">
        <w:rPr>
          <w:rFonts w:ascii="Arial" w:hAnsi="Arial" w:cs="Arial"/>
          <w:b/>
          <w:caps/>
          <w:sz w:val="22"/>
        </w:rPr>
        <w:t>Hematology analysis</w:t>
      </w:r>
    </w:p>
    <w:p w14:paraId="55473B3B" w14:textId="77777777" w:rsidR="00B726F5" w:rsidRPr="00EA1A6D" w:rsidRDefault="00B726F5" w:rsidP="00B726F5">
      <w:pPr>
        <w:pStyle w:val="Body"/>
        <w:spacing w:after="0"/>
        <w:rPr>
          <w:rFonts w:ascii="Arial" w:hAnsi="Arial" w:cs="Arial"/>
        </w:rPr>
      </w:pPr>
    </w:p>
    <w:p w14:paraId="42BBD3A2" w14:textId="6D541236" w:rsidR="00B726F5" w:rsidRPr="00EA1A6D" w:rsidRDefault="00B726F5" w:rsidP="00586A16">
      <w:pPr>
        <w:pStyle w:val="Body"/>
        <w:spacing w:after="0"/>
        <w:rPr>
          <w:rFonts w:ascii="Arial" w:hAnsi="Arial" w:cs="Arial"/>
        </w:rPr>
      </w:pPr>
      <w:r w:rsidRPr="00EA1A6D">
        <w:rPr>
          <w:rFonts w:ascii="Arial" w:hAnsi="Arial" w:cs="Arial"/>
        </w:rPr>
        <w:t xml:space="preserve">The Sysmex XN-350 principle is based on fluorescence flow cytometry, hydrodynamic focusing, and a cyanide-free SLS hemoglobin method to provide a 6-part white blood cell differential. Blood cells are stained with a </w:t>
      </w:r>
      <w:proofErr w:type="spellStart"/>
      <w:r w:rsidRPr="00EA1A6D">
        <w:rPr>
          <w:rFonts w:ascii="Arial" w:hAnsi="Arial" w:cs="Arial"/>
        </w:rPr>
        <w:t>fluoroc</w:t>
      </w:r>
      <w:proofErr w:type="spellEnd"/>
      <w:r w:rsidRPr="00EA1A6D">
        <w:rPr>
          <w:rFonts w:ascii="Arial" w:hAnsi="Arial" w:cs="Arial"/>
        </w:rPr>
        <w:t xml:space="preserve"> reagent and then analyzed in a fluid stream, where forward scattered light, side scattered light, and side fluorescent light are detected to differentiate and count various cell types. For red blood cell and platelet counting, hydrodynamic focusing is used to minimize coincidence and recount errors, while hemoglobin is determined by the cyanide-free SLS method</w:t>
      </w:r>
      <w:r w:rsidR="00C85A22" w:rsidRPr="00EA1A6D">
        <w:rPr>
          <w:rFonts w:ascii="Arial" w:hAnsi="Arial" w:cs="Arial"/>
        </w:rPr>
        <w:t xml:space="preserve"> as </w:t>
      </w:r>
      <w:r w:rsidR="00465207" w:rsidRPr="00EA1A6D">
        <w:rPr>
          <w:rFonts w:ascii="Arial" w:hAnsi="Arial" w:cs="Arial"/>
        </w:rPr>
        <w:t>follows</w:t>
      </w:r>
      <w:r w:rsidR="00C85A22" w:rsidRPr="00EA1A6D">
        <w:rPr>
          <w:rFonts w:ascii="Arial" w:hAnsi="Arial" w:cs="Arial"/>
        </w:rPr>
        <w:t>:</w:t>
      </w:r>
      <w:r w:rsidR="00586A16" w:rsidRPr="00EA1A6D">
        <w:rPr>
          <w:rFonts w:ascii="Arial" w:hAnsi="Arial" w:cs="Arial"/>
        </w:rPr>
        <w:t xml:space="preserve"> (</w:t>
      </w:r>
      <w:proofErr w:type="spellStart"/>
      <w:r w:rsidR="00586A16" w:rsidRPr="00EA1A6D">
        <w:rPr>
          <w:rFonts w:ascii="Arial" w:hAnsi="Arial" w:cs="Arial"/>
        </w:rPr>
        <w:t>Symex</w:t>
      </w:r>
      <w:proofErr w:type="spellEnd"/>
      <w:r w:rsidR="00586A16" w:rsidRPr="00EA1A6D">
        <w:rPr>
          <w:rFonts w:ascii="Arial" w:hAnsi="Arial" w:cs="Arial"/>
        </w:rPr>
        <w:t>, 2025)</w:t>
      </w:r>
    </w:p>
    <w:p w14:paraId="602B2DDB" w14:textId="77777777" w:rsidR="00B726F5" w:rsidRPr="00EA1A6D" w:rsidRDefault="00B726F5" w:rsidP="00586A16">
      <w:pPr>
        <w:pStyle w:val="Body"/>
        <w:spacing w:after="0"/>
        <w:rPr>
          <w:rFonts w:ascii="Arial" w:hAnsi="Arial" w:cs="Arial"/>
        </w:rPr>
      </w:pPr>
      <w:r w:rsidRPr="00EA1A6D">
        <w:rPr>
          <w:rFonts w:ascii="Arial" w:hAnsi="Arial" w:cs="Arial"/>
        </w:rPr>
        <w:t>Fluorescence Flow Cytometry:</w:t>
      </w:r>
    </w:p>
    <w:p w14:paraId="59C850EF" w14:textId="77777777" w:rsidR="00B726F5" w:rsidRPr="00EA1A6D" w:rsidRDefault="00B726F5" w:rsidP="00B726F5">
      <w:pPr>
        <w:pStyle w:val="Body"/>
        <w:spacing w:after="0"/>
        <w:rPr>
          <w:rFonts w:ascii="Arial" w:hAnsi="Arial" w:cs="Arial"/>
        </w:rPr>
      </w:pPr>
      <w:r w:rsidRPr="00EA1A6D">
        <w:rPr>
          <w:rFonts w:ascii="Arial" w:hAnsi="Arial" w:cs="Arial"/>
        </w:rPr>
        <w:t xml:space="preserve">Specific reagents, including </w:t>
      </w:r>
      <w:proofErr w:type="spellStart"/>
      <w:r w:rsidRPr="00EA1A6D">
        <w:rPr>
          <w:rFonts w:ascii="Arial" w:hAnsi="Arial" w:cs="Arial"/>
        </w:rPr>
        <w:t>fluoroc</w:t>
      </w:r>
      <w:proofErr w:type="spellEnd"/>
      <w:r w:rsidRPr="00EA1A6D">
        <w:rPr>
          <w:rFonts w:ascii="Arial" w:hAnsi="Arial" w:cs="Arial"/>
        </w:rPr>
        <w:t xml:space="preserve"> reagent, are used to stain cells. </w:t>
      </w:r>
    </w:p>
    <w:p w14:paraId="340CF6AD" w14:textId="7C6879DC" w:rsidR="00B726F5" w:rsidRPr="00EA1A6D" w:rsidRDefault="00B726F5" w:rsidP="00B726F5">
      <w:pPr>
        <w:pStyle w:val="Body"/>
        <w:spacing w:after="0"/>
        <w:rPr>
          <w:rFonts w:ascii="Arial" w:hAnsi="Arial" w:cs="Arial"/>
        </w:rPr>
      </w:pPr>
      <w:r w:rsidRPr="00EA1A6D">
        <w:rPr>
          <w:rFonts w:ascii="Arial" w:hAnsi="Arial" w:cs="Arial"/>
        </w:rPr>
        <w:t xml:space="preserve">Cells pass through a laser beam one by one, generating signals based on their physical and biochemical properties. The analyzer detects forward scattered light (FSC), side scattered light (SSC), and side fluorescent light (SFL). These signals are converted into electrical impulses, and an original algorithm is used to analyze them on a multi-dimensional scattergram, allowing for the differentiation and counting of cell populations. </w:t>
      </w:r>
    </w:p>
    <w:p w14:paraId="70601D0B" w14:textId="497E45B2" w:rsidR="00B726F5" w:rsidRPr="00EA1A6D" w:rsidRDefault="00B726F5" w:rsidP="00B726F5">
      <w:pPr>
        <w:pStyle w:val="Body"/>
        <w:spacing w:after="0"/>
        <w:rPr>
          <w:rFonts w:ascii="Arial" w:hAnsi="Arial" w:cs="Arial"/>
        </w:rPr>
      </w:pPr>
      <w:r w:rsidRPr="00EA1A6D">
        <w:rPr>
          <w:rFonts w:ascii="Arial" w:hAnsi="Arial" w:cs="Arial"/>
        </w:rPr>
        <w:t>Hydrodynamic Focusing:</w:t>
      </w:r>
    </w:p>
    <w:p w14:paraId="515F7E5B" w14:textId="62E3EF7C" w:rsidR="00B726F5" w:rsidRPr="00EA1A6D" w:rsidRDefault="00B726F5" w:rsidP="00B726F5">
      <w:pPr>
        <w:pStyle w:val="Body"/>
        <w:spacing w:after="0"/>
        <w:rPr>
          <w:rFonts w:ascii="Arial" w:hAnsi="Arial" w:cs="Arial"/>
        </w:rPr>
      </w:pPr>
      <w:r w:rsidRPr="00EA1A6D">
        <w:rPr>
          <w:rFonts w:ascii="Arial" w:hAnsi="Arial" w:cs="Arial"/>
        </w:rPr>
        <w:t xml:space="preserve">This method is used for counting and measuring red blood cells and platelets. Blood cells are aligned in a single file using a fluid stream before passing through a narrow aperture. This technique minimizes the coincidence and recount of cells, leading to more accurate measurements. </w:t>
      </w:r>
    </w:p>
    <w:p w14:paraId="577F42E6" w14:textId="47E6A578" w:rsidR="00B726F5" w:rsidRPr="00EA1A6D" w:rsidRDefault="00B726F5" w:rsidP="00B726F5">
      <w:pPr>
        <w:pStyle w:val="Body"/>
        <w:spacing w:after="0"/>
        <w:rPr>
          <w:rFonts w:ascii="Arial" w:hAnsi="Arial" w:cs="Arial"/>
        </w:rPr>
      </w:pPr>
      <w:r w:rsidRPr="00EA1A6D">
        <w:rPr>
          <w:rFonts w:ascii="Arial" w:hAnsi="Arial" w:cs="Arial"/>
        </w:rPr>
        <w:t>Cyanide-Free SLS Hemoglobin Method:</w:t>
      </w:r>
    </w:p>
    <w:p w14:paraId="711C0872" w14:textId="203FA65C" w:rsidR="00D23D77" w:rsidRPr="00EA1A6D" w:rsidRDefault="00B726F5" w:rsidP="00B726F5">
      <w:pPr>
        <w:pStyle w:val="Body"/>
        <w:spacing w:after="0"/>
        <w:rPr>
          <w:rFonts w:ascii="Arial" w:hAnsi="Arial" w:cs="Arial"/>
        </w:rPr>
      </w:pPr>
      <w:r w:rsidRPr="00EA1A6D">
        <w:rPr>
          <w:rFonts w:ascii="Arial" w:hAnsi="Arial" w:cs="Arial"/>
        </w:rPr>
        <w:t xml:space="preserve">This method is used to determine hemoglobin concentration without the use of toxic reagents or special oxidizing agents. Sodium Lauryl Sulfate (SLS) is used to lyse red blood cells and </w:t>
      </w:r>
      <w:r w:rsidRPr="00EA1A6D">
        <w:rPr>
          <w:rFonts w:ascii="Arial" w:hAnsi="Arial" w:cs="Arial"/>
        </w:rPr>
        <w:lastRenderedPageBreak/>
        <w:t>release hemoglobin. The concentration of hemoglobin is then measured using a colorimetric measurement</w:t>
      </w:r>
      <w:r w:rsidR="00D23D77" w:rsidRPr="00EA1A6D">
        <w:rPr>
          <w:rFonts w:ascii="Arial" w:hAnsi="Arial" w:cs="Arial"/>
        </w:rPr>
        <w:t>.</w:t>
      </w:r>
    </w:p>
    <w:p w14:paraId="64A0BFAE" w14:textId="77777777" w:rsidR="00465207" w:rsidRPr="00EA1A6D" w:rsidRDefault="00465207" w:rsidP="00B726F5">
      <w:pPr>
        <w:pStyle w:val="Body"/>
        <w:spacing w:after="0"/>
        <w:rPr>
          <w:rFonts w:ascii="Arial" w:hAnsi="Arial" w:cs="Arial"/>
        </w:rPr>
      </w:pPr>
    </w:p>
    <w:p w14:paraId="142E9AA0" w14:textId="5341D971" w:rsidR="00D23D77" w:rsidRPr="00EA1A6D" w:rsidRDefault="00D23D77" w:rsidP="00D23D77">
      <w:pPr>
        <w:pStyle w:val="Body"/>
        <w:rPr>
          <w:rFonts w:ascii="Arial" w:hAnsi="Arial" w:cs="Arial"/>
        </w:rPr>
      </w:pPr>
      <w:r w:rsidRPr="00EA1A6D">
        <w:rPr>
          <w:rFonts w:ascii="Arial" w:hAnsi="Arial" w:cs="Arial"/>
        </w:rPr>
        <w:t>Statistical analysis.</w:t>
      </w:r>
    </w:p>
    <w:p w14:paraId="091B20E3" w14:textId="4F566B19" w:rsidR="00AA74E0" w:rsidRPr="00EA1A6D" w:rsidRDefault="00D23D77" w:rsidP="00D23D77">
      <w:pPr>
        <w:pStyle w:val="Body"/>
        <w:spacing w:after="0"/>
        <w:rPr>
          <w:rFonts w:ascii="Arial" w:hAnsi="Arial" w:cs="Arial"/>
        </w:rPr>
      </w:pPr>
      <w:r w:rsidRPr="00EA1A6D">
        <w:rPr>
          <w:rFonts w:ascii="Arial" w:hAnsi="Arial" w:cs="Arial"/>
        </w:rPr>
        <w:t>SPSS version 22 was used to perform the Shapiro-Wilk test for normality assessment. Statistical analysis was carried out using the T-Independent test for quantitative data for different means data.</w:t>
      </w:r>
      <w:r w:rsidR="00AA74E0" w:rsidRPr="00EA1A6D">
        <w:rPr>
          <w:rFonts w:ascii="Arial" w:hAnsi="Arial" w:cs="Arial"/>
        </w:rPr>
        <w:t xml:space="preserve">]  </w:t>
      </w:r>
    </w:p>
    <w:p w14:paraId="70C967D3" w14:textId="77777777" w:rsidR="00790ADA" w:rsidRPr="00EA1A6D" w:rsidRDefault="00790ADA" w:rsidP="00B726F5">
      <w:pPr>
        <w:pStyle w:val="Body"/>
        <w:spacing w:after="0"/>
        <w:rPr>
          <w:rFonts w:ascii="Arial" w:hAnsi="Arial" w:cs="Arial"/>
        </w:rPr>
      </w:pPr>
    </w:p>
    <w:p w14:paraId="79A0EECD" w14:textId="0E9EBFA3" w:rsidR="00902823" w:rsidRPr="00EA1A6D" w:rsidRDefault="00000F8F" w:rsidP="00441B6F">
      <w:pPr>
        <w:pStyle w:val="Head1"/>
        <w:spacing w:after="0"/>
        <w:jc w:val="both"/>
        <w:rPr>
          <w:rFonts w:ascii="Arial" w:hAnsi="Arial" w:cs="Arial"/>
        </w:rPr>
      </w:pPr>
      <w:r w:rsidRPr="00EA1A6D">
        <w:rPr>
          <w:rFonts w:ascii="Arial" w:hAnsi="Arial" w:cs="Arial"/>
        </w:rPr>
        <w:t xml:space="preserve">results </w:t>
      </w:r>
    </w:p>
    <w:p w14:paraId="2DF63712" w14:textId="77777777" w:rsidR="00790ADA" w:rsidRPr="00EA1A6D" w:rsidRDefault="00790ADA" w:rsidP="00441B6F">
      <w:pPr>
        <w:pStyle w:val="Head1"/>
        <w:spacing w:after="0"/>
        <w:jc w:val="both"/>
        <w:rPr>
          <w:rFonts w:ascii="Arial" w:hAnsi="Arial" w:cs="Arial"/>
        </w:rPr>
      </w:pPr>
    </w:p>
    <w:p w14:paraId="72A1D20F" w14:textId="43E8A640" w:rsidR="00D1172D" w:rsidRPr="00EA1A6D" w:rsidRDefault="00D23D77" w:rsidP="00D1172D">
      <w:pPr>
        <w:pStyle w:val="Body"/>
        <w:rPr>
          <w:rFonts w:ascii="Arial" w:hAnsi="Arial" w:cs="Arial"/>
          <w:b/>
          <w:bCs/>
          <w:sz w:val="22"/>
          <w:szCs w:val="22"/>
        </w:rPr>
      </w:pPr>
      <w:r w:rsidRPr="00EA1A6D">
        <w:rPr>
          <w:rFonts w:ascii="Arial" w:hAnsi="Arial" w:cs="Arial"/>
          <w:sz w:val="22"/>
          <w:szCs w:val="22"/>
        </w:rPr>
        <w:t>[</w:t>
      </w:r>
      <w:r w:rsidR="00D1172D" w:rsidRPr="00EA1A6D">
        <w:rPr>
          <w:rFonts w:ascii="Arial" w:hAnsi="Arial" w:cs="Arial"/>
          <w:b/>
          <w:bCs/>
          <w:sz w:val="22"/>
          <w:szCs w:val="22"/>
        </w:rPr>
        <w:t>Subject characteristics</w:t>
      </w:r>
    </w:p>
    <w:p w14:paraId="188B351E" w14:textId="681626A2" w:rsidR="000A033D" w:rsidRPr="00EA1A6D" w:rsidRDefault="00D1172D" w:rsidP="000A033D">
      <w:pPr>
        <w:pStyle w:val="Body"/>
        <w:rPr>
          <w:rFonts w:ascii="Arial" w:hAnsi="Arial" w:cs="Arial"/>
        </w:rPr>
      </w:pPr>
      <w:r w:rsidRPr="00EA1A6D">
        <w:rPr>
          <w:rFonts w:ascii="Arial" w:hAnsi="Arial" w:cs="Arial"/>
        </w:rPr>
        <w:t xml:space="preserve">This study consisted of 42 subjects who met the inclusion criteria. The sample in this study was then divided into two groups, namely, 21 samples of stunted toddlers and 21 samples of non-stunted toddlers. The number of research subjects based on gender did not differ much </w:t>
      </w:r>
      <w:r w:rsidR="001040C9" w:rsidRPr="00EA1A6D">
        <w:rPr>
          <w:rFonts w:ascii="Arial" w:hAnsi="Arial" w:cs="Arial"/>
        </w:rPr>
        <w:t>between</w:t>
      </w:r>
      <w:r w:rsidRPr="00EA1A6D">
        <w:rPr>
          <w:rFonts w:ascii="Arial" w:hAnsi="Arial" w:cs="Arial"/>
        </w:rPr>
        <w:t xml:space="preserve"> the two groups of research subjects. Data showed that stunted toddlers are more common in girls (57.2%) than boys (42.8%) compared with </w:t>
      </w:r>
      <w:r w:rsidR="000A033D" w:rsidRPr="00EA1A6D">
        <w:rPr>
          <w:rFonts w:ascii="Arial" w:hAnsi="Arial" w:cs="Arial"/>
        </w:rPr>
        <w:t>non-stunting</w:t>
      </w:r>
      <w:r w:rsidRPr="00EA1A6D">
        <w:rPr>
          <w:rFonts w:ascii="Arial" w:hAnsi="Arial" w:cs="Arial"/>
        </w:rPr>
        <w:t xml:space="preserve">, girls (52.4%) and boys (47.6%). </w:t>
      </w:r>
    </w:p>
    <w:p w14:paraId="0BBCCC06" w14:textId="1D3EA153" w:rsidR="000A033D" w:rsidRPr="00EA1A6D" w:rsidRDefault="000A033D" w:rsidP="000A033D">
      <w:pPr>
        <w:pStyle w:val="Body"/>
        <w:rPr>
          <w:rFonts w:ascii="Arial" w:hAnsi="Arial" w:cs="Arial"/>
          <w:b/>
          <w:bCs/>
          <w:sz w:val="22"/>
          <w:szCs w:val="22"/>
        </w:rPr>
      </w:pPr>
      <w:r w:rsidRPr="00EA1A6D">
        <w:rPr>
          <w:rFonts w:ascii="Arial" w:hAnsi="Arial" w:cs="Arial"/>
          <w:b/>
          <w:bCs/>
          <w:sz w:val="22"/>
          <w:szCs w:val="22"/>
        </w:rPr>
        <w:t>Subject’s hemoglobin characteristics</w:t>
      </w:r>
    </w:p>
    <w:p w14:paraId="1081021C" w14:textId="639F36DC" w:rsidR="00724972" w:rsidRPr="00EA1A6D" w:rsidRDefault="0004796F" w:rsidP="000A033D">
      <w:pPr>
        <w:pStyle w:val="Body"/>
        <w:rPr>
          <w:rFonts w:ascii="Arial" w:hAnsi="Arial" w:cs="Arial"/>
        </w:rPr>
      </w:pPr>
      <w:r w:rsidRPr="00EA1A6D">
        <w:rPr>
          <w:rFonts w:ascii="Arial" w:hAnsi="Arial" w:cs="Arial"/>
        </w:rPr>
        <w:t xml:space="preserve">In this study, hemoglobin levels were divided into two groups, namely low (Hb </w:t>
      </w:r>
      <w:r w:rsidR="00B17EDE" w:rsidRPr="00EA1A6D">
        <w:rPr>
          <w:rFonts w:ascii="Arial" w:hAnsi="Arial" w:cs="Arial"/>
        </w:rPr>
        <w:t>≤</w:t>
      </w:r>
      <w:r w:rsidRPr="00EA1A6D">
        <w:rPr>
          <w:rFonts w:ascii="Arial" w:hAnsi="Arial" w:cs="Arial"/>
        </w:rPr>
        <w:t xml:space="preserve"> 10.7 g/dL) and normal</w:t>
      </w:r>
      <w:r w:rsidR="00B17EDE" w:rsidRPr="00EA1A6D">
        <w:rPr>
          <w:rFonts w:ascii="Arial" w:hAnsi="Arial" w:cs="Arial"/>
        </w:rPr>
        <w:t xml:space="preserve"> (Hb &gt; 10.7 g/dL)</w:t>
      </w:r>
      <w:r w:rsidRPr="00EA1A6D">
        <w:rPr>
          <w:rFonts w:ascii="Arial" w:hAnsi="Arial" w:cs="Arial"/>
        </w:rPr>
        <w:t xml:space="preserve">. </w:t>
      </w:r>
      <w:r w:rsidR="000A033D" w:rsidRPr="00EA1A6D">
        <w:rPr>
          <w:rFonts w:ascii="Arial" w:hAnsi="Arial" w:cs="Arial"/>
        </w:rPr>
        <w:t xml:space="preserve">Anemia was reported in as many as seven (33.4%) of the stunted </w:t>
      </w:r>
      <w:r w:rsidR="00724972" w:rsidRPr="00EA1A6D">
        <w:rPr>
          <w:rFonts w:ascii="Arial" w:hAnsi="Arial" w:cs="Arial"/>
        </w:rPr>
        <w:t>toddler</w:t>
      </w:r>
      <w:r w:rsidR="000A033D" w:rsidRPr="00EA1A6D">
        <w:rPr>
          <w:rFonts w:ascii="Arial" w:hAnsi="Arial" w:cs="Arial"/>
        </w:rPr>
        <w:t xml:space="preserve"> group, whereas three (14.3%) of the non-stunted </w:t>
      </w:r>
      <w:r w:rsidR="00724972" w:rsidRPr="00EA1A6D">
        <w:rPr>
          <w:rFonts w:ascii="Arial" w:hAnsi="Arial" w:cs="Arial"/>
        </w:rPr>
        <w:t>toddler</w:t>
      </w:r>
      <w:r w:rsidR="000A033D" w:rsidRPr="00EA1A6D">
        <w:rPr>
          <w:rFonts w:ascii="Arial" w:hAnsi="Arial" w:cs="Arial"/>
        </w:rPr>
        <w:t xml:space="preserve"> group encountered anemia.  </w:t>
      </w:r>
      <w:r w:rsidR="001279CF" w:rsidRPr="00EA1A6D">
        <w:rPr>
          <w:rFonts w:ascii="Arial" w:hAnsi="Arial" w:cs="Arial"/>
        </w:rPr>
        <w:t xml:space="preserve">According to </w:t>
      </w:r>
      <w:r w:rsidRPr="00EA1A6D">
        <w:rPr>
          <w:rFonts w:ascii="Arial" w:hAnsi="Arial" w:cs="Arial"/>
        </w:rPr>
        <w:t>the percentage</w:t>
      </w:r>
      <w:r w:rsidR="001279CF" w:rsidRPr="00EA1A6D">
        <w:rPr>
          <w:rFonts w:ascii="Arial" w:hAnsi="Arial" w:cs="Arial"/>
        </w:rPr>
        <w:t xml:space="preserve"> shown in </w:t>
      </w:r>
      <w:r w:rsidR="000A033D" w:rsidRPr="00EA1A6D">
        <w:rPr>
          <w:rFonts w:ascii="Arial" w:hAnsi="Arial" w:cs="Arial"/>
        </w:rPr>
        <w:t xml:space="preserve">Table 1, stunted toddlers have a higher incidence of anemia than non-stunted toddlers.  </w:t>
      </w:r>
    </w:p>
    <w:p w14:paraId="3E26DE03" w14:textId="23EA0B10" w:rsidR="00724972" w:rsidRPr="00EA1A6D" w:rsidRDefault="00724972" w:rsidP="00724972">
      <w:pPr>
        <w:pStyle w:val="Body"/>
        <w:spacing w:after="0"/>
        <w:rPr>
          <w:rFonts w:ascii="Arial" w:hAnsi="Arial" w:cs="Arial"/>
          <w:b/>
          <w:bCs/>
        </w:rPr>
      </w:pPr>
      <w:r w:rsidRPr="00EA1A6D">
        <w:rPr>
          <w:rFonts w:ascii="Arial" w:hAnsi="Arial" w:cs="Arial"/>
          <w:b/>
          <w:bCs/>
        </w:rPr>
        <w:t xml:space="preserve">Table 1. Subject’s </w:t>
      </w:r>
      <w:r w:rsidR="00EC17CE" w:rsidRPr="00EA1A6D">
        <w:rPr>
          <w:rFonts w:ascii="Arial" w:hAnsi="Arial" w:cs="Arial"/>
          <w:b/>
          <w:bCs/>
        </w:rPr>
        <w:t>Hemoglobin</w:t>
      </w:r>
      <w:r w:rsidRPr="00EA1A6D">
        <w:rPr>
          <w:rFonts w:ascii="Arial" w:hAnsi="Arial" w:cs="Arial"/>
          <w:b/>
          <w:bCs/>
        </w:rPr>
        <w:t xml:space="preserve"> characteristic</w:t>
      </w:r>
    </w:p>
    <w:tbl>
      <w:tblPr>
        <w:tblStyle w:val="PlainTable21"/>
        <w:tblpPr w:leftFromText="180" w:rightFromText="180" w:vertAnchor="text" w:horzAnchor="margin" w:tblpXSpec="center" w:tblpY="229"/>
        <w:tblOverlap w:val="never"/>
        <w:tblW w:w="4879" w:type="pct"/>
        <w:tblBorders>
          <w:top w:val="none" w:sz="0" w:space="0" w:color="auto"/>
          <w:bottom w:val="none" w:sz="0" w:space="0" w:color="auto"/>
        </w:tblBorders>
        <w:tblLayout w:type="fixed"/>
        <w:tblLook w:val="04A0" w:firstRow="1" w:lastRow="0" w:firstColumn="1" w:lastColumn="0" w:noHBand="0" w:noVBand="1"/>
      </w:tblPr>
      <w:tblGrid>
        <w:gridCol w:w="182"/>
        <w:gridCol w:w="1624"/>
        <w:gridCol w:w="86"/>
        <w:gridCol w:w="1805"/>
        <w:gridCol w:w="86"/>
        <w:gridCol w:w="541"/>
        <w:gridCol w:w="86"/>
        <w:gridCol w:w="724"/>
        <w:gridCol w:w="86"/>
        <w:gridCol w:w="1173"/>
        <w:gridCol w:w="86"/>
        <w:gridCol w:w="1296"/>
        <w:gridCol w:w="234"/>
      </w:tblGrid>
      <w:tr w:rsidR="00EA1A6D" w:rsidRPr="00EA1A6D" w14:paraId="1576AA92" w14:textId="77777777" w:rsidTr="00724972">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80" w:type="pct"/>
            <w:gridSpan w:val="3"/>
            <w:tcBorders>
              <w:top w:val="single" w:sz="4" w:space="0" w:color="auto"/>
            </w:tcBorders>
          </w:tcPr>
          <w:p w14:paraId="1786D427" w14:textId="77777777" w:rsidR="00724972" w:rsidRPr="00EA1A6D" w:rsidRDefault="00724972" w:rsidP="00724972">
            <w:pPr>
              <w:widowControl w:val="0"/>
              <w:autoSpaceDE w:val="0"/>
              <w:autoSpaceDN w:val="0"/>
              <w:contextualSpacing/>
              <w:jc w:val="center"/>
              <w:rPr>
                <w:rFonts w:ascii="Arial" w:hAnsi="Arial" w:cs="Arial"/>
                <w:kern w:val="2"/>
              </w:rPr>
            </w:pPr>
            <w:bookmarkStart w:id="1" w:name="_Hlk161290171"/>
            <w:r w:rsidRPr="00EA1A6D">
              <w:rPr>
                <w:rFonts w:ascii="Arial" w:hAnsi="Arial" w:cs="Arial"/>
                <w:kern w:val="2"/>
              </w:rPr>
              <w:t>Subjects Group</w:t>
            </w:r>
          </w:p>
        </w:tc>
        <w:tc>
          <w:tcPr>
            <w:tcW w:w="1181" w:type="pct"/>
            <w:gridSpan w:val="2"/>
            <w:tcBorders>
              <w:top w:val="single" w:sz="4" w:space="0" w:color="auto"/>
            </w:tcBorders>
          </w:tcPr>
          <w:p w14:paraId="2A85A8BF" w14:textId="6EC52C69" w:rsidR="00724972" w:rsidRPr="00EA1A6D" w:rsidRDefault="00724972" w:rsidP="00C26387">
            <w:pPr>
              <w:widowControl w:val="0"/>
              <w:autoSpaceDE w:val="0"/>
              <w:autoSpaceDN w:val="0"/>
              <w:contextualSpacing/>
              <w:jc w:val="right"/>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 xml:space="preserve">Hemoglobin </w:t>
            </w:r>
            <w:r w:rsidR="007541FB" w:rsidRPr="00EA1A6D">
              <w:rPr>
                <w:rFonts w:ascii="Arial" w:hAnsi="Arial" w:cs="Arial"/>
                <w:kern w:val="2"/>
              </w:rPr>
              <w:t xml:space="preserve">average </w:t>
            </w:r>
            <w:r w:rsidRPr="00EA1A6D">
              <w:rPr>
                <w:rFonts w:ascii="Arial" w:hAnsi="Arial" w:cs="Arial"/>
                <w:kern w:val="2"/>
              </w:rPr>
              <w:t>level</w:t>
            </w:r>
          </w:p>
        </w:tc>
        <w:tc>
          <w:tcPr>
            <w:tcW w:w="392" w:type="pct"/>
            <w:gridSpan w:val="2"/>
            <w:tcBorders>
              <w:top w:val="single" w:sz="4" w:space="0" w:color="auto"/>
            </w:tcBorders>
          </w:tcPr>
          <w:p w14:paraId="64A7734A" w14:textId="77777777" w:rsidR="00724972" w:rsidRPr="00EA1A6D" w:rsidRDefault="00724972" w:rsidP="00724972">
            <w:pPr>
              <w:widowControl w:val="0"/>
              <w:autoSpaceDE w:val="0"/>
              <w:autoSpaceDN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 xml:space="preserve"> n</w:t>
            </w:r>
          </w:p>
        </w:tc>
        <w:tc>
          <w:tcPr>
            <w:tcW w:w="506" w:type="pct"/>
            <w:gridSpan w:val="2"/>
            <w:tcBorders>
              <w:top w:val="single" w:sz="4" w:space="0" w:color="auto"/>
            </w:tcBorders>
          </w:tcPr>
          <w:p w14:paraId="06FEB7CD" w14:textId="77777777" w:rsidR="00724972" w:rsidRPr="00EA1A6D" w:rsidRDefault="00724972" w:rsidP="00724972">
            <w:pPr>
              <w:widowControl w:val="0"/>
              <w:autoSpaceDE w:val="0"/>
              <w:autoSpaceDN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w:t>
            </w:r>
          </w:p>
        </w:tc>
        <w:tc>
          <w:tcPr>
            <w:tcW w:w="786" w:type="pct"/>
            <w:gridSpan w:val="2"/>
            <w:tcBorders>
              <w:top w:val="single" w:sz="4" w:space="0" w:color="auto"/>
            </w:tcBorders>
          </w:tcPr>
          <w:p w14:paraId="74DDE5BF" w14:textId="77777777" w:rsidR="00724972" w:rsidRPr="00EA1A6D" w:rsidRDefault="00724972" w:rsidP="00724972">
            <w:pPr>
              <w:widowControl w:val="0"/>
              <w:autoSpaceDE w:val="0"/>
              <w:autoSpaceDN w:val="0"/>
              <w:ind w:rightChars="-83" w:right="-16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Average</w:t>
            </w:r>
          </w:p>
        </w:tc>
        <w:tc>
          <w:tcPr>
            <w:tcW w:w="955" w:type="pct"/>
            <w:gridSpan w:val="2"/>
            <w:tcBorders>
              <w:top w:val="single" w:sz="4" w:space="0" w:color="auto"/>
            </w:tcBorders>
          </w:tcPr>
          <w:p w14:paraId="7FC3CC04" w14:textId="32422851" w:rsidR="00724972" w:rsidRPr="00EA1A6D" w:rsidRDefault="00724972" w:rsidP="00724972">
            <w:pPr>
              <w:widowControl w:val="0"/>
              <w:autoSpaceDE w:val="0"/>
              <w:autoSpaceDN w:val="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 xml:space="preserve"> P-value</w:t>
            </w:r>
          </w:p>
        </w:tc>
      </w:tr>
      <w:tr w:rsidR="00EA1A6D" w:rsidRPr="00EA1A6D" w14:paraId="10C0B3BA" w14:textId="77777777" w:rsidTr="00724972">
        <w:trPr>
          <w:gridBefore w:val="1"/>
          <w:gridAfter w:val="1"/>
          <w:wBefore w:w="113" w:type="pct"/>
          <w:wAfter w:w="146" w:type="pct"/>
          <w:trHeight w:val="275"/>
        </w:trPr>
        <w:tc>
          <w:tcPr>
            <w:cnfStyle w:val="001000000000" w:firstRow="0" w:lastRow="0" w:firstColumn="1" w:lastColumn="0" w:oddVBand="0" w:evenVBand="0" w:oddHBand="0" w:evenHBand="0" w:firstRowFirstColumn="0" w:firstRowLastColumn="0" w:lastRowFirstColumn="0" w:lastRowLastColumn="0"/>
            <w:tcW w:w="1013" w:type="pct"/>
            <w:vMerge w:val="restart"/>
          </w:tcPr>
          <w:p w14:paraId="047A52EC" w14:textId="77777777" w:rsidR="00724972" w:rsidRPr="00EA1A6D" w:rsidRDefault="00724972" w:rsidP="00C26387">
            <w:pPr>
              <w:widowControl w:val="0"/>
              <w:autoSpaceDE w:val="0"/>
              <w:autoSpaceDN w:val="0"/>
              <w:contextualSpacing/>
              <w:rPr>
                <w:rFonts w:ascii="Arial" w:hAnsi="Arial" w:cs="Arial"/>
                <w:b w:val="0"/>
                <w:bCs w:val="0"/>
                <w:kern w:val="2"/>
              </w:rPr>
            </w:pPr>
            <w:r w:rsidRPr="00EA1A6D">
              <w:rPr>
                <w:rFonts w:ascii="Arial" w:hAnsi="Arial" w:cs="Arial"/>
                <w:b w:val="0"/>
                <w:bCs w:val="0"/>
                <w:kern w:val="2"/>
              </w:rPr>
              <w:t>Stunting</w:t>
            </w:r>
          </w:p>
        </w:tc>
        <w:tc>
          <w:tcPr>
            <w:tcW w:w="1181" w:type="pct"/>
            <w:gridSpan w:val="2"/>
          </w:tcPr>
          <w:p w14:paraId="63CBDDD5" w14:textId="72D01165" w:rsidR="00724972" w:rsidRPr="00EA1A6D" w:rsidRDefault="00724972" w:rsidP="00C26387">
            <w:pPr>
              <w:widowControl w:val="0"/>
              <w:autoSpaceDE w:val="0"/>
              <w:autoSpaceDN w:val="0"/>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Low</w:t>
            </w:r>
            <w:r w:rsidR="007541FB" w:rsidRPr="00EA1A6D">
              <w:rPr>
                <w:rFonts w:ascii="Arial" w:hAnsi="Arial" w:cs="Arial"/>
                <w:kern w:val="2"/>
              </w:rPr>
              <w:t xml:space="preserve"> (9,1 g/dL)</w:t>
            </w:r>
          </w:p>
        </w:tc>
        <w:tc>
          <w:tcPr>
            <w:tcW w:w="392" w:type="pct"/>
            <w:gridSpan w:val="2"/>
          </w:tcPr>
          <w:p w14:paraId="1F0A13C4"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7</w:t>
            </w:r>
          </w:p>
        </w:tc>
        <w:tc>
          <w:tcPr>
            <w:tcW w:w="506" w:type="pct"/>
            <w:gridSpan w:val="2"/>
          </w:tcPr>
          <w:p w14:paraId="60A50272"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33,4</w:t>
            </w:r>
          </w:p>
        </w:tc>
        <w:tc>
          <w:tcPr>
            <w:tcW w:w="786" w:type="pct"/>
            <w:gridSpan w:val="2"/>
            <w:vMerge w:val="restart"/>
          </w:tcPr>
          <w:p w14:paraId="355BAAC1" w14:textId="6A118FB9" w:rsidR="00724972" w:rsidRPr="00EA1A6D" w:rsidRDefault="00EC17CE"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 xml:space="preserve">   </w:t>
            </w:r>
            <w:r w:rsidR="00724972" w:rsidRPr="00EA1A6D">
              <w:rPr>
                <w:rFonts w:ascii="Arial" w:hAnsi="Arial" w:cs="Arial"/>
                <w:kern w:val="2"/>
              </w:rPr>
              <w:t>10,8 g/dL</w:t>
            </w:r>
          </w:p>
        </w:tc>
        <w:tc>
          <w:tcPr>
            <w:tcW w:w="863" w:type="pct"/>
            <w:gridSpan w:val="2"/>
            <w:vMerge w:val="restart"/>
            <w:vAlign w:val="center"/>
          </w:tcPr>
          <w:p w14:paraId="18B271B4" w14:textId="3AF0AB3F" w:rsidR="00724972" w:rsidRPr="00EA1A6D" w:rsidRDefault="00EC17CE"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i/>
                <w:iCs/>
                <w:kern w:val="2"/>
              </w:rPr>
              <w:t xml:space="preserve">P </w:t>
            </w:r>
            <w:r w:rsidRPr="00EA1A6D">
              <w:rPr>
                <w:rFonts w:ascii="Arial" w:hAnsi="Arial" w:cs="Arial"/>
                <w:kern w:val="2"/>
              </w:rPr>
              <w:t xml:space="preserve">= </w:t>
            </w:r>
            <w:r w:rsidR="00724972" w:rsidRPr="00EA1A6D">
              <w:rPr>
                <w:rFonts w:ascii="Arial" w:hAnsi="Arial" w:cs="Arial"/>
                <w:kern w:val="2"/>
              </w:rPr>
              <w:t>,004</w:t>
            </w:r>
          </w:p>
        </w:tc>
      </w:tr>
      <w:tr w:rsidR="00EA1A6D" w:rsidRPr="00EA1A6D" w14:paraId="2BAE2B54" w14:textId="77777777" w:rsidTr="00724972">
        <w:trPr>
          <w:gridBefore w:val="1"/>
          <w:gridAfter w:val="1"/>
          <w:wBefore w:w="113" w:type="pct"/>
          <w:wAfter w:w="146" w:type="pct"/>
          <w:trHeight w:val="146"/>
        </w:trPr>
        <w:tc>
          <w:tcPr>
            <w:cnfStyle w:val="001000000000" w:firstRow="0" w:lastRow="0" w:firstColumn="1" w:lastColumn="0" w:oddVBand="0" w:evenVBand="0" w:oddHBand="0" w:evenHBand="0" w:firstRowFirstColumn="0" w:firstRowLastColumn="0" w:lastRowFirstColumn="0" w:lastRowLastColumn="0"/>
            <w:tcW w:w="1013" w:type="pct"/>
            <w:vMerge/>
          </w:tcPr>
          <w:p w14:paraId="4BBB95ED" w14:textId="77777777" w:rsidR="00724972" w:rsidRPr="00EA1A6D" w:rsidRDefault="00724972" w:rsidP="00C26387">
            <w:pPr>
              <w:widowControl w:val="0"/>
              <w:autoSpaceDE w:val="0"/>
              <w:autoSpaceDN w:val="0"/>
              <w:contextualSpacing/>
              <w:rPr>
                <w:rFonts w:ascii="Arial" w:hAnsi="Arial" w:cs="Arial"/>
                <w:b w:val="0"/>
                <w:bCs w:val="0"/>
                <w:kern w:val="2"/>
              </w:rPr>
            </w:pPr>
          </w:p>
        </w:tc>
        <w:tc>
          <w:tcPr>
            <w:tcW w:w="1181" w:type="pct"/>
            <w:gridSpan w:val="2"/>
          </w:tcPr>
          <w:p w14:paraId="76737724" w14:textId="5FA1D037" w:rsidR="00724972" w:rsidRPr="00EA1A6D" w:rsidRDefault="00724972" w:rsidP="00C26387">
            <w:pPr>
              <w:widowControl w:val="0"/>
              <w:autoSpaceDE w:val="0"/>
              <w:autoSpaceDN w:val="0"/>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Normal</w:t>
            </w:r>
            <w:r w:rsidR="007541FB" w:rsidRPr="00EA1A6D">
              <w:rPr>
                <w:rFonts w:ascii="Arial" w:hAnsi="Arial" w:cs="Arial"/>
                <w:kern w:val="2"/>
              </w:rPr>
              <w:t xml:space="preserve"> (11,7 g/dL)</w:t>
            </w:r>
          </w:p>
        </w:tc>
        <w:tc>
          <w:tcPr>
            <w:tcW w:w="392" w:type="pct"/>
            <w:gridSpan w:val="2"/>
          </w:tcPr>
          <w:p w14:paraId="46AE9C4F"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14</w:t>
            </w:r>
          </w:p>
        </w:tc>
        <w:tc>
          <w:tcPr>
            <w:tcW w:w="506" w:type="pct"/>
            <w:gridSpan w:val="2"/>
          </w:tcPr>
          <w:p w14:paraId="33AF62D5"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66,6</w:t>
            </w:r>
          </w:p>
        </w:tc>
        <w:tc>
          <w:tcPr>
            <w:tcW w:w="786" w:type="pct"/>
            <w:gridSpan w:val="2"/>
            <w:vMerge/>
          </w:tcPr>
          <w:p w14:paraId="6A6F60F0"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863" w:type="pct"/>
            <w:gridSpan w:val="2"/>
            <w:vMerge/>
          </w:tcPr>
          <w:p w14:paraId="4DE6D60A"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793071F3" w14:textId="77777777" w:rsidTr="00724972">
        <w:trPr>
          <w:gridBefore w:val="1"/>
          <w:gridAfter w:val="1"/>
          <w:wBefore w:w="113" w:type="pct"/>
          <w:wAfter w:w="146" w:type="pct"/>
          <w:trHeight w:val="275"/>
        </w:trPr>
        <w:tc>
          <w:tcPr>
            <w:cnfStyle w:val="001000000000" w:firstRow="0" w:lastRow="0" w:firstColumn="1" w:lastColumn="0" w:oddVBand="0" w:evenVBand="0" w:oddHBand="0" w:evenHBand="0" w:firstRowFirstColumn="0" w:firstRowLastColumn="0" w:lastRowFirstColumn="0" w:lastRowLastColumn="0"/>
            <w:tcW w:w="1013" w:type="pct"/>
            <w:vMerge w:val="restart"/>
          </w:tcPr>
          <w:p w14:paraId="53C10C5B" w14:textId="77777777" w:rsidR="00724972" w:rsidRPr="00EA1A6D" w:rsidRDefault="00724972" w:rsidP="00C26387">
            <w:pPr>
              <w:widowControl w:val="0"/>
              <w:autoSpaceDE w:val="0"/>
              <w:autoSpaceDN w:val="0"/>
              <w:contextualSpacing/>
              <w:rPr>
                <w:rFonts w:ascii="Arial" w:hAnsi="Arial" w:cs="Arial"/>
                <w:b w:val="0"/>
                <w:bCs w:val="0"/>
                <w:kern w:val="2"/>
              </w:rPr>
            </w:pPr>
            <w:r w:rsidRPr="00EA1A6D">
              <w:rPr>
                <w:rFonts w:ascii="Arial" w:hAnsi="Arial" w:cs="Arial"/>
                <w:b w:val="0"/>
                <w:bCs w:val="0"/>
                <w:kern w:val="2"/>
              </w:rPr>
              <w:t>Non-Stunting</w:t>
            </w:r>
          </w:p>
        </w:tc>
        <w:tc>
          <w:tcPr>
            <w:tcW w:w="1181" w:type="pct"/>
            <w:gridSpan w:val="2"/>
          </w:tcPr>
          <w:p w14:paraId="3003ECE8" w14:textId="589D71E6" w:rsidR="00724972" w:rsidRPr="00EA1A6D" w:rsidRDefault="00724972" w:rsidP="00C26387">
            <w:pPr>
              <w:widowControl w:val="0"/>
              <w:autoSpaceDE w:val="0"/>
              <w:autoSpaceDN w:val="0"/>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Low</w:t>
            </w:r>
            <w:r w:rsidR="007541FB" w:rsidRPr="00EA1A6D">
              <w:rPr>
                <w:rFonts w:ascii="Arial" w:hAnsi="Arial" w:cs="Arial"/>
                <w:kern w:val="2"/>
              </w:rPr>
              <w:t xml:space="preserve"> (10,3 g/dL)</w:t>
            </w:r>
          </w:p>
        </w:tc>
        <w:tc>
          <w:tcPr>
            <w:tcW w:w="392" w:type="pct"/>
            <w:gridSpan w:val="2"/>
          </w:tcPr>
          <w:p w14:paraId="21A43EB3"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3</w:t>
            </w:r>
          </w:p>
        </w:tc>
        <w:tc>
          <w:tcPr>
            <w:tcW w:w="506" w:type="pct"/>
            <w:gridSpan w:val="2"/>
          </w:tcPr>
          <w:p w14:paraId="35061845"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14,3</w:t>
            </w:r>
          </w:p>
        </w:tc>
        <w:tc>
          <w:tcPr>
            <w:tcW w:w="786" w:type="pct"/>
            <w:gridSpan w:val="2"/>
            <w:vMerge w:val="restart"/>
          </w:tcPr>
          <w:p w14:paraId="45DDCE3B" w14:textId="72165CB2" w:rsidR="00724972" w:rsidRPr="00EA1A6D" w:rsidRDefault="00EC17CE"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lang w:val="id"/>
              </w:rPr>
              <w:t xml:space="preserve">  </w:t>
            </w:r>
            <w:r w:rsidR="00724972" w:rsidRPr="00EA1A6D">
              <w:rPr>
                <w:rFonts w:ascii="Arial" w:hAnsi="Arial" w:cs="Arial"/>
                <w:lang w:val="id"/>
              </w:rPr>
              <w:t>12,1 g/dL</w:t>
            </w:r>
          </w:p>
        </w:tc>
        <w:tc>
          <w:tcPr>
            <w:tcW w:w="863" w:type="pct"/>
            <w:gridSpan w:val="2"/>
            <w:vMerge/>
          </w:tcPr>
          <w:p w14:paraId="693D8BFE"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lang w:val="id"/>
              </w:rPr>
            </w:pPr>
          </w:p>
        </w:tc>
      </w:tr>
      <w:tr w:rsidR="00EA1A6D" w:rsidRPr="00EA1A6D" w14:paraId="081274B7" w14:textId="77777777" w:rsidTr="00724972">
        <w:trPr>
          <w:gridBefore w:val="1"/>
          <w:gridAfter w:val="1"/>
          <w:wBefore w:w="113" w:type="pct"/>
          <w:wAfter w:w="146" w:type="pct"/>
          <w:trHeight w:val="146"/>
        </w:trPr>
        <w:tc>
          <w:tcPr>
            <w:cnfStyle w:val="001000000000" w:firstRow="0" w:lastRow="0" w:firstColumn="1" w:lastColumn="0" w:oddVBand="0" w:evenVBand="0" w:oddHBand="0" w:evenHBand="0" w:firstRowFirstColumn="0" w:firstRowLastColumn="0" w:lastRowFirstColumn="0" w:lastRowLastColumn="0"/>
            <w:tcW w:w="1013" w:type="pct"/>
            <w:vMerge/>
          </w:tcPr>
          <w:p w14:paraId="52907FF2" w14:textId="77777777" w:rsidR="00724972" w:rsidRPr="00EA1A6D" w:rsidRDefault="00724972" w:rsidP="00B17EDE">
            <w:pPr>
              <w:widowControl w:val="0"/>
              <w:autoSpaceDE w:val="0"/>
              <w:autoSpaceDN w:val="0"/>
              <w:contextualSpacing/>
              <w:rPr>
                <w:rFonts w:ascii="Arial" w:hAnsi="Arial" w:cs="Arial"/>
                <w:b w:val="0"/>
                <w:bCs w:val="0"/>
                <w:kern w:val="2"/>
              </w:rPr>
            </w:pPr>
          </w:p>
        </w:tc>
        <w:tc>
          <w:tcPr>
            <w:tcW w:w="1181" w:type="pct"/>
            <w:gridSpan w:val="2"/>
          </w:tcPr>
          <w:p w14:paraId="0C894CBF" w14:textId="348C61C5" w:rsidR="00724972" w:rsidRPr="00EA1A6D" w:rsidRDefault="00724972" w:rsidP="00C26387">
            <w:pPr>
              <w:widowControl w:val="0"/>
              <w:autoSpaceDE w:val="0"/>
              <w:autoSpaceDN w:val="0"/>
              <w:contextualSpacing/>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Normal</w:t>
            </w:r>
            <w:r w:rsidR="007541FB" w:rsidRPr="00EA1A6D">
              <w:rPr>
                <w:rFonts w:ascii="Arial" w:hAnsi="Arial" w:cs="Arial"/>
                <w:kern w:val="2"/>
              </w:rPr>
              <w:t xml:space="preserve"> (12,3 g/dL)</w:t>
            </w:r>
          </w:p>
        </w:tc>
        <w:tc>
          <w:tcPr>
            <w:tcW w:w="392" w:type="pct"/>
            <w:gridSpan w:val="2"/>
          </w:tcPr>
          <w:p w14:paraId="0A51E919"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18</w:t>
            </w:r>
          </w:p>
        </w:tc>
        <w:tc>
          <w:tcPr>
            <w:tcW w:w="506" w:type="pct"/>
            <w:gridSpan w:val="2"/>
          </w:tcPr>
          <w:p w14:paraId="13B6E420"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85,7</w:t>
            </w:r>
          </w:p>
          <w:p w14:paraId="03680FEB" w14:textId="77777777" w:rsidR="00EC17CE" w:rsidRPr="00EA1A6D" w:rsidRDefault="00EC17CE"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86" w:type="pct"/>
            <w:gridSpan w:val="2"/>
            <w:vMerge/>
          </w:tcPr>
          <w:p w14:paraId="4A3767D0"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863" w:type="pct"/>
            <w:gridSpan w:val="2"/>
            <w:vMerge/>
          </w:tcPr>
          <w:p w14:paraId="4A966E4E"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2B708B11" w14:textId="77777777" w:rsidTr="00724972">
        <w:trPr>
          <w:gridBefore w:val="1"/>
          <w:gridAfter w:val="1"/>
          <w:wBefore w:w="113" w:type="pct"/>
          <w:wAfter w:w="146" w:type="pct"/>
          <w:trHeight w:val="291"/>
        </w:trPr>
        <w:tc>
          <w:tcPr>
            <w:cnfStyle w:val="001000000000" w:firstRow="0" w:lastRow="0" w:firstColumn="1" w:lastColumn="0" w:oddVBand="0" w:evenVBand="0" w:oddHBand="0" w:evenHBand="0" w:firstRowFirstColumn="0" w:firstRowLastColumn="0" w:lastRowFirstColumn="0" w:lastRowLastColumn="0"/>
            <w:tcW w:w="1013" w:type="pct"/>
            <w:tcBorders>
              <w:bottom w:val="single" w:sz="4" w:space="0" w:color="auto"/>
            </w:tcBorders>
          </w:tcPr>
          <w:p w14:paraId="471443CE" w14:textId="15C69BBD" w:rsidR="00724972" w:rsidRPr="00EA1A6D" w:rsidRDefault="00B17EDE" w:rsidP="00C26387">
            <w:pPr>
              <w:widowControl w:val="0"/>
              <w:autoSpaceDE w:val="0"/>
              <w:autoSpaceDN w:val="0"/>
              <w:contextualSpacing/>
              <w:jc w:val="both"/>
              <w:rPr>
                <w:rFonts w:ascii="Arial" w:hAnsi="Arial" w:cs="Arial"/>
                <w:b w:val="0"/>
                <w:bCs w:val="0"/>
                <w:kern w:val="2"/>
              </w:rPr>
            </w:pPr>
            <w:r w:rsidRPr="00EA1A6D">
              <w:rPr>
                <w:rFonts w:ascii="Arial" w:hAnsi="Arial" w:cs="Arial"/>
                <w:b w:val="0"/>
                <w:bCs w:val="0"/>
                <w:kern w:val="2"/>
              </w:rPr>
              <w:t xml:space="preserve">  </w:t>
            </w:r>
            <w:r w:rsidR="00724972" w:rsidRPr="00EA1A6D">
              <w:rPr>
                <w:rFonts w:ascii="Arial" w:hAnsi="Arial" w:cs="Arial"/>
                <w:b w:val="0"/>
                <w:bCs w:val="0"/>
                <w:kern w:val="2"/>
              </w:rPr>
              <w:t>Total</w:t>
            </w:r>
          </w:p>
        </w:tc>
        <w:tc>
          <w:tcPr>
            <w:tcW w:w="1181" w:type="pct"/>
            <w:gridSpan w:val="2"/>
            <w:tcBorders>
              <w:bottom w:val="single" w:sz="4" w:space="0" w:color="auto"/>
            </w:tcBorders>
          </w:tcPr>
          <w:p w14:paraId="6F7A1FEF"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392" w:type="pct"/>
            <w:gridSpan w:val="2"/>
            <w:tcBorders>
              <w:bottom w:val="single" w:sz="4" w:space="0" w:color="auto"/>
            </w:tcBorders>
          </w:tcPr>
          <w:p w14:paraId="3B27F575"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42</w:t>
            </w:r>
          </w:p>
        </w:tc>
        <w:tc>
          <w:tcPr>
            <w:tcW w:w="506" w:type="pct"/>
            <w:gridSpan w:val="2"/>
            <w:tcBorders>
              <w:bottom w:val="single" w:sz="4" w:space="0" w:color="auto"/>
            </w:tcBorders>
          </w:tcPr>
          <w:p w14:paraId="0700570F" w14:textId="694E9A13"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86" w:type="pct"/>
            <w:gridSpan w:val="2"/>
            <w:tcBorders>
              <w:bottom w:val="single" w:sz="4" w:space="0" w:color="auto"/>
            </w:tcBorders>
          </w:tcPr>
          <w:p w14:paraId="33188DDA"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863" w:type="pct"/>
            <w:gridSpan w:val="2"/>
            <w:tcBorders>
              <w:bottom w:val="single" w:sz="4" w:space="0" w:color="auto"/>
            </w:tcBorders>
          </w:tcPr>
          <w:p w14:paraId="5006AEE6" w14:textId="77777777" w:rsidR="00724972" w:rsidRPr="00EA1A6D" w:rsidRDefault="00724972" w:rsidP="00B17EDE">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bookmarkEnd w:id="1"/>
    </w:tbl>
    <w:p w14:paraId="406E4DAC" w14:textId="77777777" w:rsidR="000A033D" w:rsidRPr="00EA1A6D" w:rsidRDefault="000A033D" w:rsidP="000A033D">
      <w:pPr>
        <w:pStyle w:val="Body"/>
        <w:rPr>
          <w:rFonts w:ascii="Arial" w:hAnsi="Arial" w:cs="Arial"/>
        </w:rPr>
      </w:pPr>
    </w:p>
    <w:p w14:paraId="2AD5EE41" w14:textId="29185003" w:rsidR="000A033D" w:rsidRPr="00EA1A6D" w:rsidRDefault="00EC17CE" w:rsidP="000A033D">
      <w:pPr>
        <w:pStyle w:val="Body"/>
        <w:rPr>
          <w:rFonts w:ascii="Arial" w:hAnsi="Arial" w:cs="Arial"/>
          <w:b/>
          <w:bCs/>
          <w:sz w:val="22"/>
          <w:szCs w:val="22"/>
        </w:rPr>
      </w:pPr>
      <w:r w:rsidRPr="00EA1A6D">
        <w:rPr>
          <w:rFonts w:ascii="Arial" w:hAnsi="Arial" w:cs="Arial"/>
          <w:b/>
          <w:bCs/>
          <w:sz w:val="22"/>
          <w:szCs w:val="22"/>
        </w:rPr>
        <w:t xml:space="preserve">Subject’s </w:t>
      </w:r>
      <w:r w:rsidR="0000679B" w:rsidRPr="00EA1A6D">
        <w:rPr>
          <w:rFonts w:ascii="Arial" w:hAnsi="Arial" w:cs="Arial"/>
          <w:b/>
          <w:bCs/>
          <w:sz w:val="22"/>
          <w:szCs w:val="22"/>
        </w:rPr>
        <w:t>hematocrit</w:t>
      </w:r>
      <w:r w:rsidR="000A033D" w:rsidRPr="00EA1A6D">
        <w:rPr>
          <w:rFonts w:ascii="Arial" w:hAnsi="Arial" w:cs="Arial"/>
          <w:b/>
          <w:bCs/>
          <w:sz w:val="22"/>
          <w:szCs w:val="22"/>
        </w:rPr>
        <w:t xml:space="preserve"> characteristics</w:t>
      </w:r>
    </w:p>
    <w:p w14:paraId="6057BC5F" w14:textId="3ABE20FC" w:rsidR="0000679B" w:rsidRPr="00EA1A6D" w:rsidRDefault="000A033D" w:rsidP="000A033D">
      <w:pPr>
        <w:pStyle w:val="Body"/>
        <w:rPr>
          <w:rFonts w:ascii="Arial" w:hAnsi="Arial" w:cs="Arial"/>
        </w:rPr>
      </w:pPr>
      <w:r w:rsidRPr="00EA1A6D">
        <w:rPr>
          <w:rFonts w:ascii="Arial" w:hAnsi="Arial" w:cs="Arial"/>
        </w:rPr>
        <w:t xml:space="preserve">Hemoglobin and hematocrit levels have long been used to determine an individual's iron status.  If nutrition, particularly iron, is not correctly provided, the child's condition will deteriorate and produce bodily diseases with both short- and long-term consequences.  Table 2 demonstrates that the average hematocrit value in stunted </w:t>
      </w:r>
      <w:r w:rsidR="0000679B" w:rsidRPr="00EA1A6D">
        <w:rPr>
          <w:rFonts w:ascii="Arial" w:hAnsi="Arial" w:cs="Arial"/>
        </w:rPr>
        <w:t>toddlers</w:t>
      </w:r>
      <w:r w:rsidRPr="00EA1A6D">
        <w:rPr>
          <w:rFonts w:ascii="Arial" w:hAnsi="Arial" w:cs="Arial"/>
        </w:rPr>
        <w:t xml:space="preserve"> is lower than that of non-stunted </w:t>
      </w:r>
      <w:r w:rsidR="0000679B" w:rsidRPr="00EA1A6D">
        <w:rPr>
          <w:rFonts w:ascii="Arial" w:hAnsi="Arial" w:cs="Arial"/>
        </w:rPr>
        <w:t>toddlers</w:t>
      </w:r>
      <w:r w:rsidRPr="00EA1A6D">
        <w:rPr>
          <w:rFonts w:ascii="Arial" w:hAnsi="Arial" w:cs="Arial"/>
        </w:rPr>
        <w:t xml:space="preserve">.  In addition, statistical testing revealed a substantial difference in the hematocrit levels of stunted and non-stunted </w:t>
      </w:r>
      <w:r w:rsidR="0000679B" w:rsidRPr="00EA1A6D">
        <w:rPr>
          <w:rFonts w:ascii="Arial" w:hAnsi="Arial" w:cs="Arial"/>
        </w:rPr>
        <w:t>toddlers</w:t>
      </w:r>
      <w:r w:rsidRPr="00EA1A6D">
        <w:rPr>
          <w:rFonts w:ascii="Arial" w:hAnsi="Arial" w:cs="Arial"/>
        </w:rPr>
        <w:t xml:space="preserve">.  </w:t>
      </w:r>
    </w:p>
    <w:p w14:paraId="5AD6A61A" w14:textId="77777777" w:rsidR="00B17EDE" w:rsidRPr="00EA1A6D" w:rsidRDefault="00B17EDE" w:rsidP="000A033D">
      <w:pPr>
        <w:pStyle w:val="Body"/>
        <w:rPr>
          <w:rFonts w:ascii="Arial" w:hAnsi="Arial" w:cs="Arial"/>
        </w:rPr>
      </w:pPr>
    </w:p>
    <w:p w14:paraId="1654C4E1" w14:textId="77777777" w:rsidR="00B17EDE" w:rsidRPr="00EA1A6D" w:rsidRDefault="00B17EDE" w:rsidP="000A033D">
      <w:pPr>
        <w:pStyle w:val="Body"/>
        <w:rPr>
          <w:rFonts w:ascii="Arial" w:hAnsi="Arial" w:cs="Arial"/>
        </w:rPr>
      </w:pPr>
    </w:p>
    <w:p w14:paraId="375DDAEE" w14:textId="77777777" w:rsidR="00B17EDE" w:rsidRPr="00EA1A6D" w:rsidRDefault="00B17EDE" w:rsidP="000A033D">
      <w:pPr>
        <w:pStyle w:val="Body"/>
        <w:rPr>
          <w:rFonts w:ascii="Arial" w:hAnsi="Arial" w:cs="Arial"/>
        </w:rPr>
      </w:pPr>
    </w:p>
    <w:p w14:paraId="4861D9ED" w14:textId="2B554193" w:rsidR="00EC17CE" w:rsidRPr="00EA1A6D" w:rsidRDefault="0000679B" w:rsidP="000A033D">
      <w:pPr>
        <w:pStyle w:val="Body"/>
        <w:rPr>
          <w:rFonts w:ascii="Arial" w:hAnsi="Arial" w:cs="Arial"/>
          <w:b/>
          <w:bCs/>
        </w:rPr>
      </w:pPr>
      <w:r w:rsidRPr="00EA1A6D">
        <w:rPr>
          <w:rFonts w:ascii="Arial" w:hAnsi="Arial" w:cs="Arial"/>
          <w:b/>
          <w:bCs/>
        </w:rPr>
        <w:t xml:space="preserve">Table 2. Subject’s </w:t>
      </w:r>
      <w:r w:rsidR="001040C9" w:rsidRPr="00EA1A6D">
        <w:rPr>
          <w:rFonts w:ascii="Arial" w:hAnsi="Arial" w:cs="Arial"/>
          <w:b/>
          <w:bCs/>
        </w:rPr>
        <w:t>Hematocrit</w:t>
      </w:r>
      <w:r w:rsidRPr="00EA1A6D">
        <w:rPr>
          <w:rFonts w:ascii="Arial" w:hAnsi="Arial" w:cs="Arial"/>
          <w:b/>
          <w:bCs/>
        </w:rPr>
        <w:t xml:space="preserve"> level</w:t>
      </w:r>
    </w:p>
    <w:tbl>
      <w:tblPr>
        <w:tblStyle w:val="PlainTable211"/>
        <w:tblW w:w="4927" w:type="pct"/>
        <w:tblBorders>
          <w:top w:val="single" w:sz="4" w:space="0" w:color="auto"/>
          <w:bottom w:val="none" w:sz="0" w:space="0" w:color="auto"/>
        </w:tblBorders>
        <w:tblLook w:val="04A0" w:firstRow="1" w:lastRow="0" w:firstColumn="1" w:lastColumn="0" w:noHBand="0" w:noVBand="1"/>
      </w:tblPr>
      <w:tblGrid>
        <w:gridCol w:w="1814"/>
        <w:gridCol w:w="1991"/>
        <w:gridCol w:w="724"/>
        <w:gridCol w:w="962"/>
        <w:gridCol w:w="1339"/>
        <w:gridCol w:w="1258"/>
      </w:tblGrid>
      <w:tr w:rsidR="00EA1A6D" w:rsidRPr="00EA1A6D" w14:paraId="5DE17B08" w14:textId="77777777" w:rsidTr="00EC17CE">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bottom w:val="single" w:sz="4" w:space="0" w:color="auto"/>
            </w:tcBorders>
            <w:vAlign w:val="center"/>
          </w:tcPr>
          <w:p w14:paraId="23ACADCA" w14:textId="77777777" w:rsidR="00EC17CE" w:rsidRPr="00EA1A6D" w:rsidRDefault="00EC17CE" w:rsidP="00EC17CE">
            <w:pPr>
              <w:widowControl w:val="0"/>
              <w:autoSpaceDE w:val="0"/>
              <w:autoSpaceDN w:val="0"/>
              <w:jc w:val="both"/>
              <w:rPr>
                <w:rFonts w:ascii="Arial" w:hAnsi="Arial" w:cs="Arial"/>
                <w:i/>
                <w:iCs/>
                <w:kern w:val="2"/>
              </w:rPr>
            </w:pPr>
            <w:r w:rsidRPr="00EA1A6D">
              <w:rPr>
                <w:rFonts w:ascii="Arial" w:hAnsi="Arial" w:cs="Arial"/>
                <w:kern w:val="2"/>
              </w:rPr>
              <w:t>Subjects Group</w:t>
            </w:r>
          </w:p>
        </w:tc>
        <w:tc>
          <w:tcPr>
            <w:tcW w:w="1230" w:type="pct"/>
            <w:tcBorders>
              <w:top w:val="single" w:sz="4" w:space="0" w:color="auto"/>
              <w:bottom w:val="single" w:sz="4" w:space="0" w:color="auto"/>
            </w:tcBorders>
            <w:vAlign w:val="center"/>
          </w:tcPr>
          <w:p w14:paraId="3293E305" w14:textId="3DA02C55" w:rsidR="00EC17CE" w:rsidRPr="00EA1A6D" w:rsidRDefault="0000679B" w:rsidP="00C26387">
            <w:pPr>
              <w:widowControl w:val="0"/>
              <w:autoSpaceDE w:val="0"/>
              <w:autoSpaceDN w:val="0"/>
              <w:jc w:val="right"/>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Hematocrit</w:t>
            </w:r>
            <w:r w:rsidR="00EC17CE" w:rsidRPr="00EA1A6D">
              <w:rPr>
                <w:rFonts w:ascii="Arial" w:hAnsi="Arial" w:cs="Arial"/>
                <w:kern w:val="2"/>
              </w:rPr>
              <w:t xml:space="preserve"> </w:t>
            </w:r>
            <w:r w:rsidR="007541FB" w:rsidRPr="00EA1A6D">
              <w:rPr>
                <w:rFonts w:ascii="Arial" w:hAnsi="Arial" w:cs="Arial"/>
                <w:kern w:val="2"/>
              </w:rPr>
              <w:t xml:space="preserve">average </w:t>
            </w:r>
            <w:r w:rsidR="00EC17CE" w:rsidRPr="00EA1A6D">
              <w:rPr>
                <w:rFonts w:ascii="Arial" w:hAnsi="Arial" w:cs="Arial"/>
                <w:kern w:val="2"/>
              </w:rPr>
              <w:t>Level</w:t>
            </w:r>
          </w:p>
        </w:tc>
        <w:tc>
          <w:tcPr>
            <w:tcW w:w="447" w:type="pct"/>
            <w:tcBorders>
              <w:top w:val="single" w:sz="4" w:space="0" w:color="auto"/>
              <w:bottom w:val="single" w:sz="4" w:space="0" w:color="auto"/>
            </w:tcBorders>
            <w:vAlign w:val="center"/>
          </w:tcPr>
          <w:p w14:paraId="6E78F8FA" w14:textId="77777777" w:rsidR="00EC17CE" w:rsidRPr="00EA1A6D"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w:t>
            </w:r>
          </w:p>
        </w:tc>
        <w:tc>
          <w:tcPr>
            <w:tcW w:w="594" w:type="pct"/>
            <w:tcBorders>
              <w:top w:val="single" w:sz="4" w:space="0" w:color="auto"/>
              <w:bottom w:val="single" w:sz="4" w:space="0" w:color="auto"/>
            </w:tcBorders>
            <w:vAlign w:val="center"/>
          </w:tcPr>
          <w:p w14:paraId="31F47792" w14:textId="77777777" w:rsidR="00EC17CE" w:rsidRPr="00EA1A6D"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 xml:space="preserve"> %</w:t>
            </w:r>
          </w:p>
        </w:tc>
        <w:tc>
          <w:tcPr>
            <w:tcW w:w="828" w:type="pct"/>
            <w:tcBorders>
              <w:top w:val="single" w:sz="4" w:space="0" w:color="auto"/>
              <w:bottom w:val="single" w:sz="4" w:space="0" w:color="auto"/>
            </w:tcBorders>
            <w:vAlign w:val="center"/>
          </w:tcPr>
          <w:p w14:paraId="0A9BF37C" w14:textId="77777777" w:rsidR="00EC17CE" w:rsidRPr="00EA1A6D"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Average</w:t>
            </w:r>
          </w:p>
        </w:tc>
        <w:tc>
          <w:tcPr>
            <w:tcW w:w="778" w:type="pct"/>
            <w:tcBorders>
              <w:top w:val="single" w:sz="4" w:space="0" w:color="auto"/>
              <w:bottom w:val="single" w:sz="4" w:space="0" w:color="auto"/>
            </w:tcBorders>
            <w:vAlign w:val="center"/>
          </w:tcPr>
          <w:p w14:paraId="1BD88E8D" w14:textId="10C7E36D" w:rsidR="00EC17CE" w:rsidRPr="00EA1A6D"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P-value</w:t>
            </w:r>
          </w:p>
        </w:tc>
      </w:tr>
      <w:tr w:rsidR="00EA1A6D" w:rsidRPr="00EA1A6D" w14:paraId="021376C7" w14:textId="77777777" w:rsidTr="00EC17CE">
        <w:trPr>
          <w:trHeight w:val="294"/>
        </w:trPr>
        <w:tc>
          <w:tcPr>
            <w:cnfStyle w:val="001000000000" w:firstRow="0" w:lastRow="0" w:firstColumn="1" w:lastColumn="0" w:oddVBand="0" w:evenVBand="0" w:oddHBand="0" w:evenHBand="0" w:firstRowFirstColumn="0" w:firstRowLastColumn="0" w:lastRowFirstColumn="0" w:lastRowLastColumn="0"/>
            <w:tcW w:w="1121" w:type="pct"/>
            <w:vMerge w:val="restart"/>
            <w:tcBorders>
              <w:top w:val="single" w:sz="4" w:space="0" w:color="auto"/>
            </w:tcBorders>
          </w:tcPr>
          <w:p w14:paraId="2E39CA82" w14:textId="77777777" w:rsidR="00EC17CE" w:rsidRPr="00EA1A6D" w:rsidRDefault="00EC17CE" w:rsidP="00C26387">
            <w:pPr>
              <w:widowControl w:val="0"/>
              <w:autoSpaceDE w:val="0"/>
              <w:autoSpaceDN w:val="0"/>
              <w:rPr>
                <w:rFonts w:ascii="Arial" w:hAnsi="Arial" w:cs="Arial"/>
                <w:b w:val="0"/>
                <w:bCs w:val="0"/>
                <w:kern w:val="2"/>
              </w:rPr>
            </w:pPr>
            <w:r w:rsidRPr="00EA1A6D">
              <w:rPr>
                <w:rFonts w:ascii="Arial" w:hAnsi="Arial" w:cs="Arial"/>
                <w:b w:val="0"/>
                <w:bCs w:val="0"/>
                <w:kern w:val="2"/>
              </w:rPr>
              <w:t>Stunting</w:t>
            </w:r>
          </w:p>
        </w:tc>
        <w:tc>
          <w:tcPr>
            <w:tcW w:w="1230" w:type="pct"/>
            <w:tcBorders>
              <w:top w:val="single" w:sz="4" w:space="0" w:color="auto"/>
            </w:tcBorders>
          </w:tcPr>
          <w:p w14:paraId="7A1AA694" w14:textId="6BC76B8C"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Low</w:t>
            </w:r>
            <w:r w:rsidR="007541FB" w:rsidRPr="00EA1A6D">
              <w:rPr>
                <w:rFonts w:ascii="Arial" w:hAnsi="Arial" w:cs="Arial"/>
                <w:kern w:val="2"/>
              </w:rPr>
              <w:t xml:space="preserve"> (27,2%)</w:t>
            </w:r>
          </w:p>
        </w:tc>
        <w:tc>
          <w:tcPr>
            <w:tcW w:w="447" w:type="pct"/>
            <w:tcBorders>
              <w:top w:val="single" w:sz="4" w:space="0" w:color="auto"/>
            </w:tcBorders>
          </w:tcPr>
          <w:p w14:paraId="6B75754C"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5</w:t>
            </w:r>
          </w:p>
        </w:tc>
        <w:tc>
          <w:tcPr>
            <w:tcW w:w="594" w:type="pct"/>
            <w:tcBorders>
              <w:top w:val="single" w:sz="4" w:space="0" w:color="auto"/>
            </w:tcBorders>
          </w:tcPr>
          <w:p w14:paraId="1421D66E"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23,8</w:t>
            </w:r>
          </w:p>
        </w:tc>
        <w:tc>
          <w:tcPr>
            <w:tcW w:w="828" w:type="pct"/>
            <w:vMerge w:val="restart"/>
            <w:tcBorders>
              <w:top w:val="single" w:sz="4" w:space="0" w:color="auto"/>
            </w:tcBorders>
            <w:vAlign w:val="center"/>
          </w:tcPr>
          <w:p w14:paraId="712BEA23" w14:textId="77777777" w:rsidR="00EC17CE" w:rsidRPr="00EA1A6D"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31,6 %</w:t>
            </w:r>
          </w:p>
        </w:tc>
        <w:tc>
          <w:tcPr>
            <w:tcW w:w="778" w:type="pct"/>
            <w:vMerge w:val="restart"/>
            <w:tcBorders>
              <w:top w:val="single" w:sz="4" w:space="0" w:color="auto"/>
            </w:tcBorders>
            <w:vAlign w:val="center"/>
          </w:tcPr>
          <w:p w14:paraId="3CC2390D" w14:textId="38914463"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i/>
                <w:iCs/>
                <w:kern w:val="2"/>
              </w:rPr>
              <w:t xml:space="preserve">P </w:t>
            </w:r>
            <w:r w:rsidRPr="00EA1A6D">
              <w:rPr>
                <w:rFonts w:ascii="Arial" w:hAnsi="Arial" w:cs="Arial"/>
                <w:kern w:val="2"/>
              </w:rPr>
              <w:t>= ,003</w:t>
            </w:r>
          </w:p>
        </w:tc>
      </w:tr>
      <w:tr w:rsidR="00EA1A6D" w:rsidRPr="00EA1A6D" w14:paraId="1C991F72" w14:textId="77777777" w:rsidTr="00EC17CE">
        <w:trPr>
          <w:trHeight w:val="173"/>
        </w:trPr>
        <w:tc>
          <w:tcPr>
            <w:cnfStyle w:val="001000000000" w:firstRow="0" w:lastRow="0" w:firstColumn="1" w:lastColumn="0" w:oddVBand="0" w:evenVBand="0" w:oddHBand="0" w:evenHBand="0" w:firstRowFirstColumn="0" w:firstRowLastColumn="0" w:lastRowFirstColumn="0" w:lastRowLastColumn="0"/>
            <w:tcW w:w="1121" w:type="pct"/>
            <w:vMerge/>
          </w:tcPr>
          <w:p w14:paraId="3FC0559C" w14:textId="77777777" w:rsidR="00EC17CE" w:rsidRPr="00EA1A6D" w:rsidRDefault="00EC17CE" w:rsidP="00C26387">
            <w:pPr>
              <w:widowControl w:val="0"/>
              <w:autoSpaceDE w:val="0"/>
              <w:autoSpaceDN w:val="0"/>
              <w:rPr>
                <w:rFonts w:ascii="Arial" w:hAnsi="Arial" w:cs="Arial"/>
                <w:b w:val="0"/>
                <w:bCs w:val="0"/>
                <w:kern w:val="2"/>
              </w:rPr>
            </w:pPr>
          </w:p>
        </w:tc>
        <w:tc>
          <w:tcPr>
            <w:tcW w:w="1230" w:type="pct"/>
          </w:tcPr>
          <w:p w14:paraId="50A106AF" w14:textId="0ADE9504"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Normal</w:t>
            </w:r>
            <w:r w:rsidR="007541FB" w:rsidRPr="00EA1A6D">
              <w:rPr>
                <w:rFonts w:ascii="Arial" w:hAnsi="Arial" w:cs="Arial"/>
                <w:kern w:val="2"/>
              </w:rPr>
              <w:t xml:space="preserve"> (32,9%)</w:t>
            </w:r>
          </w:p>
        </w:tc>
        <w:tc>
          <w:tcPr>
            <w:tcW w:w="447" w:type="pct"/>
          </w:tcPr>
          <w:p w14:paraId="4C8A3D38"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16</w:t>
            </w:r>
          </w:p>
        </w:tc>
        <w:tc>
          <w:tcPr>
            <w:tcW w:w="594" w:type="pct"/>
          </w:tcPr>
          <w:p w14:paraId="6E5B586B"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76,2</w:t>
            </w:r>
          </w:p>
        </w:tc>
        <w:tc>
          <w:tcPr>
            <w:tcW w:w="828" w:type="pct"/>
            <w:vMerge/>
            <w:vAlign w:val="center"/>
          </w:tcPr>
          <w:p w14:paraId="415C0139"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78" w:type="pct"/>
            <w:vMerge/>
          </w:tcPr>
          <w:p w14:paraId="01A7C765"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13D45429" w14:textId="77777777" w:rsidTr="00EC17CE">
        <w:trPr>
          <w:trHeight w:val="275"/>
        </w:trPr>
        <w:tc>
          <w:tcPr>
            <w:cnfStyle w:val="001000000000" w:firstRow="0" w:lastRow="0" w:firstColumn="1" w:lastColumn="0" w:oddVBand="0" w:evenVBand="0" w:oddHBand="0" w:evenHBand="0" w:firstRowFirstColumn="0" w:firstRowLastColumn="0" w:lastRowFirstColumn="0" w:lastRowLastColumn="0"/>
            <w:tcW w:w="1121" w:type="pct"/>
            <w:vMerge w:val="restart"/>
          </w:tcPr>
          <w:p w14:paraId="39582345" w14:textId="77777777" w:rsidR="00EC17CE" w:rsidRPr="00EA1A6D" w:rsidRDefault="00EC17CE" w:rsidP="00C26387">
            <w:pPr>
              <w:widowControl w:val="0"/>
              <w:autoSpaceDE w:val="0"/>
              <w:autoSpaceDN w:val="0"/>
              <w:rPr>
                <w:rFonts w:ascii="Arial" w:hAnsi="Arial" w:cs="Arial"/>
                <w:b w:val="0"/>
                <w:bCs w:val="0"/>
                <w:kern w:val="2"/>
              </w:rPr>
            </w:pPr>
            <w:r w:rsidRPr="00EA1A6D">
              <w:rPr>
                <w:rFonts w:ascii="Arial" w:hAnsi="Arial" w:cs="Arial"/>
                <w:b w:val="0"/>
                <w:bCs w:val="0"/>
                <w:kern w:val="2"/>
              </w:rPr>
              <w:t>Non-Stunting</w:t>
            </w:r>
          </w:p>
        </w:tc>
        <w:tc>
          <w:tcPr>
            <w:tcW w:w="1230" w:type="pct"/>
          </w:tcPr>
          <w:p w14:paraId="054DDEA8" w14:textId="197B4529"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Low</w:t>
            </w:r>
            <w:r w:rsidR="007541FB" w:rsidRPr="00EA1A6D">
              <w:rPr>
                <w:rFonts w:ascii="Arial" w:hAnsi="Arial" w:cs="Arial"/>
                <w:kern w:val="2"/>
              </w:rPr>
              <w:t xml:space="preserve"> (30,3%)</w:t>
            </w:r>
          </w:p>
        </w:tc>
        <w:tc>
          <w:tcPr>
            <w:tcW w:w="447" w:type="pct"/>
          </w:tcPr>
          <w:p w14:paraId="176380E4"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2</w:t>
            </w:r>
          </w:p>
        </w:tc>
        <w:tc>
          <w:tcPr>
            <w:tcW w:w="594" w:type="pct"/>
          </w:tcPr>
          <w:p w14:paraId="5F546499"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9,5</w:t>
            </w:r>
          </w:p>
        </w:tc>
        <w:tc>
          <w:tcPr>
            <w:tcW w:w="828" w:type="pct"/>
            <w:vMerge w:val="restart"/>
            <w:vAlign w:val="center"/>
          </w:tcPr>
          <w:p w14:paraId="43A41D25" w14:textId="77777777" w:rsidR="00EC17CE" w:rsidRPr="00EA1A6D"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34,3%</w:t>
            </w:r>
          </w:p>
        </w:tc>
        <w:tc>
          <w:tcPr>
            <w:tcW w:w="778" w:type="pct"/>
            <w:vMerge/>
          </w:tcPr>
          <w:p w14:paraId="09FEECEF"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28EE1738" w14:textId="77777777" w:rsidTr="00EC17CE">
        <w:trPr>
          <w:trHeight w:val="173"/>
        </w:trPr>
        <w:tc>
          <w:tcPr>
            <w:cnfStyle w:val="001000000000" w:firstRow="0" w:lastRow="0" w:firstColumn="1" w:lastColumn="0" w:oddVBand="0" w:evenVBand="0" w:oddHBand="0" w:evenHBand="0" w:firstRowFirstColumn="0" w:firstRowLastColumn="0" w:lastRowFirstColumn="0" w:lastRowLastColumn="0"/>
            <w:tcW w:w="1121" w:type="pct"/>
            <w:vMerge/>
            <w:tcBorders>
              <w:bottom w:val="nil"/>
            </w:tcBorders>
          </w:tcPr>
          <w:p w14:paraId="53AD595F" w14:textId="77777777" w:rsidR="00EC17CE" w:rsidRPr="00EA1A6D" w:rsidRDefault="00EC17CE" w:rsidP="00EC17CE">
            <w:pPr>
              <w:widowControl w:val="0"/>
              <w:autoSpaceDE w:val="0"/>
              <w:autoSpaceDN w:val="0"/>
              <w:rPr>
                <w:rFonts w:ascii="Arial" w:hAnsi="Arial" w:cs="Arial"/>
                <w:b w:val="0"/>
                <w:bCs w:val="0"/>
                <w:kern w:val="2"/>
              </w:rPr>
            </w:pPr>
          </w:p>
        </w:tc>
        <w:tc>
          <w:tcPr>
            <w:tcW w:w="1230" w:type="pct"/>
            <w:tcBorders>
              <w:bottom w:val="nil"/>
            </w:tcBorders>
          </w:tcPr>
          <w:p w14:paraId="3C4A7F5B" w14:textId="76FF1F39"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Normal</w:t>
            </w:r>
            <w:r w:rsidR="007541FB" w:rsidRPr="00EA1A6D">
              <w:rPr>
                <w:rFonts w:ascii="Arial" w:hAnsi="Arial" w:cs="Arial"/>
                <w:kern w:val="2"/>
              </w:rPr>
              <w:t xml:space="preserve"> (34,8%)</w:t>
            </w:r>
          </w:p>
        </w:tc>
        <w:tc>
          <w:tcPr>
            <w:tcW w:w="447" w:type="pct"/>
            <w:tcBorders>
              <w:bottom w:val="nil"/>
            </w:tcBorders>
          </w:tcPr>
          <w:p w14:paraId="1104AAD7"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19</w:t>
            </w:r>
          </w:p>
        </w:tc>
        <w:tc>
          <w:tcPr>
            <w:tcW w:w="594" w:type="pct"/>
            <w:tcBorders>
              <w:bottom w:val="nil"/>
            </w:tcBorders>
          </w:tcPr>
          <w:p w14:paraId="7B1AB957"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90,5</w:t>
            </w:r>
          </w:p>
        </w:tc>
        <w:tc>
          <w:tcPr>
            <w:tcW w:w="828" w:type="pct"/>
            <w:vMerge/>
            <w:tcBorders>
              <w:bottom w:val="nil"/>
            </w:tcBorders>
          </w:tcPr>
          <w:p w14:paraId="4B454A7F"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78" w:type="pct"/>
            <w:vMerge/>
            <w:tcBorders>
              <w:bottom w:val="nil"/>
            </w:tcBorders>
          </w:tcPr>
          <w:p w14:paraId="3C47C8C6"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63AB67B6" w14:textId="77777777" w:rsidTr="00EC17CE">
        <w:trPr>
          <w:trHeight w:val="312"/>
        </w:trPr>
        <w:tc>
          <w:tcPr>
            <w:cnfStyle w:val="001000000000" w:firstRow="0" w:lastRow="0" w:firstColumn="1" w:lastColumn="0" w:oddVBand="0" w:evenVBand="0" w:oddHBand="0" w:evenHBand="0" w:firstRowFirstColumn="0" w:firstRowLastColumn="0" w:lastRowFirstColumn="0" w:lastRowLastColumn="0"/>
            <w:tcW w:w="1121" w:type="pct"/>
            <w:tcBorders>
              <w:top w:val="nil"/>
              <w:bottom w:val="single" w:sz="4" w:space="0" w:color="auto"/>
            </w:tcBorders>
          </w:tcPr>
          <w:p w14:paraId="50FD772A" w14:textId="77777777" w:rsidR="00EC17CE" w:rsidRPr="00EA1A6D" w:rsidRDefault="00EC17CE" w:rsidP="00C26387">
            <w:pPr>
              <w:widowControl w:val="0"/>
              <w:autoSpaceDE w:val="0"/>
              <w:autoSpaceDN w:val="0"/>
              <w:rPr>
                <w:rFonts w:ascii="Arial" w:hAnsi="Arial" w:cs="Arial"/>
                <w:b w:val="0"/>
                <w:bCs w:val="0"/>
                <w:kern w:val="2"/>
              </w:rPr>
            </w:pPr>
            <w:r w:rsidRPr="00EA1A6D">
              <w:rPr>
                <w:rFonts w:ascii="Arial" w:hAnsi="Arial" w:cs="Arial"/>
                <w:b w:val="0"/>
                <w:bCs w:val="0"/>
                <w:kern w:val="2"/>
              </w:rPr>
              <w:t>Total</w:t>
            </w:r>
          </w:p>
        </w:tc>
        <w:tc>
          <w:tcPr>
            <w:tcW w:w="1230" w:type="pct"/>
            <w:tcBorders>
              <w:top w:val="nil"/>
              <w:bottom w:val="single" w:sz="4" w:space="0" w:color="auto"/>
            </w:tcBorders>
          </w:tcPr>
          <w:p w14:paraId="26D16C76"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447" w:type="pct"/>
            <w:tcBorders>
              <w:top w:val="nil"/>
              <w:bottom w:val="single" w:sz="4" w:space="0" w:color="auto"/>
            </w:tcBorders>
          </w:tcPr>
          <w:p w14:paraId="4B3ABB6A"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42</w:t>
            </w:r>
          </w:p>
        </w:tc>
        <w:tc>
          <w:tcPr>
            <w:tcW w:w="594" w:type="pct"/>
            <w:tcBorders>
              <w:top w:val="nil"/>
              <w:bottom w:val="single" w:sz="4" w:space="0" w:color="auto"/>
            </w:tcBorders>
          </w:tcPr>
          <w:p w14:paraId="2734B577" w14:textId="24F093FD"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828" w:type="pct"/>
            <w:tcBorders>
              <w:top w:val="nil"/>
              <w:bottom w:val="single" w:sz="4" w:space="0" w:color="auto"/>
            </w:tcBorders>
          </w:tcPr>
          <w:p w14:paraId="2C22558C"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78" w:type="pct"/>
            <w:tcBorders>
              <w:top w:val="nil"/>
              <w:bottom w:val="single" w:sz="4" w:space="0" w:color="auto"/>
            </w:tcBorders>
          </w:tcPr>
          <w:p w14:paraId="3C38A1FE"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bl>
    <w:p w14:paraId="0433CFFE" w14:textId="77777777" w:rsidR="00EC17CE" w:rsidRPr="00EA1A6D" w:rsidRDefault="00EC17CE" w:rsidP="000A033D">
      <w:pPr>
        <w:pStyle w:val="Body"/>
        <w:rPr>
          <w:rFonts w:ascii="Arial" w:hAnsi="Arial" w:cs="Arial"/>
        </w:rPr>
      </w:pPr>
    </w:p>
    <w:p w14:paraId="16D74933" w14:textId="25E3B081" w:rsidR="000A033D" w:rsidRPr="00EA1A6D" w:rsidRDefault="000A033D" w:rsidP="000A033D">
      <w:pPr>
        <w:pStyle w:val="Body"/>
        <w:rPr>
          <w:rFonts w:ascii="Arial" w:hAnsi="Arial" w:cs="Arial"/>
          <w:b/>
          <w:bCs/>
          <w:sz w:val="22"/>
          <w:szCs w:val="22"/>
        </w:rPr>
      </w:pPr>
      <w:r w:rsidRPr="00EA1A6D">
        <w:rPr>
          <w:rFonts w:ascii="Arial" w:hAnsi="Arial" w:cs="Arial"/>
          <w:b/>
          <w:bCs/>
          <w:sz w:val="22"/>
          <w:szCs w:val="22"/>
        </w:rPr>
        <w:t>Subject’s M</w:t>
      </w:r>
      <w:r w:rsidR="006B1AB5" w:rsidRPr="00EA1A6D">
        <w:rPr>
          <w:rFonts w:ascii="Arial" w:hAnsi="Arial" w:cs="Arial"/>
          <w:b/>
          <w:bCs/>
          <w:sz w:val="22"/>
          <w:szCs w:val="22"/>
        </w:rPr>
        <w:t xml:space="preserve">CV </w:t>
      </w:r>
      <w:r w:rsidRPr="00EA1A6D">
        <w:rPr>
          <w:rFonts w:ascii="Arial" w:hAnsi="Arial" w:cs="Arial"/>
          <w:b/>
          <w:bCs/>
          <w:sz w:val="22"/>
          <w:szCs w:val="22"/>
        </w:rPr>
        <w:t>and MC</w:t>
      </w:r>
      <w:r w:rsidR="006B1AB5" w:rsidRPr="00EA1A6D">
        <w:rPr>
          <w:rFonts w:ascii="Arial" w:hAnsi="Arial" w:cs="Arial"/>
          <w:b/>
          <w:bCs/>
          <w:sz w:val="22"/>
          <w:szCs w:val="22"/>
        </w:rPr>
        <w:t>H</w:t>
      </w:r>
      <w:r w:rsidRPr="00EA1A6D">
        <w:rPr>
          <w:rFonts w:ascii="Arial" w:hAnsi="Arial" w:cs="Arial"/>
          <w:b/>
          <w:bCs/>
          <w:sz w:val="22"/>
          <w:szCs w:val="22"/>
        </w:rPr>
        <w:t xml:space="preserve"> characteristics</w:t>
      </w:r>
    </w:p>
    <w:p w14:paraId="6297ABA4" w14:textId="023FF10E" w:rsidR="00B954CB" w:rsidRPr="00EA1A6D" w:rsidRDefault="00E53A40" w:rsidP="000A033D">
      <w:pPr>
        <w:pStyle w:val="Body"/>
        <w:rPr>
          <w:rFonts w:ascii="Arial" w:hAnsi="Arial" w:cs="Arial"/>
        </w:rPr>
      </w:pPr>
      <w:r w:rsidRPr="00EA1A6D">
        <w:rPr>
          <w:rFonts w:ascii="Arial" w:hAnsi="Arial" w:cs="Arial"/>
        </w:rPr>
        <w:t xml:space="preserve">The mean MCV levels declined in both study groups, but stunted toddlers had a lower mean than non-stunted toddlers.  MCV average </w:t>
      </w:r>
      <w:r w:rsidR="006B1AB5" w:rsidRPr="00EA1A6D">
        <w:rPr>
          <w:rFonts w:ascii="Arial" w:hAnsi="Arial" w:cs="Arial"/>
        </w:rPr>
        <w:t xml:space="preserve">low </w:t>
      </w:r>
      <w:r w:rsidRPr="00EA1A6D">
        <w:rPr>
          <w:rFonts w:ascii="Arial" w:hAnsi="Arial" w:cs="Arial"/>
        </w:rPr>
        <w:t xml:space="preserve">level in stunted toddlers is 63,4 </w:t>
      </w:r>
      <w:proofErr w:type="spellStart"/>
      <w:r w:rsidRPr="00EA1A6D">
        <w:rPr>
          <w:rFonts w:ascii="Arial" w:hAnsi="Arial" w:cs="Arial"/>
        </w:rPr>
        <w:t>fL</w:t>
      </w:r>
      <w:proofErr w:type="spellEnd"/>
      <w:r w:rsidR="006B1AB5" w:rsidRPr="00EA1A6D">
        <w:rPr>
          <w:rFonts w:ascii="Arial" w:hAnsi="Arial" w:cs="Arial"/>
        </w:rPr>
        <w:t>,</w:t>
      </w:r>
      <w:r w:rsidRPr="00EA1A6D">
        <w:rPr>
          <w:rFonts w:ascii="Arial" w:hAnsi="Arial" w:cs="Arial"/>
        </w:rPr>
        <w:t xml:space="preserve"> normal</w:t>
      </w:r>
      <w:r w:rsidR="006B1AB5" w:rsidRPr="00EA1A6D">
        <w:rPr>
          <w:rFonts w:ascii="Arial" w:hAnsi="Arial" w:cs="Arial"/>
        </w:rPr>
        <w:t xml:space="preserve"> </w:t>
      </w:r>
      <w:proofErr w:type="gramStart"/>
      <w:r w:rsidR="006B1AB5" w:rsidRPr="00EA1A6D">
        <w:rPr>
          <w:rFonts w:ascii="Arial" w:hAnsi="Arial" w:cs="Arial"/>
        </w:rPr>
        <w:t xml:space="preserve">level </w:t>
      </w:r>
      <w:r w:rsidRPr="00EA1A6D">
        <w:rPr>
          <w:rFonts w:ascii="Arial" w:hAnsi="Arial" w:cs="Arial"/>
        </w:rPr>
        <w:t xml:space="preserve"> 73</w:t>
      </w:r>
      <w:proofErr w:type="gramEnd"/>
      <w:r w:rsidRPr="00EA1A6D">
        <w:rPr>
          <w:rFonts w:ascii="Arial" w:hAnsi="Arial" w:cs="Arial"/>
        </w:rPr>
        <w:t xml:space="preserve">,7 </w:t>
      </w:r>
      <w:proofErr w:type="spellStart"/>
      <w:r w:rsidRPr="00EA1A6D">
        <w:rPr>
          <w:rFonts w:ascii="Arial" w:hAnsi="Arial" w:cs="Arial"/>
        </w:rPr>
        <w:t>fL.</w:t>
      </w:r>
      <w:proofErr w:type="spellEnd"/>
      <w:r w:rsidRPr="00EA1A6D">
        <w:rPr>
          <w:rFonts w:ascii="Arial" w:hAnsi="Arial" w:cs="Arial"/>
        </w:rPr>
        <w:t xml:space="preserve">  MCV average </w:t>
      </w:r>
      <w:r w:rsidR="006B1AB5" w:rsidRPr="00EA1A6D">
        <w:rPr>
          <w:rFonts w:ascii="Arial" w:hAnsi="Arial" w:cs="Arial"/>
        </w:rPr>
        <w:t xml:space="preserve">low </w:t>
      </w:r>
      <w:r w:rsidRPr="00EA1A6D">
        <w:rPr>
          <w:rFonts w:ascii="Arial" w:hAnsi="Arial" w:cs="Arial"/>
        </w:rPr>
        <w:t xml:space="preserve">level in non-stunted toddlers </w:t>
      </w:r>
      <w:r w:rsidR="006B1AB5" w:rsidRPr="00EA1A6D">
        <w:rPr>
          <w:rFonts w:ascii="Arial" w:hAnsi="Arial" w:cs="Arial"/>
        </w:rPr>
        <w:t xml:space="preserve">is </w:t>
      </w:r>
      <w:r w:rsidRPr="00EA1A6D">
        <w:rPr>
          <w:rFonts w:ascii="Arial" w:hAnsi="Arial" w:cs="Arial"/>
        </w:rPr>
        <w:t xml:space="preserve">66,3 </w:t>
      </w:r>
      <w:proofErr w:type="spellStart"/>
      <w:r w:rsidR="00C85A22" w:rsidRPr="00EA1A6D">
        <w:rPr>
          <w:rFonts w:ascii="Arial" w:hAnsi="Arial" w:cs="Arial"/>
        </w:rPr>
        <w:t>fL</w:t>
      </w:r>
      <w:proofErr w:type="spellEnd"/>
      <w:r w:rsidR="00C85A22" w:rsidRPr="00EA1A6D">
        <w:rPr>
          <w:rFonts w:ascii="Arial" w:hAnsi="Arial" w:cs="Arial"/>
        </w:rPr>
        <w:t>, normal</w:t>
      </w:r>
      <w:r w:rsidR="006B1AB5" w:rsidRPr="00EA1A6D">
        <w:rPr>
          <w:rFonts w:ascii="Arial" w:hAnsi="Arial" w:cs="Arial"/>
        </w:rPr>
        <w:t xml:space="preserve"> </w:t>
      </w:r>
      <w:proofErr w:type="gramStart"/>
      <w:r w:rsidR="006B1AB5" w:rsidRPr="00EA1A6D">
        <w:rPr>
          <w:rFonts w:ascii="Arial" w:hAnsi="Arial" w:cs="Arial"/>
        </w:rPr>
        <w:t xml:space="preserve">level </w:t>
      </w:r>
      <w:r w:rsidRPr="00EA1A6D">
        <w:rPr>
          <w:rFonts w:ascii="Arial" w:hAnsi="Arial" w:cs="Arial"/>
        </w:rPr>
        <w:t xml:space="preserve"> 73</w:t>
      </w:r>
      <w:proofErr w:type="gramEnd"/>
      <w:r w:rsidRPr="00EA1A6D">
        <w:rPr>
          <w:rFonts w:ascii="Arial" w:hAnsi="Arial" w:cs="Arial"/>
        </w:rPr>
        <w:t xml:space="preserve">,8 </w:t>
      </w:r>
      <w:proofErr w:type="spellStart"/>
      <w:r w:rsidRPr="00EA1A6D">
        <w:rPr>
          <w:rFonts w:ascii="Arial" w:hAnsi="Arial" w:cs="Arial"/>
        </w:rPr>
        <w:t>fL.</w:t>
      </w:r>
      <w:proofErr w:type="spellEnd"/>
      <w:r w:rsidRPr="00EA1A6D">
        <w:rPr>
          <w:rFonts w:ascii="Arial" w:hAnsi="Arial" w:cs="Arial"/>
        </w:rPr>
        <w:t xml:space="preserve"> The results of statistical testing revealed no significant difference between the mean MCV levels in the two research groups.   </w:t>
      </w:r>
      <w:r w:rsidR="006B1AB5" w:rsidRPr="00EA1A6D">
        <w:rPr>
          <w:rFonts w:ascii="Arial" w:hAnsi="Arial" w:cs="Arial"/>
        </w:rPr>
        <w:t xml:space="preserve">MCV levels decreased, but the lowest amount of MCV in stunting toddlers (51,3 </w:t>
      </w:r>
      <w:proofErr w:type="spellStart"/>
      <w:r w:rsidR="006B1AB5" w:rsidRPr="00EA1A6D">
        <w:rPr>
          <w:rFonts w:ascii="Arial" w:hAnsi="Arial" w:cs="Arial"/>
        </w:rPr>
        <w:t>fL</w:t>
      </w:r>
      <w:proofErr w:type="spellEnd"/>
      <w:r w:rsidR="006B1AB5" w:rsidRPr="00EA1A6D">
        <w:rPr>
          <w:rFonts w:ascii="Arial" w:hAnsi="Arial" w:cs="Arial"/>
        </w:rPr>
        <w:t xml:space="preserve">) is lower than the lowest amount of MCV in non-stunting toddlers (56,7 </w:t>
      </w:r>
      <w:proofErr w:type="spellStart"/>
      <w:r w:rsidR="006B1AB5" w:rsidRPr="00EA1A6D">
        <w:rPr>
          <w:rFonts w:ascii="Arial" w:hAnsi="Arial" w:cs="Arial"/>
        </w:rPr>
        <w:t>fL</w:t>
      </w:r>
      <w:proofErr w:type="spellEnd"/>
      <w:r w:rsidR="006B1AB5" w:rsidRPr="00EA1A6D">
        <w:rPr>
          <w:rFonts w:ascii="Arial" w:hAnsi="Arial" w:cs="Arial"/>
        </w:rPr>
        <w:t>).</w:t>
      </w:r>
    </w:p>
    <w:p w14:paraId="000DA00D" w14:textId="24033511" w:rsidR="00457305" w:rsidRPr="00EA1A6D" w:rsidRDefault="000A033D" w:rsidP="000A033D">
      <w:pPr>
        <w:pStyle w:val="Body"/>
        <w:rPr>
          <w:rFonts w:ascii="Arial" w:hAnsi="Arial" w:cs="Arial"/>
        </w:rPr>
      </w:pPr>
      <w:r w:rsidRPr="00EA1A6D">
        <w:rPr>
          <w:rFonts w:ascii="Arial" w:hAnsi="Arial" w:cs="Arial"/>
        </w:rPr>
        <w:t xml:space="preserve">The average MCH levels in both groups of research subjects were not much different, namely the stunting group 23.1 </w:t>
      </w:r>
      <w:proofErr w:type="spellStart"/>
      <w:r w:rsidRPr="00EA1A6D">
        <w:rPr>
          <w:rFonts w:ascii="Arial" w:hAnsi="Arial" w:cs="Arial"/>
        </w:rPr>
        <w:t>pg</w:t>
      </w:r>
      <w:proofErr w:type="spellEnd"/>
      <w:r w:rsidR="00B954CB" w:rsidRPr="00EA1A6D">
        <w:rPr>
          <w:rFonts w:ascii="Arial" w:hAnsi="Arial" w:cs="Arial"/>
        </w:rPr>
        <w:t xml:space="preserve">, </w:t>
      </w:r>
      <w:r w:rsidR="008D7EDC" w:rsidRPr="00EA1A6D">
        <w:rPr>
          <w:rFonts w:ascii="Arial" w:hAnsi="Arial" w:cs="Arial"/>
        </w:rPr>
        <w:t xml:space="preserve">the </w:t>
      </w:r>
      <w:r w:rsidR="00B954CB" w:rsidRPr="00EA1A6D">
        <w:rPr>
          <w:rFonts w:ascii="Arial" w:hAnsi="Arial" w:cs="Arial"/>
        </w:rPr>
        <w:t xml:space="preserve">average MCH </w:t>
      </w:r>
      <w:r w:rsidR="00C26387" w:rsidRPr="00EA1A6D">
        <w:rPr>
          <w:rFonts w:ascii="Arial" w:hAnsi="Arial" w:cs="Arial"/>
        </w:rPr>
        <w:t xml:space="preserve">low </w:t>
      </w:r>
      <w:r w:rsidR="00B954CB" w:rsidRPr="00EA1A6D">
        <w:rPr>
          <w:rFonts w:ascii="Arial" w:hAnsi="Arial" w:cs="Arial"/>
        </w:rPr>
        <w:t xml:space="preserve">level 28,6% (18,4 </w:t>
      </w:r>
      <w:proofErr w:type="spellStart"/>
      <w:r w:rsidR="00B954CB" w:rsidRPr="00EA1A6D">
        <w:rPr>
          <w:rFonts w:ascii="Arial" w:hAnsi="Arial" w:cs="Arial"/>
        </w:rPr>
        <w:t>pg</w:t>
      </w:r>
      <w:proofErr w:type="spellEnd"/>
      <w:r w:rsidR="00B954CB" w:rsidRPr="00EA1A6D">
        <w:rPr>
          <w:rFonts w:ascii="Arial" w:hAnsi="Arial" w:cs="Arial"/>
        </w:rPr>
        <w:t>)</w:t>
      </w:r>
      <w:r w:rsidR="008D7EDC" w:rsidRPr="00EA1A6D">
        <w:rPr>
          <w:rFonts w:ascii="Arial" w:hAnsi="Arial" w:cs="Arial"/>
        </w:rPr>
        <w:t>, and the</w:t>
      </w:r>
      <w:r w:rsidR="00B954CB" w:rsidRPr="00EA1A6D">
        <w:rPr>
          <w:rFonts w:ascii="Arial" w:hAnsi="Arial" w:cs="Arial"/>
        </w:rPr>
        <w:t xml:space="preserve"> normal </w:t>
      </w:r>
      <w:r w:rsidR="00C26387" w:rsidRPr="00EA1A6D">
        <w:rPr>
          <w:rFonts w:ascii="Arial" w:hAnsi="Arial" w:cs="Arial"/>
        </w:rPr>
        <w:t xml:space="preserve">level </w:t>
      </w:r>
      <w:r w:rsidR="00B954CB" w:rsidRPr="00EA1A6D">
        <w:rPr>
          <w:rFonts w:ascii="Arial" w:hAnsi="Arial" w:cs="Arial"/>
        </w:rPr>
        <w:t xml:space="preserve">71,4% (25.2 </w:t>
      </w:r>
      <w:proofErr w:type="spellStart"/>
      <w:r w:rsidR="00B954CB" w:rsidRPr="00EA1A6D">
        <w:rPr>
          <w:rFonts w:ascii="Arial" w:hAnsi="Arial" w:cs="Arial"/>
        </w:rPr>
        <w:t>pg</w:t>
      </w:r>
      <w:proofErr w:type="spellEnd"/>
      <w:r w:rsidR="00B954CB" w:rsidRPr="00EA1A6D">
        <w:rPr>
          <w:rFonts w:ascii="Arial" w:hAnsi="Arial" w:cs="Arial"/>
        </w:rPr>
        <w:t xml:space="preserve">). </w:t>
      </w:r>
      <w:r w:rsidR="008D7EDC" w:rsidRPr="00EA1A6D">
        <w:rPr>
          <w:rFonts w:ascii="Arial" w:hAnsi="Arial" w:cs="Arial"/>
        </w:rPr>
        <w:t>Compared</w:t>
      </w:r>
      <w:r w:rsidR="00B954CB" w:rsidRPr="00EA1A6D">
        <w:rPr>
          <w:rFonts w:ascii="Arial" w:hAnsi="Arial" w:cs="Arial"/>
        </w:rPr>
        <w:t xml:space="preserve"> with </w:t>
      </w:r>
      <w:r w:rsidR="008D7EDC" w:rsidRPr="00EA1A6D">
        <w:rPr>
          <w:rFonts w:ascii="Arial" w:hAnsi="Arial" w:cs="Arial"/>
        </w:rPr>
        <w:t xml:space="preserve">the </w:t>
      </w:r>
      <w:r w:rsidR="00B954CB" w:rsidRPr="00EA1A6D">
        <w:rPr>
          <w:rFonts w:ascii="Arial" w:hAnsi="Arial" w:cs="Arial"/>
        </w:rPr>
        <w:t>non-stunting</w:t>
      </w:r>
      <w:r w:rsidRPr="00EA1A6D">
        <w:rPr>
          <w:rFonts w:ascii="Arial" w:hAnsi="Arial" w:cs="Arial"/>
        </w:rPr>
        <w:t xml:space="preserve"> group</w:t>
      </w:r>
      <w:r w:rsidR="008D7EDC" w:rsidRPr="00EA1A6D">
        <w:rPr>
          <w:rFonts w:ascii="Arial" w:hAnsi="Arial" w:cs="Arial"/>
        </w:rPr>
        <w:t>, the average MCH level was</w:t>
      </w:r>
      <w:r w:rsidRPr="00EA1A6D">
        <w:rPr>
          <w:rFonts w:ascii="Arial" w:hAnsi="Arial" w:cs="Arial"/>
        </w:rPr>
        <w:t xml:space="preserve"> 24.2 </w:t>
      </w:r>
      <w:proofErr w:type="spellStart"/>
      <w:r w:rsidRPr="00EA1A6D">
        <w:rPr>
          <w:rFonts w:ascii="Arial" w:hAnsi="Arial" w:cs="Arial"/>
        </w:rPr>
        <w:t>pg</w:t>
      </w:r>
      <w:proofErr w:type="spellEnd"/>
      <w:r w:rsidR="00B954CB" w:rsidRPr="00EA1A6D">
        <w:rPr>
          <w:rFonts w:ascii="Arial" w:hAnsi="Arial" w:cs="Arial"/>
        </w:rPr>
        <w:t xml:space="preserve">, </w:t>
      </w:r>
      <w:r w:rsidR="008D7EDC" w:rsidRPr="00EA1A6D">
        <w:rPr>
          <w:rFonts w:ascii="Arial" w:hAnsi="Arial" w:cs="Arial"/>
        </w:rPr>
        <w:t xml:space="preserve">the </w:t>
      </w:r>
      <w:r w:rsidR="00B954CB" w:rsidRPr="00EA1A6D">
        <w:rPr>
          <w:rFonts w:ascii="Arial" w:hAnsi="Arial" w:cs="Arial"/>
        </w:rPr>
        <w:t>low</w:t>
      </w:r>
      <w:r w:rsidR="00C26387" w:rsidRPr="00EA1A6D">
        <w:rPr>
          <w:rFonts w:ascii="Arial" w:hAnsi="Arial" w:cs="Arial"/>
        </w:rPr>
        <w:t xml:space="preserve"> </w:t>
      </w:r>
      <w:r w:rsidR="00B954CB" w:rsidRPr="00EA1A6D">
        <w:rPr>
          <w:rFonts w:ascii="Arial" w:hAnsi="Arial" w:cs="Arial"/>
        </w:rPr>
        <w:t xml:space="preserve">level 23,8% (20,8 </w:t>
      </w:r>
      <w:proofErr w:type="spellStart"/>
      <w:r w:rsidR="00B954CB" w:rsidRPr="00EA1A6D">
        <w:rPr>
          <w:rFonts w:ascii="Arial" w:hAnsi="Arial" w:cs="Arial"/>
        </w:rPr>
        <w:t>pg</w:t>
      </w:r>
      <w:proofErr w:type="spellEnd"/>
      <w:r w:rsidR="00B954CB" w:rsidRPr="00EA1A6D">
        <w:rPr>
          <w:rFonts w:ascii="Arial" w:hAnsi="Arial" w:cs="Arial"/>
        </w:rPr>
        <w:t xml:space="preserve">), </w:t>
      </w:r>
      <w:r w:rsidR="008D7EDC" w:rsidRPr="00EA1A6D">
        <w:rPr>
          <w:rFonts w:ascii="Arial" w:hAnsi="Arial" w:cs="Arial"/>
        </w:rPr>
        <w:t xml:space="preserve">and the </w:t>
      </w:r>
      <w:r w:rsidR="00B954CB" w:rsidRPr="00EA1A6D">
        <w:rPr>
          <w:rFonts w:ascii="Arial" w:hAnsi="Arial" w:cs="Arial"/>
        </w:rPr>
        <w:t>normal</w:t>
      </w:r>
      <w:r w:rsidR="00C26387" w:rsidRPr="00EA1A6D">
        <w:rPr>
          <w:rFonts w:ascii="Arial" w:hAnsi="Arial" w:cs="Arial"/>
        </w:rPr>
        <w:t xml:space="preserve"> level</w:t>
      </w:r>
      <w:r w:rsidR="00B954CB" w:rsidRPr="00EA1A6D">
        <w:rPr>
          <w:rFonts w:ascii="Arial" w:hAnsi="Arial" w:cs="Arial"/>
        </w:rPr>
        <w:t xml:space="preserve"> </w:t>
      </w:r>
      <w:r w:rsidR="00457305" w:rsidRPr="00EA1A6D">
        <w:rPr>
          <w:rFonts w:ascii="Arial" w:hAnsi="Arial" w:cs="Arial"/>
        </w:rPr>
        <w:t>76,2% (</w:t>
      </w:r>
      <w:r w:rsidR="00B954CB" w:rsidRPr="00EA1A6D">
        <w:rPr>
          <w:rFonts w:ascii="Arial" w:hAnsi="Arial" w:cs="Arial"/>
        </w:rPr>
        <w:t>2</w:t>
      </w:r>
      <w:r w:rsidR="00457305" w:rsidRPr="00EA1A6D">
        <w:rPr>
          <w:rFonts w:ascii="Arial" w:hAnsi="Arial" w:cs="Arial"/>
        </w:rPr>
        <w:t xml:space="preserve">5,3 </w:t>
      </w:r>
      <w:proofErr w:type="spellStart"/>
      <w:r w:rsidR="00457305" w:rsidRPr="00EA1A6D">
        <w:rPr>
          <w:rFonts w:ascii="Arial" w:hAnsi="Arial" w:cs="Arial"/>
        </w:rPr>
        <w:t>pg</w:t>
      </w:r>
      <w:proofErr w:type="spellEnd"/>
      <w:r w:rsidR="00457305" w:rsidRPr="00EA1A6D">
        <w:rPr>
          <w:rFonts w:ascii="Arial" w:hAnsi="Arial" w:cs="Arial"/>
        </w:rPr>
        <w:t xml:space="preserve">). </w:t>
      </w:r>
    </w:p>
    <w:p w14:paraId="502021FF" w14:textId="52148DB0" w:rsidR="000A033D" w:rsidRPr="00EA1A6D" w:rsidRDefault="000A033D" w:rsidP="000A033D">
      <w:pPr>
        <w:pStyle w:val="Body"/>
        <w:rPr>
          <w:rFonts w:ascii="Arial" w:hAnsi="Arial" w:cs="Arial"/>
          <w:b/>
          <w:bCs/>
          <w:sz w:val="22"/>
          <w:szCs w:val="22"/>
        </w:rPr>
      </w:pPr>
      <w:r w:rsidRPr="00EA1A6D">
        <w:rPr>
          <w:rFonts w:ascii="Arial" w:hAnsi="Arial" w:cs="Arial"/>
          <w:b/>
          <w:bCs/>
          <w:sz w:val="22"/>
          <w:szCs w:val="22"/>
        </w:rPr>
        <w:t xml:space="preserve">Subject’s </w:t>
      </w:r>
      <w:r w:rsidR="00E1788F" w:rsidRPr="00EA1A6D">
        <w:rPr>
          <w:rFonts w:ascii="Arial" w:hAnsi="Arial" w:cs="Arial"/>
          <w:b/>
          <w:bCs/>
          <w:sz w:val="22"/>
          <w:szCs w:val="22"/>
        </w:rPr>
        <w:t xml:space="preserve">leukocyte </w:t>
      </w:r>
      <w:r w:rsidRPr="00EA1A6D">
        <w:rPr>
          <w:rFonts w:ascii="Arial" w:hAnsi="Arial" w:cs="Arial"/>
          <w:b/>
          <w:bCs/>
          <w:sz w:val="22"/>
          <w:szCs w:val="22"/>
        </w:rPr>
        <w:t>characteristics</w:t>
      </w:r>
    </w:p>
    <w:p w14:paraId="6EBF85F8" w14:textId="3B17FE93" w:rsidR="00EC17CE" w:rsidRPr="00EA1A6D" w:rsidRDefault="00E1788F" w:rsidP="000A033D">
      <w:pPr>
        <w:pStyle w:val="Body"/>
        <w:rPr>
          <w:rFonts w:ascii="Arial" w:hAnsi="Arial" w:cs="Arial"/>
        </w:rPr>
      </w:pPr>
      <w:r w:rsidRPr="00EA1A6D">
        <w:rPr>
          <w:rFonts w:ascii="Arial" w:hAnsi="Arial" w:cs="Arial"/>
        </w:rPr>
        <w:t>Leukocyte is</w:t>
      </w:r>
      <w:r w:rsidR="000A033D" w:rsidRPr="00EA1A6D">
        <w:rPr>
          <w:rFonts w:ascii="Arial" w:hAnsi="Arial" w:cs="Arial"/>
        </w:rPr>
        <w:t xml:space="preserve"> more common in non-stunted toddlers than in stunted toddlers, according to Table 3.  This can develop as a result of poor sanitation, making toddlers more susceptible to infection and stimulating the immunological response to fight the infection.  </w:t>
      </w:r>
    </w:p>
    <w:p w14:paraId="075F49D1" w14:textId="2DE39B1E" w:rsidR="00EC17CE" w:rsidRPr="00EA1A6D" w:rsidRDefault="0000679B" w:rsidP="000A033D">
      <w:pPr>
        <w:pStyle w:val="Body"/>
        <w:rPr>
          <w:rFonts w:ascii="Arial" w:hAnsi="Arial" w:cs="Arial"/>
          <w:b/>
          <w:bCs/>
        </w:rPr>
      </w:pPr>
      <w:r w:rsidRPr="00EA1A6D">
        <w:rPr>
          <w:rFonts w:ascii="Arial" w:hAnsi="Arial" w:cs="Arial"/>
          <w:b/>
          <w:bCs/>
        </w:rPr>
        <w:t>Table 3. Subjects</w:t>
      </w:r>
      <w:r w:rsidR="00465207" w:rsidRPr="00EA1A6D">
        <w:rPr>
          <w:rFonts w:ascii="Arial" w:hAnsi="Arial" w:cs="Arial"/>
          <w:b/>
          <w:bCs/>
        </w:rPr>
        <w:t>’ Leukocyte</w:t>
      </w:r>
      <w:r w:rsidR="00E1788F" w:rsidRPr="00EA1A6D">
        <w:rPr>
          <w:rFonts w:ascii="Arial" w:hAnsi="Arial" w:cs="Arial"/>
          <w:b/>
          <w:bCs/>
        </w:rPr>
        <w:t xml:space="preserve"> </w:t>
      </w:r>
      <w:r w:rsidR="00465207" w:rsidRPr="00EA1A6D">
        <w:rPr>
          <w:rFonts w:ascii="Arial" w:hAnsi="Arial" w:cs="Arial"/>
          <w:b/>
          <w:bCs/>
        </w:rPr>
        <w:t>Characteristics</w:t>
      </w:r>
    </w:p>
    <w:tbl>
      <w:tblPr>
        <w:tblStyle w:val="PlainTable212"/>
        <w:tblW w:w="5144" w:type="pct"/>
        <w:tblBorders>
          <w:top w:val="single" w:sz="4" w:space="0" w:color="auto"/>
          <w:bottom w:val="none" w:sz="0" w:space="0" w:color="auto"/>
        </w:tblBorders>
        <w:tblLayout w:type="fixed"/>
        <w:tblLook w:val="04A0" w:firstRow="1" w:lastRow="0" w:firstColumn="1" w:lastColumn="0" w:noHBand="0" w:noVBand="1"/>
      </w:tblPr>
      <w:tblGrid>
        <w:gridCol w:w="1590"/>
        <w:gridCol w:w="2190"/>
        <w:gridCol w:w="1062"/>
        <w:gridCol w:w="952"/>
        <w:gridCol w:w="1574"/>
        <w:gridCol w:w="1076"/>
      </w:tblGrid>
      <w:tr w:rsidR="00EA1A6D" w:rsidRPr="00EA1A6D" w14:paraId="320A0F99" w14:textId="77777777" w:rsidTr="00F818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auto"/>
              <w:bottom w:val="single" w:sz="4" w:space="0" w:color="auto"/>
            </w:tcBorders>
            <w:vAlign w:val="center"/>
          </w:tcPr>
          <w:p w14:paraId="670C255B" w14:textId="77777777" w:rsidR="00EC17CE" w:rsidRPr="00EA1A6D" w:rsidRDefault="00EC17CE" w:rsidP="00EC17CE">
            <w:pPr>
              <w:widowControl w:val="0"/>
              <w:autoSpaceDE w:val="0"/>
              <w:autoSpaceDN w:val="0"/>
              <w:jc w:val="center"/>
              <w:rPr>
                <w:rFonts w:ascii="Arial" w:hAnsi="Arial" w:cs="Arial"/>
                <w:i/>
                <w:iCs/>
                <w:kern w:val="2"/>
              </w:rPr>
            </w:pPr>
            <w:r w:rsidRPr="00EA1A6D">
              <w:rPr>
                <w:rFonts w:ascii="Arial" w:hAnsi="Arial" w:cs="Arial"/>
                <w:kern w:val="2"/>
              </w:rPr>
              <w:t>Subjects Group</w:t>
            </w:r>
          </w:p>
        </w:tc>
        <w:tc>
          <w:tcPr>
            <w:tcW w:w="1297" w:type="pct"/>
            <w:tcBorders>
              <w:top w:val="single" w:sz="4" w:space="0" w:color="auto"/>
              <w:bottom w:val="single" w:sz="4" w:space="0" w:color="auto"/>
            </w:tcBorders>
            <w:vAlign w:val="center"/>
          </w:tcPr>
          <w:p w14:paraId="0FF657EE" w14:textId="254EACE6" w:rsidR="00E1788F" w:rsidRPr="00EA1A6D" w:rsidRDefault="00EC17CE" w:rsidP="00E1788F">
            <w:pPr>
              <w:widowControl w:val="0"/>
              <w:autoSpaceDE w:val="0"/>
              <w:autoSpaceDN w:val="0"/>
              <w:ind w:rightChars="-136" w:right="-272"/>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kern w:val="2"/>
              </w:rPr>
            </w:pPr>
            <w:proofErr w:type="spellStart"/>
            <w:r w:rsidRPr="00EA1A6D">
              <w:rPr>
                <w:rFonts w:ascii="Arial" w:hAnsi="Arial" w:cs="Arial"/>
                <w:kern w:val="2"/>
              </w:rPr>
              <w:t>Leukoc</w:t>
            </w:r>
            <w:r w:rsidR="00E1788F" w:rsidRPr="00EA1A6D">
              <w:rPr>
                <w:rFonts w:ascii="Arial" w:hAnsi="Arial" w:cs="Arial"/>
                <w:kern w:val="2"/>
              </w:rPr>
              <w:t>ytete</w:t>
            </w:r>
            <w:proofErr w:type="spellEnd"/>
            <w:r w:rsidRPr="00EA1A6D">
              <w:rPr>
                <w:rFonts w:ascii="Arial" w:hAnsi="Arial" w:cs="Arial"/>
                <w:kern w:val="2"/>
              </w:rPr>
              <w:t xml:space="preserve"> </w:t>
            </w:r>
            <w:r w:rsidR="00C26387" w:rsidRPr="00EA1A6D">
              <w:rPr>
                <w:rFonts w:ascii="Arial" w:hAnsi="Arial" w:cs="Arial"/>
                <w:kern w:val="2"/>
              </w:rPr>
              <w:t xml:space="preserve">      </w:t>
            </w:r>
          </w:p>
          <w:p w14:paraId="58020D41" w14:textId="32C06823" w:rsidR="00EC17CE" w:rsidRPr="00EA1A6D" w:rsidRDefault="00F8184D" w:rsidP="00E1788F">
            <w:pPr>
              <w:widowControl w:val="0"/>
              <w:autoSpaceDE w:val="0"/>
              <w:autoSpaceDN w:val="0"/>
              <w:ind w:rightChars="-136" w:right="-272"/>
              <w:jc w:val="right"/>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 xml:space="preserve">average </w:t>
            </w:r>
            <w:proofErr w:type="spellStart"/>
            <w:r w:rsidR="00EC17CE" w:rsidRPr="00EA1A6D">
              <w:rPr>
                <w:rFonts w:ascii="Arial" w:hAnsi="Arial" w:cs="Arial"/>
                <w:kern w:val="2"/>
              </w:rPr>
              <w:t>lev</w:t>
            </w:r>
            <w:r w:rsidR="00E1788F" w:rsidRPr="00EA1A6D">
              <w:rPr>
                <w:rFonts w:ascii="Arial" w:hAnsi="Arial" w:cs="Arial"/>
                <w:kern w:val="2"/>
              </w:rPr>
              <w:t>el</w:t>
            </w:r>
            <w:r w:rsidR="00C26387" w:rsidRPr="00EA1A6D">
              <w:rPr>
                <w:rFonts w:ascii="Arial" w:hAnsi="Arial" w:cs="Arial"/>
                <w:kern w:val="2"/>
              </w:rPr>
              <w:t>el</w:t>
            </w:r>
            <w:proofErr w:type="spellEnd"/>
            <w:r w:rsidR="00C26387" w:rsidRPr="00EA1A6D">
              <w:rPr>
                <w:rFonts w:ascii="Arial" w:hAnsi="Arial" w:cs="Arial"/>
                <w:kern w:val="2"/>
              </w:rPr>
              <w:t xml:space="preserve"> </w:t>
            </w:r>
          </w:p>
        </w:tc>
        <w:tc>
          <w:tcPr>
            <w:tcW w:w="629" w:type="pct"/>
            <w:tcBorders>
              <w:top w:val="single" w:sz="4" w:space="0" w:color="auto"/>
              <w:bottom w:val="single" w:sz="4" w:space="0" w:color="auto"/>
            </w:tcBorders>
            <w:vAlign w:val="center"/>
          </w:tcPr>
          <w:p w14:paraId="61C35C10" w14:textId="77777777" w:rsidR="00EC17CE" w:rsidRPr="00EA1A6D"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w:t>
            </w:r>
          </w:p>
        </w:tc>
        <w:tc>
          <w:tcPr>
            <w:tcW w:w="564" w:type="pct"/>
            <w:tcBorders>
              <w:top w:val="single" w:sz="4" w:space="0" w:color="auto"/>
              <w:bottom w:val="single" w:sz="4" w:space="0" w:color="auto"/>
            </w:tcBorders>
            <w:vAlign w:val="center"/>
          </w:tcPr>
          <w:p w14:paraId="1EAFCFC5" w14:textId="77777777" w:rsidR="00EC17CE" w:rsidRPr="00EA1A6D"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w:t>
            </w:r>
          </w:p>
        </w:tc>
        <w:tc>
          <w:tcPr>
            <w:tcW w:w="932" w:type="pct"/>
            <w:tcBorders>
              <w:top w:val="single" w:sz="4" w:space="0" w:color="auto"/>
              <w:bottom w:val="single" w:sz="4" w:space="0" w:color="auto"/>
            </w:tcBorders>
            <w:vAlign w:val="center"/>
          </w:tcPr>
          <w:p w14:paraId="59C27901" w14:textId="77777777" w:rsidR="00EC17CE" w:rsidRPr="00EA1A6D"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Average</w:t>
            </w:r>
          </w:p>
        </w:tc>
        <w:tc>
          <w:tcPr>
            <w:tcW w:w="638" w:type="pct"/>
            <w:tcBorders>
              <w:top w:val="single" w:sz="4" w:space="0" w:color="auto"/>
              <w:bottom w:val="single" w:sz="4" w:space="0" w:color="auto"/>
            </w:tcBorders>
          </w:tcPr>
          <w:p w14:paraId="14A8FD4C" w14:textId="484CCBBF" w:rsidR="00EC17CE" w:rsidRPr="00EA1A6D" w:rsidRDefault="0000679B" w:rsidP="00EC17CE">
            <w:pPr>
              <w:widowControl w:val="0"/>
              <w:autoSpaceDE w:val="0"/>
              <w:autoSpaceDN w:val="0"/>
              <w:ind w:rightChars="-174" w:right="-348"/>
              <w:jc w:val="both"/>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i/>
                <w:iCs/>
                <w:kern w:val="2"/>
              </w:rPr>
              <w:t>P</w:t>
            </w:r>
            <w:r w:rsidR="00EC17CE" w:rsidRPr="00EA1A6D">
              <w:rPr>
                <w:rFonts w:ascii="Arial" w:hAnsi="Arial" w:cs="Arial"/>
                <w:kern w:val="2"/>
              </w:rPr>
              <w:t xml:space="preserve">-value </w:t>
            </w:r>
          </w:p>
        </w:tc>
      </w:tr>
      <w:tr w:rsidR="00EA1A6D" w:rsidRPr="00EA1A6D" w14:paraId="4D78AC2A" w14:textId="77777777" w:rsidTr="00F8184D">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auto"/>
            </w:tcBorders>
          </w:tcPr>
          <w:p w14:paraId="470522E5" w14:textId="77777777" w:rsidR="00EC17CE" w:rsidRPr="00EA1A6D" w:rsidRDefault="00EC17CE" w:rsidP="00C26387">
            <w:pPr>
              <w:widowControl w:val="0"/>
              <w:autoSpaceDE w:val="0"/>
              <w:autoSpaceDN w:val="0"/>
              <w:rPr>
                <w:rFonts w:ascii="Arial" w:hAnsi="Arial" w:cs="Arial"/>
                <w:b w:val="0"/>
                <w:bCs w:val="0"/>
                <w:kern w:val="2"/>
              </w:rPr>
            </w:pPr>
            <w:r w:rsidRPr="00EA1A6D">
              <w:rPr>
                <w:rFonts w:ascii="Arial" w:hAnsi="Arial" w:cs="Arial"/>
                <w:b w:val="0"/>
                <w:bCs w:val="0"/>
                <w:kern w:val="2"/>
              </w:rPr>
              <w:t>Stunting</w:t>
            </w:r>
          </w:p>
        </w:tc>
        <w:tc>
          <w:tcPr>
            <w:tcW w:w="1297" w:type="pct"/>
            <w:tcBorders>
              <w:top w:val="single" w:sz="4" w:space="0" w:color="auto"/>
            </w:tcBorders>
          </w:tcPr>
          <w:p w14:paraId="2B187B84" w14:textId="0D49AE4A"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Normal</w:t>
            </w:r>
            <w:r w:rsidR="00F8184D" w:rsidRPr="00EA1A6D">
              <w:rPr>
                <w:rFonts w:ascii="Arial" w:hAnsi="Arial" w:cs="Arial"/>
                <w:kern w:val="2"/>
              </w:rPr>
              <w:t xml:space="preserve"> (9,3 10</w:t>
            </w:r>
            <w:r w:rsidR="00F8184D" w:rsidRPr="00EA1A6D">
              <w:rPr>
                <w:rFonts w:ascii="Arial" w:hAnsi="Arial" w:cs="Arial"/>
                <w:kern w:val="2"/>
                <w:vertAlign w:val="superscript"/>
              </w:rPr>
              <w:t>3</w:t>
            </w:r>
            <w:r w:rsidR="00F8184D" w:rsidRPr="00EA1A6D">
              <w:rPr>
                <w:rFonts w:ascii="Arial" w:hAnsi="Arial" w:cs="Arial"/>
                <w:kern w:val="2"/>
              </w:rPr>
              <w:t>/</w:t>
            </w:r>
            <w:proofErr w:type="spellStart"/>
            <w:r w:rsidR="00F8184D" w:rsidRPr="00EA1A6D">
              <w:rPr>
                <w:rFonts w:ascii="Arial" w:hAnsi="Arial" w:cs="Arial"/>
                <w:kern w:val="2"/>
              </w:rPr>
              <w:t>uL</w:t>
            </w:r>
            <w:proofErr w:type="spellEnd"/>
            <w:r w:rsidR="00F8184D" w:rsidRPr="00EA1A6D">
              <w:rPr>
                <w:rFonts w:ascii="Arial" w:hAnsi="Arial" w:cs="Arial"/>
                <w:kern w:val="2"/>
              </w:rPr>
              <w:t>)</w:t>
            </w:r>
          </w:p>
        </w:tc>
        <w:tc>
          <w:tcPr>
            <w:tcW w:w="629" w:type="pct"/>
            <w:tcBorders>
              <w:top w:val="single" w:sz="4" w:space="0" w:color="auto"/>
            </w:tcBorders>
          </w:tcPr>
          <w:p w14:paraId="65474600"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19</w:t>
            </w:r>
          </w:p>
        </w:tc>
        <w:tc>
          <w:tcPr>
            <w:tcW w:w="564" w:type="pct"/>
            <w:tcBorders>
              <w:top w:val="single" w:sz="4" w:space="0" w:color="auto"/>
            </w:tcBorders>
          </w:tcPr>
          <w:p w14:paraId="7A55600A"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90,5</w:t>
            </w:r>
          </w:p>
        </w:tc>
        <w:tc>
          <w:tcPr>
            <w:tcW w:w="932" w:type="pct"/>
            <w:vMerge w:val="restart"/>
            <w:tcBorders>
              <w:top w:val="single" w:sz="4" w:space="0" w:color="auto"/>
            </w:tcBorders>
            <w:vAlign w:val="center"/>
          </w:tcPr>
          <w:p w14:paraId="38524B01" w14:textId="77777777" w:rsidR="00EC17CE" w:rsidRPr="00EA1A6D"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10,3 10</w:t>
            </w:r>
            <w:r w:rsidRPr="00EA1A6D">
              <w:rPr>
                <w:rFonts w:ascii="Arial" w:hAnsi="Arial" w:cs="Arial"/>
                <w:kern w:val="2"/>
                <w:vertAlign w:val="superscript"/>
              </w:rPr>
              <w:t>3</w:t>
            </w:r>
            <w:r w:rsidRPr="00EA1A6D">
              <w:rPr>
                <w:rFonts w:ascii="Arial" w:hAnsi="Arial" w:cs="Arial"/>
                <w:kern w:val="2"/>
              </w:rPr>
              <w:t>/</w:t>
            </w:r>
            <w:proofErr w:type="spellStart"/>
            <w:r w:rsidRPr="00EA1A6D">
              <w:rPr>
                <w:rFonts w:ascii="Arial" w:hAnsi="Arial" w:cs="Arial"/>
                <w:kern w:val="2"/>
              </w:rPr>
              <w:t>uL</w:t>
            </w:r>
            <w:proofErr w:type="spellEnd"/>
          </w:p>
        </w:tc>
        <w:tc>
          <w:tcPr>
            <w:tcW w:w="638" w:type="pct"/>
            <w:vMerge w:val="restart"/>
            <w:tcBorders>
              <w:top w:val="single" w:sz="4" w:space="0" w:color="auto"/>
            </w:tcBorders>
            <w:vAlign w:val="center"/>
          </w:tcPr>
          <w:p w14:paraId="48144A71" w14:textId="4431CBB2" w:rsidR="00EC17CE" w:rsidRPr="00EA1A6D" w:rsidRDefault="0000679B"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i/>
                <w:iCs/>
                <w:kern w:val="2"/>
              </w:rPr>
              <w:t xml:space="preserve">P </w:t>
            </w:r>
            <w:r w:rsidRPr="00EA1A6D">
              <w:rPr>
                <w:rFonts w:ascii="Arial" w:hAnsi="Arial" w:cs="Arial"/>
                <w:kern w:val="2"/>
              </w:rPr>
              <w:t xml:space="preserve">= </w:t>
            </w:r>
            <w:r w:rsidR="00EC17CE" w:rsidRPr="00EA1A6D">
              <w:rPr>
                <w:rFonts w:ascii="Arial" w:hAnsi="Arial" w:cs="Arial"/>
                <w:kern w:val="2"/>
              </w:rPr>
              <w:t>,080</w:t>
            </w:r>
          </w:p>
        </w:tc>
      </w:tr>
      <w:tr w:rsidR="00EA1A6D" w:rsidRPr="00EA1A6D" w14:paraId="639D09CD" w14:textId="77777777" w:rsidTr="00F8184D">
        <w:tc>
          <w:tcPr>
            <w:cnfStyle w:val="001000000000" w:firstRow="0" w:lastRow="0" w:firstColumn="1" w:lastColumn="0" w:oddVBand="0" w:evenVBand="0" w:oddHBand="0" w:evenHBand="0" w:firstRowFirstColumn="0" w:firstRowLastColumn="0" w:lastRowFirstColumn="0" w:lastRowLastColumn="0"/>
            <w:tcW w:w="941" w:type="pct"/>
            <w:tcBorders>
              <w:top w:val="nil"/>
            </w:tcBorders>
          </w:tcPr>
          <w:p w14:paraId="29719C4E" w14:textId="77777777" w:rsidR="00EC17CE" w:rsidRPr="00EA1A6D" w:rsidRDefault="00EC17CE" w:rsidP="00C26387">
            <w:pPr>
              <w:widowControl w:val="0"/>
              <w:autoSpaceDE w:val="0"/>
              <w:autoSpaceDN w:val="0"/>
              <w:rPr>
                <w:rFonts w:ascii="Arial" w:hAnsi="Arial" w:cs="Arial"/>
                <w:b w:val="0"/>
                <w:bCs w:val="0"/>
                <w:kern w:val="2"/>
              </w:rPr>
            </w:pPr>
          </w:p>
        </w:tc>
        <w:tc>
          <w:tcPr>
            <w:tcW w:w="1297" w:type="pct"/>
            <w:tcBorders>
              <w:top w:val="nil"/>
            </w:tcBorders>
          </w:tcPr>
          <w:p w14:paraId="06861609" w14:textId="3660EDCE"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High</w:t>
            </w:r>
            <w:r w:rsidR="00F8184D" w:rsidRPr="00EA1A6D">
              <w:rPr>
                <w:rFonts w:ascii="Arial" w:hAnsi="Arial" w:cs="Arial"/>
                <w:kern w:val="2"/>
              </w:rPr>
              <w:t xml:space="preserve"> (19,8 10</w:t>
            </w:r>
            <w:r w:rsidR="00F8184D" w:rsidRPr="00EA1A6D">
              <w:rPr>
                <w:rFonts w:ascii="Arial" w:hAnsi="Arial" w:cs="Arial"/>
                <w:kern w:val="2"/>
                <w:vertAlign w:val="superscript"/>
              </w:rPr>
              <w:t>3</w:t>
            </w:r>
            <w:r w:rsidR="00F8184D" w:rsidRPr="00EA1A6D">
              <w:rPr>
                <w:rFonts w:ascii="Arial" w:hAnsi="Arial" w:cs="Arial"/>
                <w:kern w:val="2"/>
              </w:rPr>
              <w:t>/</w:t>
            </w:r>
            <w:proofErr w:type="spellStart"/>
            <w:r w:rsidR="00F8184D" w:rsidRPr="00EA1A6D">
              <w:rPr>
                <w:rFonts w:ascii="Arial" w:hAnsi="Arial" w:cs="Arial"/>
                <w:kern w:val="2"/>
              </w:rPr>
              <w:t>uL</w:t>
            </w:r>
            <w:proofErr w:type="spellEnd"/>
            <w:r w:rsidR="00F8184D" w:rsidRPr="00EA1A6D">
              <w:rPr>
                <w:rFonts w:ascii="Arial" w:hAnsi="Arial" w:cs="Arial"/>
                <w:kern w:val="2"/>
              </w:rPr>
              <w:t>)</w:t>
            </w:r>
          </w:p>
        </w:tc>
        <w:tc>
          <w:tcPr>
            <w:tcW w:w="629" w:type="pct"/>
            <w:tcBorders>
              <w:top w:val="nil"/>
            </w:tcBorders>
          </w:tcPr>
          <w:p w14:paraId="61080580"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2</w:t>
            </w:r>
          </w:p>
        </w:tc>
        <w:tc>
          <w:tcPr>
            <w:tcW w:w="564" w:type="pct"/>
            <w:tcBorders>
              <w:top w:val="nil"/>
            </w:tcBorders>
          </w:tcPr>
          <w:p w14:paraId="0BC7DC1D"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9,5</w:t>
            </w:r>
          </w:p>
        </w:tc>
        <w:tc>
          <w:tcPr>
            <w:tcW w:w="932" w:type="pct"/>
            <w:vMerge/>
            <w:tcBorders>
              <w:top w:val="nil"/>
            </w:tcBorders>
            <w:vAlign w:val="center"/>
          </w:tcPr>
          <w:p w14:paraId="0D540B7F"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638" w:type="pct"/>
            <w:vMerge/>
            <w:tcBorders>
              <w:top w:val="nil"/>
            </w:tcBorders>
          </w:tcPr>
          <w:p w14:paraId="6C49BB22"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471481C6" w14:textId="77777777" w:rsidTr="00F8184D">
        <w:tc>
          <w:tcPr>
            <w:cnfStyle w:val="001000000000" w:firstRow="0" w:lastRow="0" w:firstColumn="1" w:lastColumn="0" w:oddVBand="0" w:evenVBand="0" w:oddHBand="0" w:evenHBand="0" w:firstRowFirstColumn="0" w:firstRowLastColumn="0" w:lastRowFirstColumn="0" w:lastRowLastColumn="0"/>
            <w:tcW w:w="941" w:type="pct"/>
            <w:vMerge w:val="restart"/>
            <w:tcBorders>
              <w:top w:val="nil"/>
            </w:tcBorders>
          </w:tcPr>
          <w:p w14:paraId="1A8DE075" w14:textId="77777777" w:rsidR="00EC17CE" w:rsidRPr="00EA1A6D" w:rsidRDefault="00EC17CE" w:rsidP="00C26387">
            <w:pPr>
              <w:widowControl w:val="0"/>
              <w:autoSpaceDE w:val="0"/>
              <w:autoSpaceDN w:val="0"/>
              <w:rPr>
                <w:rFonts w:ascii="Arial" w:hAnsi="Arial" w:cs="Arial"/>
                <w:b w:val="0"/>
                <w:bCs w:val="0"/>
                <w:kern w:val="2"/>
              </w:rPr>
            </w:pPr>
            <w:r w:rsidRPr="00EA1A6D">
              <w:rPr>
                <w:rFonts w:ascii="Arial" w:hAnsi="Arial" w:cs="Arial"/>
                <w:b w:val="0"/>
                <w:bCs w:val="0"/>
                <w:kern w:val="2"/>
              </w:rPr>
              <w:t>Non-Stunting</w:t>
            </w:r>
          </w:p>
        </w:tc>
        <w:tc>
          <w:tcPr>
            <w:tcW w:w="1297" w:type="pct"/>
            <w:tcBorders>
              <w:top w:val="nil"/>
            </w:tcBorders>
          </w:tcPr>
          <w:p w14:paraId="4FE899F5" w14:textId="2F2055C9"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Normal</w:t>
            </w:r>
            <w:r w:rsidR="00F8184D" w:rsidRPr="00EA1A6D">
              <w:rPr>
                <w:rFonts w:ascii="Arial" w:hAnsi="Arial" w:cs="Arial"/>
                <w:kern w:val="2"/>
              </w:rPr>
              <w:t xml:space="preserve"> (10,4 10</w:t>
            </w:r>
            <w:r w:rsidR="00F8184D" w:rsidRPr="00EA1A6D">
              <w:rPr>
                <w:rFonts w:ascii="Arial" w:hAnsi="Arial" w:cs="Arial"/>
                <w:kern w:val="2"/>
                <w:vertAlign w:val="superscript"/>
              </w:rPr>
              <w:t>3</w:t>
            </w:r>
            <w:r w:rsidR="00F8184D" w:rsidRPr="00EA1A6D">
              <w:rPr>
                <w:rFonts w:ascii="Arial" w:hAnsi="Arial" w:cs="Arial"/>
                <w:kern w:val="2"/>
              </w:rPr>
              <w:t>/</w:t>
            </w:r>
            <w:proofErr w:type="spellStart"/>
            <w:r w:rsidR="00F8184D" w:rsidRPr="00EA1A6D">
              <w:rPr>
                <w:rFonts w:ascii="Arial" w:hAnsi="Arial" w:cs="Arial"/>
                <w:kern w:val="2"/>
              </w:rPr>
              <w:t>uL</w:t>
            </w:r>
            <w:proofErr w:type="spellEnd"/>
            <w:r w:rsidR="00F8184D" w:rsidRPr="00EA1A6D">
              <w:rPr>
                <w:rFonts w:ascii="Arial" w:hAnsi="Arial" w:cs="Arial"/>
                <w:kern w:val="2"/>
              </w:rPr>
              <w:t>)</w:t>
            </w:r>
          </w:p>
        </w:tc>
        <w:tc>
          <w:tcPr>
            <w:tcW w:w="629" w:type="pct"/>
            <w:tcBorders>
              <w:top w:val="nil"/>
            </w:tcBorders>
          </w:tcPr>
          <w:p w14:paraId="29672159"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15</w:t>
            </w:r>
          </w:p>
        </w:tc>
        <w:tc>
          <w:tcPr>
            <w:tcW w:w="564" w:type="pct"/>
            <w:tcBorders>
              <w:top w:val="nil"/>
            </w:tcBorders>
          </w:tcPr>
          <w:p w14:paraId="747728E6"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71,4</w:t>
            </w:r>
          </w:p>
        </w:tc>
        <w:tc>
          <w:tcPr>
            <w:tcW w:w="932" w:type="pct"/>
            <w:vMerge w:val="restart"/>
            <w:tcBorders>
              <w:top w:val="nil"/>
            </w:tcBorders>
            <w:vAlign w:val="center"/>
          </w:tcPr>
          <w:p w14:paraId="1A68EA08" w14:textId="77777777" w:rsidR="00EC17CE" w:rsidRPr="00EA1A6D"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12,4 10</w:t>
            </w:r>
            <w:r w:rsidRPr="00EA1A6D">
              <w:rPr>
                <w:rFonts w:ascii="Arial" w:hAnsi="Arial" w:cs="Arial"/>
                <w:kern w:val="2"/>
                <w:vertAlign w:val="superscript"/>
              </w:rPr>
              <w:t>3</w:t>
            </w:r>
            <w:r w:rsidRPr="00EA1A6D">
              <w:rPr>
                <w:rFonts w:ascii="Arial" w:hAnsi="Arial" w:cs="Arial"/>
                <w:kern w:val="2"/>
              </w:rPr>
              <w:t>/</w:t>
            </w:r>
            <w:proofErr w:type="spellStart"/>
            <w:r w:rsidRPr="00EA1A6D">
              <w:rPr>
                <w:rFonts w:ascii="Arial" w:hAnsi="Arial" w:cs="Arial"/>
                <w:kern w:val="2"/>
              </w:rPr>
              <w:t>uL</w:t>
            </w:r>
            <w:proofErr w:type="spellEnd"/>
          </w:p>
        </w:tc>
        <w:tc>
          <w:tcPr>
            <w:tcW w:w="638" w:type="pct"/>
            <w:vMerge/>
            <w:tcBorders>
              <w:top w:val="nil"/>
            </w:tcBorders>
          </w:tcPr>
          <w:p w14:paraId="45E6ECBA"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7601A945" w14:textId="77777777" w:rsidTr="00F8184D">
        <w:tc>
          <w:tcPr>
            <w:cnfStyle w:val="001000000000" w:firstRow="0" w:lastRow="0" w:firstColumn="1" w:lastColumn="0" w:oddVBand="0" w:evenVBand="0" w:oddHBand="0" w:evenHBand="0" w:firstRowFirstColumn="0" w:firstRowLastColumn="0" w:lastRowFirstColumn="0" w:lastRowLastColumn="0"/>
            <w:tcW w:w="941" w:type="pct"/>
            <w:vMerge/>
            <w:tcBorders>
              <w:top w:val="nil"/>
            </w:tcBorders>
          </w:tcPr>
          <w:p w14:paraId="78C35979" w14:textId="77777777" w:rsidR="00EC17CE" w:rsidRPr="00EA1A6D" w:rsidRDefault="00EC17CE" w:rsidP="00EC17CE">
            <w:pPr>
              <w:widowControl w:val="0"/>
              <w:autoSpaceDE w:val="0"/>
              <w:autoSpaceDN w:val="0"/>
              <w:rPr>
                <w:rFonts w:ascii="Arial" w:hAnsi="Arial" w:cs="Arial"/>
                <w:i/>
                <w:iCs/>
                <w:kern w:val="2"/>
              </w:rPr>
            </w:pPr>
          </w:p>
        </w:tc>
        <w:tc>
          <w:tcPr>
            <w:tcW w:w="1297" w:type="pct"/>
            <w:tcBorders>
              <w:top w:val="nil"/>
            </w:tcBorders>
          </w:tcPr>
          <w:p w14:paraId="794C8146" w14:textId="1F9B6D98" w:rsidR="00EC17CE" w:rsidRPr="00EA1A6D" w:rsidRDefault="00EC17CE" w:rsidP="00C26387">
            <w:pPr>
              <w:widowControl w:val="0"/>
              <w:autoSpaceDE w:val="0"/>
              <w:autoSpaceDN w:val="0"/>
              <w:jc w:val="right"/>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 xml:space="preserve">High </w:t>
            </w:r>
            <w:r w:rsidR="00F8184D" w:rsidRPr="00EA1A6D">
              <w:rPr>
                <w:rFonts w:ascii="Arial" w:hAnsi="Arial" w:cs="Arial"/>
                <w:kern w:val="2"/>
              </w:rPr>
              <w:t>(17,4 10</w:t>
            </w:r>
            <w:r w:rsidR="00F8184D" w:rsidRPr="00EA1A6D">
              <w:rPr>
                <w:rFonts w:ascii="Arial" w:hAnsi="Arial" w:cs="Arial"/>
                <w:kern w:val="2"/>
                <w:vertAlign w:val="superscript"/>
              </w:rPr>
              <w:t>3</w:t>
            </w:r>
            <w:r w:rsidR="00F8184D" w:rsidRPr="00EA1A6D">
              <w:rPr>
                <w:rFonts w:ascii="Arial" w:hAnsi="Arial" w:cs="Arial"/>
                <w:kern w:val="2"/>
              </w:rPr>
              <w:t>/</w:t>
            </w:r>
            <w:proofErr w:type="spellStart"/>
            <w:r w:rsidR="00F8184D" w:rsidRPr="00EA1A6D">
              <w:rPr>
                <w:rFonts w:ascii="Arial" w:hAnsi="Arial" w:cs="Arial"/>
                <w:kern w:val="2"/>
              </w:rPr>
              <w:t>uL</w:t>
            </w:r>
            <w:proofErr w:type="spellEnd"/>
            <w:r w:rsidR="00F8184D" w:rsidRPr="00EA1A6D">
              <w:rPr>
                <w:rFonts w:ascii="Arial" w:hAnsi="Arial" w:cs="Arial"/>
                <w:kern w:val="2"/>
              </w:rPr>
              <w:t>)</w:t>
            </w:r>
          </w:p>
        </w:tc>
        <w:tc>
          <w:tcPr>
            <w:tcW w:w="629" w:type="pct"/>
            <w:tcBorders>
              <w:top w:val="nil"/>
            </w:tcBorders>
          </w:tcPr>
          <w:p w14:paraId="07084043"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6</w:t>
            </w:r>
          </w:p>
        </w:tc>
        <w:tc>
          <w:tcPr>
            <w:tcW w:w="564" w:type="pct"/>
            <w:tcBorders>
              <w:top w:val="nil"/>
            </w:tcBorders>
          </w:tcPr>
          <w:p w14:paraId="6295F81F"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28,6</w:t>
            </w:r>
          </w:p>
        </w:tc>
        <w:tc>
          <w:tcPr>
            <w:tcW w:w="932" w:type="pct"/>
            <w:vMerge/>
            <w:tcBorders>
              <w:top w:val="nil"/>
            </w:tcBorders>
          </w:tcPr>
          <w:p w14:paraId="2E5C966E"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638" w:type="pct"/>
            <w:vMerge/>
            <w:tcBorders>
              <w:top w:val="nil"/>
            </w:tcBorders>
          </w:tcPr>
          <w:p w14:paraId="3103B348"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A1A6D" w:rsidRPr="00EA1A6D" w14:paraId="6C559EFF" w14:textId="77777777" w:rsidTr="00F8184D">
        <w:tc>
          <w:tcPr>
            <w:cnfStyle w:val="001000000000" w:firstRow="0" w:lastRow="0" w:firstColumn="1" w:lastColumn="0" w:oddVBand="0" w:evenVBand="0" w:oddHBand="0" w:evenHBand="0" w:firstRowFirstColumn="0" w:firstRowLastColumn="0" w:lastRowFirstColumn="0" w:lastRowLastColumn="0"/>
            <w:tcW w:w="941" w:type="pct"/>
            <w:tcBorders>
              <w:top w:val="nil"/>
              <w:bottom w:val="single" w:sz="4" w:space="0" w:color="auto"/>
            </w:tcBorders>
          </w:tcPr>
          <w:p w14:paraId="38C7AD49" w14:textId="77777777" w:rsidR="00EC17CE" w:rsidRPr="00EA1A6D" w:rsidRDefault="00EC17CE" w:rsidP="00EC17CE">
            <w:pPr>
              <w:widowControl w:val="0"/>
              <w:autoSpaceDE w:val="0"/>
              <w:autoSpaceDN w:val="0"/>
              <w:jc w:val="center"/>
              <w:rPr>
                <w:rFonts w:ascii="Arial" w:hAnsi="Arial" w:cs="Arial"/>
                <w:i/>
                <w:iCs/>
                <w:kern w:val="2"/>
              </w:rPr>
            </w:pPr>
            <w:r w:rsidRPr="00EA1A6D">
              <w:rPr>
                <w:rFonts w:ascii="Arial" w:hAnsi="Arial" w:cs="Arial"/>
                <w:kern w:val="2"/>
              </w:rPr>
              <w:t>Total</w:t>
            </w:r>
          </w:p>
        </w:tc>
        <w:tc>
          <w:tcPr>
            <w:tcW w:w="1297" w:type="pct"/>
            <w:tcBorders>
              <w:top w:val="nil"/>
              <w:bottom w:val="single" w:sz="4" w:space="0" w:color="auto"/>
            </w:tcBorders>
          </w:tcPr>
          <w:p w14:paraId="5F4F8EAD"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629" w:type="pct"/>
            <w:tcBorders>
              <w:top w:val="nil"/>
              <w:bottom w:val="single" w:sz="4" w:space="0" w:color="auto"/>
            </w:tcBorders>
          </w:tcPr>
          <w:p w14:paraId="0A2175CB"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42</w:t>
            </w:r>
          </w:p>
        </w:tc>
        <w:tc>
          <w:tcPr>
            <w:tcW w:w="564" w:type="pct"/>
            <w:tcBorders>
              <w:top w:val="nil"/>
              <w:bottom w:val="single" w:sz="4" w:space="0" w:color="auto"/>
            </w:tcBorders>
          </w:tcPr>
          <w:p w14:paraId="40B09249"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A1A6D">
              <w:rPr>
                <w:rFonts w:ascii="Arial" w:hAnsi="Arial" w:cs="Arial"/>
                <w:kern w:val="2"/>
              </w:rPr>
              <w:t>100</w:t>
            </w:r>
          </w:p>
        </w:tc>
        <w:tc>
          <w:tcPr>
            <w:tcW w:w="932" w:type="pct"/>
            <w:tcBorders>
              <w:top w:val="nil"/>
              <w:bottom w:val="single" w:sz="4" w:space="0" w:color="auto"/>
            </w:tcBorders>
          </w:tcPr>
          <w:p w14:paraId="50E8D46F"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638" w:type="pct"/>
            <w:tcBorders>
              <w:top w:val="nil"/>
              <w:bottom w:val="single" w:sz="4" w:space="0" w:color="auto"/>
            </w:tcBorders>
          </w:tcPr>
          <w:p w14:paraId="0F2A7EF8" w14:textId="77777777" w:rsidR="00EC17CE" w:rsidRPr="00EA1A6D"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bl>
    <w:p w14:paraId="2B418702" w14:textId="77777777" w:rsidR="00CE3D59" w:rsidRPr="00EA1A6D" w:rsidRDefault="00CE3D59" w:rsidP="00441B6F">
      <w:pPr>
        <w:pStyle w:val="Body"/>
        <w:spacing w:after="0"/>
        <w:rPr>
          <w:rFonts w:ascii="Arial" w:hAnsi="Arial" w:cs="Arial"/>
        </w:rPr>
      </w:pPr>
    </w:p>
    <w:p w14:paraId="722CBE9B" w14:textId="309C75B5" w:rsidR="00F8184D" w:rsidRPr="00EA1A6D" w:rsidRDefault="008E066F" w:rsidP="00441B6F">
      <w:pPr>
        <w:pStyle w:val="Body"/>
        <w:spacing w:after="0"/>
        <w:rPr>
          <w:rFonts w:ascii="Arial" w:hAnsi="Arial" w:cs="Arial"/>
          <w:b/>
          <w:bCs/>
        </w:rPr>
      </w:pPr>
      <w:r w:rsidRPr="00EA1A6D">
        <w:rPr>
          <w:rFonts w:ascii="Arial" w:hAnsi="Arial" w:cs="Arial"/>
          <w:b/>
          <w:bCs/>
        </w:rPr>
        <w:t xml:space="preserve">DISCUSSION </w:t>
      </w:r>
    </w:p>
    <w:p w14:paraId="4858073C" w14:textId="77777777" w:rsidR="00F8184D" w:rsidRPr="00EA1A6D" w:rsidRDefault="00F8184D" w:rsidP="00441B6F">
      <w:pPr>
        <w:pStyle w:val="Body"/>
        <w:spacing w:after="0"/>
        <w:rPr>
          <w:rFonts w:ascii="Arial" w:hAnsi="Arial" w:cs="Arial"/>
        </w:rPr>
      </w:pPr>
    </w:p>
    <w:p w14:paraId="59769D77" w14:textId="6E4F7ECC" w:rsidR="00C30A0F" w:rsidRPr="00EA1A6D" w:rsidRDefault="00F64739" w:rsidP="00441B6F">
      <w:pPr>
        <w:pStyle w:val="Body"/>
        <w:spacing w:after="0"/>
        <w:rPr>
          <w:rFonts w:ascii="Arial" w:hAnsi="Arial" w:cs="Arial"/>
        </w:rPr>
      </w:pPr>
      <w:r w:rsidRPr="00EA1A6D">
        <w:rPr>
          <w:rFonts w:ascii="Arial" w:hAnsi="Arial" w:cs="Arial"/>
        </w:rPr>
        <w:t xml:space="preserve">The relationship between gender and the incidence of stunting does not have a strong correlation, one of the assumptions being the weak relationship mechanism pathway with reproductive hormones. </w:t>
      </w:r>
      <w:r w:rsidR="00940103" w:rsidRPr="00EA1A6D">
        <w:rPr>
          <w:rFonts w:ascii="Arial" w:hAnsi="Arial" w:cs="Arial"/>
        </w:rPr>
        <w:t>Based on research by Rahayu et al., gender is not related to the incidence of stunting because there has been no difference in the achievement of children's growth (Rahayu, 2020).</w:t>
      </w:r>
      <w:r w:rsidRPr="00EA1A6D">
        <w:rPr>
          <w:rFonts w:ascii="Arial" w:hAnsi="Arial" w:cs="Arial"/>
        </w:rPr>
        <w:t xml:space="preserve">  </w:t>
      </w:r>
      <w:r w:rsidR="00CE3D59" w:rsidRPr="00EA1A6D">
        <w:rPr>
          <w:rFonts w:ascii="Arial" w:hAnsi="Arial" w:cs="Arial"/>
        </w:rPr>
        <w:t xml:space="preserve">Subject’s hemoglobin characteristics are consistent with the studies of </w:t>
      </w:r>
      <w:proofErr w:type="spellStart"/>
      <w:r w:rsidR="00CE3D59" w:rsidRPr="00EA1A6D">
        <w:rPr>
          <w:rFonts w:ascii="Arial" w:hAnsi="Arial" w:cs="Arial"/>
        </w:rPr>
        <w:t>Losong</w:t>
      </w:r>
      <w:proofErr w:type="spellEnd"/>
      <w:r w:rsidR="00CE3D59" w:rsidRPr="00EA1A6D">
        <w:rPr>
          <w:rFonts w:ascii="Arial" w:hAnsi="Arial" w:cs="Arial"/>
        </w:rPr>
        <w:t xml:space="preserve"> et al., who found that stunted toddlers are more likely to acquire anemia than non-stunted toddlers (</w:t>
      </w:r>
      <w:proofErr w:type="spellStart"/>
      <w:r w:rsidR="00CE3D59" w:rsidRPr="00EA1A6D">
        <w:rPr>
          <w:rFonts w:ascii="Arial" w:hAnsi="Arial" w:cs="Arial"/>
        </w:rPr>
        <w:t>Losong</w:t>
      </w:r>
      <w:proofErr w:type="spellEnd"/>
      <w:r w:rsidR="00CE3D59" w:rsidRPr="00EA1A6D">
        <w:rPr>
          <w:rFonts w:ascii="Arial" w:hAnsi="Arial" w:cs="Arial"/>
        </w:rPr>
        <w:t xml:space="preserve">, 2017). Based on the overall average hemoglobin levels of stunted </w:t>
      </w:r>
      <w:r w:rsidR="00CE3D59" w:rsidRPr="00EA1A6D">
        <w:rPr>
          <w:rFonts w:ascii="Arial" w:hAnsi="Arial" w:cs="Arial"/>
        </w:rPr>
        <w:lastRenderedPageBreak/>
        <w:t>toddlers, 10.8 g/dL, and non-stunting, 12.1 g/dL</w:t>
      </w:r>
      <w:r w:rsidR="009C1AF6" w:rsidRPr="00EA1A6D">
        <w:rPr>
          <w:rFonts w:ascii="Arial" w:hAnsi="Arial" w:cs="Arial"/>
        </w:rPr>
        <w:t>,</w:t>
      </w:r>
      <w:r w:rsidR="00CE3D59" w:rsidRPr="00EA1A6D">
        <w:rPr>
          <w:rFonts w:ascii="Arial" w:hAnsi="Arial" w:cs="Arial"/>
        </w:rPr>
        <w:t xml:space="preserve"> </w:t>
      </w:r>
      <w:r w:rsidR="009C1AF6" w:rsidRPr="00EA1A6D">
        <w:rPr>
          <w:rFonts w:ascii="Arial" w:hAnsi="Arial" w:cs="Arial"/>
        </w:rPr>
        <w:t>f</w:t>
      </w:r>
      <w:r w:rsidR="00CE3D59" w:rsidRPr="00EA1A6D">
        <w:rPr>
          <w:rFonts w:ascii="Arial" w:hAnsi="Arial" w:cs="Arial"/>
        </w:rPr>
        <w:t xml:space="preserve">rom these data, it can be seen that hemoglobin levels in stunted toddlers are lower than those of non-stunted toddlers, in line with the research of Chowdhury et al, which stated that hemoglobin levels in stunted children are lower than those of children with normal stature (non-stunting). This is reinforced by the results of statistical tests, which show a significant difference between the average hemoglobin levels of stunted and non-stunted toddlers. Low hemoglobin levels can be caused by several factors, including low intake of nutrients, especially iron, low iron reserves in the body, recurrent infections, and bleeding (Chowdhury, 2013).  </w:t>
      </w:r>
      <w:r w:rsidR="0074523E" w:rsidRPr="00EA1A6D">
        <w:rPr>
          <w:rFonts w:ascii="Arial" w:hAnsi="Arial" w:cs="Arial"/>
        </w:rPr>
        <w:t>T</w:t>
      </w:r>
      <w:r w:rsidR="00400FEB" w:rsidRPr="00EA1A6D">
        <w:rPr>
          <w:rFonts w:ascii="Arial" w:hAnsi="Arial" w:cs="Arial"/>
        </w:rPr>
        <w:t>he average hematocrit value in stunted toddlers is lower than that of non-stunted toddlers</w:t>
      </w:r>
      <w:r w:rsidR="00940103" w:rsidRPr="00EA1A6D">
        <w:rPr>
          <w:rFonts w:ascii="Arial" w:hAnsi="Arial" w:cs="Arial"/>
        </w:rPr>
        <w:t>. This is consistent with a study undertaken by Fadhilah et al, which found that stunted children had lower hematocrit levels than non-stunted children (Fadhilah, 2022).</w:t>
      </w:r>
      <w:r w:rsidR="00E53A40" w:rsidRPr="00EA1A6D">
        <w:rPr>
          <w:rFonts w:ascii="Arial" w:hAnsi="Arial" w:cs="Arial"/>
        </w:rPr>
        <w:t xml:space="preserve"> The decline in MCV levels in both research groups is most likely due to the pathophysiology of iron-deficient anemia, which involves numerous stages.  In the early stages, there are no symptoms, although the iron supply to the bone marrow is diminished.  </w:t>
      </w:r>
      <w:r w:rsidR="00C40D4E" w:rsidRPr="00EA1A6D">
        <w:rPr>
          <w:rFonts w:ascii="Arial" w:hAnsi="Arial" w:cs="Arial"/>
        </w:rPr>
        <w:t xml:space="preserve">In line with Kusumo's research on the same </w:t>
      </w:r>
      <w:r w:rsidR="00EB2F0F" w:rsidRPr="00EA1A6D">
        <w:rPr>
          <w:rFonts w:ascii="Arial" w:hAnsi="Arial" w:cs="Arial"/>
        </w:rPr>
        <w:t xml:space="preserve">stunting </w:t>
      </w:r>
      <w:r w:rsidR="00C40D4E" w:rsidRPr="00EA1A6D">
        <w:rPr>
          <w:rFonts w:ascii="Arial" w:hAnsi="Arial" w:cs="Arial"/>
        </w:rPr>
        <w:t>subject, based on food recall data, intake in the stunting group was not significantly different: 56.5% had adequate iron intake, while 43.5% had insufficient intake. Interestingly, iron intake was strongly correlated with total energy (</w:t>
      </w:r>
      <w:proofErr w:type="spellStart"/>
      <w:r w:rsidR="00C40D4E" w:rsidRPr="00EA1A6D">
        <w:rPr>
          <w:rFonts w:ascii="Arial" w:hAnsi="Arial" w:cs="Arial"/>
        </w:rPr>
        <w:t>rs</w:t>
      </w:r>
      <w:proofErr w:type="spellEnd"/>
      <w:r w:rsidR="00C40D4E" w:rsidRPr="00EA1A6D">
        <w:rPr>
          <w:rFonts w:ascii="Arial" w:hAnsi="Arial" w:cs="Arial"/>
        </w:rPr>
        <w:t>(df) = 0.85, p = 0.01) and calcium (</w:t>
      </w:r>
      <w:proofErr w:type="spellStart"/>
      <w:r w:rsidR="00C40D4E" w:rsidRPr="00EA1A6D">
        <w:rPr>
          <w:rFonts w:ascii="Arial" w:hAnsi="Arial" w:cs="Arial"/>
        </w:rPr>
        <w:t>rs</w:t>
      </w:r>
      <w:proofErr w:type="spellEnd"/>
      <w:r w:rsidR="00C40D4E" w:rsidRPr="00EA1A6D">
        <w:rPr>
          <w:rFonts w:ascii="Arial" w:hAnsi="Arial" w:cs="Arial"/>
        </w:rPr>
        <w:t xml:space="preserve">(df) = 0.66, p = 0.01). (Kusumo, 2024). </w:t>
      </w:r>
      <w:r w:rsidR="00E53A40" w:rsidRPr="00EA1A6D">
        <w:rPr>
          <w:rFonts w:ascii="Arial" w:hAnsi="Arial" w:cs="Arial"/>
        </w:rPr>
        <w:t>Serum ferritin levels will fall due to increased iron absorption by the intestinal mucosa; in response, the liver will produce more transferrin, increasing TIBC.  Then, in the second stage, the provision of iron for erythropoiesis declines, causing abnormalities in the shape of erythrocytes, resulting in smaller erythrocytes and lower MCV levels (</w:t>
      </w:r>
      <w:proofErr w:type="spellStart"/>
      <w:r w:rsidR="00E53A40" w:rsidRPr="00EA1A6D">
        <w:rPr>
          <w:rFonts w:ascii="Arial" w:hAnsi="Arial" w:cs="Arial"/>
        </w:rPr>
        <w:t>Fitriany</w:t>
      </w:r>
      <w:proofErr w:type="spellEnd"/>
      <w:r w:rsidR="00E53A40" w:rsidRPr="00EA1A6D">
        <w:rPr>
          <w:rFonts w:ascii="Arial" w:hAnsi="Arial" w:cs="Arial"/>
        </w:rPr>
        <w:t>, 2018).</w:t>
      </w:r>
      <w:r w:rsidR="00EB2F0F" w:rsidRPr="00EA1A6D">
        <w:rPr>
          <w:rFonts w:ascii="Arial" w:hAnsi="Arial" w:cs="Arial"/>
        </w:rPr>
        <w:t xml:space="preserve"> </w:t>
      </w:r>
      <w:r w:rsidR="008D7EDC" w:rsidRPr="00EA1A6D">
        <w:rPr>
          <w:rFonts w:ascii="Arial" w:hAnsi="Arial" w:cs="Arial"/>
        </w:rPr>
        <w:t>This is different from the results of the study by Purnami et al</w:t>
      </w:r>
      <w:r w:rsidR="00EB2F0F" w:rsidRPr="00EA1A6D">
        <w:rPr>
          <w:rFonts w:ascii="Arial" w:hAnsi="Arial" w:cs="Arial"/>
        </w:rPr>
        <w:t xml:space="preserve">, </w:t>
      </w:r>
      <w:r w:rsidR="008D7EDC" w:rsidRPr="00EA1A6D">
        <w:rPr>
          <w:rFonts w:ascii="Arial" w:hAnsi="Arial" w:cs="Arial"/>
        </w:rPr>
        <w:t>which stated that MCH levels in stunted children decreased. This difference occurs due to differences in the criteria for research subjects. The research subjects in this study were compared between the stunting and non-stunting groups, while in Purnami's study, there were many groups of stunted children</w:t>
      </w:r>
      <w:r w:rsidR="00EB2F0F" w:rsidRPr="00EA1A6D">
        <w:rPr>
          <w:rFonts w:ascii="Arial" w:hAnsi="Arial" w:cs="Arial"/>
        </w:rPr>
        <w:t xml:space="preserve"> (</w:t>
      </w:r>
      <w:proofErr w:type="spellStart"/>
      <w:r w:rsidR="00EB2F0F" w:rsidRPr="00EA1A6D">
        <w:rPr>
          <w:rFonts w:ascii="Arial" w:hAnsi="Arial" w:cs="Arial"/>
        </w:rPr>
        <w:t>Purnamim</w:t>
      </w:r>
      <w:proofErr w:type="spellEnd"/>
      <w:r w:rsidR="00EB2F0F" w:rsidRPr="00EA1A6D">
        <w:rPr>
          <w:rFonts w:ascii="Arial" w:hAnsi="Arial" w:cs="Arial"/>
        </w:rPr>
        <w:t>, 2023)</w:t>
      </w:r>
      <w:r w:rsidR="008D7EDC" w:rsidRPr="00EA1A6D">
        <w:rPr>
          <w:rFonts w:ascii="Arial" w:hAnsi="Arial" w:cs="Arial"/>
        </w:rPr>
        <w:t>.</w:t>
      </w:r>
      <w:r w:rsidR="000B1752" w:rsidRPr="00EA1A6D">
        <w:rPr>
          <w:rFonts w:ascii="Arial" w:hAnsi="Arial" w:cs="Arial"/>
        </w:rPr>
        <w:t xml:space="preserve"> The</w:t>
      </w:r>
      <w:r w:rsidR="008D7EDC" w:rsidRPr="00EA1A6D">
        <w:rPr>
          <w:rFonts w:ascii="Arial" w:hAnsi="Arial" w:cs="Arial"/>
        </w:rPr>
        <w:t xml:space="preserve"> results of decreased hemoglobin levels followed by decreased hematocrit, MCV, and MCH</w:t>
      </w:r>
      <w:r w:rsidR="00557920" w:rsidRPr="00EA1A6D">
        <w:rPr>
          <w:rFonts w:ascii="Arial" w:hAnsi="Arial" w:cs="Arial"/>
        </w:rPr>
        <w:t xml:space="preserve"> indicate</w:t>
      </w:r>
      <w:r w:rsidR="008D7EDC" w:rsidRPr="00EA1A6D">
        <w:rPr>
          <w:rFonts w:ascii="Arial" w:hAnsi="Arial" w:cs="Arial"/>
        </w:rPr>
        <w:t xml:space="preserve"> the possibility that the subject is classified as having hypochromic microcytic anemia. Types of hypochromic microcytic anemia are iron deficiency anemia, chronic disease, thalassemia, and sideroblastic anemia. The most common anemia in developing countries, such as Indonesia, is iron deficiency anemia. This occurs due to insufficient nutritional intake, especially iron, in the blood, which inhibits the formation of erythrocytes</w:t>
      </w:r>
      <w:r w:rsidR="00C40D4E" w:rsidRPr="00EA1A6D">
        <w:rPr>
          <w:rFonts w:ascii="Arial" w:hAnsi="Arial" w:cs="Arial"/>
        </w:rPr>
        <w:t>,</w:t>
      </w:r>
      <w:r w:rsidR="008D7EDC" w:rsidRPr="00EA1A6D">
        <w:rPr>
          <w:rFonts w:ascii="Arial" w:hAnsi="Arial" w:cs="Arial"/>
        </w:rPr>
        <w:t xml:space="preserve"> resulting in a lack of hemoglobin. The characteristics of iron deficiency anemia are low MCV, MCH, MCHC, serum iron, serum ferritin, and increased TIBC and RDW levels (</w:t>
      </w:r>
      <w:proofErr w:type="spellStart"/>
      <w:r w:rsidR="008D7EDC" w:rsidRPr="00EA1A6D">
        <w:rPr>
          <w:rFonts w:ascii="Arial" w:hAnsi="Arial" w:cs="Arial"/>
        </w:rPr>
        <w:t>Ashorobi</w:t>
      </w:r>
      <w:proofErr w:type="spellEnd"/>
      <w:r w:rsidR="008D7EDC" w:rsidRPr="00EA1A6D">
        <w:rPr>
          <w:rFonts w:ascii="Arial" w:hAnsi="Arial" w:cs="Arial"/>
        </w:rPr>
        <w:t>, 2023). Therefore, further examination is needed for a definite diagnosis of anemia being experienced by these toddlers.</w:t>
      </w:r>
      <w:r w:rsidR="00C40D4E" w:rsidRPr="00EA1A6D">
        <w:rPr>
          <w:rFonts w:ascii="Arial" w:hAnsi="Arial" w:cs="Arial"/>
        </w:rPr>
        <w:t xml:space="preserve">  </w:t>
      </w:r>
      <w:r w:rsidR="00F8184D" w:rsidRPr="00EA1A6D">
        <w:rPr>
          <w:rFonts w:ascii="Arial" w:hAnsi="Arial" w:cs="Arial"/>
        </w:rPr>
        <w:t xml:space="preserve">If the infection is not treated effectively, it can result in chronic illness and anemia.  Furthermore, stunting can occur in children with this illness because the infection can deplete the nutrients required for the process of repairing damaged tissue or cells.  In </w:t>
      </w:r>
      <w:r w:rsidR="00C40D4E" w:rsidRPr="00EA1A6D">
        <w:rPr>
          <w:rFonts w:ascii="Arial" w:hAnsi="Arial" w:cs="Arial"/>
        </w:rPr>
        <w:t xml:space="preserve">line with </w:t>
      </w:r>
      <w:r w:rsidR="00F8184D" w:rsidRPr="00EA1A6D">
        <w:rPr>
          <w:rFonts w:ascii="Arial" w:hAnsi="Arial" w:cs="Arial"/>
        </w:rPr>
        <w:t>our WASH study</w:t>
      </w:r>
      <w:r w:rsidR="00C40D4E" w:rsidRPr="00EA1A6D">
        <w:rPr>
          <w:rFonts w:ascii="Arial" w:hAnsi="Arial" w:cs="Arial"/>
        </w:rPr>
        <w:t xml:space="preserve"> in </w:t>
      </w:r>
      <w:proofErr w:type="spellStart"/>
      <w:r w:rsidR="00C40D4E" w:rsidRPr="00EA1A6D">
        <w:rPr>
          <w:rFonts w:ascii="Arial" w:hAnsi="Arial" w:cs="Arial"/>
        </w:rPr>
        <w:t>sentul</w:t>
      </w:r>
      <w:proofErr w:type="spellEnd"/>
      <w:r w:rsidR="00C40D4E" w:rsidRPr="00EA1A6D">
        <w:rPr>
          <w:rFonts w:ascii="Arial" w:hAnsi="Arial" w:cs="Arial"/>
        </w:rPr>
        <w:t>,</w:t>
      </w:r>
      <w:r w:rsidR="00F8184D" w:rsidRPr="00EA1A6D">
        <w:rPr>
          <w:rFonts w:ascii="Arial" w:hAnsi="Arial" w:cs="Arial"/>
        </w:rPr>
        <w:t xml:space="preserve"> it was found that the weakness of the subjects in </w:t>
      </w:r>
      <w:proofErr w:type="spellStart"/>
      <w:r w:rsidR="00F8184D" w:rsidRPr="00EA1A6D">
        <w:rPr>
          <w:rFonts w:ascii="Arial" w:hAnsi="Arial" w:cs="Arial"/>
        </w:rPr>
        <w:t>Babakan</w:t>
      </w:r>
      <w:proofErr w:type="spellEnd"/>
      <w:r w:rsidR="00F8184D" w:rsidRPr="00EA1A6D">
        <w:rPr>
          <w:rFonts w:ascii="Arial" w:hAnsi="Arial" w:cs="Arial"/>
        </w:rPr>
        <w:t xml:space="preserve"> </w:t>
      </w:r>
      <w:proofErr w:type="spellStart"/>
      <w:r w:rsidR="00F8184D" w:rsidRPr="00EA1A6D">
        <w:rPr>
          <w:rFonts w:ascii="Arial" w:hAnsi="Arial" w:cs="Arial"/>
        </w:rPr>
        <w:t>Mandang</w:t>
      </w:r>
      <w:proofErr w:type="spellEnd"/>
      <w:r w:rsidR="00F8184D" w:rsidRPr="00EA1A6D">
        <w:rPr>
          <w:rFonts w:ascii="Arial" w:hAnsi="Arial" w:cs="Arial"/>
        </w:rPr>
        <w:t xml:space="preserve"> Sentul was in the aspect of waste and garbage management, which was still relatively minimal (</w:t>
      </w:r>
      <w:proofErr w:type="spellStart"/>
      <w:r w:rsidR="00C66843" w:rsidRPr="00EA1A6D">
        <w:rPr>
          <w:rFonts w:ascii="Arial" w:hAnsi="Arial" w:cs="Arial"/>
        </w:rPr>
        <w:t>Reviani</w:t>
      </w:r>
      <w:proofErr w:type="spellEnd"/>
      <w:r w:rsidR="00F8184D" w:rsidRPr="00EA1A6D">
        <w:rPr>
          <w:rFonts w:ascii="Arial" w:hAnsi="Arial" w:cs="Arial"/>
        </w:rPr>
        <w:t xml:space="preserve">, 2025). This finding is consistent with those of </w:t>
      </w:r>
      <w:proofErr w:type="spellStart"/>
      <w:r w:rsidR="00F8184D" w:rsidRPr="00EA1A6D">
        <w:rPr>
          <w:rFonts w:ascii="Arial" w:hAnsi="Arial" w:cs="Arial"/>
        </w:rPr>
        <w:t>Sumartini</w:t>
      </w:r>
      <w:proofErr w:type="spellEnd"/>
      <w:r w:rsidR="00F8184D" w:rsidRPr="00EA1A6D">
        <w:rPr>
          <w:rFonts w:ascii="Arial" w:hAnsi="Arial" w:cs="Arial"/>
        </w:rPr>
        <w:t xml:space="preserve"> et al. (</w:t>
      </w:r>
      <w:proofErr w:type="spellStart"/>
      <w:r w:rsidR="00F8184D" w:rsidRPr="00EA1A6D">
        <w:rPr>
          <w:rFonts w:ascii="Arial" w:hAnsi="Arial" w:cs="Arial"/>
        </w:rPr>
        <w:t>Sumartini</w:t>
      </w:r>
      <w:proofErr w:type="spellEnd"/>
      <w:r w:rsidR="00F8184D" w:rsidRPr="00EA1A6D">
        <w:rPr>
          <w:rFonts w:ascii="Arial" w:hAnsi="Arial" w:cs="Arial"/>
        </w:rPr>
        <w:t>, 2022), who found that infectious disorders in toddlers increase the likelihood of stunting by 3 to 8 times compared to toddlers without a history of infections.</w:t>
      </w:r>
      <w:r w:rsidR="00C30A0F" w:rsidRPr="00EA1A6D">
        <w:rPr>
          <w:rFonts w:ascii="Arial" w:hAnsi="Arial" w:cs="Arial"/>
        </w:rPr>
        <w:t xml:space="preserve">]  </w:t>
      </w:r>
    </w:p>
    <w:p w14:paraId="7B4A01A9" w14:textId="77777777" w:rsidR="00D23D77" w:rsidRPr="00EA1A6D" w:rsidRDefault="00D23D77" w:rsidP="00441B6F">
      <w:pPr>
        <w:pStyle w:val="ConcHead"/>
        <w:spacing w:after="0"/>
        <w:jc w:val="both"/>
        <w:rPr>
          <w:rFonts w:ascii="Arial" w:hAnsi="Arial" w:cs="Arial"/>
        </w:rPr>
      </w:pPr>
    </w:p>
    <w:p w14:paraId="2127D4D7" w14:textId="38F071C9" w:rsidR="00B01FCD" w:rsidRPr="00EA1A6D" w:rsidRDefault="00B01FCD" w:rsidP="00441B6F">
      <w:pPr>
        <w:pStyle w:val="ConcHead"/>
        <w:spacing w:after="0"/>
        <w:jc w:val="both"/>
        <w:rPr>
          <w:rFonts w:ascii="Arial" w:hAnsi="Arial" w:cs="Arial"/>
        </w:rPr>
      </w:pPr>
      <w:r w:rsidRPr="00EA1A6D">
        <w:rPr>
          <w:rFonts w:ascii="Arial" w:hAnsi="Arial" w:cs="Arial"/>
        </w:rPr>
        <w:t>Conclusion</w:t>
      </w:r>
    </w:p>
    <w:p w14:paraId="101D06F6" w14:textId="77777777" w:rsidR="00790ADA" w:rsidRPr="00EA1A6D" w:rsidRDefault="00790ADA" w:rsidP="00441B6F">
      <w:pPr>
        <w:pStyle w:val="ConcHead"/>
        <w:spacing w:after="0"/>
        <w:jc w:val="both"/>
        <w:rPr>
          <w:rFonts w:ascii="Arial" w:hAnsi="Arial" w:cs="Arial"/>
        </w:rPr>
      </w:pPr>
    </w:p>
    <w:p w14:paraId="41FC6469" w14:textId="6787F948" w:rsidR="001040C9" w:rsidRPr="00EA1A6D" w:rsidRDefault="000A033D" w:rsidP="00557920">
      <w:pPr>
        <w:jc w:val="both"/>
        <w:rPr>
          <w:rFonts w:ascii="Arial" w:hAnsi="Arial" w:cs="Arial"/>
        </w:rPr>
      </w:pPr>
      <w:r w:rsidRPr="00EA1A6D">
        <w:rPr>
          <w:rFonts w:ascii="Arial" w:hAnsi="Arial" w:cs="Arial"/>
        </w:rPr>
        <w:t>Stunted toddlers had lower average hemoglobin, hematocrit, MCV, and MCH levels than non-stunted toddlers, but a larger average number of leukocytes.  Significant variations were found in hemoglobin and hematocrit, but not in average MCV, MCH, or leukocytes</w:t>
      </w:r>
      <w:r w:rsidR="001040C9" w:rsidRPr="00EA1A6D">
        <w:rPr>
          <w:rFonts w:ascii="Arial" w:hAnsi="Arial" w:cs="Arial"/>
        </w:rPr>
        <w:t>.</w:t>
      </w:r>
      <w:r w:rsidR="00557920" w:rsidRPr="00EA1A6D">
        <w:rPr>
          <w:rFonts w:ascii="Arial" w:hAnsi="Arial" w:cs="Arial"/>
        </w:rPr>
        <w:t xml:space="preserve"> Based on this description, we assumed that hemoglobin and hematocrit are biomarker indices of erythrocytes in stunting toddlers. </w:t>
      </w:r>
    </w:p>
    <w:p w14:paraId="6869B7BF" w14:textId="77777777" w:rsidR="00790ADA" w:rsidRPr="00EA1A6D" w:rsidRDefault="00790ADA" w:rsidP="00441B6F">
      <w:pPr>
        <w:pStyle w:val="Body"/>
        <w:spacing w:after="0"/>
        <w:rPr>
          <w:rFonts w:ascii="Arial" w:hAnsi="Arial" w:cs="Arial"/>
        </w:rPr>
      </w:pPr>
    </w:p>
    <w:p w14:paraId="7E840399" w14:textId="77777777" w:rsidR="002B685A" w:rsidRPr="00EA1A6D" w:rsidRDefault="002B685A" w:rsidP="00441B6F">
      <w:pPr>
        <w:pStyle w:val="ReferHead"/>
        <w:spacing w:after="0"/>
        <w:jc w:val="both"/>
        <w:rPr>
          <w:rFonts w:ascii="Arial" w:hAnsi="Arial" w:cs="Arial"/>
          <w:b w:val="0"/>
          <w:caps w:val="0"/>
          <w:sz w:val="20"/>
        </w:rPr>
      </w:pPr>
    </w:p>
    <w:p w14:paraId="298AFFD7" w14:textId="475C28E9" w:rsidR="002B685A" w:rsidRPr="00EA1A6D" w:rsidRDefault="002B685A" w:rsidP="00441B6F">
      <w:pPr>
        <w:pStyle w:val="ReferHead"/>
        <w:spacing w:after="0"/>
        <w:jc w:val="both"/>
        <w:rPr>
          <w:rFonts w:ascii="Arial" w:hAnsi="Arial" w:cs="Arial"/>
          <w:bCs/>
        </w:rPr>
      </w:pPr>
      <w:r w:rsidRPr="00EA1A6D">
        <w:rPr>
          <w:rFonts w:ascii="Arial" w:hAnsi="Arial" w:cs="Arial"/>
          <w:bCs/>
        </w:rPr>
        <w:t xml:space="preserve">Consent </w:t>
      </w:r>
    </w:p>
    <w:p w14:paraId="5485AD4D" w14:textId="77777777" w:rsidR="002B685A" w:rsidRPr="00EA1A6D" w:rsidRDefault="002B685A" w:rsidP="00441B6F">
      <w:pPr>
        <w:pStyle w:val="ReferHead"/>
        <w:spacing w:after="0"/>
        <w:jc w:val="both"/>
        <w:rPr>
          <w:rFonts w:ascii="Arial" w:hAnsi="Arial" w:cs="Arial"/>
          <w:bCs/>
        </w:rPr>
      </w:pPr>
    </w:p>
    <w:p w14:paraId="67EC313D" w14:textId="437A9958" w:rsidR="001A29D8" w:rsidRPr="00EA1A6D" w:rsidRDefault="001A29D8" w:rsidP="00441B6F">
      <w:pPr>
        <w:pStyle w:val="ReferHead"/>
        <w:spacing w:after="0"/>
        <w:jc w:val="both"/>
        <w:rPr>
          <w:rFonts w:ascii="Arial" w:hAnsi="Arial" w:cs="Arial"/>
          <w:b w:val="0"/>
          <w:caps w:val="0"/>
          <w:sz w:val="20"/>
        </w:rPr>
      </w:pPr>
      <w:r w:rsidRPr="00EA1A6D">
        <w:rPr>
          <w:rFonts w:ascii="Arial" w:hAnsi="Arial" w:cs="Arial"/>
          <w:b w:val="0"/>
          <w:caps w:val="0"/>
          <w:sz w:val="20"/>
        </w:rPr>
        <w:t xml:space="preserve">All authors declare that written informed consent was obtained from the patient (or other approved parties) for publication of this case report and accompanying images. A copy of the written consent is available for review by the Editorial </w:t>
      </w:r>
      <w:r w:rsidR="00850DE6" w:rsidRPr="00EA1A6D">
        <w:rPr>
          <w:rFonts w:ascii="Arial" w:hAnsi="Arial" w:cs="Arial"/>
          <w:b w:val="0"/>
          <w:caps w:val="0"/>
          <w:sz w:val="20"/>
        </w:rPr>
        <w:t>Office</w:t>
      </w:r>
      <w:r w:rsidR="004C3C09" w:rsidRPr="00EA1A6D">
        <w:rPr>
          <w:rFonts w:ascii="Arial" w:hAnsi="Arial" w:cs="Arial"/>
          <w:b w:val="0"/>
          <w:caps w:val="0"/>
          <w:sz w:val="20"/>
        </w:rPr>
        <w:t xml:space="preserve"> </w:t>
      </w:r>
      <w:r w:rsidRPr="00EA1A6D">
        <w:rPr>
          <w:rFonts w:ascii="Arial" w:hAnsi="Arial" w:cs="Arial"/>
          <w:b w:val="0"/>
          <w:caps w:val="0"/>
          <w:sz w:val="20"/>
        </w:rPr>
        <w:t>of this journal</w:t>
      </w:r>
    </w:p>
    <w:p w14:paraId="6B29E658" w14:textId="77777777" w:rsidR="001A29D8" w:rsidRPr="00EA1A6D" w:rsidRDefault="001A29D8" w:rsidP="00441B6F">
      <w:pPr>
        <w:pStyle w:val="ReferHead"/>
        <w:spacing w:after="0"/>
        <w:jc w:val="both"/>
        <w:rPr>
          <w:rFonts w:ascii="Arial" w:hAnsi="Arial" w:cs="Arial"/>
          <w:b w:val="0"/>
          <w:caps w:val="0"/>
          <w:sz w:val="20"/>
        </w:rPr>
      </w:pPr>
    </w:p>
    <w:p w14:paraId="4176C178" w14:textId="77777777" w:rsidR="005C784C" w:rsidRPr="00EA1A6D" w:rsidRDefault="005C784C" w:rsidP="00441B6F">
      <w:pPr>
        <w:pStyle w:val="ReferHead"/>
        <w:spacing w:after="0"/>
        <w:jc w:val="both"/>
        <w:rPr>
          <w:rFonts w:ascii="Arial" w:hAnsi="Arial" w:cs="Arial"/>
          <w:b w:val="0"/>
          <w:caps w:val="0"/>
          <w:sz w:val="20"/>
        </w:rPr>
      </w:pPr>
    </w:p>
    <w:p w14:paraId="03E8EA0B" w14:textId="08FE2ADA" w:rsidR="005C784C" w:rsidRPr="00EA1A6D" w:rsidRDefault="005C784C" w:rsidP="00441B6F">
      <w:pPr>
        <w:pStyle w:val="ReferHead"/>
        <w:spacing w:after="0"/>
        <w:jc w:val="both"/>
        <w:rPr>
          <w:rFonts w:ascii="Arial" w:hAnsi="Arial" w:cs="Arial"/>
          <w:bCs/>
        </w:rPr>
      </w:pPr>
      <w:r w:rsidRPr="00EA1A6D">
        <w:rPr>
          <w:rFonts w:ascii="Arial" w:hAnsi="Arial" w:cs="Arial"/>
          <w:bCs/>
        </w:rPr>
        <w:t xml:space="preserve">Ethical approval </w:t>
      </w:r>
    </w:p>
    <w:p w14:paraId="19676C7C" w14:textId="77777777" w:rsidR="005C784C" w:rsidRPr="00EA1A6D" w:rsidRDefault="005C784C" w:rsidP="00441B6F">
      <w:pPr>
        <w:pStyle w:val="ReferHead"/>
        <w:spacing w:after="0"/>
        <w:jc w:val="both"/>
        <w:rPr>
          <w:rFonts w:ascii="Arial" w:hAnsi="Arial" w:cs="Arial"/>
          <w:bCs/>
        </w:rPr>
      </w:pPr>
    </w:p>
    <w:p w14:paraId="02256996" w14:textId="5FE42043" w:rsidR="0041027F" w:rsidRPr="00EA1A6D" w:rsidRDefault="001A29D8" w:rsidP="00441B6F">
      <w:pPr>
        <w:pStyle w:val="ReferHead"/>
        <w:spacing w:after="0"/>
        <w:jc w:val="both"/>
        <w:rPr>
          <w:rFonts w:ascii="Arial" w:hAnsi="Arial" w:cs="Arial"/>
          <w:b w:val="0"/>
          <w:caps w:val="0"/>
          <w:sz w:val="20"/>
        </w:rPr>
      </w:pPr>
      <w:r w:rsidRPr="00EA1A6D">
        <w:rPr>
          <w:rFonts w:ascii="Arial" w:hAnsi="Arial" w:cs="Arial"/>
          <w:b w:val="0"/>
          <w:caps w:val="0"/>
          <w:sz w:val="20"/>
        </w:rPr>
        <w:t>All authors hereby declare that a</w:t>
      </w:r>
      <w:r w:rsidR="0041027F" w:rsidRPr="00EA1A6D">
        <w:rPr>
          <w:rFonts w:ascii="Arial" w:hAnsi="Arial" w:cs="Arial"/>
          <w:b w:val="0"/>
          <w:caps w:val="0"/>
          <w:sz w:val="20"/>
        </w:rPr>
        <w:t xml:space="preserve">ll </w:t>
      </w:r>
      <w:r w:rsidR="004C3C09" w:rsidRPr="00EA1A6D">
        <w:rPr>
          <w:rFonts w:ascii="Arial" w:hAnsi="Arial" w:cs="Arial"/>
          <w:b w:val="0"/>
          <w:caps w:val="0"/>
          <w:sz w:val="20"/>
        </w:rPr>
        <w:t>research has</w:t>
      </w:r>
      <w:r w:rsidR="0041027F" w:rsidRPr="00EA1A6D">
        <w:rPr>
          <w:rFonts w:ascii="Arial" w:hAnsi="Arial" w:cs="Arial"/>
          <w:b w:val="0"/>
          <w:caps w:val="0"/>
          <w:sz w:val="20"/>
        </w:rPr>
        <w:t xml:space="preserve"> been examined</w:t>
      </w:r>
      <w:r w:rsidRPr="00EA1A6D">
        <w:rPr>
          <w:rFonts w:ascii="Arial" w:hAnsi="Arial" w:cs="Arial"/>
          <w:b w:val="0"/>
          <w:caps w:val="0"/>
          <w:sz w:val="20"/>
        </w:rPr>
        <w:t xml:space="preserve"> and approved</w:t>
      </w:r>
      <w:r w:rsidR="0041027F" w:rsidRPr="00EA1A6D">
        <w:rPr>
          <w:rFonts w:ascii="Arial" w:hAnsi="Arial" w:cs="Arial"/>
          <w:b w:val="0"/>
          <w:caps w:val="0"/>
          <w:sz w:val="20"/>
        </w:rPr>
        <w:t xml:space="preserve"> by the appropriate </w:t>
      </w:r>
      <w:r w:rsidR="004C3C09" w:rsidRPr="00EA1A6D">
        <w:rPr>
          <w:rFonts w:ascii="Arial" w:hAnsi="Arial" w:cs="Arial"/>
          <w:b w:val="0"/>
          <w:caps w:val="0"/>
          <w:sz w:val="20"/>
        </w:rPr>
        <w:t xml:space="preserve">Medical Faculty </w:t>
      </w:r>
      <w:r w:rsidR="0041027F" w:rsidRPr="00EA1A6D">
        <w:rPr>
          <w:rFonts w:ascii="Arial" w:hAnsi="Arial" w:cs="Arial"/>
          <w:b w:val="0"/>
          <w:caps w:val="0"/>
          <w:sz w:val="20"/>
        </w:rPr>
        <w:t>ethics committee</w:t>
      </w:r>
      <w:r w:rsidR="004C3C09" w:rsidRPr="00EA1A6D">
        <w:rPr>
          <w:rFonts w:ascii="Arial" w:hAnsi="Arial" w:cs="Arial"/>
          <w:b w:val="0"/>
          <w:caps w:val="0"/>
          <w:sz w:val="20"/>
        </w:rPr>
        <w:t xml:space="preserve"> of Universitas Kristen Indonesia. </w:t>
      </w:r>
    </w:p>
    <w:p w14:paraId="5E4E953F" w14:textId="77777777" w:rsidR="00E03A74" w:rsidRPr="00EA1A6D" w:rsidRDefault="00E03A74" w:rsidP="00441B6F">
      <w:pPr>
        <w:pStyle w:val="ReferHead"/>
        <w:spacing w:after="0"/>
        <w:jc w:val="both"/>
        <w:rPr>
          <w:rFonts w:ascii="Arial" w:hAnsi="Arial" w:cs="Arial"/>
          <w:b w:val="0"/>
          <w:caps w:val="0"/>
          <w:sz w:val="20"/>
        </w:rPr>
      </w:pPr>
    </w:p>
    <w:p w14:paraId="623A0B94" w14:textId="77777777" w:rsidR="001C4EB1" w:rsidRPr="00EA1A6D" w:rsidRDefault="001C4EB1" w:rsidP="001C4EB1">
      <w:r w:rsidRPr="00EA1A6D">
        <w:t>Disclaimer (Artificial intelligence)</w:t>
      </w:r>
    </w:p>
    <w:p w14:paraId="59E98AD9" w14:textId="77777777" w:rsidR="001C4EB1" w:rsidRPr="00EA1A6D" w:rsidRDefault="001C4EB1" w:rsidP="00E03A74">
      <w:pPr>
        <w:jc w:val="both"/>
      </w:pPr>
      <w:r w:rsidRPr="00EA1A6D">
        <w:t xml:space="preserve">Author(s) hereby declare that NO generative AI technologies such as Large Language Models (ChatGPT, COPILOT, etc.) and text-to-image generators have been used during the writing or editing of this manuscript. </w:t>
      </w:r>
    </w:p>
    <w:p w14:paraId="70505703" w14:textId="77777777" w:rsidR="00860000" w:rsidRPr="00EA1A6D" w:rsidRDefault="00860000" w:rsidP="00441B6F">
      <w:pPr>
        <w:pStyle w:val="ReferHead"/>
        <w:spacing w:after="0"/>
        <w:jc w:val="both"/>
        <w:rPr>
          <w:rFonts w:ascii="Arial" w:hAnsi="Arial" w:cs="Arial"/>
        </w:rPr>
      </w:pPr>
    </w:p>
    <w:p w14:paraId="5526FEC9" w14:textId="77777777" w:rsidR="00B01FCD" w:rsidRPr="00EA1A6D" w:rsidRDefault="00B01FCD" w:rsidP="00441B6F">
      <w:pPr>
        <w:pStyle w:val="ReferHead"/>
        <w:spacing w:after="0"/>
        <w:jc w:val="both"/>
        <w:rPr>
          <w:rFonts w:ascii="Arial" w:hAnsi="Arial" w:cs="Arial"/>
        </w:rPr>
      </w:pPr>
      <w:r w:rsidRPr="00EA1A6D">
        <w:rPr>
          <w:rFonts w:ascii="Arial" w:hAnsi="Arial" w:cs="Arial"/>
        </w:rPr>
        <w:t>References</w:t>
      </w:r>
    </w:p>
    <w:p w14:paraId="45A6AF0C" w14:textId="3B33F2D3" w:rsidR="00284C4C" w:rsidRPr="00EA1A6D" w:rsidRDefault="00284C4C" w:rsidP="00441B6F">
      <w:pPr>
        <w:pStyle w:val="Body"/>
        <w:spacing w:after="0"/>
        <w:rPr>
          <w:rFonts w:ascii="Arial" w:hAnsi="Arial" w:cs="Arial"/>
          <w:i/>
          <w:u w:val="single"/>
        </w:rPr>
      </w:pPr>
    </w:p>
    <w:p w14:paraId="7B981FC3" w14:textId="559C7A1C" w:rsidR="00090E29" w:rsidRPr="00EA1A6D" w:rsidRDefault="00090E29" w:rsidP="00090E29">
      <w:pPr>
        <w:pStyle w:val="Body"/>
        <w:rPr>
          <w:rFonts w:ascii="Arial" w:hAnsi="Arial" w:cs="Arial"/>
          <w:bCs/>
          <w:iCs/>
        </w:rPr>
      </w:pPr>
      <w:r w:rsidRPr="00EA1A6D">
        <w:rPr>
          <w:rFonts w:ascii="Arial" w:hAnsi="Arial" w:cs="Arial"/>
          <w:bCs/>
          <w:iCs/>
        </w:rPr>
        <w:t xml:space="preserve">Yadika, AND., </w:t>
      </w:r>
      <w:proofErr w:type="spellStart"/>
      <w:r w:rsidRPr="00EA1A6D">
        <w:rPr>
          <w:rFonts w:ascii="Arial" w:hAnsi="Arial" w:cs="Arial"/>
          <w:bCs/>
          <w:iCs/>
        </w:rPr>
        <w:t>Berawi</w:t>
      </w:r>
      <w:proofErr w:type="spellEnd"/>
      <w:r w:rsidRPr="00EA1A6D">
        <w:rPr>
          <w:rFonts w:ascii="Arial" w:hAnsi="Arial" w:cs="Arial"/>
          <w:bCs/>
          <w:iCs/>
        </w:rPr>
        <w:t xml:space="preserve">, K., Nasution, S. (2021). The Effect of Stunting on Cognitive Development and Learning Achievement. Journal of Health and Social Sciences, 1(2), 10 pp. </w:t>
      </w:r>
      <w:hyperlink r:id="rId14" w:history="1">
        <w:r w:rsidR="00F94120" w:rsidRPr="00EA1A6D">
          <w:rPr>
            <w:rStyle w:val="Hyperlink"/>
            <w:rFonts w:ascii="Arial" w:hAnsi="Arial" w:cs="Arial"/>
            <w:bCs/>
            <w:iCs/>
            <w:color w:val="auto"/>
          </w:rPr>
          <w:t>https://media.neliti.com/media/publications/506203-none-d121a65c.pdf</w:t>
        </w:r>
      </w:hyperlink>
    </w:p>
    <w:p w14:paraId="16078078" w14:textId="0A48D06D" w:rsidR="00090E29" w:rsidRPr="00EA1A6D" w:rsidRDefault="00090E29" w:rsidP="00090E29">
      <w:pPr>
        <w:pStyle w:val="Body"/>
        <w:rPr>
          <w:rFonts w:ascii="Arial" w:hAnsi="Arial" w:cs="Arial"/>
          <w:bCs/>
          <w:iCs/>
        </w:rPr>
      </w:pPr>
      <w:r w:rsidRPr="00EA1A6D">
        <w:rPr>
          <w:rFonts w:ascii="Arial" w:hAnsi="Arial" w:cs="Arial"/>
          <w:bCs/>
          <w:iCs/>
        </w:rPr>
        <w:t xml:space="preserve">World Health Organization. Levels and trends in child malnutrition. (2023). Joint Child Malnutrition Estimates (JME). </w:t>
      </w:r>
      <w:hyperlink r:id="rId15" w:history="1">
        <w:r w:rsidR="00F94120" w:rsidRPr="00EA1A6D">
          <w:rPr>
            <w:rStyle w:val="Hyperlink"/>
            <w:rFonts w:ascii="Arial" w:hAnsi="Arial" w:cs="Arial"/>
            <w:bCs/>
            <w:iCs/>
            <w:color w:val="auto"/>
          </w:rPr>
          <w:t>https://www.ennonline.net/fex/70/en/2023-joint-malnutrition-estimates#</w:t>
        </w:r>
      </w:hyperlink>
    </w:p>
    <w:p w14:paraId="4BAB25C9" w14:textId="77777777" w:rsidR="00F94120" w:rsidRPr="00EA1A6D" w:rsidRDefault="00090E29" w:rsidP="00F94120">
      <w:pPr>
        <w:pStyle w:val="Body"/>
        <w:spacing w:after="0"/>
        <w:rPr>
          <w:rFonts w:ascii="Arial" w:hAnsi="Arial" w:cs="Arial"/>
          <w:bCs/>
          <w:iCs/>
        </w:rPr>
      </w:pPr>
      <w:bookmarkStart w:id="2" w:name="_Hlk208300464"/>
      <w:r w:rsidRPr="00EA1A6D">
        <w:rPr>
          <w:rFonts w:ascii="Arial" w:hAnsi="Arial" w:cs="Arial"/>
          <w:bCs/>
          <w:iCs/>
        </w:rPr>
        <w:t>Health Development Policy Agency</w:t>
      </w:r>
      <w:bookmarkEnd w:id="2"/>
      <w:r w:rsidRPr="00EA1A6D">
        <w:rPr>
          <w:rFonts w:ascii="Arial" w:hAnsi="Arial" w:cs="Arial"/>
          <w:bCs/>
          <w:iCs/>
        </w:rPr>
        <w:t xml:space="preserve">. (2022). Pocket Book of Results of the Indonesian Nutritional Status Study (SSGI) 2022. </w:t>
      </w:r>
    </w:p>
    <w:p w14:paraId="38D82794" w14:textId="228E033F" w:rsidR="00090E29" w:rsidRPr="00EA1A6D" w:rsidRDefault="00846AE7" w:rsidP="00090E29">
      <w:pPr>
        <w:pStyle w:val="Body"/>
        <w:rPr>
          <w:rFonts w:ascii="Arial" w:hAnsi="Arial" w:cs="Arial"/>
          <w:bCs/>
          <w:iCs/>
        </w:rPr>
      </w:pPr>
      <w:hyperlink r:id="rId16" w:history="1">
        <w:r w:rsidR="00F94120" w:rsidRPr="00EA1A6D">
          <w:rPr>
            <w:rStyle w:val="Hyperlink"/>
            <w:rFonts w:ascii="Arial" w:hAnsi="Arial" w:cs="Arial"/>
            <w:bCs/>
            <w:iCs/>
            <w:color w:val="auto"/>
          </w:rPr>
          <w:t>https://repository.badankebijakan.kemkes.go.id/id/eprint/4855/3/Buku%20Saku%20SSGI%202022%20rev%20270123%20OK</w:t>
        </w:r>
      </w:hyperlink>
      <w:r w:rsidR="00090E29" w:rsidRPr="00EA1A6D">
        <w:rPr>
          <w:rFonts w:ascii="Arial" w:hAnsi="Arial" w:cs="Arial"/>
          <w:bCs/>
          <w:iCs/>
        </w:rPr>
        <w:t>.</w:t>
      </w:r>
    </w:p>
    <w:p w14:paraId="56AE15A2" w14:textId="77777777" w:rsidR="00F94120" w:rsidRPr="00EA1A6D" w:rsidRDefault="00090E29" w:rsidP="00F94120">
      <w:pPr>
        <w:pStyle w:val="Body"/>
        <w:spacing w:after="0"/>
        <w:rPr>
          <w:rFonts w:ascii="Arial" w:hAnsi="Arial" w:cs="Arial"/>
          <w:bCs/>
          <w:iCs/>
        </w:rPr>
      </w:pPr>
      <w:r w:rsidRPr="00EA1A6D">
        <w:rPr>
          <w:rFonts w:ascii="Arial" w:hAnsi="Arial" w:cs="Arial"/>
          <w:bCs/>
          <w:iCs/>
        </w:rPr>
        <w:t xml:space="preserve">Ikhsan, I. (2019). Serum iron and hemoglobin levels in stunted and non-stunted children in </w:t>
      </w:r>
      <w:proofErr w:type="spellStart"/>
      <w:r w:rsidRPr="00EA1A6D">
        <w:rPr>
          <w:rFonts w:ascii="Arial" w:hAnsi="Arial" w:cs="Arial"/>
          <w:bCs/>
          <w:iCs/>
        </w:rPr>
        <w:t>Seluma</w:t>
      </w:r>
      <w:proofErr w:type="spellEnd"/>
      <w:r w:rsidRPr="00EA1A6D">
        <w:rPr>
          <w:rFonts w:ascii="Arial" w:hAnsi="Arial" w:cs="Arial"/>
          <w:bCs/>
          <w:iCs/>
        </w:rPr>
        <w:t xml:space="preserve"> Regency. Journal of the National Seminar on Mathematics and Natural Sciences, University of Indonesia (UMRI).</w:t>
      </w:r>
    </w:p>
    <w:p w14:paraId="773E6EF0" w14:textId="3E65995A" w:rsidR="00090E29" w:rsidRPr="00EA1A6D" w:rsidRDefault="00846AE7" w:rsidP="00F94120">
      <w:pPr>
        <w:pStyle w:val="Body"/>
        <w:spacing w:after="0"/>
        <w:rPr>
          <w:rFonts w:ascii="Arial" w:hAnsi="Arial" w:cs="Arial"/>
          <w:bCs/>
          <w:iCs/>
        </w:rPr>
      </w:pPr>
      <w:hyperlink r:id="rId17" w:history="1">
        <w:r w:rsidR="00F94120" w:rsidRPr="00EA1A6D">
          <w:rPr>
            <w:rStyle w:val="Hyperlink"/>
            <w:rFonts w:ascii="Arial" w:hAnsi="Arial" w:cs="Arial"/>
            <w:bCs/>
            <w:iCs/>
            <w:color w:val="auto"/>
          </w:rPr>
          <w:t>https://www.academia.edu/96142689/Kadar_Zat_Besi_Serum_Dan_Hemoglobin_Pada_Anak_Stunting_Dan_Tidak_Stunting_DI_Kabupaten_Seluma</w:t>
        </w:r>
      </w:hyperlink>
    </w:p>
    <w:p w14:paraId="382EA929" w14:textId="77777777" w:rsidR="00F94120" w:rsidRPr="00EA1A6D" w:rsidRDefault="00F94120" w:rsidP="00F94120">
      <w:pPr>
        <w:pStyle w:val="Body"/>
        <w:spacing w:after="0"/>
        <w:rPr>
          <w:rFonts w:ascii="Arial" w:hAnsi="Arial" w:cs="Arial"/>
          <w:bCs/>
          <w:iCs/>
        </w:rPr>
      </w:pPr>
    </w:p>
    <w:p w14:paraId="3132E2AD" w14:textId="667CAD8A" w:rsidR="00090E29" w:rsidRPr="00EA1A6D" w:rsidRDefault="00090E29" w:rsidP="00090E29">
      <w:pPr>
        <w:pStyle w:val="Body"/>
        <w:rPr>
          <w:rFonts w:ascii="Arial" w:hAnsi="Arial" w:cs="Arial"/>
          <w:bCs/>
          <w:iCs/>
        </w:rPr>
      </w:pPr>
      <w:r w:rsidRPr="00EA1A6D">
        <w:rPr>
          <w:rFonts w:ascii="Arial" w:hAnsi="Arial" w:cs="Arial"/>
          <w:bCs/>
          <w:iCs/>
        </w:rPr>
        <w:t xml:space="preserve">Utami, M., Kustiyah, L., </w:t>
      </w:r>
      <w:proofErr w:type="spellStart"/>
      <w:r w:rsidRPr="00EA1A6D">
        <w:rPr>
          <w:rFonts w:ascii="Arial" w:hAnsi="Arial" w:cs="Arial"/>
          <w:bCs/>
          <w:iCs/>
        </w:rPr>
        <w:t>Dwiriani</w:t>
      </w:r>
      <w:proofErr w:type="spellEnd"/>
      <w:r w:rsidRPr="00EA1A6D">
        <w:rPr>
          <w:rFonts w:ascii="Arial" w:hAnsi="Arial" w:cs="Arial"/>
          <w:bCs/>
          <w:iCs/>
        </w:rPr>
        <w:t xml:space="preserve">, C. (2023). Risk Factors of Stunting, Iron Deficiency Anemia, and Their Coexistence among Children Aged 6-9 Years in Indonesia: Results from the Indonesian Family Life Survey-5 (IFLS-5) in 2014-2015. Journal of </w:t>
      </w:r>
      <w:proofErr w:type="spellStart"/>
      <w:r w:rsidRPr="00EA1A6D">
        <w:rPr>
          <w:rFonts w:ascii="Arial" w:hAnsi="Arial" w:cs="Arial"/>
          <w:bCs/>
          <w:iCs/>
        </w:rPr>
        <w:t>Amerta</w:t>
      </w:r>
      <w:proofErr w:type="spellEnd"/>
      <w:r w:rsidRPr="00EA1A6D">
        <w:rPr>
          <w:rFonts w:ascii="Arial" w:hAnsi="Arial" w:cs="Arial"/>
          <w:bCs/>
          <w:iCs/>
        </w:rPr>
        <w:t xml:space="preserve"> Nutrition, 7(1), 120-30. </w:t>
      </w:r>
      <w:hyperlink r:id="rId18" w:history="1">
        <w:r w:rsidR="00F94120" w:rsidRPr="00EA1A6D">
          <w:rPr>
            <w:rStyle w:val="Hyperlink"/>
            <w:rFonts w:ascii="Arial" w:hAnsi="Arial" w:cs="Arial"/>
            <w:bCs/>
            <w:iCs/>
            <w:color w:val="auto"/>
          </w:rPr>
          <w:t>https://e-journal.unair.ac.id/AMNT/article/view/34919</w:t>
        </w:r>
      </w:hyperlink>
    </w:p>
    <w:p w14:paraId="082ED97F" w14:textId="30AC8A43" w:rsidR="00090E29" w:rsidRPr="00EA1A6D" w:rsidRDefault="00090E29" w:rsidP="00090E29">
      <w:pPr>
        <w:pStyle w:val="Body"/>
        <w:rPr>
          <w:rFonts w:ascii="Arial" w:hAnsi="Arial" w:cs="Arial"/>
          <w:bCs/>
          <w:iCs/>
        </w:rPr>
      </w:pPr>
      <w:proofErr w:type="spellStart"/>
      <w:r w:rsidRPr="00EA1A6D">
        <w:rPr>
          <w:rFonts w:ascii="Arial" w:hAnsi="Arial" w:cs="Arial"/>
          <w:bCs/>
          <w:iCs/>
        </w:rPr>
        <w:t>Sanatang</w:t>
      </w:r>
      <w:proofErr w:type="spellEnd"/>
      <w:r w:rsidRPr="00EA1A6D">
        <w:rPr>
          <w:rFonts w:ascii="Arial" w:hAnsi="Arial" w:cs="Arial"/>
          <w:bCs/>
          <w:iCs/>
        </w:rPr>
        <w:t xml:space="preserve">, </w:t>
      </w:r>
      <w:proofErr w:type="spellStart"/>
      <w:r w:rsidRPr="00EA1A6D">
        <w:rPr>
          <w:rFonts w:ascii="Arial" w:hAnsi="Arial" w:cs="Arial"/>
          <w:bCs/>
          <w:iCs/>
        </w:rPr>
        <w:t>Yustia</w:t>
      </w:r>
      <w:proofErr w:type="spellEnd"/>
      <w:r w:rsidRPr="00EA1A6D">
        <w:rPr>
          <w:rFonts w:ascii="Arial" w:hAnsi="Arial" w:cs="Arial"/>
          <w:bCs/>
          <w:iCs/>
        </w:rPr>
        <w:t xml:space="preserve">, I. (2022). Analysis of hemoglobin and leukocyte levels in stunted toddlers at the Lepo-Lepo Community Health Center. </w:t>
      </w:r>
      <w:proofErr w:type="spellStart"/>
      <w:r w:rsidRPr="00EA1A6D">
        <w:rPr>
          <w:rFonts w:ascii="Arial" w:hAnsi="Arial" w:cs="Arial"/>
          <w:bCs/>
          <w:iCs/>
        </w:rPr>
        <w:t>Jurnal</w:t>
      </w:r>
      <w:proofErr w:type="spellEnd"/>
      <w:r w:rsidRPr="00EA1A6D">
        <w:rPr>
          <w:rFonts w:ascii="Arial" w:hAnsi="Arial" w:cs="Arial"/>
          <w:bCs/>
          <w:iCs/>
        </w:rPr>
        <w:t xml:space="preserve"> </w:t>
      </w:r>
      <w:proofErr w:type="spellStart"/>
      <w:r w:rsidRPr="00EA1A6D">
        <w:rPr>
          <w:rFonts w:ascii="Arial" w:hAnsi="Arial" w:cs="Arial"/>
          <w:bCs/>
          <w:iCs/>
        </w:rPr>
        <w:t>MediLab</w:t>
      </w:r>
      <w:proofErr w:type="spellEnd"/>
      <w:r w:rsidRPr="00EA1A6D">
        <w:rPr>
          <w:rFonts w:ascii="Arial" w:hAnsi="Arial" w:cs="Arial"/>
          <w:bCs/>
          <w:iCs/>
        </w:rPr>
        <w:t xml:space="preserve"> Mandala </w:t>
      </w:r>
      <w:proofErr w:type="spellStart"/>
      <w:r w:rsidRPr="00EA1A6D">
        <w:rPr>
          <w:rFonts w:ascii="Arial" w:hAnsi="Arial" w:cs="Arial"/>
          <w:bCs/>
          <w:iCs/>
        </w:rPr>
        <w:t>Waluya</w:t>
      </w:r>
      <w:proofErr w:type="spellEnd"/>
      <w:r w:rsidRPr="00EA1A6D">
        <w:rPr>
          <w:rFonts w:ascii="Arial" w:hAnsi="Arial" w:cs="Arial"/>
          <w:bCs/>
          <w:iCs/>
        </w:rPr>
        <w:t xml:space="preserve">, 6(2), 132-42. </w:t>
      </w:r>
      <w:hyperlink r:id="rId19" w:history="1">
        <w:r w:rsidR="00F94120" w:rsidRPr="00EA1A6D">
          <w:rPr>
            <w:rStyle w:val="Hyperlink"/>
            <w:rFonts w:ascii="Arial" w:hAnsi="Arial" w:cs="Arial"/>
            <w:bCs/>
            <w:iCs/>
            <w:color w:val="auto"/>
          </w:rPr>
          <w:t>http://dx.doi.org/10.35910/icohpj.v4i0.919</w:t>
        </w:r>
      </w:hyperlink>
    </w:p>
    <w:p w14:paraId="085A9E07" w14:textId="00DABD59" w:rsidR="00090E29" w:rsidRPr="00EA1A6D" w:rsidRDefault="00090E29" w:rsidP="00090E29">
      <w:pPr>
        <w:pStyle w:val="Body"/>
        <w:rPr>
          <w:rFonts w:ascii="Arial" w:hAnsi="Arial" w:cs="Arial"/>
          <w:bCs/>
          <w:iCs/>
        </w:rPr>
      </w:pPr>
      <w:r w:rsidRPr="00EA1A6D">
        <w:rPr>
          <w:rFonts w:ascii="Arial" w:hAnsi="Arial" w:cs="Arial"/>
          <w:bCs/>
          <w:iCs/>
        </w:rPr>
        <w:t xml:space="preserve">Dessie, G., Li, J., Nghiem, S., &amp; Doan, T. (2025). Prevalence and Determinants of Stunting-Anemia and Wasting-Anemia Comorbidities and Micronutrient Deficiencies in Children Under 5 in the Least-Developed Countries: A Systematic Review and Meta-analysis. Nutrition Reviews, 83(2), e178–e194. </w:t>
      </w:r>
      <w:hyperlink r:id="rId20" w:history="1">
        <w:r w:rsidR="00F94120" w:rsidRPr="00EA1A6D">
          <w:rPr>
            <w:rStyle w:val="Hyperlink"/>
            <w:rFonts w:ascii="Arial" w:hAnsi="Arial" w:cs="Arial"/>
            <w:bCs/>
            <w:iCs/>
            <w:color w:val="auto"/>
          </w:rPr>
          <w:t>https://doi.org/10.1093/nutrit/nuae063</w:t>
        </w:r>
      </w:hyperlink>
    </w:p>
    <w:p w14:paraId="176D318F" w14:textId="0B473C71" w:rsidR="00090E29" w:rsidRPr="00EA1A6D" w:rsidRDefault="00090E29" w:rsidP="00090E29">
      <w:pPr>
        <w:pStyle w:val="Body"/>
        <w:rPr>
          <w:rFonts w:ascii="Arial" w:hAnsi="Arial" w:cs="Arial"/>
          <w:bCs/>
          <w:iCs/>
        </w:rPr>
      </w:pPr>
      <w:proofErr w:type="spellStart"/>
      <w:r w:rsidRPr="00EA1A6D">
        <w:rPr>
          <w:rFonts w:ascii="Arial" w:hAnsi="Arial" w:cs="Arial"/>
          <w:bCs/>
          <w:iCs/>
        </w:rPr>
        <w:lastRenderedPageBreak/>
        <w:t>Sartika</w:t>
      </w:r>
      <w:proofErr w:type="spellEnd"/>
      <w:r w:rsidRPr="00EA1A6D">
        <w:rPr>
          <w:rFonts w:ascii="Arial" w:hAnsi="Arial" w:cs="Arial"/>
          <w:bCs/>
          <w:iCs/>
        </w:rPr>
        <w:t xml:space="preserve">, A.N., </w:t>
      </w:r>
      <w:proofErr w:type="spellStart"/>
      <w:r w:rsidRPr="00EA1A6D">
        <w:rPr>
          <w:rFonts w:ascii="Arial" w:hAnsi="Arial" w:cs="Arial"/>
          <w:bCs/>
          <w:iCs/>
        </w:rPr>
        <w:t>Khoirunnisa</w:t>
      </w:r>
      <w:proofErr w:type="spellEnd"/>
      <w:r w:rsidRPr="00EA1A6D">
        <w:rPr>
          <w:rFonts w:ascii="Arial" w:hAnsi="Arial" w:cs="Arial"/>
          <w:bCs/>
          <w:iCs/>
        </w:rPr>
        <w:t xml:space="preserve">, M., Meiyetriani, E., et all. (2021). Prenatal and postnatal determinants of stunting at age 0–11 months: A cross-sectional study in Indonesia. </w:t>
      </w:r>
      <w:proofErr w:type="spellStart"/>
      <w:r w:rsidRPr="00EA1A6D">
        <w:rPr>
          <w:rFonts w:ascii="Arial" w:hAnsi="Arial" w:cs="Arial"/>
          <w:bCs/>
          <w:iCs/>
        </w:rPr>
        <w:t>Plos</w:t>
      </w:r>
      <w:proofErr w:type="spellEnd"/>
      <w:r w:rsidRPr="00EA1A6D">
        <w:rPr>
          <w:rFonts w:ascii="Arial" w:hAnsi="Arial" w:cs="Arial"/>
          <w:bCs/>
          <w:iCs/>
        </w:rPr>
        <w:t xml:space="preserve"> One, 19(12), e0315015</w:t>
      </w:r>
      <w:r w:rsidR="00C66843" w:rsidRPr="00EA1A6D">
        <w:rPr>
          <w:rFonts w:ascii="Arial" w:hAnsi="Arial" w:cs="Arial"/>
          <w:bCs/>
          <w:iCs/>
        </w:rPr>
        <w:t xml:space="preserve"> </w:t>
      </w:r>
      <w:hyperlink r:id="rId21" w:history="1">
        <w:r w:rsidR="00C66843" w:rsidRPr="00EA1A6D">
          <w:rPr>
            <w:rStyle w:val="Hyperlink"/>
            <w:rFonts w:ascii="Arial" w:hAnsi="Arial" w:cs="Arial"/>
            <w:bCs/>
            <w:iCs/>
            <w:color w:val="auto"/>
          </w:rPr>
          <w:t>https://journals.plos.org/plosone/article?id=10.1371/journal.pone.0254662</w:t>
        </w:r>
      </w:hyperlink>
    </w:p>
    <w:p w14:paraId="53130B92" w14:textId="4D5669A7" w:rsidR="00090E29" w:rsidRPr="00EA1A6D" w:rsidRDefault="00090E29" w:rsidP="00090E29">
      <w:pPr>
        <w:pStyle w:val="Body"/>
        <w:rPr>
          <w:rFonts w:ascii="Arial" w:hAnsi="Arial" w:cs="Arial"/>
          <w:bCs/>
          <w:iCs/>
        </w:rPr>
      </w:pPr>
      <w:proofErr w:type="spellStart"/>
      <w:r w:rsidRPr="00EA1A6D">
        <w:rPr>
          <w:rFonts w:ascii="Arial" w:hAnsi="Arial" w:cs="Arial"/>
          <w:bCs/>
          <w:iCs/>
        </w:rPr>
        <w:t>Budiailmiawan</w:t>
      </w:r>
      <w:proofErr w:type="spellEnd"/>
      <w:r w:rsidRPr="00EA1A6D">
        <w:rPr>
          <w:rFonts w:ascii="Arial" w:hAnsi="Arial" w:cs="Arial"/>
          <w:bCs/>
          <w:iCs/>
        </w:rPr>
        <w:t xml:space="preserve">, L., </w:t>
      </w:r>
      <w:proofErr w:type="spellStart"/>
      <w:r w:rsidRPr="00EA1A6D">
        <w:rPr>
          <w:rFonts w:ascii="Arial" w:hAnsi="Arial" w:cs="Arial"/>
          <w:bCs/>
          <w:iCs/>
        </w:rPr>
        <w:t>Aryati</w:t>
      </w:r>
      <w:proofErr w:type="spellEnd"/>
      <w:r w:rsidRPr="00EA1A6D">
        <w:rPr>
          <w:rFonts w:ascii="Arial" w:hAnsi="Arial" w:cs="Arial"/>
          <w:bCs/>
          <w:iCs/>
        </w:rPr>
        <w:t xml:space="preserve">, A., Kadir, N. A., Yusuf, L. I., </w:t>
      </w:r>
      <w:proofErr w:type="spellStart"/>
      <w:r w:rsidRPr="00EA1A6D">
        <w:rPr>
          <w:rFonts w:ascii="Arial" w:hAnsi="Arial" w:cs="Arial"/>
          <w:bCs/>
          <w:iCs/>
        </w:rPr>
        <w:t>Partakusuma</w:t>
      </w:r>
      <w:proofErr w:type="spellEnd"/>
      <w:r w:rsidRPr="00EA1A6D">
        <w:rPr>
          <w:rFonts w:ascii="Arial" w:hAnsi="Arial" w:cs="Arial"/>
          <w:bCs/>
          <w:iCs/>
        </w:rPr>
        <w:t xml:space="preserve">, L. G., Markus, L., &amp; </w:t>
      </w:r>
      <w:proofErr w:type="spellStart"/>
      <w:r w:rsidRPr="00EA1A6D">
        <w:rPr>
          <w:rFonts w:ascii="Arial" w:hAnsi="Arial" w:cs="Arial"/>
          <w:bCs/>
          <w:iCs/>
        </w:rPr>
        <w:t>Lismayanti</w:t>
      </w:r>
      <w:proofErr w:type="spellEnd"/>
      <w:r w:rsidRPr="00EA1A6D">
        <w:rPr>
          <w:rFonts w:ascii="Arial" w:hAnsi="Arial" w:cs="Arial"/>
          <w:bCs/>
          <w:iCs/>
        </w:rPr>
        <w:t xml:space="preserve">, L. (2024). </w:t>
      </w:r>
      <w:proofErr w:type="spellStart"/>
      <w:r w:rsidRPr="00EA1A6D">
        <w:rPr>
          <w:rFonts w:ascii="Arial" w:hAnsi="Arial" w:cs="Arial"/>
          <w:bCs/>
          <w:iCs/>
        </w:rPr>
        <w:t>Anaemia</w:t>
      </w:r>
      <w:proofErr w:type="spellEnd"/>
      <w:r w:rsidRPr="00EA1A6D">
        <w:rPr>
          <w:rFonts w:ascii="Arial" w:hAnsi="Arial" w:cs="Arial"/>
          <w:bCs/>
          <w:iCs/>
        </w:rPr>
        <w:t xml:space="preserve"> Profile and Inflammation Markers in Stunted Children Under Two Years in Indonesia. Children (Basel, Switzerland), 11(11), 1315. </w:t>
      </w:r>
      <w:hyperlink r:id="rId22" w:history="1">
        <w:r w:rsidR="00F94120" w:rsidRPr="00EA1A6D">
          <w:rPr>
            <w:rStyle w:val="Hyperlink"/>
            <w:rFonts w:ascii="Arial" w:hAnsi="Arial" w:cs="Arial"/>
            <w:bCs/>
            <w:iCs/>
            <w:color w:val="auto"/>
          </w:rPr>
          <w:t>https://doi.org/10.3390/children11111315</w:t>
        </w:r>
      </w:hyperlink>
    </w:p>
    <w:p w14:paraId="090F4AB9" w14:textId="591433A9" w:rsidR="00F94120" w:rsidRPr="00EA1A6D" w:rsidRDefault="00F94120" w:rsidP="00090E29">
      <w:pPr>
        <w:pStyle w:val="Body"/>
        <w:rPr>
          <w:rFonts w:ascii="Arial" w:hAnsi="Arial" w:cs="Arial"/>
          <w:bCs/>
          <w:iCs/>
        </w:rPr>
      </w:pPr>
      <w:r w:rsidRPr="00EA1A6D">
        <w:rPr>
          <w:rFonts w:ascii="Arial" w:hAnsi="Arial" w:cs="Arial"/>
          <w:bCs/>
          <w:iCs/>
        </w:rPr>
        <w:t>Sysmex. XN-350 Product detail. (cited September 9</w:t>
      </w:r>
      <w:r w:rsidRPr="00EA1A6D">
        <w:rPr>
          <w:rFonts w:ascii="Arial" w:hAnsi="Arial" w:cs="Arial"/>
          <w:bCs/>
          <w:iCs/>
          <w:vertAlign w:val="superscript"/>
        </w:rPr>
        <w:t>th</w:t>
      </w:r>
      <w:r w:rsidRPr="00EA1A6D">
        <w:rPr>
          <w:rFonts w:ascii="Arial" w:hAnsi="Arial" w:cs="Arial"/>
          <w:bCs/>
          <w:iCs/>
        </w:rPr>
        <w:t xml:space="preserve"> 2025). </w:t>
      </w:r>
      <w:hyperlink r:id="rId23" w:history="1">
        <w:r w:rsidRPr="00EA1A6D">
          <w:rPr>
            <w:rStyle w:val="Hyperlink"/>
            <w:rFonts w:ascii="Arial" w:hAnsi="Arial" w:cs="Arial"/>
            <w:bCs/>
            <w:iCs/>
            <w:color w:val="auto"/>
          </w:rPr>
          <w:t>https://www.sysmex-europe.com/products/products-detail/xn-350/</w:t>
        </w:r>
      </w:hyperlink>
    </w:p>
    <w:p w14:paraId="1CAFCAF7" w14:textId="23610F8C" w:rsidR="00090E29" w:rsidRPr="00EA1A6D" w:rsidRDefault="00090E29" w:rsidP="00090E29">
      <w:pPr>
        <w:pStyle w:val="Body"/>
        <w:rPr>
          <w:rFonts w:ascii="Arial" w:hAnsi="Arial" w:cs="Arial"/>
          <w:bCs/>
          <w:iCs/>
        </w:rPr>
      </w:pPr>
      <w:proofErr w:type="spellStart"/>
      <w:r w:rsidRPr="00EA1A6D">
        <w:rPr>
          <w:rFonts w:ascii="Arial" w:hAnsi="Arial" w:cs="Arial"/>
          <w:bCs/>
          <w:iCs/>
        </w:rPr>
        <w:t>Rahayu</w:t>
      </w:r>
      <w:proofErr w:type="spellEnd"/>
      <w:r w:rsidRPr="00EA1A6D">
        <w:rPr>
          <w:rFonts w:ascii="Arial" w:hAnsi="Arial" w:cs="Arial"/>
          <w:bCs/>
          <w:iCs/>
        </w:rPr>
        <w:t xml:space="preserve"> P, </w:t>
      </w:r>
      <w:proofErr w:type="spellStart"/>
      <w:r w:rsidRPr="00EA1A6D">
        <w:rPr>
          <w:rFonts w:ascii="Arial" w:hAnsi="Arial" w:cs="Arial"/>
          <w:bCs/>
          <w:iCs/>
        </w:rPr>
        <w:t>Casnuri</w:t>
      </w:r>
      <w:proofErr w:type="spellEnd"/>
      <w:r w:rsidRPr="00EA1A6D">
        <w:rPr>
          <w:rFonts w:ascii="Arial" w:hAnsi="Arial" w:cs="Arial"/>
          <w:bCs/>
          <w:iCs/>
        </w:rPr>
        <w:t xml:space="preserve">. UNRIYO National Seminar. 2020 </w:t>
      </w:r>
      <w:hyperlink r:id="rId24" w:history="1">
        <w:r w:rsidR="00410575" w:rsidRPr="00EA1A6D">
          <w:rPr>
            <w:rStyle w:val="Hyperlink"/>
            <w:rFonts w:ascii="Arial" w:hAnsi="Arial" w:cs="Arial"/>
            <w:bCs/>
            <w:iCs/>
            <w:color w:val="auto"/>
          </w:rPr>
          <w:t>https://scholar.google.com/scholar?cluster=7668914548444288104&amp;hl=en&amp;oi=scholarr</w:t>
        </w:r>
      </w:hyperlink>
    </w:p>
    <w:p w14:paraId="1F0A20ED" w14:textId="5773293C" w:rsidR="00090E29" w:rsidRPr="00EA1A6D" w:rsidRDefault="00090E29" w:rsidP="00090E29">
      <w:pPr>
        <w:pStyle w:val="Body"/>
        <w:rPr>
          <w:rFonts w:ascii="Arial" w:hAnsi="Arial" w:cs="Arial"/>
          <w:bCs/>
          <w:iCs/>
        </w:rPr>
      </w:pPr>
      <w:proofErr w:type="spellStart"/>
      <w:r w:rsidRPr="00EA1A6D">
        <w:rPr>
          <w:rFonts w:ascii="Arial" w:hAnsi="Arial" w:cs="Arial"/>
          <w:bCs/>
          <w:iCs/>
        </w:rPr>
        <w:t>Losong</w:t>
      </w:r>
      <w:proofErr w:type="spellEnd"/>
      <w:r w:rsidRPr="00EA1A6D">
        <w:rPr>
          <w:rFonts w:ascii="Arial" w:hAnsi="Arial" w:cs="Arial"/>
          <w:bCs/>
          <w:iCs/>
        </w:rPr>
        <w:t xml:space="preserve">, N., Adriani, M. (2017). Differences in Hemoglobin Levels, Iron, and Zinc Intake in Stunted and Non-Stunted Toddlers. </w:t>
      </w:r>
      <w:proofErr w:type="spellStart"/>
      <w:r w:rsidRPr="00EA1A6D">
        <w:rPr>
          <w:rFonts w:ascii="Arial" w:hAnsi="Arial" w:cs="Arial"/>
          <w:bCs/>
          <w:iCs/>
        </w:rPr>
        <w:t>Amerta</w:t>
      </w:r>
      <w:proofErr w:type="spellEnd"/>
      <w:r w:rsidRPr="00EA1A6D">
        <w:rPr>
          <w:rFonts w:ascii="Arial" w:hAnsi="Arial" w:cs="Arial"/>
          <w:bCs/>
          <w:iCs/>
        </w:rPr>
        <w:t xml:space="preserve"> </w:t>
      </w:r>
      <w:proofErr w:type="spellStart"/>
      <w:r w:rsidRPr="00EA1A6D">
        <w:rPr>
          <w:rFonts w:ascii="Arial" w:hAnsi="Arial" w:cs="Arial"/>
          <w:bCs/>
          <w:iCs/>
        </w:rPr>
        <w:t>Nutr</w:t>
      </w:r>
      <w:proofErr w:type="spellEnd"/>
      <w:r w:rsidRPr="00EA1A6D">
        <w:rPr>
          <w:rFonts w:ascii="Arial" w:hAnsi="Arial" w:cs="Arial"/>
          <w:bCs/>
          <w:iCs/>
        </w:rPr>
        <w:t xml:space="preserve">, 1(2), 117-23. </w:t>
      </w:r>
      <w:hyperlink r:id="rId25" w:history="1">
        <w:r w:rsidR="00410575" w:rsidRPr="00EA1A6D">
          <w:rPr>
            <w:rStyle w:val="Hyperlink"/>
            <w:rFonts w:ascii="Arial" w:hAnsi="Arial" w:cs="Arial"/>
            <w:bCs/>
            <w:iCs/>
            <w:color w:val="auto"/>
          </w:rPr>
          <w:t>http://dx.doi.org/10.20473/amnt.v1i2.2017.117-123</w:t>
        </w:r>
      </w:hyperlink>
    </w:p>
    <w:p w14:paraId="629DEA9A" w14:textId="3A99010D" w:rsidR="00090E29" w:rsidRPr="00EA1A6D" w:rsidRDefault="00090E29" w:rsidP="00090E29">
      <w:pPr>
        <w:pStyle w:val="Body"/>
        <w:rPr>
          <w:rFonts w:ascii="Arial" w:hAnsi="Arial" w:cs="Arial"/>
          <w:bCs/>
          <w:iCs/>
        </w:rPr>
      </w:pPr>
      <w:r w:rsidRPr="00EA1A6D">
        <w:rPr>
          <w:rFonts w:ascii="Arial" w:hAnsi="Arial" w:cs="Arial"/>
          <w:bCs/>
          <w:iCs/>
        </w:rPr>
        <w:t xml:space="preserve">Chowdhury, S., </w:t>
      </w:r>
      <w:proofErr w:type="spellStart"/>
      <w:r w:rsidRPr="00EA1A6D">
        <w:rPr>
          <w:rFonts w:ascii="Arial" w:hAnsi="Arial" w:cs="Arial"/>
          <w:bCs/>
          <w:iCs/>
        </w:rPr>
        <w:t>Ghos</w:t>
      </w:r>
      <w:proofErr w:type="spellEnd"/>
      <w:r w:rsidRPr="00EA1A6D">
        <w:rPr>
          <w:rFonts w:ascii="Arial" w:hAnsi="Arial" w:cs="Arial"/>
          <w:bCs/>
          <w:iCs/>
        </w:rPr>
        <w:t xml:space="preserve">, T., (2013). Undernutrition in Santal children: A biochemical and hematological study. Journal of Comparative Human Biology, 64(3), 215-27. </w:t>
      </w:r>
      <w:hyperlink r:id="rId26" w:history="1">
        <w:r w:rsidR="00410575" w:rsidRPr="00EA1A6D">
          <w:rPr>
            <w:rStyle w:val="Hyperlink"/>
            <w:rFonts w:ascii="Arial" w:hAnsi="Arial" w:cs="Arial"/>
            <w:bCs/>
            <w:iCs/>
            <w:color w:val="auto"/>
          </w:rPr>
          <w:t>http://dx.doi.org/10.1016/j.jchb.2013.03.006</w:t>
        </w:r>
      </w:hyperlink>
    </w:p>
    <w:p w14:paraId="5F3E1339" w14:textId="5E556E3D" w:rsidR="00090E29" w:rsidRPr="00EA1A6D" w:rsidRDefault="00090E29" w:rsidP="00090E29">
      <w:pPr>
        <w:pStyle w:val="Body"/>
        <w:rPr>
          <w:rFonts w:ascii="Arial" w:hAnsi="Arial" w:cs="Arial"/>
          <w:bCs/>
          <w:iCs/>
        </w:rPr>
      </w:pPr>
      <w:r w:rsidRPr="00EA1A6D">
        <w:rPr>
          <w:rFonts w:ascii="Arial" w:hAnsi="Arial" w:cs="Arial"/>
          <w:bCs/>
          <w:iCs/>
        </w:rPr>
        <w:t xml:space="preserve">Fadhilah, S., Astuti, D., Dewi, E., Muhajir, N. (2022). Stunting Case Study in Grogol </w:t>
      </w:r>
      <w:proofErr w:type="spellStart"/>
      <w:r w:rsidRPr="00EA1A6D">
        <w:rPr>
          <w:rFonts w:ascii="Arial" w:hAnsi="Arial" w:cs="Arial"/>
          <w:bCs/>
          <w:iCs/>
        </w:rPr>
        <w:t>Bejiharjo</w:t>
      </w:r>
      <w:proofErr w:type="spellEnd"/>
      <w:r w:rsidRPr="00EA1A6D">
        <w:rPr>
          <w:rFonts w:ascii="Arial" w:hAnsi="Arial" w:cs="Arial"/>
          <w:bCs/>
          <w:iCs/>
        </w:rPr>
        <w:t xml:space="preserve">, </w:t>
      </w:r>
      <w:proofErr w:type="spellStart"/>
      <w:r w:rsidRPr="00EA1A6D">
        <w:rPr>
          <w:rFonts w:ascii="Arial" w:hAnsi="Arial" w:cs="Arial"/>
          <w:bCs/>
          <w:iCs/>
        </w:rPr>
        <w:t>Karangmojo</w:t>
      </w:r>
      <w:proofErr w:type="spellEnd"/>
      <w:r w:rsidRPr="00EA1A6D">
        <w:rPr>
          <w:rFonts w:ascii="Arial" w:hAnsi="Arial" w:cs="Arial"/>
          <w:bCs/>
          <w:iCs/>
        </w:rPr>
        <w:t xml:space="preserve">, </w:t>
      </w:r>
      <w:proofErr w:type="spellStart"/>
      <w:r w:rsidRPr="00EA1A6D">
        <w:rPr>
          <w:rFonts w:ascii="Arial" w:hAnsi="Arial" w:cs="Arial"/>
          <w:bCs/>
          <w:iCs/>
        </w:rPr>
        <w:t>Gunungkidul</w:t>
      </w:r>
      <w:proofErr w:type="spellEnd"/>
      <w:r w:rsidRPr="00EA1A6D">
        <w:rPr>
          <w:rFonts w:ascii="Arial" w:hAnsi="Arial" w:cs="Arial"/>
          <w:bCs/>
          <w:iCs/>
        </w:rPr>
        <w:t xml:space="preserve">, Yogyakarta, Indonesia Based on Examination. Journal </w:t>
      </w:r>
      <w:proofErr w:type="spellStart"/>
      <w:r w:rsidRPr="00EA1A6D">
        <w:rPr>
          <w:rFonts w:ascii="Arial" w:hAnsi="Arial" w:cs="Arial"/>
          <w:bCs/>
          <w:iCs/>
        </w:rPr>
        <w:t>eduhealth</w:t>
      </w:r>
      <w:proofErr w:type="spellEnd"/>
      <w:r w:rsidRPr="00EA1A6D">
        <w:rPr>
          <w:rFonts w:ascii="Arial" w:hAnsi="Arial" w:cs="Arial"/>
          <w:bCs/>
          <w:iCs/>
        </w:rPr>
        <w:t xml:space="preserve">, 13(2), 1153-57. Routine Blood. </w:t>
      </w:r>
      <w:hyperlink r:id="rId27" w:history="1">
        <w:r w:rsidR="00410575" w:rsidRPr="00EA1A6D">
          <w:rPr>
            <w:rStyle w:val="Hyperlink"/>
            <w:rFonts w:ascii="Arial" w:hAnsi="Arial" w:cs="Arial"/>
            <w:bCs/>
            <w:iCs/>
            <w:color w:val="auto"/>
          </w:rPr>
          <w:t>https://doi.org/10.54209/jurnaleduhealth.v13i02</w:t>
        </w:r>
      </w:hyperlink>
    </w:p>
    <w:p w14:paraId="6B40F315" w14:textId="0987BF31" w:rsidR="00410575" w:rsidRPr="00EA1A6D" w:rsidRDefault="00C66843" w:rsidP="00090E29">
      <w:pPr>
        <w:pStyle w:val="Body"/>
        <w:rPr>
          <w:rFonts w:ascii="Arial" w:hAnsi="Arial" w:cs="Arial"/>
          <w:bCs/>
          <w:iCs/>
        </w:rPr>
      </w:pPr>
      <w:r w:rsidRPr="00EA1A6D">
        <w:rPr>
          <w:rFonts w:ascii="Arial" w:hAnsi="Arial" w:cs="Arial"/>
          <w:bCs/>
          <w:iCs/>
        </w:rPr>
        <w:t xml:space="preserve">Kusumo, PD., </w:t>
      </w:r>
      <w:proofErr w:type="spellStart"/>
      <w:r w:rsidRPr="00EA1A6D">
        <w:rPr>
          <w:rFonts w:ascii="Arial" w:hAnsi="Arial" w:cs="Arial"/>
          <w:bCs/>
          <w:iCs/>
        </w:rPr>
        <w:t>Surbakti</w:t>
      </w:r>
      <w:proofErr w:type="spellEnd"/>
      <w:r w:rsidRPr="00EA1A6D">
        <w:rPr>
          <w:rFonts w:ascii="Arial" w:hAnsi="Arial" w:cs="Arial"/>
          <w:bCs/>
          <w:iCs/>
        </w:rPr>
        <w:t xml:space="preserve">, A., </w:t>
      </w:r>
      <w:proofErr w:type="spellStart"/>
      <w:r w:rsidRPr="00EA1A6D">
        <w:rPr>
          <w:rFonts w:ascii="Arial" w:hAnsi="Arial" w:cs="Arial"/>
          <w:bCs/>
          <w:iCs/>
        </w:rPr>
        <w:t>Wiharianti</w:t>
      </w:r>
      <w:proofErr w:type="spellEnd"/>
      <w:r w:rsidRPr="00EA1A6D">
        <w:rPr>
          <w:rFonts w:ascii="Arial" w:hAnsi="Arial" w:cs="Arial"/>
          <w:bCs/>
          <w:iCs/>
        </w:rPr>
        <w:t xml:space="preserve">, YV. (2025). Correlation between </w:t>
      </w:r>
      <w:proofErr w:type="spellStart"/>
      <w:r w:rsidRPr="00EA1A6D">
        <w:rPr>
          <w:rFonts w:ascii="Arial" w:hAnsi="Arial" w:cs="Arial"/>
          <w:bCs/>
          <w:iCs/>
        </w:rPr>
        <w:t>macronutrition</w:t>
      </w:r>
      <w:proofErr w:type="spellEnd"/>
      <w:r w:rsidRPr="00EA1A6D">
        <w:rPr>
          <w:rFonts w:ascii="Arial" w:hAnsi="Arial" w:cs="Arial"/>
          <w:bCs/>
          <w:iCs/>
        </w:rPr>
        <w:t xml:space="preserve"> and micronutrition intake in stunting children at </w:t>
      </w:r>
      <w:proofErr w:type="spellStart"/>
      <w:r w:rsidRPr="00EA1A6D">
        <w:rPr>
          <w:rFonts w:ascii="Arial" w:hAnsi="Arial" w:cs="Arial"/>
          <w:bCs/>
          <w:iCs/>
        </w:rPr>
        <w:t>Babakan</w:t>
      </w:r>
      <w:proofErr w:type="spellEnd"/>
      <w:r w:rsidRPr="00EA1A6D">
        <w:rPr>
          <w:rFonts w:ascii="Arial" w:hAnsi="Arial" w:cs="Arial"/>
          <w:bCs/>
          <w:iCs/>
        </w:rPr>
        <w:t xml:space="preserve"> </w:t>
      </w:r>
      <w:proofErr w:type="spellStart"/>
      <w:r w:rsidRPr="00EA1A6D">
        <w:rPr>
          <w:rFonts w:ascii="Arial" w:hAnsi="Arial" w:cs="Arial"/>
          <w:bCs/>
          <w:iCs/>
        </w:rPr>
        <w:t>Mandang</w:t>
      </w:r>
      <w:proofErr w:type="spellEnd"/>
      <w:r w:rsidRPr="00EA1A6D">
        <w:rPr>
          <w:rFonts w:ascii="Arial" w:hAnsi="Arial" w:cs="Arial"/>
          <w:bCs/>
          <w:iCs/>
        </w:rPr>
        <w:t xml:space="preserve"> Region. BIO Web of Conferences 123, 02007, ISOTOBAT 2024. </w:t>
      </w:r>
      <w:hyperlink r:id="rId28" w:history="1">
        <w:r w:rsidRPr="00EA1A6D">
          <w:rPr>
            <w:rStyle w:val="Hyperlink"/>
            <w:rFonts w:ascii="Arial" w:hAnsi="Arial" w:cs="Arial"/>
            <w:bCs/>
            <w:iCs/>
            <w:color w:val="auto"/>
          </w:rPr>
          <w:t>www.bio-conferences.org/articles/bioconf</w:t>
        </w:r>
      </w:hyperlink>
    </w:p>
    <w:p w14:paraId="6B8DDCF9" w14:textId="63071C7F" w:rsidR="00090E29" w:rsidRPr="00EA1A6D" w:rsidRDefault="00090E29" w:rsidP="00090E29">
      <w:pPr>
        <w:pStyle w:val="Body"/>
        <w:rPr>
          <w:rFonts w:ascii="Arial" w:hAnsi="Arial" w:cs="Arial"/>
          <w:bCs/>
          <w:iCs/>
        </w:rPr>
      </w:pPr>
      <w:proofErr w:type="spellStart"/>
      <w:r w:rsidRPr="00EA1A6D">
        <w:rPr>
          <w:rFonts w:ascii="Arial" w:hAnsi="Arial" w:cs="Arial"/>
          <w:bCs/>
          <w:iCs/>
        </w:rPr>
        <w:t>Fitriany</w:t>
      </w:r>
      <w:proofErr w:type="spellEnd"/>
      <w:r w:rsidRPr="00EA1A6D">
        <w:rPr>
          <w:rFonts w:ascii="Arial" w:hAnsi="Arial" w:cs="Arial"/>
          <w:bCs/>
          <w:iCs/>
        </w:rPr>
        <w:t xml:space="preserve">, J., </w:t>
      </w:r>
      <w:proofErr w:type="spellStart"/>
      <w:r w:rsidRPr="00EA1A6D">
        <w:rPr>
          <w:rFonts w:ascii="Arial" w:hAnsi="Arial" w:cs="Arial"/>
          <w:bCs/>
          <w:iCs/>
        </w:rPr>
        <w:t>Saputri</w:t>
      </w:r>
      <w:proofErr w:type="spellEnd"/>
      <w:r w:rsidRPr="00EA1A6D">
        <w:rPr>
          <w:rFonts w:ascii="Arial" w:hAnsi="Arial" w:cs="Arial"/>
          <w:bCs/>
          <w:iCs/>
        </w:rPr>
        <w:t xml:space="preserve">, AI. (2018). Iron deficiency anemia. </w:t>
      </w:r>
      <w:proofErr w:type="spellStart"/>
      <w:r w:rsidRPr="00EA1A6D">
        <w:rPr>
          <w:rFonts w:ascii="Arial" w:hAnsi="Arial" w:cs="Arial"/>
          <w:bCs/>
          <w:iCs/>
        </w:rPr>
        <w:t>Jurnal</w:t>
      </w:r>
      <w:proofErr w:type="spellEnd"/>
      <w:r w:rsidRPr="00EA1A6D">
        <w:rPr>
          <w:rFonts w:ascii="Arial" w:hAnsi="Arial" w:cs="Arial"/>
          <w:bCs/>
          <w:iCs/>
        </w:rPr>
        <w:t xml:space="preserve"> </w:t>
      </w:r>
      <w:proofErr w:type="spellStart"/>
      <w:r w:rsidRPr="00EA1A6D">
        <w:rPr>
          <w:rFonts w:ascii="Arial" w:hAnsi="Arial" w:cs="Arial"/>
          <w:bCs/>
          <w:iCs/>
        </w:rPr>
        <w:t>Averrous</w:t>
      </w:r>
      <w:proofErr w:type="spellEnd"/>
      <w:r w:rsidRPr="00EA1A6D">
        <w:rPr>
          <w:rFonts w:ascii="Arial" w:hAnsi="Arial" w:cs="Arial"/>
          <w:bCs/>
          <w:iCs/>
        </w:rPr>
        <w:t xml:space="preserve">, 4(2), 14 pp. </w:t>
      </w:r>
      <w:hyperlink r:id="rId29" w:history="1">
        <w:r w:rsidR="00410575" w:rsidRPr="00EA1A6D">
          <w:rPr>
            <w:rStyle w:val="Hyperlink"/>
            <w:rFonts w:ascii="Arial" w:hAnsi="Arial" w:cs="Arial"/>
            <w:bCs/>
            <w:iCs/>
            <w:color w:val="auto"/>
          </w:rPr>
          <w:t>https://doi.org/10.29103/averrous.v4i2.1033</w:t>
        </w:r>
      </w:hyperlink>
    </w:p>
    <w:p w14:paraId="3C632296" w14:textId="2F0F972F" w:rsidR="00090E29" w:rsidRPr="00EA1A6D" w:rsidRDefault="00090E29" w:rsidP="00090E29">
      <w:pPr>
        <w:pStyle w:val="Body"/>
        <w:rPr>
          <w:rFonts w:ascii="Arial" w:hAnsi="Arial" w:cs="Arial"/>
          <w:bCs/>
          <w:iCs/>
        </w:rPr>
      </w:pPr>
      <w:proofErr w:type="spellStart"/>
      <w:r w:rsidRPr="00EA1A6D">
        <w:rPr>
          <w:rFonts w:ascii="Arial" w:hAnsi="Arial" w:cs="Arial"/>
          <w:bCs/>
          <w:iCs/>
        </w:rPr>
        <w:t>Purnamim</w:t>
      </w:r>
      <w:proofErr w:type="spellEnd"/>
      <w:r w:rsidRPr="00EA1A6D">
        <w:rPr>
          <w:rFonts w:ascii="Arial" w:hAnsi="Arial" w:cs="Arial"/>
          <w:bCs/>
          <w:iCs/>
        </w:rPr>
        <w:t xml:space="preserve">, G., Praba, K., Fauziah, I., Dewi, M., </w:t>
      </w:r>
      <w:proofErr w:type="spellStart"/>
      <w:r w:rsidRPr="00EA1A6D">
        <w:rPr>
          <w:rFonts w:ascii="Arial" w:hAnsi="Arial" w:cs="Arial"/>
          <w:bCs/>
          <w:iCs/>
        </w:rPr>
        <w:t>Judistiani</w:t>
      </w:r>
      <w:proofErr w:type="spellEnd"/>
      <w:r w:rsidRPr="00EA1A6D">
        <w:rPr>
          <w:rFonts w:ascii="Arial" w:hAnsi="Arial" w:cs="Arial"/>
          <w:bCs/>
          <w:iCs/>
        </w:rPr>
        <w:t xml:space="preserve">, R., </w:t>
      </w:r>
      <w:proofErr w:type="spellStart"/>
      <w:r w:rsidRPr="00EA1A6D">
        <w:rPr>
          <w:rFonts w:ascii="Arial" w:hAnsi="Arial" w:cs="Arial"/>
          <w:bCs/>
          <w:iCs/>
        </w:rPr>
        <w:t>Setiabudiawan</w:t>
      </w:r>
      <w:proofErr w:type="spellEnd"/>
      <w:r w:rsidRPr="00EA1A6D">
        <w:rPr>
          <w:rFonts w:ascii="Arial" w:hAnsi="Arial" w:cs="Arial"/>
          <w:bCs/>
          <w:iCs/>
        </w:rPr>
        <w:t xml:space="preserve">, B. (2023). Anemia Prevalence, Characteristics, and Hematological Profile among Stunted Children Under 2 Years Old in Bandung Regency, Indonesia. Journal of Child Science, 13(1), 75-84. </w:t>
      </w:r>
      <w:hyperlink r:id="rId30" w:history="1">
        <w:r w:rsidR="00410575" w:rsidRPr="00EA1A6D">
          <w:rPr>
            <w:rStyle w:val="Hyperlink"/>
            <w:rFonts w:ascii="Arial" w:hAnsi="Arial" w:cs="Arial"/>
            <w:bCs/>
            <w:iCs/>
            <w:color w:val="auto"/>
          </w:rPr>
          <w:t>http://dx.doi.org/10.1055/s-0043-1769483</w:t>
        </w:r>
      </w:hyperlink>
    </w:p>
    <w:p w14:paraId="42329E26" w14:textId="324022C8" w:rsidR="00090E29" w:rsidRPr="00EA1A6D" w:rsidRDefault="00090E29" w:rsidP="00090E29">
      <w:pPr>
        <w:pStyle w:val="Body"/>
        <w:rPr>
          <w:rFonts w:ascii="Arial" w:hAnsi="Arial" w:cs="Arial"/>
          <w:bCs/>
          <w:iCs/>
        </w:rPr>
      </w:pPr>
      <w:proofErr w:type="spellStart"/>
      <w:r w:rsidRPr="00EA1A6D">
        <w:rPr>
          <w:rFonts w:ascii="Arial" w:hAnsi="Arial" w:cs="Arial"/>
          <w:bCs/>
          <w:iCs/>
        </w:rPr>
        <w:t>Ashorobi</w:t>
      </w:r>
      <w:proofErr w:type="spellEnd"/>
      <w:r w:rsidRPr="00EA1A6D">
        <w:rPr>
          <w:rFonts w:ascii="Arial" w:hAnsi="Arial" w:cs="Arial"/>
          <w:bCs/>
          <w:iCs/>
        </w:rPr>
        <w:t xml:space="preserve">, D., Chhabra, A. Sideroblastic Anemia. [Updated 2023 Jul 17]. In: </w:t>
      </w:r>
      <w:proofErr w:type="spellStart"/>
      <w:r w:rsidRPr="00EA1A6D">
        <w:rPr>
          <w:rFonts w:ascii="Arial" w:hAnsi="Arial" w:cs="Arial"/>
          <w:bCs/>
          <w:iCs/>
        </w:rPr>
        <w:t>StatPearls</w:t>
      </w:r>
      <w:proofErr w:type="spellEnd"/>
      <w:r w:rsidRPr="00EA1A6D">
        <w:rPr>
          <w:rFonts w:ascii="Arial" w:hAnsi="Arial" w:cs="Arial"/>
          <w:bCs/>
          <w:iCs/>
        </w:rPr>
        <w:t xml:space="preserve">. Treasure Island (FL): </w:t>
      </w:r>
      <w:proofErr w:type="spellStart"/>
      <w:r w:rsidRPr="00EA1A6D">
        <w:rPr>
          <w:rFonts w:ascii="Arial" w:hAnsi="Arial" w:cs="Arial"/>
          <w:bCs/>
          <w:iCs/>
        </w:rPr>
        <w:t>StatPearls</w:t>
      </w:r>
      <w:proofErr w:type="spellEnd"/>
      <w:r w:rsidRPr="00EA1A6D">
        <w:rPr>
          <w:rFonts w:ascii="Arial" w:hAnsi="Arial" w:cs="Arial"/>
          <w:bCs/>
          <w:iCs/>
        </w:rPr>
        <w:t xml:space="preserve"> Publishing; 2023 Jan-. Available from: </w:t>
      </w:r>
      <w:hyperlink r:id="rId31" w:history="1">
        <w:r w:rsidR="00C66843" w:rsidRPr="00EA1A6D">
          <w:rPr>
            <w:rStyle w:val="Hyperlink"/>
            <w:rFonts w:ascii="Arial" w:hAnsi="Arial" w:cs="Arial"/>
            <w:bCs/>
            <w:iCs/>
            <w:color w:val="auto"/>
          </w:rPr>
          <w:t>https://www.ncbi.nlm.nih.gov/books/NBK538287/</w:t>
        </w:r>
      </w:hyperlink>
    </w:p>
    <w:p w14:paraId="2AE9E07D" w14:textId="5FFAD869" w:rsidR="00090E29" w:rsidRPr="00EA1A6D" w:rsidRDefault="00090E29" w:rsidP="00090E29">
      <w:pPr>
        <w:pStyle w:val="Body"/>
        <w:rPr>
          <w:rFonts w:ascii="Arial" w:hAnsi="Arial" w:cs="Arial"/>
          <w:bCs/>
          <w:iCs/>
        </w:rPr>
      </w:pPr>
      <w:proofErr w:type="spellStart"/>
      <w:r w:rsidRPr="00EA1A6D">
        <w:rPr>
          <w:rFonts w:ascii="Arial" w:hAnsi="Arial" w:cs="Arial"/>
          <w:bCs/>
          <w:iCs/>
        </w:rPr>
        <w:t>Reviani</w:t>
      </w:r>
      <w:proofErr w:type="spellEnd"/>
      <w:r w:rsidRPr="00EA1A6D">
        <w:rPr>
          <w:rFonts w:ascii="Arial" w:hAnsi="Arial" w:cs="Arial"/>
          <w:bCs/>
          <w:iCs/>
        </w:rPr>
        <w:t xml:space="preserve">, N., </w:t>
      </w:r>
      <w:proofErr w:type="spellStart"/>
      <w:r w:rsidRPr="00EA1A6D">
        <w:rPr>
          <w:rFonts w:ascii="Arial" w:hAnsi="Arial" w:cs="Arial"/>
          <w:bCs/>
          <w:iCs/>
        </w:rPr>
        <w:t>Manalu</w:t>
      </w:r>
      <w:proofErr w:type="spellEnd"/>
      <w:r w:rsidRPr="00EA1A6D">
        <w:rPr>
          <w:rFonts w:ascii="Arial" w:hAnsi="Arial" w:cs="Arial"/>
          <w:bCs/>
          <w:iCs/>
        </w:rPr>
        <w:t>, E., Kusumo, P.D.</w:t>
      </w:r>
      <w:r w:rsidR="00465207" w:rsidRPr="00EA1A6D">
        <w:rPr>
          <w:rFonts w:ascii="Arial" w:hAnsi="Arial" w:cs="Arial"/>
          <w:bCs/>
          <w:iCs/>
        </w:rPr>
        <w:t>,</w:t>
      </w:r>
      <w:r w:rsidRPr="00EA1A6D">
        <w:rPr>
          <w:rFonts w:ascii="Arial" w:hAnsi="Arial" w:cs="Arial"/>
          <w:bCs/>
          <w:iCs/>
        </w:rPr>
        <w:t xml:space="preserve"> W</w:t>
      </w:r>
      <w:r w:rsidR="00465207" w:rsidRPr="00EA1A6D">
        <w:rPr>
          <w:rFonts w:ascii="Arial" w:hAnsi="Arial" w:cs="Arial"/>
          <w:bCs/>
          <w:iCs/>
        </w:rPr>
        <w:t xml:space="preserve">ASH </w:t>
      </w:r>
      <w:r w:rsidRPr="00EA1A6D">
        <w:rPr>
          <w:rFonts w:ascii="Arial" w:hAnsi="Arial" w:cs="Arial"/>
          <w:bCs/>
          <w:iCs/>
        </w:rPr>
        <w:t xml:space="preserve">Practices in Children Stunting in </w:t>
      </w:r>
      <w:proofErr w:type="spellStart"/>
      <w:r w:rsidRPr="00EA1A6D">
        <w:rPr>
          <w:rFonts w:ascii="Arial" w:hAnsi="Arial" w:cs="Arial"/>
          <w:bCs/>
          <w:iCs/>
        </w:rPr>
        <w:t>Babakan</w:t>
      </w:r>
      <w:proofErr w:type="spellEnd"/>
      <w:r w:rsidRPr="00EA1A6D">
        <w:rPr>
          <w:rFonts w:ascii="Arial" w:hAnsi="Arial" w:cs="Arial"/>
          <w:bCs/>
          <w:iCs/>
        </w:rPr>
        <w:t xml:space="preserve"> </w:t>
      </w:r>
      <w:proofErr w:type="spellStart"/>
      <w:r w:rsidRPr="00EA1A6D">
        <w:rPr>
          <w:rFonts w:ascii="Arial" w:hAnsi="Arial" w:cs="Arial"/>
          <w:bCs/>
          <w:iCs/>
        </w:rPr>
        <w:t>Mandang</w:t>
      </w:r>
      <w:proofErr w:type="spellEnd"/>
      <w:r w:rsidRPr="00EA1A6D">
        <w:rPr>
          <w:rFonts w:ascii="Arial" w:hAnsi="Arial" w:cs="Arial"/>
          <w:bCs/>
          <w:iCs/>
        </w:rPr>
        <w:t xml:space="preserve">, Sentul, West Java. (2025). Health and Financial Journal, 2, 303-313. </w:t>
      </w:r>
      <w:hyperlink r:id="rId32" w:history="1">
        <w:r w:rsidR="00C66843" w:rsidRPr="00EA1A6D">
          <w:rPr>
            <w:rStyle w:val="Hyperlink"/>
            <w:rFonts w:ascii="Arial" w:hAnsi="Arial" w:cs="Arial"/>
            <w:bCs/>
            <w:iCs/>
            <w:color w:val="auto"/>
          </w:rPr>
          <w:t>https://ejournal.uki.ac.id/index.php/hfj/article/view/7122/3415</w:t>
        </w:r>
      </w:hyperlink>
    </w:p>
    <w:p w14:paraId="6133EA9F" w14:textId="01EE7994" w:rsidR="00B01FCD" w:rsidRPr="00EA1A6D" w:rsidRDefault="00090E29" w:rsidP="00090E29">
      <w:pPr>
        <w:pStyle w:val="Body"/>
        <w:rPr>
          <w:rFonts w:ascii="Arial" w:hAnsi="Arial" w:cs="Arial"/>
          <w:bCs/>
          <w:iCs/>
        </w:rPr>
      </w:pPr>
      <w:proofErr w:type="spellStart"/>
      <w:r w:rsidRPr="00EA1A6D">
        <w:rPr>
          <w:rFonts w:ascii="Arial" w:hAnsi="Arial" w:cs="Arial"/>
          <w:bCs/>
          <w:iCs/>
        </w:rPr>
        <w:t>Sumartini</w:t>
      </w:r>
      <w:proofErr w:type="spellEnd"/>
      <w:r w:rsidRPr="00EA1A6D">
        <w:rPr>
          <w:rFonts w:ascii="Arial" w:hAnsi="Arial" w:cs="Arial"/>
          <w:bCs/>
          <w:iCs/>
        </w:rPr>
        <w:t xml:space="preserve">, E. (2022). Literature Study: History of Infectious Diseases and Stunting in Toddlers. JKM: </w:t>
      </w:r>
      <w:proofErr w:type="spellStart"/>
      <w:r w:rsidRPr="00EA1A6D">
        <w:rPr>
          <w:rFonts w:ascii="Arial" w:hAnsi="Arial" w:cs="Arial"/>
          <w:bCs/>
          <w:iCs/>
        </w:rPr>
        <w:t>Jurnal</w:t>
      </w:r>
      <w:proofErr w:type="spellEnd"/>
      <w:r w:rsidRPr="00EA1A6D">
        <w:rPr>
          <w:rFonts w:ascii="Arial" w:hAnsi="Arial" w:cs="Arial"/>
          <w:bCs/>
          <w:iCs/>
        </w:rPr>
        <w:t xml:space="preserve"> </w:t>
      </w:r>
      <w:proofErr w:type="spellStart"/>
      <w:r w:rsidRPr="00EA1A6D">
        <w:rPr>
          <w:rFonts w:ascii="Arial" w:hAnsi="Arial" w:cs="Arial"/>
          <w:bCs/>
          <w:iCs/>
        </w:rPr>
        <w:t>Kesehatan</w:t>
      </w:r>
      <w:proofErr w:type="spellEnd"/>
      <w:r w:rsidRPr="00EA1A6D">
        <w:rPr>
          <w:rFonts w:ascii="Arial" w:hAnsi="Arial" w:cs="Arial"/>
          <w:bCs/>
          <w:iCs/>
        </w:rPr>
        <w:t xml:space="preserve"> </w:t>
      </w:r>
      <w:proofErr w:type="spellStart"/>
      <w:r w:rsidRPr="00EA1A6D">
        <w:rPr>
          <w:rFonts w:ascii="Arial" w:hAnsi="Arial" w:cs="Arial"/>
          <w:bCs/>
          <w:iCs/>
        </w:rPr>
        <w:t>Mahardika</w:t>
      </w:r>
      <w:proofErr w:type="spellEnd"/>
      <w:r w:rsidRPr="00EA1A6D">
        <w:rPr>
          <w:rFonts w:ascii="Arial" w:hAnsi="Arial" w:cs="Arial"/>
          <w:bCs/>
          <w:iCs/>
        </w:rPr>
        <w:t xml:space="preserve">, 9(1), 55-62. </w:t>
      </w:r>
      <w:hyperlink r:id="rId33" w:history="1">
        <w:r w:rsidR="00C66843" w:rsidRPr="00EA1A6D">
          <w:rPr>
            <w:rStyle w:val="Hyperlink"/>
            <w:rFonts w:ascii="Arial" w:hAnsi="Arial" w:cs="Arial"/>
            <w:bCs/>
            <w:iCs/>
            <w:color w:val="auto"/>
          </w:rPr>
          <w:t>http://dx.doi.org/10.54867/jkm.v9i1.101</w:t>
        </w:r>
      </w:hyperlink>
    </w:p>
    <w:bookmarkEnd w:id="0"/>
    <w:p w14:paraId="440129A2" w14:textId="77777777" w:rsidR="00C66843" w:rsidRPr="00EA1A6D" w:rsidRDefault="00C66843" w:rsidP="00090E29">
      <w:pPr>
        <w:pStyle w:val="Body"/>
        <w:rPr>
          <w:rFonts w:ascii="Arial" w:hAnsi="Arial" w:cs="Arial"/>
          <w:b/>
        </w:rPr>
      </w:pPr>
    </w:p>
    <w:sectPr w:rsidR="00C66843" w:rsidRPr="00EA1A6D" w:rsidSect="00365806">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7C49A" w14:textId="77777777" w:rsidR="00846AE7" w:rsidRDefault="00846AE7" w:rsidP="00C37E61">
      <w:r>
        <w:separator/>
      </w:r>
    </w:p>
  </w:endnote>
  <w:endnote w:type="continuationSeparator" w:id="0">
    <w:p w14:paraId="61557871" w14:textId="77777777" w:rsidR="00846AE7" w:rsidRDefault="00846A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B07A" w14:textId="77777777" w:rsidR="00365806" w:rsidRDefault="00365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BD9D" w14:textId="77777777" w:rsidR="00365806" w:rsidRDefault="00365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7408" w14:textId="44D62611" w:rsidR="00754C9A" w:rsidRPr="00365806" w:rsidRDefault="00754C9A" w:rsidP="003658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07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E8178" w14:textId="77777777" w:rsidR="00846AE7" w:rsidRDefault="00846AE7" w:rsidP="00C37E61">
      <w:r>
        <w:separator/>
      </w:r>
    </w:p>
  </w:footnote>
  <w:footnote w:type="continuationSeparator" w:id="0">
    <w:p w14:paraId="679A108B" w14:textId="77777777" w:rsidR="00846AE7" w:rsidRDefault="00846A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5214" w14:textId="2A8090DA" w:rsidR="00365806" w:rsidRDefault="00846AE7">
    <w:pPr>
      <w:pStyle w:val="Header"/>
    </w:pPr>
    <w:r>
      <w:rPr>
        <w:noProof/>
      </w:rPr>
      <w:pict w14:anchorId="2A80C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A061" w14:textId="6FA74E1D" w:rsidR="00365806" w:rsidRDefault="00846AE7">
    <w:pPr>
      <w:pStyle w:val="Header"/>
    </w:pPr>
    <w:r>
      <w:rPr>
        <w:noProof/>
      </w:rPr>
      <w:pict w14:anchorId="6AD7B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10EC" w14:textId="71B6E389" w:rsidR="00296529" w:rsidRPr="00296529" w:rsidRDefault="00846AE7" w:rsidP="00296529">
    <w:pPr>
      <w:ind w:left="2160"/>
      <w:jc w:val="center"/>
      <w:rPr>
        <w:rFonts w:ascii="Times New Roman" w:eastAsia="Calibri" w:hAnsi="Times New Roman"/>
        <w:i/>
        <w:sz w:val="18"/>
        <w:szCs w:val="22"/>
      </w:rPr>
    </w:pPr>
    <w:r>
      <w:rPr>
        <w:noProof/>
      </w:rPr>
      <w:pict w14:anchorId="531B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B914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474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9584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F89B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69CC7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D674C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D7A1" w14:textId="5E33D1D3" w:rsidR="00365806" w:rsidRDefault="00846AE7">
    <w:pPr>
      <w:pStyle w:val="Header"/>
    </w:pPr>
    <w:r>
      <w:rPr>
        <w:noProof/>
      </w:rPr>
      <w:pict w14:anchorId="475D3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D15D" w14:textId="331232FD" w:rsidR="00365806" w:rsidRDefault="00846AE7">
    <w:pPr>
      <w:pStyle w:val="Header"/>
    </w:pPr>
    <w:r>
      <w:rPr>
        <w:noProof/>
      </w:rPr>
      <w:pict w14:anchorId="46367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E43C" w14:textId="1251E843" w:rsidR="00365806" w:rsidRDefault="00846AE7">
    <w:pPr>
      <w:pStyle w:val="Header"/>
    </w:pPr>
    <w:r>
      <w:rPr>
        <w:noProof/>
      </w:rPr>
      <w:pict w14:anchorId="5D229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3EA464"/>
    <w:multiLevelType w:val="singleLevel"/>
    <w:tmpl w:val="743EA464"/>
    <w:lvl w:ilvl="0">
      <w:start w:val="1"/>
      <w:numFmt w:val="decimal"/>
      <w:lvlText w:val="%1."/>
      <w:lvlJc w:val="left"/>
      <w:pPr>
        <w:tabs>
          <w:tab w:val="left" w:pos="312"/>
        </w:tabs>
      </w:pPr>
      <w:rPr>
        <w:rFonts w:ascii="Times New Roman" w:hAnsi="Times New Roman" w:cs="Times New Roman" w:hint="default"/>
        <w:b w:val="0"/>
        <w:bCs w:val="0"/>
        <w:sz w:val="18"/>
        <w:szCs w:val="18"/>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79B"/>
    <w:rsid w:val="00030174"/>
    <w:rsid w:val="000415D5"/>
    <w:rsid w:val="0004579C"/>
    <w:rsid w:val="000463F8"/>
    <w:rsid w:val="0004796F"/>
    <w:rsid w:val="00090E29"/>
    <w:rsid w:val="00091D66"/>
    <w:rsid w:val="000A033D"/>
    <w:rsid w:val="000A47FA"/>
    <w:rsid w:val="000A65D3"/>
    <w:rsid w:val="000B1752"/>
    <w:rsid w:val="000B1E33"/>
    <w:rsid w:val="000D689F"/>
    <w:rsid w:val="000E7B7B"/>
    <w:rsid w:val="000E7D62"/>
    <w:rsid w:val="00103357"/>
    <w:rsid w:val="001040C9"/>
    <w:rsid w:val="00123C9F"/>
    <w:rsid w:val="00126190"/>
    <w:rsid w:val="001279CF"/>
    <w:rsid w:val="00130F17"/>
    <w:rsid w:val="001320BF"/>
    <w:rsid w:val="001515B0"/>
    <w:rsid w:val="00156339"/>
    <w:rsid w:val="00163BC4"/>
    <w:rsid w:val="0017401D"/>
    <w:rsid w:val="00183292"/>
    <w:rsid w:val="00191062"/>
    <w:rsid w:val="00192B72"/>
    <w:rsid w:val="001A29D8"/>
    <w:rsid w:val="001A5CAA"/>
    <w:rsid w:val="001B0427"/>
    <w:rsid w:val="001C4EB1"/>
    <w:rsid w:val="001D3A51"/>
    <w:rsid w:val="001E10D2"/>
    <w:rsid w:val="001E25B4"/>
    <w:rsid w:val="001E44FE"/>
    <w:rsid w:val="00200595"/>
    <w:rsid w:val="00204835"/>
    <w:rsid w:val="00205CE1"/>
    <w:rsid w:val="00231920"/>
    <w:rsid w:val="0023195C"/>
    <w:rsid w:val="002368EB"/>
    <w:rsid w:val="0024282C"/>
    <w:rsid w:val="002460DC"/>
    <w:rsid w:val="00250985"/>
    <w:rsid w:val="002556F6"/>
    <w:rsid w:val="002735A2"/>
    <w:rsid w:val="00283105"/>
    <w:rsid w:val="00284C4C"/>
    <w:rsid w:val="00286C39"/>
    <w:rsid w:val="00287E68"/>
    <w:rsid w:val="00296529"/>
    <w:rsid w:val="002A2D33"/>
    <w:rsid w:val="002B1ED8"/>
    <w:rsid w:val="002B27FB"/>
    <w:rsid w:val="002B685A"/>
    <w:rsid w:val="002C5122"/>
    <w:rsid w:val="002C57D2"/>
    <w:rsid w:val="002C58F5"/>
    <w:rsid w:val="002E0D56"/>
    <w:rsid w:val="00315186"/>
    <w:rsid w:val="0033343E"/>
    <w:rsid w:val="003512C2"/>
    <w:rsid w:val="00365806"/>
    <w:rsid w:val="00371FB6"/>
    <w:rsid w:val="003763C1"/>
    <w:rsid w:val="00376BBE"/>
    <w:rsid w:val="0038713F"/>
    <w:rsid w:val="0039224F"/>
    <w:rsid w:val="003A19D3"/>
    <w:rsid w:val="003A43A4"/>
    <w:rsid w:val="003A7E18"/>
    <w:rsid w:val="003B22B3"/>
    <w:rsid w:val="003C4C86"/>
    <w:rsid w:val="003C6258"/>
    <w:rsid w:val="003E2904"/>
    <w:rsid w:val="00400FEB"/>
    <w:rsid w:val="00401927"/>
    <w:rsid w:val="0041027F"/>
    <w:rsid w:val="00410575"/>
    <w:rsid w:val="00412475"/>
    <w:rsid w:val="00423789"/>
    <w:rsid w:val="00440F43"/>
    <w:rsid w:val="00441B6F"/>
    <w:rsid w:val="00446221"/>
    <w:rsid w:val="00450E62"/>
    <w:rsid w:val="004539DB"/>
    <w:rsid w:val="00457305"/>
    <w:rsid w:val="00465207"/>
    <w:rsid w:val="00471A80"/>
    <w:rsid w:val="004825EC"/>
    <w:rsid w:val="004C3C09"/>
    <w:rsid w:val="004D305E"/>
    <w:rsid w:val="004D4277"/>
    <w:rsid w:val="00502516"/>
    <w:rsid w:val="00505F06"/>
    <w:rsid w:val="00506828"/>
    <w:rsid w:val="0053056E"/>
    <w:rsid w:val="00554FDA"/>
    <w:rsid w:val="00557920"/>
    <w:rsid w:val="00586A16"/>
    <w:rsid w:val="005C784C"/>
    <w:rsid w:val="005D17F6"/>
    <w:rsid w:val="005E5539"/>
    <w:rsid w:val="00602BF5"/>
    <w:rsid w:val="00614197"/>
    <w:rsid w:val="00617FDD"/>
    <w:rsid w:val="00633614"/>
    <w:rsid w:val="00633F68"/>
    <w:rsid w:val="00636EB2"/>
    <w:rsid w:val="006375B8"/>
    <w:rsid w:val="00656577"/>
    <w:rsid w:val="0066510A"/>
    <w:rsid w:val="00673F9F"/>
    <w:rsid w:val="00686953"/>
    <w:rsid w:val="00687DEA"/>
    <w:rsid w:val="00687E67"/>
    <w:rsid w:val="006967F7"/>
    <w:rsid w:val="006A250C"/>
    <w:rsid w:val="006B1AB5"/>
    <w:rsid w:val="006B21D3"/>
    <w:rsid w:val="006B4687"/>
    <w:rsid w:val="006B57D0"/>
    <w:rsid w:val="006D30FF"/>
    <w:rsid w:val="006D6940"/>
    <w:rsid w:val="006D6BAC"/>
    <w:rsid w:val="006F11EC"/>
    <w:rsid w:val="006F4FD5"/>
    <w:rsid w:val="0070082C"/>
    <w:rsid w:val="0070622E"/>
    <w:rsid w:val="00724972"/>
    <w:rsid w:val="007369E6"/>
    <w:rsid w:val="0074523E"/>
    <w:rsid w:val="00746E59"/>
    <w:rsid w:val="007541FB"/>
    <w:rsid w:val="00754C9A"/>
    <w:rsid w:val="0075599A"/>
    <w:rsid w:val="00757DBA"/>
    <w:rsid w:val="00761D52"/>
    <w:rsid w:val="00772F61"/>
    <w:rsid w:val="0077749E"/>
    <w:rsid w:val="00790ADA"/>
    <w:rsid w:val="007A3ADC"/>
    <w:rsid w:val="007B6793"/>
    <w:rsid w:val="007D2288"/>
    <w:rsid w:val="007E088F"/>
    <w:rsid w:val="007F74D2"/>
    <w:rsid w:val="007F7B32"/>
    <w:rsid w:val="00804BC2"/>
    <w:rsid w:val="0081431A"/>
    <w:rsid w:val="0082432D"/>
    <w:rsid w:val="0083216F"/>
    <w:rsid w:val="00846AE7"/>
    <w:rsid w:val="00850DE6"/>
    <w:rsid w:val="00860000"/>
    <w:rsid w:val="00863BD3"/>
    <w:rsid w:val="008641ED"/>
    <w:rsid w:val="00866D66"/>
    <w:rsid w:val="008671C6"/>
    <w:rsid w:val="00875803"/>
    <w:rsid w:val="008A7803"/>
    <w:rsid w:val="008B459E"/>
    <w:rsid w:val="008D7EDC"/>
    <w:rsid w:val="008E066F"/>
    <w:rsid w:val="008E13AE"/>
    <w:rsid w:val="008E1506"/>
    <w:rsid w:val="008E710C"/>
    <w:rsid w:val="008F69D6"/>
    <w:rsid w:val="00900B6E"/>
    <w:rsid w:val="00902823"/>
    <w:rsid w:val="00915CA6"/>
    <w:rsid w:val="00927834"/>
    <w:rsid w:val="00932AD1"/>
    <w:rsid w:val="00933CB6"/>
    <w:rsid w:val="00940103"/>
    <w:rsid w:val="00944359"/>
    <w:rsid w:val="009500A6"/>
    <w:rsid w:val="00956784"/>
    <w:rsid w:val="00957C18"/>
    <w:rsid w:val="009659BA"/>
    <w:rsid w:val="00982235"/>
    <w:rsid w:val="00983040"/>
    <w:rsid w:val="009A4261"/>
    <w:rsid w:val="009B3FB9"/>
    <w:rsid w:val="009C1AF6"/>
    <w:rsid w:val="009C2465"/>
    <w:rsid w:val="009D35A0"/>
    <w:rsid w:val="009D7EB7"/>
    <w:rsid w:val="009E048A"/>
    <w:rsid w:val="009E08E9"/>
    <w:rsid w:val="009E3DB9"/>
    <w:rsid w:val="009E6E35"/>
    <w:rsid w:val="009F0EDA"/>
    <w:rsid w:val="00A03B96"/>
    <w:rsid w:val="00A05B19"/>
    <w:rsid w:val="00A1134E"/>
    <w:rsid w:val="00A148C5"/>
    <w:rsid w:val="00A24E7E"/>
    <w:rsid w:val="00A258C3"/>
    <w:rsid w:val="00A347C0"/>
    <w:rsid w:val="00A51431"/>
    <w:rsid w:val="00A539AD"/>
    <w:rsid w:val="00A55D0C"/>
    <w:rsid w:val="00A56805"/>
    <w:rsid w:val="00A94063"/>
    <w:rsid w:val="00AA6219"/>
    <w:rsid w:val="00AA74E0"/>
    <w:rsid w:val="00AB703F"/>
    <w:rsid w:val="00AC6BB8"/>
    <w:rsid w:val="00AD299F"/>
    <w:rsid w:val="00AE008F"/>
    <w:rsid w:val="00B01FCD"/>
    <w:rsid w:val="00B1746D"/>
    <w:rsid w:val="00B1776C"/>
    <w:rsid w:val="00B17EDE"/>
    <w:rsid w:val="00B34724"/>
    <w:rsid w:val="00B52583"/>
    <w:rsid w:val="00B52896"/>
    <w:rsid w:val="00B60D26"/>
    <w:rsid w:val="00B726F5"/>
    <w:rsid w:val="00B854A4"/>
    <w:rsid w:val="00B95236"/>
    <w:rsid w:val="00B954CB"/>
    <w:rsid w:val="00B96BD9"/>
    <w:rsid w:val="00BA1B01"/>
    <w:rsid w:val="00BA2641"/>
    <w:rsid w:val="00BB37AA"/>
    <w:rsid w:val="00BC53A0"/>
    <w:rsid w:val="00BE62AD"/>
    <w:rsid w:val="00BF121F"/>
    <w:rsid w:val="00BF1F80"/>
    <w:rsid w:val="00C166EF"/>
    <w:rsid w:val="00C17EB0"/>
    <w:rsid w:val="00C26387"/>
    <w:rsid w:val="00C27F5F"/>
    <w:rsid w:val="00C30A0F"/>
    <w:rsid w:val="00C37E61"/>
    <w:rsid w:val="00C40D4E"/>
    <w:rsid w:val="00C66843"/>
    <w:rsid w:val="00C70F1B"/>
    <w:rsid w:val="00C71A47"/>
    <w:rsid w:val="00C7464C"/>
    <w:rsid w:val="00C822E7"/>
    <w:rsid w:val="00C85588"/>
    <w:rsid w:val="00C85A22"/>
    <w:rsid w:val="00CA72D5"/>
    <w:rsid w:val="00CC1B23"/>
    <w:rsid w:val="00CD5DA5"/>
    <w:rsid w:val="00CD6755"/>
    <w:rsid w:val="00CD6856"/>
    <w:rsid w:val="00CE0089"/>
    <w:rsid w:val="00CE3D59"/>
    <w:rsid w:val="00CE793C"/>
    <w:rsid w:val="00CF193C"/>
    <w:rsid w:val="00CF78E5"/>
    <w:rsid w:val="00D05630"/>
    <w:rsid w:val="00D056F7"/>
    <w:rsid w:val="00D1172D"/>
    <w:rsid w:val="00D173F1"/>
    <w:rsid w:val="00D23D77"/>
    <w:rsid w:val="00D74CB0"/>
    <w:rsid w:val="00D770A4"/>
    <w:rsid w:val="00D8295D"/>
    <w:rsid w:val="00D87478"/>
    <w:rsid w:val="00DC2A65"/>
    <w:rsid w:val="00DD2631"/>
    <w:rsid w:val="00DE15F0"/>
    <w:rsid w:val="00DE5663"/>
    <w:rsid w:val="00DE78AA"/>
    <w:rsid w:val="00E03A74"/>
    <w:rsid w:val="00E053D0"/>
    <w:rsid w:val="00E15994"/>
    <w:rsid w:val="00E1788F"/>
    <w:rsid w:val="00E3114E"/>
    <w:rsid w:val="00E31A70"/>
    <w:rsid w:val="00E35B02"/>
    <w:rsid w:val="00E53A40"/>
    <w:rsid w:val="00E66496"/>
    <w:rsid w:val="00E66B35"/>
    <w:rsid w:val="00E66E10"/>
    <w:rsid w:val="00E769F6"/>
    <w:rsid w:val="00E8407C"/>
    <w:rsid w:val="00E84F3C"/>
    <w:rsid w:val="00EA012C"/>
    <w:rsid w:val="00EA1A6D"/>
    <w:rsid w:val="00EB2F0F"/>
    <w:rsid w:val="00EC17CE"/>
    <w:rsid w:val="00EC6A55"/>
    <w:rsid w:val="00ED0288"/>
    <w:rsid w:val="00EE52CB"/>
    <w:rsid w:val="00EF581D"/>
    <w:rsid w:val="00EF7FD8"/>
    <w:rsid w:val="00F06F59"/>
    <w:rsid w:val="00F17988"/>
    <w:rsid w:val="00F469F0"/>
    <w:rsid w:val="00F53273"/>
    <w:rsid w:val="00F64739"/>
    <w:rsid w:val="00F755E4"/>
    <w:rsid w:val="00F77D02"/>
    <w:rsid w:val="00F8184D"/>
    <w:rsid w:val="00F83725"/>
    <w:rsid w:val="00F94120"/>
    <w:rsid w:val="00FB3A86"/>
    <w:rsid w:val="00FD36C8"/>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91A7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1">
    <w:name w:val="Plain Table 21"/>
    <w:basedOn w:val="TableNormal"/>
    <w:uiPriority w:val="42"/>
    <w:qFormat/>
    <w:rsid w:val="00724972"/>
    <w:rPr>
      <w:rFonts w:eastAsia="SimSu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qFormat/>
    <w:rsid w:val="00EC17CE"/>
    <w:rPr>
      <w:rFonts w:eastAsia="SimSu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2">
    <w:name w:val="Plain Table 212"/>
    <w:basedOn w:val="TableNormal"/>
    <w:uiPriority w:val="42"/>
    <w:qFormat/>
    <w:rsid w:val="00EC17CE"/>
    <w:rPr>
      <w:rFonts w:eastAsia="SimSu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journal.unair.ac.id/AMNT/article/view/34919" TargetMode="External"/><Relationship Id="rId26" Type="http://schemas.openxmlformats.org/officeDocument/2006/relationships/hyperlink" Target="http://dx.doi.org/10.1016/j.jchb.2013.03.006" TargetMode="External"/><Relationship Id="rId39" Type="http://schemas.openxmlformats.org/officeDocument/2006/relationships/theme" Target="theme/theme1.xml"/><Relationship Id="rId21" Type="http://schemas.openxmlformats.org/officeDocument/2006/relationships/hyperlink" Target="https://journals.plos.org/plosone/article?id=10.1371/journal.pone.025466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cademia.edu/96142689/Kadar_Zat_Besi_Serum_Dan_Hemoglobin_Pada_Anak_Stunting_Dan_Tidak_Stunting_DI_Kabupaten_Seluma" TargetMode="External"/><Relationship Id="rId25" Type="http://schemas.openxmlformats.org/officeDocument/2006/relationships/hyperlink" Target="http://dx.doi.org/10.20473/amnt.v1i2.2017.117-123" TargetMode="External"/><Relationship Id="rId33" Type="http://schemas.openxmlformats.org/officeDocument/2006/relationships/hyperlink" Target="http://dx.doi.org/10.54867/jkm.v9i1.10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badankebijakan.kemkes.go.id/id/eprint/4855/3/Buku%20Saku%20SSGI%202022%20rev%20270123%20OK" TargetMode="External"/><Relationship Id="rId20" Type="http://schemas.openxmlformats.org/officeDocument/2006/relationships/hyperlink" Target="https://doi.org/10.1093/nutrit/nuae063" TargetMode="External"/><Relationship Id="rId29" Type="http://schemas.openxmlformats.org/officeDocument/2006/relationships/hyperlink" Target="https://doi.org/10.29103/averrous.v4i2.1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holar.google.com/scholar?cluster=7668914548444288104&amp;hl=en&amp;oi=scholarr" TargetMode="External"/><Relationship Id="rId32" Type="http://schemas.openxmlformats.org/officeDocument/2006/relationships/hyperlink" Target="https://ejournal.uki.ac.id/index.php/hfj/article/view/7122/3415"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ennonline.net/fex/70/en/2023-joint-malnutrition-estimates" TargetMode="External"/><Relationship Id="rId23" Type="http://schemas.openxmlformats.org/officeDocument/2006/relationships/hyperlink" Target="https://www.sysmex-europe.com/products/products-detail/xn-350/" TargetMode="External"/><Relationship Id="rId28" Type="http://schemas.openxmlformats.org/officeDocument/2006/relationships/hyperlink" Target="http://www.bio-conferences.org/articles/bioconf"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dx.doi.org/10.35910/icohpj.v4i0.919" TargetMode="External"/><Relationship Id="rId31" Type="http://schemas.openxmlformats.org/officeDocument/2006/relationships/hyperlink" Target="https://www.ncbi.nlm.nih.gov/books/NBK53828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a.neliti.com/media/publications/506203-none-d121a65c.pdf" TargetMode="External"/><Relationship Id="rId22" Type="http://schemas.openxmlformats.org/officeDocument/2006/relationships/hyperlink" Target="https://doi.org/10.3390/children11111315" TargetMode="External"/><Relationship Id="rId27" Type="http://schemas.openxmlformats.org/officeDocument/2006/relationships/hyperlink" Target="https://doi.org/10.54209/jurnaleduhealth.v13i02" TargetMode="External"/><Relationship Id="rId30" Type="http://schemas.openxmlformats.org/officeDocument/2006/relationships/hyperlink" Target="http://dx.doi.org/10.1055/s-0043-1769483"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DD192-74A7-4031-AE08-A9E177ABA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8</Pages>
  <Words>3928</Words>
  <Characters>22394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3</cp:revision>
  <cp:lastPrinted>1999-07-06T11:00:00Z</cp:lastPrinted>
  <dcterms:created xsi:type="dcterms:W3CDTF">2025-09-11T05:06:00Z</dcterms:created>
  <dcterms:modified xsi:type="dcterms:W3CDTF">2025-09-12T08:52:00Z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ba2d9ba8-3912-4bda-b7f8-4267549abb0b</vt:lpwstr>
  </property>
</Properties>
</file>