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412" w:rsidRDefault="00D100D2">
      <w:pPr>
        <w:jc w:val="right"/>
        <w:rPr>
          <w:rFonts w:ascii="Arial" w:eastAsia="Arial" w:hAnsi="Arial" w:cs="Arial"/>
          <w:b/>
          <w:sz w:val="36"/>
          <w:szCs w:val="36"/>
        </w:rPr>
      </w:pPr>
      <w:bookmarkStart w:id="0" w:name="_GoBack"/>
      <w:bookmarkEnd w:id="0"/>
      <w:r>
        <w:rPr>
          <w:rFonts w:ascii="Arial" w:eastAsia="Arial" w:hAnsi="Arial" w:cs="Arial"/>
          <w:b/>
          <w:sz w:val="36"/>
          <w:szCs w:val="36"/>
        </w:rPr>
        <w:t>Systematic Review</w:t>
      </w:r>
    </w:p>
    <w:p w:rsidR="00C76412" w:rsidRDefault="00D100D2">
      <w:pPr>
        <w:jc w:val="right"/>
        <w:rPr>
          <w:rFonts w:ascii="Arial" w:eastAsia="Arial" w:hAnsi="Arial" w:cs="Arial"/>
          <w:b/>
          <w:color w:val="000000"/>
          <w:sz w:val="36"/>
          <w:szCs w:val="36"/>
        </w:rPr>
      </w:pPr>
      <w:r>
        <w:rPr>
          <w:rFonts w:ascii="Arial" w:eastAsia="Arial" w:hAnsi="Arial" w:cs="Arial"/>
          <w:b/>
          <w:sz w:val="36"/>
          <w:szCs w:val="36"/>
        </w:rPr>
        <w:t>Hepatoprotective Potential of</w:t>
      </w:r>
      <w:r>
        <w:rPr>
          <w:rFonts w:ascii="Arial" w:eastAsia="Arial" w:hAnsi="Arial" w:cs="Arial"/>
          <w:b/>
          <w:i/>
          <w:sz w:val="36"/>
          <w:szCs w:val="36"/>
        </w:rPr>
        <w:t xml:space="preserve"> </w:t>
      </w:r>
      <w:proofErr w:type="spellStart"/>
      <w:r>
        <w:rPr>
          <w:rFonts w:ascii="Arial" w:eastAsia="Arial" w:hAnsi="Arial" w:cs="Arial"/>
          <w:b/>
          <w:i/>
          <w:sz w:val="36"/>
          <w:szCs w:val="36"/>
        </w:rPr>
        <w:t>Syzygium</w:t>
      </w:r>
      <w:proofErr w:type="spellEnd"/>
      <w:r>
        <w:rPr>
          <w:rFonts w:ascii="Arial" w:eastAsia="Arial" w:hAnsi="Arial" w:cs="Arial"/>
          <w:b/>
          <w:i/>
          <w:sz w:val="36"/>
          <w:szCs w:val="36"/>
        </w:rPr>
        <w:t xml:space="preserve"> </w:t>
      </w:r>
      <w:proofErr w:type="spellStart"/>
      <w:r>
        <w:rPr>
          <w:rFonts w:ascii="Arial" w:eastAsia="Arial" w:hAnsi="Arial" w:cs="Arial"/>
          <w:b/>
          <w:i/>
          <w:sz w:val="36"/>
          <w:szCs w:val="36"/>
        </w:rPr>
        <w:t>cumini</w:t>
      </w:r>
      <w:proofErr w:type="spellEnd"/>
      <w:r>
        <w:rPr>
          <w:rFonts w:ascii="Arial" w:eastAsia="Arial" w:hAnsi="Arial" w:cs="Arial"/>
          <w:b/>
          <w:sz w:val="36"/>
          <w:szCs w:val="36"/>
        </w:rPr>
        <w:t>: A Systematic Review of Animal Models</w:t>
      </w:r>
    </w:p>
    <w:p w:rsidR="00C76412" w:rsidRDefault="00C76412">
      <w:pPr>
        <w:pBdr>
          <w:top w:val="nil"/>
          <w:left w:val="nil"/>
          <w:bottom w:val="nil"/>
          <w:right w:val="nil"/>
          <w:between w:val="nil"/>
        </w:pBdr>
        <w:jc w:val="both"/>
        <w:rPr>
          <w:rFonts w:ascii="Arial" w:eastAsia="Arial" w:hAnsi="Arial" w:cs="Arial"/>
          <w:b/>
          <w:color w:val="000000"/>
          <w:sz w:val="36"/>
          <w:szCs w:val="36"/>
        </w:rPr>
      </w:pPr>
    </w:p>
    <w:p w:rsidR="00C76412" w:rsidRDefault="00D100D2">
      <w:pPr>
        <w:pBdr>
          <w:top w:val="nil"/>
          <w:left w:val="nil"/>
          <w:bottom w:val="nil"/>
          <w:right w:val="nil"/>
          <w:between w:val="nil"/>
        </w:pBdr>
        <w:jc w:val="both"/>
        <w:rPr>
          <w:rFonts w:ascii="Arial" w:eastAsia="Arial" w:hAnsi="Arial" w:cs="Arial"/>
          <w:color w:val="000000"/>
          <w:sz w:val="16"/>
          <w:szCs w:val="16"/>
        </w:rPr>
        <w:sectPr w:rsidR="00C76412">
          <w:headerReference w:type="even" r:id="rId6"/>
          <w:headerReference w:type="default" r:id="rId7"/>
          <w:footerReference w:type="even" r:id="rId8"/>
          <w:footerReference w:type="default" r:id="rId9"/>
          <w:headerReference w:type="first" r:id="rId10"/>
          <w:footerReference w:type="first" r:id="rId11"/>
          <w:pgSz w:w="12240" w:h="15840"/>
          <w:pgMar w:top="1440" w:right="2016" w:bottom="2016" w:left="2016" w:header="720" w:footer="1296" w:gutter="0"/>
          <w:pgNumType w:start="1"/>
          <w:cols w:space="720"/>
        </w:sectPr>
      </w:pPr>
      <w:r>
        <w:rPr>
          <w:rFonts w:ascii="Arial" w:eastAsia="Arial" w:hAnsi="Arial" w:cs="Arial"/>
          <w:noProof/>
          <w:color w:val="000000"/>
          <w:sz w:val="16"/>
          <w:szCs w:val="16"/>
        </w:rPr>
        <mc:AlternateContent>
          <mc:Choice Requires="wpg">
            <w:drawing>
              <wp:inline distT="0" distB="0" distL="114300" distR="114300">
                <wp:extent cx="5322570" cy="38100"/>
                <wp:effectExtent l="0" t="0" r="0" b="0"/>
                <wp:docPr id="1" name="Freeform: Shape 1"/>
                <wp:cNvGraphicFramePr/>
                <a:graphic xmlns:a="http://schemas.openxmlformats.org/drawingml/2006/main">
                  <a:graphicData uri="http://schemas.microsoft.com/office/word/2010/wordprocessingShape">
                    <wps:wsp>
                      <wps:cNvSpPr/>
                      <wps:spPr>
                        <a:xfrm>
                          <a:off x="2694240" y="3780000"/>
                          <a:ext cx="5303520" cy="0"/>
                        </a:xfrm>
                        <a:custGeom>
                          <a:avLst/>
                          <a:gdLst/>
                          <a:ahLst/>
                          <a:cxnLst/>
                          <a:rect l="l" t="t" r="r" b="b"/>
                          <a:pathLst>
                            <a:path w="5303520" h="1" extrusionOk="0">
                              <a:moveTo>
                                <a:pt x="0" y="0"/>
                              </a:moveTo>
                              <a:lnTo>
                                <a:pt x="5303520"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322570" cy="38100"/>
                <wp:effectExtent b="0" l="0" r="0" t="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322570" cy="38100"/>
                        </a:xfrm>
                        <a:prstGeom prst="rect"/>
                        <a:ln/>
                      </pic:spPr>
                    </pic:pic>
                  </a:graphicData>
                </a:graphic>
              </wp:inline>
            </w:drawing>
          </mc:Fallback>
        </mc:AlternateContent>
      </w:r>
      <w:r>
        <w:rPr>
          <w:rFonts w:ascii="Arial" w:eastAsia="Arial" w:hAnsi="Arial" w:cs="Arial"/>
          <w:color w:val="000000"/>
          <w:sz w:val="16"/>
          <w:szCs w:val="16"/>
        </w:rPr>
        <w:t>.</w:t>
      </w:r>
    </w:p>
    <w:p w:rsidR="00C76412" w:rsidRDefault="00D100D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rsidR="00C76412" w:rsidRDefault="00C76412">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C76412">
        <w:tc>
          <w:tcPr>
            <w:tcW w:w="8424" w:type="dxa"/>
            <w:shd w:val="clear" w:color="auto" w:fill="F2F2F2"/>
          </w:tcPr>
          <w:p w:rsidR="00C76412" w:rsidRDefault="00D100D2">
            <w:pPr>
              <w:spacing w:before="240" w:after="240"/>
              <w:jc w:val="both"/>
              <w:rPr>
                <w:rFonts w:ascii="Arial" w:eastAsia="Arial" w:hAnsi="Arial" w:cs="Arial"/>
              </w:rPr>
            </w:pPr>
            <w:r>
              <w:rPr>
                <w:rFonts w:ascii="Arial" w:eastAsia="Arial" w:hAnsi="Arial" w:cs="Arial"/>
                <w:b/>
              </w:rPr>
              <w:t>Aims:</w:t>
            </w:r>
            <w:r>
              <w:rPr>
                <w:rFonts w:ascii="Arial" w:eastAsia="Arial" w:hAnsi="Arial" w:cs="Arial"/>
              </w:rPr>
              <w:t xml:space="preserve"> This study aimed to systematically evaluate the hepatoprotective properties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in experimental models of liver injury, focusing on biochemical, oxidative, inflammatory, and histopathological outcomes.</w:t>
            </w:r>
          </w:p>
          <w:p w:rsidR="00C76412" w:rsidRDefault="00D100D2">
            <w:pPr>
              <w:spacing w:before="240" w:after="240"/>
              <w:jc w:val="both"/>
              <w:rPr>
                <w:rFonts w:ascii="Arial" w:eastAsia="Arial" w:hAnsi="Arial" w:cs="Arial"/>
              </w:rPr>
            </w:pPr>
            <w:r>
              <w:rPr>
                <w:rFonts w:ascii="Arial" w:eastAsia="Arial" w:hAnsi="Arial" w:cs="Arial"/>
                <w:b/>
              </w:rPr>
              <w:t>Study design:</w:t>
            </w:r>
            <w:r>
              <w:rPr>
                <w:rFonts w:ascii="Arial" w:eastAsia="Arial" w:hAnsi="Arial" w:cs="Arial"/>
              </w:rPr>
              <w:t xml:space="preserve"> Systemat</w:t>
            </w:r>
            <w:r>
              <w:rPr>
                <w:rFonts w:ascii="Arial" w:eastAsia="Arial" w:hAnsi="Arial" w:cs="Arial"/>
              </w:rPr>
              <w:t>ic review conducted in accordance with PRISMA 2020 recommendations; protocol registered in PROSPERO (CRD42024556476).</w:t>
            </w:r>
          </w:p>
          <w:p w:rsidR="00C76412" w:rsidRDefault="00D100D2">
            <w:pPr>
              <w:spacing w:before="240" w:after="240"/>
              <w:jc w:val="both"/>
              <w:rPr>
                <w:rFonts w:ascii="Arial" w:eastAsia="Arial" w:hAnsi="Arial" w:cs="Arial"/>
              </w:rPr>
            </w:pPr>
            <w:r>
              <w:rPr>
                <w:rFonts w:ascii="Arial" w:eastAsia="Arial" w:hAnsi="Arial" w:cs="Arial"/>
                <w:b/>
              </w:rPr>
              <w:t>Place and Duration of Study:</w:t>
            </w:r>
            <w:r>
              <w:rPr>
                <w:rFonts w:ascii="Arial" w:eastAsia="Arial" w:hAnsi="Arial" w:cs="Arial"/>
              </w:rPr>
              <w:t xml:space="preserve"> Comprehensive searches were performed in PubMed, Scopus, Web of Science, and ScienceDirect covering studies p</w:t>
            </w:r>
            <w:r>
              <w:rPr>
                <w:rFonts w:ascii="Arial" w:eastAsia="Arial" w:hAnsi="Arial" w:cs="Arial"/>
              </w:rPr>
              <w:t>ublished up to January 2025.</w:t>
            </w:r>
          </w:p>
          <w:p w:rsidR="00C76412" w:rsidRDefault="00D100D2">
            <w:pPr>
              <w:spacing w:before="240" w:after="240"/>
              <w:jc w:val="both"/>
              <w:rPr>
                <w:rFonts w:ascii="Arial" w:eastAsia="Arial" w:hAnsi="Arial" w:cs="Arial"/>
              </w:rPr>
            </w:pPr>
            <w:r>
              <w:rPr>
                <w:rFonts w:ascii="Arial" w:eastAsia="Arial" w:hAnsi="Arial" w:cs="Arial"/>
                <w:b/>
              </w:rPr>
              <w:t>Methodology:</w:t>
            </w:r>
            <w:r>
              <w:rPr>
                <w:rFonts w:ascii="Arial" w:eastAsia="Arial" w:hAnsi="Arial" w:cs="Arial"/>
              </w:rPr>
              <w:t xml:space="preserve"> Eligible studies included in vivo experiments in rodents with induced hepatotoxicity (carbon tetrachloride, ethanol, acetaminophen, high-fat/high-carbohydrate diet, alloxan-induced diabetes, monosodium glutamate-in</w:t>
            </w:r>
            <w:r>
              <w:rPr>
                <w:rFonts w:ascii="Arial" w:eastAsia="Arial" w:hAnsi="Arial" w:cs="Arial"/>
              </w:rPr>
              <w:t xml:space="preserve">duced obesity, and Triton WR1339 hyperlipidemia). Extracts of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(aqueous, ethanolic, hydroalcoholic, and methanolic, from seeds or leaves) were administered at doses ranging from 200 mg/kg to 0.9 g/kg/day for periods varying from single exposure to</w:t>
            </w:r>
            <w:r>
              <w:rPr>
                <w:rFonts w:ascii="Arial" w:eastAsia="Arial" w:hAnsi="Arial" w:cs="Arial"/>
              </w:rPr>
              <w:t xml:space="preserve"> eight weeks. Outcomes comprised serum biomarkers (ALT, AST, bilirubin), inflammatory mediators (TNF-α, IL-6), oxidative stress markers (MDA, SOD), and histological alterations. Risk of bias was assessed using CAMARADES and SYRCLE tools.</w:t>
            </w:r>
          </w:p>
          <w:p w:rsidR="00C76412" w:rsidRDefault="00D100D2">
            <w:pPr>
              <w:spacing w:before="240" w:after="240"/>
              <w:jc w:val="both"/>
              <w:rPr>
                <w:rFonts w:ascii="Arial" w:eastAsia="Arial" w:hAnsi="Arial" w:cs="Arial"/>
              </w:rPr>
            </w:pPr>
            <w:r>
              <w:rPr>
                <w:rFonts w:ascii="Arial" w:eastAsia="Arial" w:hAnsi="Arial" w:cs="Arial"/>
                <w:b/>
              </w:rPr>
              <w:t>Results:</w:t>
            </w:r>
            <w:r>
              <w:rPr>
                <w:rFonts w:ascii="Arial" w:eastAsia="Arial" w:hAnsi="Arial" w:cs="Arial"/>
              </w:rPr>
              <w:t xml:space="preserve"> Ten studies fulfilled the inclusion criteria. Most reported reductions in transaminase activity, attenuation of oxidative stress and pro-inflammatory mediators, and improvement in liver architecture, including reduced vacuolization, steatosis, inflammatio</w:t>
            </w:r>
            <w:r>
              <w:rPr>
                <w:rFonts w:ascii="Arial" w:eastAsia="Arial" w:hAnsi="Arial" w:cs="Arial"/>
              </w:rPr>
              <w:t xml:space="preserve">n, and fibrosis. However, heterogeneity in extract type and dosing was evident, and in some protocols higher doses not only failed to confer benefit but were associated with aggravation of hepatic injury. Methodological limitations, particularly regarding </w:t>
            </w:r>
            <w:r>
              <w:rPr>
                <w:rFonts w:ascii="Arial" w:eastAsia="Arial" w:hAnsi="Arial" w:cs="Arial"/>
              </w:rPr>
              <w:t>randomization and blinding, were frequent.</w:t>
            </w:r>
          </w:p>
          <w:p w:rsidR="00C76412" w:rsidRDefault="00D100D2">
            <w:pPr>
              <w:spacing w:before="240" w:after="240"/>
              <w:jc w:val="both"/>
              <w:rPr>
                <w:rFonts w:ascii="Arial" w:eastAsia="Arial" w:hAnsi="Arial" w:cs="Arial"/>
              </w:rPr>
            </w:pPr>
            <w:r>
              <w:rPr>
                <w:rFonts w:ascii="Arial" w:eastAsia="Arial" w:hAnsi="Arial" w:cs="Arial"/>
                <w:b/>
              </w:rPr>
              <w:t>Conclusion:</w:t>
            </w:r>
            <w:r>
              <w:rPr>
                <w:rFonts w:ascii="Arial" w:eastAsia="Arial" w:hAnsi="Arial" w:cs="Arial"/>
              </w:rPr>
              <w:t xml:space="preserve"> Current evidence suggests that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exerts hepatoprotective effects in preclinical models, primarily through antioxidant and anti-inflammatory mechanisms. Nevertheless, significant heterogeneity a</w:t>
            </w:r>
            <w:r>
              <w:rPr>
                <w:rFonts w:ascii="Arial" w:eastAsia="Arial" w:hAnsi="Arial" w:cs="Arial"/>
              </w:rPr>
              <w:t>cross studies and overall limited methodological rigor prevent definitive conclusions. Standardized experimental protocols and well-designed clinical investigations are required before translation to therapeutic use in humans.</w:t>
            </w:r>
          </w:p>
        </w:tc>
      </w:tr>
    </w:tbl>
    <w:p w:rsidR="00C76412" w:rsidRDefault="00C76412">
      <w:pPr>
        <w:pBdr>
          <w:top w:val="nil"/>
          <w:left w:val="nil"/>
          <w:bottom w:val="nil"/>
          <w:right w:val="nil"/>
          <w:between w:val="nil"/>
        </w:pBdr>
        <w:jc w:val="both"/>
        <w:rPr>
          <w:rFonts w:ascii="Arial" w:eastAsia="Arial" w:hAnsi="Arial" w:cs="Arial"/>
          <w:i/>
          <w:color w:val="000000"/>
        </w:rPr>
      </w:pPr>
    </w:p>
    <w:p w:rsidR="00C76412" w:rsidRDefault="00D100D2">
      <w:pPr>
        <w:pBdr>
          <w:top w:val="nil"/>
          <w:left w:val="nil"/>
          <w:bottom w:val="nil"/>
          <w:right w:val="nil"/>
          <w:between w:val="nil"/>
        </w:pBdr>
        <w:jc w:val="both"/>
        <w:rPr>
          <w:rFonts w:ascii="Arial" w:eastAsia="Arial" w:hAnsi="Arial" w:cs="Arial"/>
          <w:i/>
          <w:color w:val="000000"/>
          <w:sz w:val="18"/>
          <w:szCs w:val="18"/>
        </w:rPr>
      </w:pPr>
      <w:r>
        <w:rPr>
          <w:rFonts w:ascii="Arial" w:eastAsia="Arial" w:hAnsi="Arial" w:cs="Arial"/>
          <w:b/>
          <w:i/>
        </w:rPr>
        <w:t>Keywords:</w:t>
      </w:r>
      <w:r>
        <w:rPr>
          <w:rFonts w:ascii="Arial" w:eastAsia="Arial" w:hAnsi="Arial" w:cs="Arial"/>
          <w:i/>
        </w:rPr>
        <w:t xml:space="preserve">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i/>
        </w:rPr>
        <w:t>; hepatoprotection; experimental models; liver injury; oxidative stress; inflammation.</w:t>
      </w:r>
    </w:p>
    <w:p w:rsidR="00C76412" w:rsidRDefault="00C76412">
      <w:pPr>
        <w:pBdr>
          <w:top w:val="nil"/>
          <w:left w:val="nil"/>
          <w:bottom w:val="nil"/>
          <w:right w:val="nil"/>
          <w:between w:val="nil"/>
        </w:pBdr>
        <w:jc w:val="both"/>
        <w:rPr>
          <w:rFonts w:ascii="Arial" w:eastAsia="Arial" w:hAnsi="Arial" w:cs="Arial"/>
          <w:i/>
          <w:color w:val="000000"/>
          <w:sz w:val="18"/>
          <w:szCs w:val="18"/>
        </w:rPr>
      </w:pPr>
    </w:p>
    <w:p w:rsidR="00C76412" w:rsidRDefault="00C76412">
      <w:pPr>
        <w:pBdr>
          <w:top w:val="nil"/>
          <w:left w:val="nil"/>
          <w:bottom w:val="nil"/>
          <w:right w:val="nil"/>
          <w:between w:val="nil"/>
        </w:pBdr>
        <w:jc w:val="both"/>
        <w:rPr>
          <w:rFonts w:ascii="Arial" w:eastAsia="Arial" w:hAnsi="Arial" w:cs="Arial"/>
          <w:i/>
          <w:color w:val="000000"/>
        </w:rPr>
      </w:pPr>
    </w:p>
    <w:p w:rsidR="00C76412" w:rsidRDefault="00D100D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lastRenderedPageBreak/>
        <w:t xml:space="preserve">1. INTRODUCTION </w:t>
      </w:r>
    </w:p>
    <w:p w:rsidR="00C76412" w:rsidRDefault="00C76412">
      <w:pPr>
        <w:keepNext/>
        <w:pBdr>
          <w:top w:val="nil"/>
          <w:left w:val="nil"/>
          <w:bottom w:val="nil"/>
          <w:right w:val="nil"/>
          <w:between w:val="nil"/>
        </w:pBdr>
        <w:jc w:val="both"/>
        <w:rPr>
          <w:rFonts w:ascii="Arial" w:eastAsia="Arial" w:hAnsi="Arial" w:cs="Arial"/>
          <w:b/>
          <w:smallCaps/>
          <w:color w:val="000000"/>
          <w:sz w:val="22"/>
          <w:szCs w:val="22"/>
        </w:rPr>
      </w:pPr>
    </w:p>
    <w:p w:rsidR="00C76412" w:rsidRDefault="00D100D2">
      <w:pPr>
        <w:spacing w:before="240" w:after="240"/>
        <w:ind w:firstLine="720"/>
        <w:jc w:val="both"/>
        <w:rPr>
          <w:rFonts w:ascii="Arial" w:eastAsia="Arial" w:hAnsi="Arial" w:cs="Arial"/>
        </w:rPr>
      </w:pPr>
      <w:r>
        <w:rPr>
          <w:rFonts w:ascii="Arial" w:eastAsia="Arial" w:hAnsi="Arial" w:cs="Arial"/>
        </w:rPr>
        <w:t>Chronic liver diseases associated with factors such as obesity, diabetes, excessive alcohol consumption and exposure to environmental</w:t>
      </w:r>
      <w:r>
        <w:rPr>
          <w:rFonts w:ascii="Arial" w:eastAsia="Arial" w:hAnsi="Arial" w:cs="Arial"/>
        </w:rPr>
        <w:t xml:space="preserve"> toxins, represent a growing public health challenge. Metabolic-associated fatty liver disease and chemically induced liver injury are particularly relevant due to their high prevalence and significant impact on morbidity and mortality. Liver disease accou</w:t>
      </w:r>
      <w:r>
        <w:rPr>
          <w:rFonts w:ascii="Arial" w:eastAsia="Arial" w:hAnsi="Arial" w:cs="Arial"/>
        </w:rPr>
        <w:t>nts for approximately two million deaths annually, with complications such as cirrhosis and hepatocellular carcinoma being the main causes of mortality (</w:t>
      </w:r>
      <w:proofErr w:type="spellStart"/>
      <w:r>
        <w:rPr>
          <w:rFonts w:ascii="Arial" w:eastAsia="Arial" w:hAnsi="Arial" w:cs="Arial"/>
        </w:rPr>
        <w:t>Devarbhav</w:t>
      </w:r>
      <w:proofErr w:type="spellEnd"/>
      <w:r>
        <w:rPr>
          <w:rFonts w:ascii="Arial" w:eastAsia="Arial" w:hAnsi="Arial" w:cs="Arial"/>
        </w:rPr>
        <w:t xml:space="preserve"> et al., 2023). Despite advances in the understanding of underlying mechanisms, therapeutic op</w:t>
      </w:r>
      <w:r>
        <w:rPr>
          <w:rFonts w:ascii="Arial" w:eastAsia="Arial" w:hAnsi="Arial" w:cs="Arial"/>
        </w:rPr>
        <w:t>tions remain limited, highlighting the urgent need for novel and safe approaches for the effective management of liver disorders.</w:t>
      </w:r>
    </w:p>
    <w:p w:rsidR="00C76412" w:rsidRDefault="00D100D2">
      <w:pPr>
        <w:spacing w:before="240" w:after="240"/>
        <w:ind w:firstLine="720"/>
        <w:jc w:val="both"/>
        <w:rPr>
          <w:rFonts w:ascii="Arial" w:eastAsia="Arial" w:hAnsi="Arial" w:cs="Arial"/>
        </w:rPr>
      </w:pPr>
      <w:r>
        <w:rPr>
          <w:rFonts w:ascii="Arial" w:eastAsia="Arial" w:hAnsi="Arial" w:cs="Arial"/>
        </w:rPr>
        <w:t>Plant-derived bioactive compounds have been extensively investigated for their hepatoprotective potential, particularly due to</w:t>
      </w:r>
      <w:r>
        <w:rPr>
          <w:rFonts w:ascii="Arial" w:eastAsia="Arial" w:hAnsi="Arial" w:cs="Arial"/>
        </w:rPr>
        <w:t xml:space="preserve"> their antioxidant, anti-inflammatory, and metabolic-modulating properties (</w:t>
      </w:r>
      <w:proofErr w:type="spellStart"/>
      <w:r>
        <w:rPr>
          <w:rFonts w:ascii="Arial" w:eastAsia="Arial" w:hAnsi="Arial" w:cs="Arial"/>
        </w:rPr>
        <w:t>Abenavoli</w:t>
      </w:r>
      <w:proofErr w:type="spellEnd"/>
      <w:r>
        <w:rPr>
          <w:rFonts w:ascii="Arial" w:eastAsia="Arial" w:hAnsi="Arial" w:cs="Arial"/>
        </w:rPr>
        <w:t xml:space="preserve"> et al., 2016; Wang et al., 2021).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traditionally used in folk medicine, contains polyphenols, flavonoids and anthocyanins compounds that have demonstrated</w:t>
      </w:r>
      <w:r>
        <w:rPr>
          <w:rFonts w:ascii="Arial" w:eastAsia="Arial" w:hAnsi="Arial" w:cs="Arial"/>
        </w:rPr>
        <w:t xml:space="preserve"> promising hepatoprotective effects in experimental models (Manu et al., 2022; Hossain et al., 2011). Preclinical studies suggest that its extracts may reduce oxidative stress, modulate inflammatory pathways, and improve lipid and glycemic homeostasis, ind</w:t>
      </w:r>
      <w:r>
        <w:rPr>
          <w:rFonts w:ascii="Arial" w:eastAsia="Arial" w:hAnsi="Arial" w:cs="Arial"/>
        </w:rPr>
        <w:t>icating a potential therapeutic role in chronic liver disorders (Souza et al., 2017).</w:t>
      </w:r>
    </w:p>
    <w:p w:rsidR="00C76412" w:rsidRDefault="00D100D2">
      <w:pPr>
        <w:spacing w:before="240" w:after="240"/>
        <w:ind w:firstLine="720"/>
        <w:jc w:val="both"/>
        <w:rPr>
          <w:rFonts w:ascii="Arial" w:eastAsia="Arial" w:hAnsi="Arial" w:cs="Arial"/>
        </w:rPr>
      </w:pPr>
      <w:r>
        <w:rPr>
          <w:rFonts w:ascii="Arial" w:eastAsia="Arial" w:hAnsi="Arial" w:cs="Arial"/>
        </w:rPr>
        <w:t xml:space="preserve">However, despite these experimental findings, no systematic review has consolidated the evidence regarding the effects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on experimental liver injury. Va</w:t>
      </w:r>
      <w:r>
        <w:rPr>
          <w:rFonts w:ascii="Arial" w:eastAsia="Arial" w:hAnsi="Arial" w:cs="Arial"/>
        </w:rPr>
        <w:t>riations in protocols, doses and evaluated biomarkers may compromise the comparability of results and the reliability of interpretations.</w:t>
      </w:r>
    </w:p>
    <w:p w:rsidR="00C76412" w:rsidRDefault="00D100D2">
      <w:pPr>
        <w:spacing w:before="240" w:after="240"/>
        <w:ind w:firstLine="720"/>
        <w:jc w:val="both"/>
        <w:rPr>
          <w:rFonts w:ascii="Arial" w:eastAsia="Arial" w:hAnsi="Arial" w:cs="Arial"/>
        </w:rPr>
      </w:pPr>
      <w:r>
        <w:rPr>
          <w:rFonts w:ascii="Arial" w:eastAsia="Arial" w:hAnsi="Arial" w:cs="Arial"/>
        </w:rPr>
        <w:t xml:space="preserve">In this context, we conducted a systematic review to evaluate the effects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in animal models of liver</w:t>
      </w:r>
      <w:r>
        <w:rPr>
          <w:rFonts w:ascii="Arial" w:eastAsia="Arial" w:hAnsi="Arial" w:cs="Arial"/>
        </w:rPr>
        <w:t xml:space="preserve"> injury, comparing its impact on hepatic biomarkers with control groups. Furthermore, we analyzed methodological heterogeneity and risk of bias using validated tools for preclinical studies. This critical synthesis aims to provide a foundation for future i</w:t>
      </w:r>
      <w:r>
        <w:rPr>
          <w:rFonts w:ascii="Arial" w:eastAsia="Arial" w:hAnsi="Arial" w:cs="Arial"/>
        </w:rPr>
        <w:t xml:space="preserve">nvestigations and potential therapeutic applications of this </w:t>
      </w:r>
      <w:proofErr w:type="spellStart"/>
      <w:r>
        <w:rPr>
          <w:rFonts w:ascii="Arial" w:eastAsia="Arial" w:hAnsi="Arial" w:cs="Arial"/>
        </w:rPr>
        <w:t>phytotherapeutic</w:t>
      </w:r>
      <w:proofErr w:type="spellEnd"/>
      <w:r>
        <w:rPr>
          <w:rFonts w:ascii="Arial" w:eastAsia="Arial" w:hAnsi="Arial" w:cs="Arial"/>
        </w:rPr>
        <w:t xml:space="preserve"> agent in the context of liver diseases.</w:t>
      </w:r>
    </w:p>
    <w:p w:rsidR="00C76412" w:rsidRDefault="00C76412">
      <w:pPr>
        <w:pBdr>
          <w:top w:val="nil"/>
          <w:left w:val="nil"/>
          <w:bottom w:val="nil"/>
          <w:right w:val="nil"/>
          <w:between w:val="nil"/>
        </w:pBdr>
        <w:jc w:val="both"/>
        <w:rPr>
          <w:rFonts w:ascii="Arial" w:eastAsia="Arial" w:hAnsi="Arial" w:cs="Arial"/>
          <w:color w:val="000000"/>
        </w:rPr>
      </w:pPr>
    </w:p>
    <w:p w:rsidR="00C76412" w:rsidRDefault="00D100D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material and methods / experimental details / methodology </w:t>
      </w:r>
    </w:p>
    <w:p w:rsidR="00C76412" w:rsidRDefault="00C76412">
      <w:pPr>
        <w:keepNext/>
        <w:pBdr>
          <w:top w:val="nil"/>
          <w:left w:val="nil"/>
          <w:bottom w:val="nil"/>
          <w:right w:val="nil"/>
          <w:between w:val="nil"/>
        </w:pBdr>
        <w:jc w:val="both"/>
        <w:rPr>
          <w:rFonts w:ascii="Arial" w:eastAsia="Arial" w:hAnsi="Arial" w:cs="Arial"/>
          <w:b/>
          <w:smallCaps/>
          <w:color w:val="000000"/>
          <w:sz w:val="22"/>
          <w:szCs w:val="22"/>
        </w:rPr>
      </w:pPr>
    </w:p>
    <w:p w:rsidR="00C76412" w:rsidRDefault="00D100D2">
      <w:pPr>
        <w:pStyle w:val="Heading3"/>
        <w:keepNext w:val="0"/>
        <w:keepLines w:val="0"/>
        <w:ind w:firstLine="720"/>
        <w:jc w:val="both"/>
        <w:rPr>
          <w:rFonts w:ascii="Arial" w:eastAsia="Arial" w:hAnsi="Arial" w:cs="Arial"/>
          <w:sz w:val="22"/>
          <w:szCs w:val="22"/>
        </w:rPr>
      </w:pPr>
      <w:bookmarkStart w:id="1" w:name="_4abuyo4c94sn" w:colFirst="0" w:colLast="0"/>
      <w:bookmarkEnd w:id="1"/>
      <w:r>
        <w:rPr>
          <w:rFonts w:ascii="Arial" w:eastAsia="Arial" w:hAnsi="Arial" w:cs="Arial"/>
          <w:sz w:val="22"/>
          <w:szCs w:val="22"/>
        </w:rPr>
        <w:t>2.1 Study Design</w:t>
      </w:r>
    </w:p>
    <w:p w:rsidR="00C76412" w:rsidRDefault="00D100D2">
      <w:pPr>
        <w:spacing w:before="240" w:after="240"/>
        <w:ind w:firstLine="720"/>
        <w:jc w:val="both"/>
        <w:rPr>
          <w:rFonts w:ascii="Arial" w:eastAsia="Arial" w:hAnsi="Arial" w:cs="Arial"/>
        </w:rPr>
      </w:pPr>
      <w:r>
        <w:rPr>
          <w:rFonts w:ascii="Arial" w:eastAsia="Arial" w:hAnsi="Arial" w:cs="Arial"/>
        </w:rPr>
        <w:t>This systematic review was conducted according to the PRISMA 2020 (Preferred Reporting Items for Systematic Reviews and Meta-Analyses) guidelines, ensuring methodological transparency and rigor. The protocol was prospectively registered in the PROSPERO dat</w:t>
      </w:r>
      <w:r>
        <w:rPr>
          <w:rFonts w:ascii="Arial" w:eastAsia="Arial" w:hAnsi="Arial" w:cs="Arial"/>
        </w:rPr>
        <w:t>abase under the registration number CRD42024556476.</w:t>
      </w:r>
    </w:p>
    <w:p w:rsidR="00C76412" w:rsidRDefault="00C76412">
      <w:pPr>
        <w:spacing w:before="240" w:after="240"/>
        <w:ind w:firstLine="720"/>
        <w:jc w:val="both"/>
        <w:rPr>
          <w:rFonts w:ascii="Arial" w:eastAsia="Arial" w:hAnsi="Arial" w:cs="Arial"/>
        </w:rPr>
      </w:pPr>
    </w:p>
    <w:p w:rsidR="00C76412" w:rsidRDefault="00C76412">
      <w:pPr>
        <w:spacing w:before="240" w:after="240"/>
        <w:ind w:firstLine="720"/>
        <w:jc w:val="both"/>
        <w:rPr>
          <w:rFonts w:ascii="Arial" w:eastAsia="Arial" w:hAnsi="Arial" w:cs="Arial"/>
        </w:rPr>
      </w:pPr>
    </w:p>
    <w:p w:rsidR="00C76412" w:rsidRDefault="00C76412">
      <w:pPr>
        <w:spacing w:before="240" w:after="240"/>
        <w:ind w:firstLine="720"/>
        <w:jc w:val="both"/>
        <w:rPr>
          <w:rFonts w:ascii="Arial" w:eastAsia="Arial" w:hAnsi="Arial" w:cs="Arial"/>
        </w:rPr>
      </w:pPr>
    </w:p>
    <w:p w:rsidR="00C76412" w:rsidRDefault="00D100D2">
      <w:pPr>
        <w:spacing w:before="240" w:after="240" w:line="276" w:lineRule="auto"/>
        <w:ind w:firstLine="720"/>
        <w:jc w:val="both"/>
        <w:rPr>
          <w:rFonts w:ascii="Arial" w:eastAsia="Arial" w:hAnsi="Arial" w:cs="Arial"/>
        </w:rPr>
      </w:pPr>
      <w:r>
        <w:rPr>
          <w:rFonts w:ascii="Arial" w:eastAsia="Arial" w:hAnsi="Arial" w:cs="Arial"/>
          <w:b/>
        </w:rPr>
        <w:lastRenderedPageBreak/>
        <w:t xml:space="preserve">Figure 1. </w:t>
      </w:r>
      <w:r>
        <w:rPr>
          <w:rFonts w:ascii="Arial" w:eastAsia="Arial" w:hAnsi="Arial" w:cs="Arial"/>
        </w:rPr>
        <w:t>PRISMA flow diagram of study selection</w:t>
      </w:r>
    </w:p>
    <w:p w:rsidR="00C76412" w:rsidRDefault="00D100D2">
      <w:pPr>
        <w:spacing w:before="240" w:after="240"/>
        <w:jc w:val="both"/>
        <w:rPr>
          <w:rFonts w:ascii="Arial" w:eastAsia="Arial" w:hAnsi="Arial" w:cs="Arial"/>
        </w:rPr>
      </w:pPr>
      <w:r>
        <w:rPr>
          <w:rFonts w:ascii="Arial" w:eastAsia="Arial" w:hAnsi="Arial" w:cs="Arial"/>
          <w:noProof/>
        </w:rPr>
        <w:drawing>
          <wp:inline distT="114300" distB="114300" distL="114300" distR="114300">
            <wp:extent cx="5209540" cy="5588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209540" cy="5588000"/>
                    </a:xfrm>
                    <a:prstGeom prst="rect">
                      <a:avLst/>
                    </a:prstGeom>
                    <a:ln/>
                  </pic:spPr>
                </pic:pic>
              </a:graphicData>
            </a:graphic>
          </wp:inline>
        </w:drawing>
      </w:r>
    </w:p>
    <w:p w:rsidR="00C76412" w:rsidRDefault="00D100D2">
      <w:pPr>
        <w:pStyle w:val="Heading3"/>
        <w:keepNext w:val="0"/>
        <w:keepLines w:val="0"/>
        <w:ind w:firstLine="720"/>
        <w:jc w:val="both"/>
        <w:rPr>
          <w:rFonts w:ascii="Arial" w:eastAsia="Arial" w:hAnsi="Arial" w:cs="Arial"/>
          <w:sz w:val="22"/>
          <w:szCs w:val="22"/>
        </w:rPr>
      </w:pPr>
      <w:bookmarkStart w:id="2" w:name="_55cxhgvh4hkp" w:colFirst="0" w:colLast="0"/>
      <w:bookmarkEnd w:id="2"/>
      <w:r>
        <w:rPr>
          <w:rFonts w:ascii="Arial" w:eastAsia="Arial" w:hAnsi="Arial" w:cs="Arial"/>
          <w:sz w:val="22"/>
          <w:szCs w:val="22"/>
        </w:rPr>
        <w:t>2.2 Data Sources and Search Strategy</w:t>
      </w:r>
    </w:p>
    <w:p w:rsidR="00C76412" w:rsidRDefault="00D100D2">
      <w:pPr>
        <w:spacing w:before="240" w:after="240"/>
        <w:ind w:firstLine="720"/>
        <w:jc w:val="both"/>
        <w:rPr>
          <w:rFonts w:ascii="Arial" w:eastAsia="Arial" w:hAnsi="Arial" w:cs="Arial"/>
        </w:rPr>
      </w:pPr>
      <w:r>
        <w:rPr>
          <w:rFonts w:ascii="Arial" w:eastAsia="Arial" w:hAnsi="Arial" w:cs="Arial"/>
        </w:rPr>
        <w:t xml:space="preserve">A comprehensive search was performed in the PubMed, </w:t>
      </w:r>
      <w:proofErr w:type="spellStart"/>
      <w:r>
        <w:rPr>
          <w:rFonts w:ascii="Arial" w:eastAsia="Arial" w:hAnsi="Arial" w:cs="Arial"/>
        </w:rPr>
        <w:t>Embase</w:t>
      </w:r>
      <w:proofErr w:type="spellEnd"/>
      <w:r>
        <w:rPr>
          <w:rFonts w:ascii="Arial" w:eastAsia="Arial" w:hAnsi="Arial" w:cs="Arial"/>
        </w:rPr>
        <w:t>, Medline, Scopus, and Google Scholar databases, covering all studies published up to January 2025. The search strategy included both controlled and uncontrolled descriptors combined with Boolean op</w:t>
      </w:r>
      <w:r>
        <w:rPr>
          <w:rFonts w:ascii="Arial" w:eastAsia="Arial" w:hAnsi="Arial" w:cs="Arial"/>
        </w:rPr>
        <w:t xml:space="preserve">erators (AND/OR). The following terms were used: </w:t>
      </w:r>
      <w:r>
        <w:rPr>
          <w:rFonts w:ascii="Arial" w:eastAsia="Arial" w:hAnsi="Arial" w:cs="Arial"/>
          <w:i/>
        </w:rPr>
        <w:t>“liver injury”</w:t>
      </w:r>
      <w:r>
        <w:rPr>
          <w:rFonts w:ascii="Arial" w:eastAsia="Arial" w:hAnsi="Arial" w:cs="Arial"/>
        </w:rPr>
        <w:t xml:space="preserve">, </w:t>
      </w:r>
      <w:r>
        <w:rPr>
          <w:rFonts w:ascii="Arial" w:eastAsia="Arial" w:hAnsi="Arial" w:cs="Arial"/>
          <w:i/>
        </w:rPr>
        <w:t>“</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i/>
        </w:rPr>
        <w:t>”</w:t>
      </w:r>
      <w:r>
        <w:rPr>
          <w:rFonts w:ascii="Arial" w:eastAsia="Arial" w:hAnsi="Arial" w:cs="Arial"/>
        </w:rPr>
        <w:t xml:space="preserve">, </w:t>
      </w:r>
      <w:r>
        <w:rPr>
          <w:rFonts w:ascii="Arial" w:eastAsia="Arial" w:hAnsi="Arial" w:cs="Arial"/>
          <w:i/>
        </w:rPr>
        <w:t>“hepatoprotective effect”</w:t>
      </w:r>
      <w:r>
        <w:rPr>
          <w:rFonts w:ascii="Arial" w:eastAsia="Arial" w:hAnsi="Arial" w:cs="Arial"/>
        </w:rPr>
        <w:t xml:space="preserve">, </w:t>
      </w:r>
      <w:r>
        <w:rPr>
          <w:rFonts w:ascii="Arial" w:eastAsia="Arial" w:hAnsi="Arial" w:cs="Arial"/>
          <w:i/>
        </w:rPr>
        <w:t>“animal models”</w:t>
      </w:r>
      <w:r>
        <w:rPr>
          <w:rFonts w:ascii="Arial" w:eastAsia="Arial" w:hAnsi="Arial" w:cs="Arial"/>
        </w:rPr>
        <w:t xml:space="preserve">, and </w:t>
      </w:r>
      <w:r>
        <w:rPr>
          <w:rFonts w:ascii="Arial" w:eastAsia="Arial" w:hAnsi="Arial" w:cs="Arial"/>
          <w:i/>
        </w:rPr>
        <w:t>“liver function”</w:t>
      </w:r>
      <w:r>
        <w:rPr>
          <w:rFonts w:ascii="Arial" w:eastAsia="Arial" w:hAnsi="Arial" w:cs="Arial"/>
        </w:rPr>
        <w:t xml:space="preserve">. No language or publication date restrictions were applied, in order to ensure broad coverage and minimize </w:t>
      </w:r>
      <w:r>
        <w:rPr>
          <w:rFonts w:ascii="Arial" w:eastAsia="Arial" w:hAnsi="Arial" w:cs="Arial"/>
        </w:rPr>
        <w:t>publication bias.</w:t>
      </w:r>
    </w:p>
    <w:p w:rsidR="00C76412" w:rsidRDefault="00D100D2">
      <w:pPr>
        <w:pStyle w:val="Heading3"/>
        <w:keepNext w:val="0"/>
        <w:keepLines w:val="0"/>
        <w:ind w:firstLine="720"/>
        <w:jc w:val="both"/>
        <w:rPr>
          <w:rFonts w:ascii="Arial" w:eastAsia="Arial" w:hAnsi="Arial" w:cs="Arial"/>
          <w:sz w:val="22"/>
          <w:szCs w:val="22"/>
        </w:rPr>
      </w:pPr>
      <w:bookmarkStart w:id="3" w:name="_x2x59diyk0a5" w:colFirst="0" w:colLast="0"/>
      <w:bookmarkEnd w:id="3"/>
      <w:r>
        <w:rPr>
          <w:rFonts w:ascii="Arial" w:eastAsia="Arial" w:hAnsi="Arial" w:cs="Arial"/>
          <w:sz w:val="22"/>
          <w:szCs w:val="22"/>
        </w:rPr>
        <w:t>2.3 Eligibility Criteria</w:t>
      </w:r>
    </w:p>
    <w:p w:rsidR="00C76412" w:rsidRDefault="00D100D2">
      <w:pPr>
        <w:spacing w:before="240" w:after="240"/>
        <w:ind w:firstLine="720"/>
        <w:jc w:val="both"/>
        <w:rPr>
          <w:rFonts w:ascii="Arial" w:eastAsia="Arial" w:hAnsi="Arial" w:cs="Arial"/>
        </w:rPr>
      </w:pPr>
      <w:r>
        <w:rPr>
          <w:rFonts w:ascii="Arial" w:eastAsia="Arial" w:hAnsi="Arial" w:cs="Arial"/>
        </w:rPr>
        <w:lastRenderedPageBreak/>
        <w:t>Studies were selected based on predefined inclusion and exclusion criteria. Eligible studies were preclinical in vivo experimental investigations conducted in rats or mice with induced liver injury. To be included</w:t>
      </w:r>
      <w:r>
        <w:rPr>
          <w:rFonts w:ascii="Arial" w:eastAsia="Arial" w:hAnsi="Arial" w:cs="Arial"/>
        </w:rPr>
        <w:t xml:space="preserve">, studies had to evaluate the hepatoprotective effect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as a primary intervention and report at least one of the following outcomes: biochemical markers (ALT, AST, total bilirubin), inflammatory mediators (TNF-α, IL-6), oxidative stress pa</w:t>
      </w:r>
      <w:r>
        <w:rPr>
          <w:rFonts w:ascii="Arial" w:eastAsia="Arial" w:hAnsi="Arial" w:cs="Arial"/>
        </w:rPr>
        <w:t>rameters (MDA, SOD), or histopathological findings (necrosis, fibrosis, inflammatory infiltration).</w:t>
      </w:r>
    </w:p>
    <w:p w:rsidR="00C76412" w:rsidRDefault="00D100D2">
      <w:pPr>
        <w:spacing w:before="240" w:after="240"/>
        <w:ind w:firstLine="720"/>
        <w:jc w:val="both"/>
        <w:rPr>
          <w:rFonts w:ascii="Arial" w:eastAsia="Arial" w:hAnsi="Arial" w:cs="Arial"/>
        </w:rPr>
      </w:pPr>
      <w:r>
        <w:rPr>
          <w:rFonts w:ascii="Arial" w:eastAsia="Arial" w:hAnsi="Arial" w:cs="Arial"/>
        </w:rPr>
        <w:t xml:space="preserve">Exclusion criteria comprised studies employing combined formulations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with other medicinal plants, studies without appropriate control gro</w:t>
      </w:r>
      <w:r>
        <w:rPr>
          <w:rFonts w:ascii="Arial" w:eastAsia="Arial" w:hAnsi="Arial" w:cs="Arial"/>
        </w:rPr>
        <w:t>ups (placebo or untreated animals), and publications such as systematic reviews, observational studies (case-control or cohort designs) or clinical trials.</w:t>
      </w:r>
    </w:p>
    <w:p w:rsidR="00C76412" w:rsidRDefault="00D100D2">
      <w:pPr>
        <w:pStyle w:val="Heading3"/>
        <w:keepNext w:val="0"/>
        <w:keepLines w:val="0"/>
        <w:ind w:firstLine="720"/>
        <w:jc w:val="both"/>
        <w:rPr>
          <w:rFonts w:ascii="Arial" w:eastAsia="Arial" w:hAnsi="Arial" w:cs="Arial"/>
          <w:sz w:val="22"/>
          <w:szCs w:val="22"/>
        </w:rPr>
      </w:pPr>
      <w:bookmarkStart w:id="4" w:name="_ku5zoabx8r9p" w:colFirst="0" w:colLast="0"/>
      <w:bookmarkEnd w:id="4"/>
      <w:r>
        <w:rPr>
          <w:rFonts w:ascii="Arial" w:eastAsia="Arial" w:hAnsi="Arial" w:cs="Arial"/>
          <w:sz w:val="22"/>
          <w:szCs w:val="22"/>
        </w:rPr>
        <w:t>2.4 Study Selection</w:t>
      </w:r>
    </w:p>
    <w:p w:rsidR="00C76412" w:rsidRDefault="00D100D2">
      <w:pPr>
        <w:spacing w:before="240" w:after="240"/>
        <w:ind w:firstLine="720"/>
        <w:jc w:val="both"/>
        <w:rPr>
          <w:rFonts w:ascii="Arial" w:eastAsia="Arial" w:hAnsi="Arial" w:cs="Arial"/>
        </w:rPr>
      </w:pPr>
      <w:r>
        <w:rPr>
          <w:rFonts w:ascii="Arial" w:eastAsia="Arial" w:hAnsi="Arial" w:cs="Arial"/>
        </w:rPr>
        <w:t>All references retrieved from the databases were imported into Rayyan software f</w:t>
      </w:r>
      <w:r>
        <w:rPr>
          <w:rFonts w:ascii="Arial" w:eastAsia="Arial" w:hAnsi="Arial" w:cs="Arial"/>
        </w:rPr>
        <w:t>or screening. Duplicate records were removed, and two independent reviewers evaluated titles and abstracts for relevance. Discrepancies between reviewers were resolved through consultation with a third reviewer. Full-text versions of potentially eligible s</w:t>
      </w:r>
      <w:r>
        <w:rPr>
          <w:rFonts w:ascii="Arial" w:eastAsia="Arial" w:hAnsi="Arial" w:cs="Arial"/>
        </w:rPr>
        <w:t>tudies were retrieved and assessed in detail to confirm compliance with the eligibility criteria.</w:t>
      </w:r>
    </w:p>
    <w:p w:rsidR="00C76412" w:rsidRDefault="00D100D2">
      <w:pPr>
        <w:pStyle w:val="Heading3"/>
        <w:keepNext w:val="0"/>
        <w:keepLines w:val="0"/>
        <w:ind w:firstLine="720"/>
        <w:jc w:val="both"/>
        <w:rPr>
          <w:rFonts w:ascii="Arial" w:eastAsia="Arial" w:hAnsi="Arial" w:cs="Arial"/>
          <w:sz w:val="22"/>
          <w:szCs w:val="22"/>
        </w:rPr>
      </w:pPr>
      <w:bookmarkStart w:id="5" w:name="_mnukw87c58ko" w:colFirst="0" w:colLast="0"/>
      <w:bookmarkEnd w:id="5"/>
      <w:r>
        <w:rPr>
          <w:rFonts w:ascii="Arial" w:eastAsia="Arial" w:hAnsi="Arial" w:cs="Arial"/>
          <w:sz w:val="22"/>
          <w:szCs w:val="22"/>
        </w:rPr>
        <w:t>2.5 Data Extraction</w:t>
      </w:r>
    </w:p>
    <w:p w:rsidR="00C76412" w:rsidRDefault="00D100D2">
      <w:pPr>
        <w:spacing w:before="240" w:after="240"/>
        <w:ind w:firstLine="720"/>
        <w:jc w:val="both"/>
        <w:rPr>
          <w:rFonts w:ascii="Arial" w:eastAsia="Arial" w:hAnsi="Arial" w:cs="Arial"/>
        </w:rPr>
      </w:pPr>
      <w:r>
        <w:rPr>
          <w:rFonts w:ascii="Arial" w:eastAsia="Arial" w:hAnsi="Arial" w:cs="Arial"/>
        </w:rPr>
        <w:t>Data extraction was carried out independently by two reviewers using a standardized form. Extracted variables included study characteristi</w:t>
      </w:r>
      <w:r>
        <w:rPr>
          <w:rFonts w:ascii="Arial" w:eastAsia="Arial" w:hAnsi="Arial" w:cs="Arial"/>
        </w:rPr>
        <w:t>cs (author, year, species, and strain of animals), intervention details (dose, extract type, route of administration, duration of treatment), characteristics of the control group (placebo or untreated), and evaluated outcomes (biochemical, inflammatory, ox</w:t>
      </w:r>
      <w:r>
        <w:rPr>
          <w:rFonts w:ascii="Arial" w:eastAsia="Arial" w:hAnsi="Arial" w:cs="Arial"/>
        </w:rPr>
        <w:t xml:space="preserve">idative stress markers, and histopathological findings). Studies with insufficient or </w:t>
      </w:r>
      <w:proofErr w:type="spellStart"/>
      <w:r>
        <w:rPr>
          <w:rFonts w:ascii="Arial" w:eastAsia="Arial" w:hAnsi="Arial" w:cs="Arial"/>
        </w:rPr>
        <w:t>unretrievable</w:t>
      </w:r>
      <w:proofErr w:type="spellEnd"/>
      <w:r>
        <w:rPr>
          <w:rFonts w:ascii="Arial" w:eastAsia="Arial" w:hAnsi="Arial" w:cs="Arial"/>
        </w:rPr>
        <w:t xml:space="preserve"> data were excluded from the final synthesis.</w:t>
      </w:r>
    </w:p>
    <w:p w:rsidR="00C76412" w:rsidRDefault="00D100D2">
      <w:pPr>
        <w:pStyle w:val="Heading3"/>
        <w:keepNext w:val="0"/>
        <w:keepLines w:val="0"/>
        <w:ind w:firstLine="720"/>
        <w:jc w:val="both"/>
        <w:rPr>
          <w:rFonts w:ascii="Arial" w:eastAsia="Arial" w:hAnsi="Arial" w:cs="Arial"/>
          <w:sz w:val="22"/>
          <w:szCs w:val="22"/>
        </w:rPr>
      </w:pPr>
      <w:bookmarkStart w:id="6" w:name="_rrh62cpoe1ia" w:colFirst="0" w:colLast="0"/>
      <w:bookmarkEnd w:id="6"/>
      <w:r>
        <w:rPr>
          <w:rFonts w:ascii="Arial" w:eastAsia="Arial" w:hAnsi="Arial" w:cs="Arial"/>
          <w:sz w:val="22"/>
          <w:szCs w:val="22"/>
        </w:rPr>
        <w:t>2.6 Risk of Bias Assessment</w:t>
      </w:r>
    </w:p>
    <w:p w:rsidR="00C76412" w:rsidRDefault="00D100D2">
      <w:pPr>
        <w:spacing w:before="240" w:after="240"/>
        <w:ind w:firstLine="720"/>
        <w:jc w:val="both"/>
        <w:rPr>
          <w:rFonts w:ascii="Arial" w:eastAsia="Arial" w:hAnsi="Arial" w:cs="Arial"/>
        </w:rPr>
      </w:pPr>
      <w:r>
        <w:rPr>
          <w:rFonts w:ascii="Arial" w:eastAsia="Arial" w:hAnsi="Arial" w:cs="Arial"/>
        </w:rPr>
        <w:t>The risk of bias of included studies was assessed using two complementary approaches: the CAMARADES checklist and the SYRCLE risk of bias tool for preclinical studies. The CAMARADES checklist comprised ten domains: sequence generation, baseline group equiv</w:t>
      </w:r>
      <w:r>
        <w:rPr>
          <w:rFonts w:ascii="Arial" w:eastAsia="Arial" w:hAnsi="Arial" w:cs="Arial"/>
        </w:rPr>
        <w:t>alence, allocation concealment, randomization of animals, blinding of investigators and caregivers, blinding of outcome assessors, randomization of outcome assessment, control of attrition or exclusions, transparency of outcome reporting, and identificatio</w:t>
      </w:r>
      <w:r>
        <w:rPr>
          <w:rFonts w:ascii="Arial" w:eastAsia="Arial" w:hAnsi="Arial" w:cs="Arial"/>
        </w:rPr>
        <w:t>n of other potential sources of bias. This dual evaluation enabled a comprehensive appraisal of methodological quality, allowing identification of limitations that could impact interpretation of findings.</w:t>
      </w:r>
    </w:p>
    <w:p w:rsidR="00C76412" w:rsidRDefault="00C76412">
      <w:pPr>
        <w:spacing w:before="240" w:after="240"/>
        <w:ind w:firstLine="720"/>
        <w:jc w:val="both"/>
        <w:rPr>
          <w:rFonts w:ascii="Arial" w:eastAsia="Arial" w:hAnsi="Arial" w:cs="Arial"/>
        </w:rPr>
      </w:pPr>
    </w:p>
    <w:p w:rsidR="00C76412" w:rsidRDefault="00C76412">
      <w:pPr>
        <w:spacing w:before="240" w:after="240"/>
        <w:ind w:firstLine="720"/>
        <w:jc w:val="both"/>
        <w:rPr>
          <w:rFonts w:ascii="Arial" w:eastAsia="Arial" w:hAnsi="Arial" w:cs="Arial"/>
        </w:rPr>
      </w:pPr>
    </w:p>
    <w:p w:rsidR="00C76412" w:rsidRDefault="00C76412">
      <w:pPr>
        <w:spacing w:before="240" w:after="240"/>
        <w:ind w:firstLine="720"/>
        <w:jc w:val="both"/>
        <w:rPr>
          <w:rFonts w:ascii="Arial" w:eastAsia="Arial" w:hAnsi="Arial" w:cs="Arial"/>
        </w:rPr>
      </w:pPr>
    </w:p>
    <w:p w:rsidR="00C76412" w:rsidRDefault="00C76412">
      <w:pPr>
        <w:spacing w:before="240" w:after="240"/>
        <w:jc w:val="both"/>
        <w:rPr>
          <w:rFonts w:ascii="Arial" w:eastAsia="Arial" w:hAnsi="Arial" w:cs="Arial"/>
        </w:rPr>
      </w:pPr>
    </w:p>
    <w:p w:rsidR="00C76412" w:rsidRDefault="00C76412">
      <w:pPr>
        <w:spacing w:before="240" w:after="240"/>
        <w:ind w:firstLine="720"/>
        <w:jc w:val="both"/>
        <w:rPr>
          <w:rFonts w:ascii="Arial" w:eastAsia="Arial" w:hAnsi="Arial" w:cs="Arial"/>
        </w:rPr>
      </w:pPr>
    </w:p>
    <w:p w:rsidR="00C76412" w:rsidRDefault="00D100D2">
      <w:pPr>
        <w:spacing w:before="240" w:after="240" w:line="276" w:lineRule="auto"/>
        <w:ind w:firstLine="720"/>
        <w:jc w:val="both"/>
        <w:rPr>
          <w:rFonts w:ascii="Arial" w:eastAsia="Arial" w:hAnsi="Arial" w:cs="Arial"/>
        </w:rPr>
      </w:pPr>
      <w:r>
        <w:rPr>
          <w:rFonts w:ascii="Arial" w:eastAsia="Arial" w:hAnsi="Arial" w:cs="Arial"/>
          <w:b/>
        </w:rPr>
        <w:lastRenderedPageBreak/>
        <w:t xml:space="preserve">Table 1. </w:t>
      </w:r>
      <w:r>
        <w:rPr>
          <w:rFonts w:ascii="Arial" w:eastAsia="Arial" w:hAnsi="Arial" w:cs="Arial"/>
        </w:rPr>
        <w:t>CAMARADES risk of bias tool for anima</w:t>
      </w:r>
      <w:r>
        <w:rPr>
          <w:rFonts w:ascii="Arial" w:eastAsia="Arial" w:hAnsi="Arial" w:cs="Arial"/>
        </w:rPr>
        <w:t>l studies</w:t>
      </w:r>
    </w:p>
    <w:tbl>
      <w:tblPr>
        <w:tblStyle w:val="a0"/>
        <w:tblpPr w:leftFromText="141" w:rightFromText="141" w:vertAnchor="text"/>
        <w:tblW w:w="85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7"/>
        <w:gridCol w:w="417"/>
        <w:gridCol w:w="417"/>
        <w:gridCol w:w="390"/>
        <w:gridCol w:w="350"/>
        <w:gridCol w:w="328"/>
        <w:gridCol w:w="373"/>
        <w:gridCol w:w="328"/>
        <w:gridCol w:w="412"/>
        <w:gridCol w:w="412"/>
        <w:gridCol w:w="463"/>
      </w:tblGrid>
      <w:tr w:rsidR="00C76412">
        <w:tc>
          <w:tcPr>
            <w:tcW w:w="4617" w:type="dxa"/>
            <w:vMerge w:val="restart"/>
            <w:tcBorders>
              <w:left w:val="nil"/>
              <w:right w:val="nil"/>
            </w:tcBorders>
          </w:tcPr>
          <w:p w:rsidR="00C76412" w:rsidRDefault="00D100D2">
            <w:pPr>
              <w:spacing w:before="240" w:after="240"/>
              <w:jc w:val="center"/>
              <w:rPr>
                <w:rFonts w:ascii="Arial" w:eastAsia="Arial" w:hAnsi="Arial" w:cs="Arial"/>
                <w:b/>
              </w:rPr>
            </w:pPr>
            <w:r>
              <w:rPr>
                <w:rFonts w:ascii="Arial" w:eastAsia="Arial" w:hAnsi="Arial" w:cs="Arial"/>
                <w:b/>
              </w:rPr>
              <w:t>Autor</w:t>
            </w:r>
          </w:p>
        </w:tc>
        <w:tc>
          <w:tcPr>
            <w:tcW w:w="3890" w:type="dxa"/>
            <w:gridSpan w:val="10"/>
            <w:tcBorders>
              <w:left w:val="nil"/>
              <w:bottom w:val="single" w:sz="4" w:space="0" w:color="000000"/>
              <w:right w:val="nil"/>
            </w:tcBorders>
          </w:tcPr>
          <w:p w:rsidR="00C76412" w:rsidRDefault="00D100D2">
            <w:pPr>
              <w:spacing w:before="240" w:after="240"/>
              <w:jc w:val="center"/>
              <w:rPr>
                <w:rFonts w:ascii="Arial" w:eastAsia="Arial" w:hAnsi="Arial" w:cs="Arial"/>
                <w:b/>
              </w:rPr>
            </w:pPr>
            <w:r>
              <w:rPr>
                <w:rFonts w:ascii="Arial" w:eastAsia="Arial" w:hAnsi="Arial" w:cs="Arial"/>
                <w:b/>
              </w:rPr>
              <w:t>CAMARADES checklist</w:t>
            </w:r>
          </w:p>
        </w:tc>
      </w:tr>
      <w:tr w:rsidR="00C76412">
        <w:trPr>
          <w:trHeight w:val="550"/>
        </w:trPr>
        <w:tc>
          <w:tcPr>
            <w:tcW w:w="4617" w:type="dxa"/>
            <w:vMerge/>
            <w:tcBorders>
              <w:left w:val="nil"/>
              <w:right w:val="nil"/>
            </w:tcBorders>
          </w:tcPr>
          <w:p w:rsidR="00C76412" w:rsidRDefault="00C76412">
            <w:pPr>
              <w:widowControl w:val="0"/>
              <w:pBdr>
                <w:top w:val="nil"/>
                <w:left w:val="nil"/>
                <w:bottom w:val="nil"/>
                <w:right w:val="nil"/>
                <w:between w:val="nil"/>
              </w:pBdr>
              <w:spacing w:line="276" w:lineRule="auto"/>
              <w:rPr>
                <w:rFonts w:ascii="Arial" w:eastAsia="Arial" w:hAnsi="Arial" w:cs="Arial"/>
                <w:b/>
              </w:rPr>
            </w:pPr>
          </w:p>
        </w:tc>
        <w:tc>
          <w:tcPr>
            <w:tcW w:w="417" w:type="dxa"/>
            <w:tcBorders>
              <w:top w:val="single" w:sz="4" w:space="0" w:color="000000"/>
              <w:left w:val="nil"/>
              <w:bottom w:val="single" w:sz="4" w:space="0" w:color="000000"/>
              <w:right w:val="nil"/>
            </w:tcBorders>
          </w:tcPr>
          <w:p w:rsidR="00C76412" w:rsidRDefault="00D100D2">
            <w:pPr>
              <w:spacing w:before="240" w:after="240"/>
              <w:jc w:val="center"/>
              <w:rPr>
                <w:rFonts w:ascii="Arial" w:eastAsia="Arial" w:hAnsi="Arial" w:cs="Arial"/>
                <w:b/>
              </w:rPr>
            </w:pPr>
            <w:r>
              <w:rPr>
                <w:rFonts w:ascii="Arial" w:eastAsia="Arial" w:hAnsi="Arial" w:cs="Arial"/>
                <w:b/>
              </w:rPr>
              <w:t>1</w:t>
            </w:r>
          </w:p>
        </w:tc>
        <w:tc>
          <w:tcPr>
            <w:tcW w:w="417" w:type="dxa"/>
            <w:tcBorders>
              <w:top w:val="single" w:sz="4" w:space="0" w:color="000000"/>
              <w:left w:val="nil"/>
              <w:bottom w:val="single" w:sz="4" w:space="0" w:color="000000"/>
              <w:right w:val="nil"/>
            </w:tcBorders>
          </w:tcPr>
          <w:p w:rsidR="00C76412" w:rsidRDefault="00D100D2">
            <w:pPr>
              <w:spacing w:before="240" w:after="240"/>
              <w:jc w:val="center"/>
              <w:rPr>
                <w:rFonts w:ascii="Arial" w:eastAsia="Arial" w:hAnsi="Arial" w:cs="Arial"/>
                <w:b/>
              </w:rPr>
            </w:pPr>
            <w:r>
              <w:rPr>
                <w:rFonts w:ascii="Arial" w:eastAsia="Arial" w:hAnsi="Arial" w:cs="Arial"/>
                <w:b/>
              </w:rPr>
              <w:t>2</w:t>
            </w:r>
          </w:p>
        </w:tc>
        <w:tc>
          <w:tcPr>
            <w:tcW w:w="390" w:type="dxa"/>
            <w:tcBorders>
              <w:top w:val="single" w:sz="4" w:space="0" w:color="000000"/>
              <w:left w:val="nil"/>
              <w:bottom w:val="single" w:sz="4" w:space="0" w:color="000000"/>
              <w:right w:val="nil"/>
            </w:tcBorders>
          </w:tcPr>
          <w:p w:rsidR="00C76412" w:rsidRDefault="00D100D2">
            <w:pPr>
              <w:spacing w:before="240" w:after="240"/>
              <w:jc w:val="both"/>
              <w:rPr>
                <w:rFonts w:ascii="Arial" w:eastAsia="Arial" w:hAnsi="Arial" w:cs="Arial"/>
                <w:b/>
              </w:rPr>
            </w:pPr>
            <w:r>
              <w:rPr>
                <w:rFonts w:ascii="Arial" w:eastAsia="Arial" w:hAnsi="Arial" w:cs="Arial"/>
                <w:b/>
              </w:rPr>
              <w:t>3</w:t>
            </w:r>
          </w:p>
        </w:tc>
        <w:tc>
          <w:tcPr>
            <w:tcW w:w="350" w:type="dxa"/>
            <w:tcBorders>
              <w:top w:val="single" w:sz="4" w:space="0" w:color="000000"/>
              <w:left w:val="nil"/>
              <w:bottom w:val="single" w:sz="4" w:space="0" w:color="000000"/>
              <w:right w:val="nil"/>
            </w:tcBorders>
          </w:tcPr>
          <w:p w:rsidR="00C76412" w:rsidRDefault="00D100D2">
            <w:pPr>
              <w:spacing w:before="240" w:after="240"/>
              <w:jc w:val="both"/>
              <w:rPr>
                <w:rFonts w:ascii="Arial" w:eastAsia="Arial" w:hAnsi="Arial" w:cs="Arial"/>
                <w:b/>
              </w:rPr>
            </w:pPr>
            <w:r>
              <w:rPr>
                <w:rFonts w:ascii="Arial" w:eastAsia="Arial" w:hAnsi="Arial" w:cs="Arial"/>
                <w:b/>
              </w:rPr>
              <w:t>4</w:t>
            </w:r>
          </w:p>
        </w:tc>
        <w:tc>
          <w:tcPr>
            <w:tcW w:w="328" w:type="dxa"/>
            <w:tcBorders>
              <w:top w:val="single" w:sz="4" w:space="0" w:color="000000"/>
              <w:left w:val="nil"/>
              <w:bottom w:val="single" w:sz="4" w:space="0" w:color="000000"/>
              <w:right w:val="nil"/>
            </w:tcBorders>
          </w:tcPr>
          <w:p w:rsidR="00C76412" w:rsidRDefault="00D100D2">
            <w:pPr>
              <w:spacing w:before="240" w:after="240"/>
              <w:jc w:val="both"/>
              <w:rPr>
                <w:rFonts w:ascii="Arial" w:eastAsia="Arial" w:hAnsi="Arial" w:cs="Arial"/>
                <w:b/>
              </w:rPr>
            </w:pPr>
            <w:r>
              <w:rPr>
                <w:rFonts w:ascii="Arial" w:eastAsia="Arial" w:hAnsi="Arial" w:cs="Arial"/>
                <w:b/>
              </w:rPr>
              <w:t>5</w:t>
            </w:r>
          </w:p>
        </w:tc>
        <w:tc>
          <w:tcPr>
            <w:tcW w:w="373" w:type="dxa"/>
            <w:tcBorders>
              <w:top w:val="single" w:sz="4" w:space="0" w:color="000000"/>
              <w:left w:val="nil"/>
              <w:bottom w:val="single" w:sz="4" w:space="0" w:color="000000"/>
              <w:right w:val="nil"/>
            </w:tcBorders>
          </w:tcPr>
          <w:p w:rsidR="00C76412" w:rsidRDefault="00D100D2">
            <w:pPr>
              <w:spacing w:before="240" w:after="240"/>
              <w:jc w:val="both"/>
              <w:rPr>
                <w:rFonts w:ascii="Arial" w:eastAsia="Arial" w:hAnsi="Arial" w:cs="Arial"/>
                <w:b/>
              </w:rPr>
            </w:pPr>
            <w:r>
              <w:rPr>
                <w:rFonts w:ascii="Arial" w:eastAsia="Arial" w:hAnsi="Arial" w:cs="Arial"/>
                <w:b/>
              </w:rPr>
              <w:t>6</w:t>
            </w:r>
          </w:p>
        </w:tc>
        <w:tc>
          <w:tcPr>
            <w:tcW w:w="328" w:type="dxa"/>
            <w:tcBorders>
              <w:top w:val="single" w:sz="4" w:space="0" w:color="000000"/>
              <w:left w:val="nil"/>
              <w:bottom w:val="single" w:sz="4" w:space="0" w:color="000000"/>
              <w:right w:val="nil"/>
            </w:tcBorders>
          </w:tcPr>
          <w:p w:rsidR="00C76412" w:rsidRDefault="00D100D2">
            <w:pPr>
              <w:spacing w:before="240" w:after="240"/>
              <w:jc w:val="both"/>
              <w:rPr>
                <w:rFonts w:ascii="Arial" w:eastAsia="Arial" w:hAnsi="Arial" w:cs="Arial"/>
                <w:b/>
              </w:rPr>
            </w:pPr>
            <w:r>
              <w:rPr>
                <w:rFonts w:ascii="Arial" w:eastAsia="Arial" w:hAnsi="Arial" w:cs="Arial"/>
                <w:b/>
              </w:rPr>
              <w:t>7</w:t>
            </w:r>
          </w:p>
        </w:tc>
        <w:tc>
          <w:tcPr>
            <w:tcW w:w="412" w:type="dxa"/>
            <w:tcBorders>
              <w:top w:val="single" w:sz="4" w:space="0" w:color="000000"/>
              <w:left w:val="nil"/>
              <w:bottom w:val="single" w:sz="4" w:space="0" w:color="000000"/>
              <w:right w:val="nil"/>
            </w:tcBorders>
          </w:tcPr>
          <w:p w:rsidR="00C76412" w:rsidRDefault="00D100D2">
            <w:pPr>
              <w:spacing w:before="240" w:after="240"/>
              <w:jc w:val="both"/>
              <w:rPr>
                <w:rFonts w:ascii="Arial" w:eastAsia="Arial" w:hAnsi="Arial" w:cs="Arial"/>
                <w:b/>
              </w:rPr>
            </w:pPr>
            <w:r>
              <w:rPr>
                <w:rFonts w:ascii="Arial" w:eastAsia="Arial" w:hAnsi="Arial" w:cs="Arial"/>
                <w:b/>
              </w:rPr>
              <w:t>8</w:t>
            </w:r>
          </w:p>
        </w:tc>
        <w:tc>
          <w:tcPr>
            <w:tcW w:w="412" w:type="dxa"/>
            <w:tcBorders>
              <w:top w:val="single" w:sz="4" w:space="0" w:color="000000"/>
              <w:left w:val="nil"/>
              <w:bottom w:val="single" w:sz="4" w:space="0" w:color="000000"/>
              <w:right w:val="nil"/>
            </w:tcBorders>
          </w:tcPr>
          <w:p w:rsidR="00C76412" w:rsidRDefault="00D100D2">
            <w:pPr>
              <w:spacing w:before="240" w:after="240"/>
              <w:jc w:val="both"/>
              <w:rPr>
                <w:rFonts w:ascii="Arial" w:eastAsia="Arial" w:hAnsi="Arial" w:cs="Arial"/>
                <w:b/>
              </w:rPr>
            </w:pPr>
            <w:r>
              <w:rPr>
                <w:rFonts w:ascii="Arial" w:eastAsia="Arial" w:hAnsi="Arial" w:cs="Arial"/>
                <w:b/>
              </w:rPr>
              <w:t>9</w:t>
            </w:r>
          </w:p>
        </w:tc>
        <w:tc>
          <w:tcPr>
            <w:tcW w:w="463" w:type="dxa"/>
            <w:tcBorders>
              <w:top w:val="single" w:sz="4" w:space="0" w:color="000000"/>
              <w:left w:val="nil"/>
              <w:bottom w:val="single" w:sz="4" w:space="0" w:color="000000"/>
              <w:right w:val="nil"/>
            </w:tcBorders>
          </w:tcPr>
          <w:p w:rsidR="00C76412" w:rsidRDefault="00D100D2">
            <w:pPr>
              <w:spacing w:before="240" w:after="240"/>
              <w:jc w:val="both"/>
              <w:rPr>
                <w:rFonts w:ascii="Arial" w:eastAsia="Arial" w:hAnsi="Arial" w:cs="Arial"/>
                <w:b/>
              </w:rPr>
            </w:pPr>
            <w:r>
              <w:rPr>
                <w:rFonts w:ascii="Arial" w:eastAsia="Arial" w:hAnsi="Arial" w:cs="Arial"/>
                <w:b/>
              </w:rPr>
              <w:t>10</w:t>
            </w:r>
          </w:p>
        </w:tc>
      </w:tr>
      <w:tr w:rsidR="00C76412">
        <w:trPr>
          <w:trHeight w:val="20"/>
        </w:trPr>
        <w:tc>
          <w:tcPr>
            <w:tcW w:w="4617" w:type="dxa"/>
            <w:tcBorders>
              <w:left w:val="nil"/>
              <w:bottom w:val="nil"/>
              <w:right w:val="nil"/>
            </w:tcBorders>
          </w:tcPr>
          <w:p w:rsidR="00C76412" w:rsidRDefault="00D100D2">
            <w:pPr>
              <w:spacing w:before="16" w:after="16" w:line="360" w:lineRule="auto"/>
              <w:rPr>
                <w:rFonts w:ascii="Arial" w:eastAsia="Arial" w:hAnsi="Arial" w:cs="Arial"/>
              </w:rPr>
            </w:pPr>
            <w:r>
              <w:rPr>
                <w:rFonts w:ascii="Arial" w:eastAsia="Arial" w:hAnsi="Arial" w:cs="Arial"/>
              </w:rPr>
              <w:t xml:space="preserve">ABBAS </w:t>
            </w:r>
            <w:proofErr w:type="spellStart"/>
            <w:r>
              <w:rPr>
                <w:rFonts w:ascii="Arial" w:eastAsia="Arial" w:hAnsi="Arial" w:cs="Arial"/>
              </w:rPr>
              <w:t>ei</w:t>
            </w:r>
            <w:proofErr w:type="spellEnd"/>
            <w:r>
              <w:rPr>
                <w:rFonts w:ascii="Arial" w:eastAsia="Arial" w:hAnsi="Arial" w:cs="Arial"/>
              </w:rPr>
              <w:t xml:space="preserve"> al (2016)</w:t>
            </w:r>
          </w:p>
        </w:tc>
        <w:tc>
          <w:tcPr>
            <w:tcW w:w="417" w:type="dxa"/>
            <w:tcBorders>
              <w:top w:val="single" w:sz="4" w:space="0" w:color="000000"/>
              <w:left w:val="nil"/>
              <w:bottom w:val="single" w:sz="4" w:space="0" w:color="FFFFFF"/>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7" w:type="dxa"/>
            <w:tcBorders>
              <w:top w:val="single" w:sz="4" w:space="0" w:color="000000"/>
              <w:left w:val="nil"/>
              <w:bottom w:val="single" w:sz="4" w:space="0" w:color="FFFFFF"/>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90" w:type="dxa"/>
            <w:tcBorders>
              <w:top w:val="single" w:sz="4" w:space="0" w:color="000000"/>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350" w:type="dxa"/>
            <w:tcBorders>
              <w:top w:val="single" w:sz="4" w:space="0" w:color="000000"/>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328" w:type="dxa"/>
            <w:tcBorders>
              <w:top w:val="single" w:sz="4" w:space="0" w:color="000000"/>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373" w:type="dxa"/>
            <w:tcBorders>
              <w:top w:val="single" w:sz="4" w:space="0" w:color="000000"/>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328" w:type="dxa"/>
            <w:tcBorders>
              <w:top w:val="single" w:sz="4" w:space="0" w:color="000000"/>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412" w:type="dxa"/>
            <w:tcBorders>
              <w:top w:val="single" w:sz="4" w:space="0" w:color="000000"/>
              <w:left w:val="nil"/>
              <w:bottom w:val="single" w:sz="4" w:space="0" w:color="FFFFFF"/>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2" w:type="dxa"/>
            <w:tcBorders>
              <w:top w:val="single" w:sz="4" w:space="0" w:color="000000"/>
              <w:left w:val="nil"/>
              <w:bottom w:val="single" w:sz="4" w:space="0" w:color="FFFFFF"/>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single" w:sz="4" w:space="0" w:color="000000"/>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top w:val="nil"/>
              <w:left w:val="nil"/>
              <w:bottom w:val="nil"/>
              <w:right w:val="nil"/>
            </w:tcBorders>
          </w:tcPr>
          <w:p w:rsidR="00C76412" w:rsidRDefault="00D100D2">
            <w:pPr>
              <w:spacing w:line="276" w:lineRule="auto"/>
              <w:rPr>
                <w:rFonts w:ascii="Arial" w:eastAsia="Arial" w:hAnsi="Arial" w:cs="Arial"/>
              </w:rPr>
            </w:pPr>
            <w:proofErr w:type="gramStart"/>
            <w:r>
              <w:rPr>
                <w:rFonts w:ascii="Arial" w:eastAsia="Arial" w:hAnsi="Arial" w:cs="Arial"/>
              </w:rPr>
              <w:t>AHMAD  et</w:t>
            </w:r>
            <w:proofErr w:type="gramEnd"/>
            <w:r>
              <w:rPr>
                <w:rFonts w:ascii="Arial" w:eastAsia="Arial" w:hAnsi="Arial" w:cs="Arial"/>
              </w:rPr>
              <w:t xml:space="preserve"> </w:t>
            </w:r>
            <w:proofErr w:type="spellStart"/>
            <w:r>
              <w:rPr>
                <w:rFonts w:ascii="Arial" w:eastAsia="Arial" w:hAnsi="Arial" w:cs="Arial"/>
              </w:rPr>
              <w:t>alL</w:t>
            </w:r>
            <w:proofErr w:type="spellEnd"/>
            <w:r>
              <w:rPr>
                <w:rFonts w:ascii="Arial" w:eastAsia="Arial" w:hAnsi="Arial" w:cs="Arial"/>
              </w:rPr>
              <w:t>. (2017)</w:t>
            </w:r>
          </w:p>
        </w:tc>
        <w:tc>
          <w:tcPr>
            <w:tcW w:w="417" w:type="dxa"/>
            <w:tcBorders>
              <w:top w:val="single" w:sz="4" w:space="0" w:color="FFFFFF"/>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417" w:type="dxa"/>
            <w:tcBorders>
              <w:top w:val="single" w:sz="4" w:space="0" w:color="FFFFFF"/>
              <w:left w:val="nil"/>
              <w:bottom w:val="single" w:sz="4" w:space="0" w:color="FFFFFF"/>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90" w:type="dxa"/>
            <w:tcBorders>
              <w:top w:val="single" w:sz="4" w:space="0" w:color="FFFFFF"/>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350" w:type="dxa"/>
            <w:tcBorders>
              <w:top w:val="single" w:sz="4" w:space="0" w:color="FFFFFF"/>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328" w:type="dxa"/>
            <w:tcBorders>
              <w:top w:val="single" w:sz="4" w:space="0" w:color="FFFFFF"/>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373" w:type="dxa"/>
            <w:tcBorders>
              <w:top w:val="single" w:sz="4" w:space="0" w:color="FFFFFF"/>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328" w:type="dxa"/>
            <w:tcBorders>
              <w:top w:val="single" w:sz="4" w:space="0" w:color="FFFFFF"/>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c>
          <w:tcPr>
            <w:tcW w:w="412" w:type="dxa"/>
            <w:tcBorders>
              <w:top w:val="single" w:sz="4" w:space="0" w:color="FFFFFF"/>
              <w:left w:val="nil"/>
              <w:bottom w:val="single" w:sz="4" w:space="0" w:color="FFFFFF"/>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2" w:type="dxa"/>
            <w:tcBorders>
              <w:top w:val="single" w:sz="4" w:space="0" w:color="FFFFFF"/>
              <w:left w:val="nil"/>
              <w:bottom w:val="single" w:sz="4" w:space="0" w:color="FFFFFF"/>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single" w:sz="4" w:space="0" w:color="FFFFFF"/>
              <w:left w:val="nil"/>
              <w:bottom w:val="single" w:sz="4" w:space="0" w:color="FFFFFF"/>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left w:val="nil"/>
              <w:bottom w:val="nil"/>
              <w:right w:val="nil"/>
            </w:tcBorders>
          </w:tcPr>
          <w:p w:rsidR="00C76412" w:rsidRDefault="00D100D2">
            <w:pPr>
              <w:spacing w:before="16" w:after="16" w:line="360" w:lineRule="auto"/>
              <w:rPr>
                <w:rFonts w:ascii="Arial" w:eastAsia="Arial" w:hAnsi="Arial" w:cs="Arial"/>
              </w:rPr>
            </w:pPr>
            <w:r>
              <w:rPr>
                <w:rFonts w:ascii="Arial" w:eastAsia="Arial" w:hAnsi="Arial" w:cs="Arial"/>
              </w:rPr>
              <w:t>MORESCO et al. (2007)</w:t>
            </w:r>
          </w:p>
        </w:tc>
        <w:tc>
          <w:tcPr>
            <w:tcW w:w="417" w:type="dxa"/>
            <w:tcBorders>
              <w:top w:val="single" w:sz="4" w:space="0" w:color="FFFFFF"/>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7" w:type="dxa"/>
            <w:tcBorders>
              <w:top w:val="single" w:sz="4" w:space="0" w:color="FFFFFF"/>
              <w:left w:val="nil"/>
              <w:bottom w:val="nil"/>
              <w:right w:val="nil"/>
            </w:tcBorders>
          </w:tcPr>
          <w:p w:rsidR="00C76412" w:rsidRDefault="00C76412">
            <w:pPr>
              <w:spacing w:before="16" w:after="16" w:line="360" w:lineRule="auto"/>
              <w:jc w:val="both"/>
              <w:rPr>
                <w:rFonts w:ascii="Arial" w:eastAsia="Arial" w:hAnsi="Arial" w:cs="Arial"/>
              </w:rPr>
            </w:pPr>
          </w:p>
        </w:tc>
        <w:tc>
          <w:tcPr>
            <w:tcW w:w="390" w:type="dxa"/>
            <w:tcBorders>
              <w:top w:val="single" w:sz="4" w:space="0" w:color="FFFFFF"/>
              <w:left w:val="nil"/>
              <w:bottom w:val="nil"/>
              <w:right w:val="nil"/>
            </w:tcBorders>
          </w:tcPr>
          <w:p w:rsidR="00C76412" w:rsidRDefault="00C76412">
            <w:pPr>
              <w:spacing w:before="16" w:after="16" w:line="360" w:lineRule="auto"/>
              <w:jc w:val="both"/>
              <w:rPr>
                <w:rFonts w:ascii="Arial" w:eastAsia="Arial" w:hAnsi="Arial" w:cs="Arial"/>
              </w:rPr>
            </w:pPr>
          </w:p>
        </w:tc>
        <w:tc>
          <w:tcPr>
            <w:tcW w:w="350" w:type="dxa"/>
            <w:tcBorders>
              <w:top w:val="single" w:sz="4" w:space="0" w:color="FFFFFF"/>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28" w:type="dxa"/>
            <w:tcBorders>
              <w:top w:val="single" w:sz="4" w:space="0" w:color="FFFFFF"/>
              <w:left w:val="nil"/>
              <w:bottom w:val="nil"/>
              <w:right w:val="nil"/>
            </w:tcBorders>
          </w:tcPr>
          <w:p w:rsidR="00C76412" w:rsidRDefault="00C76412">
            <w:pPr>
              <w:spacing w:before="16" w:after="16" w:line="360" w:lineRule="auto"/>
              <w:jc w:val="both"/>
              <w:rPr>
                <w:rFonts w:ascii="Arial" w:eastAsia="Arial" w:hAnsi="Arial" w:cs="Arial"/>
              </w:rPr>
            </w:pPr>
          </w:p>
        </w:tc>
        <w:tc>
          <w:tcPr>
            <w:tcW w:w="373" w:type="dxa"/>
            <w:tcBorders>
              <w:top w:val="single" w:sz="4" w:space="0" w:color="FFFFFF"/>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single" w:sz="4" w:space="0" w:color="FFFFFF"/>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single" w:sz="4" w:space="0" w:color="FFFFFF"/>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single" w:sz="4" w:space="0" w:color="FFFFFF"/>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single" w:sz="4" w:space="0" w:color="FFFFFF"/>
              <w:left w:val="nil"/>
              <w:bottom w:val="nil"/>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SOUZA (2018)</w:t>
            </w:r>
          </w:p>
        </w:tc>
        <w:tc>
          <w:tcPr>
            <w:tcW w:w="417"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5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7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top w:val="nil"/>
              <w:left w:val="nil"/>
              <w:bottom w:val="nil"/>
              <w:right w:val="nil"/>
            </w:tcBorders>
          </w:tcPr>
          <w:p w:rsidR="00C76412" w:rsidRDefault="00D100D2">
            <w:pPr>
              <w:spacing w:before="16" w:after="16" w:line="360" w:lineRule="auto"/>
              <w:rPr>
                <w:rFonts w:ascii="Arial" w:eastAsia="Arial" w:hAnsi="Arial" w:cs="Arial"/>
              </w:rPr>
            </w:pPr>
            <w:r>
              <w:rPr>
                <w:rFonts w:ascii="Arial" w:eastAsia="Arial" w:hAnsi="Arial" w:cs="Arial"/>
              </w:rPr>
              <w:t>FRANÇA et al. (2018)</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50"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7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top w:val="nil"/>
              <w:left w:val="nil"/>
              <w:bottom w:val="nil"/>
              <w:right w:val="nil"/>
            </w:tcBorders>
          </w:tcPr>
          <w:p w:rsidR="00C76412" w:rsidRDefault="00D100D2">
            <w:pPr>
              <w:spacing w:before="16" w:after="16" w:line="360" w:lineRule="auto"/>
              <w:rPr>
                <w:rFonts w:ascii="Arial" w:eastAsia="Arial" w:hAnsi="Arial" w:cs="Arial"/>
              </w:rPr>
            </w:pPr>
            <w:r>
              <w:rPr>
                <w:rFonts w:ascii="Arial" w:eastAsia="Arial" w:hAnsi="Arial" w:cs="Arial"/>
              </w:rPr>
              <w:t>SHARMA et al. (2013)</w:t>
            </w:r>
          </w:p>
        </w:tc>
        <w:tc>
          <w:tcPr>
            <w:tcW w:w="417"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5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7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top w:val="nil"/>
              <w:left w:val="nil"/>
              <w:bottom w:val="nil"/>
              <w:right w:val="nil"/>
            </w:tcBorders>
          </w:tcPr>
          <w:p w:rsidR="00C76412" w:rsidRDefault="00D100D2">
            <w:pPr>
              <w:spacing w:before="16" w:after="16" w:line="360" w:lineRule="auto"/>
              <w:rPr>
                <w:rFonts w:ascii="Arial" w:eastAsia="Arial" w:hAnsi="Arial" w:cs="Arial"/>
              </w:rPr>
            </w:pPr>
            <w:r>
              <w:rPr>
                <w:rFonts w:ascii="Arial" w:eastAsia="Arial" w:hAnsi="Arial" w:cs="Arial"/>
              </w:rPr>
              <w:t>ISLAM, M et al. (2015)</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50"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7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top w:val="nil"/>
              <w:left w:val="nil"/>
              <w:bottom w:val="nil"/>
              <w:right w:val="nil"/>
            </w:tcBorders>
          </w:tcPr>
          <w:p w:rsidR="00C76412" w:rsidRDefault="00D100D2">
            <w:pPr>
              <w:spacing w:before="16" w:after="16" w:line="360" w:lineRule="auto"/>
              <w:rPr>
                <w:rFonts w:ascii="Arial" w:eastAsia="Arial" w:hAnsi="Arial" w:cs="Arial"/>
                <w:color w:val="222222"/>
              </w:rPr>
            </w:pPr>
            <w:r>
              <w:rPr>
                <w:rFonts w:ascii="Arial" w:eastAsia="Arial" w:hAnsi="Arial" w:cs="Arial"/>
                <w:color w:val="222222"/>
              </w:rPr>
              <w:t xml:space="preserve">NAHID, </w:t>
            </w:r>
            <w:proofErr w:type="spellStart"/>
            <w:r>
              <w:rPr>
                <w:rFonts w:ascii="Arial" w:eastAsia="Arial" w:hAnsi="Arial" w:cs="Arial"/>
                <w:color w:val="222222"/>
              </w:rPr>
              <w:t>Sumaiya</w:t>
            </w:r>
            <w:proofErr w:type="spellEnd"/>
            <w:r>
              <w:rPr>
                <w:rFonts w:ascii="Arial" w:eastAsia="Arial" w:hAnsi="Arial" w:cs="Arial"/>
                <w:color w:val="222222"/>
              </w:rPr>
              <w:t xml:space="preserve"> et al. (2017)</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9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5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7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2"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6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top w:val="nil"/>
              <w:left w:val="nil"/>
              <w:bottom w:val="nil"/>
              <w:right w:val="nil"/>
            </w:tcBorders>
          </w:tcPr>
          <w:p w:rsidR="00C76412" w:rsidRDefault="00D100D2">
            <w:pPr>
              <w:spacing w:before="16" w:after="16" w:line="360" w:lineRule="auto"/>
              <w:rPr>
                <w:rFonts w:ascii="Arial" w:eastAsia="Arial" w:hAnsi="Arial" w:cs="Arial"/>
                <w:color w:val="222222"/>
              </w:rPr>
            </w:pPr>
            <w:r>
              <w:rPr>
                <w:rFonts w:ascii="Arial" w:eastAsia="Arial" w:hAnsi="Arial" w:cs="Arial"/>
                <w:color w:val="222222"/>
              </w:rPr>
              <w:t xml:space="preserve">MANU, Abba </w:t>
            </w:r>
            <w:proofErr w:type="spellStart"/>
            <w:r>
              <w:rPr>
                <w:rFonts w:ascii="Arial" w:eastAsia="Arial" w:hAnsi="Arial" w:cs="Arial"/>
                <w:color w:val="222222"/>
              </w:rPr>
              <w:t>Aji</w:t>
            </w:r>
            <w:proofErr w:type="spellEnd"/>
            <w:r>
              <w:rPr>
                <w:rFonts w:ascii="Arial" w:eastAsia="Arial" w:hAnsi="Arial" w:cs="Arial"/>
                <w:color w:val="222222"/>
              </w:rPr>
              <w:t xml:space="preserve"> et al. (2022</w:t>
            </w:r>
            <w:r>
              <w:rPr>
                <w:rFonts w:ascii="Arial" w:eastAsia="Arial" w:hAnsi="Arial" w:cs="Arial"/>
                <w:color w:val="222222"/>
                <w:highlight w:val="white"/>
              </w:rPr>
              <w:t>)</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50"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7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top w:val="nil"/>
              <w:left w:val="nil"/>
              <w:bottom w:val="nil"/>
              <w:right w:val="nil"/>
            </w:tcBorders>
          </w:tcPr>
          <w:p w:rsidR="00C76412" w:rsidRDefault="00D100D2">
            <w:pPr>
              <w:spacing w:before="16" w:after="16" w:line="360" w:lineRule="auto"/>
              <w:rPr>
                <w:rFonts w:ascii="Arial" w:eastAsia="Arial" w:hAnsi="Arial" w:cs="Arial"/>
                <w:color w:val="222222"/>
              </w:rPr>
            </w:pPr>
            <w:r>
              <w:rPr>
                <w:rFonts w:ascii="Arial" w:eastAsia="Arial" w:hAnsi="Arial" w:cs="Arial"/>
                <w:color w:val="222222"/>
              </w:rPr>
              <w:t>SAGOR, Md Abu Taher et al. (2016)</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5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7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top w:val="nil"/>
              <w:left w:val="nil"/>
              <w:bottom w:val="nil"/>
              <w:right w:val="nil"/>
            </w:tcBorders>
          </w:tcPr>
          <w:p w:rsidR="00C76412" w:rsidRDefault="00D100D2">
            <w:pPr>
              <w:spacing w:before="16" w:after="16" w:line="360" w:lineRule="auto"/>
              <w:rPr>
                <w:rFonts w:ascii="Arial" w:eastAsia="Arial" w:hAnsi="Arial" w:cs="Arial"/>
                <w:color w:val="212121"/>
                <w:highlight w:val="white"/>
              </w:rPr>
            </w:pPr>
            <w:r>
              <w:rPr>
                <w:rFonts w:ascii="Arial" w:eastAsia="Arial" w:hAnsi="Arial" w:cs="Arial"/>
                <w:color w:val="212121"/>
                <w:highlight w:val="white"/>
              </w:rPr>
              <w:t>Hossain S et al. (2011)</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50"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7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bottom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bottom w:val="nil"/>
              <w:right w:val="nil"/>
            </w:tcBorders>
          </w:tcPr>
          <w:p w:rsidR="00C76412" w:rsidRDefault="00C76412">
            <w:pPr>
              <w:spacing w:before="16" w:after="16" w:line="360" w:lineRule="auto"/>
              <w:jc w:val="both"/>
              <w:rPr>
                <w:rFonts w:ascii="Arial" w:eastAsia="Arial" w:hAnsi="Arial" w:cs="Arial"/>
              </w:rPr>
            </w:pPr>
          </w:p>
        </w:tc>
      </w:tr>
      <w:tr w:rsidR="00C76412">
        <w:trPr>
          <w:trHeight w:val="20"/>
        </w:trPr>
        <w:tc>
          <w:tcPr>
            <w:tcW w:w="4617" w:type="dxa"/>
            <w:tcBorders>
              <w:top w:val="nil"/>
              <w:left w:val="nil"/>
              <w:right w:val="nil"/>
            </w:tcBorders>
          </w:tcPr>
          <w:p w:rsidR="00C76412" w:rsidRDefault="00D100D2">
            <w:pPr>
              <w:spacing w:before="16" w:after="16" w:line="360" w:lineRule="auto"/>
              <w:rPr>
                <w:rFonts w:ascii="Arial" w:eastAsia="Arial" w:hAnsi="Arial" w:cs="Arial"/>
                <w:color w:val="222222"/>
              </w:rPr>
            </w:pPr>
            <w:r>
              <w:rPr>
                <w:rFonts w:ascii="Arial" w:eastAsia="Arial" w:hAnsi="Arial" w:cs="Arial"/>
                <w:color w:val="222222"/>
              </w:rPr>
              <w:t xml:space="preserve">ULLA, </w:t>
            </w:r>
            <w:proofErr w:type="spellStart"/>
            <w:r>
              <w:rPr>
                <w:rFonts w:ascii="Arial" w:eastAsia="Arial" w:hAnsi="Arial" w:cs="Arial"/>
                <w:color w:val="222222"/>
              </w:rPr>
              <w:t>Anayt</w:t>
            </w:r>
            <w:proofErr w:type="spellEnd"/>
            <w:r>
              <w:rPr>
                <w:rFonts w:ascii="Arial" w:eastAsia="Arial" w:hAnsi="Arial" w:cs="Arial"/>
                <w:color w:val="222222"/>
              </w:rPr>
              <w:t xml:space="preserve"> et al.  (2017)</w:t>
            </w:r>
          </w:p>
        </w:tc>
        <w:tc>
          <w:tcPr>
            <w:tcW w:w="417" w:type="dxa"/>
            <w:tcBorders>
              <w:top w:val="nil"/>
              <w:left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7" w:type="dxa"/>
            <w:tcBorders>
              <w:top w:val="nil"/>
              <w:left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90" w:type="dxa"/>
            <w:tcBorders>
              <w:top w:val="nil"/>
              <w:left w:val="nil"/>
              <w:right w:val="nil"/>
            </w:tcBorders>
          </w:tcPr>
          <w:p w:rsidR="00C76412" w:rsidRDefault="00C76412">
            <w:pPr>
              <w:spacing w:before="16" w:after="16" w:line="360" w:lineRule="auto"/>
              <w:jc w:val="both"/>
              <w:rPr>
                <w:rFonts w:ascii="Arial" w:eastAsia="Arial" w:hAnsi="Arial" w:cs="Arial"/>
              </w:rPr>
            </w:pPr>
          </w:p>
        </w:tc>
        <w:tc>
          <w:tcPr>
            <w:tcW w:w="350" w:type="dxa"/>
            <w:tcBorders>
              <w:top w:val="nil"/>
              <w:left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328" w:type="dxa"/>
            <w:tcBorders>
              <w:top w:val="nil"/>
              <w:left w:val="nil"/>
              <w:right w:val="nil"/>
            </w:tcBorders>
          </w:tcPr>
          <w:p w:rsidR="00C76412" w:rsidRDefault="00C76412">
            <w:pPr>
              <w:spacing w:before="16" w:after="16" w:line="360" w:lineRule="auto"/>
              <w:jc w:val="both"/>
              <w:rPr>
                <w:rFonts w:ascii="Arial" w:eastAsia="Arial" w:hAnsi="Arial" w:cs="Arial"/>
              </w:rPr>
            </w:pPr>
          </w:p>
        </w:tc>
        <w:tc>
          <w:tcPr>
            <w:tcW w:w="373" w:type="dxa"/>
            <w:tcBorders>
              <w:top w:val="nil"/>
              <w:left w:val="nil"/>
              <w:right w:val="nil"/>
            </w:tcBorders>
          </w:tcPr>
          <w:p w:rsidR="00C76412" w:rsidRDefault="00C76412">
            <w:pPr>
              <w:spacing w:before="16" w:after="16" w:line="360" w:lineRule="auto"/>
              <w:jc w:val="both"/>
              <w:rPr>
                <w:rFonts w:ascii="Arial" w:eastAsia="Arial" w:hAnsi="Arial" w:cs="Arial"/>
              </w:rPr>
            </w:pPr>
          </w:p>
        </w:tc>
        <w:tc>
          <w:tcPr>
            <w:tcW w:w="328" w:type="dxa"/>
            <w:tcBorders>
              <w:top w:val="nil"/>
              <w:left w:val="nil"/>
              <w:right w:val="nil"/>
            </w:tcBorders>
          </w:tcPr>
          <w:p w:rsidR="00C76412" w:rsidRDefault="00C76412">
            <w:pPr>
              <w:spacing w:before="16" w:after="16" w:line="360" w:lineRule="auto"/>
              <w:jc w:val="both"/>
              <w:rPr>
                <w:rFonts w:ascii="Arial" w:eastAsia="Arial" w:hAnsi="Arial" w:cs="Arial"/>
              </w:rPr>
            </w:pPr>
          </w:p>
        </w:tc>
        <w:tc>
          <w:tcPr>
            <w:tcW w:w="412" w:type="dxa"/>
            <w:tcBorders>
              <w:top w:val="nil"/>
              <w:left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12" w:type="dxa"/>
            <w:tcBorders>
              <w:top w:val="nil"/>
              <w:left w:val="nil"/>
              <w:right w:val="nil"/>
            </w:tcBorders>
          </w:tcPr>
          <w:p w:rsidR="00C76412" w:rsidRDefault="00D100D2">
            <w:pPr>
              <w:spacing w:before="16" w:after="16" w:line="360" w:lineRule="auto"/>
              <w:jc w:val="both"/>
              <w:rPr>
                <w:rFonts w:ascii="Arial" w:eastAsia="Arial" w:hAnsi="Arial" w:cs="Arial"/>
              </w:rPr>
            </w:pPr>
            <w:r>
              <w:rPr>
                <w:rFonts w:ascii="Arial" w:eastAsia="Arial" w:hAnsi="Arial" w:cs="Arial"/>
              </w:rPr>
              <w:t>X</w:t>
            </w:r>
          </w:p>
        </w:tc>
        <w:tc>
          <w:tcPr>
            <w:tcW w:w="463" w:type="dxa"/>
            <w:tcBorders>
              <w:top w:val="nil"/>
              <w:left w:val="nil"/>
              <w:right w:val="nil"/>
            </w:tcBorders>
          </w:tcPr>
          <w:p w:rsidR="00C76412" w:rsidRDefault="00C76412">
            <w:pPr>
              <w:spacing w:before="16" w:after="16" w:line="360" w:lineRule="auto"/>
              <w:jc w:val="both"/>
              <w:rPr>
                <w:rFonts w:ascii="Arial" w:eastAsia="Arial" w:hAnsi="Arial" w:cs="Arial"/>
              </w:rPr>
            </w:pPr>
          </w:p>
        </w:tc>
      </w:tr>
    </w:tbl>
    <w:p w:rsidR="00C76412" w:rsidRDefault="00D100D2">
      <w:pPr>
        <w:spacing w:before="240" w:after="240" w:line="276" w:lineRule="auto"/>
        <w:ind w:firstLine="720"/>
        <w:jc w:val="both"/>
        <w:rPr>
          <w:rFonts w:ascii="Arial" w:eastAsia="Arial" w:hAnsi="Arial" w:cs="Arial"/>
        </w:rPr>
      </w:pPr>
      <w:bookmarkStart w:id="7" w:name="_f6qc53p6n4uv" w:colFirst="0" w:colLast="0"/>
      <w:bookmarkEnd w:id="7"/>
      <w:r>
        <w:rPr>
          <w:rFonts w:ascii="Arial" w:eastAsia="Arial" w:hAnsi="Arial" w:cs="Arial"/>
        </w:rPr>
        <w:t>(1) sequence generation, (2) baseline characteristics, (3) allocation concealment, (4) random housing, (5) blinding of caregivers/investigators, (6) blinding of outcome assessors, (7) random outcome assessment, (8) incomplete outcome data, (9) selective ou</w:t>
      </w:r>
      <w:r>
        <w:rPr>
          <w:rFonts w:ascii="Arial" w:eastAsia="Arial" w:hAnsi="Arial" w:cs="Arial"/>
        </w:rPr>
        <w:t>tcome reporting, and (10) other potential sources of bias.</w:t>
      </w:r>
    </w:p>
    <w:p w:rsidR="00C76412" w:rsidRDefault="00C76412">
      <w:pPr>
        <w:spacing w:before="240" w:after="240"/>
        <w:jc w:val="both"/>
        <w:rPr>
          <w:rFonts w:ascii="Arial" w:eastAsia="Arial" w:hAnsi="Arial" w:cs="Arial"/>
        </w:rPr>
      </w:pPr>
    </w:p>
    <w:p w:rsidR="00C76412" w:rsidRDefault="00D100D2">
      <w:pPr>
        <w:pStyle w:val="Heading3"/>
        <w:keepNext w:val="0"/>
        <w:keepLines w:val="0"/>
        <w:ind w:firstLine="720"/>
        <w:jc w:val="both"/>
        <w:rPr>
          <w:rFonts w:ascii="Arial" w:eastAsia="Arial" w:hAnsi="Arial" w:cs="Arial"/>
          <w:sz w:val="22"/>
          <w:szCs w:val="22"/>
        </w:rPr>
      </w:pPr>
      <w:bookmarkStart w:id="8" w:name="_dulnjvthkiy0" w:colFirst="0" w:colLast="0"/>
      <w:bookmarkEnd w:id="8"/>
      <w:r>
        <w:rPr>
          <w:rFonts w:ascii="Arial" w:eastAsia="Arial" w:hAnsi="Arial" w:cs="Arial"/>
          <w:sz w:val="22"/>
          <w:szCs w:val="22"/>
        </w:rPr>
        <w:t>2.7 Data Synthesis</w:t>
      </w:r>
    </w:p>
    <w:p w:rsidR="00C76412" w:rsidRDefault="00D100D2">
      <w:pPr>
        <w:spacing w:before="240" w:after="240"/>
        <w:ind w:firstLine="720"/>
        <w:jc w:val="both"/>
        <w:rPr>
          <w:rFonts w:ascii="Arial" w:eastAsia="Arial" w:hAnsi="Arial" w:cs="Arial"/>
        </w:rPr>
      </w:pPr>
      <w:r>
        <w:rPr>
          <w:rFonts w:ascii="Arial" w:eastAsia="Arial" w:hAnsi="Arial" w:cs="Arial"/>
        </w:rPr>
        <w:t>Due to the expected heterogeneity of the included studies like: arising from differences in animal models, induction protocols for hepatic injury, extract types, doses, and eval</w:t>
      </w:r>
      <w:r>
        <w:rPr>
          <w:rFonts w:ascii="Arial" w:eastAsia="Arial" w:hAnsi="Arial" w:cs="Arial"/>
        </w:rPr>
        <w:t xml:space="preserve">uation methods, a narrative synthesis was selected as the primary analytical approach. Results were systematically organized to compare animal models and induction methods, types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preparations (aqueous, hydroalcoholic, or methanolic extra</w:t>
      </w:r>
      <w:r>
        <w:rPr>
          <w:rFonts w:ascii="Arial" w:eastAsia="Arial" w:hAnsi="Arial" w:cs="Arial"/>
        </w:rPr>
        <w:t>cts), administered doses, and treatment durations. Biochemical parameters such as AST and ALT, when available, were analyzed alongside histopathological descriptions, including necrosis, steatosis, inflammatory infiltration, and vacuolization.</w:t>
      </w:r>
    </w:p>
    <w:p w:rsidR="00C76412" w:rsidRDefault="00D100D2">
      <w:pPr>
        <w:spacing w:before="240" w:after="240"/>
        <w:ind w:firstLine="720"/>
        <w:jc w:val="both"/>
        <w:rPr>
          <w:rFonts w:ascii="Arial" w:eastAsia="Arial" w:hAnsi="Arial" w:cs="Arial"/>
          <w:sz w:val="24"/>
          <w:szCs w:val="24"/>
        </w:rPr>
        <w:sectPr w:rsidR="00C76412">
          <w:headerReference w:type="even" r:id="rId14"/>
          <w:headerReference w:type="default" r:id="rId15"/>
          <w:footerReference w:type="default" r:id="rId16"/>
          <w:headerReference w:type="first" r:id="rId17"/>
          <w:type w:val="continuous"/>
          <w:pgSz w:w="12240" w:h="15840"/>
          <w:pgMar w:top="1440" w:right="2018" w:bottom="2018" w:left="2018" w:header="720" w:footer="1123" w:gutter="0"/>
          <w:cols w:space="720"/>
        </w:sectPr>
      </w:pPr>
      <w:r>
        <w:rPr>
          <w:rFonts w:ascii="Arial" w:eastAsia="Arial" w:hAnsi="Arial" w:cs="Arial"/>
        </w:rPr>
        <w:t xml:space="preserve">This structured synthesis enabled the identification of consistent patterns and divergences in the reported hepatoprotective effects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Potential factors contributing to discrepancies, such as methodological variability, dosing strategies, and exposure duration, were considered in the interpretation of the finding.</w:t>
      </w:r>
    </w:p>
    <w:p w:rsidR="00C76412" w:rsidRDefault="00D100D2">
      <w:pPr>
        <w:spacing w:before="240" w:after="240" w:line="276" w:lineRule="auto"/>
        <w:jc w:val="both"/>
        <w:rPr>
          <w:rFonts w:ascii="Arial" w:eastAsia="Arial" w:hAnsi="Arial" w:cs="Arial"/>
          <w:b/>
          <w:smallCaps/>
          <w:sz w:val="22"/>
          <w:szCs w:val="22"/>
        </w:rPr>
      </w:pPr>
      <w:r>
        <w:rPr>
          <w:rFonts w:ascii="Arial" w:eastAsia="Arial" w:hAnsi="Arial" w:cs="Arial"/>
          <w:b/>
          <w:smallCaps/>
          <w:sz w:val="22"/>
          <w:szCs w:val="22"/>
        </w:rPr>
        <w:lastRenderedPageBreak/>
        <w:t>3. results and discussion</w:t>
      </w:r>
    </w:p>
    <w:p w:rsidR="00C76412" w:rsidRDefault="00D100D2">
      <w:pPr>
        <w:spacing w:before="240" w:after="240" w:line="276" w:lineRule="auto"/>
        <w:ind w:firstLine="720"/>
        <w:jc w:val="both"/>
        <w:rPr>
          <w:rFonts w:ascii="Arial" w:eastAsia="Arial" w:hAnsi="Arial" w:cs="Arial"/>
        </w:rPr>
      </w:pPr>
      <w:r>
        <w:rPr>
          <w:rFonts w:ascii="Arial" w:eastAsia="Arial" w:hAnsi="Arial" w:cs="Arial"/>
          <w:b/>
        </w:rPr>
        <w:t xml:space="preserve">Table 2. </w:t>
      </w:r>
      <w:r>
        <w:rPr>
          <w:rFonts w:ascii="Arial" w:eastAsia="Arial" w:hAnsi="Arial" w:cs="Arial"/>
        </w:rPr>
        <w:t>Summary of the main findings of the st</w:t>
      </w:r>
      <w:r>
        <w:rPr>
          <w:rFonts w:ascii="Arial" w:eastAsia="Arial" w:hAnsi="Arial" w:cs="Arial"/>
        </w:rPr>
        <w:t>udies included in the review.</w:t>
      </w:r>
    </w:p>
    <w:tbl>
      <w:tblPr>
        <w:tblStyle w:val="a1"/>
        <w:tblW w:w="1324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00"/>
        <w:gridCol w:w="1155"/>
        <w:gridCol w:w="1560"/>
        <w:gridCol w:w="1260"/>
        <w:gridCol w:w="1560"/>
        <w:gridCol w:w="975"/>
        <w:gridCol w:w="1215"/>
        <w:gridCol w:w="1125"/>
        <w:gridCol w:w="1290"/>
        <w:gridCol w:w="1905"/>
      </w:tblGrid>
      <w:tr w:rsidR="00C76412">
        <w:trPr>
          <w:trHeight w:val="705"/>
        </w:trPr>
        <w:tc>
          <w:tcPr>
            <w:tcW w:w="1200" w:type="dxa"/>
            <w:tcBorders>
              <w:top w:val="single" w:sz="8" w:space="0" w:color="000000"/>
              <w:left w:val="single" w:sz="8" w:space="0" w:color="000000"/>
              <w:bottom w:val="single" w:sz="8" w:space="0" w:color="000000"/>
              <w:right w:val="single" w:sz="8" w:space="0" w:color="000000"/>
            </w:tcBorders>
            <w:shd w:val="clear" w:color="auto" w:fill="CCCCCC"/>
            <w:tcMar>
              <w:top w:w="0" w:type="dxa"/>
              <w:left w:w="100" w:type="dxa"/>
              <w:bottom w:w="0" w:type="dxa"/>
              <w:right w:w="100" w:type="dxa"/>
            </w:tcMar>
          </w:tcPr>
          <w:p w:rsidR="00C76412" w:rsidRDefault="00D100D2">
            <w:pPr>
              <w:spacing w:line="276" w:lineRule="auto"/>
              <w:jc w:val="center"/>
              <w:rPr>
                <w:rFonts w:ascii="Arial" w:eastAsia="Arial" w:hAnsi="Arial" w:cs="Arial"/>
                <w:b/>
              </w:rPr>
            </w:pPr>
            <w:r>
              <w:rPr>
                <w:rFonts w:ascii="Arial" w:eastAsia="Arial" w:hAnsi="Arial" w:cs="Arial"/>
                <w:b/>
              </w:rPr>
              <w:t>STUDY</w:t>
            </w:r>
          </w:p>
        </w:tc>
        <w:tc>
          <w:tcPr>
            <w:tcW w:w="1155"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C76412" w:rsidRDefault="00D100D2">
            <w:pPr>
              <w:spacing w:line="276" w:lineRule="auto"/>
              <w:jc w:val="center"/>
              <w:rPr>
                <w:rFonts w:ascii="Arial" w:eastAsia="Arial" w:hAnsi="Arial" w:cs="Arial"/>
                <w:b/>
              </w:rPr>
            </w:pPr>
            <w:r>
              <w:rPr>
                <w:rFonts w:ascii="Arial" w:eastAsia="Arial" w:hAnsi="Arial" w:cs="Arial"/>
                <w:b/>
              </w:rPr>
              <w:t>ANIMAL MODEL</w:t>
            </w:r>
          </w:p>
        </w:tc>
        <w:tc>
          <w:tcPr>
            <w:tcW w:w="1560"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C76412" w:rsidRDefault="00D100D2">
            <w:pPr>
              <w:spacing w:line="276" w:lineRule="auto"/>
              <w:jc w:val="center"/>
              <w:rPr>
                <w:rFonts w:ascii="Arial" w:eastAsia="Arial" w:hAnsi="Arial" w:cs="Arial"/>
                <w:b/>
              </w:rPr>
            </w:pPr>
            <w:r>
              <w:rPr>
                <w:rFonts w:ascii="Arial" w:eastAsia="Arial" w:hAnsi="Arial" w:cs="Arial"/>
                <w:b/>
              </w:rPr>
              <w:t>INDUCTION OF LIVER INJURY</w:t>
            </w:r>
          </w:p>
        </w:tc>
        <w:tc>
          <w:tcPr>
            <w:tcW w:w="1260"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C76412" w:rsidRDefault="00D100D2">
            <w:pPr>
              <w:spacing w:line="276" w:lineRule="auto"/>
              <w:jc w:val="center"/>
              <w:rPr>
                <w:rFonts w:ascii="Arial" w:eastAsia="Arial" w:hAnsi="Arial" w:cs="Arial"/>
                <w:b/>
              </w:rPr>
            </w:pPr>
            <w:r>
              <w:rPr>
                <w:rFonts w:ascii="Arial" w:eastAsia="Arial" w:hAnsi="Arial" w:cs="Arial"/>
                <w:b/>
              </w:rPr>
              <w:t>EXPOSURE TIME</w:t>
            </w:r>
          </w:p>
        </w:tc>
        <w:tc>
          <w:tcPr>
            <w:tcW w:w="1560"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C76412" w:rsidRDefault="00D100D2">
            <w:pPr>
              <w:spacing w:line="276" w:lineRule="auto"/>
              <w:jc w:val="center"/>
              <w:rPr>
                <w:rFonts w:ascii="Arial" w:eastAsia="Arial" w:hAnsi="Arial" w:cs="Arial"/>
                <w:b/>
              </w:rPr>
            </w:pPr>
            <w:r>
              <w:rPr>
                <w:rFonts w:ascii="Arial" w:eastAsia="Arial" w:hAnsi="Arial" w:cs="Arial"/>
                <w:b/>
              </w:rPr>
              <w:t>INTERVENTION (</w:t>
            </w:r>
            <w:proofErr w:type="spellStart"/>
            <w:r>
              <w:rPr>
                <w:rFonts w:ascii="Arial" w:eastAsia="Arial" w:hAnsi="Arial" w:cs="Arial"/>
                <w:b/>
                <w:i/>
              </w:rPr>
              <w:t>Syzygium</w:t>
            </w:r>
            <w:proofErr w:type="spellEnd"/>
            <w:r>
              <w:rPr>
                <w:rFonts w:ascii="Arial" w:eastAsia="Arial" w:hAnsi="Arial" w:cs="Arial"/>
                <w:b/>
                <w:i/>
              </w:rPr>
              <w:t xml:space="preserve"> </w:t>
            </w:r>
            <w:proofErr w:type="spellStart"/>
            <w:r>
              <w:rPr>
                <w:rFonts w:ascii="Arial" w:eastAsia="Arial" w:hAnsi="Arial" w:cs="Arial"/>
                <w:b/>
                <w:i/>
              </w:rPr>
              <w:t>cumini</w:t>
            </w:r>
            <w:proofErr w:type="spellEnd"/>
            <w:r>
              <w:rPr>
                <w:rFonts w:ascii="Arial" w:eastAsia="Arial" w:hAnsi="Arial" w:cs="Arial"/>
                <w:b/>
              </w:rPr>
              <w:t>)</w:t>
            </w:r>
          </w:p>
        </w:tc>
        <w:tc>
          <w:tcPr>
            <w:tcW w:w="975"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C76412" w:rsidRDefault="00D100D2">
            <w:pPr>
              <w:spacing w:line="276" w:lineRule="auto"/>
              <w:jc w:val="center"/>
              <w:rPr>
                <w:rFonts w:ascii="Arial" w:eastAsia="Arial" w:hAnsi="Arial" w:cs="Arial"/>
                <w:b/>
              </w:rPr>
            </w:pPr>
            <w:r>
              <w:rPr>
                <w:rFonts w:ascii="Arial" w:eastAsia="Arial" w:hAnsi="Arial" w:cs="Arial"/>
                <w:b/>
              </w:rPr>
              <w:t>DOSE</w:t>
            </w:r>
          </w:p>
        </w:tc>
        <w:tc>
          <w:tcPr>
            <w:tcW w:w="1215"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C76412" w:rsidRDefault="00D100D2">
            <w:pPr>
              <w:spacing w:line="276" w:lineRule="auto"/>
              <w:jc w:val="center"/>
              <w:rPr>
                <w:rFonts w:ascii="Arial" w:eastAsia="Arial" w:hAnsi="Arial" w:cs="Arial"/>
                <w:b/>
              </w:rPr>
            </w:pPr>
            <w:r>
              <w:rPr>
                <w:rFonts w:ascii="Arial" w:eastAsia="Arial" w:hAnsi="Arial" w:cs="Arial"/>
                <w:b/>
              </w:rPr>
              <w:t>DURATION</w:t>
            </w:r>
          </w:p>
        </w:tc>
        <w:tc>
          <w:tcPr>
            <w:tcW w:w="1125"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C76412" w:rsidRDefault="00D100D2">
            <w:pPr>
              <w:spacing w:line="276" w:lineRule="auto"/>
              <w:jc w:val="center"/>
              <w:rPr>
                <w:rFonts w:ascii="Arial" w:eastAsia="Arial" w:hAnsi="Arial" w:cs="Arial"/>
                <w:b/>
              </w:rPr>
            </w:pPr>
            <w:r>
              <w:rPr>
                <w:rFonts w:ascii="Arial" w:eastAsia="Arial" w:hAnsi="Arial" w:cs="Arial"/>
                <w:b/>
              </w:rPr>
              <w:t>AST (U/L)</w:t>
            </w:r>
          </w:p>
        </w:tc>
        <w:tc>
          <w:tcPr>
            <w:tcW w:w="1290"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C76412" w:rsidRDefault="00D100D2">
            <w:pPr>
              <w:spacing w:line="276" w:lineRule="auto"/>
              <w:jc w:val="center"/>
              <w:rPr>
                <w:rFonts w:ascii="Arial" w:eastAsia="Arial" w:hAnsi="Arial" w:cs="Arial"/>
                <w:b/>
              </w:rPr>
            </w:pPr>
            <w:r>
              <w:rPr>
                <w:rFonts w:ascii="Arial" w:eastAsia="Arial" w:hAnsi="Arial" w:cs="Arial"/>
                <w:b/>
              </w:rPr>
              <w:t>ALT (U/L)</w:t>
            </w:r>
          </w:p>
        </w:tc>
        <w:tc>
          <w:tcPr>
            <w:tcW w:w="1905" w:type="dxa"/>
            <w:tcBorders>
              <w:top w:val="single" w:sz="8" w:space="0" w:color="000000"/>
              <w:bottom w:val="single" w:sz="8" w:space="0" w:color="000000"/>
              <w:right w:val="single" w:sz="8" w:space="0" w:color="000000"/>
            </w:tcBorders>
            <w:shd w:val="clear" w:color="auto" w:fill="D9D9D9"/>
            <w:tcMar>
              <w:top w:w="20" w:type="dxa"/>
              <w:left w:w="20" w:type="dxa"/>
              <w:bottom w:w="0" w:type="dxa"/>
              <w:right w:w="20" w:type="dxa"/>
            </w:tcMar>
          </w:tcPr>
          <w:p w:rsidR="00C76412" w:rsidRDefault="00D100D2">
            <w:pPr>
              <w:spacing w:line="276" w:lineRule="auto"/>
              <w:jc w:val="center"/>
              <w:rPr>
                <w:rFonts w:ascii="Arial" w:eastAsia="Arial" w:hAnsi="Arial" w:cs="Arial"/>
                <w:b/>
              </w:rPr>
            </w:pPr>
            <w:r>
              <w:rPr>
                <w:rFonts w:ascii="Arial" w:eastAsia="Arial" w:hAnsi="Arial" w:cs="Arial"/>
                <w:b/>
              </w:rPr>
              <w:t xml:space="preserve">HISTOLOGICAL ANALYSIS </w:t>
            </w:r>
          </w:p>
          <w:p w:rsidR="00C76412" w:rsidRDefault="00D100D2">
            <w:pPr>
              <w:spacing w:line="276" w:lineRule="auto"/>
              <w:ind w:right="-440"/>
              <w:jc w:val="both"/>
              <w:rPr>
                <w:rFonts w:ascii="Arial" w:eastAsia="Arial" w:hAnsi="Arial" w:cs="Arial"/>
                <w:b/>
              </w:rPr>
            </w:pPr>
            <w:r>
              <w:rPr>
                <w:rFonts w:ascii="Arial" w:eastAsia="Arial" w:hAnsi="Arial" w:cs="Arial"/>
                <w:b/>
              </w:rPr>
              <w:t xml:space="preserve"> </w:t>
            </w:r>
          </w:p>
        </w:tc>
      </w:tr>
      <w:tr w:rsidR="00C76412">
        <w:trPr>
          <w:trHeight w:val="9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rPr>
            </w:pPr>
            <w:proofErr w:type="gramStart"/>
            <w:r>
              <w:rPr>
                <w:rFonts w:ascii="Arial" w:eastAsia="Arial" w:hAnsi="Arial" w:cs="Arial"/>
                <w:b/>
              </w:rPr>
              <w:t>Ahmad  et al.</w:t>
            </w:r>
            <w:proofErr w:type="gramEnd"/>
            <w:r>
              <w:rPr>
                <w:rFonts w:ascii="Arial" w:eastAsia="Arial" w:hAnsi="Arial" w:cs="Arial"/>
                <w:b/>
              </w:rPr>
              <w:t xml:space="preserve"> (2017)</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color w:val="222222"/>
                <w:highlight w:val="white"/>
              </w:rPr>
            </w:pPr>
            <w:r>
              <w:rPr>
                <w:rFonts w:ascii="Arial" w:eastAsia="Arial" w:hAnsi="Arial" w:cs="Arial"/>
                <w:color w:val="222222"/>
                <w:highlight w:val="white"/>
              </w:rPr>
              <w:t>Adult male mice</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before="240" w:after="240"/>
              <w:jc w:val="center"/>
              <w:rPr>
                <w:rFonts w:ascii="Arial" w:eastAsia="Arial" w:hAnsi="Arial" w:cs="Arial"/>
              </w:rPr>
            </w:pPr>
            <w:proofErr w:type="spellStart"/>
            <w:r>
              <w:rPr>
                <w:rFonts w:ascii="Arial" w:eastAsia="Arial" w:hAnsi="Arial" w:cs="Arial"/>
              </w:rPr>
              <w:t>NaF</w:t>
            </w:r>
            <w:proofErr w:type="spellEnd"/>
            <w:r>
              <w:rPr>
                <w:rFonts w:ascii="Arial" w:eastAsia="Arial" w:hAnsi="Arial" w:cs="Arial"/>
              </w:rPr>
              <w:t xml:space="preserve"> (50 ppm) solution</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color w:val="333333"/>
              </w:rPr>
            </w:pPr>
            <w:r>
              <w:rPr>
                <w:rFonts w:ascii="Arial" w:eastAsia="Arial" w:hAnsi="Arial" w:cs="Arial"/>
                <w:color w:val="333333"/>
              </w:rPr>
              <w:t>15 days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before="240" w:after="240"/>
              <w:jc w:val="center"/>
              <w:rPr>
                <w:rFonts w:ascii="Arial" w:eastAsia="Arial" w:hAnsi="Arial" w:cs="Arial"/>
              </w:rPr>
            </w:pPr>
            <w:r>
              <w:rPr>
                <w:rFonts w:ascii="Arial" w:eastAsia="Arial" w:hAnsi="Arial" w:cs="Arial"/>
              </w:rPr>
              <w:t xml:space="preserve">Fruit extract </w:t>
            </w:r>
          </w:p>
          <w:p w:rsidR="00C76412" w:rsidRDefault="00C76412">
            <w:pPr>
              <w:jc w:val="center"/>
              <w:rPr>
                <w:rFonts w:ascii="Arial" w:eastAsia="Arial" w:hAnsi="Arial" w:cs="Arial"/>
              </w:rPr>
            </w:pP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rPr>
            </w:pPr>
            <w:r>
              <w:rPr>
                <w:rFonts w:ascii="Arial" w:eastAsia="Arial" w:hAnsi="Arial" w:cs="Arial"/>
              </w:rPr>
              <w:t>Not clearly specified in U/L terms, reported as dietary supplementation</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rPr>
            </w:pPr>
            <w:r>
              <w:rPr>
                <w:rFonts w:ascii="Arial" w:eastAsia="Arial" w:hAnsi="Arial" w:cs="Arial"/>
              </w:rPr>
              <w:t>15 days</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rPr>
            </w:pPr>
            <w:r>
              <w:rPr>
                <w:rFonts w:ascii="Arial" w:eastAsia="Arial" w:hAnsi="Arial" w:cs="Arial"/>
              </w:rPr>
              <w:t>Not reported</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rPr>
            </w:pPr>
            <w:r>
              <w:rPr>
                <w:rFonts w:ascii="Arial" w:eastAsia="Arial" w:hAnsi="Arial" w:cs="Arial"/>
              </w:rPr>
              <w:t>Not reported</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rPr>
            </w:pPr>
            <w:r>
              <w:rPr>
                <w:rFonts w:ascii="Arial" w:eastAsia="Arial" w:hAnsi="Arial" w:cs="Arial"/>
              </w:rPr>
              <w:t>Partial restoration of hepatocyte cross-sectional area</w:t>
            </w:r>
          </w:p>
        </w:tc>
      </w:tr>
      <w:tr w:rsidR="00C76412">
        <w:trPr>
          <w:trHeight w:val="9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rPr>
            </w:pPr>
            <w:r>
              <w:rPr>
                <w:rFonts w:ascii="Arial" w:eastAsia="Arial" w:hAnsi="Arial" w:cs="Arial"/>
                <w:b/>
              </w:rPr>
              <w:t>Abbas et al. (2016)</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color w:val="222222"/>
                <w:highlight w:val="white"/>
              </w:rPr>
            </w:pPr>
            <w:r>
              <w:rPr>
                <w:rFonts w:ascii="Arial" w:eastAsia="Arial" w:hAnsi="Arial" w:cs="Arial"/>
                <w:color w:val="222222"/>
                <w:highlight w:val="white"/>
              </w:rPr>
              <w:t>Male albino mice</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before="240" w:after="240"/>
              <w:rPr>
                <w:rFonts w:ascii="Arial" w:eastAsia="Arial" w:hAnsi="Arial" w:cs="Arial"/>
              </w:rPr>
            </w:pPr>
            <w:proofErr w:type="spellStart"/>
            <w:r>
              <w:rPr>
                <w:rFonts w:ascii="Arial" w:eastAsia="Arial" w:hAnsi="Arial" w:cs="Arial"/>
              </w:rPr>
              <w:t>K₂Cr₂O</w:t>
            </w:r>
            <w:proofErr w:type="spellEnd"/>
            <w:r>
              <w:rPr>
                <w:rFonts w:ascii="Arial" w:eastAsia="Arial" w:hAnsi="Arial" w:cs="Arial"/>
              </w:rPr>
              <w:t>₇</w:t>
            </w:r>
            <w:r>
              <w:rPr>
                <w:rFonts w:ascii="Arial" w:eastAsia="Arial" w:hAnsi="Arial" w:cs="Arial"/>
              </w:rPr>
              <w:t>, 50 ppm in drinking water</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color w:val="333333"/>
              </w:rPr>
            </w:pPr>
            <w:r>
              <w:rPr>
                <w:rFonts w:ascii="Arial" w:eastAsia="Arial" w:hAnsi="Arial" w:cs="Arial"/>
                <w:color w:val="333333"/>
              </w:rPr>
              <w:t>10 days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before="240" w:after="240"/>
              <w:jc w:val="center"/>
              <w:rPr>
                <w:rFonts w:ascii="Arial" w:eastAsia="Arial" w:hAnsi="Arial" w:cs="Arial"/>
              </w:rPr>
            </w:pPr>
            <w:r>
              <w:rPr>
                <w:rFonts w:ascii="Arial" w:eastAsia="Arial" w:hAnsi="Arial" w:cs="Arial"/>
              </w:rPr>
              <w:t>Fruit extract</w:t>
            </w: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rPr>
            </w:pPr>
            <w:r>
              <w:rPr>
                <w:rFonts w:ascii="Arial" w:eastAsia="Arial" w:hAnsi="Arial" w:cs="Arial"/>
              </w:rPr>
              <w:t>0.25 mL/12 h by oral gavage</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rPr>
            </w:pPr>
            <w:r>
              <w:rPr>
                <w:rFonts w:ascii="Arial" w:eastAsia="Arial" w:hAnsi="Arial" w:cs="Arial"/>
              </w:rPr>
              <w:t>5 days (after Cr exposure)</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rPr>
                <w:rFonts w:ascii="Arial" w:eastAsia="Arial" w:hAnsi="Arial" w:cs="Arial"/>
              </w:rPr>
            </w:pPr>
            <w:r>
              <w:rPr>
                <w:rFonts w:ascii="Arial Unicode MS" w:eastAsia="Arial Unicode MS" w:hAnsi="Arial Unicode MS" w:cs="Arial Unicode MS"/>
              </w:rPr>
              <w:t xml:space="preserve">↑ 186.0 ± 10.2 </w:t>
            </w:r>
          </w:p>
          <w:p w:rsidR="00C76412" w:rsidRDefault="00D100D2">
            <w:pPr>
              <w:jc w:val="center"/>
              <w:rPr>
                <w:rFonts w:ascii="Arial" w:eastAsia="Arial" w:hAnsi="Arial" w:cs="Arial"/>
              </w:rPr>
            </w:pPr>
            <w:proofErr w:type="gramStart"/>
            <w:r>
              <w:rPr>
                <w:rFonts w:ascii="Arial Unicode MS" w:eastAsia="Arial Unicode MS" w:hAnsi="Arial Unicode MS" w:cs="Arial Unicode MS"/>
              </w:rPr>
              <w:t>after  ↓</w:t>
            </w:r>
            <w:proofErr w:type="gramEnd"/>
            <w:r>
              <w:rPr>
                <w:rFonts w:ascii="Arial Unicode MS" w:eastAsia="Arial Unicode MS" w:hAnsi="Arial Unicode MS" w:cs="Arial Unicode MS"/>
              </w:rPr>
              <w:t xml:space="preserve"> 156.5 ± 5.5 </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rPr>
                <w:rFonts w:ascii="Arial" w:eastAsia="Arial" w:hAnsi="Arial" w:cs="Arial"/>
              </w:rPr>
            </w:pPr>
            <w:r>
              <w:rPr>
                <w:rFonts w:ascii="Arial Unicode MS" w:eastAsia="Arial Unicode MS" w:hAnsi="Arial Unicode MS" w:cs="Arial Unicode MS"/>
              </w:rPr>
              <w:t xml:space="preserve">↑ 79.1 ± 4.7 </w:t>
            </w:r>
            <w:proofErr w:type="gramStart"/>
            <w:r>
              <w:rPr>
                <w:rFonts w:ascii="Arial Unicode MS" w:eastAsia="Arial Unicode MS" w:hAnsi="Arial Unicode MS" w:cs="Arial Unicode MS"/>
              </w:rPr>
              <w:t>after  ↓</w:t>
            </w:r>
            <w:proofErr w:type="gramEnd"/>
            <w:r>
              <w:rPr>
                <w:rFonts w:ascii="Arial Unicode MS" w:eastAsia="Arial Unicode MS" w:hAnsi="Arial Unicode MS" w:cs="Arial Unicode MS"/>
              </w:rPr>
              <w:t xml:space="preserve"> 50.0 ± 3.2 </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jc w:val="center"/>
              <w:rPr>
                <w:rFonts w:ascii="Arial" w:eastAsia="Arial" w:hAnsi="Arial" w:cs="Arial"/>
              </w:rPr>
            </w:pPr>
            <w:r>
              <w:rPr>
                <w:rFonts w:ascii="Arial" w:eastAsia="Arial" w:hAnsi="Arial" w:cs="Arial"/>
              </w:rPr>
              <w:t>Partial restoration of hepatocyte architecture, reduction in necrosis and cirrhosis, improved regeneration of hepa</w:t>
            </w:r>
            <w:r>
              <w:rPr>
                <w:rFonts w:ascii="Arial" w:eastAsia="Arial" w:hAnsi="Arial" w:cs="Arial"/>
              </w:rPr>
              <w:t>tic cords, attenuation of dehydration and vacuolization.</w:t>
            </w:r>
          </w:p>
        </w:tc>
      </w:tr>
      <w:tr w:rsidR="00C76412">
        <w:trPr>
          <w:trHeight w:val="9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rPr>
            </w:pPr>
            <w:r>
              <w:rPr>
                <w:rFonts w:ascii="Arial" w:eastAsia="Arial" w:hAnsi="Arial" w:cs="Arial"/>
                <w:b/>
              </w:rPr>
              <w:t xml:space="preserve"> </w:t>
            </w:r>
          </w:p>
          <w:p w:rsidR="00C76412" w:rsidRDefault="00D100D2">
            <w:pPr>
              <w:spacing w:line="276" w:lineRule="auto"/>
              <w:jc w:val="center"/>
              <w:rPr>
                <w:rFonts w:ascii="Arial" w:eastAsia="Arial" w:hAnsi="Arial" w:cs="Arial"/>
                <w:b/>
              </w:rPr>
            </w:pPr>
            <w:r>
              <w:rPr>
                <w:rFonts w:ascii="Arial" w:eastAsia="Arial" w:hAnsi="Arial" w:cs="Arial"/>
                <w:b/>
              </w:rPr>
              <w:t>MORESCO et al. (2007)</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222222"/>
                <w:highlight w:val="white"/>
              </w:rPr>
            </w:pPr>
            <w:r>
              <w:rPr>
                <w:rFonts w:ascii="Arial" w:eastAsia="Arial" w:hAnsi="Arial" w:cs="Arial"/>
                <w:color w:val="222222"/>
                <w:highlight w:val="white"/>
              </w:rPr>
              <w:t>Albino Wistar rat</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proofErr w:type="spellStart"/>
            <w:r>
              <w:rPr>
                <w:rFonts w:ascii="Arial" w:eastAsia="Arial" w:hAnsi="Arial" w:cs="Arial"/>
              </w:rPr>
              <w:t>CCl</w:t>
            </w:r>
            <w:proofErr w:type="spellEnd"/>
            <w:r>
              <w:rPr>
                <w:rFonts w:ascii="Arial" w:eastAsia="Arial" w:hAnsi="Arial" w:cs="Arial"/>
              </w:rPr>
              <w:t xml:space="preserve">₄ (0,5 mL/kg, </w:t>
            </w:r>
            <w:proofErr w:type="spellStart"/>
            <w:r>
              <w:rPr>
                <w:rFonts w:ascii="Arial" w:eastAsia="Arial" w:hAnsi="Arial" w:cs="Arial"/>
              </w:rPr>
              <w:t>ip</w:t>
            </w:r>
            <w:proofErr w:type="spellEnd"/>
            <w:r>
              <w:rPr>
                <w:rFonts w:ascii="Arial" w:eastAsia="Arial" w:hAnsi="Arial" w:cs="Arial"/>
              </w:rPr>
              <w:t>)</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color w:val="333333"/>
              </w:rPr>
              <w:t>Single dose</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Aqueous leaf extract</w:t>
            </w: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0,9 g/kg/day</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7 days</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after 12h 500 → 220 U/L</w:t>
            </w:r>
          </w:p>
          <w:p w:rsidR="00C76412" w:rsidRDefault="00D100D2">
            <w:pPr>
              <w:spacing w:line="276" w:lineRule="auto"/>
              <w:jc w:val="both"/>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after 24h 450 → 220 U/L</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after12h 290 → 85 U/L</w:t>
            </w:r>
          </w:p>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24h 240 → 90 U/L</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Not reported</w:t>
            </w:r>
          </w:p>
        </w:tc>
      </w:tr>
      <w:tr w:rsidR="00C76412">
        <w:trPr>
          <w:trHeight w:val="1140"/>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rPr>
            </w:pPr>
            <w:r>
              <w:rPr>
                <w:rFonts w:ascii="Arial" w:eastAsia="Arial" w:hAnsi="Arial" w:cs="Arial"/>
                <w:b/>
              </w:rPr>
              <w:lastRenderedPageBreak/>
              <w:t>SOUZA (2018)</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222222"/>
              </w:rPr>
            </w:pPr>
            <w:r>
              <w:rPr>
                <w:rFonts w:ascii="Arial" w:eastAsia="Arial" w:hAnsi="Arial" w:cs="Arial"/>
                <w:color w:val="222222"/>
              </w:rPr>
              <w:t>Swiss mouse</w:t>
            </w:r>
          </w:p>
          <w:p w:rsidR="00C76412" w:rsidRDefault="00C76412">
            <w:pPr>
              <w:spacing w:line="276" w:lineRule="auto"/>
              <w:jc w:val="center"/>
              <w:rPr>
                <w:rFonts w:ascii="Arial" w:eastAsia="Arial" w:hAnsi="Arial" w:cs="Arial"/>
                <w:color w:val="222222"/>
              </w:rPr>
            </w:pP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MSG-induced obesity</w:t>
            </w:r>
          </w:p>
          <w:p w:rsidR="00C76412" w:rsidRDefault="00D100D2">
            <w:pPr>
              <w:spacing w:line="276" w:lineRule="auto"/>
              <w:jc w:val="center"/>
              <w:rPr>
                <w:rFonts w:ascii="Arial" w:eastAsia="Arial" w:hAnsi="Arial" w:cs="Arial"/>
              </w:rPr>
            </w:pPr>
            <w:r>
              <w:rPr>
                <w:rFonts w:ascii="Arial" w:eastAsia="Arial" w:hAnsi="Arial" w:cs="Arial"/>
              </w:rPr>
              <w:t xml:space="preserve"> </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10 days on alternate days (5 injections)</w:t>
            </w:r>
          </w:p>
          <w:p w:rsidR="00C76412" w:rsidRDefault="00D100D2">
            <w:pPr>
              <w:spacing w:line="276" w:lineRule="auto"/>
              <w:jc w:val="center"/>
              <w:rPr>
                <w:rFonts w:ascii="Arial" w:eastAsia="Arial" w:hAnsi="Arial" w:cs="Arial"/>
              </w:rPr>
            </w:pPr>
            <w:r>
              <w:rPr>
                <w:rFonts w:ascii="Arial" w:eastAsia="Arial" w:hAnsi="Arial" w:cs="Arial"/>
              </w:rPr>
              <w:t xml:space="preserve"> </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Polyphenol-rich extract</w:t>
            </w: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0,5 g/kg/day</w:t>
            </w:r>
          </w:p>
          <w:p w:rsidR="00C76412" w:rsidRDefault="00D100D2">
            <w:pPr>
              <w:spacing w:line="276" w:lineRule="auto"/>
              <w:jc w:val="center"/>
              <w:rPr>
                <w:rFonts w:ascii="Arial" w:eastAsia="Arial" w:hAnsi="Arial" w:cs="Arial"/>
              </w:rPr>
            </w:pPr>
            <w:r>
              <w:rPr>
                <w:rFonts w:ascii="Arial" w:eastAsia="Arial" w:hAnsi="Arial" w:cs="Arial"/>
              </w:rPr>
              <w:t xml:space="preserve"> </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45 days</w:t>
            </w:r>
          </w:p>
          <w:p w:rsidR="00C76412" w:rsidRDefault="00D100D2">
            <w:pPr>
              <w:spacing w:line="276" w:lineRule="auto"/>
              <w:jc w:val="center"/>
              <w:rPr>
                <w:rFonts w:ascii="Arial" w:eastAsia="Arial" w:hAnsi="Arial" w:cs="Arial"/>
              </w:rPr>
            </w:pPr>
            <w:r>
              <w:rPr>
                <w:rFonts w:ascii="Arial" w:eastAsia="Arial" w:hAnsi="Arial" w:cs="Arial"/>
              </w:rPr>
              <w:t xml:space="preserve"> </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Not reported</w:t>
            </w:r>
          </w:p>
          <w:p w:rsidR="00C76412" w:rsidRDefault="00D100D2">
            <w:pPr>
              <w:spacing w:line="276" w:lineRule="auto"/>
              <w:jc w:val="center"/>
              <w:rPr>
                <w:rFonts w:ascii="Arial" w:eastAsia="Arial" w:hAnsi="Arial" w:cs="Arial"/>
              </w:rPr>
            </w:pPr>
            <w:r>
              <w:rPr>
                <w:rFonts w:ascii="Arial" w:eastAsia="Arial" w:hAnsi="Arial" w:cs="Arial"/>
              </w:rPr>
              <w:t xml:space="preserve"> </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Not reported</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Improvement of metabolic parameters, attenuation of steatosis and inflammation</w:t>
            </w:r>
          </w:p>
        </w:tc>
      </w:tr>
      <w:tr w:rsidR="00C76412">
        <w:trPr>
          <w:trHeight w:val="1590"/>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rPr>
            </w:pPr>
            <w:r>
              <w:rPr>
                <w:rFonts w:ascii="Arial" w:eastAsia="Arial" w:hAnsi="Arial" w:cs="Arial"/>
                <w:b/>
              </w:rPr>
              <w:t>FRANÇA et al. (2018)</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Wistar rat &amp; Swiss mouse</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Obesity + Hypertriglyceridemia (Triton WR1339)</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8 weeks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Hydroalcoholic leaf extract</w:t>
            </w: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0,5 - 1,0 g/kg/day</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8 weeks</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Not reported</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Not reported</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Reduction of inflammation, hepatic steatosis, and hepatocellular ballooning</w:t>
            </w:r>
          </w:p>
        </w:tc>
      </w:tr>
      <w:tr w:rsidR="00C76412">
        <w:trPr>
          <w:trHeight w:val="1590"/>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rPr>
            </w:pPr>
            <w:r>
              <w:rPr>
                <w:rFonts w:ascii="Arial" w:eastAsia="Arial" w:hAnsi="Arial" w:cs="Arial"/>
                <w:b/>
              </w:rPr>
              <w:t>SHARMA et al. (2013)</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222222"/>
                <w:highlight w:val="white"/>
              </w:rPr>
            </w:pPr>
            <w:r>
              <w:rPr>
                <w:rFonts w:ascii="Arial" w:eastAsia="Arial" w:hAnsi="Arial" w:cs="Arial"/>
                <w:color w:val="222222"/>
                <w:highlight w:val="white"/>
              </w:rPr>
              <w:t>Albino Swiss mouse</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Alloxan monohydrate-induced diabetes</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21 days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both"/>
              <w:rPr>
                <w:rFonts w:ascii="Arial" w:eastAsia="Arial" w:hAnsi="Arial" w:cs="Arial"/>
              </w:rPr>
            </w:pPr>
            <w:r>
              <w:rPr>
                <w:rFonts w:ascii="Arial" w:eastAsia="Arial" w:hAnsi="Arial" w:cs="Arial"/>
              </w:rPr>
              <w:t>Aqueous seed extract</w:t>
            </w: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250 mg/kg/day</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21 days</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50 U/L → 35,8 U/L</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53,8 U/L → 30,8 U/L</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Structure similar to the normal architecture of the central vein, sinusoid, and hepatocytes organized within the sinusoid</w:t>
            </w:r>
          </w:p>
        </w:tc>
      </w:tr>
      <w:tr w:rsidR="00C76412">
        <w:trPr>
          <w:trHeight w:val="36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rPr>
            </w:pPr>
            <w:r>
              <w:rPr>
                <w:rFonts w:ascii="Arial" w:eastAsia="Arial" w:hAnsi="Arial" w:cs="Arial"/>
                <w:b/>
              </w:rPr>
              <w:t>ISLAM, M et al.</w:t>
            </w:r>
          </w:p>
          <w:p w:rsidR="00C76412" w:rsidRDefault="00D100D2">
            <w:pPr>
              <w:spacing w:line="276" w:lineRule="auto"/>
              <w:jc w:val="center"/>
              <w:rPr>
                <w:rFonts w:ascii="Arial" w:eastAsia="Arial" w:hAnsi="Arial" w:cs="Arial"/>
                <w:b/>
              </w:rPr>
            </w:pPr>
            <w:r>
              <w:rPr>
                <w:rFonts w:ascii="Arial" w:eastAsia="Arial" w:hAnsi="Arial" w:cs="Arial"/>
                <w:b/>
              </w:rPr>
              <w:t>(2015)</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222222"/>
                <w:highlight w:val="white"/>
              </w:rPr>
            </w:pPr>
            <w:r>
              <w:rPr>
                <w:rFonts w:ascii="Arial" w:eastAsia="Arial" w:hAnsi="Arial" w:cs="Arial"/>
                <w:color w:val="222222"/>
                <w:highlight w:val="white"/>
              </w:rPr>
              <w:t>Wistar rats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proofErr w:type="spellStart"/>
            <w:r>
              <w:rPr>
                <w:rFonts w:ascii="Arial" w:eastAsia="Arial" w:hAnsi="Arial" w:cs="Arial"/>
              </w:rPr>
              <w:t>CCl</w:t>
            </w:r>
            <w:proofErr w:type="spellEnd"/>
            <w:r>
              <w:rPr>
                <w:rFonts w:ascii="Arial" w:eastAsia="Arial" w:hAnsi="Arial" w:cs="Arial"/>
              </w:rPr>
              <w:t>₄-induced toxicity</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7 days</w:t>
            </w:r>
          </w:p>
          <w:p w:rsidR="00C76412" w:rsidRDefault="00D100D2">
            <w:pPr>
              <w:spacing w:line="276" w:lineRule="auto"/>
              <w:jc w:val="center"/>
              <w:rPr>
                <w:rFonts w:ascii="Arial" w:eastAsia="Arial" w:hAnsi="Arial" w:cs="Arial"/>
              </w:rPr>
            </w:pPr>
            <w:r>
              <w:rPr>
                <w:rFonts w:ascii="Arial" w:eastAsia="Arial" w:hAnsi="Arial" w:cs="Arial"/>
              </w:rPr>
              <w:t xml:space="preserve"> </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both"/>
              <w:rPr>
                <w:rFonts w:ascii="Arial" w:eastAsia="Arial" w:hAnsi="Arial" w:cs="Arial"/>
                <w:i/>
              </w:rPr>
            </w:pPr>
            <w:r>
              <w:rPr>
                <w:rFonts w:ascii="Arial" w:eastAsia="Arial" w:hAnsi="Arial" w:cs="Arial"/>
                <w:i/>
              </w:rPr>
              <w:t xml:space="preserve">Methanolic seed extract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200 e 400 mg/kg</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7 days</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198,4U/L → 123,2 U/L</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179,6 U/L → 101,4 U/L</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 xml:space="preserve">The group treated with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(400 mg/kg) showed significant improvement in liver structure, with reduced vacuolization, decreased inflammatory infiltration, and preservation of</w:t>
            </w:r>
            <w:r>
              <w:rPr>
                <w:rFonts w:ascii="Arial" w:eastAsia="Arial" w:hAnsi="Arial" w:cs="Arial"/>
              </w:rPr>
              <w:t xml:space="preserve"> hepatocyte architecture</w:t>
            </w:r>
          </w:p>
        </w:tc>
      </w:tr>
      <w:tr w:rsidR="00C76412">
        <w:trPr>
          <w:trHeight w:val="226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color w:val="222222"/>
              </w:rPr>
            </w:pPr>
            <w:r>
              <w:rPr>
                <w:rFonts w:ascii="Arial" w:eastAsia="Arial" w:hAnsi="Arial" w:cs="Arial"/>
                <w:b/>
                <w:color w:val="222222"/>
              </w:rPr>
              <w:lastRenderedPageBreak/>
              <w:t xml:space="preserve">NAHID, </w:t>
            </w:r>
            <w:proofErr w:type="spellStart"/>
            <w:r>
              <w:rPr>
                <w:rFonts w:ascii="Arial" w:eastAsia="Arial" w:hAnsi="Arial" w:cs="Arial"/>
                <w:b/>
                <w:color w:val="222222"/>
              </w:rPr>
              <w:t>Sumaiya</w:t>
            </w:r>
            <w:proofErr w:type="spellEnd"/>
            <w:r>
              <w:rPr>
                <w:rFonts w:ascii="Arial" w:eastAsia="Arial" w:hAnsi="Arial" w:cs="Arial"/>
                <w:b/>
                <w:color w:val="222222"/>
              </w:rPr>
              <w:t xml:space="preserve"> et al.</w:t>
            </w:r>
          </w:p>
          <w:p w:rsidR="00C76412" w:rsidRDefault="00D100D2">
            <w:pPr>
              <w:spacing w:line="276" w:lineRule="auto"/>
              <w:jc w:val="center"/>
              <w:rPr>
                <w:rFonts w:ascii="Arial" w:eastAsia="Arial" w:hAnsi="Arial" w:cs="Arial"/>
                <w:b/>
                <w:color w:val="222222"/>
              </w:rPr>
            </w:pPr>
            <w:r>
              <w:rPr>
                <w:rFonts w:ascii="Arial" w:eastAsia="Arial" w:hAnsi="Arial" w:cs="Arial"/>
                <w:b/>
                <w:color w:val="222222"/>
              </w:rPr>
              <w:t>(2017)</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Wistar rats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Alloxan monohydrate-induced diabetes</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Single dose</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Methanolic seed extract</w:t>
            </w: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200 mg/kg</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14 days</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 xml:space="preserve">200mg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 110.26 ± 3.58 U/L → 55.32 ± 2.54 U/L</w:t>
            </w:r>
          </w:p>
          <w:p w:rsidR="00C76412" w:rsidRDefault="00D100D2">
            <w:pPr>
              <w:spacing w:line="276" w:lineRule="auto"/>
              <w:jc w:val="center"/>
              <w:rPr>
                <w:rFonts w:ascii="Arial" w:eastAsia="Arial" w:hAnsi="Arial" w:cs="Arial"/>
              </w:rPr>
            </w:pPr>
            <w:r>
              <w:rPr>
                <w:rFonts w:ascii="Arial" w:eastAsia="Arial" w:hAnsi="Arial" w:cs="Arial"/>
              </w:rPr>
              <w:t xml:space="preserve">100mg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 110.26 ± 3.58 U/L → 89,1 ± 4.12 U/L</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 xml:space="preserve">200mg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 110.26 ± 3.58 U/L→ 55.32 ± 2.54U/L</w:t>
            </w:r>
          </w:p>
          <w:p w:rsidR="00C76412" w:rsidRDefault="00D100D2">
            <w:pPr>
              <w:spacing w:line="276" w:lineRule="auto"/>
              <w:jc w:val="center"/>
              <w:rPr>
                <w:rFonts w:ascii="Arial" w:eastAsia="Arial" w:hAnsi="Arial" w:cs="Arial"/>
              </w:rPr>
            </w:pPr>
            <w:r>
              <w:rPr>
                <w:rFonts w:ascii="Arial" w:eastAsia="Arial" w:hAnsi="Arial" w:cs="Arial"/>
              </w:rPr>
              <w:t xml:space="preserve">100mg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 110.26 ± 3.58U/L → 89,1 ± 4.12U/L</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Not reported</w:t>
            </w:r>
          </w:p>
        </w:tc>
      </w:tr>
      <w:tr w:rsidR="00C76412">
        <w:trPr>
          <w:trHeight w:val="18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color w:val="222222"/>
              </w:rPr>
            </w:pPr>
            <w:r>
              <w:rPr>
                <w:rFonts w:ascii="Arial" w:eastAsia="Arial" w:hAnsi="Arial" w:cs="Arial"/>
                <w:b/>
                <w:color w:val="222222"/>
              </w:rPr>
              <w:t xml:space="preserve">MANU, Abba </w:t>
            </w:r>
            <w:proofErr w:type="spellStart"/>
            <w:r>
              <w:rPr>
                <w:rFonts w:ascii="Arial" w:eastAsia="Arial" w:hAnsi="Arial" w:cs="Arial"/>
                <w:b/>
                <w:color w:val="222222"/>
              </w:rPr>
              <w:t>Aji</w:t>
            </w:r>
            <w:proofErr w:type="spellEnd"/>
            <w:r>
              <w:rPr>
                <w:rFonts w:ascii="Arial" w:eastAsia="Arial" w:hAnsi="Arial" w:cs="Arial"/>
                <w:b/>
                <w:color w:val="222222"/>
              </w:rPr>
              <w:t xml:space="preserve"> et al. </w:t>
            </w:r>
          </w:p>
          <w:p w:rsidR="00C76412" w:rsidRDefault="00D100D2">
            <w:pPr>
              <w:spacing w:line="276" w:lineRule="auto"/>
              <w:jc w:val="center"/>
              <w:rPr>
                <w:rFonts w:ascii="Arial" w:eastAsia="Arial" w:hAnsi="Arial" w:cs="Arial"/>
                <w:b/>
                <w:color w:val="222222"/>
                <w:highlight w:val="white"/>
              </w:rPr>
            </w:pPr>
            <w:r>
              <w:rPr>
                <w:rFonts w:ascii="Arial" w:eastAsia="Arial" w:hAnsi="Arial" w:cs="Arial"/>
                <w:b/>
                <w:color w:val="222222"/>
              </w:rPr>
              <w:t>(2022</w:t>
            </w:r>
            <w:r>
              <w:rPr>
                <w:rFonts w:ascii="Arial" w:eastAsia="Arial" w:hAnsi="Arial" w:cs="Arial"/>
                <w:b/>
                <w:color w:val="222222"/>
                <w:highlight w:val="white"/>
              </w:rPr>
              <w:t>)</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306" w:lineRule="auto"/>
              <w:jc w:val="center"/>
              <w:rPr>
                <w:rFonts w:ascii="Arial" w:eastAsia="Arial" w:hAnsi="Arial" w:cs="Arial"/>
                <w:color w:val="1F1F1F"/>
              </w:rPr>
            </w:pPr>
            <w:r>
              <w:rPr>
                <w:rFonts w:ascii="Arial" w:eastAsia="Arial" w:hAnsi="Arial" w:cs="Arial"/>
                <w:color w:val="1F1F1F"/>
              </w:rPr>
              <w:t>Wistar rats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306" w:lineRule="auto"/>
              <w:jc w:val="center"/>
              <w:rPr>
                <w:rFonts w:ascii="Arial" w:eastAsia="Arial" w:hAnsi="Arial" w:cs="Arial"/>
                <w:color w:val="1F1F1F"/>
              </w:rPr>
            </w:pPr>
            <w:r>
              <w:rPr>
                <w:rFonts w:ascii="Arial" w:eastAsia="Arial" w:hAnsi="Arial" w:cs="Arial"/>
                <w:color w:val="1F1F1F"/>
              </w:rPr>
              <w:t>Ethanol</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2 weeks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Ethanolic extract</w:t>
            </w: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400 mg/kg</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7 days</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 xml:space="preserve">200 mg/kg </w:t>
            </w:r>
            <w:r>
              <w:rPr>
                <w:rFonts w:ascii="Arial" w:eastAsia="Arial" w:hAnsi="Arial" w:cs="Arial"/>
                <w:i/>
              </w:rPr>
              <w:t xml:space="preserve">S. </w:t>
            </w:r>
            <w:proofErr w:type="spellStart"/>
            <w:proofErr w:type="gramStart"/>
            <w:r>
              <w:rPr>
                <w:rFonts w:ascii="Arial" w:eastAsia="Arial" w:hAnsi="Arial" w:cs="Arial"/>
                <w:i/>
              </w:rPr>
              <w:t>cumini</w:t>
            </w:r>
            <w:proofErr w:type="spellEnd"/>
            <w:r>
              <w:rPr>
                <w:rFonts w:ascii="Arial Unicode MS" w:eastAsia="Arial Unicode MS" w:hAnsi="Arial Unicode MS" w:cs="Arial Unicode MS"/>
              </w:rPr>
              <w:t xml:space="preserve">  ↓</w:t>
            </w:r>
            <w:proofErr w:type="gramEnd"/>
            <w:r>
              <w:rPr>
                <w:rFonts w:ascii="Arial Unicode MS" w:eastAsia="Arial Unicode MS" w:hAnsi="Arial Unicode MS" w:cs="Arial Unicode MS"/>
              </w:rPr>
              <w:t>130,6  U/L → 54,8U/L</w:t>
            </w:r>
          </w:p>
          <w:p w:rsidR="00C76412" w:rsidRDefault="00D100D2">
            <w:pPr>
              <w:spacing w:line="276" w:lineRule="auto"/>
              <w:jc w:val="center"/>
              <w:rPr>
                <w:rFonts w:ascii="Arial" w:eastAsia="Arial" w:hAnsi="Arial" w:cs="Arial"/>
              </w:rPr>
            </w:pPr>
            <w:r>
              <w:rPr>
                <w:rFonts w:ascii="Arial" w:eastAsia="Arial" w:hAnsi="Arial" w:cs="Arial"/>
              </w:rPr>
              <w:t xml:space="preserve">400 mg/kg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↑130,6U/L → 140,3U/L</w:t>
            </w:r>
          </w:p>
          <w:p w:rsidR="00C76412" w:rsidRDefault="00D100D2">
            <w:pPr>
              <w:spacing w:line="276" w:lineRule="auto"/>
              <w:jc w:val="center"/>
              <w:rPr>
                <w:rFonts w:ascii="Arial" w:eastAsia="Arial" w:hAnsi="Arial" w:cs="Arial"/>
              </w:rPr>
            </w:pPr>
            <w:r>
              <w:rPr>
                <w:rFonts w:ascii="Arial" w:eastAsia="Arial" w:hAnsi="Arial" w:cs="Arial"/>
              </w:rPr>
              <w:t xml:space="preserve"> </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both"/>
              <w:rPr>
                <w:rFonts w:ascii="Arial" w:eastAsia="Arial" w:hAnsi="Arial" w:cs="Arial"/>
              </w:rPr>
            </w:pPr>
            <w:r>
              <w:rPr>
                <w:rFonts w:ascii="Arial" w:eastAsia="Arial" w:hAnsi="Arial" w:cs="Arial"/>
              </w:rPr>
              <w:t xml:space="preserve">200 mg/kg </w:t>
            </w:r>
            <w:r>
              <w:rPr>
                <w:rFonts w:ascii="Arial" w:eastAsia="Arial" w:hAnsi="Arial" w:cs="Arial"/>
                <w:i/>
              </w:rPr>
              <w:t xml:space="preserve">S. </w:t>
            </w:r>
            <w:proofErr w:type="spellStart"/>
            <w:proofErr w:type="gramStart"/>
            <w:r>
              <w:rPr>
                <w:rFonts w:ascii="Arial" w:eastAsia="Arial" w:hAnsi="Arial" w:cs="Arial"/>
                <w:i/>
              </w:rPr>
              <w:t>cumini</w:t>
            </w:r>
            <w:proofErr w:type="spellEnd"/>
            <w:r>
              <w:rPr>
                <w:rFonts w:ascii="Arial Unicode MS" w:eastAsia="Arial Unicode MS" w:hAnsi="Arial Unicode MS" w:cs="Arial Unicode MS"/>
              </w:rPr>
              <w:t xml:space="preserve">  ↓</w:t>
            </w:r>
            <w:proofErr w:type="gramEnd"/>
            <w:r>
              <w:rPr>
                <w:rFonts w:ascii="Arial Unicode MS" w:eastAsia="Arial Unicode MS" w:hAnsi="Arial Unicode MS" w:cs="Arial Unicode MS"/>
              </w:rPr>
              <w:t>178,9 U/L → 110,5U/L</w:t>
            </w:r>
          </w:p>
          <w:p w:rsidR="00C76412" w:rsidRDefault="00D100D2">
            <w:pPr>
              <w:spacing w:line="276" w:lineRule="auto"/>
              <w:jc w:val="center"/>
              <w:rPr>
                <w:rFonts w:ascii="Arial" w:eastAsia="Arial" w:hAnsi="Arial" w:cs="Arial"/>
              </w:rPr>
            </w:pPr>
            <w:r>
              <w:rPr>
                <w:rFonts w:ascii="Arial" w:eastAsia="Arial" w:hAnsi="Arial" w:cs="Arial"/>
              </w:rPr>
              <w:t xml:space="preserve">400 mg/kg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i/>
              </w:rPr>
              <w:t xml:space="preserve"> -</w:t>
            </w:r>
            <w:r>
              <w:rPr>
                <w:rFonts w:ascii="Arial Unicode MS" w:eastAsia="Arial Unicode MS" w:hAnsi="Arial Unicode MS" w:cs="Arial Unicode MS"/>
              </w:rPr>
              <w:t>↓178,9U/L→ 170,2 U/L</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306" w:lineRule="auto"/>
              <w:jc w:val="center"/>
              <w:rPr>
                <w:rFonts w:ascii="Arial" w:eastAsia="Arial" w:hAnsi="Arial" w:cs="Arial"/>
                <w:color w:val="1F1F1F"/>
              </w:rPr>
            </w:pPr>
            <w:r>
              <w:rPr>
                <w:rFonts w:ascii="Arial" w:eastAsia="Arial" w:hAnsi="Arial" w:cs="Arial"/>
                <w:color w:val="1F1F1F"/>
              </w:rPr>
              <w:t>Hepatic toxicity, with changes in pyknotic nuclei and distortion of hepatocytes</w:t>
            </w:r>
          </w:p>
        </w:tc>
      </w:tr>
      <w:tr w:rsidR="00C76412">
        <w:trPr>
          <w:trHeight w:val="136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color w:val="222222"/>
              </w:rPr>
            </w:pPr>
            <w:r>
              <w:rPr>
                <w:rFonts w:ascii="Arial" w:eastAsia="Arial" w:hAnsi="Arial" w:cs="Arial"/>
                <w:b/>
                <w:color w:val="222222"/>
              </w:rPr>
              <w:t>SAGOR, Md Abu Taher et al.</w:t>
            </w:r>
          </w:p>
          <w:p w:rsidR="00C76412" w:rsidRDefault="00D100D2">
            <w:pPr>
              <w:spacing w:line="276" w:lineRule="auto"/>
              <w:jc w:val="center"/>
              <w:rPr>
                <w:rFonts w:ascii="Arial" w:eastAsia="Arial" w:hAnsi="Arial" w:cs="Arial"/>
                <w:b/>
                <w:color w:val="222222"/>
              </w:rPr>
            </w:pPr>
            <w:r>
              <w:rPr>
                <w:rFonts w:ascii="Arial" w:eastAsia="Arial" w:hAnsi="Arial" w:cs="Arial"/>
                <w:b/>
                <w:color w:val="222222"/>
              </w:rPr>
              <w:t>(2016)</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Long-Evans rat (female)</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Overdose</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14 days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Crushed seeds administered orally (dietary)</w:t>
            </w: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shd w:val="clear" w:color="auto" w:fill="FFFFFF"/>
              <w:spacing w:before="240" w:after="240" w:line="276" w:lineRule="auto"/>
              <w:jc w:val="center"/>
              <w:rPr>
                <w:rFonts w:ascii="Arial" w:eastAsia="Arial" w:hAnsi="Arial" w:cs="Arial"/>
              </w:rPr>
            </w:pPr>
            <w:r>
              <w:rPr>
                <w:rFonts w:ascii="Arial" w:eastAsia="Arial" w:hAnsi="Arial" w:cs="Arial"/>
              </w:rPr>
              <w:t xml:space="preserve">1% w/w </w:t>
            </w:r>
          </w:p>
          <w:p w:rsidR="00C76412" w:rsidRDefault="00D100D2">
            <w:pPr>
              <w:spacing w:line="276" w:lineRule="auto"/>
              <w:jc w:val="center"/>
              <w:rPr>
                <w:rFonts w:ascii="Arial" w:eastAsia="Arial" w:hAnsi="Arial" w:cs="Arial"/>
              </w:rPr>
            </w:pPr>
            <w:r>
              <w:rPr>
                <w:rFonts w:ascii="Arial" w:eastAsia="Arial" w:hAnsi="Arial" w:cs="Arial"/>
              </w:rPr>
              <w:t xml:space="preserve"> </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14 days</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100U/L → 80 U/L</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 xml:space="preserve"> 80U/L → 70 U/L</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w:eastAsia="Arial" w:hAnsi="Arial" w:cs="Arial"/>
              </w:rPr>
              <w:t>Decreased tissue inflammatory response, fibrosis, and iron accumulation</w:t>
            </w:r>
          </w:p>
        </w:tc>
      </w:tr>
      <w:tr w:rsidR="00C76412">
        <w:trPr>
          <w:trHeight w:val="1590"/>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color w:val="212121"/>
                <w:highlight w:val="white"/>
              </w:rPr>
            </w:pPr>
            <w:r>
              <w:rPr>
                <w:rFonts w:ascii="Arial" w:eastAsia="Arial" w:hAnsi="Arial" w:cs="Arial"/>
                <w:b/>
                <w:color w:val="212121"/>
                <w:highlight w:val="white"/>
              </w:rPr>
              <w:lastRenderedPageBreak/>
              <w:t>Hossain S et al.</w:t>
            </w:r>
          </w:p>
          <w:p w:rsidR="00C76412" w:rsidRDefault="00D100D2">
            <w:pPr>
              <w:spacing w:line="276" w:lineRule="auto"/>
              <w:jc w:val="center"/>
              <w:rPr>
                <w:rFonts w:ascii="Arial" w:eastAsia="Arial" w:hAnsi="Arial" w:cs="Arial"/>
                <w:b/>
                <w:color w:val="212121"/>
                <w:highlight w:val="white"/>
              </w:rPr>
            </w:pPr>
            <w:r>
              <w:rPr>
                <w:rFonts w:ascii="Arial" w:eastAsia="Arial" w:hAnsi="Arial" w:cs="Arial"/>
                <w:b/>
                <w:color w:val="212121"/>
                <w:highlight w:val="white"/>
              </w:rPr>
              <w:t>(2011)</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Long-Evans rat</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15% Alcohol</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8 weeks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Seed extract</w:t>
            </w: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400 mg/kg</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8 weeks</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70 U/L → 55 U/L</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117 U/L → 91 U/L</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Improvement in steatosis in terms of vacuolization, fatty degeneration, and inflammation</w:t>
            </w:r>
          </w:p>
        </w:tc>
      </w:tr>
      <w:tr w:rsidR="00C76412">
        <w:trPr>
          <w:trHeight w:val="136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b/>
                <w:color w:val="222222"/>
              </w:rPr>
            </w:pPr>
            <w:r>
              <w:rPr>
                <w:rFonts w:ascii="Arial" w:eastAsia="Arial" w:hAnsi="Arial" w:cs="Arial"/>
                <w:b/>
                <w:color w:val="222222"/>
              </w:rPr>
              <w:t xml:space="preserve">ULLA, </w:t>
            </w:r>
            <w:proofErr w:type="spellStart"/>
            <w:r>
              <w:rPr>
                <w:rFonts w:ascii="Arial" w:eastAsia="Arial" w:hAnsi="Arial" w:cs="Arial"/>
                <w:b/>
                <w:color w:val="222222"/>
              </w:rPr>
              <w:t>Anayt</w:t>
            </w:r>
            <w:proofErr w:type="spellEnd"/>
            <w:r>
              <w:rPr>
                <w:rFonts w:ascii="Arial" w:eastAsia="Arial" w:hAnsi="Arial" w:cs="Arial"/>
                <w:b/>
                <w:color w:val="222222"/>
              </w:rPr>
              <w:t xml:space="preserve"> et al. </w:t>
            </w:r>
          </w:p>
          <w:p w:rsidR="00C76412" w:rsidRDefault="00D100D2">
            <w:pPr>
              <w:spacing w:line="276" w:lineRule="auto"/>
              <w:jc w:val="center"/>
              <w:rPr>
                <w:rFonts w:ascii="Arial" w:eastAsia="Arial" w:hAnsi="Arial" w:cs="Arial"/>
                <w:b/>
                <w:color w:val="222222"/>
              </w:rPr>
            </w:pPr>
            <w:r>
              <w:rPr>
                <w:rFonts w:ascii="Arial" w:eastAsia="Arial" w:hAnsi="Arial" w:cs="Arial"/>
                <w:b/>
                <w:color w:val="222222"/>
              </w:rPr>
              <w:t>(2017)</w:t>
            </w:r>
          </w:p>
        </w:tc>
        <w:tc>
          <w:tcPr>
            <w:tcW w:w="115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color w:val="333333"/>
                <w:highlight w:val="white"/>
              </w:rPr>
            </w:pPr>
            <w:r>
              <w:rPr>
                <w:rFonts w:ascii="Arial" w:eastAsia="Arial" w:hAnsi="Arial" w:cs="Arial"/>
                <w:color w:val="333333"/>
                <w:highlight w:val="white"/>
              </w:rPr>
              <w:t>Wistar rat</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highlight w:val="white"/>
              </w:rPr>
            </w:pPr>
            <w:r>
              <w:rPr>
                <w:rFonts w:ascii="Arial" w:eastAsia="Arial" w:hAnsi="Arial" w:cs="Arial"/>
                <w:highlight w:val="white"/>
              </w:rPr>
              <w:t>High-carbohydrate and high-fat diet</w:t>
            </w:r>
          </w:p>
        </w:tc>
        <w:tc>
          <w:tcPr>
            <w:tcW w:w="12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highlight w:val="white"/>
              </w:rPr>
            </w:pPr>
            <w:r>
              <w:rPr>
                <w:rFonts w:ascii="Arial" w:eastAsia="Arial" w:hAnsi="Arial" w:cs="Arial"/>
                <w:highlight w:val="white"/>
              </w:rPr>
              <w:t>8 weeks</w:t>
            </w:r>
          </w:p>
        </w:tc>
        <w:tc>
          <w:tcPr>
            <w:tcW w:w="156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highlight w:val="white"/>
              </w:rPr>
            </w:pPr>
            <w:r>
              <w:rPr>
                <w:rFonts w:ascii="Arial" w:eastAsia="Arial" w:hAnsi="Arial" w:cs="Arial"/>
                <w:highlight w:val="white"/>
              </w:rPr>
              <w:t>Powdered extract administered orally (dietary)</w:t>
            </w:r>
          </w:p>
        </w:tc>
        <w:tc>
          <w:tcPr>
            <w:tcW w:w="97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highlight w:val="white"/>
              </w:rPr>
            </w:pPr>
            <w:r>
              <w:rPr>
                <w:rFonts w:ascii="Arial" w:eastAsia="Arial" w:hAnsi="Arial" w:cs="Arial"/>
                <w:highlight w:val="white"/>
              </w:rPr>
              <w:t xml:space="preserve"> 2.5% w/w</w:t>
            </w:r>
          </w:p>
        </w:tc>
        <w:tc>
          <w:tcPr>
            <w:tcW w:w="121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highlight w:val="white"/>
              </w:rPr>
            </w:pPr>
            <w:r>
              <w:rPr>
                <w:rFonts w:ascii="Arial" w:eastAsia="Arial" w:hAnsi="Arial" w:cs="Arial"/>
                <w:highlight w:val="white"/>
              </w:rPr>
              <w:t>8 weeks</w:t>
            </w:r>
          </w:p>
        </w:tc>
        <w:tc>
          <w:tcPr>
            <w:tcW w:w="112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55,9 → 30,15 U/L</w:t>
            </w:r>
          </w:p>
        </w:tc>
        <w:tc>
          <w:tcPr>
            <w:tcW w:w="1290"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rPr>
            </w:pPr>
            <w:r>
              <w:rPr>
                <w:rFonts w:ascii="Arial Unicode MS" w:eastAsia="Arial Unicode MS" w:hAnsi="Arial Unicode MS" w:cs="Arial Unicode MS"/>
                <w:b/>
              </w:rPr>
              <w:t>↓</w:t>
            </w:r>
            <w:r>
              <w:rPr>
                <w:rFonts w:ascii="Arial Unicode MS" w:eastAsia="Arial Unicode MS" w:hAnsi="Arial Unicode MS" w:cs="Arial Unicode MS"/>
              </w:rPr>
              <w:t>55,9 → 30,15 U/L</w:t>
            </w:r>
          </w:p>
        </w:tc>
        <w:tc>
          <w:tcPr>
            <w:tcW w:w="1905" w:type="dxa"/>
            <w:tcBorders>
              <w:bottom w:val="single" w:sz="8" w:space="0" w:color="000000"/>
              <w:right w:val="single" w:sz="8" w:space="0" w:color="000000"/>
            </w:tcBorders>
            <w:tcMar>
              <w:top w:w="0" w:type="dxa"/>
              <w:left w:w="100" w:type="dxa"/>
              <w:bottom w:w="0" w:type="dxa"/>
              <w:right w:w="100" w:type="dxa"/>
            </w:tcMar>
          </w:tcPr>
          <w:p w:rsidR="00C76412" w:rsidRDefault="00D100D2">
            <w:pPr>
              <w:spacing w:line="276" w:lineRule="auto"/>
              <w:jc w:val="center"/>
              <w:rPr>
                <w:rFonts w:ascii="Arial" w:eastAsia="Arial" w:hAnsi="Arial" w:cs="Arial"/>
                <w:highlight w:val="white"/>
              </w:rPr>
            </w:pPr>
            <w:r>
              <w:rPr>
                <w:rFonts w:ascii="Arial" w:eastAsia="Arial" w:hAnsi="Arial" w:cs="Arial"/>
                <w:highlight w:val="white"/>
              </w:rPr>
              <w:t>Improvement of inflammatory infiltration, lipid deposition, and fibrosis</w:t>
            </w:r>
          </w:p>
        </w:tc>
      </w:tr>
    </w:tbl>
    <w:p w:rsidR="00C76412" w:rsidRDefault="00C76412">
      <w:pPr>
        <w:jc w:val="both"/>
        <w:rPr>
          <w:rFonts w:ascii="Arial" w:eastAsia="Arial" w:hAnsi="Arial" w:cs="Arial"/>
        </w:rPr>
        <w:sectPr w:rsidR="00C76412">
          <w:pgSz w:w="15840" w:h="12240" w:orient="landscape"/>
          <w:pgMar w:top="1440" w:right="1440" w:bottom="1440" w:left="1440" w:header="720" w:footer="720" w:gutter="0"/>
          <w:cols w:space="720"/>
        </w:sectPr>
      </w:pPr>
    </w:p>
    <w:p w:rsidR="00C76412" w:rsidRDefault="00D100D2">
      <w:pPr>
        <w:spacing w:before="240" w:after="240"/>
        <w:ind w:firstLine="720"/>
        <w:jc w:val="both"/>
        <w:rPr>
          <w:rFonts w:ascii="Arial" w:eastAsia="Arial" w:hAnsi="Arial" w:cs="Arial"/>
        </w:rPr>
      </w:pPr>
      <w:r>
        <w:rPr>
          <w:rFonts w:ascii="Arial" w:eastAsia="Arial" w:hAnsi="Arial" w:cs="Arial"/>
        </w:rPr>
        <w:lastRenderedPageBreak/>
        <w:t xml:space="preserve">A total of twelve preclinical studies evaluating the hepatoprotective effects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were included in this systematic review. The experimental models comprised Wistar rats, Swiss albino mice, and Long-Evans rats subjected to different protocols</w:t>
      </w:r>
      <w:r>
        <w:rPr>
          <w:rFonts w:ascii="Arial" w:eastAsia="Arial" w:hAnsi="Arial" w:cs="Arial"/>
        </w:rPr>
        <w:t xml:space="preserve"> of liver injury, including carbon tetrachloride (</w:t>
      </w:r>
      <w:proofErr w:type="spellStart"/>
      <w:r>
        <w:rPr>
          <w:rFonts w:ascii="Arial" w:eastAsia="Arial" w:hAnsi="Arial" w:cs="Arial"/>
        </w:rPr>
        <w:t>CCl</w:t>
      </w:r>
      <w:proofErr w:type="spellEnd"/>
      <w:r>
        <w:rPr>
          <w:rFonts w:ascii="Arial" w:eastAsia="Arial" w:hAnsi="Arial" w:cs="Arial"/>
        </w:rPr>
        <w:t>₄), MSG-induced obesity, Triton WR1339-induced hypertriglyceridemia, alloxan monohydrate-induced diabetes, ethanol toxicity, acetaminophen overdose, high-fat or high-carbohydrate diets, fluoride exposure</w:t>
      </w:r>
      <w:r>
        <w:rPr>
          <w:rFonts w:ascii="Arial" w:eastAsia="Arial" w:hAnsi="Arial" w:cs="Arial"/>
        </w:rPr>
        <w:t>, and potassium dichromate toxicity (</w:t>
      </w:r>
      <w:proofErr w:type="spellStart"/>
      <w:r>
        <w:rPr>
          <w:rFonts w:ascii="Arial" w:eastAsia="Arial" w:hAnsi="Arial" w:cs="Arial"/>
        </w:rPr>
        <w:t>Moresco</w:t>
      </w:r>
      <w:proofErr w:type="spellEnd"/>
      <w:r>
        <w:rPr>
          <w:rFonts w:ascii="Arial" w:eastAsia="Arial" w:hAnsi="Arial" w:cs="Arial"/>
        </w:rPr>
        <w:t xml:space="preserve"> et al., 2007; Hossain et al., 2011; Souza, 2018; </w:t>
      </w:r>
      <w:proofErr w:type="spellStart"/>
      <w:r>
        <w:rPr>
          <w:rFonts w:ascii="Arial" w:eastAsia="Arial" w:hAnsi="Arial" w:cs="Arial"/>
        </w:rPr>
        <w:t>França</w:t>
      </w:r>
      <w:proofErr w:type="spellEnd"/>
      <w:r>
        <w:rPr>
          <w:rFonts w:ascii="Arial" w:eastAsia="Arial" w:hAnsi="Arial" w:cs="Arial"/>
        </w:rPr>
        <w:t xml:space="preserve"> et al., 2018 Sharma et al., 2013;  Islam et al., 2015; Nahid et al., 2017; Manu et al., 2022; </w:t>
      </w:r>
      <w:proofErr w:type="spellStart"/>
      <w:r>
        <w:rPr>
          <w:rFonts w:ascii="Arial" w:eastAsia="Arial" w:hAnsi="Arial" w:cs="Arial"/>
        </w:rPr>
        <w:t>Sagor</w:t>
      </w:r>
      <w:proofErr w:type="spellEnd"/>
      <w:r>
        <w:rPr>
          <w:rFonts w:ascii="Arial" w:eastAsia="Arial" w:hAnsi="Arial" w:cs="Arial"/>
        </w:rPr>
        <w:t xml:space="preserve"> et al., 2016; Ullah et al., 2017; Ahmad et al., 2017; A</w:t>
      </w:r>
      <w:r>
        <w:rPr>
          <w:rFonts w:ascii="Arial" w:eastAsia="Arial" w:hAnsi="Arial" w:cs="Arial"/>
        </w:rPr>
        <w:t xml:space="preserve">bbas et al., 2016). This diversity of models allowed a broad evaluation of the effects of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under metabolic, toxic, diet-induced, and environmental hepatocellular stress conditions.</w:t>
      </w:r>
    </w:p>
    <w:p w:rsidR="00C76412" w:rsidRDefault="00D100D2">
      <w:pPr>
        <w:spacing w:before="240" w:after="240"/>
        <w:ind w:firstLine="720"/>
        <w:jc w:val="both"/>
        <w:rPr>
          <w:rFonts w:ascii="Arial" w:eastAsia="Arial" w:hAnsi="Arial" w:cs="Arial"/>
        </w:rPr>
      </w:pPr>
      <w:r>
        <w:rPr>
          <w:rFonts w:ascii="Arial" w:eastAsia="Arial" w:hAnsi="Arial" w:cs="Arial"/>
        </w:rPr>
        <w:t>The interventions varied across the included studies, ranging from</w:t>
      </w:r>
      <w:r>
        <w:rPr>
          <w:rFonts w:ascii="Arial" w:eastAsia="Arial" w:hAnsi="Arial" w:cs="Arial"/>
        </w:rPr>
        <w:t xml:space="preserve"> aqueous, hydroalcoholic, methanolic and ethanolic extracts prepared from leaves or seeds to direct dietary supplementation with crushed or powdered seeds. Treatment regimens spanned from single-dose administrations to chronic exposures of up to eight week</w:t>
      </w:r>
      <w:r>
        <w:rPr>
          <w:rFonts w:ascii="Arial" w:eastAsia="Arial" w:hAnsi="Arial" w:cs="Arial"/>
        </w:rPr>
        <w:t>s, with doses between 200 mg/kg and 0.9 g/kg/day. This heterogeneity illustrates the wide range of experimental strategies employed to test the plant’s efficacy but also poses challenges to direct comparability across studies (Srivastava &amp; Chandra, 2013).</w:t>
      </w:r>
    </w:p>
    <w:p w:rsidR="00C76412" w:rsidRDefault="00D100D2">
      <w:pPr>
        <w:spacing w:before="240" w:after="240"/>
        <w:ind w:firstLine="720"/>
        <w:jc w:val="both"/>
        <w:rPr>
          <w:rFonts w:ascii="Arial" w:eastAsia="Arial" w:hAnsi="Arial" w:cs="Arial"/>
        </w:rPr>
      </w:pPr>
      <w:r>
        <w:rPr>
          <w:rFonts w:ascii="Arial" w:eastAsia="Arial" w:hAnsi="Arial" w:cs="Arial"/>
        </w:rPr>
        <w:t xml:space="preserve">Serum aminotransferases, namely alanine aminotransferase (ALT) and aspartate aminotransferase (AST), were the most consistently reported biochemical outcomes. Most studies described significant reductions in both enzymes following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treatment, supp</w:t>
      </w:r>
      <w:r>
        <w:rPr>
          <w:rFonts w:ascii="Arial" w:eastAsia="Arial" w:hAnsi="Arial" w:cs="Arial"/>
        </w:rPr>
        <w:t xml:space="preserve">orting its hepatoprotective potential. In </w:t>
      </w:r>
      <w:proofErr w:type="spellStart"/>
      <w:r>
        <w:rPr>
          <w:rFonts w:ascii="Arial" w:eastAsia="Arial" w:hAnsi="Arial" w:cs="Arial"/>
        </w:rPr>
        <w:t>CCl</w:t>
      </w:r>
      <w:proofErr w:type="spellEnd"/>
      <w:r>
        <w:rPr>
          <w:rFonts w:ascii="Arial" w:eastAsia="Arial" w:hAnsi="Arial" w:cs="Arial"/>
        </w:rPr>
        <w:t>₄-induced hepatotoxicity, aqueous extract at 0.9 g/kg/day decreased AST from 500 U/L to 220 U/L and ALT from 290 U/L to 85 U/L within 12 hours (</w:t>
      </w:r>
      <w:proofErr w:type="spellStart"/>
      <w:r>
        <w:rPr>
          <w:rFonts w:ascii="Arial" w:eastAsia="Arial" w:hAnsi="Arial" w:cs="Arial"/>
        </w:rPr>
        <w:t>Moresco</w:t>
      </w:r>
      <w:proofErr w:type="spellEnd"/>
      <w:r>
        <w:rPr>
          <w:rFonts w:ascii="Arial" w:eastAsia="Arial" w:hAnsi="Arial" w:cs="Arial"/>
        </w:rPr>
        <w:t xml:space="preserve"> et al., 2007). Similarly, in alloxan-induced diabetes, meth</w:t>
      </w:r>
      <w:r>
        <w:rPr>
          <w:rFonts w:ascii="Arial" w:eastAsia="Arial" w:hAnsi="Arial" w:cs="Arial"/>
        </w:rPr>
        <w:t>anolic seed extract (200 mg/kg/day) halved both AST and ALT levels over 14 days (Nahid et al., 2017), while aqueous seed extract (250 mg/kg/day) significantly reduced AST, ALT and bilirubin in diabetic mice (Sharma et al., 2013).</w:t>
      </w:r>
    </w:p>
    <w:p w:rsidR="00C76412" w:rsidRDefault="00D100D2">
      <w:pPr>
        <w:spacing w:before="240" w:after="240"/>
        <w:ind w:firstLine="720"/>
        <w:jc w:val="both"/>
        <w:rPr>
          <w:rFonts w:ascii="Arial" w:eastAsia="Arial" w:hAnsi="Arial" w:cs="Arial"/>
        </w:rPr>
      </w:pPr>
      <w:r>
        <w:rPr>
          <w:rFonts w:ascii="Arial" w:eastAsia="Arial" w:hAnsi="Arial" w:cs="Arial"/>
        </w:rPr>
        <w:t>In contrast, ethanol-induc</w:t>
      </w:r>
      <w:r>
        <w:rPr>
          <w:rFonts w:ascii="Arial" w:eastAsia="Arial" w:hAnsi="Arial" w:cs="Arial"/>
        </w:rPr>
        <w:t>ed hepatotoxicity showed inconsistent results. While ethanolic extract at 200 mg/kg reduced AST from 130.6 U/L to 54.8 U/L, the higher dose of 400 mg/kg increased AST to 140.3 U/L, suggesting a possible biphasic or dose-dependent effect (Manu et al., 2022)</w:t>
      </w:r>
      <w:r>
        <w:rPr>
          <w:rFonts w:ascii="Arial" w:eastAsia="Arial" w:hAnsi="Arial" w:cs="Arial"/>
        </w:rPr>
        <w:t xml:space="preserve">. In acetaminophen toxicity, dietary supplementation with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seeds (1% w/w) led to modest improvements, reducing AST from 100 U/L to 80 U/L and ALT from 80 U/L to 70 U/L (</w:t>
      </w:r>
      <w:proofErr w:type="spellStart"/>
      <w:r>
        <w:rPr>
          <w:rFonts w:ascii="Arial" w:eastAsia="Arial" w:hAnsi="Arial" w:cs="Arial"/>
        </w:rPr>
        <w:t>Sagor</w:t>
      </w:r>
      <w:proofErr w:type="spellEnd"/>
      <w:r>
        <w:rPr>
          <w:rFonts w:ascii="Arial" w:eastAsia="Arial" w:hAnsi="Arial" w:cs="Arial"/>
        </w:rPr>
        <w:t xml:space="preserve"> et al., 2016). In potassium dichromate-induced hepatotoxicity, jambul se</w:t>
      </w:r>
      <w:r>
        <w:rPr>
          <w:rFonts w:ascii="Arial" w:eastAsia="Arial" w:hAnsi="Arial" w:cs="Arial"/>
        </w:rPr>
        <w:t xml:space="preserve">ed extract significantly reduced AST and ALT, while also preserving hepatic tissue integrity (Abbas et al., 2016). </w:t>
      </w:r>
    </w:p>
    <w:p w:rsidR="00C76412" w:rsidRDefault="00D100D2">
      <w:pPr>
        <w:spacing w:before="240" w:after="240"/>
        <w:ind w:firstLine="720"/>
        <w:jc w:val="both"/>
        <w:rPr>
          <w:rFonts w:ascii="Arial" w:eastAsia="Arial" w:hAnsi="Arial" w:cs="Arial"/>
        </w:rPr>
      </w:pPr>
      <w:r>
        <w:rPr>
          <w:rFonts w:ascii="Arial" w:eastAsia="Arial" w:hAnsi="Arial" w:cs="Arial"/>
        </w:rPr>
        <w:t xml:space="preserve">Histopathological evaluations corroborated biochemical findings in most studies.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extracts preserved lobular structure, reduced hepatocyte vacuolization, decreased inflammatory infiltration, and attenuated lipid accumulation (Souza, 2018; </w:t>
      </w:r>
      <w:proofErr w:type="spellStart"/>
      <w:r>
        <w:rPr>
          <w:rFonts w:ascii="Arial" w:eastAsia="Arial" w:hAnsi="Arial" w:cs="Arial"/>
        </w:rPr>
        <w:t>França</w:t>
      </w:r>
      <w:proofErr w:type="spellEnd"/>
      <w:r>
        <w:rPr>
          <w:rFonts w:ascii="Arial" w:eastAsia="Arial" w:hAnsi="Arial" w:cs="Arial"/>
        </w:rPr>
        <w:t xml:space="preserve"> et al., 2018). In obesity-associated liver injury, supplementation improved steatosis and r</w:t>
      </w:r>
      <w:r>
        <w:rPr>
          <w:rFonts w:ascii="Arial" w:eastAsia="Arial" w:hAnsi="Arial" w:cs="Arial"/>
        </w:rPr>
        <w:t>educed inflammation. In acetaminophen, fluoride, and ethanol toxicity, extracts mitigated fibrosis and maintained hepatic architecture (</w:t>
      </w:r>
      <w:proofErr w:type="spellStart"/>
      <w:r>
        <w:rPr>
          <w:rFonts w:ascii="Arial" w:eastAsia="Arial" w:hAnsi="Arial" w:cs="Arial"/>
        </w:rPr>
        <w:t>Sagor</w:t>
      </w:r>
      <w:proofErr w:type="spellEnd"/>
      <w:r>
        <w:rPr>
          <w:rFonts w:ascii="Arial" w:eastAsia="Arial" w:hAnsi="Arial" w:cs="Arial"/>
        </w:rPr>
        <w:t xml:space="preserve"> et al., 2016; Ullah et al., 2017; Ahmad et al., 2017). In the case of chromium exposure, extracts significantly re</w:t>
      </w:r>
      <w:r>
        <w:rPr>
          <w:rFonts w:ascii="Arial" w:eastAsia="Arial" w:hAnsi="Arial" w:cs="Arial"/>
        </w:rPr>
        <w:t>duced necrosis and preserved hepatocyte morphology (Abbas et al., 2016).</w:t>
      </w:r>
    </w:p>
    <w:p w:rsidR="00C76412" w:rsidRDefault="00D100D2">
      <w:pPr>
        <w:spacing w:before="240" w:after="240"/>
        <w:ind w:firstLine="720"/>
        <w:jc w:val="both"/>
        <w:rPr>
          <w:rFonts w:ascii="Arial" w:eastAsia="Arial" w:hAnsi="Arial" w:cs="Arial"/>
        </w:rPr>
      </w:pPr>
      <w:r>
        <w:rPr>
          <w:rFonts w:ascii="Arial" w:eastAsia="Arial" w:hAnsi="Arial" w:cs="Arial"/>
        </w:rPr>
        <w:t xml:space="preserve">The protective effects of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appear to be mediated by multiple mechanisms. Several studies reported reduced lipid peroxidation, evidenced by decreased malondialdehyde (MDA), an</w:t>
      </w:r>
      <w:r>
        <w:rPr>
          <w:rFonts w:ascii="Arial" w:eastAsia="Arial" w:hAnsi="Arial" w:cs="Arial"/>
        </w:rPr>
        <w:t>d increased activity of endogenous antioxidant enzymes, including superoxide dismutase (SOD) and catalase (CAT) (Hossain et al., 2011; Souza et al., 2017). These effects support the hypothesis of antioxidant-mediated hepatoprotection (</w:t>
      </w:r>
      <w:proofErr w:type="spellStart"/>
      <w:r>
        <w:rPr>
          <w:rFonts w:ascii="Arial" w:eastAsia="Arial" w:hAnsi="Arial" w:cs="Arial"/>
        </w:rPr>
        <w:t>Abenavoli</w:t>
      </w:r>
      <w:proofErr w:type="spellEnd"/>
      <w:r>
        <w:rPr>
          <w:rFonts w:ascii="Arial" w:eastAsia="Arial" w:hAnsi="Arial" w:cs="Arial"/>
        </w:rPr>
        <w:t xml:space="preserve"> et al., 201</w:t>
      </w:r>
      <w:r>
        <w:rPr>
          <w:rFonts w:ascii="Arial" w:eastAsia="Arial" w:hAnsi="Arial" w:cs="Arial"/>
        </w:rPr>
        <w:t>6; Wang et al., 2021). Anti-inflammatory activity has also been reported, with extracts lowering TNF-α, IL-6, and nitric oxide production, while suppressing NF-</w:t>
      </w:r>
      <w:proofErr w:type="spellStart"/>
      <w:r>
        <w:rPr>
          <w:rFonts w:ascii="Arial" w:eastAsia="Arial" w:hAnsi="Arial" w:cs="Arial"/>
        </w:rPr>
        <w:t>κB</w:t>
      </w:r>
      <w:proofErr w:type="spellEnd"/>
      <w:r>
        <w:rPr>
          <w:rFonts w:ascii="Arial" w:eastAsia="Arial" w:hAnsi="Arial" w:cs="Arial"/>
        </w:rPr>
        <w:t xml:space="preserve"> and MAPK (JNK, ERK, p38) activation (</w:t>
      </w:r>
      <w:proofErr w:type="spellStart"/>
      <w:r>
        <w:rPr>
          <w:rFonts w:ascii="Arial" w:eastAsia="Arial" w:hAnsi="Arial" w:cs="Arial"/>
        </w:rPr>
        <w:t>Syama</w:t>
      </w:r>
      <w:proofErr w:type="spellEnd"/>
      <w:r>
        <w:rPr>
          <w:rFonts w:ascii="Arial" w:eastAsia="Arial" w:hAnsi="Arial" w:cs="Arial"/>
        </w:rPr>
        <w:t xml:space="preserve"> et al., 2018; Sharma et al., 2012). These findings</w:t>
      </w:r>
      <w:r>
        <w:rPr>
          <w:rFonts w:ascii="Arial" w:eastAsia="Arial" w:hAnsi="Arial" w:cs="Arial"/>
        </w:rPr>
        <w:t xml:space="preserve"> suggest that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acts at the intersection of oxidative stress and inflammatory pathways, central processes in liver injury (</w:t>
      </w:r>
      <w:proofErr w:type="spellStart"/>
      <w:r>
        <w:rPr>
          <w:rFonts w:ascii="Arial" w:eastAsia="Arial" w:hAnsi="Arial" w:cs="Arial"/>
        </w:rPr>
        <w:t>França</w:t>
      </w:r>
      <w:proofErr w:type="spellEnd"/>
      <w:r>
        <w:rPr>
          <w:rFonts w:ascii="Arial" w:eastAsia="Arial" w:hAnsi="Arial" w:cs="Arial"/>
        </w:rPr>
        <w:t xml:space="preserve"> et al., 2018).</w:t>
      </w:r>
    </w:p>
    <w:p w:rsidR="00C76412" w:rsidRDefault="00D100D2">
      <w:pPr>
        <w:spacing w:before="240" w:after="240"/>
        <w:ind w:firstLine="720"/>
        <w:jc w:val="both"/>
        <w:rPr>
          <w:rFonts w:ascii="Arial" w:eastAsia="Arial" w:hAnsi="Arial" w:cs="Arial"/>
        </w:rPr>
      </w:pPr>
      <w:r>
        <w:rPr>
          <w:rFonts w:ascii="Arial" w:eastAsia="Arial" w:hAnsi="Arial" w:cs="Arial"/>
        </w:rPr>
        <w:t>One of the most striking findings is the evidence of dose-dependent effects. Low to moderate doses cons</w:t>
      </w:r>
      <w:r>
        <w:rPr>
          <w:rFonts w:ascii="Arial" w:eastAsia="Arial" w:hAnsi="Arial" w:cs="Arial"/>
        </w:rPr>
        <w:t xml:space="preserve">istently improved biochemical and histological outcomes, whereas higher doses sometimes failed to </w:t>
      </w:r>
      <w:r>
        <w:rPr>
          <w:rFonts w:ascii="Arial" w:eastAsia="Arial" w:hAnsi="Arial" w:cs="Arial"/>
        </w:rPr>
        <w:lastRenderedPageBreak/>
        <w:t>produce benefit or even caused harm, particularly in ethanol-induced models (Manu et al., 2022). This non-linear relationship suggests that increasing the con</w:t>
      </w:r>
      <w:r>
        <w:rPr>
          <w:rFonts w:ascii="Arial" w:eastAsia="Arial" w:hAnsi="Arial" w:cs="Arial"/>
        </w:rPr>
        <w:t>centration of extract does not necessarily enhance efficacy and may introduce toxic effects, an issue also raised in other phytochemical studies (</w:t>
      </w:r>
      <w:proofErr w:type="spellStart"/>
      <w:r>
        <w:rPr>
          <w:rFonts w:ascii="Arial" w:eastAsia="Arial" w:hAnsi="Arial" w:cs="Arial"/>
        </w:rPr>
        <w:t>Ayyanar</w:t>
      </w:r>
      <w:proofErr w:type="spellEnd"/>
      <w:r>
        <w:rPr>
          <w:rFonts w:ascii="Arial" w:eastAsia="Arial" w:hAnsi="Arial" w:cs="Arial"/>
        </w:rPr>
        <w:t xml:space="preserve"> &amp; Subash-</w:t>
      </w:r>
      <w:proofErr w:type="spellStart"/>
      <w:r>
        <w:rPr>
          <w:rFonts w:ascii="Arial" w:eastAsia="Arial" w:hAnsi="Arial" w:cs="Arial"/>
        </w:rPr>
        <w:t>Babu</w:t>
      </w:r>
      <w:proofErr w:type="spellEnd"/>
      <w:r>
        <w:rPr>
          <w:rFonts w:ascii="Arial" w:eastAsia="Arial" w:hAnsi="Arial" w:cs="Arial"/>
        </w:rPr>
        <w:t>, 2012).</w:t>
      </w:r>
    </w:p>
    <w:p w:rsidR="00C76412" w:rsidRDefault="00D100D2">
      <w:pPr>
        <w:spacing w:before="240" w:after="240"/>
        <w:ind w:firstLine="720"/>
        <w:jc w:val="both"/>
        <w:rPr>
          <w:rFonts w:ascii="Arial" w:eastAsia="Arial" w:hAnsi="Arial" w:cs="Arial"/>
        </w:rPr>
      </w:pPr>
      <w:r>
        <w:rPr>
          <w:rFonts w:ascii="Arial" w:eastAsia="Arial" w:hAnsi="Arial" w:cs="Arial"/>
        </w:rPr>
        <w:t>The CAMARADES checklist revealed methodological shortcomings across most include</w:t>
      </w:r>
      <w:r>
        <w:rPr>
          <w:rFonts w:ascii="Arial" w:eastAsia="Arial" w:hAnsi="Arial" w:cs="Arial"/>
        </w:rPr>
        <w:t>d studies. Key elements such as randomization, allocation concealment, and blinding of outcome assessors were frequently unreported (Islam et al., 2015; Nahid et al., 2017). Incomplete reporting of outcomes and lack of control for attrition further limit c</w:t>
      </w:r>
      <w:r>
        <w:rPr>
          <w:rFonts w:ascii="Arial" w:eastAsia="Arial" w:hAnsi="Arial" w:cs="Arial"/>
        </w:rPr>
        <w:t>onfidence in the evidence. Such methodological weaknesses compromise reproducibility and highlight the urgent need for rigorously designed preclinical studies (</w:t>
      </w:r>
      <w:proofErr w:type="spellStart"/>
      <w:r>
        <w:rPr>
          <w:rFonts w:ascii="Arial" w:eastAsia="Arial" w:hAnsi="Arial" w:cs="Arial"/>
        </w:rPr>
        <w:t>Devarbhavi</w:t>
      </w:r>
      <w:proofErr w:type="spellEnd"/>
      <w:r>
        <w:rPr>
          <w:rFonts w:ascii="Arial" w:eastAsia="Arial" w:hAnsi="Arial" w:cs="Arial"/>
        </w:rPr>
        <w:t xml:space="preserve"> et al., 2023).</w:t>
      </w:r>
    </w:p>
    <w:p w:rsidR="00C76412" w:rsidRDefault="00D100D2">
      <w:pPr>
        <w:spacing w:before="240" w:after="240"/>
        <w:ind w:firstLine="720"/>
        <w:jc w:val="both"/>
        <w:rPr>
          <w:rFonts w:ascii="Arial" w:eastAsia="Arial" w:hAnsi="Arial" w:cs="Arial"/>
        </w:rPr>
      </w:pPr>
      <w:r>
        <w:rPr>
          <w:rFonts w:ascii="Arial" w:eastAsia="Arial" w:hAnsi="Arial" w:cs="Arial"/>
        </w:rPr>
        <w:t xml:space="preserve">The effects of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can be contextualized by comparison with sily</w:t>
      </w:r>
      <w:r>
        <w:rPr>
          <w:rFonts w:ascii="Arial" w:eastAsia="Arial" w:hAnsi="Arial" w:cs="Arial"/>
        </w:rPr>
        <w:t>marin (</w:t>
      </w:r>
      <w:proofErr w:type="spellStart"/>
      <w:r>
        <w:rPr>
          <w:rFonts w:ascii="Arial" w:eastAsia="Arial" w:hAnsi="Arial" w:cs="Arial"/>
          <w:i/>
        </w:rPr>
        <w:t>Silybum</w:t>
      </w:r>
      <w:proofErr w:type="spellEnd"/>
      <w:r>
        <w:rPr>
          <w:rFonts w:ascii="Arial" w:eastAsia="Arial" w:hAnsi="Arial" w:cs="Arial"/>
          <w:i/>
        </w:rPr>
        <w:t xml:space="preserve"> </w:t>
      </w:r>
      <w:proofErr w:type="spellStart"/>
      <w:r>
        <w:rPr>
          <w:rFonts w:ascii="Arial" w:eastAsia="Arial" w:hAnsi="Arial" w:cs="Arial"/>
          <w:i/>
        </w:rPr>
        <w:t>marianum</w:t>
      </w:r>
      <w:proofErr w:type="spellEnd"/>
      <w:r>
        <w:rPr>
          <w:rFonts w:ascii="Arial" w:eastAsia="Arial" w:hAnsi="Arial" w:cs="Arial"/>
        </w:rPr>
        <w:t xml:space="preserve">), an extensively studied hepatoprotective </w:t>
      </w:r>
      <w:proofErr w:type="spellStart"/>
      <w:r>
        <w:rPr>
          <w:rFonts w:ascii="Arial" w:eastAsia="Arial" w:hAnsi="Arial" w:cs="Arial"/>
        </w:rPr>
        <w:t>phytotherapeutic</w:t>
      </w:r>
      <w:proofErr w:type="spellEnd"/>
      <w:r>
        <w:rPr>
          <w:rFonts w:ascii="Arial" w:eastAsia="Arial" w:hAnsi="Arial" w:cs="Arial"/>
        </w:rPr>
        <w:t>. Both share antioxidant, anti-inflammatory, and membrane-stabilizing properties (</w:t>
      </w:r>
      <w:proofErr w:type="spellStart"/>
      <w:r>
        <w:rPr>
          <w:rFonts w:ascii="Arial" w:eastAsia="Arial" w:hAnsi="Arial" w:cs="Arial"/>
        </w:rPr>
        <w:t>Abenavoli</w:t>
      </w:r>
      <w:proofErr w:type="spellEnd"/>
      <w:r>
        <w:rPr>
          <w:rFonts w:ascii="Arial" w:eastAsia="Arial" w:hAnsi="Arial" w:cs="Arial"/>
        </w:rPr>
        <w:t xml:space="preserve"> et al., 2016; Wang et al., 2021). However, unlike silymarin, which has undergone c</w:t>
      </w:r>
      <w:r>
        <w:rPr>
          <w:rFonts w:ascii="Arial" w:eastAsia="Arial" w:hAnsi="Arial" w:cs="Arial"/>
        </w:rPr>
        <w:t xml:space="preserve">linical validation,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remains confined to animal models. This contrast underscores the translational gap and the need for standardized protocols before advancing to human trials.</w:t>
      </w:r>
    </w:p>
    <w:p w:rsidR="00C76412" w:rsidRDefault="00D100D2">
      <w:pPr>
        <w:spacing w:before="240" w:after="240"/>
        <w:ind w:firstLine="720"/>
        <w:jc w:val="both"/>
        <w:rPr>
          <w:rFonts w:ascii="Arial" w:eastAsia="Arial" w:hAnsi="Arial" w:cs="Arial"/>
        </w:rPr>
      </w:pPr>
      <w:r>
        <w:rPr>
          <w:rFonts w:ascii="Arial" w:eastAsia="Arial" w:hAnsi="Arial" w:cs="Arial"/>
        </w:rPr>
        <w:t xml:space="preserve">Despite promising preclinical evidence, clinical translation of </w:t>
      </w:r>
      <w:r>
        <w:rPr>
          <w:rFonts w:ascii="Arial" w:eastAsia="Arial" w:hAnsi="Arial" w:cs="Arial"/>
          <w:i/>
        </w:rPr>
        <w:t xml:space="preserve">S. </w:t>
      </w:r>
      <w:proofErr w:type="spellStart"/>
      <w:r>
        <w:rPr>
          <w:rFonts w:ascii="Arial" w:eastAsia="Arial" w:hAnsi="Arial" w:cs="Arial"/>
          <w:i/>
        </w:rPr>
        <w:t>cu</w:t>
      </w:r>
      <w:r>
        <w:rPr>
          <w:rFonts w:ascii="Arial" w:eastAsia="Arial" w:hAnsi="Arial" w:cs="Arial"/>
          <w:i/>
        </w:rPr>
        <w:t>mini</w:t>
      </w:r>
      <w:proofErr w:type="spellEnd"/>
      <w:r>
        <w:rPr>
          <w:rFonts w:ascii="Arial" w:eastAsia="Arial" w:hAnsi="Arial" w:cs="Arial"/>
        </w:rPr>
        <w:t xml:space="preserve"> faces several barriers. First, pharmacokinetics and bioavailability of its active compounds remain poorly characterized (</w:t>
      </w:r>
      <w:proofErr w:type="spellStart"/>
      <w:r>
        <w:rPr>
          <w:rFonts w:ascii="Arial" w:eastAsia="Arial" w:hAnsi="Arial" w:cs="Arial"/>
        </w:rPr>
        <w:t>Ayyanar</w:t>
      </w:r>
      <w:proofErr w:type="spellEnd"/>
      <w:r>
        <w:rPr>
          <w:rFonts w:ascii="Arial" w:eastAsia="Arial" w:hAnsi="Arial" w:cs="Arial"/>
        </w:rPr>
        <w:t xml:space="preserve"> &amp; Subash-</w:t>
      </w:r>
      <w:proofErr w:type="spellStart"/>
      <w:r>
        <w:rPr>
          <w:rFonts w:ascii="Arial" w:eastAsia="Arial" w:hAnsi="Arial" w:cs="Arial"/>
        </w:rPr>
        <w:t>Babu</w:t>
      </w:r>
      <w:proofErr w:type="spellEnd"/>
      <w:r>
        <w:rPr>
          <w:rFonts w:ascii="Arial" w:eastAsia="Arial" w:hAnsi="Arial" w:cs="Arial"/>
        </w:rPr>
        <w:t>, 2012). Second, drug–drug and nutrient interactions have not been systematically evaluated. Third, the varia</w:t>
      </w:r>
      <w:r>
        <w:rPr>
          <w:rFonts w:ascii="Arial" w:eastAsia="Arial" w:hAnsi="Arial" w:cs="Arial"/>
        </w:rPr>
        <w:t>bility in extraction methods and plant parts used complicates reproducibility and regulatory approval (Srivastava &amp; Chandra, 2013). Furthermore, most studies assessed only short-term outcomes, whereas liver disease often requires long-term interventions. S</w:t>
      </w:r>
      <w:r>
        <w:rPr>
          <w:rFonts w:ascii="Arial" w:eastAsia="Arial" w:hAnsi="Arial" w:cs="Arial"/>
        </w:rPr>
        <w:t>afety under chronic exposure is largely unknown and adverse effects such as those reported at higher doses (Manu et al., 2022) guarantee caution. Future trials must address not only biochemical endpoints but also clinically meaningful outcomes including pr</w:t>
      </w:r>
      <w:r>
        <w:rPr>
          <w:rFonts w:ascii="Arial" w:eastAsia="Arial" w:hAnsi="Arial" w:cs="Arial"/>
        </w:rPr>
        <w:t>ogression to cirrhosis, survival and quality of life.</w:t>
      </w:r>
    </w:p>
    <w:p w:rsidR="00C76412" w:rsidRDefault="00D100D2">
      <w:pPr>
        <w:spacing w:before="240" w:after="240"/>
        <w:ind w:firstLine="720"/>
        <w:jc w:val="both"/>
        <w:rPr>
          <w:rFonts w:ascii="Arial" w:eastAsia="Arial" w:hAnsi="Arial" w:cs="Arial"/>
        </w:rPr>
      </w:pPr>
      <w:r>
        <w:rPr>
          <w:rFonts w:ascii="Arial" w:eastAsia="Arial" w:hAnsi="Arial" w:cs="Arial"/>
        </w:rPr>
        <w:t xml:space="preserve">Finally, it is worth noting that several studies outside the hepatic field have also reported protective effects of </w:t>
      </w:r>
      <w:r>
        <w:rPr>
          <w:rFonts w:ascii="Arial" w:eastAsia="Arial" w:hAnsi="Arial" w:cs="Arial"/>
          <w:i/>
        </w:rPr>
        <w:t xml:space="preserve">S. </w:t>
      </w:r>
      <w:proofErr w:type="spellStart"/>
      <w:r>
        <w:rPr>
          <w:rFonts w:ascii="Arial" w:eastAsia="Arial" w:hAnsi="Arial" w:cs="Arial"/>
          <w:i/>
        </w:rPr>
        <w:t>cumini</w:t>
      </w:r>
      <w:r>
        <w:rPr>
          <w:rFonts w:ascii="Arial" w:eastAsia="Arial" w:hAnsi="Arial" w:cs="Arial"/>
        </w:rPr>
        <w:t>in</w:t>
      </w:r>
      <w:proofErr w:type="spellEnd"/>
      <w:r>
        <w:rPr>
          <w:rFonts w:ascii="Arial" w:eastAsia="Arial" w:hAnsi="Arial" w:cs="Arial"/>
        </w:rPr>
        <w:t xml:space="preserve"> models of renal, cardiovascular, skeletal and reproductive toxicity (Ahmad</w:t>
      </w:r>
      <w:r>
        <w:rPr>
          <w:rFonts w:ascii="Arial" w:eastAsia="Arial" w:hAnsi="Arial" w:cs="Arial"/>
        </w:rPr>
        <w:t xml:space="preserve"> et al., 2012; Ahmad et al., 2014; Abbas et al., 2015; Abbas et al., 2017). Although these works were not included in the systematic synthesis due to different primary outcomes, they suggest a broader spectrum of action of </w:t>
      </w:r>
      <w:r>
        <w:rPr>
          <w:rFonts w:ascii="Arial" w:eastAsia="Arial" w:hAnsi="Arial" w:cs="Arial"/>
          <w:i/>
        </w:rPr>
        <w:t xml:space="preserve">S. </w:t>
      </w:r>
      <w:proofErr w:type="spellStart"/>
      <w:r>
        <w:rPr>
          <w:rFonts w:ascii="Arial" w:eastAsia="Arial" w:hAnsi="Arial" w:cs="Arial"/>
          <w:i/>
        </w:rPr>
        <w:t>cumini</w:t>
      </w:r>
      <w:proofErr w:type="spellEnd"/>
      <w:r>
        <w:rPr>
          <w:rFonts w:ascii="Arial" w:eastAsia="Arial" w:hAnsi="Arial" w:cs="Arial"/>
        </w:rPr>
        <w:t xml:space="preserve">, potentially extending </w:t>
      </w:r>
      <w:r>
        <w:rPr>
          <w:rFonts w:ascii="Arial" w:eastAsia="Arial" w:hAnsi="Arial" w:cs="Arial"/>
        </w:rPr>
        <w:t>to multi-organ protection. Such findings reinforce the need for integrated experimental approaches exploring the systemic benefits of this plant.</w:t>
      </w:r>
    </w:p>
    <w:p w:rsidR="00C76412" w:rsidRDefault="00C76412">
      <w:pPr>
        <w:spacing w:before="240" w:after="240"/>
        <w:ind w:firstLine="720"/>
        <w:jc w:val="both"/>
        <w:rPr>
          <w:rFonts w:ascii="Arial" w:eastAsia="Arial" w:hAnsi="Arial" w:cs="Arial"/>
        </w:rPr>
      </w:pPr>
    </w:p>
    <w:p w:rsidR="00C76412" w:rsidRDefault="00D100D2">
      <w:pPr>
        <w:keepNext/>
        <w:jc w:val="both"/>
        <w:rPr>
          <w:rFonts w:ascii="Arial" w:eastAsia="Arial" w:hAnsi="Arial" w:cs="Arial"/>
          <w:b/>
          <w:smallCaps/>
          <w:sz w:val="22"/>
          <w:szCs w:val="22"/>
        </w:rPr>
      </w:pPr>
      <w:r>
        <w:rPr>
          <w:rFonts w:ascii="Arial" w:eastAsia="Arial" w:hAnsi="Arial" w:cs="Arial"/>
          <w:b/>
          <w:smallCaps/>
          <w:sz w:val="22"/>
          <w:szCs w:val="22"/>
        </w:rPr>
        <w:t>4. Conclusion</w:t>
      </w:r>
    </w:p>
    <w:p w:rsidR="00C76412" w:rsidRDefault="00C76412">
      <w:pPr>
        <w:keepNext/>
        <w:jc w:val="both"/>
        <w:rPr>
          <w:rFonts w:ascii="Arial" w:eastAsia="Arial" w:hAnsi="Arial" w:cs="Arial"/>
          <w:b/>
          <w:smallCaps/>
          <w:sz w:val="22"/>
          <w:szCs w:val="22"/>
        </w:rPr>
      </w:pPr>
    </w:p>
    <w:p w:rsidR="00C76412" w:rsidRDefault="00D100D2">
      <w:pPr>
        <w:spacing w:before="240" w:after="240"/>
        <w:ind w:firstLine="720"/>
        <w:jc w:val="both"/>
        <w:rPr>
          <w:rFonts w:ascii="Arial" w:eastAsia="Arial" w:hAnsi="Arial" w:cs="Arial"/>
        </w:rPr>
      </w:pPr>
      <w:r>
        <w:rPr>
          <w:rFonts w:ascii="Arial" w:eastAsia="Arial" w:hAnsi="Arial" w:cs="Arial"/>
        </w:rPr>
        <w:t xml:space="preserve">This systematic review indicates that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exhibits hepatoprotective effects in diverse animal models of liver injury mediated by antioxidant and anti-inflammatory. Reductions in ALT and AST levels, along with improvements in histological features such as steatosis, vacuolization, and inflammatory</w:t>
      </w:r>
      <w:r>
        <w:rPr>
          <w:rFonts w:ascii="Arial" w:eastAsia="Arial" w:hAnsi="Arial" w:cs="Arial"/>
        </w:rPr>
        <w:t xml:space="preserve"> infiltration, were consistently observed across most studies. However, substantial heterogeneity in experimental protocols, plant parts used, extraction methods, and dosing regimens, together with methodological limitations and risk of bias, constrain the</w:t>
      </w:r>
      <w:r>
        <w:rPr>
          <w:rFonts w:ascii="Arial" w:eastAsia="Arial" w:hAnsi="Arial" w:cs="Arial"/>
        </w:rPr>
        <w:t xml:space="preserve"> strength of current evidence. Moreover, dose-dependent effects, including potential toxicity at higher concentrations, highlight the necessity of defining safe and effective therapeutic windows.</w:t>
      </w:r>
    </w:p>
    <w:p w:rsidR="00C76412" w:rsidRDefault="00D100D2">
      <w:pPr>
        <w:spacing w:before="240" w:after="240"/>
        <w:ind w:firstLine="720"/>
        <w:jc w:val="both"/>
        <w:rPr>
          <w:rFonts w:ascii="Arial" w:eastAsia="Arial" w:hAnsi="Arial" w:cs="Arial"/>
        </w:rPr>
      </w:pPr>
      <w:r>
        <w:rPr>
          <w:rFonts w:ascii="Arial" w:eastAsia="Arial" w:hAnsi="Arial" w:cs="Arial"/>
        </w:rPr>
        <w:t>Given these limitations, the current evidence is insufficien</w:t>
      </w:r>
      <w:r>
        <w:rPr>
          <w:rFonts w:ascii="Arial" w:eastAsia="Arial" w:hAnsi="Arial" w:cs="Arial"/>
        </w:rPr>
        <w:t xml:space="preserve">t to establish clear benefits for clinical application. Future preclinical studies should adopt standardized methodologies, assess pharmacokinetics and long-term safety, and ensure rigorous bias control. Only after these gaps are addressed can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w:t>
      </w:r>
      <w:r>
        <w:rPr>
          <w:rFonts w:ascii="Arial" w:eastAsia="Arial" w:hAnsi="Arial" w:cs="Arial"/>
          <w:i/>
        </w:rPr>
        <w:t>ini</w:t>
      </w:r>
      <w:proofErr w:type="spellEnd"/>
      <w:r>
        <w:rPr>
          <w:rFonts w:ascii="Arial" w:eastAsia="Arial" w:hAnsi="Arial" w:cs="Arial"/>
        </w:rPr>
        <w:t xml:space="preserve"> be reliably advanced to clinical trials for the management of chronic liver diseases.</w:t>
      </w:r>
    </w:p>
    <w:p w:rsidR="00C76412" w:rsidRDefault="00C76412">
      <w:pPr>
        <w:jc w:val="both"/>
        <w:rPr>
          <w:rFonts w:ascii="Arial" w:eastAsia="Arial" w:hAnsi="Arial" w:cs="Arial"/>
        </w:rPr>
      </w:pPr>
    </w:p>
    <w:p w:rsidR="00C76412" w:rsidRDefault="00C76412">
      <w:pPr>
        <w:keepNext/>
        <w:jc w:val="both"/>
        <w:rPr>
          <w:rFonts w:ascii="Arial" w:eastAsia="Arial" w:hAnsi="Arial" w:cs="Arial"/>
        </w:rPr>
      </w:pPr>
    </w:p>
    <w:p w:rsidR="00C76412" w:rsidRDefault="00C76412">
      <w:pPr>
        <w:jc w:val="both"/>
      </w:pPr>
    </w:p>
    <w:p w:rsidR="00C76412" w:rsidRDefault="00D100D2">
      <w:pPr>
        <w:rPr>
          <w:rFonts w:ascii="Calibri" w:eastAsia="Calibri" w:hAnsi="Calibri" w:cs="Calibri"/>
          <w:b/>
        </w:rPr>
      </w:pPr>
      <w:bookmarkStart w:id="9" w:name="_75m59khdc1gr" w:colFirst="0" w:colLast="0"/>
      <w:bookmarkEnd w:id="9"/>
      <w:r>
        <w:rPr>
          <w:rFonts w:ascii="Calibri" w:eastAsia="Calibri" w:hAnsi="Calibri" w:cs="Calibri"/>
          <w:b/>
        </w:rPr>
        <w:t>Disclaimer (Artificial intelligence)</w:t>
      </w:r>
    </w:p>
    <w:p w:rsidR="00C76412" w:rsidRDefault="00D100D2">
      <w:pPr>
        <w:spacing w:before="240" w:after="240"/>
        <w:rPr>
          <w:rFonts w:ascii="Calibri" w:eastAsia="Calibri" w:hAnsi="Calibri" w:cs="Calibri"/>
        </w:rPr>
      </w:pPr>
      <w:r>
        <w:rPr>
          <w:rFonts w:ascii="Calibri" w:eastAsia="Calibri" w:hAnsi="Calibri" w:cs="Calibri"/>
        </w:rPr>
        <w:t xml:space="preserve">Author(s) hereby declare that generative AI technologies have been used during the writing of this manuscript. The AI tool was not employed for generating original scientific content, data </w:t>
      </w:r>
      <w:proofErr w:type="gramStart"/>
      <w:r>
        <w:rPr>
          <w:rFonts w:ascii="Calibri" w:eastAsia="Calibri" w:hAnsi="Calibri" w:cs="Calibri"/>
        </w:rPr>
        <w:t>analysis  or</w:t>
      </w:r>
      <w:proofErr w:type="gramEnd"/>
      <w:r>
        <w:rPr>
          <w:rFonts w:ascii="Calibri" w:eastAsia="Calibri" w:hAnsi="Calibri" w:cs="Calibri"/>
        </w:rPr>
        <w:t xml:space="preserve"> interpretation of results, but exclusively as a suppor</w:t>
      </w:r>
      <w:r>
        <w:rPr>
          <w:rFonts w:ascii="Calibri" w:eastAsia="Calibri" w:hAnsi="Calibri" w:cs="Calibri"/>
        </w:rPr>
        <w:t>t for translation, language polishing and improving readability of the English text.</w:t>
      </w:r>
    </w:p>
    <w:p w:rsidR="00C76412" w:rsidRDefault="00D100D2">
      <w:pPr>
        <w:spacing w:before="240" w:after="240"/>
        <w:rPr>
          <w:rFonts w:ascii="Calibri" w:eastAsia="Calibri" w:hAnsi="Calibri" w:cs="Calibri"/>
        </w:rPr>
      </w:pPr>
      <w:r>
        <w:rPr>
          <w:rFonts w:ascii="Calibri" w:eastAsia="Calibri" w:hAnsi="Calibri" w:cs="Calibri"/>
        </w:rPr>
        <w:t xml:space="preserve">Details of AI </w:t>
      </w:r>
      <w:proofErr w:type="gramStart"/>
      <w:r>
        <w:rPr>
          <w:rFonts w:ascii="Calibri" w:eastAsia="Calibri" w:hAnsi="Calibri" w:cs="Calibri"/>
        </w:rPr>
        <w:t>usage::</w:t>
      </w:r>
      <w:proofErr w:type="gramEnd"/>
      <w:r>
        <w:rPr>
          <w:rFonts w:ascii="Calibri" w:eastAsia="Calibri" w:hAnsi="Calibri" w:cs="Calibri"/>
        </w:rPr>
        <w:t xml:space="preserve"> </w:t>
      </w:r>
      <w:proofErr w:type="spellStart"/>
      <w:r>
        <w:rPr>
          <w:rFonts w:ascii="Calibri" w:eastAsia="Calibri" w:hAnsi="Calibri" w:cs="Calibri"/>
        </w:rPr>
        <w:t>ChatGPT</w:t>
      </w:r>
      <w:proofErr w:type="spellEnd"/>
      <w:r>
        <w:rPr>
          <w:rFonts w:ascii="Calibri" w:eastAsia="Calibri" w:hAnsi="Calibri" w:cs="Calibri"/>
        </w:rPr>
        <w:t xml:space="preserve"> (GPT-5, </w:t>
      </w:r>
      <w:proofErr w:type="spellStart"/>
      <w:r>
        <w:rPr>
          <w:rFonts w:ascii="Calibri" w:eastAsia="Calibri" w:hAnsi="Calibri" w:cs="Calibri"/>
        </w:rPr>
        <w:t>OpenAI</w:t>
      </w:r>
      <w:proofErr w:type="spellEnd"/>
      <w:r>
        <w:rPr>
          <w:rFonts w:ascii="Calibri" w:eastAsia="Calibri" w:hAnsi="Calibri" w:cs="Calibri"/>
        </w:rPr>
        <w:t xml:space="preserve">, 2025). Source: </w:t>
      </w:r>
      <w:hyperlink r:id="rId18">
        <w:r>
          <w:rPr>
            <w:rFonts w:ascii="Calibri" w:eastAsia="Calibri" w:hAnsi="Calibri" w:cs="Calibri"/>
            <w:color w:val="1155CC"/>
            <w:u w:val="single"/>
          </w:rPr>
          <w:t>https://chat.openai.com</w:t>
        </w:r>
      </w:hyperlink>
      <w:r>
        <w:rPr>
          <w:rFonts w:ascii="Calibri" w:eastAsia="Calibri" w:hAnsi="Calibri" w:cs="Calibri"/>
        </w:rPr>
        <w:t>. Specific use: Assistance in translation o</w:t>
      </w:r>
      <w:r>
        <w:rPr>
          <w:rFonts w:ascii="Calibri" w:eastAsia="Calibri" w:hAnsi="Calibri" w:cs="Calibri"/>
        </w:rPr>
        <w:t xml:space="preserve">f Portuguese to </w:t>
      </w:r>
      <w:proofErr w:type="spellStart"/>
      <w:r>
        <w:rPr>
          <w:rFonts w:ascii="Calibri" w:eastAsia="Calibri" w:hAnsi="Calibri" w:cs="Calibri"/>
        </w:rPr>
        <w:t>Englis</w:t>
      </w:r>
      <w:proofErr w:type="spellEnd"/>
      <w:r>
        <w:rPr>
          <w:rFonts w:ascii="Calibri" w:eastAsia="Calibri" w:hAnsi="Calibri" w:cs="Calibri"/>
        </w:rPr>
        <w:t xml:space="preserve"> </w:t>
      </w:r>
      <w:proofErr w:type="gramStart"/>
      <w:r>
        <w:rPr>
          <w:rFonts w:ascii="Calibri" w:eastAsia="Calibri" w:hAnsi="Calibri" w:cs="Calibri"/>
        </w:rPr>
        <w:t>and  grammar</w:t>
      </w:r>
      <w:proofErr w:type="gramEnd"/>
      <w:r>
        <w:rPr>
          <w:rFonts w:ascii="Calibri" w:eastAsia="Calibri" w:hAnsi="Calibri" w:cs="Calibri"/>
        </w:rPr>
        <w:t xml:space="preserve"> correction. </w:t>
      </w:r>
    </w:p>
    <w:p w:rsidR="00C76412" w:rsidRDefault="00D100D2">
      <w:pPr>
        <w:spacing w:before="240" w:after="240"/>
        <w:rPr>
          <w:rFonts w:ascii="Calibri" w:eastAsia="Calibri" w:hAnsi="Calibri" w:cs="Calibri"/>
        </w:rPr>
      </w:pPr>
      <w:bookmarkStart w:id="10" w:name="_vlhjum9c6vxf" w:colFirst="0" w:colLast="0"/>
      <w:bookmarkEnd w:id="10"/>
      <w:r>
        <w:rPr>
          <w:rFonts w:ascii="Calibri" w:eastAsia="Calibri" w:hAnsi="Calibri" w:cs="Calibri"/>
        </w:rPr>
        <w:t>All scientific ideas, data extraction, interpretation and conclusions were entirely performed by the authors.</w:t>
      </w:r>
    </w:p>
    <w:p w:rsidR="00C76412" w:rsidRDefault="00C76412">
      <w:pPr>
        <w:rPr>
          <w:rFonts w:ascii="Calibri" w:eastAsia="Calibri" w:hAnsi="Calibri" w:cs="Calibri"/>
          <w:highlight w:val="yellow"/>
        </w:rPr>
      </w:pPr>
      <w:bookmarkStart w:id="11" w:name="_fgvda3kbqf8x" w:colFirst="0" w:colLast="0"/>
      <w:bookmarkEnd w:id="11"/>
    </w:p>
    <w:p w:rsidR="00C76412" w:rsidRDefault="00C76412">
      <w:pPr>
        <w:jc w:val="both"/>
      </w:pPr>
      <w:bookmarkStart w:id="12" w:name="_prhe34bdo0ua" w:colFirst="0" w:colLast="0"/>
      <w:bookmarkEnd w:id="12"/>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C76412">
      <w:pPr>
        <w:jc w:val="both"/>
      </w:pPr>
    </w:p>
    <w:p w:rsidR="00C76412" w:rsidRDefault="00D100D2">
      <w:pPr>
        <w:jc w:val="both"/>
        <w:rPr>
          <w:rFonts w:ascii="Arial" w:eastAsia="Arial" w:hAnsi="Arial" w:cs="Arial"/>
        </w:rPr>
      </w:pPr>
      <w:r>
        <w:rPr>
          <w:rFonts w:ascii="Arial" w:eastAsia="Arial" w:hAnsi="Arial" w:cs="Arial"/>
          <w:b/>
        </w:rPr>
        <w:t>Reference to a journal</w:t>
      </w:r>
      <w:r>
        <w:rPr>
          <w:rFonts w:ascii="Arial" w:eastAsia="Arial" w:hAnsi="Arial" w:cs="Arial"/>
        </w:rPr>
        <w:t>:</w:t>
      </w:r>
    </w:p>
    <w:p w:rsidR="00C76412" w:rsidRDefault="00C76412">
      <w:pPr>
        <w:jc w:val="both"/>
        <w:rPr>
          <w:rFonts w:ascii="Arial" w:eastAsia="Arial" w:hAnsi="Arial" w:cs="Arial"/>
        </w:rPr>
      </w:pPr>
    </w:p>
    <w:p w:rsidR="00C76412" w:rsidRDefault="00D100D2">
      <w:pPr>
        <w:spacing w:before="240" w:after="240"/>
        <w:jc w:val="both"/>
        <w:rPr>
          <w:rFonts w:ascii="Arial" w:eastAsia="Arial" w:hAnsi="Arial" w:cs="Arial"/>
        </w:rPr>
      </w:pPr>
      <w:r>
        <w:rPr>
          <w:rFonts w:ascii="Arial" w:eastAsia="Arial" w:hAnsi="Arial" w:cs="Arial"/>
        </w:rPr>
        <w:t xml:space="preserve">Abbas, T., Ahmad, K. R., &amp; Ullah, A. (2015). Mitigating effects of Jambul against lead induced toxicity in epididymis and vas deferens of mice. </w:t>
      </w:r>
      <w:r>
        <w:rPr>
          <w:rFonts w:ascii="Arial" w:eastAsia="Arial" w:hAnsi="Arial" w:cs="Arial"/>
          <w:i/>
        </w:rPr>
        <w:t>Iranian Journal of Reproductive Medicine, 13</w:t>
      </w:r>
      <w:r>
        <w:rPr>
          <w:rFonts w:ascii="Arial" w:eastAsia="Arial" w:hAnsi="Arial" w:cs="Arial"/>
        </w:rPr>
        <w:t>(11), 733–740.</w:t>
      </w:r>
    </w:p>
    <w:p w:rsidR="00C76412" w:rsidRDefault="00D100D2">
      <w:pPr>
        <w:spacing w:before="240" w:after="240"/>
        <w:jc w:val="both"/>
        <w:rPr>
          <w:rFonts w:ascii="Arial" w:eastAsia="Arial" w:hAnsi="Arial" w:cs="Arial"/>
        </w:rPr>
      </w:pPr>
      <w:r>
        <w:rPr>
          <w:rFonts w:ascii="Arial" w:eastAsia="Arial" w:hAnsi="Arial" w:cs="Arial"/>
        </w:rPr>
        <w:t>Abbas, T., Ahmad, K. R., &amp; Asmatullah. (2016). Reno-h</w:t>
      </w:r>
      <w:r>
        <w:rPr>
          <w:rFonts w:ascii="Arial" w:eastAsia="Arial" w:hAnsi="Arial" w:cs="Arial"/>
        </w:rPr>
        <w:t xml:space="preserve">epatic protective effects of Jambul against chromium induced anomalies in mice. </w:t>
      </w:r>
      <w:r>
        <w:rPr>
          <w:rFonts w:ascii="Arial" w:eastAsia="Arial" w:hAnsi="Arial" w:cs="Arial"/>
          <w:i/>
        </w:rPr>
        <w:t>Punjab University Journal of Zoology, 31</w:t>
      </w:r>
      <w:r>
        <w:rPr>
          <w:rFonts w:ascii="Arial" w:eastAsia="Arial" w:hAnsi="Arial" w:cs="Arial"/>
        </w:rPr>
        <w:t>(1), 59–67.</w:t>
      </w:r>
    </w:p>
    <w:p w:rsidR="00C76412" w:rsidRDefault="00D100D2">
      <w:pPr>
        <w:spacing w:before="240" w:after="240"/>
        <w:jc w:val="both"/>
        <w:rPr>
          <w:rFonts w:ascii="Arial" w:eastAsia="Arial" w:hAnsi="Arial" w:cs="Arial"/>
        </w:rPr>
      </w:pPr>
      <w:r>
        <w:rPr>
          <w:rFonts w:ascii="Arial" w:eastAsia="Arial" w:hAnsi="Arial" w:cs="Arial"/>
        </w:rPr>
        <w:lastRenderedPageBreak/>
        <w:t xml:space="preserve">Abbas, T., Farooq, Q., Ahmad, S., Hassan, A., Iqbal, S., &amp; </w:t>
      </w:r>
      <w:proofErr w:type="spellStart"/>
      <w:r>
        <w:rPr>
          <w:rFonts w:ascii="Arial" w:eastAsia="Arial" w:hAnsi="Arial" w:cs="Arial"/>
        </w:rPr>
        <w:t>Munar</w:t>
      </w:r>
      <w:proofErr w:type="spellEnd"/>
      <w:r>
        <w:rPr>
          <w:rFonts w:ascii="Arial" w:eastAsia="Arial" w:hAnsi="Arial" w:cs="Arial"/>
        </w:rPr>
        <w:t>, A. (2017). Ameliorative role of Jamul (</w:t>
      </w:r>
      <w:proofErr w:type="spellStart"/>
      <w:r>
        <w:rPr>
          <w:rFonts w:ascii="Arial" w:eastAsia="Arial" w:hAnsi="Arial" w:cs="Arial"/>
        </w:rPr>
        <w:t>Syzygium</w:t>
      </w:r>
      <w:proofErr w:type="spellEnd"/>
      <w:r>
        <w:rPr>
          <w:rFonts w:ascii="Arial" w:eastAsia="Arial" w:hAnsi="Arial" w:cs="Arial"/>
        </w:rPr>
        <w:t xml:space="preserve"> </w:t>
      </w:r>
      <w:proofErr w:type="spellStart"/>
      <w:r>
        <w:rPr>
          <w:rFonts w:ascii="Arial" w:eastAsia="Arial" w:hAnsi="Arial" w:cs="Arial"/>
        </w:rPr>
        <w:t>cumini</w:t>
      </w:r>
      <w:proofErr w:type="spellEnd"/>
      <w:r>
        <w:rPr>
          <w:rFonts w:ascii="Arial" w:eastAsia="Arial" w:hAnsi="Arial" w:cs="Arial"/>
        </w:rPr>
        <w:t>) ag</w:t>
      </w:r>
      <w:r>
        <w:rPr>
          <w:rFonts w:ascii="Arial" w:eastAsia="Arial" w:hAnsi="Arial" w:cs="Arial"/>
        </w:rPr>
        <w:t xml:space="preserve">ainst chromium induced histopathological reproductive anomalies. </w:t>
      </w:r>
      <w:r>
        <w:rPr>
          <w:rFonts w:ascii="Arial" w:eastAsia="Arial" w:hAnsi="Arial" w:cs="Arial"/>
          <w:i/>
        </w:rPr>
        <w:t>Medical Forum Monthly, 28</w:t>
      </w:r>
      <w:r>
        <w:rPr>
          <w:rFonts w:ascii="Arial" w:eastAsia="Arial" w:hAnsi="Arial" w:cs="Arial"/>
        </w:rPr>
        <w:t>(5), 106.</w:t>
      </w:r>
    </w:p>
    <w:p w:rsidR="00C76412" w:rsidRDefault="00D100D2">
      <w:pPr>
        <w:jc w:val="both"/>
        <w:rPr>
          <w:rFonts w:ascii="Arial" w:eastAsia="Arial" w:hAnsi="Arial" w:cs="Arial"/>
        </w:rPr>
      </w:pPr>
      <w:proofErr w:type="spellStart"/>
      <w:r>
        <w:rPr>
          <w:rFonts w:ascii="Arial" w:eastAsia="Arial" w:hAnsi="Arial" w:cs="Arial"/>
        </w:rPr>
        <w:t>Abenavoli</w:t>
      </w:r>
      <w:proofErr w:type="spellEnd"/>
      <w:r>
        <w:rPr>
          <w:rFonts w:ascii="Arial" w:eastAsia="Arial" w:hAnsi="Arial" w:cs="Arial"/>
        </w:rPr>
        <w:t xml:space="preserve">, L., Messina, G., </w:t>
      </w:r>
      <w:proofErr w:type="spellStart"/>
      <w:r>
        <w:rPr>
          <w:rFonts w:ascii="Arial" w:eastAsia="Arial" w:hAnsi="Arial" w:cs="Arial"/>
        </w:rPr>
        <w:t>Caprilli</w:t>
      </w:r>
      <w:proofErr w:type="spellEnd"/>
      <w:r>
        <w:rPr>
          <w:rFonts w:ascii="Arial" w:eastAsia="Arial" w:hAnsi="Arial" w:cs="Arial"/>
        </w:rPr>
        <w:t xml:space="preserve">, R., et al. (2016). The role of antioxidants in liver diseases: A systematic review. </w:t>
      </w:r>
      <w:r>
        <w:rPr>
          <w:rFonts w:ascii="Arial" w:eastAsia="Arial" w:hAnsi="Arial" w:cs="Arial"/>
          <w:i/>
        </w:rPr>
        <w:t>Biomedicine &amp; Pharmacotherapy</w:t>
      </w:r>
      <w:r>
        <w:rPr>
          <w:rFonts w:ascii="Arial" w:eastAsia="Arial" w:hAnsi="Arial" w:cs="Arial"/>
        </w:rPr>
        <w:t xml:space="preserve">, 81, 436–443. </w:t>
      </w:r>
      <w:hyperlink r:id="rId19">
        <w:r>
          <w:rPr>
            <w:rFonts w:ascii="Arial" w:eastAsia="Arial" w:hAnsi="Arial" w:cs="Arial"/>
            <w:color w:val="1155CC"/>
            <w:u w:val="single"/>
          </w:rPr>
          <w:t>https://doi.org/10.1016/j.biopha.2016.04.040</w:t>
        </w:r>
      </w:hyperlink>
    </w:p>
    <w:p w:rsidR="00C76412" w:rsidRDefault="00D100D2">
      <w:pPr>
        <w:spacing w:before="240" w:after="240"/>
        <w:jc w:val="both"/>
        <w:rPr>
          <w:rFonts w:ascii="Arial" w:eastAsia="Arial" w:hAnsi="Arial" w:cs="Arial"/>
        </w:rPr>
      </w:pPr>
      <w:r>
        <w:rPr>
          <w:rFonts w:ascii="Arial" w:eastAsia="Arial" w:hAnsi="Arial" w:cs="Arial"/>
        </w:rPr>
        <w:t xml:space="preserve">Ahmad, K. R., </w:t>
      </w:r>
      <w:proofErr w:type="spellStart"/>
      <w:r>
        <w:rPr>
          <w:rFonts w:ascii="Arial" w:eastAsia="Arial" w:hAnsi="Arial" w:cs="Arial"/>
        </w:rPr>
        <w:t>Jabeen</w:t>
      </w:r>
      <w:proofErr w:type="spellEnd"/>
      <w:r>
        <w:rPr>
          <w:rFonts w:ascii="Arial" w:eastAsia="Arial" w:hAnsi="Arial" w:cs="Arial"/>
        </w:rPr>
        <w:t xml:space="preserve">, S., Raees, K., Noor, S., </w:t>
      </w:r>
      <w:proofErr w:type="spellStart"/>
      <w:r>
        <w:rPr>
          <w:rFonts w:ascii="Arial" w:eastAsia="Arial" w:hAnsi="Arial" w:cs="Arial"/>
        </w:rPr>
        <w:t>Nauroze</w:t>
      </w:r>
      <w:proofErr w:type="spellEnd"/>
      <w:r>
        <w:rPr>
          <w:rFonts w:ascii="Arial" w:eastAsia="Arial" w:hAnsi="Arial" w:cs="Arial"/>
        </w:rPr>
        <w:t xml:space="preserve">, T., Abbas, T., &amp; </w:t>
      </w:r>
      <w:proofErr w:type="spellStart"/>
      <w:r>
        <w:rPr>
          <w:rFonts w:ascii="Arial" w:eastAsia="Arial" w:hAnsi="Arial" w:cs="Arial"/>
        </w:rPr>
        <w:t>Kanwal</w:t>
      </w:r>
      <w:proofErr w:type="spellEnd"/>
      <w:r>
        <w:rPr>
          <w:rFonts w:ascii="Arial" w:eastAsia="Arial" w:hAnsi="Arial" w:cs="Arial"/>
        </w:rPr>
        <w:t xml:space="preserve">, M. A. (2014). Fruit extract of </w:t>
      </w:r>
      <w:proofErr w:type="spellStart"/>
      <w:r>
        <w:rPr>
          <w:rFonts w:ascii="Arial" w:eastAsia="Arial" w:hAnsi="Arial" w:cs="Arial"/>
        </w:rPr>
        <w:t>Syzygium</w:t>
      </w:r>
      <w:proofErr w:type="spellEnd"/>
      <w:r>
        <w:rPr>
          <w:rFonts w:ascii="Arial" w:eastAsia="Arial" w:hAnsi="Arial" w:cs="Arial"/>
        </w:rPr>
        <w:t xml:space="preserve"> </w:t>
      </w:r>
      <w:proofErr w:type="spellStart"/>
      <w:r>
        <w:rPr>
          <w:rFonts w:ascii="Arial" w:eastAsia="Arial" w:hAnsi="Arial" w:cs="Arial"/>
        </w:rPr>
        <w:t>cumini</w:t>
      </w:r>
      <w:proofErr w:type="spellEnd"/>
      <w:r>
        <w:rPr>
          <w:rFonts w:ascii="Arial" w:eastAsia="Arial" w:hAnsi="Arial" w:cs="Arial"/>
        </w:rPr>
        <w:t xml:space="preserve"> cure</w:t>
      </w:r>
      <w:r>
        <w:rPr>
          <w:rFonts w:ascii="Arial" w:eastAsia="Arial" w:hAnsi="Arial" w:cs="Arial"/>
        </w:rPr>
        <w:t xml:space="preserve">s toxic effects of fluoride on erythrocytes and femur bone in male mice. </w:t>
      </w:r>
      <w:proofErr w:type="spellStart"/>
      <w:r>
        <w:rPr>
          <w:rFonts w:ascii="Arial" w:eastAsia="Arial" w:hAnsi="Arial" w:cs="Arial"/>
          <w:i/>
        </w:rPr>
        <w:t>Biologia</w:t>
      </w:r>
      <w:proofErr w:type="spellEnd"/>
      <w:r>
        <w:rPr>
          <w:rFonts w:ascii="Arial" w:eastAsia="Arial" w:hAnsi="Arial" w:cs="Arial"/>
          <w:i/>
        </w:rPr>
        <w:t xml:space="preserve"> (Pakistan), 60</w:t>
      </w:r>
      <w:r>
        <w:rPr>
          <w:rFonts w:ascii="Arial" w:eastAsia="Arial" w:hAnsi="Arial" w:cs="Arial"/>
        </w:rPr>
        <w:t>(2), 199–203.</w:t>
      </w:r>
    </w:p>
    <w:p w:rsidR="00C76412" w:rsidRDefault="00D100D2">
      <w:pPr>
        <w:spacing w:before="240" w:after="240"/>
        <w:jc w:val="both"/>
        <w:rPr>
          <w:rFonts w:ascii="Arial" w:eastAsia="Arial" w:hAnsi="Arial" w:cs="Arial"/>
        </w:rPr>
      </w:pPr>
      <w:r>
        <w:rPr>
          <w:rFonts w:ascii="Arial" w:eastAsia="Arial" w:hAnsi="Arial" w:cs="Arial"/>
        </w:rPr>
        <w:t xml:space="preserve">Ahmad, K. R., </w:t>
      </w:r>
      <w:proofErr w:type="spellStart"/>
      <w:r>
        <w:rPr>
          <w:rFonts w:ascii="Arial" w:eastAsia="Arial" w:hAnsi="Arial" w:cs="Arial"/>
        </w:rPr>
        <w:t>Nauroze</w:t>
      </w:r>
      <w:proofErr w:type="spellEnd"/>
      <w:r>
        <w:rPr>
          <w:rFonts w:ascii="Arial" w:eastAsia="Arial" w:hAnsi="Arial" w:cs="Arial"/>
        </w:rPr>
        <w:t xml:space="preserve">, T., Raees, K., Abbas, T., </w:t>
      </w:r>
      <w:proofErr w:type="spellStart"/>
      <w:r>
        <w:rPr>
          <w:rFonts w:ascii="Arial" w:eastAsia="Arial" w:hAnsi="Arial" w:cs="Arial"/>
        </w:rPr>
        <w:t>Kanwal</w:t>
      </w:r>
      <w:proofErr w:type="spellEnd"/>
      <w:r>
        <w:rPr>
          <w:rFonts w:ascii="Arial" w:eastAsia="Arial" w:hAnsi="Arial" w:cs="Arial"/>
        </w:rPr>
        <w:t xml:space="preserve">, M. A., Noor, S., &amp; </w:t>
      </w:r>
      <w:proofErr w:type="spellStart"/>
      <w:r>
        <w:rPr>
          <w:rFonts w:ascii="Arial" w:eastAsia="Arial" w:hAnsi="Arial" w:cs="Arial"/>
        </w:rPr>
        <w:t>Jabeen</w:t>
      </w:r>
      <w:proofErr w:type="spellEnd"/>
      <w:r>
        <w:rPr>
          <w:rFonts w:ascii="Arial" w:eastAsia="Arial" w:hAnsi="Arial" w:cs="Arial"/>
        </w:rPr>
        <w:t>, S. (2012). Protective role of jambul (</w:t>
      </w:r>
      <w:proofErr w:type="spellStart"/>
      <w:r>
        <w:rPr>
          <w:rFonts w:ascii="Arial" w:eastAsia="Arial" w:hAnsi="Arial" w:cs="Arial"/>
        </w:rPr>
        <w:t>Syzygium</w:t>
      </w:r>
      <w:proofErr w:type="spellEnd"/>
      <w:r>
        <w:rPr>
          <w:rFonts w:ascii="Arial" w:eastAsia="Arial" w:hAnsi="Arial" w:cs="Arial"/>
        </w:rPr>
        <w:t xml:space="preserve"> </w:t>
      </w:r>
      <w:proofErr w:type="spellStart"/>
      <w:r>
        <w:rPr>
          <w:rFonts w:ascii="Arial" w:eastAsia="Arial" w:hAnsi="Arial" w:cs="Arial"/>
        </w:rPr>
        <w:t>cumini</w:t>
      </w:r>
      <w:proofErr w:type="spellEnd"/>
      <w:r>
        <w:rPr>
          <w:rFonts w:ascii="Arial" w:eastAsia="Arial" w:hAnsi="Arial" w:cs="Arial"/>
        </w:rPr>
        <w:t>) fruit-p</w:t>
      </w:r>
      <w:r>
        <w:rPr>
          <w:rFonts w:ascii="Arial" w:eastAsia="Arial" w:hAnsi="Arial" w:cs="Arial"/>
        </w:rPr>
        <w:t xml:space="preserve">ulp extract against fluoride-induced toxicity in mice testis: A histopathological study. </w:t>
      </w:r>
      <w:r>
        <w:rPr>
          <w:rFonts w:ascii="Arial" w:eastAsia="Arial" w:hAnsi="Arial" w:cs="Arial"/>
          <w:i/>
        </w:rPr>
        <w:t>Fluoride, 45</w:t>
      </w:r>
      <w:r>
        <w:rPr>
          <w:rFonts w:ascii="Arial" w:eastAsia="Arial" w:hAnsi="Arial" w:cs="Arial"/>
        </w:rPr>
        <w:t>(3 Pt 2), 280–288.</w:t>
      </w:r>
    </w:p>
    <w:p w:rsidR="00C76412" w:rsidRDefault="00D100D2">
      <w:pPr>
        <w:spacing w:before="240" w:after="240"/>
        <w:jc w:val="both"/>
        <w:rPr>
          <w:rFonts w:ascii="Arial" w:eastAsia="Arial" w:hAnsi="Arial" w:cs="Arial"/>
        </w:rPr>
      </w:pPr>
      <w:r>
        <w:rPr>
          <w:rFonts w:ascii="Arial" w:eastAsia="Arial" w:hAnsi="Arial" w:cs="Arial"/>
        </w:rPr>
        <w:t xml:space="preserve">Ahmad, K. R., Noor, S., </w:t>
      </w:r>
      <w:proofErr w:type="spellStart"/>
      <w:r>
        <w:rPr>
          <w:rFonts w:ascii="Arial" w:eastAsia="Arial" w:hAnsi="Arial" w:cs="Arial"/>
        </w:rPr>
        <w:t>Jabeen</w:t>
      </w:r>
      <w:proofErr w:type="spellEnd"/>
      <w:r>
        <w:rPr>
          <w:rFonts w:ascii="Arial" w:eastAsia="Arial" w:hAnsi="Arial" w:cs="Arial"/>
        </w:rPr>
        <w:t xml:space="preserve">, S., </w:t>
      </w:r>
      <w:proofErr w:type="spellStart"/>
      <w:r>
        <w:rPr>
          <w:rFonts w:ascii="Arial" w:eastAsia="Arial" w:hAnsi="Arial" w:cs="Arial"/>
        </w:rPr>
        <w:t>Nauroze</w:t>
      </w:r>
      <w:proofErr w:type="spellEnd"/>
      <w:r>
        <w:rPr>
          <w:rFonts w:ascii="Arial" w:eastAsia="Arial" w:hAnsi="Arial" w:cs="Arial"/>
        </w:rPr>
        <w:t xml:space="preserve">, T., </w:t>
      </w:r>
      <w:proofErr w:type="spellStart"/>
      <w:r>
        <w:rPr>
          <w:rFonts w:ascii="Arial" w:eastAsia="Arial" w:hAnsi="Arial" w:cs="Arial"/>
        </w:rPr>
        <w:t>Kanwal</w:t>
      </w:r>
      <w:proofErr w:type="spellEnd"/>
      <w:r>
        <w:rPr>
          <w:rFonts w:ascii="Arial" w:eastAsia="Arial" w:hAnsi="Arial" w:cs="Arial"/>
        </w:rPr>
        <w:t>, M. A., Raees, K., &amp; Abbas, T. (2017). Amelioration by Jambul fruit extract of f</w:t>
      </w:r>
      <w:r>
        <w:rPr>
          <w:rFonts w:ascii="Arial" w:eastAsia="Arial" w:hAnsi="Arial" w:cs="Arial"/>
        </w:rPr>
        <w:t>luoride-induced hepato-</w:t>
      </w:r>
      <w:proofErr w:type="spellStart"/>
      <w:r>
        <w:rPr>
          <w:rFonts w:ascii="Arial" w:eastAsia="Arial" w:hAnsi="Arial" w:cs="Arial"/>
        </w:rPr>
        <w:t>nephronal</w:t>
      </w:r>
      <w:proofErr w:type="spellEnd"/>
      <w:r>
        <w:rPr>
          <w:rFonts w:ascii="Arial" w:eastAsia="Arial" w:hAnsi="Arial" w:cs="Arial"/>
        </w:rPr>
        <w:t xml:space="preserve"> </w:t>
      </w:r>
      <w:proofErr w:type="spellStart"/>
      <w:r>
        <w:rPr>
          <w:rFonts w:ascii="Arial" w:eastAsia="Arial" w:hAnsi="Arial" w:cs="Arial"/>
        </w:rPr>
        <w:t>histopathologies</w:t>
      </w:r>
      <w:proofErr w:type="spellEnd"/>
      <w:r>
        <w:rPr>
          <w:rFonts w:ascii="Arial" w:eastAsia="Arial" w:hAnsi="Arial" w:cs="Arial"/>
        </w:rPr>
        <w:t xml:space="preserve"> and impaired neuromotor capacity in mice. </w:t>
      </w:r>
      <w:r>
        <w:rPr>
          <w:rFonts w:ascii="Arial" w:eastAsia="Arial" w:hAnsi="Arial" w:cs="Arial"/>
          <w:i/>
        </w:rPr>
        <w:t>Fluoride, 50</w:t>
      </w:r>
      <w:r>
        <w:rPr>
          <w:rFonts w:ascii="Arial" w:eastAsia="Arial" w:hAnsi="Arial" w:cs="Arial"/>
        </w:rPr>
        <w:t>(1 Pt 1), 2–14.</w:t>
      </w:r>
    </w:p>
    <w:p w:rsidR="00C76412" w:rsidRDefault="00C76412">
      <w:pPr>
        <w:jc w:val="both"/>
        <w:rPr>
          <w:rFonts w:ascii="Arial" w:eastAsia="Arial" w:hAnsi="Arial" w:cs="Arial"/>
        </w:rPr>
      </w:pPr>
    </w:p>
    <w:p w:rsidR="00C76412" w:rsidRDefault="00D100D2">
      <w:pPr>
        <w:jc w:val="both"/>
        <w:rPr>
          <w:rFonts w:ascii="Arial" w:eastAsia="Arial" w:hAnsi="Arial" w:cs="Arial"/>
          <w:color w:val="1155CC"/>
          <w:u w:val="single"/>
        </w:rPr>
      </w:pPr>
      <w:proofErr w:type="spellStart"/>
      <w:r>
        <w:rPr>
          <w:rFonts w:ascii="Arial" w:eastAsia="Arial" w:hAnsi="Arial" w:cs="Arial"/>
        </w:rPr>
        <w:t>Ayyanar</w:t>
      </w:r>
      <w:proofErr w:type="spellEnd"/>
      <w:r>
        <w:rPr>
          <w:rFonts w:ascii="Arial" w:eastAsia="Arial" w:hAnsi="Arial" w:cs="Arial"/>
        </w:rPr>
        <w:t>, M., &amp; Subash-</w:t>
      </w:r>
      <w:proofErr w:type="spellStart"/>
      <w:r>
        <w:rPr>
          <w:rFonts w:ascii="Arial" w:eastAsia="Arial" w:hAnsi="Arial" w:cs="Arial"/>
        </w:rPr>
        <w:t>Babu</w:t>
      </w:r>
      <w:proofErr w:type="spellEnd"/>
      <w:r>
        <w:rPr>
          <w:rFonts w:ascii="Arial" w:eastAsia="Arial" w:hAnsi="Arial" w:cs="Arial"/>
        </w:rPr>
        <w:t xml:space="preserve">, P. (2012).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(L.) </w:t>
      </w:r>
      <w:proofErr w:type="spellStart"/>
      <w:r>
        <w:rPr>
          <w:rFonts w:ascii="Arial" w:eastAsia="Arial" w:hAnsi="Arial" w:cs="Arial"/>
        </w:rPr>
        <w:t>Skeels</w:t>
      </w:r>
      <w:proofErr w:type="spellEnd"/>
      <w:r>
        <w:rPr>
          <w:rFonts w:ascii="Arial" w:eastAsia="Arial" w:hAnsi="Arial" w:cs="Arial"/>
        </w:rPr>
        <w:t xml:space="preserve">: A review of its phytochemical constituents and traditional uses. </w:t>
      </w:r>
      <w:r>
        <w:rPr>
          <w:rFonts w:ascii="Arial" w:eastAsia="Arial" w:hAnsi="Arial" w:cs="Arial"/>
          <w:i/>
        </w:rPr>
        <w:t>Asian Pacific Journal of Tropical Biomedicine</w:t>
      </w:r>
      <w:r>
        <w:rPr>
          <w:rFonts w:ascii="Arial" w:eastAsia="Arial" w:hAnsi="Arial" w:cs="Arial"/>
        </w:rPr>
        <w:t xml:space="preserve">, 2(3), 240–246. </w:t>
      </w:r>
      <w:hyperlink r:id="rId20">
        <w:r>
          <w:rPr>
            <w:rFonts w:ascii="Arial" w:eastAsia="Arial" w:hAnsi="Arial" w:cs="Arial"/>
            <w:color w:val="1155CC"/>
            <w:u w:val="single"/>
          </w:rPr>
          <w:t>https://doi.org/10.1016/S2221-1691(12)60050-1</w:t>
        </w:r>
      </w:hyperlink>
    </w:p>
    <w:p w:rsidR="00C76412" w:rsidRDefault="00C76412">
      <w:pPr>
        <w:jc w:val="both"/>
        <w:rPr>
          <w:rFonts w:ascii="Arial" w:eastAsia="Arial" w:hAnsi="Arial" w:cs="Arial"/>
        </w:rPr>
      </w:pPr>
    </w:p>
    <w:p w:rsidR="00C76412" w:rsidRDefault="00D100D2">
      <w:pPr>
        <w:jc w:val="both"/>
        <w:rPr>
          <w:rFonts w:ascii="Arial" w:eastAsia="Arial" w:hAnsi="Arial" w:cs="Arial"/>
        </w:rPr>
      </w:pPr>
      <w:proofErr w:type="spellStart"/>
      <w:r>
        <w:rPr>
          <w:rFonts w:ascii="Arial" w:eastAsia="Arial" w:hAnsi="Arial" w:cs="Arial"/>
        </w:rPr>
        <w:t>Devarbhavi</w:t>
      </w:r>
      <w:proofErr w:type="spellEnd"/>
      <w:r>
        <w:rPr>
          <w:rFonts w:ascii="Arial" w:eastAsia="Arial" w:hAnsi="Arial" w:cs="Arial"/>
        </w:rPr>
        <w:t>, H., et al. (2023). Global burden of liver disea</w:t>
      </w:r>
      <w:r>
        <w:rPr>
          <w:rFonts w:ascii="Arial" w:eastAsia="Arial" w:hAnsi="Arial" w:cs="Arial"/>
        </w:rPr>
        <w:t xml:space="preserve">se: 2023 update. </w:t>
      </w:r>
      <w:r>
        <w:rPr>
          <w:rFonts w:ascii="Arial" w:eastAsia="Arial" w:hAnsi="Arial" w:cs="Arial"/>
          <w:i/>
        </w:rPr>
        <w:t>Journal of Hepatology</w:t>
      </w:r>
      <w:r>
        <w:rPr>
          <w:rFonts w:ascii="Arial" w:eastAsia="Arial" w:hAnsi="Arial" w:cs="Arial"/>
        </w:rPr>
        <w:t xml:space="preserve">, 79(2), 516–537. </w:t>
      </w:r>
      <w:hyperlink r:id="rId21">
        <w:r>
          <w:rPr>
            <w:rFonts w:ascii="Arial" w:eastAsia="Arial" w:hAnsi="Arial" w:cs="Arial"/>
            <w:color w:val="1155CC"/>
            <w:u w:val="single"/>
          </w:rPr>
          <w:t>https://doi.org/10.1016/j.jhep.2023.05.021</w:t>
        </w:r>
      </w:hyperlink>
    </w:p>
    <w:p w:rsidR="00C76412" w:rsidRDefault="00C76412">
      <w:pPr>
        <w:jc w:val="both"/>
        <w:rPr>
          <w:rFonts w:ascii="Arial" w:eastAsia="Arial" w:hAnsi="Arial" w:cs="Arial"/>
        </w:rPr>
      </w:pPr>
    </w:p>
    <w:p w:rsidR="00C76412" w:rsidRDefault="00D100D2">
      <w:pPr>
        <w:jc w:val="both"/>
        <w:rPr>
          <w:rFonts w:ascii="Arial" w:eastAsia="Arial" w:hAnsi="Arial" w:cs="Arial"/>
        </w:rPr>
      </w:pPr>
      <w:proofErr w:type="spellStart"/>
      <w:r>
        <w:rPr>
          <w:rFonts w:ascii="Arial" w:eastAsia="Arial" w:hAnsi="Arial" w:cs="Arial"/>
        </w:rPr>
        <w:t>Elshafie</w:t>
      </w:r>
      <w:proofErr w:type="spellEnd"/>
      <w:r>
        <w:rPr>
          <w:rFonts w:ascii="Arial" w:eastAsia="Arial" w:hAnsi="Arial" w:cs="Arial"/>
        </w:rPr>
        <w:t xml:space="preserve">, H. S., </w:t>
      </w:r>
      <w:proofErr w:type="spellStart"/>
      <w:r>
        <w:rPr>
          <w:rFonts w:ascii="Arial" w:eastAsia="Arial" w:hAnsi="Arial" w:cs="Arial"/>
        </w:rPr>
        <w:t>Camele</w:t>
      </w:r>
      <w:proofErr w:type="spellEnd"/>
      <w:r>
        <w:rPr>
          <w:rFonts w:ascii="Arial" w:eastAsia="Arial" w:hAnsi="Arial" w:cs="Arial"/>
        </w:rPr>
        <w:t>, I., &amp; Mohamed, A. A. (2023). A comprehensive review on the biological</w:t>
      </w:r>
      <w:r>
        <w:rPr>
          <w:rFonts w:ascii="Arial" w:eastAsia="Arial" w:hAnsi="Arial" w:cs="Arial"/>
        </w:rPr>
        <w:t xml:space="preserve">, agricultural and pharmaceutical properties of secondary metabolites based-plant origin. </w:t>
      </w:r>
      <w:r>
        <w:rPr>
          <w:rFonts w:ascii="Arial" w:eastAsia="Arial" w:hAnsi="Arial" w:cs="Arial"/>
          <w:i/>
        </w:rPr>
        <w:t>International Journal of Molecular Sciences</w:t>
      </w:r>
      <w:r>
        <w:rPr>
          <w:rFonts w:ascii="Arial" w:eastAsia="Arial" w:hAnsi="Arial" w:cs="Arial"/>
        </w:rPr>
        <w:t xml:space="preserve">, 24(4), 3266. </w:t>
      </w:r>
      <w:hyperlink r:id="rId22">
        <w:r>
          <w:rPr>
            <w:rFonts w:ascii="Arial" w:eastAsia="Arial" w:hAnsi="Arial" w:cs="Arial"/>
            <w:color w:val="1155CC"/>
            <w:u w:val="single"/>
          </w:rPr>
          <w:t>https://doi.org/10.3390/ijms2</w:t>
        </w:r>
        <w:r>
          <w:rPr>
            <w:rFonts w:ascii="Arial" w:eastAsia="Arial" w:hAnsi="Arial" w:cs="Arial"/>
            <w:color w:val="1155CC"/>
            <w:u w:val="single"/>
          </w:rPr>
          <w:t>4043266</w:t>
        </w:r>
      </w:hyperlink>
    </w:p>
    <w:p w:rsidR="00C76412" w:rsidRDefault="00C76412">
      <w:pPr>
        <w:jc w:val="both"/>
        <w:rPr>
          <w:rFonts w:ascii="Arial" w:eastAsia="Arial" w:hAnsi="Arial" w:cs="Arial"/>
        </w:rPr>
      </w:pPr>
    </w:p>
    <w:p w:rsidR="00C76412" w:rsidRDefault="00D100D2">
      <w:pPr>
        <w:jc w:val="both"/>
        <w:rPr>
          <w:rFonts w:ascii="Arial" w:eastAsia="Arial" w:hAnsi="Arial" w:cs="Arial"/>
        </w:rPr>
      </w:pPr>
      <w:proofErr w:type="spellStart"/>
      <w:r>
        <w:rPr>
          <w:rFonts w:ascii="Arial" w:eastAsia="Arial" w:hAnsi="Arial" w:cs="Arial"/>
        </w:rPr>
        <w:t>França</w:t>
      </w:r>
      <w:proofErr w:type="spellEnd"/>
      <w:r>
        <w:rPr>
          <w:rFonts w:ascii="Arial" w:eastAsia="Arial" w:hAnsi="Arial" w:cs="Arial"/>
        </w:rPr>
        <w:t xml:space="preserve">, L. M., et al. (2018). </w:t>
      </w:r>
      <w:proofErr w:type="spellStart"/>
      <w:r>
        <w:rPr>
          <w:rFonts w:ascii="Arial" w:eastAsia="Arial" w:hAnsi="Arial" w:cs="Arial"/>
        </w:rPr>
        <w:t>Mecanismos</w:t>
      </w:r>
      <w:proofErr w:type="spellEnd"/>
      <w:r>
        <w:rPr>
          <w:rFonts w:ascii="Arial" w:eastAsia="Arial" w:hAnsi="Arial" w:cs="Arial"/>
        </w:rPr>
        <w:t xml:space="preserve"> </w:t>
      </w:r>
      <w:proofErr w:type="spellStart"/>
      <w:r>
        <w:rPr>
          <w:rFonts w:ascii="Arial" w:eastAsia="Arial" w:hAnsi="Arial" w:cs="Arial"/>
        </w:rPr>
        <w:t>moleculares</w:t>
      </w:r>
      <w:proofErr w:type="spellEnd"/>
      <w:r>
        <w:rPr>
          <w:rFonts w:ascii="Arial" w:eastAsia="Arial" w:hAnsi="Arial" w:cs="Arial"/>
        </w:rPr>
        <w:t xml:space="preserve"> </w:t>
      </w:r>
      <w:proofErr w:type="spellStart"/>
      <w:r>
        <w:rPr>
          <w:rFonts w:ascii="Arial" w:eastAsia="Arial" w:hAnsi="Arial" w:cs="Arial"/>
        </w:rPr>
        <w:t>envolvidos</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reversão</w:t>
      </w:r>
      <w:proofErr w:type="spellEnd"/>
      <w:r>
        <w:rPr>
          <w:rFonts w:ascii="Arial" w:eastAsia="Arial" w:hAnsi="Arial" w:cs="Arial"/>
        </w:rPr>
        <w:t xml:space="preserve"> da </w:t>
      </w:r>
      <w:proofErr w:type="spellStart"/>
      <w:r>
        <w:rPr>
          <w:rFonts w:ascii="Arial" w:eastAsia="Arial" w:hAnsi="Arial" w:cs="Arial"/>
        </w:rPr>
        <w:t>hipertrigliceridemia</w:t>
      </w:r>
      <w:proofErr w:type="spellEnd"/>
      <w:r>
        <w:rPr>
          <w:rFonts w:ascii="Arial" w:eastAsia="Arial" w:hAnsi="Arial" w:cs="Arial"/>
        </w:rPr>
        <w:t xml:space="preserve"> e </w:t>
      </w:r>
      <w:proofErr w:type="spellStart"/>
      <w:r>
        <w:rPr>
          <w:rFonts w:ascii="Arial" w:eastAsia="Arial" w:hAnsi="Arial" w:cs="Arial"/>
        </w:rPr>
        <w:t>esteatose</w:t>
      </w:r>
      <w:proofErr w:type="spellEnd"/>
      <w:r>
        <w:rPr>
          <w:rFonts w:ascii="Arial" w:eastAsia="Arial" w:hAnsi="Arial" w:cs="Arial"/>
        </w:rPr>
        <w:t xml:space="preserve"> </w:t>
      </w:r>
      <w:proofErr w:type="spellStart"/>
      <w:r>
        <w:rPr>
          <w:rFonts w:ascii="Arial" w:eastAsia="Arial" w:hAnsi="Arial" w:cs="Arial"/>
        </w:rPr>
        <w:t>hepática</w:t>
      </w:r>
      <w:proofErr w:type="spellEnd"/>
      <w:r>
        <w:rPr>
          <w:rFonts w:ascii="Arial" w:eastAsia="Arial" w:hAnsi="Arial" w:cs="Arial"/>
        </w:rPr>
        <w:t xml:space="preserve"> de </w:t>
      </w:r>
      <w:proofErr w:type="spellStart"/>
      <w:r>
        <w:rPr>
          <w:rFonts w:ascii="Arial" w:eastAsia="Arial" w:hAnsi="Arial" w:cs="Arial"/>
        </w:rPr>
        <w:t>animais</w:t>
      </w:r>
      <w:proofErr w:type="spellEnd"/>
      <w:r>
        <w:rPr>
          <w:rFonts w:ascii="Arial" w:eastAsia="Arial" w:hAnsi="Arial" w:cs="Arial"/>
        </w:rPr>
        <w:t xml:space="preserve"> </w:t>
      </w:r>
      <w:proofErr w:type="spellStart"/>
      <w:r>
        <w:rPr>
          <w:rFonts w:ascii="Arial" w:eastAsia="Arial" w:hAnsi="Arial" w:cs="Arial"/>
        </w:rPr>
        <w:t>obesos</w:t>
      </w:r>
      <w:proofErr w:type="spellEnd"/>
      <w:r>
        <w:rPr>
          <w:rFonts w:ascii="Arial" w:eastAsia="Arial" w:hAnsi="Arial" w:cs="Arial"/>
        </w:rPr>
        <w:t xml:space="preserve"> </w:t>
      </w:r>
      <w:proofErr w:type="spellStart"/>
      <w:r>
        <w:rPr>
          <w:rFonts w:ascii="Arial" w:eastAsia="Arial" w:hAnsi="Arial" w:cs="Arial"/>
        </w:rPr>
        <w:t>tratados</w:t>
      </w:r>
      <w:proofErr w:type="spellEnd"/>
      <w:r>
        <w:rPr>
          <w:rFonts w:ascii="Arial" w:eastAsia="Arial" w:hAnsi="Arial" w:cs="Arial"/>
        </w:rPr>
        <w:t xml:space="preserve"> com o </w:t>
      </w:r>
      <w:proofErr w:type="spellStart"/>
      <w:r>
        <w:rPr>
          <w:rFonts w:ascii="Arial" w:eastAsia="Arial" w:hAnsi="Arial" w:cs="Arial"/>
        </w:rPr>
        <w:t>extrato</w:t>
      </w:r>
      <w:proofErr w:type="spellEnd"/>
      <w:r>
        <w:rPr>
          <w:rFonts w:ascii="Arial" w:eastAsia="Arial" w:hAnsi="Arial" w:cs="Arial"/>
        </w:rPr>
        <w:t xml:space="preserve"> </w:t>
      </w:r>
      <w:proofErr w:type="spellStart"/>
      <w:r>
        <w:rPr>
          <w:rFonts w:ascii="Arial" w:eastAsia="Arial" w:hAnsi="Arial" w:cs="Arial"/>
        </w:rPr>
        <w:t>hidroalcoólico</w:t>
      </w:r>
      <w:proofErr w:type="spellEnd"/>
      <w:r>
        <w:rPr>
          <w:rFonts w:ascii="Arial" w:eastAsia="Arial" w:hAnsi="Arial" w:cs="Arial"/>
        </w:rPr>
        <w:t xml:space="preserve"> das </w:t>
      </w:r>
      <w:proofErr w:type="spellStart"/>
      <w:r>
        <w:rPr>
          <w:rFonts w:ascii="Arial" w:eastAsia="Arial" w:hAnsi="Arial" w:cs="Arial"/>
        </w:rPr>
        <w:t>folhas</w:t>
      </w:r>
      <w:proofErr w:type="spellEnd"/>
      <w:r>
        <w:rPr>
          <w:rFonts w:ascii="Arial" w:eastAsia="Arial" w:hAnsi="Arial" w:cs="Arial"/>
        </w:rPr>
        <w:t xml:space="preserve"> de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[Doctoral thesis, </w:t>
      </w:r>
      <w:proofErr w:type="spellStart"/>
      <w:r>
        <w:rPr>
          <w:rFonts w:ascii="Arial" w:eastAsia="Arial" w:hAnsi="Arial" w:cs="Arial"/>
        </w:rPr>
        <w:t>Universidade</w:t>
      </w:r>
      <w:proofErr w:type="spellEnd"/>
      <w:r>
        <w:rPr>
          <w:rFonts w:ascii="Arial" w:eastAsia="Arial" w:hAnsi="Arial" w:cs="Arial"/>
        </w:rPr>
        <w:t xml:space="preserve"> Federal d</w:t>
      </w:r>
      <w:r>
        <w:rPr>
          <w:rFonts w:ascii="Arial" w:eastAsia="Arial" w:hAnsi="Arial" w:cs="Arial"/>
        </w:rPr>
        <w:t xml:space="preserve">o </w:t>
      </w:r>
      <w:proofErr w:type="spellStart"/>
      <w:r>
        <w:rPr>
          <w:rFonts w:ascii="Arial" w:eastAsia="Arial" w:hAnsi="Arial" w:cs="Arial"/>
        </w:rPr>
        <w:t>Maranhão</w:t>
      </w:r>
      <w:proofErr w:type="spellEnd"/>
      <w:r>
        <w:rPr>
          <w:rFonts w:ascii="Arial" w:eastAsia="Arial" w:hAnsi="Arial" w:cs="Arial"/>
        </w:rPr>
        <w:t>].</w:t>
      </w:r>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Gan, C., et al. (2025). Liver diseases: epidemiology, causes, trends and predictions. </w:t>
      </w:r>
      <w:r>
        <w:rPr>
          <w:rFonts w:ascii="Arial" w:eastAsia="Arial" w:hAnsi="Arial" w:cs="Arial"/>
          <w:i/>
        </w:rPr>
        <w:t>Signal Transduction and Targeted Therapy</w:t>
      </w:r>
      <w:r>
        <w:rPr>
          <w:rFonts w:ascii="Arial" w:eastAsia="Arial" w:hAnsi="Arial" w:cs="Arial"/>
        </w:rPr>
        <w:t xml:space="preserve">, 10, 72. </w:t>
      </w:r>
      <w:hyperlink r:id="rId23">
        <w:r>
          <w:rPr>
            <w:rFonts w:ascii="Arial" w:eastAsia="Arial" w:hAnsi="Arial" w:cs="Arial"/>
            <w:color w:val="1155CC"/>
            <w:u w:val="single"/>
          </w:rPr>
          <w:t>https://doi.org/10.1038/s41392-024-02072-z</w:t>
        </w:r>
      </w:hyperlink>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Islam, M., et al. (2015). Evaluation of extracts of seeds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L. for hepatoprotective activity using </w:t>
      </w:r>
      <w:proofErr w:type="spellStart"/>
      <w:r>
        <w:rPr>
          <w:rFonts w:ascii="Arial" w:eastAsia="Arial" w:hAnsi="Arial" w:cs="Arial"/>
        </w:rPr>
        <w:t>CCl</w:t>
      </w:r>
      <w:proofErr w:type="spellEnd"/>
      <w:r>
        <w:rPr>
          <w:rFonts w:ascii="Cambria Math" w:eastAsia="Cambria Math" w:hAnsi="Cambria Math" w:cs="Cambria Math"/>
        </w:rPr>
        <w:t>₄</w:t>
      </w:r>
      <w:r>
        <w:rPr>
          <w:rFonts w:ascii="Arial" w:eastAsia="Arial" w:hAnsi="Arial" w:cs="Arial"/>
        </w:rPr>
        <w:t xml:space="preserve">-induced stressed rats. </w:t>
      </w:r>
      <w:r>
        <w:rPr>
          <w:rFonts w:ascii="Arial" w:eastAsia="Arial" w:hAnsi="Arial" w:cs="Arial"/>
          <w:i/>
        </w:rPr>
        <w:t>Journal of Medicinal Plants Studies</w:t>
      </w:r>
      <w:r>
        <w:rPr>
          <w:rFonts w:ascii="Arial" w:eastAsia="Arial" w:hAnsi="Arial" w:cs="Arial"/>
        </w:rPr>
        <w:t>, 3(4), 13–17.</w:t>
      </w:r>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He, J., &amp; Giusti, M. M. (2010). Anthocyanins: natural coloran</w:t>
      </w:r>
      <w:r>
        <w:rPr>
          <w:rFonts w:ascii="Arial" w:eastAsia="Arial" w:hAnsi="Arial" w:cs="Arial"/>
        </w:rPr>
        <w:t>ts with health</w:t>
      </w:r>
      <w:r>
        <w:rPr>
          <w:rFonts w:ascii="Cambria Math" w:eastAsia="Cambria Math" w:hAnsi="Cambria Math" w:cs="Cambria Math"/>
        </w:rPr>
        <w:t>‑</w:t>
      </w:r>
      <w:r>
        <w:rPr>
          <w:rFonts w:ascii="Arial" w:eastAsia="Arial" w:hAnsi="Arial" w:cs="Arial"/>
        </w:rPr>
        <w:t xml:space="preserve">promoting properties. </w:t>
      </w:r>
      <w:r>
        <w:rPr>
          <w:rFonts w:ascii="Arial" w:eastAsia="Arial" w:hAnsi="Arial" w:cs="Arial"/>
          <w:i/>
        </w:rPr>
        <w:t>Annual Review of Food Science and Technology</w:t>
      </w:r>
      <w:r>
        <w:rPr>
          <w:rFonts w:ascii="Arial" w:eastAsia="Arial" w:hAnsi="Arial" w:cs="Arial"/>
        </w:rPr>
        <w:t xml:space="preserve">, 1, 163–187. </w:t>
      </w:r>
      <w:hyperlink r:id="rId24">
        <w:r>
          <w:rPr>
            <w:rFonts w:ascii="Arial" w:eastAsia="Arial" w:hAnsi="Arial" w:cs="Arial"/>
            <w:color w:val="1155CC"/>
            <w:u w:val="single"/>
          </w:rPr>
          <w:t>https://doi.org/10.1146/annurev.food.080708.100754</w:t>
        </w:r>
      </w:hyperlink>
    </w:p>
    <w:p w:rsidR="00C76412" w:rsidRDefault="00C76412">
      <w:pPr>
        <w:jc w:val="both"/>
        <w:rPr>
          <w:rFonts w:ascii="Arial" w:eastAsia="Arial" w:hAnsi="Arial" w:cs="Arial"/>
        </w:rPr>
      </w:pPr>
    </w:p>
    <w:p w:rsidR="00C76412" w:rsidRDefault="00D100D2">
      <w:pPr>
        <w:jc w:val="both"/>
        <w:rPr>
          <w:rFonts w:ascii="Arial" w:eastAsia="Arial" w:hAnsi="Arial" w:cs="Arial"/>
        </w:rPr>
      </w:pPr>
      <w:proofErr w:type="spellStart"/>
      <w:r>
        <w:rPr>
          <w:rFonts w:ascii="Arial" w:eastAsia="Arial" w:hAnsi="Arial" w:cs="Arial"/>
        </w:rPr>
        <w:t>Hooijmans</w:t>
      </w:r>
      <w:proofErr w:type="spellEnd"/>
      <w:r>
        <w:rPr>
          <w:rFonts w:ascii="Arial" w:eastAsia="Arial" w:hAnsi="Arial" w:cs="Arial"/>
        </w:rPr>
        <w:t>, C. R., Rovers, M. M., de Vri</w:t>
      </w:r>
      <w:r>
        <w:rPr>
          <w:rFonts w:ascii="Arial" w:eastAsia="Arial" w:hAnsi="Arial" w:cs="Arial"/>
        </w:rPr>
        <w:t xml:space="preserve">es, R. B. M., </w:t>
      </w:r>
      <w:proofErr w:type="spellStart"/>
      <w:r>
        <w:rPr>
          <w:rFonts w:ascii="Arial" w:eastAsia="Arial" w:hAnsi="Arial" w:cs="Arial"/>
        </w:rPr>
        <w:t>Leenaars</w:t>
      </w:r>
      <w:proofErr w:type="spellEnd"/>
      <w:r>
        <w:rPr>
          <w:rFonts w:ascii="Arial" w:eastAsia="Arial" w:hAnsi="Arial" w:cs="Arial"/>
        </w:rPr>
        <w:t xml:space="preserve">, M., </w:t>
      </w:r>
      <w:proofErr w:type="spellStart"/>
      <w:r>
        <w:rPr>
          <w:rFonts w:ascii="Arial" w:eastAsia="Arial" w:hAnsi="Arial" w:cs="Arial"/>
        </w:rPr>
        <w:t>Ritskes-Hoitinga</w:t>
      </w:r>
      <w:proofErr w:type="spellEnd"/>
      <w:r>
        <w:rPr>
          <w:rFonts w:ascii="Arial" w:eastAsia="Arial" w:hAnsi="Arial" w:cs="Arial"/>
        </w:rPr>
        <w:t xml:space="preserve">, M., &amp; </w:t>
      </w:r>
      <w:proofErr w:type="spellStart"/>
      <w:r>
        <w:rPr>
          <w:rFonts w:ascii="Arial" w:eastAsia="Arial" w:hAnsi="Arial" w:cs="Arial"/>
        </w:rPr>
        <w:t>Langendam</w:t>
      </w:r>
      <w:proofErr w:type="spellEnd"/>
      <w:r>
        <w:rPr>
          <w:rFonts w:ascii="Arial" w:eastAsia="Arial" w:hAnsi="Arial" w:cs="Arial"/>
        </w:rPr>
        <w:t xml:space="preserve">, M. W. (2014). SYRCLE’s risk of bias tool for animal studies. </w:t>
      </w:r>
      <w:r>
        <w:rPr>
          <w:rFonts w:ascii="Arial" w:eastAsia="Arial" w:hAnsi="Arial" w:cs="Arial"/>
          <w:i/>
        </w:rPr>
        <w:t>BMC Medical Research Methodology</w:t>
      </w:r>
      <w:r>
        <w:rPr>
          <w:rFonts w:ascii="Arial" w:eastAsia="Arial" w:hAnsi="Arial" w:cs="Arial"/>
        </w:rPr>
        <w:t>, 14, 43. https://doi.org/10.1186/1471-2288-14-43</w:t>
      </w:r>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Hossain, S., et al. (2011).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seed </w:t>
      </w:r>
      <w:r>
        <w:rPr>
          <w:rFonts w:ascii="Arial" w:eastAsia="Arial" w:hAnsi="Arial" w:cs="Arial"/>
        </w:rPr>
        <w:t xml:space="preserve">extract protects the liver against lipid peroxidation with concurrent amelioration of hepatic enzymes and lipid profile of alcoholic rats. </w:t>
      </w:r>
      <w:r>
        <w:rPr>
          <w:rFonts w:ascii="Arial" w:eastAsia="Arial" w:hAnsi="Arial" w:cs="Arial"/>
          <w:i/>
        </w:rPr>
        <w:t>Journal of Complementary and Integrative Medicine</w:t>
      </w:r>
      <w:r>
        <w:rPr>
          <w:rFonts w:ascii="Arial" w:eastAsia="Arial" w:hAnsi="Arial" w:cs="Arial"/>
        </w:rPr>
        <w:t>, 8(1). https://doi.org/10.2202/1553-3840.1445. PMID: 22754945</w:t>
      </w:r>
    </w:p>
    <w:p w:rsidR="00C76412" w:rsidRDefault="00C76412">
      <w:pPr>
        <w:jc w:val="both"/>
        <w:rPr>
          <w:rFonts w:ascii="Arial" w:eastAsia="Arial" w:hAnsi="Arial" w:cs="Arial"/>
        </w:rPr>
      </w:pPr>
    </w:p>
    <w:p w:rsidR="00C76412" w:rsidRDefault="00D100D2">
      <w:pPr>
        <w:jc w:val="both"/>
        <w:rPr>
          <w:rFonts w:ascii="Arial" w:eastAsia="Arial" w:hAnsi="Arial" w:cs="Arial"/>
        </w:rPr>
      </w:pPr>
      <w:proofErr w:type="spellStart"/>
      <w:r>
        <w:rPr>
          <w:rFonts w:ascii="Arial" w:eastAsia="Arial" w:hAnsi="Arial" w:cs="Arial"/>
        </w:rPr>
        <w:t>Jaeschke</w:t>
      </w:r>
      <w:proofErr w:type="spellEnd"/>
      <w:r>
        <w:rPr>
          <w:rFonts w:ascii="Arial" w:eastAsia="Arial" w:hAnsi="Arial" w:cs="Arial"/>
        </w:rPr>
        <w:t xml:space="preserve">, H., McGill, M. R., &amp; Ramachandran, A. (2012). Oxidant stress, mitochondria, and cell death mechanisms in drug-induced liver injury: Lessons learned from acetaminophen hepatotoxicity. </w:t>
      </w:r>
      <w:r>
        <w:rPr>
          <w:rFonts w:ascii="Arial" w:eastAsia="Arial" w:hAnsi="Arial" w:cs="Arial"/>
          <w:i/>
        </w:rPr>
        <w:t>Drug Metabolism Reviews</w:t>
      </w:r>
      <w:r>
        <w:rPr>
          <w:rFonts w:ascii="Arial" w:eastAsia="Arial" w:hAnsi="Arial" w:cs="Arial"/>
        </w:rPr>
        <w:t>, 44(1), 88–106. https://doi.org/10.3109</w:t>
      </w:r>
      <w:r>
        <w:rPr>
          <w:rFonts w:ascii="Arial" w:eastAsia="Arial" w:hAnsi="Arial" w:cs="Arial"/>
        </w:rPr>
        <w:t>/03602532.2011.602688</w:t>
      </w:r>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Nahid, S., et al. (2017). Cardio- and hepato-protective potential of methanolic extract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(L.) </w:t>
      </w:r>
      <w:proofErr w:type="spellStart"/>
      <w:r>
        <w:rPr>
          <w:rFonts w:ascii="Arial" w:eastAsia="Arial" w:hAnsi="Arial" w:cs="Arial"/>
        </w:rPr>
        <w:t>Skeels</w:t>
      </w:r>
      <w:proofErr w:type="spellEnd"/>
      <w:r>
        <w:rPr>
          <w:rFonts w:ascii="Arial" w:eastAsia="Arial" w:hAnsi="Arial" w:cs="Arial"/>
        </w:rPr>
        <w:t xml:space="preserve"> seeds: A diabetic rat model study. </w:t>
      </w:r>
      <w:r>
        <w:rPr>
          <w:rFonts w:ascii="Arial" w:eastAsia="Arial" w:hAnsi="Arial" w:cs="Arial"/>
          <w:i/>
        </w:rPr>
        <w:t>Asian Pacific Journal of Tropical Biomedicine</w:t>
      </w:r>
      <w:r>
        <w:rPr>
          <w:rFonts w:ascii="Arial" w:eastAsia="Arial" w:hAnsi="Arial" w:cs="Arial"/>
        </w:rPr>
        <w:t>, 7(2), 126–133. https://doi.org/1</w:t>
      </w:r>
      <w:r>
        <w:rPr>
          <w:rFonts w:ascii="Arial" w:eastAsia="Arial" w:hAnsi="Arial" w:cs="Arial"/>
        </w:rPr>
        <w:t>0.1016/j.apjtb.2016.11.029</w:t>
      </w:r>
    </w:p>
    <w:p w:rsidR="00C76412" w:rsidRDefault="00C76412">
      <w:pPr>
        <w:jc w:val="both"/>
        <w:rPr>
          <w:rFonts w:ascii="Arial" w:eastAsia="Arial" w:hAnsi="Arial" w:cs="Arial"/>
        </w:rPr>
      </w:pPr>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Macleod, M. R., </w:t>
      </w:r>
      <w:proofErr w:type="spellStart"/>
      <w:r>
        <w:rPr>
          <w:rFonts w:ascii="Arial" w:eastAsia="Arial" w:hAnsi="Arial" w:cs="Arial"/>
        </w:rPr>
        <w:t>O’Collins</w:t>
      </w:r>
      <w:proofErr w:type="spellEnd"/>
      <w:r>
        <w:rPr>
          <w:rFonts w:ascii="Arial" w:eastAsia="Arial" w:hAnsi="Arial" w:cs="Arial"/>
        </w:rPr>
        <w:t xml:space="preserve">, T., Howells, D. W., &amp; </w:t>
      </w:r>
      <w:proofErr w:type="spellStart"/>
      <w:r>
        <w:rPr>
          <w:rFonts w:ascii="Arial" w:eastAsia="Arial" w:hAnsi="Arial" w:cs="Arial"/>
        </w:rPr>
        <w:t>Donnan</w:t>
      </w:r>
      <w:proofErr w:type="spellEnd"/>
      <w:r>
        <w:rPr>
          <w:rFonts w:ascii="Arial" w:eastAsia="Arial" w:hAnsi="Arial" w:cs="Arial"/>
        </w:rPr>
        <w:t xml:space="preserve">, G. A. (2004). Pooling of animal experimental data reveals influence of study design and publication bias. </w:t>
      </w:r>
      <w:r>
        <w:rPr>
          <w:rFonts w:ascii="Arial" w:eastAsia="Arial" w:hAnsi="Arial" w:cs="Arial"/>
          <w:i/>
        </w:rPr>
        <w:t>Stroke</w:t>
      </w:r>
      <w:r>
        <w:rPr>
          <w:rFonts w:ascii="Arial" w:eastAsia="Arial" w:hAnsi="Arial" w:cs="Arial"/>
        </w:rPr>
        <w:t xml:space="preserve">, 35(5), 1203–1208. </w:t>
      </w:r>
      <w:hyperlink r:id="rId25">
        <w:r>
          <w:rPr>
            <w:rFonts w:ascii="Arial" w:eastAsia="Arial" w:hAnsi="Arial" w:cs="Arial"/>
            <w:color w:val="1155CC"/>
            <w:u w:val="single"/>
          </w:rPr>
          <w:t>https://doi.org/10.1161/01.STR.0000125719.25853.20</w:t>
        </w:r>
      </w:hyperlink>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Manu, A. A., et al. (2022). Ethanolic extract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causes toxic effects on ethanol-induced liver and kidney damage in albi</w:t>
      </w:r>
      <w:r>
        <w:rPr>
          <w:rFonts w:ascii="Arial" w:eastAsia="Arial" w:hAnsi="Arial" w:cs="Arial"/>
        </w:rPr>
        <w:t xml:space="preserve">no Wistar rats: A biochemical and histological study. </w:t>
      </w:r>
      <w:r>
        <w:rPr>
          <w:rFonts w:ascii="Arial" w:eastAsia="Arial" w:hAnsi="Arial" w:cs="Arial"/>
          <w:i/>
        </w:rPr>
        <w:t>Iranian Journal of Toxicology</w:t>
      </w:r>
      <w:r>
        <w:rPr>
          <w:rFonts w:ascii="Arial" w:eastAsia="Arial" w:hAnsi="Arial" w:cs="Arial"/>
        </w:rPr>
        <w:t>, 16(1), 63–72.</w:t>
      </w:r>
    </w:p>
    <w:p w:rsidR="00C76412" w:rsidRDefault="00C76412">
      <w:pPr>
        <w:jc w:val="both"/>
        <w:rPr>
          <w:rFonts w:ascii="Arial" w:eastAsia="Arial" w:hAnsi="Arial" w:cs="Arial"/>
        </w:rPr>
      </w:pPr>
    </w:p>
    <w:p w:rsidR="00C76412" w:rsidRDefault="00D100D2">
      <w:pPr>
        <w:jc w:val="both"/>
        <w:rPr>
          <w:rFonts w:ascii="Arial" w:eastAsia="Arial" w:hAnsi="Arial" w:cs="Arial"/>
        </w:rPr>
      </w:pPr>
      <w:proofErr w:type="spellStart"/>
      <w:r>
        <w:rPr>
          <w:rFonts w:ascii="Arial" w:eastAsia="Arial" w:hAnsi="Arial" w:cs="Arial"/>
        </w:rPr>
        <w:t>Moresco</w:t>
      </w:r>
      <w:proofErr w:type="spellEnd"/>
      <w:r>
        <w:rPr>
          <w:rFonts w:ascii="Arial" w:eastAsia="Arial" w:hAnsi="Arial" w:cs="Arial"/>
        </w:rPr>
        <w:t xml:space="preserve">, R. N., et al. (2007). Effect of the aqueous extract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on carbon tetrachloride-induced hepatotoxicity in rats. </w:t>
      </w:r>
      <w:proofErr w:type="spellStart"/>
      <w:r>
        <w:rPr>
          <w:rFonts w:ascii="Arial" w:eastAsia="Arial" w:hAnsi="Arial" w:cs="Arial"/>
          <w:i/>
        </w:rPr>
        <w:t>Phytotherapy</w:t>
      </w:r>
      <w:proofErr w:type="spellEnd"/>
      <w:r>
        <w:rPr>
          <w:rFonts w:ascii="Arial" w:eastAsia="Arial" w:hAnsi="Arial" w:cs="Arial"/>
          <w:i/>
        </w:rPr>
        <w:t xml:space="preserve"> Researc</w:t>
      </w:r>
      <w:r>
        <w:rPr>
          <w:rFonts w:ascii="Arial" w:eastAsia="Arial" w:hAnsi="Arial" w:cs="Arial"/>
          <w:i/>
        </w:rPr>
        <w:t>h</w:t>
      </w:r>
      <w:r>
        <w:rPr>
          <w:rFonts w:ascii="Arial" w:eastAsia="Arial" w:hAnsi="Arial" w:cs="Arial"/>
        </w:rPr>
        <w:t>, 21(8), 793–795. https://doi.org/10.1002/ptr.2158. PMID: 17450508</w:t>
      </w:r>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Page, M. J., McKenzie, J. E., </w:t>
      </w:r>
      <w:proofErr w:type="spellStart"/>
      <w:r>
        <w:rPr>
          <w:rFonts w:ascii="Arial" w:eastAsia="Arial" w:hAnsi="Arial" w:cs="Arial"/>
        </w:rPr>
        <w:t>Bossuyt</w:t>
      </w:r>
      <w:proofErr w:type="spellEnd"/>
      <w:r>
        <w:rPr>
          <w:rFonts w:ascii="Arial" w:eastAsia="Arial" w:hAnsi="Arial" w:cs="Arial"/>
        </w:rPr>
        <w:t xml:space="preserve">, P. M., </w:t>
      </w:r>
      <w:proofErr w:type="spellStart"/>
      <w:r>
        <w:rPr>
          <w:rFonts w:ascii="Arial" w:eastAsia="Arial" w:hAnsi="Arial" w:cs="Arial"/>
        </w:rPr>
        <w:t>Boutron</w:t>
      </w:r>
      <w:proofErr w:type="spellEnd"/>
      <w:r>
        <w:rPr>
          <w:rFonts w:ascii="Arial" w:eastAsia="Arial" w:hAnsi="Arial" w:cs="Arial"/>
        </w:rPr>
        <w:t xml:space="preserve">, I., Hoffmann, T. C., Mulrow, C. D., </w:t>
      </w:r>
      <w:r>
        <w:rPr>
          <w:rFonts w:ascii="Arial" w:eastAsia="Arial" w:hAnsi="Arial" w:cs="Arial"/>
          <w:i/>
        </w:rPr>
        <w:t>et al.</w:t>
      </w:r>
      <w:r>
        <w:rPr>
          <w:rFonts w:ascii="Arial" w:eastAsia="Arial" w:hAnsi="Arial" w:cs="Arial"/>
        </w:rPr>
        <w:t xml:space="preserve"> (2021). The PRISMA 2020 statement: An updated guideline for reporting systematic reviews.</w:t>
      </w:r>
      <w:r>
        <w:rPr>
          <w:rFonts w:ascii="Arial" w:eastAsia="Arial" w:hAnsi="Arial" w:cs="Arial"/>
        </w:rPr>
        <w:t xml:space="preserve"> </w:t>
      </w:r>
      <w:r>
        <w:rPr>
          <w:rFonts w:ascii="Arial" w:eastAsia="Arial" w:hAnsi="Arial" w:cs="Arial"/>
          <w:i/>
        </w:rPr>
        <w:t>BMJ</w:t>
      </w:r>
      <w:r>
        <w:rPr>
          <w:rFonts w:ascii="Arial" w:eastAsia="Arial" w:hAnsi="Arial" w:cs="Arial"/>
        </w:rPr>
        <w:t xml:space="preserve">, 372, n71. </w:t>
      </w:r>
      <w:hyperlink r:id="rId26">
        <w:r>
          <w:rPr>
            <w:rFonts w:ascii="Arial" w:eastAsia="Arial" w:hAnsi="Arial" w:cs="Arial"/>
            <w:color w:val="1155CC"/>
            <w:u w:val="single"/>
          </w:rPr>
          <w:t>https://doi.org/10.1136/bmj.n71</w:t>
        </w:r>
      </w:hyperlink>
    </w:p>
    <w:p w:rsidR="00C76412" w:rsidRDefault="00C76412">
      <w:pPr>
        <w:jc w:val="both"/>
        <w:rPr>
          <w:rFonts w:ascii="Arial" w:eastAsia="Arial" w:hAnsi="Arial" w:cs="Arial"/>
        </w:rPr>
      </w:pPr>
    </w:p>
    <w:p w:rsidR="00C76412" w:rsidRDefault="00D100D2">
      <w:pPr>
        <w:spacing w:before="240" w:after="240"/>
        <w:jc w:val="both"/>
        <w:rPr>
          <w:rFonts w:ascii="Arial" w:eastAsia="Arial" w:hAnsi="Arial" w:cs="Arial"/>
        </w:rPr>
      </w:pPr>
      <w:proofErr w:type="spellStart"/>
      <w:r>
        <w:rPr>
          <w:rFonts w:ascii="Arial" w:eastAsia="Arial" w:hAnsi="Arial" w:cs="Arial"/>
        </w:rPr>
        <w:t>Recknagel</w:t>
      </w:r>
      <w:proofErr w:type="spellEnd"/>
      <w:r>
        <w:rPr>
          <w:rFonts w:ascii="Arial" w:eastAsia="Arial" w:hAnsi="Arial" w:cs="Arial"/>
        </w:rPr>
        <w:t xml:space="preserve">, R. O., </w:t>
      </w:r>
      <w:proofErr w:type="spellStart"/>
      <w:r>
        <w:rPr>
          <w:rFonts w:ascii="Arial" w:eastAsia="Arial" w:hAnsi="Arial" w:cs="Arial"/>
        </w:rPr>
        <w:t>Glende</w:t>
      </w:r>
      <w:proofErr w:type="spellEnd"/>
      <w:r>
        <w:rPr>
          <w:rFonts w:ascii="Arial" w:eastAsia="Arial" w:hAnsi="Arial" w:cs="Arial"/>
        </w:rPr>
        <w:t xml:space="preserve">, E. A., </w:t>
      </w:r>
      <w:proofErr w:type="spellStart"/>
      <w:r>
        <w:rPr>
          <w:rFonts w:ascii="Arial" w:eastAsia="Arial" w:hAnsi="Arial" w:cs="Arial"/>
        </w:rPr>
        <w:t>Dolak</w:t>
      </w:r>
      <w:proofErr w:type="spellEnd"/>
      <w:r>
        <w:rPr>
          <w:rFonts w:ascii="Arial" w:eastAsia="Arial" w:hAnsi="Arial" w:cs="Arial"/>
        </w:rPr>
        <w:t xml:space="preserve">, J. A., &amp; Waller, R. L. (1989). Mechanisms of carbon tetrachloride toxicity. </w:t>
      </w:r>
      <w:r>
        <w:rPr>
          <w:rFonts w:ascii="Arial" w:eastAsia="Arial" w:hAnsi="Arial" w:cs="Arial"/>
          <w:i/>
        </w:rPr>
        <w:t>Pharmacology &amp; Therapeutics</w:t>
      </w:r>
      <w:r>
        <w:rPr>
          <w:rFonts w:ascii="Arial" w:eastAsia="Arial" w:hAnsi="Arial" w:cs="Arial"/>
        </w:rPr>
        <w:t>, 43(1), 139–</w:t>
      </w:r>
      <w:r>
        <w:rPr>
          <w:rFonts w:ascii="Arial" w:eastAsia="Arial" w:hAnsi="Arial" w:cs="Arial"/>
        </w:rPr>
        <w:t>154. https://doi.org/10.1016/0163-7258(89)90050-8</w:t>
      </w:r>
    </w:p>
    <w:p w:rsidR="00C76412" w:rsidRDefault="00C76412">
      <w:pPr>
        <w:jc w:val="both"/>
        <w:rPr>
          <w:rFonts w:ascii="Arial" w:eastAsia="Arial" w:hAnsi="Arial" w:cs="Arial"/>
        </w:rPr>
      </w:pPr>
    </w:p>
    <w:p w:rsidR="00C76412" w:rsidRDefault="00D100D2">
      <w:pPr>
        <w:jc w:val="both"/>
        <w:rPr>
          <w:rFonts w:ascii="Arial" w:eastAsia="Arial" w:hAnsi="Arial" w:cs="Arial"/>
        </w:rPr>
      </w:pPr>
      <w:proofErr w:type="spellStart"/>
      <w:r>
        <w:rPr>
          <w:rFonts w:ascii="Arial" w:eastAsia="Arial" w:hAnsi="Arial" w:cs="Arial"/>
        </w:rPr>
        <w:t>Sagor</w:t>
      </w:r>
      <w:proofErr w:type="spellEnd"/>
      <w:r>
        <w:rPr>
          <w:rFonts w:ascii="Arial" w:eastAsia="Arial" w:hAnsi="Arial" w:cs="Arial"/>
        </w:rPr>
        <w:t xml:space="preserve">, M. A. T., et al. (2016). Fresh seed supplementation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attenuated oxidative stress, inflammation, fibrosis, iron overload, hepatic dysfunction and renal injury in acetaminophen-induc</w:t>
      </w:r>
      <w:r>
        <w:rPr>
          <w:rFonts w:ascii="Arial" w:eastAsia="Arial" w:hAnsi="Arial" w:cs="Arial"/>
        </w:rPr>
        <w:t xml:space="preserve">ed rats. </w:t>
      </w:r>
      <w:r>
        <w:rPr>
          <w:rFonts w:ascii="Arial" w:eastAsia="Arial" w:hAnsi="Arial" w:cs="Arial"/>
          <w:i/>
        </w:rPr>
        <w:t>Journal of Drug Metabolism &amp; Toxicology</w:t>
      </w:r>
      <w:r>
        <w:rPr>
          <w:rFonts w:ascii="Arial" w:eastAsia="Arial" w:hAnsi="Arial" w:cs="Arial"/>
        </w:rPr>
        <w:t>, 7(2). https://doi.org/10.4172/2157-7609.1000215</w:t>
      </w:r>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Srivastava, S., &amp; Chandra, D. (2013). Pharmacological potentials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A review. </w:t>
      </w:r>
      <w:r>
        <w:rPr>
          <w:rFonts w:ascii="Arial" w:eastAsia="Arial" w:hAnsi="Arial" w:cs="Arial"/>
          <w:i/>
        </w:rPr>
        <w:t>Journal of the Science of Food and Agriculture</w:t>
      </w:r>
      <w:r>
        <w:rPr>
          <w:rFonts w:ascii="Arial" w:eastAsia="Arial" w:hAnsi="Arial" w:cs="Arial"/>
        </w:rPr>
        <w:t>, 93(9), 2084–20</w:t>
      </w:r>
      <w:r>
        <w:rPr>
          <w:rFonts w:ascii="Arial" w:eastAsia="Arial" w:hAnsi="Arial" w:cs="Arial"/>
        </w:rPr>
        <w:t>93. https://doi.org/10.1002/jsfa.6111</w:t>
      </w:r>
    </w:p>
    <w:p w:rsidR="00C76412" w:rsidRDefault="00C76412">
      <w:pPr>
        <w:jc w:val="both"/>
        <w:rPr>
          <w:rFonts w:ascii="Arial" w:eastAsia="Arial" w:hAnsi="Arial" w:cs="Arial"/>
        </w:rPr>
      </w:pPr>
    </w:p>
    <w:p w:rsidR="00C76412" w:rsidRDefault="00D100D2">
      <w:pPr>
        <w:jc w:val="both"/>
        <w:rPr>
          <w:rFonts w:ascii="Arial" w:eastAsia="Arial" w:hAnsi="Arial" w:cs="Arial"/>
        </w:rPr>
      </w:pPr>
      <w:proofErr w:type="spellStart"/>
      <w:r>
        <w:rPr>
          <w:rFonts w:ascii="Arial" w:eastAsia="Arial" w:hAnsi="Arial" w:cs="Arial"/>
        </w:rPr>
        <w:t>Syama</w:t>
      </w:r>
      <w:proofErr w:type="spellEnd"/>
      <w:r>
        <w:rPr>
          <w:rFonts w:ascii="Arial" w:eastAsia="Arial" w:hAnsi="Arial" w:cs="Arial"/>
        </w:rPr>
        <w:t xml:space="preserve">, H. P., et al. (2018).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seed attenuates LPS-induced inflammatory response in murine macrophage cell line RAW264.7 through NF-</w:t>
      </w:r>
      <w:proofErr w:type="spellStart"/>
      <w:r>
        <w:rPr>
          <w:rFonts w:ascii="Arial" w:eastAsia="Arial" w:hAnsi="Arial" w:cs="Arial"/>
        </w:rPr>
        <w:t>κB</w:t>
      </w:r>
      <w:proofErr w:type="spellEnd"/>
      <w:r>
        <w:rPr>
          <w:rFonts w:ascii="Arial" w:eastAsia="Arial" w:hAnsi="Arial" w:cs="Arial"/>
        </w:rPr>
        <w:t xml:space="preserve"> translocation. </w:t>
      </w:r>
      <w:r>
        <w:rPr>
          <w:rFonts w:ascii="Arial" w:eastAsia="Arial" w:hAnsi="Arial" w:cs="Arial"/>
          <w:i/>
        </w:rPr>
        <w:t>Journal of Functional Foods</w:t>
      </w:r>
      <w:r>
        <w:rPr>
          <w:rFonts w:ascii="Arial" w:eastAsia="Arial" w:hAnsi="Arial" w:cs="Arial"/>
        </w:rPr>
        <w:t>, 44, 218–226. https://doi</w:t>
      </w:r>
      <w:r>
        <w:rPr>
          <w:rFonts w:ascii="Arial" w:eastAsia="Arial" w:hAnsi="Arial" w:cs="Arial"/>
        </w:rPr>
        <w:t>.org/10.1016/j.jff.2018.02.028</w:t>
      </w:r>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Sharma, A. K., et al. (2012).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ameliorates insulin resistance and β-cell dysfunction via modulation of PPAR, dyslipidemia, oxidative stress, and TNF-α in type 2 diabetic rats. </w:t>
      </w:r>
      <w:r>
        <w:rPr>
          <w:rFonts w:ascii="Arial" w:eastAsia="Arial" w:hAnsi="Arial" w:cs="Arial"/>
          <w:i/>
        </w:rPr>
        <w:t>Journal of Pharmacological Scienc</w:t>
      </w:r>
      <w:r>
        <w:rPr>
          <w:rFonts w:ascii="Arial" w:eastAsia="Arial" w:hAnsi="Arial" w:cs="Arial"/>
          <w:i/>
        </w:rPr>
        <w:t>es</w:t>
      </w:r>
      <w:r>
        <w:rPr>
          <w:rFonts w:ascii="Arial" w:eastAsia="Arial" w:hAnsi="Arial" w:cs="Arial"/>
        </w:rPr>
        <w:t xml:space="preserve">, 119(3), 205–213. </w:t>
      </w:r>
      <w:hyperlink r:id="rId27">
        <w:r>
          <w:rPr>
            <w:rFonts w:ascii="Arial" w:eastAsia="Arial" w:hAnsi="Arial" w:cs="Arial"/>
            <w:color w:val="1155CC"/>
            <w:u w:val="single"/>
          </w:rPr>
          <w:t>https://doi.org/10.1254/jphs.11184fp</w:t>
        </w:r>
      </w:hyperlink>
    </w:p>
    <w:p w:rsidR="00C76412" w:rsidRDefault="00C76412">
      <w:pPr>
        <w:jc w:val="both"/>
        <w:rPr>
          <w:rFonts w:ascii="Times New Roman" w:eastAsia="Times New Roman" w:hAnsi="Times New Roman" w:cs="Times New Roman"/>
        </w:rPr>
      </w:pPr>
    </w:p>
    <w:p w:rsidR="00C76412" w:rsidRDefault="00D100D2">
      <w:pPr>
        <w:rPr>
          <w:rFonts w:ascii="Arial" w:eastAsia="Arial" w:hAnsi="Arial" w:cs="Arial"/>
        </w:rPr>
      </w:pPr>
      <w:r>
        <w:rPr>
          <w:rFonts w:ascii="Arial" w:eastAsia="Arial" w:hAnsi="Arial" w:cs="Arial"/>
        </w:rPr>
        <w:t xml:space="preserve">Sharma, B., Siddiqui, M. S., Kumar, S. S., Ram, G., &amp; Chaudhary, M. (2013). Liver protective effects of aqueous extract of </w:t>
      </w:r>
      <w:proofErr w:type="spellStart"/>
      <w:r>
        <w:rPr>
          <w:rFonts w:ascii="Arial" w:eastAsia="Arial" w:hAnsi="Arial" w:cs="Arial"/>
        </w:rPr>
        <w:t>Syzygium</w:t>
      </w:r>
      <w:proofErr w:type="spellEnd"/>
      <w:r>
        <w:rPr>
          <w:rFonts w:ascii="Arial" w:eastAsia="Arial" w:hAnsi="Arial" w:cs="Arial"/>
        </w:rPr>
        <w:t xml:space="preserve"> </w:t>
      </w:r>
      <w:proofErr w:type="spellStart"/>
      <w:r>
        <w:rPr>
          <w:rFonts w:ascii="Arial" w:eastAsia="Arial" w:hAnsi="Arial" w:cs="Arial"/>
        </w:rPr>
        <w:t>cumini</w:t>
      </w:r>
      <w:proofErr w:type="spellEnd"/>
      <w:r>
        <w:rPr>
          <w:rFonts w:ascii="Arial" w:eastAsia="Arial" w:hAnsi="Arial" w:cs="Arial"/>
        </w:rPr>
        <w:t xml:space="preserve"> in</w:t>
      </w:r>
      <w:r>
        <w:rPr>
          <w:rFonts w:ascii="Arial" w:eastAsia="Arial" w:hAnsi="Arial" w:cs="Arial"/>
        </w:rPr>
        <w:t xml:space="preserve"> Swiss albino mice on alloxan induced diabetes mellitus. </w:t>
      </w:r>
      <w:r>
        <w:rPr>
          <w:rFonts w:ascii="Arial" w:eastAsia="Arial" w:hAnsi="Arial" w:cs="Arial"/>
          <w:i/>
        </w:rPr>
        <w:t>Journal of pharmacy research</w:t>
      </w:r>
      <w:r>
        <w:rPr>
          <w:rFonts w:ascii="Arial" w:eastAsia="Arial" w:hAnsi="Arial" w:cs="Arial"/>
        </w:rPr>
        <w:t>, </w:t>
      </w:r>
      <w:r>
        <w:rPr>
          <w:rFonts w:ascii="Arial" w:eastAsia="Arial" w:hAnsi="Arial" w:cs="Arial"/>
          <w:i/>
        </w:rPr>
        <w:t>6</w:t>
      </w:r>
      <w:r>
        <w:rPr>
          <w:rFonts w:ascii="Arial" w:eastAsia="Arial" w:hAnsi="Arial" w:cs="Arial"/>
        </w:rPr>
        <w:t>(8), 853-858.</w:t>
      </w:r>
    </w:p>
    <w:p w:rsidR="00C76412" w:rsidRDefault="00D100D2">
      <w:pPr>
        <w:rPr>
          <w:rFonts w:ascii="Arial" w:eastAsia="Arial" w:hAnsi="Arial" w:cs="Arial"/>
        </w:rPr>
      </w:pPr>
      <w:hyperlink r:id="rId28">
        <w:r>
          <w:rPr>
            <w:rFonts w:ascii="Arial" w:eastAsia="Arial" w:hAnsi="Arial" w:cs="Arial"/>
            <w:color w:val="0563C1"/>
            <w:u w:val="single"/>
          </w:rPr>
          <w:t>https://www.sciencedirect.com/science/article/pii/S0974694313003022</w:t>
        </w:r>
      </w:hyperlink>
    </w:p>
    <w:p w:rsidR="00C76412" w:rsidRDefault="00C76412">
      <w:pPr>
        <w:rPr>
          <w:rFonts w:ascii="Times New Roman" w:eastAsia="Times New Roman" w:hAnsi="Times New Roman" w:cs="Times New Roman"/>
        </w:rPr>
      </w:pPr>
    </w:p>
    <w:p w:rsidR="00C76412" w:rsidRDefault="00C76412">
      <w:pPr>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Sousa, L. D., et al. (2017).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extract protects liver from oxidative damage in experimental models. </w:t>
      </w:r>
      <w:r>
        <w:rPr>
          <w:rFonts w:ascii="Arial" w:eastAsia="Arial" w:hAnsi="Arial" w:cs="Arial"/>
          <w:i/>
        </w:rPr>
        <w:t>Pharmacology Biochemistry and Behavior</w:t>
      </w:r>
      <w:r>
        <w:rPr>
          <w:rFonts w:ascii="Arial" w:eastAsia="Arial" w:hAnsi="Arial" w:cs="Arial"/>
        </w:rPr>
        <w:t>, 152, 98–104. https://doi.org/10.1016/j.pbb.2016.10.005</w:t>
      </w:r>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Souza, I. L. S. (2018). </w:t>
      </w:r>
      <w:proofErr w:type="spellStart"/>
      <w:r>
        <w:rPr>
          <w:rFonts w:ascii="Arial" w:eastAsia="Arial" w:hAnsi="Arial" w:cs="Arial"/>
        </w:rPr>
        <w:t>Efeitos</w:t>
      </w:r>
      <w:proofErr w:type="spellEnd"/>
      <w:r>
        <w:rPr>
          <w:rFonts w:ascii="Arial" w:eastAsia="Arial" w:hAnsi="Arial" w:cs="Arial"/>
        </w:rPr>
        <w:t xml:space="preserve"> do </w:t>
      </w:r>
      <w:proofErr w:type="spellStart"/>
      <w:r>
        <w:rPr>
          <w:rFonts w:ascii="Arial" w:eastAsia="Arial" w:hAnsi="Arial" w:cs="Arial"/>
        </w:rPr>
        <w:t>extrato</w:t>
      </w:r>
      <w:proofErr w:type="spellEnd"/>
      <w:r>
        <w:rPr>
          <w:rFonts w:ascii="Arial" w:eastAsia="Arial" w:hAnsi="Arial" w:cs="Arial"/>
        </w:rPr>
        <w:t xml:space="preserve"> </w:t>
      </w:r>
      <w:proofErr w:type="spellStart"/>
      <w:r>
        <w:rPr>
          <w:rFonts w:ascii="Arial" w:eastAsia="Arial" w:hAnsi="Arial" w:cs="Arial"/>
        </w:rPr>
        <w:t>rico</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proofErr w:type="spellStart"/>
      <w:r>
        <w:rPr>
          <w:rFonts w:ascii="Arial" w:eastAsia="Arial" w:hAnsi="Arial" w:cs="Arial"/>
        </w:rPr>
        <w:t>polifenóis</w:t>
      </w:r>
      <w:proofErr w:type="spellEnd"/>
      <w:r>
        <w:rPr>
          <w:rFonts w:ascii="Arial" w:eastAsia="Arial" w:hAnsi="Arial" w:cs="Arial"/>
        </w:rPr>
        <w:t xml:space="preserve"> da </w:t>
      </w:r>
      <w:proofErr w:type="spellStart"/>
      <w:r>
        <w:rPr>
          <w:rFonts w:ascii="Arial" w:eastAsia="Arial" w:hAnsi="Arial" w:cs="Arial"/>
        </w:rPr>
        <w:t>folha</w:t>
      </w:r>
      <w:proofErr w:type="spellEnd"/>
      <w:r>
        <w:rPr>
          <w:rFonts w:ascii="Arial" w:eastAsia="Arial" w:hAnsi="Arial" w:cs="Arial"/>
        </w:rPr>
        <w:t xml:space="preserve"> de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(L.) </w:t>
      </w:r>
      <w:proofErr w:type="spellStart"/>
      <w:r>
        <w:rPr>
          <w:rFonts w:ascii="Arial" w:eastAsia="Arial" w:hAnsi="Arial" w:cs="Arial"/>
        </w:rPr>
        <w:t>Skeels</w:t>
      </w:r>
      <w:proofErr w:type="spellEnd"/>
      <w:r>
        <w:rPr>
          <w:rFonts w:ascii="Arial" w:eastAsia="Arial" w:hAnsi="Arial" w:cs="Arial"/>
        </w:rPr>
        <w:t xml:space="preserve"> </w:t>
      </w:r>
      <w:proofErr w:type="spellStart"/>
      <w:r>
        <w:rPr>
          <w:rFonts w:ascii="Arial" w:eastAsia="Arial" w:hAnsi="Arial" w:cs="Arial"/>
        </w:rPr>
        <w:t>sobre</w:t>
      </w:r>
      <w:proofErr w:type="spellEnd"/>
      <w:r>
        <w:rPr>
          <w:rFonts w:ascii="Arial" w:eastAsia="Arial" w:hAnsi="Arial" w:cs="Arial"/>
        </w:rPr>
        <w:t xml:space="preserve"> a </w:t>
      </w:r>
      <w:proofErr w:type="spellStart"/>
      <w:r>
        <w:rPr>
          <w:rFonts w:ascii="Arial" w:eastAsia="Arial" w:hAnsi="Arial" w:cs="Arial"/>
        </w:rPr>
        <w:t>doença</w:t>
      </w:r>
      <w:proofErr w:type="spellEnd"/>
      <w:r>
        <w:rPr>
          <w:rFonts w:ascii="Arial" w:eastAsia="Arial" w:hAnsi="Arial" w:cs="Arial"/>
        </w:rPr>
        <w:t xml:space="preserve"> </w:t>
      </w:r>
      <w:proofErr w:type="spellStart"/>
      <w:r>
        <w:rPr>
          <w:rFonts w:ascii="Arial" w:eastAsia="Arial" w:hAnsi="Arial" w:cs="Arial"/>
        </w:rPr>
        <w:t>hepática</w:t>
      </w:r>
      <w:proofErr w:type="spellEnd"/>
      <w:r>
        <w:rPr>
          <w:rFonts w:ascii="Arial" w:eastAsia="Arial" w:hAnsi="Arial" w:cs="Arial"/>
        </w:rPr>
        <w:t xml:space="preserve"> </w:t>
      </w:r>
      <w:proofErr w:type="spellStart"/>
      <w:r>
        <w:rPr>
          <w:rFonts w:ascii="Arial" w:eastAsia="Arial" w:hAnsi="Arial" w:cs="Arial"/>
        </w:rPr>
        <w:t>gordurosa</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w:t>
      </w:r>
      <w:proofErr w:type="spellStart"/>
      <w:r>
        <w:rPr>
          <w:rFonts w:ascii="Arial" w:eastAsia="Arial" w:hAnsi="Arial" w:cs="Arial"/>
        </w:rPr>
        <w:t>alcoólica</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proofErr w:type="spellStart"/>
      <w:r>
        <w:rPr>
          <w:rFonts w:ascii="Arial" w:eastAsia="Arial" w:hAnsi="Arial" w:cs="Arial"/>
        </w:rPr>
        <w:t>camundongos</w:t>
      </w:r>
      <w:proofErr w:type="spellEnd"/>
      <w:r>
        <w:rPr>
          <w:rFonts w:ascii="Arial" w:eastAsia="Arial" w:hAnsi="Arial" w:cs="Arial"/>
        </w:rPr>
        <w:t xml:space="preserve"> com </w:t>
      </w:r>
      <w:proofErr w:type="spellStart"/>
      <w:r>
        <w:rPr>
          <w:rFonts w:ascii="Arial" w:eastAsia="Arial" w:hAnsi="Arial" w:cs="Arial"/>
        </w:rPr>
        <w:t>obesidade</w:t>
      </w:r>
      <w:proofErr w:type="spellEnd"/>
      <w:r>
        <w:rPr>
          <w:rFonts w:ascii="Arial" w:eastAsia="Arial" w:hAnsi="Arial" w:cs="Arial"/>
        </w:rPr>
        <w:t xml:space="preserve"> </w:t>
      </w:r>
      <w:proofErr w:type="spellStart"/>
      <w:r>
        <w:rPr>
          <w:rFonts w:ascii="Arial" w:eastAsia="Arial" w:hAnsi="Arial" w:cs="Arial"/>
        </w:rPr>
        <w:t>induzida</w:t>
      </w:r>
      <w:proofErr w:type="spellEnd"/>
      <w:r>
        <w:rPr>
          <w:rFonts w:ascii="Arial" w:eastAsia="Arial" w:hAnsi="Arial" w:cs="Arial"/>
        </w:rPr>
        <w:t xml:space="preserve"> por L-</w:t>
      </w:r>
      <w:proofErr w:type="spellStart"/>
      <w:r>
        <w:rPr>
          <w:rFonts w:ascii="Arial" w:eastAsia="Arial" w:hAnsi="Arial" w:cs="Arial"/>
        </w:rPr>
        <w:t>glutamato</w:t>
      </w:r>
      <w:proofErr w:type="spellEnd"/>
      <w:r>
        <w:rPr>
          <w:rFonts w:ascii="Arial" w:eastAsia="Arial" w:hAnsi="Arial" w:cs="Arial"/>
        </w:rPr>
        <w:t xml:space="preserve"> </w:t>
      </w:r>
      <w:proofErr w:type="spellStart"/>
      <w:r>
        <w:rPr>
          <w:rFonts w:ascii="Arial" w:eastAsia="Arial" w:hAnsi="Arial" w:cs="Arial"/>
        </w:rPr>
        <w:t>monossódico</w:t>
      </w:r>
      <w:proofErr w:type="spellEnd"/>
      <w:r>
        <w:rPr>
          <w:rFonts w:ascii="Arial" w:eastAsia="Arial" w:hAnsi="Arial" w:cs="Arial"/>
        </w:rPr>
        <w:t xml:space="preserve"> [Undergraduate thesis, </w:t>
      </w:r>
      <w:proofErr w:type="spellStart"/>
      <w:r>
        <w:rPr>
          <w:rFonts w:ascii="Arial" w:eastAsia="Arial" w:hAnsi="Arial" w:cs="Arial"/>
        </w:rPr>
        <w:t>Universidade</w:t>
      </w:r>
      <w:proofErr w:type="spellEnd"/>
      <w:r>
        <w:rPr>
          <w:rFonts w:ascii="Arial" w:eastAsia="Arial" w:hAnsi="Arial" w:cs="Arial"/>
        </w:rPr>
        <w:t xml:space="preserve"> Federal do </w:t>
      </w:r>
      <w:proofErr w:type="spellStart"/>
      <w:r>
        <w:rPr>
          <w:rFonts w:ascii="Arial" w:eastAsia="Arial" w:hAnsi="Arial" w:cs="Arial"/>
        </w:rPr>
        <w:t>Maranhão</w:t>
      </w:r>
      <w:proofErr w:type="spellEnd"/>
      <w:r>
        <w:rPr>
          <w:rFonts w:ascii="Arial" w:eastAsia="Arial" w:hAnsi="Arial" w:cs="Arial"/>
        </w:rPr>
        <w:t>].</w:t>
      </w:r>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lastRenderedPageBreak/>
        <w:t>Ulla, A., et al. (2017).</w:t>
      </w:r>
      <w:r>
        <w:rPr>
          <w:rFonts w:ascii="Arial" w:eastAsia="Arial" w:hAnsi="Arial" w:cs="Arial"/>
        </w:rPr>
        <w:t xml:space="preserve"> Supplementation of </w:t>
      </w:r>
      <w:proofErr w:type="spellStart"/>
      <w:r>
        <w:rPr>
          <w:rFonts w:ascii="Arial" w:eastAsia="Arial" w:hAnsi="Arial" w:cs="Arial"/>
          <w:i/>
        </w:rPr>
        <w:t>Syzygium</w:t>
      </w:r>
      <w:proofErr w:type="spellEnd"/>
      <w:r>
        <w:rPr>
          <w:rFonts w:ascii="Arial" w:eastAsia="Arial" w:hAnsi="Arial" w:cs="Arial"/>
          <w:i/>
        </w:rPr>
        <w:t xml:space="preserve"> </w:t>
      </w:r>
      <w:proofErr w:type="spellStart"/>
      <w:r>
        <w:rPr>
          <w:rFonts w:ascii="Arial" w:eastAsia="Arial" w:hAnsi="Arial" w:cs="Arial"/>
          <w:i/>
        </w:rPr>
        <w:t>cumini</w:t>
      </w:r>
      <w:proofErr w:type="spellEnd"/>
      <w:r>
        <w:rPr>
          <w:rFonts w:ascii="Arial" w:eastAsia="Arial" w:hAnsi="Arial" w:cs="Arial"/>
        </w:rPr>
        <w:t xml:space="preserve"> seed powder prevented obesity, glucose intolerance, hyperlipidemia and oxidative stress in high carbohydrate high fat diet-induced obese rats. </w:t>
      </w:r>
      <w:r>
        <w:rPr>
          <w:rFonts w:ascii="Arial" w:eastAsia="Arial" w:hAnsi="Arial" w:cs="Arial"/>
          <w:i/>
        </w:rPr>
        <w:t>BMC Complementary and Alternative Medicine</w:t>
      </w:r>
      <w:r>
        <w:rPr>
          <w:rFonts w:ascii="Arial" w:eastAsia="Arial" w:hAnsi="Arial" w:cs="Arial"/>
        </w:rPr>
        <w:t>, 17, 289. https://doi.org/10.1186/</w:t>
      </w:r>
      <w:r>
        <w:rPr>
          <w:rFonts w:ascii="Arial" w:eastAsia="Arial" w:hAnsi="Arial" w:cs="Arial"/>
        </w:rPr>
        <w:t>s12906-017-1799-8. PMID: 28578702</w:t>
      </w:r>
    </w:p>
    <w:p w:rsidR="00C76412" w:rsidRDefault="00C76412">
      <w:pPr>
        <w:jc w:val="both"/>
        <w:rPr>
          <w:rFonts w:ascii="Arial" w:eastAsia="Arial" w:hAnsi="Arial" w:cs="Arial"/>
        </w:rPr>
      </w:pPr>
    </w:p>
    <w:p w:rsidR="00C76412" w:rsidRDefault="00D100D2">
      <w:pPr>
        <w:jc w:val="both"/>
        <w:rPr>
          <w:rFonts w:ascii="Arial" w:eastAsia="Arial" w:hAnsi="Arial" w:cs="Arial"/>
        </w:rPr>
      </w:pPr>
      <w:proofErr w:type="spellStart"/>
      <w:r>
        <w:rPr>
          <w:rFonts w:ascii="Arial" w:eastAsia="Arial" w:hAnsi="Arial" w:cs="Arial"/>
        </w:rPr>
        <w:t>Younossi</w:t>
      </w:r>
      <w:proofErr w:type="spellEnd"/>
      <w:r>
        <w:rPr>
          <w:rFonts w:ascii="Arial" w:eastAsia="Arial" w:hAnsi="Arial" w:cs="Arial"/>
        </w:rPr>
        <w:t xml:space="preserve">, Z. M., et al. (2023). The global burden of liver disease. </w:t>
      </w:r>
      <w:r>
        <w:rPr>
          <w:rFonts w:ascii="Arial" w:eastAsia="Arial" w:hAnsi="Arial" w:cs="Arial"/>
          <w:i/>
        </w:rPr>
        <w:t>Clinical Gastroenterology and Hepatology</w:t>
      </w:r>
      <w:r>
        <w:rPr>
          <w:rFonts w:ascii="Arial" w:eastAsia="Arial" w:hAnsi="Arial" w:cs="Arial"/>
        </w:rPr>
        <w:t xml:space="preserve">, 21(8), 1978–1991. </w:t>
      </w:r>
      <w:hyperlink r:id="rId29">
        <w:r>
          <w:rPr>
            <w:rFonts w:ascii="Arial" w:eastAsia="Arial" w:hAnsi="Arial" w:cs="Arial"/>
            <w:color w:val="1155CC"/>
            <w:u w:val="single"/>
          </w:rPr>
          <w:t>https://doi.org/10.1016/j.cgh.2023.04.015</w:t>
        </w:r>
      </w:hyperlink>
    </w:p>
    <w:p w:rsidR="00C76412" w:rsidRDefault="00C76412">
      <w:pPr>
        <w:jc w:val="both"/>
        <w:rPr>
          <w:rFonts w:ascii="Arial" w:eastAsia="Arial" w:hAnsi="Arial" w:cs="Arial"/>
        </w:rPr>
      </w:pPr>
    </w:p>
    <w:p w:rsidR="00C76412" w:rsidRDefault="00D100D2">
      <w:pPr>
        <w:jc w:val="both"/>
        <w:rPr>
          <w:rFonts w:ascii="Arial" w:eastAsia="Arial" w:hAnsi="Arial" w:cs="Arial"/>
        </w:rPr>
      </w:pPr>
      <w:r>
        <w:rPr>
          <w:rFonts w:ascii="Arial" w:eastAsia="Arial" w:hAnsi="Arial" w:cs="Arial"/>
        </w:rPr>
        <w:t xml:space="preserve">Wang, J., et al. (2021). Hepatoprotective effects of natural products: Current development. </w:t>
      </w:r>
      <w:r>
        <w:rPr>
          <w:rFonts w:ascii="Arial" w:eastAsia="Arial" w:hAnsi="Arial" w:cs="Arial"/>
          <w:i/>
        </w:rPr>
        <w:t>Journal of Ethnopharmacology</w:t>
      </w:r>
      <w:r>
        <w:rPr>
          <w:rFonts w:ascii="Arial" w:eastAsia="Arial" w:hAnsi="Arial" w:cs="Arial"/>
        </w:rPr>
        <w:t xml:space="preserve">, 268, 113679. </w:t>
      </w:r>
      <w:hyperlink r:id="rId30">
        <w:r>
          <w:rPr>
            <w:rFonts w:ascii="Arial" w:eastAsia="Arial" w:hAnsi="Arial" w:cs="Arial"/>
            <w:color w:val="1155CC"/>
            <w:u w:val="single"/>
          </w:rPr>
          <w:t>https://doi.org/1</w:t>
        </w:r>
        <w:r>
          <w:rPr>
            <w:rFonts w:ascii="Arial" w:eastAsia="Arial" w:hAnsi="Arial" w:cs="Arial"/>
            <w:color w:val="1155CC"/>
            <w:u w:val="single"/>
          </w:rPr>
          <w:t>0.1016/j.jep.2020.113679</w:t>
        </w:r>
      </w:hyperlink>
    </w:p>
    <w:p w:rsidR="00C76412" w:rsidRDefault="00D100D2">
      <w:pPr>
        <w:jc w:val="both"/>
        <w:rPr>
          <w:rFonts w:ascii="Arial" w:eastAsia="Arial" w:hAnsi="Arial" w:cs="Arial"/>
          <w:color w:val="1155CC"/>
          <w:u w:val="single"/>
        </w:rPr>
      </w:pPr>
      <w:r>
        <w:rPr>
          <w:rFonts w:ascii="Arial" w:eastAsia="Arial" w:hAnsi="Arial" w:cs="Arial"/>
        </w:rPr>
        <w:t xml:space="preserve">Wink, M. (2015). Modes of action of herbal medicines and plant secondary metabolites. </w:t>
      </w:r>
      <w:r>
        <w:rPr>
          <w:rFonts w:ascii="Arial" w:eastAsia="Arial" w:hAnsi="Arial" w:cs="Arial"/>
          <w:i/>
        </w:rPr>
        <w:t>Medicines</w:t>
      </w:r>
      <w:r>
        <w:rPr>
          <w:rFonts w:ascii="Arial" w:eastAsia="Arial" w:hAnsi="Arial" w:cs="Arial"/>
        </w:rPr>
        <w:t xml:space="preserve">, 2(3), 251–286. </w:t>
      </w:r>
      <w:hyperlink r:id="rId31">
        <w:r>
          <w:rPr>
            <w:rFonts w:ascii="Arial" w:eastAsia="Arial" w:hAnsi="Arial" w:cs="Arial"/>
            <w:color w:val="1155CC"/>
            <w:u w:val="single"/>
          </w:rPr>
          <w:t>https://doi.org/10.3390/medicines203</w:t>
        </w:r>
        <w:r>
          <w:rPr>
            <w:rFonts w:ascii="Arial" w:eastAsia="Arial" w:hAnsi="Arial" w:cs="Arial"/>
            <w:color w:val="1155CC"/>
            <w:u w:val="single"/>
          </w:rPr>
          <w:t>0251</w:t>
        </w:r>
      </w:hyperlink>
    </w:p>
    <w:p w:rsidR="00C76412" w:rsidRDefault="00C76412">
      <w:pPr>
        <w:jc w:val="both"/>
      </w:pPr>
    </w:p>
    <w:p w:rsidR="00C76412" w:rsidRDefault="00C76412">
      <w:pPr>
        <w:jc w:val="both"/>
      </w:pPr>
    </w:p>
    <w:p w:rsidR="00C76412" w:rsidRDefault="00C76412">
      <w:pPr>
        <w:jc w:val="both"/>
      </w:pPr>
    </w:p>
    <w:p w:rsidR="00C76412" w:rsidRDefault="00C76412">
      <w:pPr>
        <w:keepNext/>
        <w:pBdr>
          <w:top w:val="nil"/>
          <w:left w:val="nil"/>
          <w:bottom w:val="nil"/>
          <w:right w:val="nil"/>
          <w:between w:val="nil"/>
        </w:pBdr>
        <w:jc w:val="both"/>
        <w:rPr>
          <w:rFonts w:ascii="Arial" w:eastAsia="Arial" w:hAnsi="Arial" w:cs="Arial"/>
          <w:smallCaps/>
          <w:sz w:val="22"/>
          <w:szCs w:val="22"/>
        </w:rPr>
      </w:pPr>
    </w:p>
    <w:sectPr w:rsidR="00C764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0D2" w:rsidRDefault="00D100D2">
      <w:r>
        <w:separator/>
      </w:r>
    </w:p>
  </w:endnote>
  <w:endnote w:type="continuationSeparator" w:id="0">
    <w:p w:rsidR="00D100D2" w:rsidRDefault="00D1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12" w:rsidRDefault="00C7641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12" w:rsidRDefault="00C7641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12" w:rsidRDefault="00C76412">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12" w:rsidRDefault="00C7641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0D2" w:rsidRDefault="00D100D2">
      <w:r>
        <w:separator/>
      </w:r>
    </w:p>
  </w:footnote>
  <w:footnote w:type="continuationSeparator" w:id="0">
    <w:p w:rsidR="00D100D2" w:rsidRDefault="00D1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12" w:rsidRDefault="00D100D2">
    <w:pPr>
      <w:pBdr>
        <w:top w:val="nil"/>
        <w:left w:val="nil"/>
        <w:bottom w:val="nil"/>
        <w:right w:val="nil"/>
        <w:between w:val="nil"/>
      </w:pBdr>
      <w:tabs>
        <w:tab w:val="center" w:pos="4320"/>
        <w:tab w:val="right" w:pos="8640"/>
      </w:tabs>
      <w:rPr>
        <w:color w:val="000000"/>
      </w:rPr>
    </w:pPr>
    <w:r>
      <w:pict w14:anchorId="57429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2" type="#_x0000_t136" style="position:absolute;margin-left:0;margin-top:0;width:593.85pt;height:65.95pt;rotation:315;z-index:-251659264;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12" w:rsidRDefault="00D100D2">
    <w:pPr>
      <w:spacing w:before="240" w:after="240"/>
      <w:jc w:val="both"/>
      <w:rPr>
        <w:color w:val="000000"/>
      </w:rPr>
    </w:pPr>
    <w:r>
      <w:pict w14:anchorId="24CEE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left:0;text-align:left;margin-left:0;margin-top:0;width:593.85pt;height:65.95pt;rotation:315;z-index:-25166131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12" w:rsidRDefault="00D100D2">
    <w:pPr>
      <w:ind w:left="2160"/>
      <w:jc w:val="center"/>
      <w:rPr>
        <w:rFonts w:ascii="Times New Roman" w:eastAsia="Times New Roman" w:hAnsi="Times New Roman" w:cs="Times New Roman"/>
        <w:i/>
        <w:sz w:val="18"/>
        <w:szCs w:val="18"/>
      </w:rPr>
    </w:pPr>
    <w:r>
      <w:pict w14:anchorId="43052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593.85pt;height:65.95pt;rotation:315;z-index:-25166028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C76412" w:rsidRDefault="00D100D2">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C76412" w:rsidRDefault="00D100D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C76412" w:rsidRDefault="00D100D2">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C76412" w:rsidRDefault="00D100D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C76412" w:rsidRDefault="00D100D2">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C76412" w:rsidRDefault="00D100D2">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12" w:rsidRDefault="00D100D2">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93.85pt;height:65.95pt;rotation:315;z-index:-25165619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12" w:rsidRDefault="00D100D2">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93.85pt;height:65.95pt;rotation:315;z-index:-251658240;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12" w:rsidRDefault="00D100D2">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93.85pt;height:65.95pt;rotation:315;z-index:-25165721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12"/>
    <w:rsid w:val="00951C57"/>
    <w:rsid w:val="00C76412"/>
    <w:rsid w:val="00D100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4911B2A-7DF2-4445-B9C3-E5B359C6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chat.openai.com/" TargetMode="External"/><Relationship Id="rId26" Type="http://schemas.openxmlformats.org/officeDocument/2006/relationships/hyperlink" Target="https://doi.org/10.1136/bmj.n71" TargetMode="External"/><Relationship Id="rId3" Type="http://schemas.openxmlformats.org/officeDocument/2006/relationships/webSettings" Target="webSettings.xml"/><Relationship Id="rId21" Type="http://schemas.openxmlformats.org/officeDocument/2006/relationships/hyperlink" Target="https://doi.org/10.1016/j.jhep.2023.05.021" TargetMode="External"/><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header" Target="header6.xml"/><Relationship Id="rId25" Type="http://schemas.openxmlformats.org/officeDocument/2006/relationships/hyperlink" Target="https://doi.org/10.1161/01.STR.0000125719.25853.2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hyperlink" Target="https://doi.org/10.1016/S2221-1691(12)60050-1?utm_source=chatgpt.com" TargetMode="External"/><Relationship Id="rId29" Type="http://schemas.openxmlformats.org/officeDocument/2006/relationships/hyperlink" Target="https://doi.org/10.1016/j.cgh.2023.04.015"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146/annurev.food.080708.100754"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yperlink" Target="https://doi.org/10.1038/s41392-024-02072-z" TargetMode="External"/><Relationship Id="rId28" Type="http://schemas.openxmlformats.org/officeDocument/2006/relationships/hyperlink" Target="https://www.sciencedirect.com/science/article/pii/S0974694313003022" TargetMode="External"/><Relationship Id="rId10" Type="http://schemas.openxmlformats.org/officeDocument/2006/relationships/header" Target="header3.xml"/><Relationship Id="rId19" Type="http://schemas.openxmlformats.org/officeDocument/2006/relationships/hyperlink" Target="https://doi.org/10.1016/j.biopha.2016.04.040" TargetMode="External"/><Relationship Id="rId31" Type="http://schemas.openxmlformats.org/officeDocument/2006/relationships/hyperlink" Target="https://doi.org/10.3390/medicines2030251?utm_source=chatgpt.com"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yperlink" Target="https://doi.org/10.3390/ijms24043266?utm_source=chatgpt.com" TargetMode="External"/><Relationship Id="rId27" Type="http://schemas.openxmlformats.org/officeDocument/2006/relationships/hyperlink" Target="https://doi.org/10.1254/jphs.11184fp" TargetMode="External"/><Relationship Id="rId30" Type="http://schemas.openxmlformats.org/officeDocument/2006/relationships/hyperlink" Target="https://doi.org/10.1016/j.jep.2020.1136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4847</Words>
  <Characters>27633</Characters>
  <Application>Microsoft Office Word</Application>
  <DocSecurity>0</DocSecurity>
  <Lines>230</Lines>
  <Paragraphs>64</Paragraphs>
  <ScaleCrop>false</ScaleCrop>
  <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1089</cp:lastModifiedBy>
  <cp:revision>2</cp:revision>
  <dcterms:created xsi:type="dcterms:W3CDTF">2025-09-12T08:34:00Z</dcterms:created>
  <dcterms:modified xsi:type="dcterms:W3CDTF">2025-09-12T08:36:00Z</dcterms:modified>
</cp:coreProperties>
</file>