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F7E70" w:rsidRDefault="00304066">
      <w:pPr>
        <w:widowControl w:val="0"/>
        <w:pBdr>
          <w:top w:val="nil"/>
          <w:left w:val="nil"/>
          <w:bottom w:val="nil"/>
          <w:right w:val="nil"/>
          <w:between w:val="nil"/>
        </w:pBdr>
      </w:pPr>
      <w:r>
        <w:pict w14:anchorId="54748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69A440E">
          <v:shape id="_x0000_s1027" type="#_x0000_t136" style="position:absolute;margin-left:0;margin-top:0;width:50pt;height:50pt;z-index:251657728;visibility:hidden">
            <o:lock v:ext="edit" selection="t"/>
          </v:shape>
        </w:pict>
      </w:r>
      <w:r>
        <w:pict w14:anchorId="00071288">
          <v:shape id="_x0000_s1026" type="#_x0000_t136" style="position:absolute;margin-left:0;margin-top:0;width:50pt;height:50pt;z-index:251658752;visibility:hidden">
            <o:lock v:ext="edit" selection="t"/>
          </v:shape>
        </w:pict>
      </w:r>
    </w:p>
    <w:p w:rsidR="009F7E70" w:rsidRDefault="009F7E70">
      <w:pPr>
        <w:spacing w:line="48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Nephrology and Palliative Care: A Bibliometric Analysis with Visual Mapping of the 50 Most Cited Publications</w:t>
      </w:r>
    </w:p>
    <w:p w:rsidR="009F7E70" w:rsidRDefault="009F7E70">
      <w:pPr>
        <w:spacing w:line="480" w:lineRule="auto"/>
        <w:jc w:val="both"/>
        <w:rPr>
          <w:rFonts w:ascii="Times New Roman" w:eastAsia="Times New Roman" w:hAnsi="Times New Roman" w:cs="Times New Roman"/>
          <w:b/>
          <w:sz w:val="24"/>
          <w:szCs w:val="24"/>
        </w:rPr>
      </w:pPr>
    </w:p>
    <w:p w:rsidR="009F7E70" w:rsidRDefault="0030406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9F7E70" w:rsidRDefault="0030406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w:t>
      </w:r>
      <w:r>
        <w:rPr>
          <w:rFonts w:ascii="Times New Roman" w:eastAsia="Times New Roman" w:hAnsi="Times New Roman" w:cs="Times New Roman"/>
          <w:color w:val="0E101A"/>
          <w:sz w:val="24"/>
          <w:szCs w:val="24"/>
        </w:rPr>
        <w:t>This manuscript aims to analyze the intersection of nephrology and palliative care publications by a bibliometric analysis.</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E101A"/>
          <w:sz w:val="24"/>
          <w:szCs w:val="24"/>
        </w:rPr>
        <w:t>Introduction</w:t>
      </w:r>
      <w:r>
        <w:rPr>
          <w:rFonts w:ascii="Times New Roman" w:eastAsia="Times New Roman" w:hAnsi="Times New Roman" w:cs="Times New Roman"/>
          <w:color w:val="0E101A"/>
          <w:sz w:val="24"/>
          <w:szCs w:val="24"/>
        </w:rPr>
        <w:t>: The incidence of chronic kidney disease (CKD) is increasing, particularly in countries with low socioeconomic indicato</w:t>
      </w:r>
      <w:r>
        <w:rPr>
          <w:rFonts w:ascii="Times New Roman" w:eastAsia="Times New Roman" w:hAnsi="Times New Roman" w:cs="Times New Roman"/>
          <w:color w:val="0E101A"/>
          <w:sz w:val="24"/>
          <w:szCs w:val="24"/>
        </w:rPr>
        <w:t xml:space="preserve">rs, where the consequences are more complex. Given the significant burden of symptoms, comorbidities, and mortality associated with CKD, the principles of palliative care are important in clinical practice. </w:t>
      </w:r>
      <w:r>
        <w:rPr>
          <w:rFonts w:ascii="Times New Roman" w:eastAsia="Times New Roman" w:hAnsi="Times New Roman" w:cs="Times New Roman"/>
          <w:b/>
          <w:color w:val="0E101A"/>
          <w:sz w:val="24"/>
          <w:szCs w:val="24"/>
        </w:rPr>
        <w:t>Methods</w:t>
      </w:r>
      <w:r>
        <w:rPr>
          <w:rFonts w:ascii="Times New Roman" w:eastAsia="Times New Roman" w:hAnsi="Times New Roman" w:cs="Times New Roman"/>
          <w:color w:val="0E101A"/>
          <w:sz w:val="24"/>
          <w:szCs w:val="24"/>
        </w:rPr>
        <w:t>: In April 2024, the 50 most cited article</w:t>
      </w:r>
      <w:r>
        <w:rPr>
          <w:rFonts w:ascii="Times New Roman" w:eastAsia="Times New Roman" w:hAnsi="Times New Roman" w:cs="Times New Roman"/>
          <w:color w:val="0E101A"/>
          <w:sz w:val="24"/>
          <w:szCs w:val="24"/>
        </w:rPr>
        <w:t>s were extracted from the SCOPUS (Elsevier) database. The variables obtained were: number of citations, journal of publication, and its 5-year impact factor, country of the correspondent author, year of publication, guiding theme of the articles, and resea</w:t>
      </w:r>
      <w:r>
        <w:rPr>
          <w:rFonts w:ascii="Times New Roman" w:eastAsia="Times New Roman" w:hAnsi="Times New Roman" w:cs="Times New Roman"/>
          <w:color w:val="0E101A"/>
          <w:sz w:val="24"/>
          <w:szCs w:val="24"/>
        </w:rPr>
        <w:t xml:space="preserve">rch methods. Data were also analysed in the VOSviewer software to produce the visual mapping. </w:t>
      </w:r>
      <w:r>
        <w:rPr>
          <w:rFonts w:ascii="Times New Roman" w:eastAsia="Times New Roman" w:hAnsi="Times New Roman" w:cs="Times New Roman"/>
          <w:b/>
          <w:color w:val="0E101A"/>
          <w:sz w:val="24"/>
          <w:szCs w:val="24"/>
        </w:rPr>
        <w:t>Results</w:t>
      </w:r>
      <w:r>
        <w:rPr>
          <w:rFonts w:ascii="Times New Roman" w:eastAsia="Times New Roman" w:hAnsi="Times New Roman" w:cs="Times New Roman"/>
          <w:color w:val="0E101A"/>
          <w:sz w:val="24"/>
          <w:szCs w:val="24"/>
        </w:rPr>
        <w:t>: The articles were published in 18 different journals from 2000 to 2021, with a mean number of citations per article of 70.78. Clinical Journal of the Ame</w:t>
      </w:r>
      <w:r>
        <w:rPr>
          <w:rFonts w:ascii="Times New Roman" w:eastAsia="Times New Roman" w:hAnsi="Times New Roman" w:cs="Times New Roman"/>
          <w:color w:val="0E101A"/>
          <w:sz w:val="24"/>
          <w:szCs w:val="24"/>
        </w:rPr>
        <w:t>rican Society of Nephrology was the journal with the highest number of citations (1673) and articles (15). The United States of America was the most prolific country with 28 articles and 1749 citations. There were no articles from lower-middle-income or lo</w:t>
      </w:r>
      <w:r>
        <w:rPr>
          <w:rFonts w:ascii="Times New Roman" w:eastAsia="Times New Roman" w:hAnsi="Times New Roman" w:cs="Times New Roman"/>
          <w:color w:val="0E101A"/>
          <w:sz w:val="24"/>
          <w:szCs w:val="24"/>
        </w:rPr>
        <w:t>w-income countries. “Symptom control or prevalence” is the most cited theme in this area (864), and “decision making about renal substitutive therapy” is the most researched one (15 articles). 33 publications were from primary research and 17 from secondar</w:t>
      </w:r>
      <w:r>
        <w:rPr>
          <w:rFonts w:ascii="Times New Roman" w:eastAsia="Times New Roman" w:hAnsi="Times New Roman" w:cs="Times New Roman"/>
          <w:color w:val="0E101A"/>
          <w:sz w:val="24"/>
          <w:szCs w:val="24"/>
        </w:rPr>
        <w:t xml:space="preserve">y research, represented exclusively by narrative reviews. </w:t>
      </w:r>
      <w:r>
        <w:rPr>
          <w:rFonts w:ascii="Times New Roman" w:eastAsia="Times New Roman" w:hAnsi="Times New Roman" w:cs="Times New Roman"/>
          <w:b/>
          <w:color w:val="0E101A"/>
          <w:sz w:val="24"/>
          <w:szCs w:val="24"/>
        </w:rPr>
        <w:t>Conclusion:</w:t>
      </w: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highlight w:val="white"/>
        </w:rPr>
        <w:t>The integration of palliative care in nephrology remains an emerging and developing field, primarily centered in high-income countries, particularly</w:t>
      </w:r>
      <w:r>
        <w:rPr>
          <w:rFonts w:ascii="Times New Roman" w:eastAsia="Times New Roman" w:hAnsi="Times New Roman" w:cs="Times New Roman"/>
          <w:color w:val="0E101A"/>
          <w:sz w:val="24"/>
          <w:szCs w:val="24"/>
        </w:rPr>
        <w:t xml:space="preserve"> the USA, with no representation of lo</w:t>
      </w:r>
      <w:r>
        <w:rPr>
          <w:rFonts w:ascii="Times New Roman" w:eastAsia="Times New Roman" w:hAnsi="Times New Roman" w:cs="Times New Roman"/>
          <w:color w:val="0E101A"/>
          <w:sz w:val="24"/>
          <w:szCs w:val="24"/>
        </w:rPr>
        <w:t xml:space="preserve">w-income countries. </w:t>
      </w:r>
      <w:r>
        <w:rPr>
          <w:rFonts w:ascii="Times New Roman" w:eastAsia="Times New Roman" w:hAnsi="Times New Roman" w:cs="Times New Roman"/>
          <w:color w:val="0E101A"/>
          <w:sz w:val="24"/>
          <w:szCs w:val="24"/>
        </w:rPr>
        <w:lastRenderedPageBreak/>
        <w:t xml:space="preserve">Most articles are based on primary research and are more commonly published in nephrology journals, with “symptom control or prevalence” and “decision making about renal substitutive therapy” as their main themes. </w:t>
      </w:r>
    </w:p>
    <w:p w:rsidR="009F7E70" w:rsidRDefault="009F7E70">
      <w:pPr>
        <w:spacing w:line="480" w:lineRule="auto"/>
        <w:jc w:val="both"/>
        <w:rPr>
          <w:rFonts w:ascii="Times New Roman" w:eastAsia="Times New Roman" w:hAnsi="Times New Roman" w:cs="Times New Roman"/>
          <w:color w:val="0E101A"/>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nephrology</w:t>
      </w:r>
      <w:r>
        <w:rPr>
          <w:rFonts w:ascii="Times New Roman" w:eastAsia="Times New Roman" w:hAnsi="Times New Roman" w:cs="Times New Roman"/>
          <w:sz w:val="24"/>
          <w:szCs w:val="24"/>
        </w:rPr>
        <w:t>; integrative palliative care; bibliometrics.</w:t>
      </w:r>
    </w:p>
    <w:p w:rsidR="009F7E70" w:rsidRDefault="009F7E70">
      <w:pPr>
        <w:spacing w:line="480" w:lineRule="auto"/>
        <w:jc w:val="both"/>
        <w:rPr>
          <w:rFonts w:ascii="Times New Roman" w:eastAsia="Times New Roman" w:hAnsi="Times New Roman" w:cs="Times New Roman"/>
          <w:sz w:val="24"/>
          <w:szCs w:val="24"/>
        </w:rPr>
      </w:pPr>
    </w:p>
    <w:p w:rsidR="009F7E70" w:rsidRDefault="003040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9F7E70" w:rsidRDefault="009F7E70">
      <w:pPr>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beginning of its theoretical development, renal support care has primarily focused on improving the quality of life for individuals with chronic kidney disease (CKD). Integrating pallia</w:t>
      </w:r>
      <w:r>
        <w:rPr>
          <w:rFonts w:ascii="Times New Roman" w:eastAsia="Times New Roman" w:hAnsi="Times New Roman" w:cs="Times New Roman"/>
          <w:sz w:val="24"/>
          <w:szCs w:val="24"/>
        </w:rPr>
        <w:t>tive care principles into the management of these patients represents an important clinical challenge. It requires a careful balance of the benefits and adverse effects of renal replacement therapies, effective symptom control, and shared decision-making i</w:t>
      </w:r>
      <w:r>
        <w:rPr>
          <w:rFonts w:ascii="Times New Roman" w:eastAsia="Times New Roman" w:hAnsi="Times New Roman" w:cs="Times New Roman"/>
          <w:sz w:val="24"/>
          <w:szCs w:val="24"/>
        </w:rPr>
        <w:t>nvolving the patients and their family (1). According to the “</w:t>
      </w:r>
      <w:r>
        <w:rPr>
          <w:rFonts w:ascii="Times New Roman" w:eastAsia="Times New Roman" w:hAnsi="Times New Roman" w:cs="Times New Roman"/>
          <w:i/>
          <w:sz w:val="24"/>
          <w:szCs w:val="24"/>
        </w:rPr>
        <w:t>KDIGO 2024 Clinical Practice Guideline for the Evaluation and Management of Chronic Kidney Disease</w:t>
      </w:r>
      <w:r>
        <w:rPr>
          <w:rFonts w:ascii="Times New Roman" w:eastAsia="Times New Roman" w:hAnsi="Times New Roman" w:cs="Times New Roman"/>
          <w:sz w:val="24"/>
          <w:szCs w:val="24"/>
        </w:rPr>
        <w:t>”, the incidence of CKD is increasing, presenting a global health challenge, particularly in low</w:t>
      </w:r>
      <w:r>
        <w:rPr>
          <w:rFonts w:ascii="Times New Roman" w:eastAsia="Times New Roman" w:hAnsi="Times New Roman" w:cs="Times New Roman"/>
          <w:sz w:val="24"/>
          <w:szCs w:val="24"/>
        </w:rPr>
        <w:t>-income countries. These regions face substantial limitations in healthcare services, which significantly impact the Disability-Adjusted Life Years (DALYs) of this population (2).</w:t>
      </w:r>
    </w:p>
    <w:p w:rsidR="009F7E70" w:rsidRDefault="009F7E70">
      <w:pPr>
        <w:spacing w:line="48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context reinforces the significance of palliative care in the clinical follow-up of patients with CKD due to their symptom burden, severe comorbidities, and increased mortality in advanced stages of disease, although the effective implementation still</w:t>
      </w:r>
      <w:r>
        <w:rPr>
          <w:rFonts w:ascii="Times New Roman" w:eastAsia="Times New Roman" w:hAnsi="Times New Roman" w:cs="Times New Roman"/>
          <w:sz w:val="24"/>
          <w:szCs w:val="24"/>
        </w:rPr>
        <w:t xml:space="preserve"> encounters obstacles (3). Among these are the difficulty of comprehending the prognosis, the lack of educational training for specialists, and the reluctance of both the health team and patients to initiate discussions about palliative care (4,5). The sce</w:t>
      </w:r>
      <w:r>
        <w:rPr>
          <w:rFonts w:ascii="Times New Roman" w:eastAsia="Times New Roman" w:hAnsi="Times New Roman" w:cs="Times New Roman"/>
          <w:sz w:val="24"/>
          <w:szCs w:val="24"/>
        </w:rPr>
        <w:t xml:space="preserve">nario has negative consequences. For example, the standard choice of dialysis, for situations that will not necessarily be improved by the method, results in patients' regrets after the treatment </w:t>
      </w:r>
      <w:r>
        <w:rPr>
          <w:rFonts w:ascii="Times New Roman" w:eastAsia="Times New Roman" w:hAnsi="Times New Roman" w:cs="Times New Roman"/>
          <w:sz w:val="24"/>
          <w:szCs w:val="24"/>
        </w:rPr>
        <w:lastRenderedPageBreak/>
        <w:t>begins. Additionally, the end-of-life care provided is usual</w:t>
      </w:r>
      <w:r>
        <w:rPr>
          <w:rFonts w:ascii="Times New Roman" w:eastAsia="Times New Roman" w:hAnsi="Times New Roman" w:cs="Times New Roman"/>
          <w:sz w:val="24"/>
          <w:szCs w:val="24"/>
        </w:rPr>
        <w:t>ly incompatible with their preferences (4,6).</w:t>
      </w:r>
    </w:p>
    <w:p w:rsidR="009F7E70" w:rsidRDefault="009F7E70">
      <w:pPr>
        <w:spacing w:line="48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high number of scientific publications in the last decades, metascience has emerged as an essential method for comprehending different areas of research over time (7). Bibliometric analysis is a metho</w:t>
      </w:r>
      <w:r>
        <w:rPr>
          <w:rFonts w:ascii="Times New Roman" w:eastAsia="Times New Roman" w:hAnsi="Times New Roman" w:cs="Times New Roman"/>
          <w:sz w:val="24"/>
          <w:szCs w:val="24"/>
        </w:rPr>
        <w:t>dological tool based on quantitative data to evaluate the impact and relevance of publications across various fields of study (8). In this manuscript, we aim to describe the characteristics of the most influential articles that focus on the intersection of</w:t>
      </w:r>
      <w:r>
        <w:rPr>
          <w:rFonts w:ascii="Times New Roman" w:eastAsia="Times New Roman" w:hAnsi="Times New Roman" w:cs="Times New Roman"/>
          <w:sz w:val="24"/>
          <w:szCs w:val="24"/>
        </w:rPr>
        <w:t xml:space="preserve"> nephrology and palliative care. </w:t>
      </w:r>
    </w:p>
    <w:p w:rsidR="009F7E70" w:rsidRDefault="009F7E70">
      <w:pPr>
        <w:jc w:val="both"/>
        <w:rPr>
          <w:rFonts w:ascii="Times New Roman" w:eastAsia="Times New Roman" w:hAnsi="Times New Roman" w:cs="Times New Roman"/>
          <w:sz w:val="24"/>
          <w:szCs w:val="24"/>
        </w:rPr>
      </w:pPr>
    </w:p>
    <w:p w:rsidR="009F7E70" w:rsidRDefault="003040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rsidR="009F7E70" w:rsidRDefault="009F7E70">
      <w:pPr>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April 2024, a search [(“nephrology”) AND (“palliative care”)] in the SCOPUS (Elsevier) database produced 278 results. These documents were limited to articles as the document type and English as the publicatio</w:t>
      </w:r>
      <w:r>
        <w:rPr>
          <w:rFonts w:ascii="Times New Roman" w:eastAsia="Times New Roman" w:hAnsi="Times New Roman" w:cs="Times New Roman"/>
          <w:sz w:val="24"/>
          <w:szCs w:val="24"/>
        </w:rPr>
        <w:t>n language, reducing the count to 159 documents, which were then ranked in descending order by the number of citations. Subsequent analysis of the titles and abstracts allowed the selection of the 50 most cited articles relevant to the research strategy, f</w:t>
      </w:r>
      <w:r>
        <w:rPr>
          <w:rFonts w:ascii="Times New Roman" w:eastAsia="Times New Roman" w:hAnsi="Times New Roman" w:cs="Times New Roman"/>
          <w:sz w:val="24"/>
          <w:szCs w:val="24"/>
        </w:rPr>
        <w:t xml:space="preserve">ollowed by the extraction of variables for analysis.  </w:t>
      </w:r>
    </w:p>
    <w:p w:rsidR="009F7E70" w:rsidRDefault="0030406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provided by the correspondent author, considered the last author of the articles in this analysis, was used to define the country of origin. If information from the corresponding author was unavailable for definitions, data from the first author w</w:t>
      </w:r>
      <w:r>
        <w:rPr>
          <w:rFonts w:ascii="Times New Roman" w:eastAsia="Times New Roman" w:hAnsi="Times New Roman" w:cs="Times New Roman"/>
          <w:sz w:val="24"/>
          <w:szCs w:val="24"/>
        </w:rPr>
        <w:t>as used. Impact factors of 2022 and 5-year impact factors were collected from the Incites Journal Citation Reports (JCR - Clarivate Analytics). RGXP and ADA independently analyzed the guiding theme, with the senior author (LLAN) resolving classification di</w:t>
      </w:r>
      <w:r>
        <w:rPr>
          <w:rFonts w:ascii="Times New Roman" w:eastAsia="Times New Roman" w:hAnsi="Times New Roman" w:cs="Times New Roman"/>
          <w:sz w:val="24"/>
          <w:szCs w:val="24"/>
        </w:rPr>
        <w:t>sagreements. Country income classifications were extracted from the World Bank (</w:t>
      </w:r>
      <w:hyperlink r:id="rId7">
        <w:r>
          <w:rPr>
            <w:rFonts w:ascii="Times New Roman" w:eastAsia="Times New Roman" w:hAnsi="Times New Roman" w:cs="Times New Roman"/>
            <w:color w:val="1155CC"/>
            <w:sz w:val="24"/>
            <w:szCs w:val="24"/>
            <w:u w:val="single"/>
          </w:rPr>
          <w:t>World Bank Country and Lending Groups – World Bank Dat</w:t>
        </w:r>
        <w:r>
          <w:rPr>
            <w:rFonts w:ascii="Times New Roman" w:eastAsia="Times New Roman" w:hAnsi="Times New Roman" w:cs="Times New Roman"/>
            <w:color w:val="1155CC"/>
            <w:sz w:val="24"/>
            <w:szCs w:val="24"/>
            <w:u w:val="single"/>
          </w:rPr>
          <w:t>a Help Desk</w:t>
        </w:r>
      </w:hyperlink>
      <w:r>
        <w:rPr>
          <w:rFonts w:ascii="Times New Roman" w:eastAsia="Times New Roman" w:hAnsi="Times New Roman" w:cs="Times New Roman"/>
          <w:sz w:val="24"/>
          <w:szCs w:val="24"/>
        </w:rPr>
        <w:t xml:space="preserve">). Bibliometric maps were </w:t>
      </w:r>
      <w:r>
        <w:rPr>
          <w:rFonts w:ascii="Times New Roman" w:eastAsia="Times New Roman" w:hAnsi="Times New Roman" w:cs="Times New Roman"/>
          <w:sz w:val="24"/>
          <w:szCs w:val="24"/>
        </w:rPr>
        <w:lastRenderedPageBreak/>
        <w:t xml:space="preserve">created using VOSViewer software (Ness Jan van Eck and Ludo Waltman - Centre for Science and Technology Studies, Leiden University). </w:t>
      </w:r>
    </w:p>
    <w:p w:rsidR="009F7E70" w:rsidRDefault="009F7E70">
      <w:pPr>
        <w:spacing w:line="480" w:lineRule="auto"/>
        <w:ind w:firstLine="720"/>
        <w:jc w:val="both"/>
        <w:rPr>
          <w:rFonts w:ascii="Times New Roman" w:eastAsia="Times New Roman" w:hAnsi="Times New Roman" w:cs="Times New Roman"/>
          <w:sz w:val="24"/>
          <w:szCs w:val="24"/>
        </w:rPr>
      </w:pPr>
    </w:p>
    <w:p w:rsidR="009F7E70" w:rsidRDefault="00304066">
      <w:pPr>
        <w:spacing w:before="120"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BIBLIOMETRIC MAPS INTERPRETATION</w:t>
      </w:r>
    </w:p>
    <w:p w:rsidR="009F7E70" w:rsidRDefault="00304066">
      <w:pPr>
        <w:spacing w:before="120"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visual representations of the relationship</w:t>
      </w:r>
      <w:r>
        <w:rPr>
          <w:rFonts w:ascii="Times New Roman" w:eastAsia="Times New Roman" w:hAnsi="Times New Roman" w:cs="Times New Roman"/>
          <w:sz w:val="24"/>
          <w:szCs w:val="24"/>
        </w:rPr>
        <w:t>s between different items (authors, keywords, countries…), and in every map, only one type of item is displayed. Each node represents a single item, with its size indicating the item's importance in the map, while proximity between nodes shows the degree o</w:t>
      </w:r>
      <w:r>
        <w:rPr>
          <w:rFonts w:ascii="Times New Roman" w:eastAsia="Times New Roman" w:hAnsi="Times New Roman" w:cs="Times New Roman"/>
          <w:sz w:val="24"/>
          <w:szCs w:val="24"/>
        </w:rPr>
        <w:t>f their relationship. Links connect nodes to indicate specific relationships, and the thickness of each link reflects the intensity of the relationship. Nodes are grouped into clusters based on their relationships and highlighted with different colors (9).</w:t>
      </w:r>
    </w:p>
    <w:p w:rsidR="009F7E70" w:rsidRDefault="009F7E70">
      <w:pPr>
        <w:spacing w:before="120" w:after="120" w:line="480" w:lineRule="auto"/>
        <w:ind w:firstLine="720"/>
        <w:jc w:val="both"/>
        <w:rPr>
          <w:rFonts w:ascii="Times New Roman" w:eastAsia="Times New Roman" w:hAnsi="Times New Roman" w:cs="Times New Roman"/>
          <w:sz w:val="24"/>
          <w:szCs w:val="24"/>
        </w:rPr>
      </w:pPr>
    </w:p>
    <w:p w:rsidR="009F7E70" w:rsidRDefault="00304066">
      <w:pPr>
        <w:spacing w:before="120" w:after="12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rsidR="009F7E70" w:rsidRDefault="0030406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articles analyzed showed a mean of </w:t>
      </w:r>
      <w:r>
        <w:rPr>
          <w:rFonts w:ascii="Times New Roman" w:eastAsia="Times New Roman" w:hAnsi="Times New Roman" w:cs="Times New Roman"/>
          <w:sz w:val="24"/>
          <w:szCs w:val="24"/>
        </w:rPr>
        <w:t>70.78 ± 82.80 citations, with a minimum of 16 and a maximum of 503. The 10 most cited ones concentrated 54.08% of the total citations (N = 1914 / 3539 citations). The United States of America had the largest</w:t>
      </w:r>
      <w:r>
        <w:rPr>
          <w:rFonts w:ascii="Times New Roman" w:eastAsia="Times New Roman" w:hAnsi="Times New Roman" w:cs="Times New Roman"/>
          <w:sz w:val="24"/>
          <w:szCs w:val="24"/>
        </w:rPr>
        <w:t xml:space="preserve"> number of articles and citations (50%; N = 5/10 articles; 42.26%; N = 809 / 1914 citations). Fliss E. M. Murtagh stands out as the first author of 3 articles in the 10 most cited ones, contributing a total of 622 citations. The most cited article in this </w:t>
      </w:r>
      <w:r>
        <w:rPr>
          <w:rFonts w:ascii="Times New Roman" w:eastAsia="Times New Roman" w:hAnsi="Times New Roman" w:cs="Times New Roman"/>
          <w:sz w:val="24"/>
          <w:szCs w:val="24"/>
        </w:rPr>
        <w:t xml:space="preserve">research area is based on primary data and was published in the Clinical Journal of the American Society of Nephrology in 2010, authored by Sara N. Davison, and received 503 citations (Table 1). </w:t>
      </w:r>
    </w:p>
    <w:p w:rsidR="009F7E70" w:rsidRDefault="009F7E70">
      <w:pPr>
        <w:spacing w:line="24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Table 1</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 10 most cited articles</w:t>
      </w:r>
    </w:p>
    <w:tbl>
      <w:tblPr>
        <w:tblStyle w:val="a4"/>
        <w:tblpPr w:leftFromText="180" w:rightFromText="180" w:topFromText="180" w:bottomFromText="180" w:vertAnchor="text"/>
        <w:tblW w:w="9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85"/>
        <w:gridCol w:w="2370"/>
        <w:gridCol w:w="735"/>
        <w:gridCol w:w="2385"/>
        <w:gridCol w:w="1260"/>
        <w:gridCol w:w="1170"/>
      </w:tblGrid>
      <w:tr w:rsidR="009F7E70">
        <w:tc>
          <w:tcPr>
            <w:tcW w:w="1185" w:type="dxa"/>
            <w:tcBorders>
              <w:top w:val="single" w:sz="8" w:space="0" w:color="000000"/>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First Author</w:t>
            </w:r>
          </w:p>
        </w:tc>
        <w:tc>
          <w:tcPr>
            <w:tcW w:w="2370" w:type="dxa"/>
            <w:tcBorders>
              <w:top w:val="single" w:sz="8" w:space="0" w:color="000000"/>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735" w:type="dxa"/>
            <w:tcBorders>
              <w:top w:val="single" w:sz="8" w:space="0" w:color="000000"/>
              <w:bottom w:val="single" w:sz="8" w:space="0" w:color="000000"/>
            </w:tcBorders>
            <w:shd w:val="clear" w:color="auto" w:fill="FFFFFF"/>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Ye</w:t>
            </w:r>
            <w:r>
              <w:rPr>
                <w:rFonts w:ascii="Times New Roman" w:eastAsia="Times New Roman" w:hAnsi="Times New Roman" w:cs="Times New Roman"/>
                <w:b/>
                <w:sz w:val="24"/>
                <w:szCs w:val="24"/>
              </w:rPr>
              <w:t>ar</w:t>
            </w:r>
          </w:p>
        </w:tc>
        <w:tc>
          <w:tcPr>
            <w:tcW w:w="2385" w:type="dxa"/>
            <w:tcBorders>
              <w:top w:val="single" w:sz="8" w:space="0" w:color="000000"/>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w:t>
            </w:r>
          </w:p>
        </w:tc>
        <w:tc>
          <w:tcPr>
            <w:tcW w:w="1260" w:type="dxa"/>
            <w:tcBorders>
              <w:top w:val="single" w:sz="8" w:space="0" w:color="000000"/>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Country</w:t>
            </w:r>
          </w:p>
        </w:tc>
        <w:tc>
          <w:tcPr>
            <w:tcW w:w="1170" w:type="dxa"/>
            <w:tcBorders>
              <w:top w:val="single" w:sz="8" w:space="0" w:color="000000"/>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Citations</w:t>
            </w:r>
          </w:p>
        </w:tc>
      </w:tr>
      <w:tr w:rsidR="009F7E70">
        <w:tc>
          <w:tcPr>
            <w:tcW w:w="1185" w:type="dxa"/>
            <w:tcBorders>
              <w:top w:val="single" w:sz="8" w:space="0" w:color="000000"/>
            </w:tcBorders>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Davison, S.N.</w:t>
            </w:r>
          </w:p>
        </w:tc>
        <w:tc>
          <w:tcPr>
            <w:tcW w:w="2370" w:type="dxa"/>
            <w:tcBorders>
              <w:top w:val="single" w:sz="8" w:space="0" w:color="000000"/>
            </w:tcBorders>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End-of-life care preferences and needs: Perceptions of patients with chronic kidney disease.</w:t>
            </w:r>
          </w:p>
        </w:tc>
        <w:tc>
          <w:tcPr>
            <w:tcW w:w="735" w:type="dxa"/>
            <w:tcBorders>
              <w:top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2010</w:t>
            </w:r>
          </w:p>
        </w:tc>
        <w:tc>
          <w:tcPr>
            <w:tcW w:w="2385" w:type="dxa"/>
            <w:tcBorders>
              <w:top w:val="single" w:sz="8" w:space="0" w:color="000000"/>
            </w:tcBorders>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tcBorders>
              <w:top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Canada</w:t>
            </w:r>
          </w:p>
        </w:tc>
        <w:tc>
          <w:tcPr>
            <w:tcW w:w="1170" w:type="dxa"/>
            <w:tcBorders>
              <w:top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503</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Moss, A. H.</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Utility of the surprise question to identify dialysis patients with high mortality.</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2008</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279</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Symptoms in advanced renal disease: A cross-sectional survey of symptom prevalence in stage 5 chronic kidney disease managed without dialysis.</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2007</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Palliative Medicine</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United</w:t>
            </w:r>
          </w:p>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Kingdom</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220</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Brown, M. A.</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CKD in elderly patients managed without dialysis: survival, symptoms, and quality of life.</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2015</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Australia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178</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Weisbord, S. D.</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Symptom burden, quality of life, advance care planning, and the potential </w:t>
            </w:r>
            <w:r>
              <w:rPr>
                <w:rFonts w:ascii="Times New Roman" w:eastAsia="Times New Roman" w:hAnsi="Times New Roman" w:cs="Times New Roman"/>
                <w:sz w:val="24"/>
                <w:szCs w:val="24"/>
                <w:highlight w:val="white"/>
              </w:rPr>
              <w:t>value of palliative care in severely ill haemodialysis patients</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2003</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 Dialysis Transplantation</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173</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Holley, J.L.</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need for end-of-life care training in nephrology: National survey results of nephrology fellows.</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2003</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154</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Combs, S.A.</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Update on end-of-life care training during nephrology fellowship: A cross-sectional national survey of fellows.</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2015</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108</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Supportive care: Comprehensive conservative care in </w:t>
            </w:r>
            <w:r>
              <w:rPr>
                <w:rFonts w:ascii="Times New Roman" w:eastAsia="Times New Roman" w:hAnsi="Times New Roman" w:cs="Times New Roman"/>
                <w:sz w:val="24"/>
                <w:szCs w:val="24"/>
                <w:highlight w:val="white"/>
              </w:rPr>
              <w:lastRenderedPageBreak/>
              <w:t>end-stage kidney disease.</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2016</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Africa</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9F7E70">
        <w:tc>
          <w:tcPr>
            <w:tcW w:w="1185" w:type="dxa"/>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Trajectories of illness in stage 5 chronic kidney disease: A longitudinal study of patient symptoms and concerns in the last year of life.</w:t>
            </w:r>
          </w:p>
        </w:tc>
        <w:tc>
          <w:tcPr>
            <w:tcW w:w="735"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2011</w:t>
            </w:r>
          </w:p>
        </w:tc>
        <w:tc>
          <w:tcPr>
            <w:tcW w:w="2385" w:type="dxa"/>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United Kingdom</w:t>
            </w:r>
          </w:p>
        </w:tc>
        <w:tc>
          <w:tcPr>
            <w:tcW w:w="1170" w:type="dxa"/>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9F7E70">
        <w:tc>
          <w:tcPr>
            <w:tcW w:w="1185" w:type="dxa"/>
            <w:tcBorders>
              <w:bottom w:val="single" w:sz="8" w:space="0" w:color="000000"/>
            </w:tcBorders>
            <w:shd w:val="clear" w:color="auto" w:fill="FFFFFF"/>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Schell, J.O.</w:t>
            </w:r>
          </w:p>
        </w:tc>
        <w:tc>
          <w:tcPr>
            <w:tcW w:w="2370" w:type="dxa"/>
            <w:tcBorders>
              <w:bottom w:val="single" w:sz="8" w:space="0" w:color="000000"/>
            </w:tcBorders>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 skills training for dialysis decision-making and end-of-life care in nephrology.</w:t>
            </w:r>
          </w:p>
        </w:tc>
        <w:tc>
          <w:tcPr>
            <w:tcW w:w="735" w:type="dxa"/>
            <w:tcBorders>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2013</w:t>
            </w:r>
          </w:p>
        </w:tc>
        <w:tc>
          <w:tcPr>
            <w:tcW w:w="2385" w:type="dxa"/>
            <w:tcBorders>
              <w:bottom w:val="single" w:sz="8" w:space="0" w:color="000000"/>
            </w:tcBorders>
            <w:shd w:val="clear" w:color="auto" w:fill="FFFFFF"/>
          </w:tcPr>
          <w:p w:rsidR="009F7E70" w:rsidRDefault="00304066">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tcBorders>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tcBorders>
              <w:bottom w:val="single" w:sz="8" w:space="0" w:color="000000"/>
            </w:tcBorders>
            <w:shd w:val="clear" w:color="auto" w:fill="FFFFFF"/>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w:t>
            </w:r>
          </w:p>
        </w:tc>
      </w:tr>
    </w:tbl>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created by the authors</w:t>
      </w:r>
    </w:p>
    <w:p w:rsidR="009F7E70" w:rsidRDefault="0030406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Eighteen different journals are represented among the 50 publications, and the 10 most cited ones account for nearly the total number of articles and citations (</w:t>
      </w:r>
      <w:r>
        <w:rPr>
          <w:rFonts w:ascii="Times New Roman" w:eastAsia="Times New Roman" w:hAnsi="Times New Roman" w:cs="Times New Roman"/>
          <w:sz w:val="24"/>
          <w:szCs w:val="24"/>
        </w:rPr>
        <w:t xml:space="preserve">84%; N = 42 / 50 articles; 92.12%; N = 3261 / 3539 citations). 5-year impact factors presented </w:t>
      </w:r>
      <w:r>
        <w:rPr>
          <w:rFonts w:ascii="Times New Roman" w:eastAsia="Times New Roman" w:hAnsi="Times New Roman" w:cs="Times New Roman"/>
          <w:sz w:val="24"/>
          <w:szCs w:val="24"/>
        </w:rPr>
        <w:t>a mean of  4.40 ± 2.64, with a minimum of 1.7 and a maximum of 9.9. The Hong Kong Journal of Nephrology and the EDTNA-ERCA Journal were excluded from this analysis due to the lack of data in the JCR database. The most prolific journal was the Clinical Jour</w:t>
      </w:r>
      <w:r>
        <w:rPr>
          <w:rFonts w:ascii="Times New Roman" w:eastAsia="Times New Roman" w:hAnsi="Times New Roman" w:cs="Times New Roman"/>
          <w:sz w:val="24"/>
          <w:szCs w:val="24"/>
        </w:rPr>
        <w:t xml:space="preserve">nal of the American Society of Nephrology, which published 15 articles that garnered a total of 1673 citations, and 6 of these articles are in the 10 most cited in this research field (Table 2). </w:t>
      </w:r>
    </w:p>
    <w:p w:rsidR="009F7E70" w:rsidRDefault="009F7E70">
      <w:pPr>
        <w:spacing w:line="480" w:lineRule="auto"/>
        <w:jc w:val="both"/>
        <w:rPr>
          <w:rFonts w:ascii="Times New Roman" w:eastAsia="Times New Roman" w:hAnsi="Times New Roman" w:cs="Times New Roman"/>
          <w:sz w:val="24"/>
          <w:szCs w:val="24"/>
        </w:rPr>
      </w:pPr>
    </w:p>
    <w:p w:rsidR="009F7E70" w:rsidRDefault="0030406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 10 most cited journals</w:t>
      </w:r>
    </w:p>
    <w:tbl>
      <w:tblPr>
        <w:tblStyle w:val="a5"/>
        <w:tblW w:w="91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40"/>
        <w:gridCol w:w="1305"/>
        <w:gridCol w:w="1575"/>
        <w:gridCol w:w="1605"/>
        <w:gridCol w:w="1125"/>
      </w:tblGrid>
      <w:tr w:rsidR="009F7E70">
        <w:tc>
          <w:tcPr>
            <w:tcW w:w="3540" w:type="dxa"/>
            <w:tcBorders>
              <w:top w:val="single" w:sz="8" w:space="0" w:color="000000"/>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w:t>
            </w:r>
          </w:p>
        </w:tc>
        <w:tc>
          <w:tcPr>
            <w:tcW w:w="1305" w:type="dxa"/>
            <w:tcBorders>
              <w:top w:val="single" w:sz="8" w:space="0" w:color="000000"/>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w:t>
            </w:r>
            <w:r>
              <w:rPr>
                <w:rFonts w:ascii="Times New Roman" w:eastAsia="Times New Roman" w:hAnsi="Times New Roman" w:cs="Times New Roman"/>
                <w:b/>
                <w:sz w:val="24"/>
                <w:szCs w:val="24"/>
              </w:rPr>
              <w:t>cles</w:t>
            </w:r>
          </w:p>
        </w:tc>
        <w:tc>
          <w:tcPr>
            <w:tcW w:w="1575" w:type="dxa"/>
            <w:tcBorders>
              <w:top w:val="single" w:sz="8" w:space="0" w:color="000000"/>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w:t>
            </w:r>
          </w:p>
        </w:tc>
        <w:tc>
          <w:tcPr>
            <w:tcW w:w="1605" w:type="dxa"/>
            <w:tcBorders>
              <w:top w:val="single" w:sz="8" w:space="0" w:color="000000"/>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Factor 2022</w:t>
            </w:r>
          </w:p>
        </w:tc>
        <w:tc>
          <w:tcPr>
            <w:tcW w:w="1125" w:type="dxa"/>
            <w:tcBorders>
              <w:top w:val="single" w:sz="8" w:space="0" w:color="000000"/>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5-year Impact Factor</w:t>
            </w:r>
          </w:p>
        </w:tc>
      </w:tr>
      <w:tr w:rsidR="009F7E70">
        <w:tc>
          <w:tcPr>
            <w:tcW w:w="3540" w:type="dxa"/>
            <w:tcBorders>
              <w:top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305" w:type="dxa"/>
            <w:tcBorders>
              <w:top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1575" w:type="dxa"/>
            <w:tcBorders>
              <w:top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1673</w:t>
            </w:r>
          </w:p>
        </w:tc>
        <w:tc>
          <w:tcPr>
            <w:tcW w:w="1605" w:type="dxa"/>
            <w:tcBorders>
              <w:top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9.8</w:t>
            </w:r>
          </w:p>
        </w:tc>
        <w:tc>
          <w:tcPr>
            <w:tcW w:w="1125" w:type="dxa"/>
            <w:tcBorders>
              <w:top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651</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Palliative Medicine</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329</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 Dialysis Transplantation</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Renal Failure</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69</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Journal of Pain and Symptom Management</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4.7</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Renal Care</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r>
      <w:tr w:rsidR="009F7E70">
        <w:tc>
          <w:tcPr>
            <w:tcW w:w="3540" w:type="dxa"/>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Palliative Medicine</w:t>
            </w:r>
          </w:p>
        </w:tc>
        <w:tc>
          <w:tcPr>
            <w:tcW w:w="13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57</w:t>
            </w:r>
          </w:p>
        </w:tc>
        <w:tc>
          <w:tcPr>
            <w:tcW w:w="160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w:t>
            </w:r>
          </w:p>
        </w:tc>
        <w:tc>
          <w:tcPr>
            <w:tcW w:w="1125" w:type="dxa"/>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r>
      <w:tr w:rsidR="009F7E70">
        <w:tc>
          <w:tcPr>
            <w:tcW w:w="3540" w:type="dxa"/>
            <w:tcBorders>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Palliative Care</w:t>
            </w:r>
          </w:p>
        </w:tc>
        <w:tc>
          <w:tcPr>
            <w:tcW w:w="1305" w:type="dxa"/>
            <w:tcBorders>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tcBorders>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w:t>
            </w:r>
          </w:p>
        </w:tc>
        <w:tc>
          <w:tcPr>
            <w:tcW w:w="1605" w:type="dxa"/>
            <w:tcBorders>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w:t>
            </w:r>
          </w:p>
        </w:tc>
        <w:tc>
          <w:tcPr>
            <w:tcW w:w="1125" w:type="dxa"/>
            <w:tcBorders>
              <w:bottom w:val="single" w:sz="8" w:space="0" w:color="000000"/>
            </w:tcBorders>
            <w:shd w:val="clear" w:color="auto" w:fill="FFFFF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r>
    </w:tbl>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rsidR="009F7E70" w:rsidRDefault="0030406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Shapiro-Wilk test was used to evaluate the normality of the variables: 5-year impact factor (p &lt; 0.01), number of citations (p &lt; 0.01), and number of articles (p &lt; 0.01). To analyze the correlation among these variables,  Spearman’s rank correlation co</w:t>
      </w:r>
      <w:r>
        <w:rPr>
          <w:rFonts w:ascii="Times New Roman" w:eastAsia="Times New Roman" w:hAnsi="Times New Roman" w:cs="Times New Roman"/>
          <w:sz w:val="24"/>
          <w:szCs w:val="24"/>
          <w:highlight w:val="white"/>
        </w:rPr>
        <w:t>efficient was used. The results demonstrated a moderated positive correlation between the 5-year impact factor and the number of articles (rs = 0.5509; p = 0.0269; n = 16). However, there was no statistically significant correlation between the 5-year impa</w:t>
      </w:r>
      <w:r>
        <w:rPr>
          <w:rFonts w:ascii="Times New Roman" w:eastAsia="Times New Roman" w:hAnsi="Times New Roman" w:cs="Times New Roman"/>
          <w:sz w:val="24"/>
          <w:szCs w:val="24"/>
          <w:highlight w:val="white"/>
        </w:rPr>
        <w:t>ct factor and the number of citations (rs = 0.3935; p = 0.1315; n = 16).</w:t>
      </w:r>
    </w:p>
    <w:p w:rsidR="009F7E70" w:rsidRDefault="009F7E70">
      <w:pPr>
        <w:spacing w:line="480" w:lineRule="auto"/>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Correlation between the 5-year impact factor and number of citations (A) and articles (B).</w:t>
      </w:r>
    </w:p>
    <w:p w:rsidR="009F7E70" w:rsidRDefault="009F7E70">
      <w:pPr>
        <w:spacing w:line="240" w:lineRule="auto"/>
        <w:jc w:val="both"/>
        <w:rPr>
          <w:rFonts w:ascii="Times New Roman" w:eastAsia="Times New Roman" w:hAnsi="Times New Roman" w:cs="Times New Roman"/>
          <w:sz w:val="24"/>
          <w:szCs w:val="24"/>
          <w:highlight w:val="white"/>
        </w:rPr>
      </w:pPr>
    </w:p>
    <w:p w:rsidR="009F7E70" w:rsidRDefault="00304066">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425966" cy="2806534"/>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11707" b="18761"/>
                    <a:stretch>
                      <a:fillRect/>
                    </a:stretch>
                  </pic:blipFill>
                  <pic:spPr>
                    <a:xfrm>
                      <a:off x="0" y="0"/>
                      <a:ext cx="5425966" cy="2806534"/>
                    </a:xfrm>
                    <a:prstGeom prst="rect">
                      <a:avLst/>
                    </a:prstGeom>
                    <a:ln/>
                  </pic:spPr>
                </pic:pic>
              </a:graphicData>
            </a:graphic>
          </wp:inline>
        </w:drawing>
      </w:r>
    </w:p>
    <w:p w:rsidR="009F7E70" w:rsidRDefault="00304066">
      <w:pPr>
        <w:spacing w:line="48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rPr>
        <w:t xml:space="preserve">Source: created by the authors. </w:t>
      </w:r>
    </w:p>
    <w:p w:rsidR="009F7E70" w:rsidRDefault="0030406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Ten countries across five continents are aff</w:t>
      </w:r>
      <w:r>
        <w:rPr>
          <w:rFonts w:ascii="Times New Roman" w:eastAsia="Times New Roman" w:hAnsi="Times New Roman" w:cs="Times New Roman"/>
          <w:sz w:val="24"/>
          <w:szCs w:val="24"/>
          <w:highlight w:val="white"/>
        </w:rPr>
        <w:t>iliated with the 50 articles.  America, represented exclusively by North America, concentrates the highest number of articles (31) and citations (2352). The USA has absolute domination with 28 articles and 1749 citations that represent 56% and 49.42% of th</w:t>
      </w:r>
      <w:r>
        <w:rPr>
          <w:rFonts w:ascii="Times New Roman" w:eastAsia="Times New Roman" w:hAnsi="Times New Roman" w:cs="Times New Roman"/>
          <w:sz w:val="24"/>
          <w:szCs w:val="24"/>
          <w:highlight w:val="white"/>
        </w:rPr>
        <w:t xml:space="preserve">e total articles and citations, respectively. The second most cited country is Canada, with 3 articles and 603 citations (Table 3). And, </w:t>
      </w:r>
      <w:r>
        <w:rPr>
          <w:rFonts w:ascii="Times New Roman" w:eastAsia="Times New Roman" w:hAnsi="Times New Roman" w:cs="Times New Roman"/>
          <w:sz w:val="24"/>
          <w:szCs w:val="24"/>
          <w:highlight w:val="white"/>
        </w:rPr>
        <w:lastRenderedPageBreak/>
        <w:t>although Hong Kong is not recognized as an independent entity by the World Bank, we included it in our analysis individ</w:t>
      </w:r>
      <w:r>
        <w:rPr>
          <w:rFonts w:ascii="Times New Roman" w:eastAsia="Times New Roman" w:hAnsi="Times New Roman" w:cs="Times New Roman"/>
          <w:sz w:val="24"/>
          <w:szCs w:val="24"/>
          <w:highlight w:val="white"/>
        </w:rPr>
        <w:t>ually due to its economic influence.</w:t>
      </w:r>
    </w:p>
    <w:p w:rsidR="009F7E70" w:rsidRDefault="009F7E70">
      <w:pPr>
        <w:spacing w:line="360" w:lineRule="auto"/>
        <w:ind w:firstLine="720"/>
        <w:jc w:val="both"/>
        <w:rPr>
          <w:rFonts w:ascii="Times New Roman" w:eastAsia="Times New Roman" w:hAnsi="Times New Roman" w:cs="Times New Roman"/>
          <w:sz w:val="24"/>
          <w:szCs w:val="24"/>
          <w:highlight w:val="white"/>
        </w:rPr>
      </w:pPr>
    </w:p>
    <w:p w:rsidR="009F7E70" w:rsidRDefault="0030406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High-income countries demonstrated to be the most productive, accounting for nearly the total number of articles and citations (98%; N = 49 / 50 articles; 97.11%; N = 3437 / 3539 citations). The only upper-middle-incom</w:t>
      </w:r>
      <w:r>
        <w:rPr>
          <w:rFonts w:ascii="Times New Roman" w:eastAsia="Times New Roman" w:hAnsi="Times New Roman" w:cs="Times New Roman"/>
          <w:sz w:val="24"/>
          <w:szCs w:val="24"/>
          <w:highlight w:val="white"/>
        </w:rPr>
        <w:t xml:space="preserve">e country is South Africa, which has 102 citations. There were no articles from lower-middle-income or low-income countries. </w:t>
      </w:r>
    </w:p>
    <w:p w:rsidR="009F7E70" w:rsidRDefault="009F7E70">
      <w:pPr>
        <w:spacing w:line="360" w:lineRule="auto"/>
        <w:ind w:firstLine="720"/>
        <w:jc w:val="both"/>
        <w:rPr>
          <w:rFonts w:ascii="Times New Roman" w:eastAsia="Times New Roman" w:hAnsi="Times New Roman" w:cs="Times New Roman"/>
          <w:sz w:val="24"/>
          <w:szCs w:val="24"/>
          <w:highlight w:val="white"/>
        </w:rPr>
      </w:pPr>
    </w:p>
    <w:p w:rsidR="009F7E70" w:rsidRDefault="0030406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Citations and number of articles by geographic distribution</w:t>
      </w:r>
    </w:p>
    <w:p w:rsidR="009F7E70" w:rsidRDefault="009F7E70">
      <w:pPr>
        <w:rPr>
          <w:rFonts w:ascii="Times New Roman" w:eastAsia="Times New Roman" w:hAnsi="Times New Roman" w:cs="Times New Roman"/>
          <w:sz w:val="24"/>
          <w:szCs w:val="24"/>
          <w:highlight w:val="white"/>
        </w:rPr>
      </w:pPr>
    </w:p>
    <w:tbl>
      <w:tblPr>
        <w:tblStyle w:val="a6"/>
        <w:tblW w:w="85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36"/>
        <w:gridCol w:w="2835"/>
        <w:gridCol w:w="2835"/>
      </w:tblGrid>
      <w:tr w:rsidR="009F7E70">
        <w:tc>
          <w:tcPr>
            <w:tcW w:w="2836"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w:t>
            </w:r>
          </w:p>
        </w:tc>
        <w:tc>
          <w:tcPr>
            <w:tcW w:w="2835"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 (% of total)</w:t>
            </w:r>
          </w:p>
        </w:tc>
        <w:tc>
          <w:tcPr>
            <w:tcW w:w="2835"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 (% of total)</w:t>
            </w:r>
          </w:p>
        </w:tc>
      </w:tr>
      <w:tr w:rsidR="009F7E70">
        <w:tc>
          <w:tcPr>
            <w:tcW w:w="2836"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America</w:t>
            </w:r>
          </w:p>
        </w:tc>
        <w:tc>
          <w:tcPr>
            <w:tcW w:w="2835"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(62%)</w:t>
            </w:r>
          </w:p>
        </w:tc>
        <w:tc>
          <w:tcPr>
            <w:tcW w:w="2835"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2352 (66.45%)</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of America</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1749</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Canada</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r>
      <w:tr w:rsidR="009F7E70">
        <w:tc>
          <w:tcPr>
            <w:tcW w:w="2836" w:type="dxa"/>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Europe</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(24%)</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720 (20.34%)</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Switzerland</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Netherlands</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Spain</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9F7E70">
        <w:tc>
          <w:tcPr>
            <w:tcW w:w="2836" w:type="dxa"/>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Oceania</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(8%)</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 (8.56%)</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Australia</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303</w:t>
            </w:r>
          </w:p>
        </w:tc>
      </w:tr>
      <w:tr w:rsidR="009F7E70">
        <w:tc>
          <w:tcPr>
            <w:tcW w:w="2836" w:type="dxa"/>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Africa</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(2%)</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 (2.88%)</w:t>
            </w:r>
          </w:p>
        </w:tc>
      </w:tr>
      <w:tr w:rsidR="009F7E70">
        <w:tc>
          <w:tcPr>
            <w:tcW w:w="2836"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Africa</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9F7E70">
        <w:tc>
          <w:tcPr>
            <w:tcW w:w="2836" w:type="dxa"/>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Asia</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(4%)</w:t>
            </w:r>
          </w:p>
        </w:tc>
        <w:tc>
          <w:tcPr>
            <w:tcW w:w="2835"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(1.97%)</w:t>
            </w:r>
          </w:p>
        </w:tc>
      </w:tr>
      <w:tr w:rsidR="009F7E70">
        <w:tc>
          <w:tcPr>
            <w:tcW w:w="2836"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Hong Kong</w:t>
            </w:r>
          </w:p>
        </w:tc>
        <w:tc>
          <w:tcPr>
            <w:tcW w:w="2835"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835"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r>
    </w:tbl>
    <w:p w:rsidR="009F7E70" w:rsidRDefault="009F7E70">
      <w:pPr>
        <w:spacing w:line="24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rsidR="009F7E70" w:rsidRDefault="0030406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articles were published in 17 different years from 2000 to 2021. The mean number of articles per year of publication is 2.94 ± 1.91, with a maximum of 8 and a minimum of 1.  2016 is the year with the highest number of publications (8), followed by 2007</w:t>
      </w:r>
      <w:r>
        <w:rPr>
          <w:rFonts w:ascii="Times New Roman" w:eastAsia="Times New Roman" w:hAnsi="Times New Roman" w:cs="Times New Roman"/>
          <w:sz w:val="24"/>
          <w:szCs w:val="24"/>
          <w:highlight w:val="white"/>
        </w:rPr>
        <w:t xml:space="preserve"> and 2017, each with 5 articles. The mean of citations per year is 208.17 ± 159.99, </w:t>
      </w:r>
      <w:r>
        <w:rPr>
          <w:rFonts w:ascii="Times New Roman" w:eastAsia="Times New Roman" w:hAnsi="Times New Roman" w:cs="Times New Roman"/>
          <w:sz w:val="24"/>
          <w:szCs w:val="24"/>
          <w:highlight w:val="white"/>
        </w:rPr>
        <w:lastRenderedPageBreak/>
        <w:t>with a maximum of 530 and a minimum of 19. The year with the highest number of citations was 2010, with 530 citations, followed by 2007 with 444 and 2015 with 363 (Figure 2</w:t>
      </w:r>
      <w:r>
        <w:rPr>
          <w:rFonts w:ascii="Times New Roman" w:eastAsia="Times New Roman" w:hAnsi="Times New Roman" w:cs="Times New Roman"/>
          <w:sz w:val="24"/>
          <w:szCs w:val="24"/>
          <w:highlight w:val="white"/>
        </w:rPr>
        <w:t xml:space="preserve">). </w:t>
      </w:r>
    </w:p>
    <w:p w:rsidR="009F7E70" w:rsidRDefault="009F7E70">
      <w:pPr>
        <w:spacing w:line="360" w:lineRule="auto"/>
        <w:ind w:firstLine="720"/>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2</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Number of articles by year of publication </w:t>
      </w:r>
    </w:p>
    <w:p w:rsidR="009F7E70" w:rsidRDefault="0030406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400000" cy="2692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00000" cy="2692400"/>
                    </a:xfrm>
                    <a:prstGeom prst="rect">
                      <a:avLst/>
                    </a:prstGeom>
                    <a:ln/>
                  </pic:spPr>
                </pic:pic>
              </a:graphicData>
            </a:graphic>
          </wp:inline>
        </w:drawing>
      </w: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rsidR="009F7E70" w:rsidRDefault="0030406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articles were classified by their guiding theme, and the research about “symptom control or prevalence” and “decision-making” was found to be more common. The</w:t>
      </w:r>
      <w:r>
        <w:rPr>
          <w:rFonts w:ascii="Times New Roman" w:eastAsia="Times New Roman" w:hAnsi="Times New Roman" w:cs="Times New Roman"/>
          <w:sz w:val="24"/>
          <w:szCs w:val="24"/>
          <w:highlight w:val="white"/>
        </w:rPr>
        <w:t xml:space="preserve"> most frequent theme was “symptom control or prevalence” with ten articles and 864 citations, especially in patients with CKD in dialysis or conservative treatment. The articles about “decision making” discourse about initiating, maintaining, or removing s</w:t>
      </w:r>
      <w:r>
        <w:rPr>
          <w:rFonts w:ascii="Times New Roman" w:eastAsia="Times New Roman" w:hAnsi="Times New Roman" w:cs="Times New Roman"/>
          <w:sz w:val="24"/>
          <w:szCs w:val="24"/>
          <w:highlight w:val="white"/>
        </w:rPr>
        <w:t>ubstitutive renal therapy in CKD, with 15 articles and 626 citations. Together, these two themes account for 50% of articles and 42.10% of citations (Table 4).</w:t>
      </w:r>
    </w:p>
    <w:p w:rsidR="009F7E70" w:rsidRDefault="009F7E70">
      <w:pPr>
        <w:spacing w:line="360" w:lineRule="auto"/>
        <w:ind w:firstLine="720"/>
        <w:jc w:val="both"/>
        <w:rPr>
          <w:rFonts w:ascii="Times New Roman" w:eastAsia="Times New Roman" w:hAnsi="Times New Roman" w:cs="Times New Roman"/>
          <w:sz w:val="24"/>
          <w:szCs w:val="24"/>
          <w:highlight w:val="white"/>
        </w:rPr>
      </w:pPr>
    </w:p>
    <w:p w:rsidR="009F7E70" w:rsidRDefault="0030406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4</w:t>
      </w:r>
      <w:r w:rsidR="006547D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Number of articles and citations by guiding theme</w:t>
      </w:r>
    </w:p>
    <w:p w:rsidR="009F7E70" w:rsidRDefault="009F7E70">
      <w:pPr>
        <w:rPr>
          <w:rFonts w:ascii="Times New Roman" w:eastAsia="Times New Roman" w:hAnsi="Times New Roman" w:cs="Times New Roman"/>
          <w:sz w:val="24"/>
          <w:szCs w:val="24"/>
          <w:highlight w:val="white"/>
        </w:rPr>
      </w:pPr>
    </w:p>
    <w:tbl>
      <w:tblPr>
        <w:tblStyle w:val="a7"/>
        <w:tblW w:w="9030"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065"/>
        <w:gridCol w:w="2130"/>
        <w:gridCol w:w="2835"/>
      </w:tblGrid>
      <w:tr w:rsidR="009F7E70">
        <w:tc>
          <w:tcPr>
            <w:tcW w:w="4065"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Guiding Theme</w:t>
            </w:r>
          </w:p>
        </w:tc>
        <w:tc>
          <w:tcPr>
            <w:tcW w:w="2130"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w:t>
            </w:r>
          </w:p>
        </w:tc>
        <w:tc>
          <w:tcPr>
            <w:tcW w:w="2835"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w:t>
            </w:r>
          </w:p>
        </w:tc>
      </w:tr>
      <w:tr w:rsidR="009F7E70">
        <w:tc>
          <w:tcPr>
            <w:tcW w:w="4065" w:type="dxa"/>
            <w:tcBorders>
              <w:top w:val="single" w:sz="8" w:space="0" w:color="000000"/>
            </w:tcBorders>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Symptom Control / Prevalence</w:t>
            </w:r>
          </w:p>
        </w:tc>
        <w:tc>
          <w:tcPr>
            <w:tcW w:w="2130" w:type="dxa"/>
            <w:tcBorders>
              <w:top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2835" w:type="dxa"/>
            <w:tcBorders>
              <w:top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864</w:t>
            </w:r>
          </w:p>
        </w:tc>
      </w:tr>
      <w:tr w:rsidR="009F7E70">
        <w:tc>
          <w:tcPr>
            <w:tcW w:w="406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Decision Making </w:t>
            </w:r>
          </w:p>
        </w:tc>
        <w:tc>
          <w:tcPr>
            <w:tcW w:w="213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626</w:t>
            </w:r>
          </w:p>
        </w:tc>
      </w:tr>
      <w:tr w:rsidR="009F7E70">
        <w:tc>
          <w:tcPr>
            <w:tcW w:w="406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Doctors / Patients Perception</w:t>
            </w:r>
          </w:p>
        </w:tc>
        <w:tc>
          <w:tcPr>
            <w:tcW w:w="213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626</w:t>
            </w:r>
          </w:p>
        </w:tc>
      </w:tr>
      <w:tr w:rsidR="009F7E70">
        <w:tc>
          <w:tcPr>
            <w:tcW w:w="406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Outcome Analysis / Prognosis</w:t>
            </w:r>
          </w:p>
        </w:tc>
        <w:tc>
          <w:tcPr>
            <w:tcW w:w="213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526</w:t>
            </w:r>
          </w:p>
        </w:tc>
      </w:tr>
      <w:tr w:rsidR="009F7E70">
        <w:tc>
          <w:tcPr>
            <w:tcW w:w="406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Medical Training</w:t>
            </w:r>
          </w:p>
        </w:tc>
        <w:tc>
          <w:tcPr>
            <w:tcW w:w="213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360</w:t>
            </w:r>
          </w:p>
        </w:tc>
      </w:tr>
      <w:tr w:rsidR="009F7E70">
        <w:tc>
          <w:tcPr>
            <w:tcW w:w="406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Nursing Care</w:t>
            </w:r>
          </w:p>
        </w:tc>
        <w:tc>
          <w:tcPr>
            <w:tcW w:w="213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835"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r>
      <w:tr w:rsidR="009F7E70">
        <w:tc>
          <w:tcPr>
            <w:tcW w:w="4065"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Others</w:t>
            </w:r>
          </w:p>
        </w:tc>
        <w:tc>
          <w:tcPr>
            <w:tcW w:w="2130"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2835"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510</w:t>
            </w:r>
          </w:p>
        </w:tc>
      </w:tr>
    </w:tbl>
    <w:p w:rsidR="009F7E70" w:rsidRDefault="009F7E70">
      <w:pPr>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rsidR="009F7E70" w:rsidRDefault="0030406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Primary research was most frequent (66%; N = 33/50 articles), with observational articles in the highest number (75,75%; N = 25/33 articles), and representing the major means of citations per article (90.2). Narrative review was the only methodology of sec</w:t>
      </w:r>
      <w:r>
        <w:rPr>
          <w:rFonts w:ascii="Times New Roman" w:eastAsia="Times New Roman" w:hAnsi="Times New Roman" w:cs="Times New Roman"/>
          <w:sz w:val="24"/>
          <w:szCs w:val="24"/>
          <w:highlight w:val="white"/>
        </w:rPr>
        <w:t>ondary research in the analysis (Table 5).</w:t>
      </w:r>
    </w:p>
    <w:p w:rsidR="009F7E70" w:rsidRDefault="009F7E70">
      <w:pPr>
        <w:spacing w:line="480" w:lineRule="auto"/>
        <w:ind w:firstLine="720"/>
        <w:jc w:val="both"/>
        <w:rPr>
          <w:rFonts w:ascii="Times New Roman" w:eastAsia="Times New Roman" w:hAnsi="Times New Roman" w:cs="Times New Roman"/>
          <w:sz w:val="24"/>
          <w:szCs w:val="24"/>
        </w:rPr>
      </w:pPr>
    </w:p>
    <w:p w:rsidR="009F7E70" w:rsidRDefault="00304066">
      <w:pPr>
        <w:rPr>
          <w:rFonts w:ascii="Times New Roman" w:eastAsia="Times New Roman" w:hAnsi="Times New Roman" w:cs="Times New Roman"/>
          <w:sz w:val="24"/>
          <w:szCs w:val="24"/>
          <w:highlight w:val="white"/>
        </w:rPr>
      </w:pPr>
      <w:bookmarkStart w:id="0" w:name="_GoBack"/>
      <w:r>
        <w:rPr>
          <w:rFonts w:ascii="Times New Roman" w:eastAsia="Times New Roman" w:hAnsi="Times New Roman" w:cs="Times New Roman"/>
          <w:sz w:val="24"/>
          <w:szCs w:val="24"/>
          <w:highlight w:val="white"/>
        </w:rPr>
        <w:t>Table</w:t>
      </w:r>
      <w:bookmarkEnd w:id="0"/>
      <w:r>
        <w:rPr>
          <w:rFonts w:ascii="Times New Roman" w:eastAsia="Times New Roman" w:hAnsi="Times New Roman" w:cs="Times New Roman"/>
          <w:sz w:val="24"/>
          <w:szCs w:val="24"/>
          <w:highlight w:val="white"/>
        </w:rPr>
        <w:t xml:space="preserve"> 5</w:t>
      </w:r>
      <w:r w:rsidR="006547D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Classification of research methods</w:t>
      </w:r>
    </w:p>
    <w:p w:rsidR="009F7E70" w:rsidRDefault="009F7E70">
      <w:pPr>
        <w:rPr>
          <w:rFonts w:ascii="Times New Roman" w:eastAsia="Times New Roman" w:hAnsi="Times New Roman" w:cs="Times New Roman"/>
          <w:sz w:val="24"/>
          <w:szCs w:val="24"/>
          <w:highlight w:val="white"/>
        </w:rPr>
      </w:pPr>
    </w:p>
    <w:tbl>
      <w:tblPr>
        <w:tblStyle w:val="a8"/>
        <w:tblW w:w="90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55"/>
        <w:gridCol w:w="2790"/>
        <w:gridCol w:w="3900"/>
      </w:tblGrid>
      <w:tr w:rsidR="009F7E70">
        <w:trPr>
          <w:trHeight w:val="424"/>
        </w:trPr>
        <w:tc>
          <w:tcPr>
            <w:tcW w:w="2355"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tc>
        <w:tc>
          <w:tcPr>
            <w:tcW w:w="2790"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w:t>
            </w:r>
          </w:p>
        </w:tc>
        <w:tc>
          <w:tcPr>
            <w:tcW w:w="3900" w:type="dxa"/>
            <w:tcBorders>
              <w:top w:val="single" w:sz="8" w:space="0" w:color="000000"/>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 (mean per article)</w:t>
            </w:r>
          </w:p>
        </w:tc>
      </w:tr>
      <w:tr w:rsidR="009F7E70">
        <w:tc>
          <w:tcPr>
            <w:tcW w:w="2355"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research</w:t>
            </w:r>
          </w:p>
        </w:tc>
        <w:tc>
          <w:tcPr>
            <w:tcW w:w="2790"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3900" w:type="dxa"/>
            <w:tcBorders>
              <w:top w:val="single" w:sz="8" w:space="0" w:color="000000"/>
            </w:tcBorders>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2757</w:t>
            </w:r>
          </w:p>
        </w:tc>
      </w:tr>
      <w:tr w:rsidR="009F7E70">
        <w:tc>
          <w:tcPr>
            <w:tcW w:w="235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Observational</w:t>
            </w:r>
          </w:p>
        </w:tc>
        <w:tc>
          <w:tcPr>
            <w:tcW w:w="279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390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2255 (90.2)</w:t>
            </w:r>
          </w:p>
        </w:tc>
      </w:tr>
      <w:tr w:rsidR="009F7E70">
        <w:tc>
          <w:tcPr>
            <w:tcW w:w="2355" w:type="dxa"/>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Interventionist</w:t>
            </w:r>
          </w:p>
        </w:tc>
        <w:tc>
          <w:tcPr>
            <w:tcW w:w="279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3900" w:type="dxa"/>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502 (62.75)</w:t>
            </w:r>
          </w:p>
        </w:tc>
      </w:tr>
      <w:tr w:rsidR="009F7E70">
        <w:tc>
          <w:tcPr>
            <w:tcW w:w="2355" w:type="dxa"/>
            <w:shd w:val="clear" w:color="auto" w:fill="EFEFEF"/>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Secondary research</w:t>
            </w:r>
          </w:p>
        </w:tc>
        <w:tc>
          <w:tcPr>
            <w:tcW w:w="2790"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3900" w:type="dxa"/>
            <w:shd w:val="clear" w:color="auto" w:fill="EFEFEF"/>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r>
      <w:tr w:rsidR="009F7E70">
        <w:tc>
          <w:tcPr>
            <w:tcW w:w="2355"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Narrative Review</w:t>
            </w:r>
          </w:p>
        </w:tc>
        <w:tc>
          <w:tcPr>
            <w:tcW w:w="2790"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3900" w:type="dxa"/>
            <w:tcBorders>
              <w:bottom w:val="single" w:sz="8" w:space="0" w:color="000000"/>
            </w:tcBorders>
            <w:tcMar>
              <w:top w:w="100" w:type="dxa"/>
              <w:left w:w="100" w:type="dxa"/>
              <w:bottom w:w="100" w:type="dxa"/>
              <w:right w:w="100" w:type="dxa"/>
            </w:tcMar>
          </w:tcPr>
          <w:p w:rsidR="009F7E70" w:rsidRDefault="00304066">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782 (46)</w:t>
            </w:r>
          </w:p>
        </w:tc>
      </w:tr>
    </w:tbl>
    <w:p w:rsidR="009F7E70" w:rsidRDefault="009F7E70">
      <w:pPr>
        <w:spacing w:line="24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rsidR="009F7E70" w:rsidRDefault="009F7E70">
      <w:pPr>
        <w:spacing w:line="480" w:lineRule="auto"/>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Among the 226 nodes identified in the co-autorship map, most of them did not have connections with each other, which explains why only 99 nodes are represented in Figure 3. This map consists of 10 clusters, 399 links, and a total link strength of 70.5. The</w:t>
      </w:r>
      <w:r>
        <w:rPr>
          <w:rFonts w:ascii="Times New Roman" w:eastAsia="Times New Roman" w:hAnsi="Times New Roman" w:cs="Times New Roman"/>
          <w:sz w:val="24"/>
          <w:szCs w:val="24"/>
          <w:highlight w:val="white"/>
        </w:rPr>
        <w:t xml:space="preserve"> most prolific author is </w:t>
      </w:r>
      <w:r>
        <w:rPr>
          <w:rFonts w:ascii="Times New Roman" w:eastAsia="Times New Roman" w:hAnsi="Times New Roman" w:cs="Times New Roman"/>
          <w:sz w:val="24"/>
          <w:szCs w:val="24"/>
        </w:rPr>
        <w:t>Alvin H. Moss</w:t>
      </w:r>
      <w:r>
        <w:rPr>
          <w:rFonts w:ascii="Times New Roman" w:eastAsia="Times New Roman" w:hAnsi="Times New Roman" w:cs="Times New Roman"/>
          <w:sz w:val="24"/>
          <w:szCs w:val="24"/>
          <w:highlight w:val="white"/>
        </w:rPr>
        <w:t xml:space="preserve"> (H-index = 42), the third most cited author, with participation in 7 documents, 26 links, a link strength of 7, and a total of 677 citations. Following him is </w:t>
      </w:r>
      <w:r>
        <w:rPr>
          <w:rFonts w:ascii="Times New Roman" w:eastAsia="Times New Roman" w:hAnsi="Times New Roman" w:cs="Times New Roman"/>
          <w:sz w:val="24"/>
          <w:szCs w:val="24"/>
        </w:rPr>
        <w:t>Jane O. Schell,</w:t>
      </w:r>
      <w:r>
        <w:rPr>
          <w:rFonts w:ascii="Times New Roman" w:eastAsia="Times New Roman" w:hAnsi="Times New Roman" w:cs="Times New Roman"/>
          <w:sz w:val="24"/>
          <w:szCs w:val="24"/>
          <w:highlight w:val="white"/>
        </w:rPr>
        <w:t xml:space="preserve"> the seventh most cited author, with 5 docu</w:t>
      </w:r>
      <w:r>
        <w:rPr>
          <w:rFonts w:ascii="Times New Roman" w:eastAsia="Times New Roman" w:hAnsi="Times New Roman" w:cs="Times New Roman"/>
          <w:sz w:val="24"/>
          <w:szCs w:val="24"/>
          <w:highlight w:val="white"/>
        </w:rPr>
        <w:t xml:space="preserve">ments, 14 links, a link strength of 5, and 281 citations in total. </w:t>
      </w:r>
    </w:p>
    <w:p w:rsidR="009F7E70" w:rsidRDefault="009F7E70">
      <w:pPr>
        <w:spacing w:line="480" w:lineRule="auto"/>
        <w:rPr>
          <w:rFonts w:ascii="Times New Roman" w:eastAsia="Times New Roman" w:hAnsi="Times New Roman" w:cs="Times New Roman"/>
          <w:sz w:val="24"/>
          <w:szCs w:val="24"/>
          <w:highlight w:val="white"/>
        </w:rPr>
      </w:pPr>
    </w:p>
    <w:p w:rsidR="009F7E70" w:rsidRDefault="0030406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3</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Bibliometric map of co-authorship</w:t>
      </w:r>
    </w:p>
    <w:p w:rsidR="009F7E70" w:rsidRDefault="009F7E70">
      <w:pPr>
        <w:spacing w:line="240" w:lineRule="auto"/>
        <w:rPr>
          <w:rFonts w:ascii="Times New Roman" w:eastAsia="Times New Roman" w:hAnsi="Times New Roman" w:cs="Times New Roman"/>
          <w:sz w:val="24"/>
          <w:szCs w:val="24"/>
          <w:highlight w:val="white"/>
        </w:rPr>
      </w:pPr>
    </w:p>
    <w:p w:rsidR="009F7E70" w:rsidRDefault="00304066">
      <w:pPr>
        <w:rPr>
          <w:rFonts w:ascii="Times New Roman" w:eastAsia="Times New Roman" w:hAnsi="Times New Roman" w:cs="Times New Roman"/>
          <w:sz w:val="24"/>
          <w:szCs w:val="24"/>
          <w:highlight w:val="white"/>
        </w:rPr>
      </w:pPr>
      <w:r>
        <w:rPr>
          <w:rFonts w:ascii="Times New Roman" w:eastAsia="Times New Roman" w:hAnsi="Times New Roman" w:cs="Times New Roman"/>
          <w:noProof/>
          <w:color w:val="323232"/>
          <w:sz w:val="24"/>
          <w:szCs w:val="24"/>
          <w:highlight w:val="white"/>
        </w:rPr>
        <w:lastRenderedPageBreak/>
        <w:drawing>
          <wp:inline distT="114300" distB="114300" distL="114300" distR="114300">
            <wp:extent cx="5400000" cy="25527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818" t="30432" r="6553"/>
                    <a:stretch>
                      <a:fillRect/>
                    </a:stretch>
                  </pic:blipFill>
                  <pic:spPr>
                    <a:xfrm>
                      <a:off x="0" y="0"/>
                      <a:ext cx="5400000" cy="2552700"/>
                    </a:xfrm>
                    <a:prstGeom prst="rect">
                      <a:avLst/>
                    </a:prstGeom>
                    <a:ln/>
                  </pic:spPr>
                </pic:pic>
              </a:graphicData>
            </a:graphic>
          </wp:inline>
        </w:drawing>
      </w:r>
    </w:p>
    <w:p w:rsidR="009F7E70" w:rsidRDefault="0030406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Caption: The nodes represent authors, with their size indicating their relevance in the analysis. The proximity between nodes reflects the strength of their relationship. The connecting lines represent co-authorships, with thicker lines indicating a higher</w:t>
      </w:r>
      <w:r>
        <w:rPr>
          <w:rFonts w:ascii="Times New Roman" w:eastAsia="Times New Roman" w:hAnsi="Times New Roman" w:cs="Times New Roman"/>
          <w:sz w:val="24"/>
          <w:szCs w:val="24"/>
          <w:highlight w:val="white"/>
        </w:rPr>
        <w:t xml:space="preserve"> number of collaborations. Colored clusters represent groups of authors who collaborate more frequently with each other.</w:t>
      </w:r>
    </w:p>
    <w:p w:rsidR="009F7E70" w:rsidRDefault="009F7E70">
      <w:pPr>
        <w:spacing w:line="240" w:lineRule="auto"/>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rsidR="009F7E70" w:rsidRDefault="009F7E70">
      <w:pPr>
        <w:spacing w:line="480" w:lineRule="auto"/>
        <w:ind w:firstLine="720"/>
        <w:jc w:val="both"/>
        <w:rPr>
          <w:rFonts w:ascii="Times New Roman" w:eastAsia="Times New Roman" w:hAnsi="Times New Roman" w:cs="Times New Roman"/>
          <w:sz w:val="24"/>
          <w:szCs w:val="24"/>
        </w:rPr>
      </w:pPr>
    </w:p>
    <w:p w:rsidR="009F7E70" w:rsidRDefault="0030406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keywords bibliometric map consists of 168 nodes, 15 clusters, 1241 links, and a total link stren</w:t>
      </w:r>
      <w:r>
        <w:rPr>
          <w:rFonts w:ascii="Times New Roman" w:eastAsia="Times New Roman" w:hAnsi="Times New Roman" w:cs="Times New Roman"/>
          <w:sz w:val="24"/>
          <w:szCs w:val="24"/>
        </w:rPr>
        <w:t xml:space="preserve">gth of 136. The most frequently occurring keyword was “palliative care” with 20 occurrences, 111 links, a link strength of 20, and 2014.85 as the average year of publication. Following this, the word “dialysis” appears with 9 occurrences, 48 links, a link </w:t>
      </w:r>
      <w:r>
        <w:rPr>
          <w:rFonts w:ascii="Times New Roman" w:eastAsia="Times New Roman" w:hAnsi="Times New Roman" w:cs="Times New Roman"/>
          <w:sz w:val="24"/>
          <w:szCs w:val="24"/>
        </w:rPr>
        <w:t>strength of 9, and 2014.89 as the average year of publication. Lastly, the word “nephrology” occurs 7 times, has 32 links, a link strength of 7, and 2017.46 as the average year of publication (Figure 4).</w:t>
      </w:r>
    </w:p>
    <w:p w:rsidR="009F7E70" w:rsidRDefault="009F7E70">
      <w:pPr>
        <w:spacing w:line="480" w:lineRule="auto"/>
        <w:ind w:firstLine="720"/>
        <w:jc w:val="both"/>
        <w:rPr>
          <w:rFonts w:ascii="Times New Roman" w:eastAsia="Times New Roman" w:hAnsi="Times New Roman" w:cs="Times New Roman"/>
          <w:sz w:val="20"/>
          <w:szCs w:val="20"/>
          <w:highlight w:val="white"/>
        </w:rPr>
      </w:pP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4</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Bibliometric map of keyword co-occurr</w:t>
      </w:r>
      <w:r>
        <w:rPr>
          <w:rFonts w:ascii="Times New Roman" w:eastAsia="Times New Roman" w:hAnsi="Times New Roman" w:cs="Times New Roman"/>
          <w:sz w:val="24"/>
          <w:szCs w:val="24"/>
          <w:highlight w:val="white"/>
        </w:rPr>
        <w:t>ence</w:t>
      </w:r>
    </w:p>
    <w:p w:rsidR="009F7E70" w:rsidRDefault="0030406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noProof/>
          <w:color w:val="323232"/>
          <w:sz w:val="24"/>
          <w:szCs w:val="24"/>
          <w:highlight w:val="white"/>
        </w:rPr>
        <w:lastRenderedPageBreak/>
        <w:drawing>
          <wp:inline distT="114300" distB="114300" distL="114300" distR="114300">
            <wp:extent cx="5400000" cy="31750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6497" r="728"/>
                    <a:stretch>
                      <a:fillRect/>
                    </a:stretch>
                  </pic:blipFill>
                  <pic:spPr>
                    <a:xfrm>
                      <a:off x="0" y="0"/>
                      <a:ext cx="5400000" cy="3175000"/>
                    </a:xfrm>
                    <a:prstGeom prst="rect">
                      <a:avLst/>
                    </a:prstGeom>
                    <a:ln/>
                  </pic:spPr>
                </pic:pic>
              </a:graphicData>
            </a:graphic>
          </wp:inline>
        </w:drawing>
      </w:r>
    </w:p>
    <w:p w:rsidR="009F7E70" w:rsidRDefault="0030406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Caption: Each node represents a keyword, with its size indicating frequency and proximity reflecting the strength of its association. The lines represent co-occurrence in the articles, with thicker lines indicating a higher number of joint appearanc</w:t>
      </w:r>
      <w:r>
        <w:rPr>
          <w:rFonts w:ascii="Times New Roman" w:eastAsia="Times New Roman" w:hAnsi="Times New Roman" w:cs="Times New Roman"/>
          <w:sz w:val="24"/>
          <w:szCs w:val="24"/>
          <w:highlight w:val="white"/>
        </w:rPr>
        <w:t>es. The color of each node represents the average publication year in which the keyword appears, highlighting temporal trends in term usage.</w:t>
      </w:r>
    </w:p>
    <w:p w:rsidR="009F7E70" w:rsidRDefault="009F7E70">
      <w:pPr>
        <w:spacing w:line="240" w:lineRule="auto"/>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rsidR="009F7E70" w:rsidRDefault="009F7E70">
      <w:pPr>
        <w:spacing w:line="480" w:lineRule="auto"/>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co-citation map is structured by 20 nodes, 4 clusters, 190 links, and a tota</w:t>
      </w:r>
      <w:r>
        <w:rPr>
          <w:rFonts w:ascii="Times New Roman" w:eastAsia="Times New Roman" w:hAnsi="Times New Roman" w:cs="Times New Roman"/>
          <w:sz w:val="24"/>
          <w:szCs w:val="24"/>
          <w:highlight w:val="white"/>
        </w:rPr>
        <w:t>l link strength of 401.97. The featured author was Alvin H. Moss with 115 citations, 2 clusters, 19 links, and a total link strength of 100.47, followed by Sara N. Davison (H-index = 42), the first most cited author with 110 citations and a total link stre</w:t>
      </w:r>
      <w:r>
        <w:rPr>
          <w:rFonts w:ascii="Times New Roman" w:eastAsia="Times New Roman" w:hAnsi="Times New Roman" w:cs="Times New Roman"/>
          <w:sz w:val="24"/>
          <w:szCs w:val="24"/>
          <w:highlight w:val="white"/>
        </w:rPr>
        <w:t xml:space="preserve">ngth of 94.12 (Figure 5). </w:t>
      </w: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9F7E70">
      <w:pPr>
        <w:spacing w:line="480" w:lineRule="auto"/>
        <w:rPr>
          <w:rFonts w:ascii="Times New Roman" w:eastAsia="Times New Roman" w:hAnsi="Times New Roman" w:cs="Times New Roman"/>
          <w:sz w:val="24"/>
          <w:szCs w:val="24"/>
          <w:highlight w:val="white"/>
        </w:rPr>
      </w:pPr>
    </w:p>
    <w:p w:rsidR="009F7E70" w:rsidRDefault="0030406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5</w:t>
      </w:r>
      <w:r w:rsidR="006547D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Bibliometric map of co-citation</w:t>
      </w:r>
    </w:p>
    <w:p w:rsidR="009F7E70" w:rsidRDefault="00304066">
      <w:pPr>
        <w:spacing w:line="240" w:lineRule="auto"/>
        <w:rPr>
          <w:rFonts w:ascii="Times New Roman" w:eastAsia="Times New Roman" w:hAnsi="Times New Roman" w:cs="Times New Roman"/>
          <w:b/>
          <w:color w:val="323232"/>
          <w:sz w:val="24"/>
          <w:szCs w:val="24"/>
          <w:highlight w:val="white"/>
        </w:rPr>
      </w:pPr>
      <w:r>
        <w:rPr>
          <w:rFonts w:ascii="Times New Roman" w:eastAsia="Times New Roman" w:hAnsi="Times New Roman" w:cs="Times New Roman"/>
          <w:b/>
          <w:noProof/>
          <w:color w:val="323232"/>
          <w:sz w:val="24"/>
          <w:szCs w:val="24"/>
          <w:highlight w:val="white"/>
        </w:rPr>
        <w:drawing>
          <wp:inline distT="114300" distB="114300" distL="114300" distR="114300">
            <wp:extent cx="5400000" cy="3479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863" t="5973" r="7575"/>
                    <a:stretch>
                      <a:fillRect/>
                    </a:stretch>
                  </pic:blipFill>
                  <pic:spPr>
                    <a:xfrm>
                      <a:off x="0" y="0"/>
                      <a:ext cx="5400000" cy="3479800"/>
                    </a:xfrm>
                    <a:prstGeom prst="rect">
                      <a:avLst/>
                    </a:prstGeom>
                    <a:ln/>
                  </pic:spPr>
                </pic:pic>
              </a:graphicData>
            </a:graphic>
          </wp:inline>
        </w:drawing>
      </w:r>
    </w:p>
    <w:p w:rsidR="009F7E70" w:rsidRDefault="009F7E70">
      <w:pPr>
        <w:spacing w:line="240" w:lineRule="auto"/>
        <w:rPr>
          <w:rFonts w:ascii="Times New Roman" w:eastAsia="Times New Roman" w:hAnsi="Times New Roman" w:cs="Times New Roman"/>
          <w:color w:val="323232"/>
          <w:sz w:val="24"/>
          <w:szCs w:val="24"/>
          <w:highlight w:val="white"/>
        </w:rPr>
      </w:pPr>
    </w:p>
    <w:p w:rsidR="009F7E70" w:rsidRDefault="00304066">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Caption: The nodes represent authors, with their size indicating the frequency of co-citation. The proximity between nodes reflects the strength of their relationship. The lines indicate co-citation links, with thicker lines representing a higher number of</w:t>
      </w:r>
      <w:r>
        <w:rPr>
          <w:rFonts w:ascii="Times New Roman" w:eastAsia="Times New Roman" w:hAnsi="Times New Roman" w:cs="Times New Roman"/>
          <w:sz w:val="24"/>
          <w:szCs w:val="24"/>
          <w:highlight w:val="white"/>
        </w:rPr>
        <w:t xml:space="preserve"> joint citations. Colored clusters represent themes or subfields within the research area.</w:t>
      </w:r>
    </w:p>
    <w:p w:rsidR="009F7E70" w:rsidRDefault="009F7E70">
      <w:pPr>
        <w:spacing w:line="240" w:lineRule="auto"/>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rsidR="009F7E70" w:rsidRDefault="009F7E70">
      <w:pPr>
        <w:spacing w:line="480" w:lineRule="auto"/>
        <w:ind w:firstLine="720"/>
        <w:jc w:val="both"/>
        <w:rPr>
          <w:rFonts w:ascii="Times New Roman" w:eastAsia="Times New Roman" w:hAnsi="Times New Roman" w:cs="Times New Roman"/>
          <w:sz w:val="24"/>
          <w:szCs w:val="24"/>
        </w:rPr>
      </w:pPr>
    </w:p>
    <w:p w:rsidR="009F7E70" w:rsidRDefault="00304066">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DISCUSSION</w:t>
      </w:r>
    </w:p>
    <w:p w:rsidR="009F7E70" w:rsidRDefault="00304066">
      <w:pPr>
        <w:spacing w:line="480" w:lineRule="auto"/>
        <w:ind w:firstLine="720"/>
        <w:jc w:val="both"/>
        <w:rPr>
          <w:rFonts w:ascii="Roboto" w:eastAsia="Roboto" w:hAnsi="Roboto" w:cs="Roboto"/>
          <w:color w:val="1C1C1C"/>
          <w:sz w:val="21"/>
          <w:szCs w:val="21"/>
          <w:highlight w:val="white"/>
        </w:rPr>
      </w:pPr>
      <w:r>
        <w:rPr>
          <w:rFonts w:ascii="Times New Roman" w:eastAsia="Times New Roman" w:hAnsi="Times New Roman" w:cs="Times New Roman"/>
          <w:sz w:val="24"/>
          <w:szCs w:val="24"/>
          <w:highlight w:val="white"/>
        </w:rPr>
        <w:t>North America has the highest number of publications and citations, with a significant contribution from the USA to research on palliative care in nephrology. This result reinforces previous bibliometric analyses in other themes within this area, which des</w:t>
      </w:r>
      <w:r>
        <w:rPr>
          <w:rFonts w:ascii="Times New Roman" w:eastAsia="Times New Roman" w:hAnsi="Times New Roman" w:cs="Times New Roman"/>
          <w:sz w:val="24"/>
          <w:szCs w:val="24"/>
          <w:highlight w:val="white"/>
        </w:rPr>
        <w:t>cribe the USA and China alternating as leaders in productivity (10-14). Data from the Scimago Journal and Country Rank (</w:t>
      </w:r>
      <w:hyperlink r:id="rId13">
        <w:r>
          <w:rPr>
            <w:rFonts w:ascii="Times New Roman" w:eastAsia="Times New Roman" w:hAnsi="Times New Roman" w:cs="Times New Roman"/>
            <w:sz w:val="24"/>
            <w:szCs w:val="24"/>
            <w:highlight w:val="white"/>
            <w:u w:val="single"/>
          </w:rPr>
          <w:t>https://www.scimagojr.com/countryrank.php</w:t>
        </w:r>
      </w:hyperlink>
      <w:r>
        <w:rPr>
          <w:rFonts w:ascii="Times New Roman" w:eastAsia="Times New Roman" w:hAnsi="Times New Roman" w:cs="Times New Roman"/>
          <w:sz w:val="24"/>
          <w:szCs w:val="24"/>
          <w:highlight w:val="white"/>
        </w:rPr>
        <w:t>), covering 1996 to 2023, indicate</w:t>
      </w:r>
      <w:r>
        <w:rPr>
          <w:rFonts w:ascii="Times New Roman" w:eastAsia="Times New Roman" w:hAnsi="Times New Roman" w:cs="Times New Roman"/>
          <w:sz w:val="24"/>
          <w:szCs w:val="24"/>
          <w:highlight w:val="white"/>
        </w:rPr>
        <w:t xml:space="preserve">s that the USA has consistently held the top position in scientific publications and citations in nephrology. And, this dominance extends beyond the specialty into the broader medical literature.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Despite opportunities and scenarios for research with direc</w:t>
      </w:r>
      <w:r>
        <w:rPr>
          <w:rFonts w:ascii="Times New Roman" w:eastAsia="Times New Roman" w:hAnsi="Times New Roman" w:cs="Times New Roman"/>
          <w:sz w:val="24"/>
          <w:szCs w:val="24"/>
          <w:highlight w:val="white"/>
        </w:rPr>
        <w:t>t population impact, low-income countries face challenges in scientific production, including insufficient training and education in medical research, limited funding, and scarce infrastructure (15). This disparity is reflected in global scientific collabo</w:t>
      </w:r>
      <w:r>
        <w:rPr>
          <w:rFonts w:ascii="Times New Roman" w:eastAsia="Times New Roman" w:hAnsi="Times New Roman" w:cs="Times New Roman"/>
          <w:sz w:val="24"/>
          <w:szCs w:val="24"/>
          <w:highlight w:val="white"/>
        </w:rPr>
        <w:t>ration, where high-income countries dominate academic production. According to data from the Nature Index (16), only 24 of 500.000 available articles involve collaborations from authors of low-income countries. This aligns with our finding that 98% of arti</w:t>
      </w:r>
      <w:r>
        <w:rPr>
          <w:rFonts w:ascii="Times New Roman" w:eastAsia="Times New Roman" w:hAnsi="Times New Roman" w:cs="Times New Roman"/>
          <w:sz w:val="24"/>
          <w:szCs w:val="24"/>
          <w:highlight w:val="white"/>
        </w:rPr>
        <w:t xml:space="preserve">cles and 97.11% of citations are from high-income nations.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Moreover, resource limitations justify the need for optimization efforts in these countries, making evidence generation important for assessing strategy costs, benefits, and potential outcomes (17</w:t>
      </w:r>
      <w:r>
        <w:rPr>
          <w:rFonts w:ascii="Times New Roman" w:eastAsia="Times New Roman" w:hAnsi="Times New Roman" w:cs="Times New Roman"/>
          <w:sz w:val="24"/>
          <w:szCs w:val="24"/>
          <w:highlight w:val="white"/>
        </w:rPr>
        <w:t xml:space="preserve">). However, this manuscript highlights the limited scientific production from low-income countries, harming the effectiveness of public policies in this area.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literature of renal support care is relatively recent, with its theoretical origins dating b</w:t>
      </w:r>
      <w:r>
        <w:rPr>
          <w:rFonts w:ascii="Times New Roman" w:eastAsia="Times New Roman" w:hAnsi="Times New Roman" w:cs="Times New Roman"/>
          <w:sz w:val="24"/>
          <w:szCs w:val="24"/>
          <w:highlight w:val="white"/>
        </w:rPr>
        <w:t>ack to the 1980s. Nonetheless,  the discussion about palliative care in nephrology turned effective just after 2000 (1). Consequently, most articles in this field were published after 2000, with 3508 of 3539 citations in this period, and the most common ke</w:t>
      </w:r>
      <w:r>
        <w:rPr>
          <w:rFonts w:ascii="Times New Roman" w:eastAsia="Times New Roman" w:hAnsi="Times New Roman" w:cs="Times New Roman"/>
          <w:sz w:val="24"/>
          <w:szCs w:val="24"/>
          <w:highlight w:val="white"/>
        </w:rPr>
        <w:t xml:space="preserve">ywords have an average publication year around 2014.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Patients with advanced CKD experience numerous symptoms, including psychological disturbances related to the disease. These include fatigue (71%), itch (55%), pain (47%), anxiety (38%), depression (27%)</w:t>
      </w:r>
      <w:r>
        <w:rPr>
          <w:rFonts w:ascii="Times New Roman" w:eastAsia="Times New Roman" w:hAnsi="Times New Roman" w:cs="Times New Roman"/>
          <w:sz w:val="24"/>
          <w:szCs w:val="24"/>
          <w:highlight w:val="white"/>
        </w:rPr>
        <w:t xml:space="preserve">, dyspnea (35%), and others (18). Regarding these conditions, most studies focus on symptom control or prevalence and decision-making in substitutive renal therapy.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Evaluating an author's productivity using metrics is a complex task that requires differen</w:t>
      </w:r>
      <w:r>
        <w:rPr>
          <w:rFonts w:ascii="Times New Roman" w:eastAsia="Times New Roman" w:hAnsi="Times New Roman" w:cs="Times New Roman"/>
          <w:sz w:val="24"/>
          <w:szCs w:val="24"/>
          <w:highlight w:val="white"/>
        </w:rPr>
        <w:t>t analyses, avoiding a single criterion. The h-index, developed by Jorge E. Hirsch in 2005, is a tool with advantages compared to other bibliometric indices for combining impact and productivity. However, its values can be influenced by factors such as are</w:t>
      </w:r>
      <w:r>
        <w:rPr>
          <w:rFonts w:ascii="Times New Roman" w:eastAsia="Times New Roman" w:hAnsi="Times New Roman" w:cs="Times New Roman"/>
          <w:sz w:val="24"/>
          <w:szCs w:val="24"/>
          <w:highlight w:val="white"/>
        </w:rPr>
        <w:t xml:space="preserve">a of </w:t>
      </w:r>
      <w:r>
        <w:rPr>
          <w:rFonts w:ascii="Times New Roman" w:eastAsia="Times New Roman" w:hAnsi="Times New Roman" w:cs="Times New Roman"/>
          <w:sz w:val="24"/>
          <w:szCs w:val="24"/>
          <w:highlight w:val="white"/>
        </w:rPr>
        <w:lastRenderedPageBreak/>
        <w:t>research and career duration, and researchers from life sciences generally have the highest ones (19). Among the most cited authors, two presented a h-index superior to 50: Ann M. O’Hare (h-index = 58) and Mark A. Brown (h-index = 54). The co-authorsh</w:t>
      </w:r>
      <w:r>
        <w:rPr>
          <w:rFonts w:ascii="Times New Roman" w:eastAsia="Times New Roman" w:hAnsi="Times New Roman" w:cs="Times New Roman"/>
          <w:sz w:val="24"/>
          <w:szCs w:val="24"/>
          <w:highlight w:val="white"/>
        </w:rPr>
        <w:t xml:space="preserve">ip and co-citation maps analysis demonstrated a dispersed collaboration network, with a concentration in a few influential authors. This conclusion can be justified by the research area still being in development.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scientometric study conducted by Anna</w:t>
      </w:r>
      <w:r>
        <w:rPr>
          <w:rFonts w:ascii="Times New Roman" w:eastAsia="Times New Roman" w:hAnsi="Times New Roman" w:cs="Times New Roman"/>
          <w:sz w:val="24"/>
          <w:szCs w:val="24"/>
          <w:highlight w:val="white"/>
        </w:rPr>
        <w:t>lingam et al in 2014 evaluated 768 articles from biomedical science and described that the probability of a paper being cited is influenced by factors such as the methodology used and the journal impact factor. In addition, studies based on secondary resea</w:t>
      </w:r>
      <w:r>
        <w:rPr>
          <w:rFonts w:ascii="Times New Roman" w:eastAsia="Times New Roman" w:hAnsi="Times New Roman" w:cs="Times New Roman"/>
          <w:sz w:val="24"/>
          <w:szCs w:val="24"/>
          <w:highlight w:val="white"/>
        </w:rPr>
        <w:t>rch had fewer articles, but more citations (20). Comparatively, in this study, articles based on primary data predominated in the number of articles and citations, with those based on secondary data represented only by narrative reviews, a methodology that</w:t>
      </w:r>
      <w:r>
        <w:rPr>
          <w:rFonts w:ascii="Times New Roman" w:eastAsia="Times New Roman" w:hAnsi="Times New Roman" w:cs="Times New Roman"/>
          <w:sz w:val="24"/>
          <w:szCs w:val="24"/>
          <w:highlight w:val="white"/>
        </w:rPr>
        <w:t xml:space="preserve"> is more susceptible to biases. However, frequent in some fields of research for motives as analysis of concepts in evolution with more flexibility (21).</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Bibliometric studies on various nephrologic conditions indicate that most journals have an impact fact</w:t>
      </w:r>
      <w:r>
        <w:rPr>
          <w:rFonts w:ascii="Times New Roman" w:eastAsia="Times New Roman" w:hAnsi="Times New Roman" w:cs="Times New Roman"/>
          <w:sz w:val="24"/>
          <w:szCs w:val="24"/>
          <w:highlight w:val="white"/>
        </w:rPr>
        <w:t>or (IF) below 10 (10, 22-24). In this analysis, only the American Journal of Kidney Diseases presented an impact factor higher than this value, and the 5-year impact factors from all the journals in this manuscript were lower than this. The impact factor i</w:t>
      </w:r>
      <w:r>
        <w:rPr>
          <w:rFonts w:ascii="Times New Roman" w:eastAsia="Times New Roman" w:hAnsi="Times New Roman" w:cs="Times New Roman"/>
          <w:sz w:val="24"/>
          <w:szCs w:val="24"/>
          <w:highlight w:val="white"/>
        </w:rPr>
        <w:t xml:space="preserve">s a metric to assess the quality of scientific journals, the papers published within them, and the authors associated. Journals with greater IF tend to gain more relevance in the scientific community, despite the limitations inherent to the metric (25). </w:t>
      </w:r>
    </w:p>
    <w:p w:rsidR="009F7E70" w:rsidRDefault="00304066">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has limitations that should be considered when interpreting the results. The most recent published articles may show a lower number of citations simply due to their shorter publication duration. Additionally, the analysis was based only on data </w:t>
      </w:r>
      <w:r>
        <w:rPr>
          <w:rFonts w:ascii="Times New Roman" w:eastAsia="Times New Roman" w:hAnsi="Times New Roman" w:cs="Times New Roman"/>
          <w:sz w:val="24"/>
          <w:szCs w:val="24"/>
          <w:highlight w:val="white"/>
        </w:rPr>
        <w:t xml:space="preserve">related to the first and last authors, which may influence certain classifications by neglecting the co-authors' information. Moreover,  the SCOPUS (Elsevier) database was </w:t>
      </w:r>
      <w:r>
        <w:rPr>
          <w:rFonts w:ascii="Times New Roman" w:eastAsia="Times New Roman" w:hAnsi="Times New Roman" w:cs="Times New Roman"/>
          <w:sz w:val="24"/>
          <w:szCs w:val="24"/>
          <w:highlight w:val="white"/>
        </w:rPr>
        <w:lastRenderedPageBreak/>
        <w:t>used for the data extraction instead of others like Web of Science, PubMed, and Goog</w:t>
      </w:r>
      <w:r>
        <w:rPr>
          <w:rFonts w:ascii="Times New Roman" w:eastAsia="Times New Roman" w:hAnsi="Times New Roman" w:cs="Times New Roman"/>
          <w:sz w:val="24"/>
          <w:szCs w:val="24"/>
          <w:highlight w:val="white"/>
        </w:rPr>
        <w:t>le Scholar. This choice was based on the superposition of titles, broader coverage of journals, rigorous publication selection, and the presence in previous bibliometric analysis (26,27). However, one isolated database may result in influential articles be</w:t>
      </w:r>
      <w:r>
        <w:rPr>
          <w:rFonts w:ascii="Times New Roman" w:eastAsia="Times New Roman" w:hAnsi="Times New Roman" w:cs="Times New Roman"/>
          <w:sz w:val="24"/>
          <w:szCs w:val="24"/>
          <w:highlight w:val="white"/>
        </w:rPr>
        <w:t>ing excluded from the analysis and impact metrics such as citation counts.</w:t>
      </w:r>
    </w:p>
    <w:p w:rsidR="009F7E70" w:rsidRDefault="009F7E70">
      <w:pPr>
        <w:spacing w:line="480" w:lineRule="auto"/>
        <w:ind w:firstLine="720"/>
        <w:jc w:val="both"/>
        <w:rPr>
          <w:rFonts w:ascii="Times New Roman" w:eastAsia="Times New Roman" w:hAnsi="Times New Roman" w:cs="Times New Roman"/>
          <w:sz w:val="24"/>
          <w:szCs w:val="24"/>
          <w:highlight w:val="white"/>
        </w:rPr>
      </w:pPr>
    </w:p>
    <w:p w:rsidR="009F7E70" w:rsidRDefault="009F7E70">
      <w:pPr>
        <w:spacing w:line="480" w:lineRule="auto"/>
        <w:jc w:val="both"/>
        <w:rPr>
          <w:rFonts w:ascii="Times New Roman" w:eastAsia="Times New Roman" w:hAnsi="Times New Roman" w:cs="Times New Roman"/>
          <w:sz w:val="24"/>
          <w:szCs w:val="24"/>
          <w:highlight w:val="white"/>
        </w:rPr>
      </w:pPr>
    </w:p>
    <w:p w:rsidR="009F7E70" w:rsidRDefault="00304066">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CONCLUSION</w:t>
      </w:r>
    </w:p>
    <w:p w:rsidR="009F7E70" w:rsidRDefault="00304066">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mapped the scientometric data from the most influential articles in the intersection of nephrology and palliative care, which demonstrated to be a recent and</w:t>
      </w:r>
      <w:r>
        <w:rPr>
          <w:rFonts w:ascii="Times New Roman" w:eastAsia="Times New Roman" w:hAnsi="Times New Roman" w:cs="Times New Roman"/>
          <w:sz w:val="24"/>
          <w:szCs w:val="24"/>
          <w:highlight w:val="white"/>
        </w:rPr>
        <w:t xml:space="preserve"> developing research field. The area is </w:t>
      </w:r>
      <w:r>
        <w:rPr>
          <w:rFonts w:ascii="Times New Roman" w:eastAsia="Times New Roman" w:hAnsi="Times New Roman" w:cs="Times New Roman"/>
          <w:color w:val="0E101A"/>
          <w:sz w:val="24"/>
          <w:szCs w:val="24"/>
          <w:highlight w:val="white"/>
        </w:rPr>
        <w:t>primarily centered in high-income countries, particularly</w:t>
      </w:r>
      <w:r>
        <w:rPr>
          <w:rFonts w:ascii="Times New Roman" w:eastAsia="Times New Roman" w:hAnsi="Times New Roman" w:cs="Times New Roman"/>
          <w:color w:val="0E101A"/>
          <w:sz w:val="24"/>
          <w:szCs w:val="24"/>
        </w:rPr>
        <w:t xml:space="preserve"> the USA, with no representation of low-income countries. Most articles are based on primary research and are more commonly published in nephrology journals, w</w:t>
      </w:r>
      <w:r>
        <w:rPr>
          <w:rFonts w:ascii="Times New Roman" w:eastAsia="Times New Roman" w:hAnsi="Times New Roman" w:cs="Times New Roman"/>
          <w:color w:val="0E101A"/>
          <w:sz w:val="24"/>
          <w:szCs w:val="24"/>
        </w:rPr>
        <w:t xml:space="preserve">ith “symptom control or prevalence” and “decision making about renal substitutive therapy” as their main themes. </w:t>
      </w:r>
      <w:r>
        <w:rPr>
          <w:rFonts w:ascii="Times New Roman" w:eastAsia="Times New Roman" w:hAnsi="Times New Roman" w:cs="Times New Roman"/>
          <w:sz w:val="24"/>
          <w:szCs w:val="24"/>
          <w:highlight w:val="white"/>
        </w:rPr>
        <w:t xml:space="preserve">The lack of biomedical research from low-income nations impact the correct comprehension of pathologies and restrict interventions and improvements in their healthcare system. </w:t>
      </w:r>
    </w:p>
    <w:p w:rsidR="009F7E70" w:rsidRDefault="009F7E70">
      <w:pPr>
        <w:spacing w:line="480" w:lineRule="auto"/>
        <w:jc w:val="both"/>
        <w:rPr>
          <w:rFonts w:ascii="Times New Roman" w:eastAsia="Times New Roman" w:hAnsi="Times New Roman" w:cs="Times New Roman"/>
          <w:b/>
          <w:sz w:val="24"/>
          <w:szCs w:val="24"/>
          <w:highlight w:val="white"/>
        </w:rPr>
      </w:pPr>
    </w:p>
    <w:p w:rsidR="006547DA" w:rsidRPr="006547DA" w:rsidRDefault="006547DA" w:rsidP="006547DA">
      <w:pPr>
        <w:spacing w:line="480" w:lineRule="auto"/>
        <w:jc w:val="both"/>
        <w:rPr>
          <w:rFonts w:ascii="Times New Roman" w:eastAsia="Times New Roman" w:hAnsi="Times New Roman" w:cs="Times New Roman"/>
          <w:b/>
          <w:sz w:val="24"/>
          <w:szCs w:val="24"/>
        </w:rPr>
      </w:pPr>
      <w:r w:rsidRPr="006547DA">
        <w:rPr>
          <w:rFonts w:ascii="Times New Roman" w:eastAsia="Times New Roman" w:hAnsi="Times New Roman" w:cs="Times New Roman"/>
          <w:b/>
          <w:sz w:val="24"/>
          <w:szCs w:val="24"/>
        </w:rPr>
        <w:t>Disclaimer (Artificial intelligence)</w:t>
      </w:r>
    </w:p>
    <w:p w:rsidR="006547DA" w:rsidRPr="006547DA" w:rsidRDefault="006547DA" w:rsidP="006547DA">
      <w:pPr>
        <w:spacing w:line="480" w:lineRule="auto"/>
        <w:jc w:val="both"/>
        <w:rPr>
          <w:rFonts w:ascii="Times New Roman" w:eastAsia="Times New Roman" w:hAnsi="Times New Roman" w:cs="Times New Roman"/>
          <w:b/>
          <w:sz w:val="24"/>
          <w:szCs w:val="24"/>
        </w:rPr>
      </w:pPr>
      <w:r w:rsidRPr="006547DA">
        <w:rPr>
          <w:rFonts w:ascii="Times New Roman" w:eastAsia="Times New Roman" w:hAnsi="Times New Roman" w:cs="Times New Roman"/>
          <w:b/>
          <w:sz w:val="24"/>
          <w:szCs w:val="24"/>
        </w:rPr>
        <w:t xml:space="preserve">Option 1: </w:t>
      </w:r>
    </w:p>
    <w:p w:rsidR="009F7E70" w:rsidRDefault="006547DA" w:rsidP="006547DA">
      <w:pPr>
        <w:spacing w:line="480" w:lineRule="auto"/>
        <w:jc w:val="both"/>
        <w:rPr>
          <w:rFonts w:ascii="Times New Roman" w:eastAsia="Times New Roman" w:hAnsi="Times New Roman" w:cs="Times New Roman"/>
          <w:b/>
          <w:sz w:val="24"/>
          <w:szCs w:val="24"/>
        </w:rPr>
      </w:pPr>
      <w:r w:rsidRPr="006547DA">
        <w:rPr>
          <w:rFonts w:ascii="Times New Roman" w:eastAsia="Times New Roman" w:hAnsi="Times New Roman" w:cs="Times New Roman"/>
          <w:b/>
          <w:sz w:val="24"/>
          <w:szCs w:val="24"/>
        </w:rPr>
        <w:t>Author(s) hereby declare that NO generative AI technologies such as Large Language Models (ChatGPT, COPILOT, etc.) and text-to-image generators have been used during the writing or editing of this manuscript.</w:t>
      </w:r>
    </w:p>
    <w:p w:rsidR="006547DA" w:rsidRDefault="006547DA" w:rsidP="006547DA">
      <w:pPr>
        <w:spacing w:line="48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w:t>
      </w:r>
    </w:p>
    <w:p w:rsidR="009F7E70" w:rsidRDefault="009F7E70">
      <w:pPr>
        <w:spacing w:line="360" w:lineRule="auto"/>
        <w:jc w:val="both"/>
        <w:rPr>
          <w:rFonts w:ascii="Times New Roman" w:eastAsia="Times New Roman" w:hAnsi="Times New Roman" w:cs="Times New Roman"/>
          <w:b/>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Tavares APS, Silva JV, Lima Neto PL, Bessa AM, Araujo SML, Lima FET, et al. Cuidados de suporte renal: uma atualização da situação atual dos cuidados paliativos em pacientes com DRC. Braz J </w:t>
      </w:r>
      <w:r>
        <w:rPr>
          <w:rFonts w:ascii="Times New Roman" w:eastAsia="Times New Roman" w:hAnsi="Times New Roman" w:cs="Times New Roman"/>
          <w:sz w:val="24"/>
          <w:szCs w:val="24"/>
          <w:highlight w:val="white"/>
        </w:rPr>
        <w:t>Nephrol. 2020;43:74–87.</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Kidney Disease: Improving Global Outcomes (KDIGO). KDIGO 2024 Clinical Practice Guideline for the Management of Chronic Kidney Disease [Internet]. Kidney Int Suppl. 2024 [cited 2024 Nov 23]. Available from: https://kdigo.org</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Axels</w:t>
      </w:r>
      <w:r>
        <w:rPr>
          <w:rFonts w:ascii="Times New Roman" w:eastAsia="Times New Roman" w:hAnsi="Times New Roman" w:cs="Times New Roman"/>
          <w:sz w:val="24"/>
          <w:szCs w:val="24"/>
          <w:highlight w:val="white"/>
        </w:rPr>
        <w:t>son L, Benzein E, Lindberg J, Persson C. End-of-life and palliative care of patients on maintenance hemodialysis treatment: a focus group study. BMC Palliat Care. 2019;18(1):76. doi:10.1186/s12904-019-0481-y</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Saeed F, Sardar MA, Davison SN, Murad H, Dubers</w:t>
      </w:r>
      <w:r>
        <w:rPr>
          <w:rFonts w:ascii="Times New Roman" w:eastAsia="Times New Roman" w:hAnsi="Times New Roman" w:cs="Times New Roman"/>
          <w:sz w:val="24"/>
          <w:szCs w:val="24"/>
          <w:highlight w:val="white"/>
        </w:rPr>
        <w:t>tein PR, Quill TE. Patients’ perspectives on dialysis decision-making and end-of-life care. Clin Nephrol. 2019;91(5):294–300. doi:10.5414/cn109608</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Combs SA, Culp S, Matlock DD, Kutner JS, Holley JL, Moss AH. Update on end-of-life care training during neph</w:t>
      </w:r>
      <w:r>
        <w:rPr>
          <w:rFonts w:ascii="Times New Roman" w:eastAsia="Times New Roman" w:hAnsi="Times New Roman" w:cs="Times New Roman"/>
          <w:sz w:val="24"/>
          <w:szCs w:val="24"/>
          <w:highlight w:val="white"/>
        </w:rPr>
        <w:t>rology fellowship: a cross-sectional national survey of fellows. Am J Kidney Dis. 2015;65(2):233–9. doi:10.1053/j.ajkd.2014.07.018</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Davison SN, Levin A, Moss AH, Jha V, Brown EA, Brennan F, et al. Executive summary of the KDIGO Controversies Conference on </w:t>
      </w:r>
      <w:r>
        <w:rPr>
          <w:rFonts w:ascii="Times New Roman" w:eastAsia="Times New Roman" w:hAnsi="Times New Roman" w:cs="Times New Roman"/>
          <w:sz w:val="24"/>
          <w:szCs w:val="24"/>
          <w:highlight w:val="white"/>
        </w:rPr>
        <w:t>Supportive Care in Chronic Kidney Disease: developing a roadmap to improving quality care. Kidney Int. 2015;88(3):447–59. doi:10.1038/ki.2015.110</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Ioannidis JPA. Meta-research: why research on research matters. PLoS Biol. 2018;16(3):e2005468. doi:10.1371/j</w:t>
      </w:r>
      <w:r>
        <w:rPr>
          <w:rFonts w:ascii="Times New Roman" w:eastAsia="Times New Roman" w:hAnsi="Times New Roman" w:cs="Times New Roman"/>
          <w:sz w:val="24"/>
          <w:szCs w:val="24"/>
          <w:highlight w:val="white"/>
        </w:rPr>
        <w:t>ournal.pbio.2005468</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Zupic I, Čater T. Bibliometric methods in management and organization. Organ Res Methods. 2015;18(3):429–72. doi:10.1177/1094428114562629</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Van Eck NJ, Waltman L. VOSviewer manual [Internet]. Leiden: Centre for Science and Technology Studies, Leiden University; 2023 [cited 2024 Nov 23]. Available from: https://www.vosviewer.com/documentation/Manual_VOSviewer_1.6.19.pdf</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Qi J, Wu T, Wang J, Zha</w:t>
      </w:r>
      <w:r>
        <w:rPr>
          <w:rFonts w:ascii="Times New Roman" w:eastAsia="Times New Roman" w:hAnsi="Times New Roman" w:cs="Times New Roman"/>
          <w:sz w:val="24"/>
          <w:szCs w:val="24"/>
          <w:highlight w:val="white"/>
        </w:rPr>
        <w:t>ng J, Chen L, Jiang Z, et al. Research trends and frontiers in lupus nephritis: a bibliometric analysis from 2012 to 2022. Int Urol Nephrol. 2023;56(2):781–94. doi:10.1007/s11255-023-03715-w</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J, Wang X, Cai X, Pan D. Global trends and hotspots in IgA </w:t>
      </w:r>
      <w:r>
        <w:rPr>
          <w:rFonts w:ascii="Times New Roman" w:eastAsia="Times New Roman" w:hAnsi="Times New Roman" w:cs="Times New Roman"/>
          <w:sz w:val="24"/>
          <w:szCs w:val="24"/>
          <w:highlight w:val="white"/>
        </w:rPr>
        <w:t>nephropathy: a bibliometric analysis and knowledge map visualization from 2012 to 2023. Int Urol Nephrol. 2023;55(12):3197–207. doi:10.1007/s11255-023-03598-x</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Yin T, Chen Y, Tang L, Yuan H, Zeng X, Fu P. Relationship between modifiable lifestyle factors a</w:t>
      </w:r>
      <w:r>
        <w:rPr>
          <w:rFonts w:ascii="Times New Roman" w:eastAsia="Times New Roman" w:hAnsi="Times New Roman" w:cs="Times New Roman"/>
          <w:sz w:val="24"/>
          <w:szCs w:val="24"/>
          <w:highlight w:val="white"/>
        </w:rPr>
        <w:t>nd chronic kidney disease: a bibliometric analysis of top-cited publications from 2011 to 2020. BMC Nephrol. 2022;23(1):1. doi:10.1186/s12882-022-02745-3</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Wei Y, Jiang Z. The evolution and future of diabetic kidney disease research: a bibliometric analysis</w:t>
      </w:r>
      <w:r>
        <w:rPr>
          <w:rFonts w:ascii="Times New Roman" w:eastAsia="Times New Roman" w:hAnsi="Times New Roman" w:cs="Times New Roman"/>
          <w:sz w:val="24"/>
          <w:szCs w:val="24"/>
          <w:highlight w:val="white"/>
        </w:rPr>
        <w:t>. BMC Nephrol. 2021;22(1):1. doi:10.1186/s12882-021-02369-z</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Park S, Park BS, Lee YJ, Kim IH, Park JH, Ko J, et al. Artificial intelligence with kidney disease. Medicine (Baltimore). 2021;100(14):e25422. doi:10.1097/MD.0000000000025422</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Rahman MM, Ghoshal </w:t>
      </w:r>
      <w:r>
        <w:rPr>
          <w:rFonts w:ascii="Times New Roman" w:eastAsia="Times New Roman" w:hAnsi="Times New Roman" w:cs="Times New Roman"/>
          <w:sz w:val="24"/>
          <w:szCs w:val="24"/>
          <w:highlight w:val="white"/>
        </w:rPr>
        <w:t>UC, Ragunath K, Jenkins G, Rahman M, Edwards C, et al. Biomedical research in developing countries: opportunities, methods, and challenges. Indian J Gastroenterol. 2020;39(3):292–302. doi:10.1007/s12664-020-01056-5</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End the glaring inequity in internationa</w:t>
      </w:r>
      <w:r>
        <w:rPr>
          <w:rFonts w:ascii="Times New Roman" w:eastAsia="Times New Roman" w:hAnsi="Times New Roman" w:cs="Times New Roman"/>
          <w:sz w:val="24"/>
          <w:szCs w:val="24"/>
          <w:highlight w:val="white"/>
        </w:rPr>
        <w:t>l science collaborations. Nature. 2023;624(7992):473. doi:10.1038/d41586-023-04022-1</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McMichael C, Waters E, Volmink J. Evidence-based public health: what does it offer developing countries? J Public Health (Oxf). 2005;27(2):215–21. doi:10.1093/pubmed/fdi0</w:t>
      </w:r>
      <w:r>
        <w:rPr>
          <w:rFonts w:ascii="Times New Roman" w:eastAsia="Times New Roman" w:hAnsi="Times New Roman" w:cs="Times New Roman"/>
          <w:sz w:val="24"/>
          <w:szCs w:val="24"/>
          <w:highlight w:val="white"/>
        </w:rPr>
        <w:t>24</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 Addington-Hall J, Higginson IJ. The prevalence of symptoms in end-stage renal disease: a systematic review. Adv Chronic Kidney Dis. 2007;14(1):82–99.</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Thomaz PG, Assad RS, Moreira LFP. Uso do fator de impacto e do índice H para avaliar pes</w:t>
      </w:r>
      <w:r>
        <w:rPr>
          <w:rFonts w:ascii="Times New Roman" w:eastAsia="Times New Roman" w:hAnsi="Times New Roman" w:cs="Times New Roman"/>
          <w:sz w:val="24"/>
          <w:szCs w:val="24"/>
          <w:highlight w:val="white"/>
        </w:rPr>
        <w:t>quisadores e publicações. Arq Bras Cardiol. 2011;96(2):90–3. doi:10.1590/S0066-782X2011000200001</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Annalingam A, Damayanthi H, Jayawardena R, Ranasinghe P. Determinants of the citation rate of medical research publications from a developing country. Springe</w:t>
      </w:r>
      <w:r>
        <w:rPr>
          <w:rFonts w:ascii="Times New Roman" w:eastAsia="Times New Roman" w:hAnsi="Times New Roman" w:cs="Times New Roman"/>
          <w:sz w:val="24"/>
          <w:szCs w:val="24"/>
          <w:highlight w:val="white"/>
        </w:rPr>
        <w:t>rplus. 2014;3(1):140. doi:10.1186/2193-1801-3-140</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Byrne JA. Improving the peer review of narrative literature reviews. Res Integr Peer Rev. 2016;1(1):1. doi:10.1186/s41073-016-0019-2</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Zhou J, Zhu L, Yue R. Evolution and global research trends of immunity </w:t>
      </w:r>
      <w:r>
        <w:rPr>
          <w:rFonts w:ascii="Times New Roman" w:eastAsia="Times New Roman" w:hAnsi="Times New Roman" w:cs="Times New Roman"/>
          <w:sz w:val="24"/>
          <w:szCs w:val="24"/>
          <w:highlight w:val="white"/>
        </w:rPr>
        <w:t>in diabetic nephropathy: a bibliometric and visual analysis from 2004 to 2023. Int Urol Nephrol. 2024;56(10):3307–21. doi:10.1007/s11255-024-04081-x</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S, Li Y, Zheng H, Wang Z, Liu W, Tao J, et al. Global research trends and hot spots on autophagy and kidney diseases: a bibliometric analysis from 2000 to 2022. Front Pharmacol. 2023;14:1275792. doi:10.3389/fphar.2023.1275792</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Yu X, Wu R, Ji Y, Feng Z. Bibliometric and visual analysis of machine learning-based research in acute kidney injury worldwide. Front Public Health. 2023;11:1136939. doi:10.3389/fpubh.2023.1136939</w:t>
      </w: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Erratum in: Front Public Health. 2024;12:1430491. doi:10.33</w:t>
      </w:r>
      <w:r>
        <w:rPr>
          <w:rFonts w:ascii="Times New Roman" w:eastAsia="Times New Roman" w:hAnsi="Times New Roman" w:cs="Times New Roman"/>
          <w:sz w:val="24"/>
          <w:szCs w:val="24"/>
          <w:highlight w:val="white"/>
        </w:rPr>
        <w:t>89/fpubh.2024.1430491</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Miglioli S. Influência e limites do fator de impacto como métrica de avaliação na ciência. Pesqui Bras Ciênc Inf Bibliotecon. 2018;13(1):17–33. doi:10.22478/ufpb.1981-0695.2018v13n1.40041</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Mongeon P, Paul-Hus A. The journal coverage </w:t>
      </w:r>
      <w:r>
        <w:rPr>
          <w:rFonts w:ascii="Times New Roman" w:eastAsia="Times New Roman" w:hAnsi="Times New Roman" w:cs="Times New Roman"/>
          <w:sz w:val="24"/>
          <w:szCs w:val="24"/>
          <w:highlight w:val="white"/>
        </w:rPr>
        <w:t>of Web of Science and Scopus: a comparative analysis. Scientometrics. 2016;106(1):213–28. doi:10.1007/s11192-015-1765-5</w:t>
      </w:r>
    </w:p>
    <w:p w:rsidR="009F7E70" w:rsidRDefault="009F7E70">
      <w:pPr>
        <w:spacing w:line="360" w:lineRule="auto"/>
        <w:jc w:val="both"/>
        <w:rPr>
          <w:rFonts w:ascii="Times New Roman" w:eastAsia="Times New Roman" w:hAnsi="Times New Roman" w:cs="Times New Roman"/>
          <w:sz w:val="24"/>
          <w:szCs w:val="24"/>
          <w:highlight w:val="white"/>
        </w:rPr>
      </w:pPr>
    </w:p>
    <w:p w:rsidR="009F7E70" w:rsidRDefault="0030406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Falagas ME, Pitsouni EI, Malietzis GA, Pappas G. Comparison of PubMed, Scopus, Web of Science, and Google Scholar: strengths and weakne</w:t>
      </w:r>
      <w:r>
        <w:rPr>
          <w:rFonts w:ascii="Times New Roman" w:eastAsia="Times New Roman" w:hAnsi="Times New Roman" w:cs="Times New Roman"/>
          <w:sz w:val="24"/>
          <w:szCs w:val="24"/>
          <w:highlight w:val="white"/>
        </w:rPr>
        <w:t>sses. FASEB J. 2008;22(2):338–42. doi:10.1096/fj.07-9492LSF</w:t>
      </w:r>
    </w:p>
    <w:p w:rsidR="009F7E70" w:rsidRDefault="009F7E70">
      <w:pPr>
        <w:spacing w:line="360" w:lineRule="auto"/>
        <w:jc w:val="both"/>
        <w:rPr>
          <w:rFonts w:ascii="Times New Roman" w:eastAsia="Times New Roman" w:hAnsi="Times New Roman" w:cs="Times New Roman"/>
          <w:b/>
          <w:sz w:val="24"/>
          <w:szCs w:val="24"/>
          <w:highlight w:val="white"/>
        </w:rPr>
      </w:pPr>
    </w:p>
    <w:sectPr w:rsidR="009F7E70">
      <w:headerReference w:type="even" r:id="rId14"/>
      <w:headerReference w:type="default" r:id="rId15"/>
      <w:footerReference w:type="even" r:id="rId16"/>
      <w:footerReference w:type="default" r:id="rId17"/>
      <w:headerReference w:type="first" r:id="rId18"/>
      <w:footerReference w:type="first" r:id="rId19"/>
      <w:pgSz w:w="11906" w:h="16838"/>
      <w:pgMar w:top="283" w:right="1700" w:bottom="28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066" w:rsidRDefault="00304066">
      <w:pPr>
        <w:spacing w:line="240" w:lineRule="auto"/>
      </w:pPr>
      <w:r>
        <w:separator/>
      </w:r>
    </w:p>
  </w:endnote>
  <w:endnote w:type="continuationSeparator" w:id="0">
    <w:p w:rsidR="00304066" w:rsidRDefault="00304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9F7E7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9F7E7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9F7E7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066" w:rsidRDefault="00304066">
      <w:pPr>
        <w:spacing w:line="240" w:lineRule="auto"/>
      </w:pPr>
      <w:r>
        <w:separator/>
      </w:r>
    </w:p>
  </w:footnote>
  <w:footnote w:type="continuationSeparator" w:id="0">
    <w:p w:rsidR="00304066" w:rsidRDefault="00304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30406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9.55pt;height:59.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30406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9.55pt;height:59.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E70" w:rsidRDefault="0030406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9.55pt;height:59.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E70"/>
    <w:rsid w:val="00304066"/>
    <w:rsid w:val="006547DA"/>
    <w:rsid w:val="009F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81A51F"/>
  <w15:docId w15:val="{8EE59A6C-15C3-40FF-B7D1-6CAA70B3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7C83"/>
    <w:rPr>
      <w:color w:val="0000FF" w:themeColor="hyperlink"/>
      <w:u w:val="single"/>
    </w:rPr>
  </w:style>
  <w:style w:type="character" w:styleId="UnresolvedMention">
    <w:name w:val="Unresolved Mention"/>
    <w:basedOn w:val="DefaultParagraphFont"/>
    <w:uiPriority w:val="99"/>
    <w:semiHidden/>
    <w:unhideWhenUsed/>
    <w:rsid w:val="003B7C83"/>
    <w:rPr>
      <w:color w:val="605E5C"/>
      <w:shd w:val="clear" w:color="auto" w:fill="E1DFDD"/>
    </w:rPr>
  </w:style>
  <w:style w:type="paragraph" w:styleId="Header">
    <w:name w:val="header"/>
    <w:basedOn w:val="Normal"/>
    <w:link w:val="HeaderChar"/>
    <w:uiPriority w:val="99"/>
    <w:unhideWhenUsed/>
    <w:rsid w:val="0091504C"/>
    <w:pPr>
      <w:tabs>
        <w:tab w:val="center" w:pos="4680"/>
        <w:tab w:val="right" w:pos="9360"/>
      </w:tabs>
      <w:spacing w:line="240" w:lineRule="auto"/>
    </w:pPr>
  </w:style>
  <w:style w:type="character" w:customStyle="1" w:styleId="HeaderChar">
    <w:name w:val="Header Char"/>
    <w:basedOn w:val="DefaultParagraphFont"/>
    <w:link w:val="Header"/>
    <w:uiPriority w:val="99"/>
    <w:rsid w:val="0091504C"/>
  </w:style>
  <w:style w:type="paragraph" w:styleId="Footer">
    <w:name w:val="footer"/>
    <w:basedOn w:val="Normal"/>
    <w:link w:val="FooterChar"/>
    <w:uiPriority w:val="99"/>
    <w:unhideWhenUsed/>
    <w:rsid w:val="0091504C"/>
    <w:pPr>
      <w:tabs>
        <w:tab w:val="center" w:pos="4680"/>
        <w:tab w:val="right" w:pos="9360"/>
      </w:tabs>
      <w:spacing w:line="240" w:lineRule="auto"/>
    </w:pPr>
  </w:style>
  <w:style w:type="character" w:customStyle="1" w:styleId="FooterChar">
    <w:name w:val="Footer Char"/>
    <w:basedOn w:val="DefaultParagraphFont"/>
    <w:link w:val="Footer"/>
    <w:uiPriority w:val="99"/>
    <w:rsid w:val="0091504C"/>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cimagojr.com/countryrank.ph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atahelpdesk.worldbank.org/knowledgebase/articles/906519-world-bank-country-and-lending-groups"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w3XfEqiEkwTJQPM0Esb62ihq7A==">CgMxLjA4AHIhMXh4aVA2bWhtTTJ1RkNZc0VHV0diSWUyQkczaklBek5i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4410</Words>
  <Characters>25137</Characters>
  <Application>Microsoft Office Word</Application>
  <DocSecurity>0</DocSecurity>
  <Lines>209</Lines>
  <Paragraphs>58</Paragraphs>
  <ScaleCrop>false</ScaleCrop>
  <Company/>
  <LinksUpToDate>false</LinksUpToDate>
  <CharactersWithSpaces>29489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cp:revision>
  <dcterms:created xsi:type="dcterms:W3CDTF">2025-08-26T04:24:00Z</dcterms:created>
  <dcterms:modified xsi:type="dcterms:W3CDTF">2025-09-06T12:47:00Z</dcterms:modified>
</cp:coreProperties>
</file>