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3741E" w14:textId="329F92C3" w:rsidR="00754C9A" w:rsidRDefault="00DA314A" w:rsidP="0060498A">
      <w:pPr>
        <w:pStyle w:val="Ttulo"/>
        <w:tabs>
          <w:tab w:val="left" w:pos="1418"/>
        </w:tabs>
        <w:spacing w:after="0"/>
        <w:jc w:val="both"/>
        <w:rPr>
          <w:rFonts w:ascii="Arial" w:hAnsi="Arial" w:cs="Arial"/>
        </w:rPr>
      </w:pPr>
      <w:r w:rsidRPr="00DA314A">
        <w:rPr>
          <w:rFonts w:ascii="Arial" w:hAnsi="Arial" w:cs="Arial"/>
        </w:rPr>
        <w:t>Case report</w:t>
      </w:r>
    </w:p>
    <w:p w14:paraId="0EE8FF5E" w14:textId="77777777" w:rsidR="00DA314A" w:rsidRDefault="00DA314A" w:rsidP="00581781">
      <w:pPr>
        <w:pStyle w:val="Author"/>
        <w:rPr>
          <w:rFonts w:ascii="Arial" w:hAnsi="Arial" w:cs="Arial"/>
          <w:bCs/>
          <w:iCs/>
          <w:kern w:val="28"/>
          <w:sz w:val="36"/>
        </w:rPr>
      </w:pPr>
      <w:bookmarkStart w:id="0" w:name="_Hlk195264228"/>
    </w:p>
    <w:p w14:paraId="4A5A5CAB" w14:textId="60D92082" w:rsidR="00163BC4" w:rsidRPr="00163BC4" w:rsidRDefault="00525E6E" w:rsidP="00581781">
      <w:pPr>
        <w:pStyle w:val="Author"/>
        <w:rPr>
          <w:rFonts w:ascii="Arial" w:hAnsi="Arial" w:cs="Arial"/>
          <w:bCs/>
          <w:iCs/>
          <w:kern w:val="28"/>
          <w:sz w:val="36"/>
        </w:rPr>
      </w:pPr>
      <w:r w:rsidRPr="002D7480">
        <w:rPr>
          <w:rFonts w:ascii="Arial" w:hAnsi="Arial" w:cs="Arial"/>
          <w:kern w:val="28"/>
          <w:sz w:val="36"/>
        </w:rPr>
        <w:t>Diagnosis and Treatment of Supernumerary</w:t>
      </w:r>
      <w:r w:rsidRPr="00525E6E">
        <w:rPr>
          <w:rFonts w:ascii="Arial" w:hAnsi="Arial" w:cs="Arial"/>
          <w:bCs/>
          <w:iCs/>
          <w:kern w:val="28"/>
          <w:sz w:val="36"/>
        </w:rPr>
        <w:t xml:space="preserve"> T</w:t>
      </w:r>
      <w:r>
        <w:rPr>
          <w:rFonts w:ascii="Arial" w:hAnsi="Arial" w:cs="Arial"/>
          <w:bCs/>
          <w:iCs/>
          <w:kern w:val="28"/>
          <w:sz w:val="36"/>
        </w:rPr>
        <w:t>eeth</w:t>
      </w:r>
      <w:r w:rsidRPr="00525E6E">
        <w:rPr>
          <w:rFonts w:ascii="Arial" w:hAnsi="Arial" w:cs="Arial"/>
          <w:bCs/>
          <w:iCs/>
          <w:kern w:val="28"/>
          <w:sz w:val="36"/>
        </w:rPr>
        <w:t>:</w:t>
      </w:r>
      <w:r w:rsidR="00581781">
        <w:rPr>
          <w:rFonts w:ascii="Arial" w:hAnsi="Arial" w:cs="Arial"/>
          <w:bCs/>
          <w:iCs/>
          <w:kern w:val="28"/>
          <w:sz w:val="36"/>
        </w:rPr>
        <w:t xml:space="preserve"> </w:t>
      </w:r>
      <w:r w:rsidR="00164453" w:rsidRPr="00164453">
        <w:rPr>
          <w:rFonts w:ascii="Arial" w:hAnsi="Arial" w:cs="Arial"/>
          <w:bCs/>
          <w:iCs/>
          <w:kern w:val="28"/>
          <w:sz w:val="36"/>
          <w:highlight w:val="yellow"/>
        </w:rPr>
        <w:t>A</w:t>
      </w:r>
      <w:r w:rsidR="00164453">
        <w:rPr>
          <w:rFonts w:ascii="Arial" w:hAnsi="Arial" w:cs="Arial"/>
          <w:bCs/>
          <w:iCs/>
          <w:kern w:val="28"/>
          <w:sz w:val="36"/>
        </w:rPr>
        <w:t xml:space="preserve"> </w:t>
      </w:r>
      <w:r w:rsidRPr="00525E6E">
        <w:rPr>
          <w:rFonts w:ascii="Arial" w:hAnsi="Arial" w:cs="Arial"/>
          <w:bCs/>
          <w:iCs/>
          <w:kern w:val="28"/>
          <w:sz w:val="36"/>
        </w:rPr>
        <w:t>C</w:t>
      </w:r>
      <w:r>
        <w:rPr>
          <w:rFonts w:ascii="Arial" w:hAnsi="Arial" w:cs="Arial"/>
          <w:bCs/>
          <w:iCs/>
          <w:kern w:val="28"/>
          <w:sz w:val="36"/>
        </w:rPr>
        <w:t>ase</w:t>
      </w:r>
      <w:r w:rsidRPr="00525E6E">
        <w:rPr>
          <w:rFonts w:ascii="Arial" w:hAnsi="Arial" w:cs="Arial"/>
          <w:bCs/>
          <w:iCs/>
          <w:kern w:val="28"/>
          <w:sz w:val="36"/>
        </w:rPr>
        <w:t xml:space="preserve"> R</w:t>
      </w:r>
      <w:r>
        <w:rPr>
          <w:rFonts w:ascii="Arial" w:hAnsi="Arial" w:cs="Arial"/>
          <w:bCs/>
          <w:iCs/>
          <w:kern w:val="28"/>
          <w:sz w:val="36"/>
        </w:rPr>
        <w:t>eport</w:t>
      </w:r>
    </w:p>
    <w:bookmarkEnd w:id="0"/>
    <w:p w14:paraId="07A1E7B0" w14:textId="77777777" w:rsidR="00A258C3" w:rsidRPr="00790ADA" w:rsidRDefault="00A258C3" w:rsidP="00441B6F">
      <w:pPr>
        <w:pStyle w:val="Author"/>
        <w:spacing w:line="240" w:lineRule="auto"/>
        <w:jc w:val="both"/>
        <w:rPr>
          <w:rFonts w:ascii="Arial" w:hAnsi="Arial" w:cs="Arial"/>
          <w:sz w:val="36"/>
        </w:rPr>
      </w:pPr>
    </w:p>
    <w:p w14:paraId="0F977DD2" w14:textId="77777777" w:rsidR="002C57D2" w:rsidRPr="00164453" w:rsidRDefault="002C57D2" w:rsidP="00441B6F">
      <w:pPr>
        <w:pStyle w:val="Affiliation"/>
        <w:spacing w:after="0" w:line="240" w:lineRule="auto"/>
        <w:jc w:val="both"/>
        <w:rPr>
          <w:rFonts w:ascii="Arial" w:hAnsi="Arial" w:cs="Arial"/>
        </w:rPr>
      </w:pPr>
    </w:p>
    <w:p w14:paraId="41C2997C" w14:textId="1FBA4AF7" w:rsidR="00B01FCD" w:rsidRPr="00FB3A86" w:rsidRDefault="001A34A6" w:rsidP="00441B6F">
      <w:pPr>
        <w:pStyle w:val="Copyright"/>
        <w:spacing w:after="0" w:line="240" w:lineRule="auto"/>
        <w:jc w:val="both"/>
        <w:rPr>
          <w:rFonts w:ascii="Arial" w:hAnsi="Arial" w:cs="Arial"/>
        </w:rPr>
        <w:sectPr w:rsidR="00B01FCD" w:rsidRPr="00FB3A86" w:rsidSect="003B7B9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pt-BR" w:eastAsia="pt-BR"/>
        </w:rPr>
        <mc:AlternateContent>
          <mc:Choice Requires="wps">
            <w:drawing>
              <wp:inline distT="0" distB="0" distL="0" distR="0" wp14:anchorId="629B74D0" wp14:editId="390213B1">
                <wp:extent cx="5303520" cy="635"/>
                <wp:effectExtent l="9525" t="9525" r="11430" b="9525"/>
                <wp:docPr id="111728436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01B2D7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5001DE1" w14:textId="0DB0DB88" w:rsidR="00790ADA" w:rsidRPr="00FB3A86" w:rsidRDefault="2B2C574F" w:rsidP="00441B6F">
      <w:pPr>
        <w:pStyle w:val="AbstHead"/>
        <w:spacing w:after="0"/>
        <w:jc w:val="both"/>
        <w:rPr>
          <w:rFonts w:ascii="Arial" w:hAnsi="Arial" w:cs="Arial"/>
        </w:rPr>
      </w:pPr>
      <w:r w:rsidRPr="100EE4C3">
        <w:rPr>
          <w:rFonts w:ascii="Arial" w:hAnsi="Arial" w:cs="Arial"/>
        </w:rPr>
        <w:t>ABSTRACT</w:t>
      </w:r>
      <w:r w:rsidR="0D20F4C6" w:rsidRPr="100EE4C3">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647CA8" w14:paraId="796CCADE" w14:textId="77777777" w:rsidTr="100EE4C3">
        <w:tc>
          <w:tcPr>
            <w:tcW w:w="9576" w:type="dxa"/>
            <w:shd w:val="clear" w:color="auto" w:fill="F2F2F2" w:themeFill="background1" w:themeFillShade="F2"/>
          </w:tcPr>
          <w:p w14:paraId="0C08441B" w14:textId="77777777" w:rsidR="00CA6982" w:rsidRPr="00CA6982" w:rsidRDefault="00CA6982" w:rsidP="00CA6982">
            <w:pPr>
              <w:pStyle w:val="Body"/>
              <w:spacing w:after="0"/>
              <w:rPr>
                <w:rFonts w:ascii="Arial" w:eastAsia="Calibri" w:hAnsi="Arial" w:cs="Arial"/>
                <w:highlight w:val="yellow"/>
              </w:rPr>
            </w:pPr>
            <w:r w:rsidRPr="00CA6982">
              <w:rPr>
                <w:rFonts w:ascii="Arial" w:eastAsia="Calibri" w:hAnsi="Arial" w:cs="Arial"/>
                <w:b/>
                <w:bCs/>
                <w:highlight w:val="yellow"/>
              </w:rPr>
              <w:t xml:space="preserve">Introduction: </w:t>
            </w:r>
            <w:r w:rsidRPr="00CA6982">
              <w:rPr>
                <w:rFonts w:ascii="Arial" w:eastAsia="Calibri" w:hAnsi="Arial" w:cs="Arial"/>
                <w:highlight w:val="yellow"/>
              </w:rPr>
              <w:t>The presence of supernumerary teeth can be observed across various racial groups; however, there are few reports in melanodermic patients. This motivated the present study, which aimed to report a clinical case, addressing the diagnosis and treatment of this dental developmental anomaly.</w:t>
            </w:r>
          </w:p>
          <w:p w14:paraId="42DBE4FC" w14:textId="001A4CFD" w:rsidR="00CA6982" w:rsidRPr="00CA6982" w:rsidRDefault="00CA6982" w:rsidP="00CA6982">
            <w:pPr>
              <w:pStyle w:val="Body"/>
              <w:spacing w:after="0"/>
              <w:rPr>
                <w:rFonts w:ascii="Arial" w:eastAsia="Calibri" w:hAnsi="Arial" w:cs="Arial"/>
                <w:b/>
                <w:bCs/>
                <w:highlight w:val="yellow"/>
              </w:rPr>
            </w:pPr>
            <w:r w:rsidRPr="00CA6982">
              <w:rPr>
                <w:rFonts w:ascii="Arial" w:eastAsia="Calibri" w:hAnsi="Arial" w:cs="Arial"/>
                <w:b/>
                <w:bCs/>
                <w:highlight w:val="yellow"/>
              </w:rPr>
              <w:t xml:space="preserve">Methodology: </w:t>
            </w:r>
            <w:r w:rsidRPr="00CA6982">
              <w:rPr>
                <w:rFonts w:ascii="Arial" w:eastAsia="Calibri" w:hAnsi="Arial" w:cs="Arial"/>
                <w:highlight w:val="yellow"/>
              </w:rPr>
              <w:t xml:space="preserve">This report refers to a 13-year-old melanodermic patient presenting with five supernumerary teeth in the lower premolar region bilaterally, with a family history of the condition. The patient was diagnosed and surgically treated at the Radiology and Surgery Clinics of the School of Dentistry, Federal University of </w:t>
            </w:r>
            <w:proofErr w:type="spellStart"/>
            <w:r w:rsidRPr="00CA6982">
              <w:rPr>
                <w:rFonts w:ascii="Arial" w:eastAsia="Calibri" w:hAnsi="Arial" w:cs="Arial"/>
                <w:highlight w:val="yellow"/>
              </w:rPr>
              <w:t>Alfenas</w:t>
            </w:r>
            <w:proofErr w:type="spellEnd"/>
            <w:r w:rsidRPr="00CA6982">
              <w:rPr>
                <w:rFonts w:ascii="Arial" w:eastAsia="Calibri" w:hAnsi="Arial" w:cs="Arial"/>
                <w:highlight w:val="yellow"/>
              </w:rPr>
              <w:t xml:space="preserve"> (UNIFAL-MG).</w:t>
            </w:r>
          </w:p>
          <w:p w14:paraId="08EC7835" w14:textId="77777777" w:rsidR="00CA6982" w:rsidRPr="00CA6982" w:rsidRDefault="00CA6982" w:rsidP="00CA6982">
            <w:pPr>
              <w:pStyle w:val="Body"/>
              <w:spacing w:after="0"/>
              <w:rPr>
                <w:rFonts w:ascii="Arial" w:eastAsia="Calibri" w:hAnsi="Arial" w:cs="Arial"/>
                <w:b/>
                <w:bCs/>
                <w:highlight w:val="yellow"/>
              </w:rPr>
            </w:pPr>
            <w:r w:rsidRPr="00CA6982">
              <w:rPr>
                <w:rFonts w:ascii="Arial" w:eastAsia="Calibri" w:hAnsi="Arial" w:cs="Arial"/>
                <w:b/>
                <w:bCs/>
                <w:highlight w:val="yellow"/>
              </w:rPr>
              <w:t xml:space="preserve">Results: </w:t>
            </w:r>
            <w:r w:rsidRPr="00CA6982">
              <w:rPr>
                <w:rFonts w:ascii="Arial" w:eastAsia="Calibri" w:hAnsi="Arial" w:cs="Arial"/>
                <w:highlight w:val="yellow"/>
              </w:rPr>
              <w:t>Cone-beam computed tomography (CBCT) enabled precise identification of the location of the supernumerary teeth and their proximity to the mental foramen. Surgical treatment was chosen, with access via the lingual aspect of the respective regions, and the use of biomaterials for tissue regeneration in the affected areas. Five months after the surgical procedures, panoramic radiography showed bone neoformation in the respective regions.</w:t>
            </w:r>
          </w:p>
          <w:p w14:paraId="25A65738" w14:textId="72CC48DE" w:rsidR="00505F06" w:rsidRPr="00164453" w:rsidRDefault="00CA6982" w:rsidP="00CA6982">
            <w:pPr>
              <w:pStyle w:val="Body"/>
              <w:spacing w:after="0"/>
              <w:rPr>
                <w:rFonts w:ascii="Arial" w:eastAsia="Calibri" w:hAnsi="Arial" w:cs="Arial"/>
              </w:rPr>
            </w:pPr>
            <w:r w:rsidRPr="00CA6982">
              <w:rPr>
                <w:rFonts w:ascii="Arial" w:eastAsia="Calibri" w:hAnsi="Arial" w:cs="Arial"/>
                <w:b/>
                <w:bCs/>
                <w:highlight w:val="yellow"/>
              </w:rPr>
              <w:t xml:space="preserve">Conclusion: </w:t>
            </w:r>
            <w:r w:rsidRPr="00CA6982">
              <w:rPr>
                <w:rFonts w:ascii="Arial" w:eastAsia="Calibri" w:hAnsi="Arial" w:cs="Arial"/>
                <w:highlight w:val="yellow"/>
              </w:rPr>
              <w:t>CBCT was essential for planning the surgical procedures, which, despite challenges related to surgical access and bone density, were completed without complications.</w:t>
            </w:r>
          </w:p>
        </w:tc>
      </w:tr>
    </w:tbl>
    <w:p w14:paraId="5DAFAA72" w14:textId="77777777" w:rsidR="00636EB2" w:rsidRPr="00164453" w:rsidRDefault="00636EB2" w:rsidP="00441B6F">
      <w:pPr>
        <w:pStyle w:val="Body"/>
        <w:spacing w:after="0"/>
        <w:rPr>
          <w:rFonts w:ascii="Arial" w:hAnsi="Arial" w:cs="Arial"/>
          <w:i/>
        </w:rPr>
      </w:pPr>
    </w:p>
    <w:p w14:paraId="372AC4BC" w14:textId="784835D7" w:rsidR="00A24E7E" w:rsidRDefault="00A24E7E" w:rsidP="00441B6F">
      <w:pPr>
        <w:pStyle w:val="Body"/>
        <w:spacing w:after="0"/>
        <w:rPr>
          <w:rFonts w:ascii="Arial" w:hAnsi="Arial" w:cs="Arial"/>
          <w:i/>
        </w:rPr>
      </w:pPr>
      <w:r>
        <w:rPr>
          <w:rFonts w:ascii="Arial" w:hAnsi="Arial" w:cs="Arial"/>
          <w:i/>
        </w:rPr>
        <w:t xml:space="preserve">Keywords: </w:t>
      </w:r>
      <w:r w:rsidR="00AD4D27">
        <w:rPr>
          <w:rFonts w:ascii="Arial" w:hAnsi="Arial" w:cs="Arial"/>
          <w:i/>
        </w:rPr>
        <w:t>tooth abnormalities; t</w:t>
      </w:r>
      <w:r w:rsidR="00AD4D27" w:rsidRPr="00AD4D27">
        <w:rPr>
          <w:rFonts w:ascii="Arial" w:hAnsi="Arial" w:cs="Arial"/>
          <w:i/>
        </w:rPr>
        <w:t>ooth, supernumerary; diagnostic imaging; oral surgical procedures.</w:t>
      </w:r>
    </w:p>
    <w:p w14:paraId="2627A008" w14:textId="77777777" w:rsidR="00505F06" w:rsidRPr="00A24E7E" w:rsidRDefault="00505F06" w:rsidP="00441B6F">
      <w:pPr>
        <w:pStyle w:val="Body"/>
        <w:spacing w:after="0"/>
        <w:rPr>
          <w:rFonts w:ascii="Arial" w:hAnsi="Arial" w:cs="Arial"/>
          <w:i/>
        </w:rPr>
      </w:pPr>
    </w:p>
    <w:p w14:paraId="59331DFC" w14:textId="688C17F8" w:rsidR="007F7B32" w:rsidRPr="00164453" w:rsidRDefault="00902823" w:rsidP="00441B6F">
      <w:pPr>
        <w:pStyle w:val="AbstHead"/>
        <w:spacing w:after="0"/>
        <w:jc w:val="both"/>
        <w:rPr>
          <w:rFonts w:ascii="Arial" w:hAnsi="Arial" w:cs="Arial"/>
        </w:rPr>
      </w:pPr>
      <w:r w:rsidRPr="00164453">
        <w:rPr>
          <w:rFonts w:ascii="Arial" w:hAnsi="Arial" w:cs="Arial"/>
        </w:rPr>
        <w:t xml:space="preserve">1. </w:t>
      </w:r>
      <w:r w:rsidR="00B01FCD" w:rsidRPr="00164453">
        <w:rPr>
          <w:rFonts w:ascii="Arial" w:hAnsi="Arial" w:cs="Arial"/>
        </w:rPr>
        <w:t>INTRODUCTION</w:t>
      </w:r>
    </w:p>
    <w:p w14:paraId="1912268A" w14:textId="77777777" w:rsidR="00790ADA" w:rsidRPr="00164453" w:rsidRDefault="00790ADA" w:rsidP="00441B6F">
      <w:pPr>
        <w:pStyle w:val="AbstHead"/>
        <w:spacing w:after="0"/>
        <w:jc w:val="both"/>
        <w:rPr>
          <w:rFonts w:ascii="Arial" w:hAnsi="Arial" w:cs="Arial"/>
        </w:rPr>
      </w:pPr>
    </w:p>
    <w:p w14:paraId="4744816C" w14:textId="0DFAA0AD" w:rsidR="00AD4D27" w:rsidRPr="00164453" w:rsidRDefault="004E1D18" w:rsidP="02003E0A">
      <w:pPr>
        <w:pStyle w:val="Body"/>
        <w:rPr>
          <w:rFonts w:ascii="Arial" w:hAnsi="Arial" w:cs="Arial"/>
        </w:rPr>
      </w:pPr>
      <w:r w:rsidRPr="00164453">
        <w:rPr>
          <w:rFonts w:ascii="Arial" w:hAnsi="Arial" w:cs="Arial"/>
        </w:rPr>
        <w:t>The prevalence of supernumerary teeth in the global population ranges from 0.4% to 3.8%</w:t>
      </w:r>
      <w:r w:rsidR="02003E0A" w:rsidRPr="00164453">
        <w:rPr>
          <w:rFonts w:ascii="Arial" w:hAnsi="Arial" w:cs="Arial"/>
        </w:rPr>
        <w:t xml:space="preserve"> (</w:t>
      </w:r>
      <w:proofErr w:type="spellStart"/>
      <w:r w:rsidR="02003E0A" w:rsidRPr="00164453">
        <w:rPr>
          <w:rFonts w:ascii="Arial" w:hAnsi="Arial" w:cs="Arial"/>
        </w:rPr>
        <w:t>Aparcana-Quijandría</w:t>
      </w:r>
      <w:proofErr w:type="spellEnd"/>
      <w:r w:rsidR="02003E0A" w:rsidRPr="00164453">
        <w:rPr>
          <w:rFonts w:ascii="Arial" w:hAnsi="Arial" w:cs="Arial"/>
        </w:rPr>
        <w:t>; Huamani-</w:t>
      </w:r>
      <w:proofErr w:type="spellStart"/>
      <w:r w:rsidR="02003E0A" w:rsidRPr="00164453">
        <w:rPr>
          <w:rFonts w:ascii="Arial" w:hAnsi="Arial" w:cs="Arial"/>
        </w:rPr>
        <w:t>Echaccaya</w:t>
      </w:r>
      <w:proofErr w:type="spellEnd"/>
      <w:r w:rsidR="02003E0A" w:rsidRPr="00164453">
        <w:rPr>
          <w:rFonts w:ascii="Arial" w:hAnsi="Arial" w:cs="Arial"/>
        </w:rPr>
        <w:t xml:space="preserve">, 2020). </w:t>
      </w:r>
      <w:r w:rsidRPr="00164453">
        <w:rPr>
          <w:rFonts w:ascii="Arial" w:hAnsi="Arial" w:cs="Arial"/>
        </w:rPr>
        <w:t xml:space="preserve">Few reports describe their occurrence in </w:t>
      </w:r>
      <w:proofErr w:type="spellStart"/>
      <w:r w:rsidRPr="00164453">
        <w:rPr>
          <w:rFonts w:ascii="Arial" w:hAnsi="Arial" w:cs="Arial"/>
        </w:rPr>
        <w:t>melanoderm</w:t>
      </w:r>
      <w:proofErr w:type="spellEnd"/>
      <w:r w:rsidRPr="00164453">
        <w:rPr>
          <w:rFonts w:ascii="Arial" w:hAnsi="Arial" w:cs="Arial"/>
        </w:rPr>
        <w:t xml:space="preserve"> individuals, suggesting the possibility of a racial tendency </w:t>
      </w:r>
      <w:r w:rsidR="02003E0A" w:rsidRPr="00164453">
        <w:rPr>
          <w:rFonts w:ascii="Arial" w:hAnsi="Arial" w:cs="Arial"/>
        </w:rPr>
        <w:t xml:space="preserve">(Neville et al., 2016). </w:t>
      </w:r>
      <w:r w:rsidRPr="00164453">
        <w:rPr>
          <w:rFonts w:ascii="Arial" w:hAnsi="Arial" w:cs="Arial"/>
        </w:rPr>
        <w:t xml:space="preserve">However, studies conducted across different continents have not revealed significant discrepancies among various racial groups </w:t>
      </w:r>
      <w:r w:rsidR="02003E0A" w:rsidRPr="00164453">
        <w:rPr>
          <w:rFonts w:ascii="Arial" w:hAnsi="Arial" w:cs="Arial"/>
        </w:rPr>
        <w:t xml:space="preserve">(Silvério et al., 2019; </w:t>
      </w:r>
      <w:proofErr w:type="spellStart"/>
      <w:r w:rsidR="02003E0A" w:rsidRPr="00164453">
        <w:rPr>
          <w:rFonts w:ascii="Arial" w:hAnsi="Arial" w:cs="Arial"/>
        </w:rPr>
        <w:t>Hadziabdic</w:t>
      </w:r>
      <w:proofErr w:type="spellEnd"/>
      <w:r w:rsidR="02003E0A" w:rsidRPr="00164453">
        <w:rPr>
          <w:rFonts w:ascii="Arial" w:hAnsi="Arial" w:cs="Arial"/>
        </w:rPr>
        <w:t xml:space="preserve"> et al.,2022; Irish, 2022; Liu et al., 2023; </w:t>
      </w:r>
      <w:proofErr w:type="spellStart"/>
      <w:r w:rsidR="02003E0A" w:rsidRPr="00164453">
        <w:rPr>
          <w:rFonts w:ascii="Arial" w:hAnsi="Arial" w:cs="Arial"/>
        </w:rPr>
        <w:t>Kvaratsthelia</w:t>
      </w:r>
      <w:proofErr w:type="spellEnd"/>
      <w:r w:rsidR="02003E0A" w:rsidRPr="00164453">
        <w:rPr>
          <w:rFonts w:ascii="Arial" w:hAnsi="Arial" w:cs="Arial"/>
        </w:rPr>
        <w:t>, 2024).</w:t>
      </w:r>
    </w:p>
    <w:p w14:paraId="2A25E04E" w14:textId="32C74375" w:rsidR="00AD4D27" w:rsidRPr="00164453" w:rsidRDefault="004E1D18" w:rsidP="02003E0A">
      <w:pPr>
        <w:pStyle w:val="Body"/>
        <w:rPr>
          <w:rFonts w:ascii="Arial" w:hAnsi="Arial" w:cs="Arial"/>
        </w:rPr>
      </w:pPr>
      <w:r w:rsidRPr="00164453">
        <w:rPr>
          <w:rFonts w:ascii="Arial" w:hAnsi="Arial" w:cs="Arial"/>
        </w:rPr>
        <w:t xml:space="preserve">In non-syndromic individuals with multiple supernumerary teeth, a higher prevalence is observed in the mandibular premolar region, followed by molars and anterior teeth </w:t>
      </w:r>
      <w:r w:rsidR="60807305" w:rsidRPr="00164453">
        <w:rPr>
          <w:rFonts w:ascii="Arial" w:hAnsi="Arial" w:cs="Arial"/>
        </w:rPr>
        <w:t>(Assunção et al., 2024).</w:t>
      </w:r>
    </w:p>
    <w:p w14:paraId="2DBCD7F9" w14:textId="3AE68BB6" w:rsidR="00306D9B" w:rsidRPr="00164453" w:rsidRDefault="004E1D18" w:rsidP="02003E0A">
      <w:pPr>
        <w:pStyle w:val="Body"/>
        <w:rPr>
          <w:rFonts w:ascii="Arial" w:hAnsi="Arial" w:cs="Arial"/>
        </w:rPr>
      </w:pPr>
      <w:r w:rsidRPr="00164453">
        <w:rPr>
          <w:rFonts w:ascii="Arial" w:hAnsi="Arial" w:cs="Arial"/>
        </w:rPr>
        <w:t xml:space="preserve">Treatment planning </w:t>
      </w:r>
      <w:proofErr w:type="gramStart"/>
      <w:r w:rsidRPr="00164453">
        <w:rPr>
          <w:rFonts w:ascii="Arial" w:hAnsi="Arial" w:cs="Arial"/>
        </w:rPr>
        <w:t>takes into account</w:t>
      </w:r>
      <w:proofErr w:type="gramEnd"/>
      <w:r w:rsidRPr="00164453">
        <w:rPr>
          <w:rFonts w:ascii="Arial" w:hAnsi="Arial" w:cs="Arial"/>
        </w:rPr>
        <w:t xml:space="preserve"> factors such as tooth location, morphology, angulation and eruption status, proximity to anatomical structures, potential for utilization, general health, age, and patient compliance </w:t>
      </w:r>
      <w:r w:rsidR="328E1310" w:rsidRPr="00164453">
        <w:rPr>
          <w:rFonts w:ascii="Arial" w:hAnsi="Arial" w:cs="Arial"/>
        </w:rPr>
        <w:t>(</w:t>
      </w:r>
      <w:proofErr w:type="spellStart"/>
      <w:r w:rsidR="328E1310" w:rsidRPr="00164453">
        <w:rPr>
          <w:rFonts w:ascii="Arial" w:hAnsi="Arial" w:cs="Arial"/>
        </w:rPr>
        <w:t>Aparcana-Quijandría</w:t>
      </w:r>
      <w:proofErr w:type="spellEnd"/>
      <w:r w:rsidR="328E1310" w:rsidRPr="00164453">
        <w:rPr>
          <w:rFonts w:ascii="Arial" w:hAnsi="Arial" w:cs="Arial"/>
        </w:rPr>
        <w:t>; Huamani-</w:t>
      </w:r>
      <w:proofErr w:type="spellStart"/>
      <w:r w:rsidR="328E1310" w:rsidRPr="00164453">
        <w:rPr>
          <w:rFonts w:ascii="Arial" w:hAnsi="Arial" w:cs="Arial"/>
        </w:rPr>
        <w:t>Echaccaya</w:t>
      </w:r>
      <w:proofErr w:type="spellEnd"/>
      <w:r w:rsidR="328E1310" w:rsidRPr="00164453">
        <w:rPr>
          <w:rFonts w:ascii="Arial" w:hAnsi="Arial" w:cs="Arial"/>
        </w:rPr>
        <w:t xml:space="preserve">, 2020; Bogdanowicz et al., 2023). </w:t>
      </w:r>
      <w:r w:rsidRPr="00164453">
        <w:rPr>
          <w:rFonts w:ascii="Arial" w:hAnsi="Arial" w:cs="Arial"/>
        </w:rPr>
        <w:t xml:space="preserve">In the permanent dentition, treatment may be conservative, involving either monitoring or the utilization of the supernumerary tooth in transplantation procedures </w:t>
      </w:r>
      <w:r w:rsidR="328E1310" w:rsidRPr="00164453">
        <w:rPr>
          <w:rFonts w:ascii="Arial" w:hAnsi="Arial" w:cs="Arial"/>
        </w:rPr>
        <w:t xml:space="preserve">(Bogdanowicz et al., 2023; </w:t>
      </w:r>
      <w:proofErr w:type="spellStart"/>
      <w:r w:rsidR="328E1310" w:rsidRPr="00164453">
        <w:rPr>
          <w:rFonts w:ascii="Arial" w:hAnsi="Arial" w:cs="Arial"/>
        </w:rPr>
        <w:t>Kinaia</w:t>
      </w:r>
      <w:proofErr w:type="spellEnd"/>
      <w:r w:rsidR="328E1310" w:rsidRPr="00164453">
        <w:rPr>
          <w:rFonts w:ascii="Arial" w:hAnsi="Arial" w:cs="Arial"/>
        </w:rPr>
        <w:t xml:space="preserve"> et al., 2022), </w:t>
      </w:r>
      <w:r w:rsidRPr="00164453">
        <w:rPr>
          <w:rFonts w:ascii="Arial" w:hAnsi="Arial" w:cs="Arial"/>
        </w:rPr>
        <w:t xml:space="preserve">as well as surgical, which is preferred when indicated (Rocha et al., 2021; Fernandes et al., 2023), with consideration given to the optimal </w:t>
      </w:r>
      <w:r w:rsidRPr="00164453">
        <w:rPr>
          <w:rFonts w:ascii="Arial" w:hAnsi="Arial" w:cs="Arial"/>
        </w:rPr>
        <w:lastRenderedPageBreak/>
        <w:t>timing of extraction to minimize potential damage</w:t>
      </w:r>
      <w:r w:rsidR="328E1310" w:rsidRPr="00164453">
        <w:rPr>
          <w:rFonts w:ascii="Arial" w:hAnsi="Arial" w:cs="Arial"/>
        </w:rPr>
        <w:t xml:space="preserve"> (</w:t>
      </w:r>
      <w:proofErr w:type="spellStart"/>
      <w:r w:rsidR="328E1310" w:rsidRPr="00164453">
        <w:rPr>
          <w:rFonts w:ascii="Arial" w:hAnsi="Arial" w:cs="Arial"/>
        </w:rPr>
        <w:t>Aparcana-Quijandría</w:t>
      </w:r>
      <w:proofErr w:type="spellEnd"/>
      <w:r w:rsidR="328E1310" w:rsidRPr="00164453">
        <w:rPr>
          <w:rFonts w:ascii="Arial" w:hAnsi="Arial" w:cs="Arial"/>
        </w:rPr>
        <w:t>; Huamani-</w:t>
      </w:r>
      <w:proofErr w:type="spellStart"/>
      <w:r w:rsidR="328E1310" w:rsidRPr="00164453">
        <w:rPr>
          <w:rFonts w:ascii="Arial" w:hAnsi="Arial" w:cs="Arial"/>
        </w:rPr>
        <w:t>Echaccaya</w:t>
      </w:r>
      <w:proofErr w:type="spellEnd"/>
      <w:r w:rsidR="328E1310" w:rsidRPr="00164453">
        <w:rPr>
          <w:rFonts w:ascii="Arial" w:hAnsi="Arial" w:cs="Arial"/>
        </w:rPr>
        <w:t>, 2020).</w:t>
      </w:r>
    </w:p>
    <w:p w14:paraId="5E5601CC" w14:textId="7BEA248C" w:rsidR="00AD4D27" w:rsidRPr="00164453" w:rsidRDefault="004E1D18" w:rsidP="02003E0A">
      <w:pPr>
        <w:pStyle w:val="Body"/>
        <w:rPr>
          <w:rFonts w:ascii="Arial" w:hAnsi="Arial" w:cs="Arial"/>
        </w:rPr>
      </w:pPr>
      <w:r w:rsidRPr="00164453">
        <w:rPr>
          <w:rFonts w:ascii="Arial" w:hAnsi="Arial" w:cs="Arial"/>
        </w:rPr>
        <w:t>Supernumerary teeth in the mandibular premolar region are often challenging to extract due to the high bone density of the mandible, proximity to the mental nerve, and limited direct visualization through lingual access</w:t>
      </w:r>
      <w:r w:rsidR="02003E0A" w:rsidRPr="00164453">
        <w:rPr>
          <w:rFonts w:ascii="Arial" w:hAnsi="Arial" w:cs="Arial"/>
        </w:rPr>
        <w:t xml:space="preserve"> (Marya et al., 2023).</w:t>
      </w:r>
    </w:p>
    <w:p w14:paraId="0E746354" w14:textId="7432A2C3" w:rsidR="00AD4D27" w:rsidRPr="00164453" w:rsidRDefault="004E1D18" w:rsidP="00AD4D27">
      <w:pPr>
        <w:pStyle w:val="Body"/>
        <w:spacing w:after="0"/>
        <w:rPr>
          <w:rFonts w:ascii="Arial" w:hAnsi="Arial" w:cs="Arial"/>
        </w:rPr>
      </w:pPr>
      <w:proofErr w:type="gramStart"/>
      <w:r w:rsidRPr="00164453">
        <w:rPr>
          <w:rFonts w:ascii="Arial" w:hAnsi="Arial" w:cs="Arial"/>
        </w:rPr>
        <w:t>In light of</w:t>
      </w:r>
      <w:proofErr w:type="gramEnd"/>
      <w:r w:rsidRPr="00164453">
        <w:rPr>
          <w:rFonts w:ascii="Arial" w:hAnsi="Arial" w:cs="Arial"/>
        </w:rPr>
        <w:t xml:space="preserve"> the above, the aim of this study is to describe, from diagnosis to treatment, a clinical case with </w:t>
      </w:r>
      <w:proofErr w:type="gramStart"/>
      <w:r w:rsidRPr="00164453">
        <w:rPr>
          <w:rFonts w:ascii="Arial" w:hAnsi="Arial" w:cs="Arial"/>
        </w:rPr>
        <w:t>particular features</w:t>
      </w:r>
      <w:proofErr w:type="gramEnd"/>
      <w:r w:rsidRPr="00164453">
        <w:rPr>
          <w:rFonts w:ascii="Arial" w:hAnsi="Arial" w:cs="Arial"/>
        </w:rPr>
        <w:t xml:space="preserve">, involving a </w:t>
      </w:r>
      <w:proofErr w:type="spellStart"/>
      <w:r w:rsidRPr="00164453">
        <w:rPr>
          <w:rFonts w:ascii="Arial" w:hAnsi="Arial" w:cs="Arial"/>
        </w:rPr>
        <w:t>melanoderm</w:t>
      </w:r>
      <w:proofErr w:type="spellEnd"/>
      <w:r w:rsidRPr="00164453">
        <w:rPr>
          <w:rFonts w:ascii="Arial" w:hAnsi="Arial" w:cs="Arial"/>
        </w:rPr>
        <w:t xml:space="preserve"> patient with multiple supernumerary teeth bilaterally in the mandibular premolar region, requiring surgical access in a technically challenging area.</w:t>
      </w:r>
    </w:p>
    <w:p w14:paraId="2812CE77" w14:textId="77777777" w:rsidR="004E1D18" w:rsidRPr="00164453" w:rsidRDefault="004E1D18" w:rsidP="00AD4D27">
      <w:pPr>
        <w:pStyle w:val="Body"/>
        <w:spacing w:after="0"/>
        <w:rPr>
          <w:rFonts w:ascii="Arial" w:hAnsi="Arial" w:cs="Arial"/>
        </w:rPr>
      </w:pPr>
    </w:p>
    <w:p w14:paraId="2961B839" w14:textId="2849D764" w:rsidR="00790ADA" w:rsidRPr="00164453" w:rsidRDefault="00902823" w:rsidP="00441B6F">
      <w:pPr>
        <w:pStyle w:val="AbstHead"/>
        <w:spacing w:after="0"/>
        <w:jc w:val="both"/>
        <w:rPr>
          <w:rFonts w:ascii="Arial" w:hAnsi="Arial" w:cs="Arial"/>
        </w:rPr>
      </w:pPr>
      <w:r w:rsidRPr="00164453">
        <w:rPr>
          <w:rFonts w:ascii="Arial" w:hAnsi="Arial" w:cs="Arial"/>
        </w:rPr>
        <w:t xml:space="preserve">2. </w:t>
      </w:r>
      <w:r w:rsidR="00AD4D27" w:rsidRPr="00164453">
        <w:rPr>
          <w:rFonts w:ascii="Arial" w:hAnsi="Arial" w:cs="Arial"/>
        </w:rPr>
        <w:t>CASE REPORT</w:t>
      </w:r>
    </w:p>
    <w:p w14:paraId="3EFC3177" w14:textId="77777777" w:rsidR="00F75CD4" w:rsidRPr="00164453" w:rsidRDefault="00F75CD4" w:rsidP="00441B6F">
      <w:pPr>
        <w:pStyle w:val="AbstHead"/>
        <w:spacing w:after="0"/>
        <w:jc w:val="both"/>
        <w:rPr>
          <w:rFonts w:ascii="Arial" w:hAnsi="Arial" w:cs="Arial"/>
        </w:rPr>
      </w:pPr>
    </w:p>
    <w:p w14:paraId="1229952E" w14:textId="556BBC39" w:rsidR="462AAFD8" w:rsidRPr="00164453" w:rsidRDefault="004E1D18" w:rsidP="02003E0A">
      <w:pPr>
        <w:jc w:val="both"/>
        <w:rPr>
          <w:rFonts w:ascii="Arial" w:eastAsia="Arial" w:hAnsi="Arial" w:cs="Arial"/>
          <w:color w:val="000000" w:themeColor="text1"/>
        </w:rPr>
      </w:pPr>
      <w:r w:rsidRPr="00164453">
        <w:rPr>
          <w:rFonts w:ascii="Arial" w:eastAsia="Arial" w:hAnsi="Arial" w:cs="Arial"/>
          <w:color w:val="000000" w:themeColor="text1"/>
        </w:rPr>
        <w:t xml:space="preserve">The patient is a 13-year-old </w:t>
      </w:r>
      <w:proofErr w:type="spellStart"/>
      <w:r w:rsidRPr="00164453">
        <w:rPr>
          <w:rFonts w:ascii="Arial" w:eastAsia="Arial" w:hAnsi="Arial" w:cs="Arial"/>
          <w:color w:val="000000" w:themeColor="text1"/>
        </w:rPr>
        <w:t>melanoderm</w:t>
      </w:r>
      <w:proofErr w:type="spellEnd"/>
      <w:r w:rsidRPr="00164453">
        <w:rPr>
          <w:rFonts w:ascii="Arial" w:eastAsia="Arial" w:hAnsi="Arial" w:cs="Arial"/>
          <w:color w:val="000000" w:themeColor="text1"/>
        </w:rPr>
        <w:t>, non-syndromic individual who began orthodontic treatment in a private practice. Panoramic radiography revealed the presence of supernumerary teeth in the mandibular premolar region</w:t>
      </w:r>
      <w:r w:rsidR="02003E0A" w:rsidRPr="00164453">
        <w:rPr>
          <w:rFonts w:ascii="Arial" w:eastAsia="Arial" w:hAnsi="Arial" w:cs="Arial"/>
          <w:color w:val="000000" w:themeColor="text1"/>
        </w:rPr>
        <w:t xml:space="preserve"> (Fig. 1).</w:t>
      </w:r>
    </w:p>
    <w:p w14:paraId="38408591" w14:textId="77777777" w:rsidR="00655620" w:rsidRPr="00164453" w:rsidRDefault="00655620" w:rsidP="02003E0A">
      <w:pPr>
        <w:jc w:val="both"/>
        <w:rPr>
          <w:rFonts w:ascii="Arial" w:eastAsia="Arial" w:hAnsi="Arial" w:cs="Arial"/>
          <w:color w:val="000000" w:themeColor="text1"/>
        </w:rPr>
      </w:pPr>
    </w:p>
    <w:p w14:paraId="7605BB73" w14:textId="77777777" w:rsidR="00F75CD4" w:rsidRDefault="462AAFD8" w:rsidP="4D9CBC63">
      <w:pPr>
        <w:jc w:val="center"/>
        <w:rPr>
          <w:rFonts w:ascii="Arial" w:eastAsia="Arial" w:hAnsi="Arial" w:cs="Arial"/>
          <w:b/>
          <w:bCs/>
          <w:color w:val="000000" w:themeColor="text1"/>
          <w:lang w:val="pt-BR"/>
        </w:rPr>
      </w:pPr>
      <w:r>
        <w:rPr>
          <w:noProof/>
          <w:lang w:val="pt-BR" w:eastAsia="pt-BR"/>
        </w:rPr>
        <w:drawing>
          <wp:inline distT="0" distB="0" distL="0" distR="0" wp14:anchorId="5D0663CB" wp14:editId="59843A9B">
            <wp:extent cx="5219702" cy="2543175"/>
            <wp:effectExtent l="0" t="0" r="0" b="0"/>
            <wp:docPr id="1673698533" name="Imagem 167369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19702" cy="2543175"/>
                    </a:xfrm>
                    <a:prstGeom prst="rect">
                      <a:avLst/>
                    </a:prstGeom>
                  </pic:spPr>
                </pic:pic>
              </a:graphicData>
            </a:graphic>
          </wp:inline>
        </w:drawing>
      </w:r>
    </w:p>
    <w:p w14:paraId="5C7876AD" w14:textId="44228FD0" w:rsidR="462AAFD8" w:rsidRPr="00164453" w:rsidRDefault="462AAFD8" w:rsidP="4D9CBC63">
      <w:pPr>
        <w:jc w:val="center"/>
        <w:rPr>
          <w:rFonts w:ascii="Arial" w:eastAsia="Arial" w:hAnsi="Arial" w:cs="Arial"/>
          <w:color w:val="000000" w:themeColor="text1"/>
        </w:rPr>
      </w:pPr>
      <w:r w:rsidRPr="00164453">
        <w:rPr>
          <w:rFonts w:ascii="Arial" w:eastAsia="Arial" w:hAnsi="Arial" w:cs="Arial"/>
          <w:b/>
          <w:bCs/>
          <w:color w:val="000000" w:themeColor="text1"/>
        </w:rPr>
        <w:t xml:space="preserve">Fig. 1. </w:t>
      </w:r>
      <w:r w:rsidR="004E1D18" w:rsidRPr="00164453">
        <w:rPr>
          <w:rFonts w:ascii="Arial" w:eastAsia="Arial" w:hAnsi="Arial" w:cs="Arial"/>
          <w:b/>
          <w:bCs/>
          <w:color w:val="000000" w:themeColor="text1"/>
        </w:rPr>
        <w:t>Panoramic radiograph</w:t>
      </w:r>
    </w:p>
    <w:p w14:paraId="1642EEFA" w14:textId="64D3A22E" w:rsidR="462AAFD8" w:rsidRPr="00164453" w:rsidRDefault="462AAFD8" w:rsidP="4D9CBC63">
      <w:pPr>
        <w:spacing w:line="360" w:lineRule="auto"/>
        <w:ind w:firstLine="708"/>
        <w:jc w:val="both"/>
        <w:rPr>
          <w:rFonts w:ascii="Arial" w:eastAsia="Arial" w:hAnsi="Arial" w:cs="Arial"/>
          <w:color w:val="000000" w:themeColor="text1"/>
        </w:rPr>
      </w:pPr>
      <w:r w:rsidRPr="00164453">
        <w:rPr>
          <w:rFonts w:ascii="Arial" w:eastAsia="Arial" w:hAnsi="Arial" w:cs="Arial"/>
          <w:color w:val="000000" w:themeColor="text1"/>
        </w:rPr>
        <w:t xml:space="preserve"> </w:t>
      </w:r>
    </w:p>
    <w:p w14:paraId="24333234" w14:textId="67810F98" w:rsidR="004E1D18" w:rsidRPr="00164453" w:rsidRDefault="004E1D18" w:rsidP="02003E0A">
      <w:pPr>
        <w:ind w:firstLine="708"/>
        <w:jc w:val="both"/>
        <w:rPr>
          <w:rFonts w:ascii="Arial" w:eastAsia="Arial" w:hAnsi="Arial" w:cs="Arial"/>
          <w:color w:val="000000" w:themeColor="text1"/>
        </w:rPr>
      </w:pPr>
      <w:r w:rsidRPr="00164453">
        <w:rPr>
          <w:rFonts w:ascii="Arial" w:eastAsia="Arial" w:hAnsi="Arial" w:cs="Arial"/>
          <w:color w:val="000000" w:themeColor="text1"/>
        </w:rPr>
        <w:t xml:space="preserve">The patient was referred to the Federal University of </w:t>
      </w:r>
      <w:proofErr w:type="spellStart"/>
      <w:r w:rsidRPr="00164453">
        <w:rPr>
          <w:rFonts w:ascii="Arial" w:eastAsia="Arial" w:hAnsi="Arial" w:cs="Arial"/>
          <w:color w:val="000000" w:themeColor="text1"/>
        </w:rPr>
        <w:t>Alfenas</w:t>
      </w:r>
      <w:proofErr w:type="spellEnd"/>
      <w:r w:rsidRPr="00164453">
        <w:rPr>
          <w:rFonts w:ascii="Arial" w:eastAsia="Arial" w:hAnsi="Arial" w:cs="Arial"/>
          <w:color w:val="000000" w:themeColor="text1"/>
        </w:rPr>
        <w:t xml:space="preserve"> (UNIFAL-MG)</w:t>
      </w:r>
      <w:r w:rsidR="00C87D9E">
        <w:rPr>
          <w:rFonts w:ascii="Arial" w:eastAsia="Arial" w:hAnsi="Arial" w:cs="Arial"/>
          <w:color w:val="000000" w:themeColor="text1"/>
        </w:rPr>
        <w:t xml:space="preserve">, </w:t>
      </w:r>
      <w:r w:rsidR="00C87D9E" w:rsidRPr="00C87D9E">
        <w:rPr>
          <w:rFonts w:ascii="Arial" w:eastAsia="Arial" w:hAnsi="Arial" w:cs="Arial"/>
          <w:color w:val="000000" w:themeColor="text1"/>
          <w:highlight w:val="yellow"/>
        </w:rPr>
        <w:t>d</w:t>
      </w:r>
      <w:r w:rsidR="00C87D9E" w:rsidRPr="00C87D9E">
        <w:rPr>
          <w:rFonts w:ascii="Arial" w:eastAsia="Arial" w:hAnsi="Arial" w:cs="Arial"/>
          <w:color w:val="000000" w:themeColor="text1"/>
          <w:highlight w:val="yellow"/>
        </w:rPr>
        <w:t>uring the anamnesis, the presence of a family history of the anomaly was confirmed.</w:t>
      </w:r>
      <w:r w:rsidRPr="00164453">
        <w:rPr>
          <w:rFonts w:ascii="Arial" w:eastAsia="Arial" w:hAnsi="Arial" w:cs="Arial"/>
          <w:color w:val="000000" w:themeColor="text1"/>
        </w:rPr>
        <w:t xml:space="preserve"> </w:t>
      </w:r>
      <w:r w:rsidR="00C87D9E">
        <w:rPr>
          <w:rFonts w:ascii="Arial" w:eastAsia="Arial" w:hAnsi="Arial" w:cs="Arial"/>
          <w:color w:val="000000" w:themeColor="text1"/>
        </w:rPr>
        <w:t>U</w:t>
      </w:r>
      <w:r w:rsidRPr="00164453">
        <w:rPr>
          <w:rFonts w:ascii="Arial" w:eastAsia="Arial" w:hAnsi="Arial" w:cs="Arial"/>
          <w:color w:val="000000" w:themeColor="text1"/>
        </w:rPr>
        <w:t>nderwent cone-beam computed tomography (CBCT) of the mandible for precise analysis of the positioning of these teeth, as well as to assess their relationship with adjacent anatomical structures.</w:t>
      </w:r>
    </w:p>
    <w:p w14:paraId="51327B0C" w14:textId="04EC86DD" w:rsidR="462AAFD8" w:rsidRPr="00074EC0" w:rsidRDefault="004E1D18" w:rsidP="02003E0A">
      <w:pPr>
        <w:ind w:firstLine="708"/>
        <w:jc w:val="both"/>
        <w:rPr>
          <w:rFonts w:ascii="Arial" w:eastAsia="Arial" w:hAnsi="Arial" w:cs="Arial"/>
          <w:color w:val="000000" w:themeColor="text1"/>
          <w:lang w:val="pt-BR"/>
        </w:rPr>
      </w:pPr>
      <w:r w:rsidRPr="00164453">
        <w:rPr>
          <w:rFonts w:ascii="Arial" w:eastAsia="Arial" w:hAnsi="Arial" w:cs="Arial"/>
          <w:color w:val="000000" w:themeColor="text1"/>
        </w:rPr>
        <w:t xml:space="preserve">CBCT analysis revealed, on the right side, two impacted supernumerary teeth with fully formed crowns, fused and with the onset of root formation, located between the roots of teeth 44 and 45, centrally on the alveolar ridge and slightly displaced lingually, extending from the cervical to apical thirds. On the left side, three supernumerary teeth with approximately two-thirds of their crowns formed, fused, were observed between the roots of teeth 33 and 34, lingual to 34, extending to the region between the roots of 34 and 35, at the middle and apical thirds. On both sides, the supernumerary teeth were positioned above the mental foramen, with closer proximity on the left side, as seen in the transverse sections. No root resorption of the mandibular premolars was identified; however, divergence of the roots was observed </w:t>
      </w:r>
      <w:r w:rsidRPr="00164453">
        <w:rPr>
          <w:rFonts w:ascii="Arial" w:eastAsia="Arial" w:hAnsi="Arial" w:cs="Arial"/>
          <w:color w:val="000000" w:themeColor="text1"/>
        </w:rPr>
        <w:lastRenderedPageBreak/>
        <w:t xml:space="preserve">bilaterally, along with root bifurcation in teeth 44, 34, and 35. </w:t>
      </w:r>
      <w:proofErr w:type="spellStart"/>
      <w:r w:rsidRPr="004E1D18">
        <w:rPr>
          <w:rFonts w:ascii="Arial" w:eastAsia="Arial" w:hAnsi="Arial" w:cs="Arial"/>
          <w:color w:val="000000" w:themeColor="text1"/>
          <w:lang w:val="pt-BR"/>
        </w:rPr>
        <w:t>Additionally</w:t>
      </w:r>
      <w:proofErr w:type="spellEnd"/>
      <w:r w:rsidRPr="004E1D18">
        <w:rPr>
          <w:rFonts w:ascii="Arial" w:eastAsia="Arial" w:hAnsi="Arial" w:cs="Arial"/>
          <w:color w:val="000000" w:themeColor="text1"/>
          <w:lang w:val="pt-BR"/>
        </w:rPr>
        <w:t xml:space="preserve">, </w:t>
      </w:r>
      <w:proofErr w:type="spellStart"/>
      <w:r w:rsidRPr="004E1D18">
        <w:rPr>
          <w:rFonts w:ascii="Arial" w:eastAsia="Arial" w:hAnsi="Arial" w:cs="Arial"/>
          <w:color w:val="000000" w:themeColor="text1"/>
          <w:lang w:val="pt-BR"/>
        </w:rPr>
        <w:t>the</w:t>
      </w:r>
      <w:proofErr w:type="spellEnd"/>
      <w:r w:rsidRPr="004E1D18">
        <w:rPr>
          <w:rFonts w:ascii="Arial" w:eastAsia="Arial" w:hAnsi="Arial" w:cs="Arial"/>
          <w:color w:val="000000" w:themeColor="text1"/>
          <w:lang w:val="pt-BR"/>
        </w:rPr>
        <w:t xml:space="preserve"> </w:t>
      </w:r>
      <w:proofErr w:type="spellStart"/>
      <w:r w:rsidRPr="004E1D18">
        <w:rPr>
          <w:rFonts w:ascii="Arial" w:eastAsia="Arial" w:hAnsi="Arial" w:cs="Arial"/>
          <w:color w:val="000000" w:themeColor="text1"/>
          <w:lang w:val="pt-BR"/>
        </w:rPr>
        <w:t>left</w:t>
      </w:r>
      <w:proofErr w:type="spellEnd"/>
      <w:r w:rsidRPr="004E1D18">
        <w:rPr>
          <w:rFonts w:ascii="Arial" w:eastAsia="Arial" w:hAnsi="Arial" w:cs="Arial"/>
          <w:color w:val="000000" w:themeColor="text1"/>
          <w:lang w:val="pt-BR"/>
        </w:rPr>
        <w:t xml:space="preserve"> mandibular deciduous canine was present (Fig. 2</w:t>
      </w:r>
      <w:r>
        <w:rPr>
          <w:rFonts w:ascii="Arial" w:eastAsia="Arial" w:hAnsi="Arial" w:cs="Arial"/>
          <w:color w:val="000000" w:themeColor="text1"/>
          <w:lang w:val="pt-BR"/>
        </w:rPr>
        <w:t>).</w:t>
      </w:r>
    </w:p>
    <w:p w14:paraId="447DE154" w14:textId="4165DC44" w:rsidR="462AAFD8" w:rsidRPr="00074EC0" w:rsidRDefault="462AAFD8" w:rsidP="00906236">
      <w:pPr>
        <w:jc w:val="center"/>
        <w:rPr>
          <w:rFonts w:ascii="Arial" w:eastAsia="Arial" w:hAnsi="Arial" w:cs="Arial"/>
          <w:color w:val="000000" w:themeColor="text1"/>
          <w:lang w:val="pt-BR"/>
        </w:rPr>
      </w:pPr>
      <w:r w:rsidRPr="00074EC0">
        <w:rPr>
          <w:rFonts w:ascii="Arial" w:eastAsia="Arial" w:hAnsi="Arial" w:cs="Arial"/>
          <w:color w:val="000000" w:themeColor="text1"/>
          <w:lang w:val="pt-BR"/>
        </w:rPr>
        <w:t xml:space="preserve">      </w:t>
      </w:r>
    </w:p>
    <w:p w14:paraId="7ED60577" w14:textId="77777777" w:rsidR="00F75CD4" w:rsidRDefault="00F75CD4" w:rsidP="4D9CBC63">
      <w:pPr>
        <w:jc w:val="center"/>
        <w:rPr>
          <w:rFonts w:ascii="Arial" w:eastAsia="Arial" w:hAnsi="Arial" w:cs="Arial"/>
          <w:b/>
          <w:bCs/>
          <w:color w:val="000000" w:themeColor="text1"/>
          <w:lang w:val="pt-BR"/>
        </w:rPr>
      </w:pPr>
      <w:r>
        <w:rPr>
          <w:noProof/>
          <w:lang w:val="pt-BR" w:eastAsia="pt-BR"/>
        </w:rPr>
        <w:drawing>
          <wp:inline distT="0" distB="0" distL="0" distR="0" wp14:anchorId="160863DD" wp14:editId="69429AF8">
            <wp:extent cx="3847699" cy="4686300"/>
            <wp:effectExtent l="0" t="0" r="635" b="0"/>
            <wp:docPr id="88532805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170" cy="4697835"/>
                    </a:xfrm>
                    <a:prstGeom prst="rect">
                      <a:avLst/>
                    </a:prstGeom>
                    <a:noFill/>
                    <a:ln>
                      <a:noFill/>
                    </a:ln>
                  </pic:spPr>
                </pic:pic>
              </a:graphicData>
            </a:graphic>
          </wp:inline>
        </w:drawing>
      </w:r>
    </w:p>
    <w:p w14:paraId="3CADC1C8" w14:textId="1947F8A9" w:rsidR="462AAFD8" w:rsidRPr="00164453" w:rsidRDefault="462AAFD8" w:rsidP="00FE5DEF">
      <w:pPr>
        <w:jc w:val="center"/>
        <w:rPr>
          <w:rFonts w:ascii="Arial" w:eastAsia="Arial" w:hAnsi="Arial" w:cs="Arial"/>
          <w:b/>
          <w:bCs/>
          <w:color w:val="000000" w:themeColor="text1"/>
        </w:rPr>
      </w:pPr>
      <w:r w:rsidRPr="00164453">
        <w:rPr>
          <w:rFonts w:ascii="Arial" w:eastAsia="Arial" w:hAnsi="Arial" w:cs="Arial"/>
          <w:b/>
          <w:bCs/>
          <w:color w:val="000000" w:themeColor="text1"/>
        </w:rPr>
        <w:t xml:space="preserve">Fig. </w:t>
      </w:r>
      <w:r w:rsidR="00F75CD4" w:rsidRPr="00164453">
        <w:rPr>
          <w:rFonts w:ascii="Arial" w:eastAsia="Arial" w:hAnsi="Arial" w:cs="Arial"/>
          <w:b/>
          <w:bCs/>
          <w:color w:val="000000" w:themeColor="text1"/>
        </w:rPr>
        <w:t>2</w:t>
      </w:r>
      <w:r w:rsidRPr="00164453">
        <w:rPr>
          <w:rFonts w:ascii="Arial" w:eastAsia="Arial" w:hAnsi="Arial" w:cs="Arial"/>
          <w:b/>
          <w:bCs/>
          <w:color w:val="000000" w:themeColor="text1"/>
        </w:rPr>
        <w:t xml:space="preserve">. </w:t>
      </w:r>
      <w:r w:rsidR="004E1D18" w:rsidRPr="00164453">
        <w:rPr>
          <w:rFonts w:ascii="Arial" w:eastAsia="Arial" w:hAnsi="Arial" w:cs="Arial"/>
          <w:b/>
          <w:bCs/>
          <w:color w:val="000000" w:themeColor="text1"/>
        </w:rPr>
        <w:t>Multiplanar CBCT reconstructions</w:t>
      </w:r>
      <w:r w:rsidR="00FE5DEF" w:rsidRPr="00164453">
        <w:rPr>
          <w:rFonts w:ascii="Arial" w:eastAsia="Arial" w:hAnsi="Arial" w:cs="Arial"/>
          <w:b/>
          <w:bCs/>
          <w:color w:val="000000" w:themeColor="text1"/>
        </w:rPr>
        <w:t xml:space="preserve"> - </w:t>
      </w:r>
      <w:r w:rsidR="004E1D18" w:rsidRPr="00164453">
        <w:rPr>
          <w:rFonts w:ascii="Arial" w:eastAsia="Arial" w:hAnsi="Arial" w:cs="Arial"/>
          <w:b/>
          <w:bCs/>
          <w:color w:val="000000" w:themeColor="text1"/>
        </w:rPr>
        <w:t>a) axial; b) sagittal; c) coronal; d) transverse sections – right side; e) transverse sections – left side</w:t>
      </w:r>
    </w:p>
    <w:p w14:paraId="5457D6EE" w14:textId="38BB124E" w:rsidR="462AAFD8" w:rsidRPr="00164453" w:rsidRDefault="462AAFD8" w:rsidP="00F75CD4">
      <w:pPr>
        <w:spacing w:line="360" w:lineRule="auto"/>
        <w:ind w:firstLine="708"/>
        <w:rPr>
          <w:rFonts w:ascii="Arial" w:eastAsia="Arial" w:hAnsi="Arial" w:cs="Arial"/>
          <w:color w:val="000000" w:themeColor="text1"/>
        </w:rPr>
      </w:pPr>
      <w:r w:rsidRPr="00164453">
        <w:rPr>
          <w:rFonts w:ascii="Arial" w:eastAsia="Arial" w:hAnsi="Arial" w:cs="Arial"/>
          <w:color w:val="000000" w:themeColor="text1"/>
        </w:rPr>
        <w:t xml:space="preserve">               </w:t>
      </w:r>
    </w:p>
    <w:p w14:paraId="1E6C68D6" w14:textId="50003B1D" w:rsidR="008D6406" w:rsidRPr="00164453" w:rsidRDefault="008E491F" w:rsidP="000A3467">
      <w:pPr>
        <w:ind w:firstLine="708"/>
        <w:jc w:val="both"/>
        <w:rPr>
          <w:rFonts w:ascii="Arial" w:eastAsia="Arial" w:hAnsi="Arial" w:cs="Arial"/>
          <w:color w:val="000000" w:themeColor="text1"/>
        </w:rPr>
      </w:pPr>
      <w:r w:rsidRPr="00164453">
        <w:rPr>
          <w:rFonts w:ascii="Arial" w:eastAsia="Arial" w:hAnsi="Arial" w:cs="Arial"/>
          <w:color w:val="000000" w:themeColor="text1"/>
        </w:rPr>
        <w:t>The proposed treatment was the surgical removal of the supernumerary teeth, as there were no systemic contraindications. Hematological tests were reviewed and showed no abnormalities. Extractions were planned in two sessions, first on the right side, followed by the left side.</w:t>
      </w:r>
    </w:p>
    <w:p w14:paraId="604A2832" w14:textId="5EEA4985" w:rsidR="000A3467" w:rsidRPr="00164453" w:rsidRDefault="008E491F" w:rsidP="000A3467">
      <w:pPr>
        <w:ind w:firstLine="708"/>
        <w:jc w:val="both"/>
        <w:rPr>
          <w:rFonts w:ascii="Arial" w:eastAsia="Arial" w:hAnsi="Arial" w:cs="Arial"/>
          <w:color w:val="000000" w:themeColor="text1"/>
        </w:rPr>
      </w:pPr>
      <w:r w:rsidRPr="00164453">
        <w:rPr>
          <w:rFonts w:ascii="Arial" w:eastAsia="Arial" w:hAnsi="Arial" w:cs="Arial"/>
          <w:color w:val="000000" w:themeColor="text1"/>
        </w:rPr>
        <w:t>Pre- and postoperative medication was administered. Anesthesia was performed, followed by an intrasulcular incision (envelope flap) on the lingual side, with an additional relieving incision. Soft tissue dissection and ostectomy were performed to create a surgical window, followed by sectioning and removal of the dental fragments. Osteoplasty was carried out, and bovine collagen sponges were inserted into the site to fill the bony cavity on both sides, promoting optimal bone and tissue regeneration, and the procedure was concluded with suturing</w:t>
      </w:r>
      <w:r w:rsidR="2B74C8B8" w:rsidRPr="00164453">
        <w:rPr>
          <w:rFonts w:ascii="Arial" w:eastAsia="Arial" w:hAnsi="Arial" w:cs="Arial"/>
          <w:color w:val="000000" w:themeColor="text1"/>
        </w:rPr>
        <w:t xml:space="preserve"> (Fig. </w:t>
      </w:r>
      <w:r w:rsidR="2E413BD0" w:rsidRPr="00164453">
        <w:rPr>
          <w:rFonts w:ascii="Arial" w:eastAsia="Arial" w:hAnsi="Arial" w:cs="Arial"/>
          <w:color w:val="000000" w:themeColor="text1"/>
        </w:rPr>
        <w:t>3</w:t>
      </w:r>
      <w:r w:rsidR="2B74C8B8" w:rsidRPr="00164453">
        <w:rPr>
          <w:rFonts w:ascii="Arial" w:eastAsia="Arial" w:hAnsi="Arial" w:cs="Arial"/>
          <w:color w:val="000000" w:themeColor="text1"/>
        </w:rPr>
        <w:t>).</w:t>
      </w:r>
    </w:p>
    <w:p w14:paraId="1E9B1D5C" w14:textId="77777777" w:rsidR="009155E9" w:rsidRPr="00164453" w:rsidRDefault="009155E9" w:rsidP="009155E9">
      <w:pPr>
        <w:spacing w:line="360" w:lineRule="auto"/>
        <w:rPr>
          <w:rFonts w:ascii="Arial" w:eastAsia="Arial" w:hAnsi="Arial" w:cs="Arial"/>
          <w:color w:val="000000" w:themeColor="text1"/>
        </w:rPr>
      </w:pPr>
    </w:p>
    <w:p w14:paraId="2196AA5F" w14:textId="7365AC97" w:rsidR="00F75CD4" w:rsidRDefault="007806A5" w:rsidP="009155E9">
      <w:pPr>
        <w:spacing w:line="360" w:lineRule="auto"/>
        <w:jc w:val="center"/>
        <w:rPr>
          <w:rFonts w:ascii="Arial" w:eastAsia="Arial" w:hAnsi="Arial" w:cs="Arial"/>
          <w:color w:val="000000" w:themeColor="text1"/>
          <w:lang w:val="pt-BR"/>
        </w:rPr>
      </w:pPr>
      <w:r>
        <w:rPr>
          <w:noProof/>
        </w:rPr>
        <w:lastRenderedPageBreak/>
        <w:drawing>
          <wp:inline distT="0" distB="0" distL="0" distR="0" wp14:anchorId="130FE08A" wp14:editId="038811E5">
            <wp:extent cx="4278702" cy="4278702"/>
            <wp:effectExtent l="0" t="0" r="7620" b="7620"/>
            <wp:docPr id="143296386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2239" cy="4282239"/>
                    </a:xfrm>
                    <a:prstGeom prst="rect">
                      <a:avLst/>
                    </a:prstGeom>
                    <a:noFill/>
                    <a:ln>
                      <a:noFill/>
                    </a:ln>
                  </pic:spPr>
                </pic:pic>
              </a:graphicData>
            </a:graphic>
          </wp:inline>
        </w:drawing>
      </w:r>
    </w:p>
    <w:p w14:paraId="21A7AE4B" w14:textId="08610FF7" w:rsidR="462AAFD8" w:rsidRPr="00164453" w:rsidRDefault="00F75CD4" w:rsidP="009155E9">
      <w:pPr>
        <w:jc w:val="center"/>
        <w:rPr>
          <w:rFonts w:ascii="Arial" w:eastAsia="Arial" w:hAnsi="Arial" w:cs="Arial"/>
          <w:color w:val="000000" w:themeColor="text1"/>
        </w:rPr>
      </w:pPr>
      <w:r w:rsidRPr="00164453">
        <w:rPr>
          <w:rFonts w:ascii="Arial" w:eastAsia="Arial" w:hAnsi="Arial" w:cs="Arial"/>
          <w:b/>
          <w:bCs/>
          <w:color w:val="000000" w:themeColor="text1"/>
        </w:rPr>
        <w:t>Fig. 3</w:t>
      </w:r>
      <w:r w:rsidR="462AAFD8" w:rsidRPr="00164453">
        <w:rPr>
          <w:rFonts w:ascii="Arial" w:eastAsia="Arial" w:hAnsi="Arial" w:cs="Arial"/>
          <w:b/>
          <w:bCs/>
          <w:color w:val="000000" w:themeColor="text1"/>
        </w:rPr>
        <w:t xml:space="preserve">. </w:t>
      </w:r>
      <w:r w:rsidR="008E491F" w:rsidRPr="00164453">
        <w:rPr>
          <w:rFonts w:ascii="Arial" w:eastAsia="Arial" w:hAnsi="Arial" w:cs="Arial"/>
          <w:b/>
          <w:bCs/>
          <w:color w:val="000000" w:themeColor="text1"/>
        </w:rPr>
        <w:t>Tooth sectioning; removal of dental fragment; insertion of collagen sponge; and suturing, respectively</w:t>
      </w:r>
    </w:p>
    <w:p w14:paraId="64950380" w14:textId="77777777" w:rsidR="00F75CD4" w:rsidRPr="00164453" w:rsidRDefault="00F75CD4" w:rsidP="4D9CBC63">
      <w:pPr>
        <w:jc w:val="center"/>
        <w:rPr>
          <w:rFonts w:ascii="Arial" w:eastAsia="Arial" w:hAnsi="Arial" w:cs="Arial"/>
          <w:b/>
          <w:bCs/>
          <w:color w:val="000000" w:themeColor="text1"/>
        </w:rPr>
      </w:pPr>
    </w:p>
    <w:p w14:paraId="117AC5DA" w14:textId="079420CA" w:rsidR="008D6406" w:rsidRPr="00164453" w:rsidRDefault="008E491F" w:rsidP="008D6406">
      <w:pPr>
        <w:ind w:firstLine="708"/>
        <w:jc w:val="both"/>
        <w:rPr>
          <w:rFonts w:ascii="Arial" w:eastAsia="Arial" w:hAnsi="Arial" w:cs="Arial"/>
          <w:color w:val="000000" w:themeColor="text1"/>
        </w:rPr>
      </w:pPr>
      <w:r w:rsidRPr="00164453">
        <w:rPr>
          <w:rFonts w:ascii="Arial" w:eastAsia="Arial" w:hAnsi="Arial" w:cs="Arial"/>
          <w:color w:val="000000" w:themeColor="text1"/>
        </w:rPr>
        <w:t xml:space="preserve">Postoperative instructions were provided, and the patient returned for suture removal. Healing progressed favorably, with complete coaptation of the wound margins. The patient was </w:t>
      </w:r>
      <w:proofErr w:type="gramStart"/>
      <w:r w:rsidRPr="00164453">
        <w:rPr>
          <w:rFonts w:ascii="Arial" w:eastAsia="Arial" w:hAnsi="Arial" w:cs="Arial"/>
          <w:color w:val="000000" w:themeColor="text1"/>
        </w:rPr>
        <w:t>referred</w:t>
      </w:r>
      <w:proofErr w:type="gramEnd"/>
      <w:r w:rsidRPr="00164453">
        <w:rPr>
          <w:rFonts w:ascii="Arial" w:eastAsia="Arial" w:hAnsi="Arial" w:cs="Arial"/>
          <w:color w:val="000000" w:themeColor="text1"/>
        </w:rPr>
        <w:t xml:space="preserve"> for continuation of orthodontic treatment </w:t>
      </w:r>
      <w:r w:rsidR="330C2E0D" w:rsidRPr="00164453">
        <w:rPr>
          <w:rFonts w:ascii="Arial" w:eastAsia="Arial" w:hAnsi="Arial" w:cs="Arial"/>
          <w:color w:val="000000" w:themeColor="text1"/>
        </w:rPr>
        <w:t>(Fig</w:t>
      </w:r>
      <w:r w:rsidR="675BD481" w:rsidRPr="00164453">
        <w:rPr>
          <w:rFonts w:ascii="Arial" w:eastAsia="Arial" w:hAnsi="Arial" w:cs="Arial"/>
          <w:color w:val="000000" w:themeColor="text1"/>
        </w:rPr>
        <w:t>. 4</w:t>
      </w:r>
      <w:r w:rsidR="330C2E0D" w:rsidRPr="00164453">
        <w:rPr>
          <w:rFonts w:ascii="Arial" w:eastAsia="Arial" w:hAnsi="Arial" w:cs="Arial"/>
          <w:color w:val="000000" w:themeColor="text1"/>
        </w:rPr>
        <w:t>).</w:t>
      </w:r>
    </w:p>
    <w:p w14:paraId="31119E1D" w14:textId="77777777" w:rsidR="008D6406" w:rsidRPr="00164453" w:rsidRDefault="008D6406" w:rsidP="008D6406">
      <w:pPr>
        <w:ind w:firstLine="708"/>
        <w:jc w:val="center"/>
        <w:rPr>
          <w:rFonts w:ascii="Arial" w:eastAsia="Arial" w:hAnsi="Arial" w:cs="Arial"/>
          <w:color w:val="000000" w:themeColor="text1"/>
        </w:rPr>
      </w:pPr>
    </w:p>
    <w:p w14:paraId="558A1311" w14:textId="0D40FEC7" w:rsidR="00F75CD4" w:rsidRDefault="2A262EA0" w:rsidP="007806A5">
      <w:pPr>
        <w:jc w:val="center"/>
        <w:rPr>
          <w:rFonts w:ascii="Arial" w:eastAsia="Arial" w:hAnsi="Arial" w:cs="Arial"/>
          <w:color w:val="000000" w:themeColor="text1"/>
          <w:lang w:val="pt-BR"/>
        </w:rPr>
      </w:pPr>
      <w:r>
        <w:rPr>
          <w:noProof/>
        </w:rPr>
        <w:lastRenderedPageBreak/>
        <w:drawing>
          <wp:inline distT="0" distB="0" distL="0" distR="0" wp14:anchorId="34CA37DD" wp14:editId="7FC57879">
            <wp:extent cx="5200650" cy="2600325"/>
            <wp:effectExtent l="0" t="0" r="0" b="9525"/>
            <wp:docPr id="179904149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650" cy="2600325"/>
                    </a:xfrm>
                    <a:prstGeom prst="rect">
                      <a:avLst/>
                    </a:prstGeom>
                    <a:noFill/>
                    <a:ln>
                      <a:noFill/>
                    </a:ln>
                  </pic:spPr>
                </pic:pic>
              </a:graphicData>
            </a:graphic>
          </wp:inline>
        </w:drawing>
      </w:r>
    </w:p>
    <w:p w14:paraId="7F403CA8" w14:textId="2C2D5083" w:rsidR="38FF3FF4" w:rsidRPr="00164453" w:rsidRDefault="502B64A0" w:rsidP="4D9CBC63">
      <w:pPr>
        <w:jc w:val="center"/>
        <w:rPr>
          <w:rFonts w:ascii="Arial" w:eastAsia="Arial" w:hAnsi="Arial" w:cs="Arial"/>
          <w:color w:val="000000" w:themeColor="text1"/>
        </w:rPr>
      </w:pPr>
      <w:r w:rsidRPr="00164453">
        <w:rPr>
          <w:rFonts w:ascii="Arial" w:eastAsia="Arial" w:hAnsi="Arial" w:cs="Arial"/>
          <w:b/>
          <w:bCs/>
          <w:color w:val="000000" w:themeColor="text1"/>
        </w:rPr>
        <w:t xml:space="preserve">Fig. </w:t>
      </w:r>
      <w:r w:rsidR="7280015E" w:rsidRPr="00164453">
        <w:rPr>
          <w:rFonts w:ascii="Arial" w:eastAsia="Arial" w:hAnsi="Arial" w:cs="Arial"/>
          <w:b/>
          <w:bCs/>
          <w:color w:val="000000" w:themeColor="text1"/>
        </w:rPr>
        <w:t>4</w:t>
      </w:r>
      <w:r w:rsidRPr="00164453">
        <w:rPr>
          <w:rFonts w:ascii="Arial" w:eastAsia="Arial" w:hAnsi="Arial" w:cs="Arial"/>
          <w:b/>
          <w:bCs/>
          <w:color w:val="000000" w:themeColor="text1"/>
        </w:rPr>
        <w:t xml:space="preserve">. </w:t>
      </w:r>
      <w:r w:rsidR="008E491F" w:rsidRPr="00164453">
        <w:rPr>
          <w:rFonts w:ascii="Arial" w:eastAsia="Arial" w:hAnsi="Arial" w:cs="Arial"/>
          <w:b/>
          <w:bCs/>
          <w:color w:val="000000" w:themeColor="text1"/>
        </w:rPr>
        <w:t>Postoperative period: 8 days – right side; 7 days – left side, respectively</w:t>
      </w:r>
    </w:p>
    <w:p w14:paraId="61429CE0" w14:textId="5AB94544" w:rsidR="462AAFD8" w:rsidRPr="00164453" w:rsidRDefault="462AAFD8" w:rsidP="00F75CD4">
      <w:pPr>
        <w:rPr>
          <w:rFonts w:ascii="Arial" w:eastAsia="Arial" w:hAnsi="Arial" w:cs="Arial"/>
          <w:color w:val="000000" w:themeColor="text1"/>
        </w:rPr>
      </w:pPr>
    </w:p>
    <w:p w14:paraId="445A3A44" w14:textId="29069916" w:rsidR="462AAFD8" w:rsidRPr="00164453" w:rsidRDefault="008E491F" w:rsidP="02003E0A">
      <w:pPr>
        <w:ind w:firstLine="708"/>
        <w:jc w:val="both"/>
        <w:rPr>
          <w:rFonts w:ascii="Arial" w:eastAsia="Arial" w:hAnsi="Arial" w:cs="Arial"/>
          <w:b/>
          <w:bCs/>
          <w:color w:val="000000" w:themeColor="text1"/>
        </w:rPr>
      </w:pPr>
      <w:r w:rsidRPr="00164453">
        <w:rPr>
          <w:rFonts w:ascii="Arial" w:eastAsia="Arial" w:hAnsi="Arial" w:cs="Arial"/>
          <w:color w:val="000000" w:themeColor="text1"/>
        </w:rPr>
        <w:t xml:space="preserve">During patient follow-up, five months after the surgical procedures, a panoramic radiograph was taken, which revealed bone neoformation in the respective mandibular regions </w:t>
      </w:r>
      <w:r w:rsidR="60807305" w:rsidRPr="00164453">
        <w:rPr>
          <w:rFonts w:ascii="Arial" w:eastAsia="Arial" w:hAnsi="Arial" w:cs="Arial"/>
          <w:color w:val="000000" w:themeColor="text1"/>
        </w:rPr>
        <w:t xml:space="preserve">(Fig. </w:t>
      </w:r>
      <w:r w:rsidR="5D270D56" w:rsidRPr="00164453">
        <w:rPr>
          <w:rFonts w:ascii="Arial" w:eastAsia="Arial" w:hAnsi="Arial" w:cs="Arial"/>
          <w:color w:val="000000" w:themeColor="text1"/>
        </w:rPr>
        <w:t>5</w:t>
      </w:r>
      <w:r w:rsidR="60807305" w:rsidRPr="00164453">
        <w:rPr>
          <w:rFonts w:ascii="Arial" w:eastAsia="Arial" w:hAnsi="Arial" w:cs="Arial"/>
          <w:color w:val="000000" w:themeColor="text1"/>
        </w:rPr>
        <w:t>).</w:t>
      </w:r>
    </w:p>
    <w:p w14:paraId="17CFC5C5" w14:textId="47DE2142" w:rsidR="502B64A0" w:rsidRDefault="502B64A0" w:rsidP="05F6E63A">
      <w:pPr>
        <w:spacing w:line="360" w:lineRule="auto"/>
        <w:jc w:val="center"/>
        <w:rPr>
          <w:rFonts w:ascii="Arial" w:eastAsia="Arial" w:hAnsi="Arial" w:cs="Arial"/>
          <w:b/>
          <w:bCs/>
          <w:color w:val="000000" w:themeColor="text1"/>
          <w:lang w:val="pt-BR"/>
        </w:rPr>
      </w:pPr>
      <w:r>
        <w:rPr>
          <w:noProof/>
        </w:rPr>
        <w:drawing>
          <wp:inline distT="0" distB="0" distL="0" distR="0" wp14:anchorId="04906F7A" wp14:editId="7565DF0C">
            <wp:extent cx="5142325" cy="2790190"/>
            <wp:effectExtent l="0" t="0" r="1270" b="0"/>
            <wp:docPr id="1378705039" name="Imagem 137870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47" r="912"/>
                    <a:stretch>
                      <a:fillRect/>
                    </a:stretch>
                  </pic:blipFill>
                  <pic:spPr bwMode="auto">
                    <a:xfrm>
                      <a:off x="0" y="0"/>
                      <a:ext cx="5143495" cy="2790825"/>
                    </a:xfrm>
                    <a:prstGeom prst="rect">
                      <a:avLst/>
                    </a:prstGeom>
                    <a:ln>
                      <a:noFill/>
                    </a:ln>
                    <a:extLst>
                      <a:ext uri="{53640926-AAD7-44D8-BBD7-CCE9431645EC}">
                        <a14:shadowObscured xmlns:a14="http://schemas.microsoft.com/office/drawing/2010/main"/>
                      </a:ext>
                    </a:extLst>
                  </pic:spPr>
                </pic:pic>
              </a:graphicData>
            </a:graphic>
          </wp:inline>
        </w:drawing>
      </w:r>
    </w:p>
    <w:p w14:paraId="58C95470" w14:textId="446284F5" w:rsidR="462AAFD8" w:rsidRPr="00164453" w:rsidRDefault="60807305" w:rsidP="00F75CD4">
      <w:pPr>
        <w:spacing w:line="360" w:lineRule="auto"/>
        <w:ind w:firstLine="708"/>
        <w:jc w:val="center"/>
        <w:rPr>
          <w:rFonts w:ascii="Arial" w:eastAsia="Arial" w:hAnsi="Arial" w:cs="Arial"/>
          <w:b/>
          <w:bCs/>
          <w:color w:val="000000" w:themeColor="text1"/>
        </w:rPr>
      </w:pPr>
      <w:r w:rsidRPr="00164453">
        <w:rPr>
          <w:rFonts w:ascii="Arial" w:eastAsia="Arial" w:hAnsi="Arial" w:cs="Arial"/>
          <w:b/>
          <w:bCs/>
          <w:color w:val="000000" w:themeColor="text1"/>
        </w:rPr>
        <w:t xml:space="preserve">Fig. </w:t>
      </w:r>
      <w:r w:rsidR="6EB9A683" w:rsidRPr="00164453">
        <w:rPr>
          <w:rFonts w:ascii="Arial" w:eastAsia="Arial" w:hAnsi="Arial" w:cs="Arial"/>
          <w:b/>
          <w:bCs/>
          <w:color w:val="000000" w:themeColor="text1"/>
        </w:rPr>
        <w:t>5</w:t>
      </w:r>
      <w:r w:rsidRPr="00164453">
        <w:rPr>
          <w:rFonts w:ascii="Arial" w:eastAsia="Arial" w:hAnsi="Arial" w:cs="Arial"/>
          <w:b/>
          <w:bCs/>
          <w:color w:val="000000" w:themeColor="text1"/>
        </w:rPr>
        <w:t xml:space="preserve">. </w:t>
      </w:r>
      <w:r w:rsidR="008E491F" w:rsidRPr="00164453">
        <w:rPr>
          <w:rFonts w:ascii="Arial" w:eastAsia="Arial" w:hAnsi="Arial" w:cs="Arial"/>
          <w:b/>
          <w:bCs/>
          <w:color w:val="000000" w:themeColor="text1"/>
        </w:rPr>
        <w:t>Follow-up panoramic radiograph</w:t>
      </w:r>
    </w:p>
    <w:p w14:paraId="7463F3DC" w14:textId="355C920E" w:rsidR="4D9CBC63" w:rsidRPr="00164453" w:rsidRDefault="4D9CBC63" w:rsidP="4D9CBC63">
      <w:pPr>
        <w:pStyle w:val="Body"/>
        <w:spacing w:after="0"/>
        <w:rPr>
          <w:rFonts w:ascii="Arial" w:hAnsi="Arial" w:cs="Arial"/>
        </w:rPr>
      </w:pPr>
    </w:p>
    <w:p w14:paraId="550F3970" w14:textId="054ECC6F" w:rsidR="00902823" w:rsidRPr="00164453" w:rsidRDefault="00000F8F" w:rsidP="00441B6F">
      <w:pPr>
        <w:pStyle w:val="Head1"/>
        <w:spacing w:after="0"/>
        <w:jc w:val="both"/>
        <w:rPr>
          <w:rFonts w:ascii="Arial" w:hAnsi="Arial" w:cs="Arial"/>
        </w:rPr>
      </w:pPr>
      <w:r w:rsidRPr="00164453">
        <w:rPr>
          <w:rFonts w:ascii="Arial" w:hAnsi="Arial" w:cs="Arial"/>
        </w:rPr>
        <w:t>3</w:t>
      </w:r>
      <w:r w:rsidR="00902823" w:rsidRPr="00164453">
        <w:rPr>
          <w:rFonts w:ascii="Arial" w:hAnsi="Arial" w:cs="Arial"/>
        </w:rPr>
        <w:t xml:space="preserve">. </w:t>
      </w:r>
      <w:r w:rsidRPr="00164453">
        <w:rPr>
          <w:rFonts w:ascii="Arial" w:hAnsi="Arial" w:cs="Arial"/>
        </w:rPr>
        <w:t>discussion</w:t>
      </w:r>
    </w:p>
    <w:p w14:paraId="441B508F" w14:textId="77777777" w:rsidR="00790ADA" w:rsidRPr="00164453" w:rsidRDefault="00790ADA" w:rsidP="00441B6F">
      <w:pPr>
        <w:pStyle w:val="Head1"/>
        <w:spacing w:after="0"/>
        <w:jc w:val="both"/>
        <w:rPr>
          <w:rFonts w:ascii="Arial" w:hAnsi="Arial" w:cs="Arial"/>
        </w:rPr>
      </w:pPr>
    </w:p>
    <w:p w14:paraId="1E41CACA" w14:textId="4398B312" w:rsidR="027E85C1" w:rsidRPr="00164453" w:rsidRDefault="008E491F" w:rsidP="05F6E63A">
      <w:pPr>
        <w:pStyle w:val="Body"/>
        <w:spacing w:after="0"/>
        <w:rPr>
          <w:rFonts w:ascii="Arial" w:hAnsi="Arial" w:cs="Arial"/>
          <w:highlight w:val="cyan"/>
        </w:rPr>
      </w:pPr>
      <w:r w:rsidRPr="00164453">
        <w:rPr>
          <w:rFonts w:ascii="Arial" w:hAnsi="Arial" w:cs="Arial"/>
        </w:rPr>
        <w:t>According to Neville et al. (2016), multiple supernumerary teeth in non-syndromic individuals predominantly occur in the mandibular premolar region, as illustrated by the reported clinical case, which presented five supernumerary teeth, two on the right side and three on the left, with approximately two-thirds of the crown fully formed and fused on both sides</w:t>
      </w:r>
      <w:r w:rsidR="027E85C1" w:rsidRPr="00164453">
        <w:rPr>
          <w:rFonts w:ascii="Arial" w:hAnsi="Arial" w:cs="Arial"/>
        </w:rPr>
        <w:t xml:space="preserve">. </w:t>
      </w:r>
    </w:p>
    <w:p w14:paraId="1290B3AF" w14:textId="7A2553A8" w:rsidR="027E85C1" w:rsidRPr="00164453" w:rsidRDefault="027E85C1" w:rsidP="05F6E63A">
      <w:pPr>
        <w:pStyle w:val="Body"/>
        <w:spacing w:after="0"/>
      </w:pPr>
      <w:r w:rsidRPr="00164453">
        <w:rPr>
          <w:rFonts w:ascii="Arial" w:hAnsi="Arial" w:cs="Arial"/>
        </w:rPr>
        <w:t xml:space="preserve"> </w:t>
      </w:r>
    </w:p>
    <w:p w14:paraId="7886400E" w14:textId="3448733C" w:rsidR="027E85C1" w:rsidRPr="00164453" w:rsidRDefault="008E491F" w:rsidP="05F6E63A">
      <w:pPr>
        <w:pStyle w:val="Body"/>
        <w:spacing w:after="0"/>
      </w:pPr>
      <w:r w:rsidRPr="00164453">
        <w:rPr>
          <w:rFonts w:ascii="Arial" w:hAnsi="Arial" w:cs="Arial"/>
        </w:rPr>
        <w:lastRenderedPageBreak/>
        <w:t xml:space="preserve">When impacted, these teeth may cause root resorption of adjacent teeth, interfere with dental eruption, and lead to dental misalignment </w:t>
      </w:r>
      <w:r w:rsidR="027E85C1" w:rsidRPr="00164453">
        <w:rPr>
          <w:rFonts w:ascii="Arial" w:hAnsi="Arial" w:cs="Arial"/>
        </w:rPr>
        <w:t>(</w:t>
      </w:r>
      <w:proofErr w:type="spellStart"/>
      <w:r w:rsidR="027E85C1" w:rsidRPr="00164453">
        <w:rPr>
          <w:rFonts w:ascii="Arial" w:hAnsi="Arial" w:cs="Arial"/>
        </w:rPr>
        <w:t>Aparcana-Quijandría</w:t>
      </w:r>
      <w:proofErr w:type="spellEnd"/>
      <w:r w:rsidR="027E85C1" w:rsidRPr="00164453">
        <w:rPr>
          <w:rFonts w:ascii="Arial" w:hAnsi="Arial" w:cs="Arial"/>
        </w:rPr>
        <w:t>; Huamani-</w:t>
      </w:r>
      <w:proofErr w:type="spellStart"/>
      <w:r w:rsidR="027E85C1" w:rsidRPr="00164453">
        <w:rPr>
          <w:rFonts w:ascii="Arial" w:hAnsi="Arial" w:cs="Arial"/>
        </w:rPr>
        <w:t>Echaccaya</w:t>
      </w:r>
      <w:proofErr w:type="spellEnd"/>
      <w:r w:rsidR="027E85C1" w:rsidRPr="00164453">
        <w:rPr>
          <w:rFonts w:ascii="Arial" w:hAnsi="Arial" w:cs="Arial"/>
        </w:rPr>
        <w:t xml:space="preserve">, 2020; Mallya; Lam, 2020), </w:t>
      </w:r>
      <w:r w:rsidRPr="00164453">
        <w:rPr>
          <w:rFonts w:ascii="Arial" w:hAnsi="Arial" w:cs="Arial"/>
        </w:rPr>
        <w:t>as well as pericoronitis, gingivitis, cysts, and odontogenic tumors</w:t>
      </w:r>
      <w:r w:rsidR="027E85C1" w:rsidRPr="00164453">
        <w:rPr>
          <w:rFonts w:ascii="Arial" w:hAnsi="Arial" w:cs="Arial"/>
        </w:rPr>
        <w:t xml:space="preserve"> (Neville et al., 2016). </w:t>
      </w:r>
      <w:r w:rsidRPr="00164453">
        <w:rPr>
          <w:rFonts w:ascii="Arial" w:hAnsi="Arial" w:cs="Arial"/>
        </w:rPr>
        <w:t>In the present case, only dental misalignment and root divergence were observed</w:t>
      </w:r>
      <w:r w:rsidR="027E85C1" w:rsidRPr="00164453">
        <w:rPr>
          <w:rFonts w:ascii="Arial" w:hAnsi="Arial" w:cs="Arial"/>
        </w:rPr>
        <w:t xml:space="preserve">.   </w:t>
      </w:r>
    </w:p>
    <w:p w14:paraId="4451F139" w14:textId="6BE607EF" w:rsidR="027E85C1" w:rsidRPr="00164453" w:rsidRDefault="027E85C1" w:rsidP="05F6E63A">
      <w:pPr>
        <w:pStyle w:val="Body"/>
        <w:spacing w:after="0"/>
      </w:pPr>
      <w:r w:rsidRPr="00164453">
        <w:rPr>
          <w:rFonts w:ascii="Arial" w:hAnsi="Arial" w:cs="Arial"/>
        </w:rPr>
        <w:t xml:space="preserve"> </w:t>
      </w:r>
    </w:p>
    <w:p w14:paraId="1E561966" w14:textId="7330050A" w:rsidR="002C6917" w:rsidRPr="002C6917" w:rsidRDefault="008E491F" w:rsidP="002C6917">
      <w:pPr>
        <w:pStyle w:val="Body"/>
        <w:rPr>
          <w:rFonts w:ascii="Arial" w:hAnsi="Arial" w:cs="Arial"/>
        </w:rPr>
      </w:pPr>
      <w:r w:rsidRPr="00164453">
        <w:rPr>
          <w:rFonts w:ascii="Arial" w:hAnsi="Arial" w:cs="Arial"/>
        </w:rPr>
        <w:t>Treatment may be conservative or surgical (Bogdanowicz et al., 2023), with the latter preferred in the absence of contraindications, particularly in the mixed dentition, to minimize aesthetic and functional abnormalities</w:t>
      </w:r>
      <w:r w:rsidR="027E85C1" w:rsidRPr="00164453">
        <w:rPr>
          <w:rFonts w:ascii="Arial" w:hAnsi="Arial" w:cs="Arial"/>
        </w:rPr>
        <w:t xml:space="preserve"> (Fernandes et al., 2023; Neville et al., 2016</w:t>
      </w:r>
      <w:r w:rsidR="027E85C1" w:rsidRPr="00F87CD6">
        <w:rPr>
          <w:rFonts w:ascii="Arial" w:hAnsi="Arial" w:cs="Arial"/>
          <w:highlight w:val="yellow"/>
        </w:rPr>
        <w:t xml:space="preserve">).  </w:t>
      </w:r>
      <w:r w:rsidR="002C6917" w:rsidRPr="00F87CD6">
        <w:rPr>
          <w:rFonts w:ascii="Arial" w:hAnsi="Arial" w:cs="Arial"/>
          <w:highlight w:val="yellow"/>
        </w:rPr>
        <w:t>It is important to emphasize that radiographic examinations are essential for treatment planning and safety</w:t>
      </w:r>
      <w:r w:rsidR="002C6917" w:rsidRPr="00F87CD6">
        <w:rPr>
          <w:rFonts w:ascii="Arial" w:hAnsi="Arial" w:cs="Arial"/>
          <w:highlight w:val="yellow"/>
        </w:rPr>
        <w:t xml:space="preserve"> (Chen et al., 2019)</w:t>
      </w:r>
      <w:r w:rsidR="002C6917" w:rsidRPr="00F87CD6">
        <w:rPr>
          <w:rFonts w:ascii="Arial" w:hAnsi="Arial" w:cs="Arial"/>
          <w:highlight w:val="yellow"/>
        </w:rPr>
        <w:t>.</w:t>
      </w:r>
    </w:p>
    <w:p w14:paraId="11C2AFF7" w14:textId="64D477EE" w:rsidR="027E85C1" w:rsidRPr="00164453" w:rsidRDefault="008E491F" w:rsidP="05F6E63A">
      <w:pPr>
        <w:pStyle w:val="Body"/>
        <w:spacing w:after="0"/>
      </w:pPr>
      <w:r w:rsidRPr="00164453">
        <w:rPr>
          <w:rFonts w:ascii="Arial" w:hAnsi="Arial" w:cs="Arial"/>
        </w:rPr>
        <w:t>In the reported case, the supernumerary teeth were incidentally detected on a panoramic radiograph taken for orthodontic purposes, which commonly occurs due to their asymptomatic nature</w:t>
      </w:r>
      <w:r w:rsidR="00F87CD6">
        <w:rPr>
          <w:rFonts w:ascii="Arial" w:hAnsi="Arial" w:cs="Arial"/>
        </w:rPr>
        <w:t xml:space="preserve"> </w:t>
      </w:r>
      <w:r w:rsidR="00F87CD6" w:rsidRPr="00F87CD6">
        <w:rPr>
          <w:rFonts w:ascii="Arial" w:hAnsi="Arial" w:cs="Arial"/>
          <w:highlight w:val="yellow"/>
        </w:rPr>
        <w:t>(Rajab; Hamdan, 2002)</w:t>
      </w:r>
      <w:r w:rsidRPr="00F87CD6">
        <w:rPr>
          <w:rFonts w:ascii="Arial" w:hAnsi="Arial" w:cs="Arial"/>
          <w:highlight w:val="yellow"/>
        </w:rPr>
        <w:t>,</w:t>
      </w:r>
      <w:r w:rsidRPr="00164453">
        <w:rPr>
          <w:rFonts w:ascii="Arial" w:hAnsi="Arial" w:cs="Arial"/>
        </w:rPr>
        <w:t xml:space="preserve"> with precise anatomical localization achieved via CBCT. Surgical access was performed through the lingual aspect, requiring careful attention to avoid neural injury, particularly on the left side. Biomaterials were applied in the surgical sites, resulting in favorable bone repair and no complications</w:t>
      </w:r>
      <w:r w:rsidR="00730EEB" w:rsidRPr="00164453">
        <w:rPr>
          <w:rFonts w:ascii="Arial" w:hAnsi="Arial" w:cs="Arial"/>
        </w:rPr>
        <w:t>.</w:t>
      </w:r>
      <w:r w:rsidR="027E85C1" w:rsidRPr="00164453">
        <w:rPr>
          <w:rFonts w:ascii="Arial" w:hAnsi="Arial" w:cs="Arial"/>
        </w:rPr>
        <w:t xml:space="preserve"> </w:t>
      </w:r>
    </w:p>
    <w:p w14:paraId="1851F97D" w14:textId="77777777" w:rsidR="00790ADA" w:rsidRPr="00164453" w:rsidRDefault="00790ADA" w:rsidP="00441B6F">
      <w:pPr>
        <w:pStyle w:val="Body"/>
        <w:spacing w:after="0"/>
        <w:rPr>
          <w:rFonts w:ascii="Arial" w:hAnsi="Arial" w:cs="Arial"/>
        </w:rPr>
      </w:pPr>
    </w:p>
    <w:p w14:paraId="1BDCEC48" w14:textId="77777777" w:rsidR="00B01FCD" w:rsidRPr="00164453" w:rsidRDefault="00000F8F" w:rsidP="00441B6F">
      <w:pPr>
        <w:pStyle w:val="ConcHead"/>
        <w:spacing w:after="0"/>
        <w:jc w:val="both"/>
        <w:rPr>
          <w:rFonts w:ascii="Arial" w:hAnsi="Arial" w:cs="Arial"/>
        </w:rPr>
      </w:pPr>
      <w:r w:rsidRPr="00164453">
        <w:rPr>
          <w:rFonts w:ascii="Arial" w:hAnsi="Arial" w:cs="Arial"/>
        </w:rPr>
        <w:t xml:space="preserve">4. </w:t>
      </w:r>
      <w:r w:rsidR="00B01FCD" w:rsidRPr="00164453">
        <w:rPr>
          <w:rFonts w:ascii="Arial" w:hAnsi="Arial" w:cs="Arial"/>
        </w:rPr>
        <w:t>Conclusion</w:t>
      </w:r>
    </w:p>
    <w:p w14:paraId="05613EA8" w14:textId="77777777" w:rsidR="00790ADA" w:rsidRPr="00164453" w:rsidRDefault="00790ADA" w:rsidP="00441B6F">
      <w:pPr>
        <w:pStyle w:val="ConcHead"/>
        <w:spacing w:after="0"/>
        <w:jc w:val="both"/>
        <w:rPr>
          <w:rFonts w:ascii="Arial" w:hAnsi="Arial" w:cs="Arial"/>
        </w:rPr>
      </w:pPr>
    </w:p>
    <w:p w14:paraId="47C69E8E" w14:textId="79A22320" w:rsidR="00AD4D27" w:rsidRPr="00164453" w:rsidRDefault="008E491F" w:rsidP="00441B6F">
      <w:pPr>
        <w:pStyle w:val="Body"/>
        <w:spacing w:after="0"/>
        <w:rPr>
          <w:rFonts w:ascii="Arial" w:hAnsi="Arial" w:cs="Arial"/>
        </w:rPr>
      </w:pPr>
      <w:r w:rsidRPr="00164453">
        <w:rPr>
          <w:rFonts w:ascii="Arial" w:hAnsi="Arial" w:cs="Arial"/>
        </w:rPr>
        <w:t>The findings reported in the literature were confirmed in the present case report of a non-syndromic patient with bilateral supernumerary teeth in the mandibular premolar region, detected early as radiographic findings on panoramic imaging. Cone-beam computed tomography allowed precise localization of the teeth, which was essential for planning the surgical removal procedures. The surgeries presented challenges, including the need for lingual surgical access, high bone density in the regions, and the requirement for biomaterials to support tissue regeneration</w:t>
      </w:r>
      <w:r w:rsidR="00AD4D27" w:rsidRPr="00164453">
        <w:rPr>
          <w:rFonts w:ascii="Arial" w:hAnsi="Arial" w:cs="Arial"/>
        </w:rPr>
        <w:t>.</w:t>
      </w:r>
    </w:p>
    <w:p w14:paraId="70BD9369" w14:textId="77777777" w:rsidR="00315186" w:rsidRPr="00164453" w:rsidRDefault="00315186" w:rsidP="00441B6F"/>
    <w:p w14:paraId="33CD278B" w14:textId="77777777" w:rsidR="00315186" w:rsidRPr="00164453" w:rsidRDefault="00315186" w:rsidP="00441B6F"/>
    <w:p w14:paraId="6072D7D6" w14:textId="77777777" w:rsidR="00315186" w:rsidRPr="00164453" w:rsidRDefault="00315186" w:rsidP="00441B6F"/>
    <w:p w14:paraId="30CF0C80" w14:textId="77777777" w:rsidR="00315186" w:rsidRPr="00164453" w:rsidRDefault="00315186" w:rsidP="00441B6F"/>
    <w:p w14:paraId="208E29EA" w14:textId="22C130C8" w:rsidR="00AD4D27" w:rsidRDefault="00AD4D27" w:rsidP="00441B6F">
      <w:pPr>
        <w:pStyle w:val="ReferHead"/>
        <w:spacing w:after="0"/>
        <w:jc w:val="both"/>
        <w:rPr>
          <w:rFonts w:ascii="Arial" w:hAnsi="Arial" w:cs="Arial"/>
          <w:bCs/>
        </w:rPr>
      </w:pPr>
      <w:r w:rsidRPr="00AD4D27">
        <w:rPr>
          <w:rFonts w:ascii="Arial" w:hAnsi="Arial" w:cs="Arial"/>
          <w:bCs/>
        </w:rPr>
        <w:t>DISCLAIMER (ARTIFICIAL INTELLIGENCE)</w:t>
      </w:r>
    </w:p>
    <w:p w14:paraId="40F6F126" w14:textId="77777777" w:rsidR="00AD4D27" w:rsidRDefault="00AD4D27" w:rsidP="00441B6F">
      <w:pPr>
        <w:pStyle w:val="ReferHead"/>
        <w:spacing w:after="0"/>
        <w:jc w:val="both"/>
        <w:rPr>
          <w:rFonts w:ascii="Arial" w:hAnsi="Arial" w:cs="Arial"/>
          <w:b w:val="0"/>
        </w:rPr>
      </w:pPr>
    </w:p>
    <w:p w14:paraId="1D9E9B52" w14:textId="35E8FBE7" w:rsidR="00AD4D27" w:rsidRPr="00F75CD4" w:rsidRDefault="00AD4D27" w:rsidP="00441B6F">
      <w:pPr>
        <w:pStyle w:val="ReferHead"/>
        <w:spacing w:after="0"/>
        <w:jc w:val="both"/>
        <w:rPr>
          <w:rFonts w:ascii="Arial" w:hAnsi="Arial" w:cs="Arial"/>
          <w:b w:val="0"/>
          <w:sz w:val="20"/>
        </w:rPr>
      </w:pPr>
      <w:r w:rsidRPr="00F75CD4">
        <w:rPr>
          <w:rFonts w:ascii="Arial" w:hAnsi="Arial" w:cs="Arial"/>
          <w:b w:val="0"/>
          <w:caps w:val="0"/>
          <w:sz w:val="20"/>
        </w:rPr>
        <w:t xml:space="preserve">Author(s) hereby declare that NO generative AI technologies such as Large Language Models (ChatGPT, COPILOT, </w:t>
      </w:r>
      <w:proofErr w:type="spellStart"/>
      <w:r w:rsidRPr="00F75CD4">
        <w:rPr>
          <w:rFonts w:ascii="Arial" w:hAnsi="Arial" w:cs="Arial"/>
          <w:b w:val="0"/>
          <w:caps w:val="0"/>
          <w:sz w:val="20"/>
        </w:rPr>
        <w:t>etc</w:t>
      </w:r>
      <w:proofErr w:type="spellEnd"/>
      <w:r w:rsidRPr="00F75CD4">
        <w:rPr>
          <w:rFonts w:ascii="Arial" w:hAnsi="Arial" w:cs="Arial"/>
          <w:b w:val="0"/>
          <w:caps w:val="0"/>
          <w:sz w:val="20"/>
        </w:rPr>
        <w:t>) and text-to-image generators have been used during writing or editing of this manuscript.</w:t>
      </w:r>
    </w:p>
    <w:p w14:paraId="236AF634" w14:textId="77777777" w:rsidR="00AD4D27" w:rsidRPr="00AD4D27" w:rsidRDefault="00AD4D27" w:rsidP="00441B6F">
      <w:pPr>
        <w:pStyle w:val="ReferHead"/>
        <w:spacing w:after="0"/>
        <w:jc w:val="both"/>
        <w:rPr>
          <w:rFonts w:ascii="Arial" w:hAnsi="Arial" w:cs="Arial"/>
          <w:b w:val="0"/>
        </w:rPr>
      </w:pPr>
    </w:p>
    <w:p w14:paraId="2DDC2A91" w14:textId="77777777" w:rsidR="002B685A" w:rsidRDefault="002B685A" w:rsidP="00441B6F">
      <w:pPr>
        <w:pStyle w:val="ReferHead"/>
        <w:spacing w:after="0"/>
        <w:jc w:val="both"/>
        <w:rPr>
          <w:rFonts w:ascii="Arial" w:hAnsi="Arial" w:cs="Arial"/>
          <w:b w:val="0"/>
          <w:caps w:val="0"/>
          <w:sz w:val="20"/>
        </w:rPr>
      </w:pPr>
    </w:p>
    <w:p w14:paraId="7259CBB9" w14:textId="182C579E" w:rsidR="002B685A" w:rsidRPr="00164453" w:rsidRDefault="002B685A" w:rsidP="00441B6F">
      <w:pPr>
        <w:pStyle w:val="ReferHead"/>
        <w:spacing w:after="0"/>
        <w:jc w:val="both"/>
        <w:rPr>
          <w:rFonts w:ascii="Arial" w:hAnsi="Arial" w:cs="Arial"/>
          <w:bCs/>
        </w:rPr>
      </w:pPr>
      <w:r w:rsidRPr="00164453">
        <w:rPr>
          <w:rFonts w:ascii="Arial" w:hAnsi="Arial" w:cs="Arial"/>
          <w:bCs/>
        </w:rPr>
        <w:t>Consent</w:t>
      </w:r>
    </w:p>
    <w:p w14:paraId="79E96A3F" w14:textId="77777777" w:rsidR="002B685A" w:rsidRPr="00164453" w:rsidRDefault="002B685A" w:rsidP="00441B6F">
      <w:pPr>
        <w:pStyle w:val="ReferHead"/>
        <w:spacing w:after="0"/>
        <w:jc w:val="both"/>
        <w:rPr>
          <w:rFonts w:ascii="Arial" w:hAnsi="Arial" w:cs="Arial"/>
          <w:bCs/>
        </w:rPr>
      </w:pPr>
    </w:p>
    <w:p w14:paraId="6086FDB1" w14:textId="2023B1E1" w:rsidR="00AD4D27" w:rsidRPr="00164453" w:rsidRDefault="008E491F" w:rsidP="00441B6F">
      <w:pPr>
        <w:pStyle w:val="ReferHead"/>
        <w:spacing w:after="0"/>
        <w:jc w:val="both"/>
        <w:rPr>
          <w:rFonts w:ascii="Arial" w:hAnsi="Arial" w:cs="Arial"/>
          <w:b w:val="0"/>
          <w:caps w:val="0"/>
          <w:sz w:val="20"/>
        </w:rPr>
      </w:pPr>
      <w:r w:rsidRPr="00164453">
        <w:rPr>
          <w:rFonts w:ascii="Arial" w:hAnsi="Arial" w:cs="Arial"/>
          <w:b w:val="0"/>
          <w:caps w:val="0"/>
          <w:sz w:val="20"/>
        </w:rPr>
        <w:t xml:space="preserve">All authors declare that written informed consent was obtained from the patient (or authorized representatives) for the publication of this case report and the accompanying images. A copy </w:t>
      </w:r>
      <w:r w:rsidRPr="00164453">
        <w:rPr>
          <w:rFonts w:ascii="Arial" w:hAnsi="Arial" w:cs="Arial"/>
          <w:b w:val="0"/>
          <w:caps w:val="0"/>
          <w:sz w:val="20"/>
        </w:rPr>
        <w:lastRenderedPageBreak/>
        <w:t>of the written consent is available for review by the Editorial Board, Editor-in-Chief, or members of the Editorial Board of this journal</w:t>
      </w:r>
      <w:r w:rsidR="00AD4D27" w:rsidRPr="00164453">
        <w:rPr>
          <w:rFonts w:ascii="Arial" w:hAnsi="Arial" w:cs="Arial"/>
          <w:b w:val="0"/>
          <w:caps w:val="0"/>
          <w:sz w:val="20"/>
        </w:rPr>
        <w:t>.</w:t>
      </w:r>
    </w:p>
    <w:p w14:paraId="08ED0293" w14:textId="77777777" w:rsidR="00AD4D27" w:rsidRPr="00164453" w:rsidRDefault="00AD4D27" w:rsidP="00441B6F">
      <w:pPr>
        <w:pStyle w:val="ReferHead"/>
        <w:spacing w:after="0"/>
        <w:jc w:val="both"/>
        <w:rPr>
          <w:rFonts w:ascii="Arial" w:hAnsi="Arial" w:cs="Arial"/>
          <w:b w:val="0"/>
          <w:caps w:val="0"/>
          <w:sz w:val="20"/>
        </w:rPr>
      </w:pPr>
    </w:p>
    <w:p w14:paraId="7735217D" w14:textId="77777777" w:rsidR="005C784C" w:rsidRPr="00164453" w:rsidRDefault="005C784C" w:rsidP="00441B6F">
      <w:pPr>
        <w:pStyle w:val="ReferHead"/>
        <w:spacing w:after="0"/>
        <w:jc w:val="both"/>
        <w:rPr>
          <w:rFonts w:ascii="Arial" w:hAnsi="Arial" w:cs="Arial"/>
          <w:b w:val="0"/>
          <w:caps w:val="0"/>
          <w:sz w:val="20"/>
        </w:rPr>
      </w:pPr>
    </w:p>
    <w:p w14:paraId="4C52AB0D" w14:textId="63C9D48C" w:rsidR="005C784C" w:rsidRPr="00164453" w:rsidRDefault="005C784C" w:rsidP="00441B6F">
      <w:pPr>
        <w:pStyle w:val="ReferHead"/>
        <w:spacing w:after="0"/>
        <w:jc w:val="both"/>
        <w:rPr>
          <w:rFonts w:ascii="Arial" w:hAnsi="Arial" w:cs="Arial"/>
          <w:bCs/>
        </w:rPr>
      </w:pPr>
      <w:r w:rsidRPr="00164453">
        <w:rPr>
          <w:rFonts w:ascii="Arial" w:hAnsi="Arial" w:cs="Arial"/>
          <w:bCs/>
        </w:rPr>
        <w:t>Ethical approval</w:t>
      </w:r>
    </w:p>
    <w:p w14:paraId="1A78E844" w14:textId="77777777" w:rsidR="005C784C" w:rsidRPr="00164453" w:rsidRDefault="005C784C" w:rsidP="00441B6F">
      <w:pPr>
        <w:pStyle w:val="ReferHead"/>
        <w:spacing w:after="0"/>
        <w:jc w:val="both"/>
        <w:rPr>
          <w:rFonts w:ascii="Arial" w:hAnsi="Arial" w:cs="Arial"/>
          <w:bCs/>
        </w:rPr>
      </w:pPr>
    </w:p>
    <w:p w14:paraId="5B9387B3" w14:textId="09817754" w:rsidR="00AD4D27" w:rsidRPr="00164453" w:rsidRDefault="008E491F" w:rsidP="100EE4C3">
      <w:pPr>
        <w:pStyle w:val="ReferHead"/>
        <w:spacing w:after="0"/>
        <w:jc w:val="both"/>
        <w:rPr>
          <w:rFonts w:ascii="Arial" w:hAnsi="Arial" w:cs="Arial"/>
          <w:b w:val="0"/>
          <w:caps w:val="0"/>
          <w:sz w:val="20"/>
        </w:rPr>
      </w:pPr>
      <w:r w:rsidRPr="00164453">
        <w:rPr>
          <w:rFonts w:ascii="Arial" w:hAnsi="Arial" w:cs="Arial"/>
          <w:b w:val="0"/>
          <w:caps w:val="0"/>
          <w:sz w:val="20"/>
        </w:rPr>
        <w:t xml:space="preserve">This study was submitted to the Research Ethics Committee of the Federal University of </w:t>
      </w:r>
      <w:proofErr w:type="spellStart"/>
      <w:r w:rsidRPr="00164453">
        <w:rPr>
          <w:rFonts w:ascii="Arial" w:hAnsi="Arial" w:cs="Arial"/>
          <w:b w:val="0"/>
          <w:caps w:val="0"/>
          <w:sz w:val="20"/>
        </w:rPr>
        <w:t>Alfenas</w:t>
      </w:r>
      <w:proofErr w:type="spellEnd"/>
      <w:r w:rsidRPr="00164453">
        <w:rPr>
          <w:rFonts w:ascii="Arial" w:hAnsi="Arial" w:cs="Arial"/>
          <w:b w:val="0"/>
          <w:caps w:val="0"/>
          <w:sz w:val="20"/>
        </w:rPr>
        <w:t xml:space="preserve"> (UNIFAL-MG) and was approved on December 6, 2024, under protocol number </w:t>
      </w:r>
      <w:r w:rsidR="52D0586A" w:rsidRPr="00164453">
        <w:rPr>
          <w:rFonts w:ascii="Arial" w:hAnsi="Arial" w:cs="Arial"/>
          <w:b w:val="0"/>
          <w:caps w:val="0"/>
          <w:sz w:val="20"/>
        </w:rPr>
        <w:t>CA</w:t>
      </w:r>
      <w:r w:rsidR="3C7BA9F1" w:rsidRPr="00164453">
        <w:rPr>
          <w:rFonts w:ascii="Arial" w:hAnsi="Arial" w:cs="Arial"/>
          <w:b w:val="0"/>
          <w:caps w:val="0"/>
          <w:sz w:val="20"/>
        </w:rPr>
        <w:t>A</w:t>
      </w:r>
      <w:r w:rsidR="52D0586A" w:rsidRPr="00164453">
        <w:rPr>
          <w:rFonts w:ascii="Arial" w:hAnsi="Arial" w:cs="Arial"/>
          <w:b w:val="0"/>
          <w:caps w:val="0"/>
          <w:sz w:val="20"/>
        </w:rPr>
        <w:t>E 84675924.0.0000.5142. </w:t>
      </w:r>
    </w:p>
    <w:p w14:paraId="0E42E71C" w14:textId="77777777" w:rsidR="00AD4D27" w:rsidRPr="00164453" w:rsidRDefault="00AD4D27" w:rsidP="00441B6F">
      <w:pPr>
        <w:pStyle w:val="ReferHead"/>
        <w:spacing w:after="0"/>
        <w:jc w:val="both"/>
        <w:rPr>
          <w:rFonts w:ascii="Arial" w:hAnsi="Arial" w:cs="Arial"/>
          <w:b w:val="0"/>
          <w:caps w:val="0"/>
          <w:sz w:val="20"/>
        </w:rPr>
      </w:pPr>
    </w:p>
    <w:p w14:paraId="7D23D673" w14:textId="77777777" w:rsidR="00860000" w:rsidRPr="00164453" w:rsidRDefault="00860000" w:rsidP="00441B6F">
      <w:pPr>
        <w:pStyle w:val="ReferHead"/>
        <w:spacing w:after="0"/>
        <w:jc w:val="both"/>
        <w:rPr>
          <w:rFonts w:ascii="Arial" w:hAnsi="Arial" w:cs="Arial"/>
        </w:rPr>
      </w:pPr>
    </w:p>
    <w:p w14:paraId="62E6EE5D" w14:textId="77777777" w:rsidR="00B01FCD" w:rsidRDefault="2B2C574F" w:rsidP="00441B6F">
      <w:pPr>
        <w:pStyle w:val="ReferHead"/>
        <w:spacing w:after="0"/>
        <w:jc w:val="both"/>
        <w:rPr>
          <w:rFonts w:ascii="Arial" w:hAnsi="Arial" w:cs="Arial"/>
          <w:lang w:val="pt-BR"/>
        </w:rPr>
      </w:pPr>
      <w:r w:rsidRPr="00074EC0">
        <w:rPr>
          <w:rFonts w:ascii="Arial" w:hAnsi="Arial" w:cs="Arial"/>
          <w:lang w:val="pt-BR"/>
        </w:rPr>
        <w:t>References</w:t>
      </w:r>
    </w:p>
    <w:p w14:paraId="66BAFC72" w14:textId="77777777" w:rsidR="006F4149" w:rsidRPr="00074EC0" w:rsidRDefault="006F4149" w:rsidP="00441B6F">
      <w:pPr>
        <w:pStyle w:val="ReferHead"/>
        <w:spacing w:after="0"/>
        <w:jc w:val="both"/>
        <w:rPr>
          <w:rFonts w:ascii="Arial" w:hAnsi="Arial" w:cs="Arial"/>
          <w:lang w:val="pt-BR"/>
        </w:rPr>
      </w:pPr>
    </w:p>
    <w:p w14:paraId="34243B21" w14:textId="77777777" w:rsidR="00ED6FEC" w:rsidRPr="00ED6FEC" w:rsidRDefault="00ED6FEC" w:rsidP="00ED6FEC">
      <w:pPr>
        <w:pStyle w:val="Body"/>
        <w:rPr>
          <w:lang w:val="es-ES"/>
        </w:rPr>
      </w:pPr>
      <w:r w:rsidRPr="00ED6FEC">
        <w:rPr>
          <w:lang w:val="es-ES"/>
        </w:rPr>
        <w:t xml:space="preserve">1. </w:t>
      </w:r>
      <w:proofErr w:type="spellStart"/>
      <w:r w:rsidRPr="00ED6FEC">
        <w:rPr>
          <w:lang w:val="es-ES"/>
        </w:rPr>
        <w:t>Aparcana</w:t>
      </w:r>
      <w:proofErr w:type="spellEnd"/>
      <w:r w:rsidRPr="00ED6FEC">
        <w:rPr>
          <w:lang w:val="es-ES"/>
        </w:rPr>
        <w:t>-Quijandría, P. M. J., &amp; Huamani-</w:t>
      </w:r>
      <w:proofErr w:type="spellStart"/>
      <w:r w:rsidRPr="00ED6FEC">
        <w:rPr>
          <w:lang w:val="es-ES"/>
        </w:rPr>
        <w:t>Echaccaya</w:t>
      </w:r>
      <w:proofErr w:type="spellEnd"/>
      <w:r w:rsidRPr="00ED6FEC">
        <w:rPr>
          <w:lang w:val="es-ES"/>
        </w:rPr>
        <w:t xml:space="preserve">, J. L. (2020). </w:t>
      </w:r>
      <w:proofErr w:type="spellStart"/>
      <w:r w:rsidRPr="00ED6FEC">
        <w:rPr>
          <w:lang w:val="es-ES"/>
        </w:rPr>
        <w:t>Nonsyndromic</w:t>
      </w:r>
      <w:proofErr w:type="spellEnd"/>
      <w:r w:rsidRPr="00ED6FEC">
        <w:rPr>
          <w:lang w:val="es-ES"/>
        </w:rPr>
        <w:t xml:space="preserve"> </w:t>
      </w:r>
      <w:proofErr w:type="spellStart"/>
      <w:r w:rsidRPr="00ED6FEC">
        <w:rPr>
          <w:lang w:val="es-ES"/>
        </w:rPr>
        <w:t>multiple</w:t>
      </w:r>
      <w:proofErr w:type="spellEnd"/>
      <w:r w:rsidRPr="00ED6FEC">
        <w:rPr>
          <w:lang w:val="es-ES"/>
        </w:rPr>
        <w:t xml:space="preserve"> supernumeraries in </w:t>
      </w:r>
      <w:proofErr w:type="spellStart"/>
      <w:r w:rsidRPr="00ED6FEC">
        <w:rPr>
          <w:lang w:val="es-ES"/>
        </w:rPr>
        <w:t>permanent</w:t>
      </w:r>
      <w:proofErr w:type="spellEnd"/>
      <w:r w:rsidRPr="00ED6FEC">
        <w:rPr>
          <w:lang w:val="es-ES"/>
        </w:rPr>
        <w:t xml:space="preserve"> </w:t>
      </w:r>
      <w:proofErr w:type="spellStart"/>
      <w:r w:rsidRPr="00ED6FEC">
        <w:rPr>
          <w:lang w:val="es-ES"/>
        </w:rPr>
        <w:t>dentition</w:t>
      </w:r>
      <w:proofErr w:type="spellEnd"/>
      <w:r w:rsidRPr="00ED6FEC">
        <w:rPr>
          <w:lang w:val="es-ES"/>
        </w:rPr>
        <w:t xml:space="preserve">. Case </w:t>
      </w:r>
      <w:proofErr w:type="spellStart"/>
      <w:r w:rsidRPr="00ED6FEC">
        <w:rPr>
          <w:lang w:val="es-ES"/>
        </w:rPr>
        <w:t>report</w:t>
      </w:r>
      <w:proofErr w:type="spellEnd"/>
      <w:r w:rsidRPr="00ED6FEC">
        <w:rPr>
          <w:lang w:val="es-ES"/>
        </w:rPr>
        <w:t>. Revista Estomatológica Herediana, 30(4), 302–307. https://doi.org/10.20453/reh.v30i4.3884</w:t>
      </w:r>
    </w:p>
    <w:p w14:paraId="6CFD1E47" w14:textId="77777777" w:rsidR="00ED6FEC" w:rsidRPr="00ED6FEC" w:rsidRDefault="00ED6FEC" w:rsidP="00ED6FEC">
      <w:pPr>
        <w:pStyle w:val="Body"/>
        <w:rPr>
          <w:lang w:val="es-ES"/>
        </w:rPr>
      </w:pPr>
    </w:p>
    <w:p w14:paraId="457F79F6" w14:textId="77777777" w:rsidR="00ED6FEC" w:rsidRPr="00ED6FEC" w:rsidRDefault="00ED6FEC" w:rsidP="00ED6FEC">
      <w:pPr>
        <w:pStyle w:val="Body"/>
        <w:rPr>
          <w:lang w:val="es-ES"/>
        </w:rPr>
      </w:pPr>
      <w:r w:rsidRPr="00ED6FEC">
        <w:rPr>
          <w:lang w:val="es-ES"/>
        </w:rPr>
        <w:t xml:space="preserve">2. Neville, B., Damm, D. D., Allen, C. M., &amp; </w:t>
      </w:r>
      <w:proofErr w:type="spellStart"/>
      <w:r w:rsidRPr="00ED6FEC">
        <w:rPr>
          <w:lang w:val="es-ES"/>
        </w:rPr>
        <w:t>Bouquot</w:t>
      </w:r>
      <w:proofErr w:type="spellEnd"/>
      <w:r w:rsidRPr="00ED6FEC">
        <w:rPr>
          <w:lang w:val="es-ES"/>
        </w:rPr>
        <w:t xml:space="preserve">, J. E. (2016). Oral and </w:t>
      </w:r>
      <w:proofErr w:type="spellStart"/>
      <w:r w:rsidRPr="00ED6FEC">
        <w:rPr>
          <w:lang w:val="es-ES"/>
        </w:rPr>
        <w:t>maxillofacial</w:t>
      </w:r>
      <w:proofErr w:type="spellEnd"/>
      <w:r w:rsidRPr="00ED6FEC">
        <w:rPr>
          <w:lang w:val="es-ES"/>
        </w:rPr>
        <w:t xml:space="preserve"> </w:t>
      </w:r>
      <w:proofErr w:type="spellStart"/>
      <w:r w:rsidRPr="00ED6FEC">
        <w:rPr>
          <w:lang w:val="es-ES"/>
        </w:rPr>
        <w:t>pathology</w:t>
      </w:r>
      <w:proofErr w:type="spellEnd"/>
      <w:r w:rsidRPr="00ED6FEC">
        <w:rPr>
          <w:lang w:val="es-ES"/>
        </w:rPr>
        <w:t xml:space="preserve"> (4th ed.). Rio de Janeiro: Elsevier.</w:t>
      </w:r>
    </w:p>
    <w:p w14:paraId="4676A90F" w14:textId="77777777" w:rsidR="00ED6FEC" w:rsidRPr="00ED6FEC" w:rsidRDefault="00ED6FEC" w:rsidP="00ED6FEC">
      <w:pPr>
        <w:pStyle w:val="Body"/>
        <w:rPr>
          <w:lang w:val="es-ES"/>
        </w:rPr>
      </w:pPr>
    </w:p>
    <w:p w14:paraId="5140845B" w14:textId="77777777" w:rsidR="00ED6FEC" w:rsidRPr="00ED6FEC" w:rsidRDefault="00ED6FEC" w:rsidP="00ED6FEC">
      <w:pPr>
        <w:pStyle w:val="Body"/>
        <w:rPr>
          <w:lang w:val="es-ES"/>
        </w:rPr>
      </w:pPr>
      <w:r w:rsidRPr="00ED6FEC">
        <w:rPr>
          <w:lang w:val="es-ES"/>
        </w:rPr>
        <w:t xml:space="preserve">3. </w:t>
      </w:r>
      <w:proofErr w:type="spellStart"/>
      <w:r w:rsidRPr="00ED6FEC">
        <w:rPr>
          <w:lang w:val="es-ES"/>
        </w:rPr>
        <w:t>Silvério</w:t>
      </w:r>
      <w:proofErr w:type="spellEnd"/>
      <w:r w:rsidRPr="00ED6FEC">
        <w:rPr>
          <w:lang w:val="es-ES"/>
        </w:rPr>
        <w:t xml:space="preserve">, P. N., Osório, S. G., Osório, A., &amp; Queiroz, P. M. (2019). </w:t>
      </w:r>
      <w:proofErr w:type="spellStart"/>
      <w:r w:rsidRPr="00ED6FEC">
        <w:rPr>
          <w:lang w:val="es-ES"/>
        </w:rPr>
        <w:t>Epidemiological</w:t>
      </w:r>
      <w:proofErr w:type="spellEnd"/>
      <w:r w:rsidRPr="00ED6FEC">
        <w:rPr>
          <w:lang w:val="es-ES"/>
        </w:rPr>
        <w:t xml:space="preserve"> </w:t>
      </w:r>
      <w:proofErr w:type="spellStart"/>
      <w:r w:rsidRPr="00ED6FEC">
        <w:rPr>
          <w:lang w:val="es-ES"/>
        </w:rPr>
        <w:t>study</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supernumerary</w:t>
      </w:r>
      <w:proofErr w:type="spellEnd"/>
      <w:r w:rsidRPr="00ED6FEC">
        <w:rPr>
          <w:lang w:val="es-ES"/>
        </w:rPr>
        <w:t xml:space="preserve"> </w:t>
      </w:r>
      <w:proofErr w:type="spellStart"/>
      <w:r w:rsidRPr="00ED6FEC">
        <w:rPr>
          <w:lang w:val="es-ES"/>
        </w:rPr>
        <w:t>teeth</w:t>
      </w:r>
      <w:proofErr w:type="spellEnd"/>
      <w:r w:rsidRPr="00ED6FEC">
        <w:rPr>
          <w:lang w:val="es-ES"/>
        </w:rPr>
        <w:t xml:space="preserve"> </w:t>
      </w:r>
      <w:proofErr w:type="spellStart"/>
      <w:r w:rsidRPr="00ED6FEC">
        <w:rPr>
          <w:lang w:val="es-ES"/>
        </w:rPr>
        <w:t>diagnosed</w:t>
      </w:r>
      <w:proofErr w:type="spellEnd"/>
      <w:r w:rsidRPr="00ED6FEC">
        <w:rPr>
          <w:lang w:val="es-ES"/>
        </w:rPr>
        <w:t xml:space="preserve"> </w:t>
      </w:r>
      <w:proofErr w:type="spellStart"/>
      <w:r w:rsidRPr="00ED6FEC">
        <w:rPr>
          <w:lang w:val="es-ES"/>
        </w:rPr>
        <w:t>by</w:t>
      </w:r>
      <w:proofErr w:type="spellEnd"/>
      <w:r w:rsidRPr="00ED6FEC">
        <w:rPr>
          <w:lang w:val="es-ES"/>
        </w:rPr>
        <w:t xml:space="preserve"> </w:t>
      </w:r>
      <w:proofErr w:type="spellStart"/>
      <w:r w:rsidRPr="00ED6FEC">
        <w:rPr>
          <w:lang w:val="es-ES"/>
        </w:rPr>
        <w:t>panoramic</w:t>
      </w:r>
      <w:proofErr w:type="spellEnd"/>
      <w:r w:rsidRPr="00ED6FEC">
        <w:rPr>
          <w:lang w:val="es-ES"/>
        </w:rPr>
        <w:t xml:space="preserve"> </w:t>
      </w:r>
      <w:proofErr w:type="spellStart"/>
      <w:r w:rsidRPr="00ED6FEC">
        <w:rPr>
          <w:lang w:val="es-ES"/>
        </w:rPr>
        <w:t>radiography</w:t>
      </w:r>
      <w:proofErr w:type="spellEnd"/>
      <w:r w:rsidRPr="00ED6FEC">
        <w:rPr>
          <w:lang w:val="es-ES"/>
        </w:rPr>
        <w:t xml:space="preserve">. Revista </w:t>
      </w:r>
      <w:proofErr w:type="spellStart"/>
      <w:r w:rsidRPr="00ED6FEC">
        <w:rPr>
          <w:lang w:val="es-ES"/>
        </w:rPr>
        <w:t>Uningá</w:t>
      </w:r>
      <w:proofErr w:type="spellEnd"/>
      <w:r w:rsidRPr="00ED6FEC">
        <w:rPr>
          <w:lang w:val="es-ES"/>
        </w:rPr>
        <w:t>, 56(S5), 115–121. https://doi.org/10.46311/2318-0579.56.eUJ2998</w:t>
      </w:r>
    </w:p>
    <w:p w14:paraId="33228415" w14:textId="77777777" w:rsidR="00ED6FEC" w:rsidRPr="00ED6FEC" w:rsidRDefault="00ED6FEC" w:rsidP="00ED6FEC">
      <w:pPr>
        <w:pStyle w:val="Body"/>
        <w:rPr>
          <w:lang w:val="es-ES"/>
        </w:rPr>
      </w:pPr>
    </w:p>
    <w:p w14:paraId="4E31D81E" w14:textId="77777777" w:rsidR="00ED6FEC" w:rsidRPr="00ED6FEC" w:rsidRDefault="00ED6FEC" w:rsidP="00ED6FEC">
      <w:pPr>
        <w:pStyle w:val="Body"/>
        <w:rPr>
          <w:lang w:val="es-ES"/>
        </w:rPr>
      </w:pPr>
      <w:r w:rsidRPr="00ED6FEC">
        <w:rPr>
          <w:lang w:val="es-ES"/>
        </w:rPr>
        <w:t xml:space="preserve">4. </w:t>
      </w:r>
      <w:proofErr w:type="spellStart"/>
      <w:r w:rsidRPr="00ED6FEC">
        <w:rPr>
          <w:lang w:val="es-ES"/>
        </w:rPr>
        <w:t>Hadziabdic</w:t>
      </w:r>
      <w:proofErr w:type="spellEnd"/>
      <w:r w:rsidRPr="00ED6FEC">
        <w:rPr>
          <w:lang w:val="es-ES"/>
        </w:rPr>
        <w:t xml:space="preserve">, N., </w:t>
      </w:r>
      <w:proofErr w:type="spellStart"/>
      <w:r w:rsidRPr="00ED6FEC">
        <w:rPr>
          <w:lang w:val="es-ES"/>
        </w:rPr>
        <w:t>Haskic</w:t>
      </w:r>
      <w:proofErr w:type="spellEnd"/>
      <w:r w:rsidRPr="00ED6FEC">
        <w:rPr>
          <w:lang w:val="es-ES"/>
        </w:rPr>
        <w:t xml:space="preserve">, A., </w:t>
      </w:r>
      <w:proofErr w:type="spellStart"/>
      <w:r w:rsidRPr="00ED6FEC">
        <w:rPr>
          <w:lang w:val="es-ES"/>
        </w:rPr>
        <w:t>Mujkic</w:t>
      </w:r>
      <w:proofErr w:type="spellEnd"/>
      <w:r w:rsidRPr="00ED6FEC">
        <w:rPr>
          <w:lang w:val="es-ES"/>
        </w:rPr>
        <w:t xml:space="preserve">, A., </w:t>
      </w:r>
      <w:proofErr w:type="spellStart"/>
      <w:r w:rsidRPr="00ED6FEC">
        <w:rPr>
          <w:lang w:val="es-ES"/>
        </w:rPr>
        <w:t>Hasic-Brankovic</w:t>
      </w:r>
      <w:proofErr w:type="spellEnd"/>
      <w:r w:rsidRPr="00ED6FEC">
        <w:rPr>
          <w:lang w:val="es-ES"/>
        </w:rPr>
        <w:t xml:space="preserve">, L., </w:t>
      </w:r>
      <w:proofErr w:type="spellStart"/>
      <w:r w:rsidRPr="00ED6FEC">
        <w:rPr>
          <w:lang w:val="es-ES"/>
        </w:rPr>
        <w:t>Dzankovic</w:t>
      </w:r>
      <w:proofErr w:type="spellEnd"/>
      <w:r w:rsidRPr="00ED6FEC">
        <w:rPr>
          <w:lang w:val="es-ES"/>
        </w:rPr>
        <w:t xml:space="preserve">, A., </w:t>
      </w:r>
      <w:proofErr w:type="spellStart"/>
      <w:r w:rsidRPr="00ED6FEC">
        <w:rPr>
          <w:lang w:val="es-ES"/>
        </w:rPr>
        <w:t>Korac</w:t>
      </w:r>
      <w:proofErr w:type="spellEnd"/>
      <w:r w:rsidRPr="00ED6FEC">
        <w:rPr>
          <w:lang w:val="es-ES"/>
        </w:rPr>
        <w:t xml:space="preserve">, S., &amp; </w:t>
      </w:r>
      <w:proofErr w:type="spellStart"/>
      <w:r w:rsidRPr="00ED6FEC">
        <w:rPr>
          <w:lang w:val="es-ES"/>
        </w:rPr>
        <w:t>Tahmiscija</w:t>
      </w:r>
      <w:proofErr w:type="spellEnd"/>
      <w:r w:rsidRPr="00ED6FEC">
        <w:rPr>
          <w:lang w:val="es-ES"/>
        </w:rPr>
        <w:t xml:space="preserve">, I. (2022). </w:t>
      </w:r>
      <w:proofErr w:type="spellStart"/>
      <w:r w:rsidRPr="00ED6FEC">
        <w:rPr>
          <w:lang w:val="es-ES"/>
        </w:rPr>
        <w:t>Epidemiological</w:t>
      </w:r>
      <w:proofErr w:type="spellEnd"/>
      <w:r w:rsidRPr="00ED6FEC">
        <w:rPr>
          <w:lang w:val="es-ES"/>
        </w:rPr>
        <w:t xml:space="preserve">, </w:t>
      </w:r>
      <w:proofErr w:type="spellStart"/>
      <w:r w:rsidRPr="00ED6FEC">
        <w:rPr>
          <w:lang w:val="es-ES"/>
        </w:rPr>
        <w:t>Clinical</w:t>
      </w:r>
      <w:proofErr w:type="spellEnd"/>
      <w:r w:rsidRPr="00ED6FEC">
        <w:rPr>
          <w:lang w:val="es-ES"/>
        </w:rPr>
        <w:t xml:space="preserve">, and </w:t>
      </w:r>
      <w:proofErr w:type="spellStart"/>
      <w:r w:rsidRPr="00ED6FEC">
        <w:rPr>
          <w:lang w:val="es-ES"/>
        </w:rPr>
        <w:t>Radiographic</w:t>
      </w:r>
      <w:proofErr w:type="spellEnd"/>
      <w:r w:rsidRPr="00ED6FEC">
        <w:rPr>
          <w:lang w:val="es-ES"/>
        </w:rPr>
        <w:t xml:space="preserve"> </w:t>
      </w:r>
      <w:proofErr w:type="spellStart"/>
      <w:r w:rsidRPr="00ED6FEC">
        <w:rPr>
          <w:lang w:val="es-ES"/>
        </w:rPr>
        <w:t>Features</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Supernumerary</w:t>
      </w:r>
      <w:proofErr w:type="spellEnd"/>
      <w:r w:rsidRPr="00ED6FEC">
        <w:rPr>
          <w:lang w:val="es-ES"/>
        </w:rPr>
        <w:t xml:space="preserve"> </w:t>
      </w:r>
      <w:proofErr w:type="spellStart"/>
      <w:r w:rsidRPr="00ED6FEC">
        <w:rPr>
          <w:lang w:val="es-ES"/>
        </w:rPr>
        <w:t>Teeth</w:t>
      </w:r>
      <w:proofErr w:type="spellEnd"/>
      <w:r w:rsidRPr="00ED6FEC">
        <w:rPr>
          <w:lang w:val="es-ES"/>
        </w:rPr>
        <w:t xml:space="preserve"> in </w:t>
      </w:r>
      <w:proofErr w:type="spellStart"/>
      <w:r w:rsidRPr="00ED6FEC">
        <w:rPr>
          <w:lang w:val="es-ES"/>
        </w:rPr>
        <w:t>Nonsyndromic</w:t>
      </w:r>
      <w:proofErr w:type="spellEnd"/>
      <w:r w:rsidRPr="00ED6FEC">
        <w:rPr>
          <w:lang w:val="es-ES"/>
        </w:rPr>
        <w:t xml:space="preserve"> </w:t>
      </w:r>
      <w:proofErr w:type="spellStart"/>
      <w:r w:rsidRPr="00ED6FEC">
        <w:rPr>
          <w:lang w:val="es-ES"/>
        </w:rPr>
        <w:t>Bosnian</w:t>
      </w:r>
      <w:proofErr w:type="spellEnd"/>
      <w:r w:rsidRPr="00ED6FEC">
        <w:rPr>
          <w:lang w:val="es-ES"/>
        </w:rPr>
        <w:t xml:space="preserve"> and </w:t>
      </w:r>
      <w:proofErr w:type="spellStart"/>
      <w:r w:rsidRPr="00ED6FEC">
        <w:rPr>
          <w:lang w:val="es-ES"/>
        </w:rPr>
        <w:t>Herzegovinian</w:t>
      </w:r>
      <w:proofErr w:type="spellEnd"/>
      <w:r w:rsidRPr="00ED6FEC">
        <w:rPr>
          <w:lang w:val="es-ES"/>
        </w:rPr>
        <w:t xml:space="preserve"> </w:t>
      </w:r>
      <w:proofErr w:type="spellStart"/>
      <w:r w:rsidRPr="00ED6FEC">
        <w:rPr>
          <w:lang w:val="es-ES"/>
        </w:rPr>
        <w:t>Population</w:t>
      </w:r>
      <w:proofErr w:type="spellEnd"/>
      <w:r w:rsidRPr="00ED6FEC">
        <w:rPr>
          <w:lang w:val="es-ES"/>
        </w:rPr>
        <w:t xml:space="preserve">: a </w:t>
      </w:r>
      <w:proofErr w:type="spellStart"/>
      <w:r w:rsidRPr="00ED6FEC">
        <w:rPr>
          <w:lang w:val="es-ES"/>
        </w:rPr>
        <w:t>Monocentric</w:t>
      </w:r>
      <w:proofErr w:type="spellEnd"/>
      <w:r w:rsidRPr="00ED6FEC">
        <w:rPr>
          <w:lang w:val="es-ES"/>
        </w:rPr>
        <w:t xml:space="preserve"> </w:t>
      </w:r>
      <w:proofErr w:type="spellStart"/>
      <w:r w:rsidRPr="00ED6FEC">
        <w:rPr>
          <w:lang w:val="es-ES"/>
        </w:rPr>
        <w:t>Study</w:t>
      </w:r>
      <w:proofErr w:type="spellEnd"/>
      <w:r w:rsidRPr="00ED6FEC">
        <w:rPr>
          <w:lang w:val="es-ES"/>
        </w:rPr>
        <w:t>. Medical archives (Sarajevo, Bosnia and Herzegovina), 76(5), 348–353. https://doi.org/10.5455/medarh.2022.76.348-353</w:t>
      </w:r>
    </w:p>
    <w:p w14:paraId="693CE378" w14:textId="77777777" w:rsidR="00ED6FEC" w:rsidRPr="00ED6FEC" w:rsidRDefault="00ED6FEC" w:rsidP="00ED6FEC">
      <w:pPr>
        <w:pStyle w:val="Body"/>
        <w:rPr>
          <w:lang w:val="es-ES"/>
        </w:rPr>
      </w:pPr>
    </w:p>
    <w:p w14:paraId="5FEF5400" w14:textId="77777777" w:rsidR="00ED6FEC" w:rsidRPr="00ED6FEC" w:rsidRDefault="00ED6FEC" w:rsidP="00ED6FEC">
      <w:pPr>
        <w:pStyle w:val="Body"/>
        <w:rPr>
          <w:lang w:val="es-ES"/>
        </w:rPr>
      </w:pPr>
      <w:r w:rsidRPr="00ED6FEC">
        <w:rPr>
          <w:lang w:val="es-ES"/>
        </w:rPr>
        <w:t xml:space="preserve">5. </w:t>
      </w:r>
      <w:proofErr w:type="spellStart"/>
      <w:r w:rsidRPr="00ED6FEC">
        <w:rPr>
          <w:lang w:val="es-ES"/>
        </w:rPr>
        <w:t>Irish</w:t>
      </w:r>
      <w:proofErr w:type="spellEnd"/>
      <w:r w:rsidRPr="00ED6FEC">
        <w:rPr>
          <w:lang w:val="es-ES"/>
        </w:rPr>
        <w:t xml:space="preserve"> J.D. (2022). </w:t>
      </w:r>
      <w:proofErr w:type="spellStart"/>
      <w:r w:rsidRPr="00ED6FEC">
        <w:rPr>
          <w:lang w:val="es-ES"/>
        </w:rPr>
        <w:t>Hyperdontia</w:t>
      </w:r>
      <w:proofErr w:type="spellEnd"/>
      <w:r w:rsidRPr="00ED6FEC">
        <w:rPr>
          <w:lang w:val="es-ES"/>
        </w:rPr>
        <w:t xml:space="preserve"> </w:t>
      </w:r>
      <w:proofErr w:type="spellStart"/>
      <w:r w:rsidRPr="00ED6FEC">
        <w:rPr>
          <w:lang w:val="es-ES"/>
        </w:rPr>
        <w:t>across</w:t>
      </w:r>
      <w:proofErr w:type="spellEnd"/>
      <w:r w:rsidRPr="00ED6FEC">
        <w:rPr>
          <w:lang w:val="es-ES"/>
        </w:rPr>
        <w:t xml:space="preserve"> sub-</w:t>
      </w:r>
      <w:proofErr w:type="spellStart"/>
      <w:r w:rsidRPr="00ED6FEC">
        <w:rPr>
          <w:lang w:val="es-ES"/>
        </w:rPr>
        <w:t>Saharan</w:t>
      </w:r>
      <w:proofErr w:type="spellEnd"/>
      <w:r w:rsidRPr="00ED6FEC">
        <w:rPr>
          <w:lang w:val="es-ES"/>
        </w:rPr>
        <w:t xml:space="preserve"> </w:t>
      </w:r>
      <w:proofErr w:type="spellStart"/>
      <w:r w:rsidRPr="00ED6FEC">
        <w:rPr>
          <w:lang w:val="es-ES"/>
        </w:rPr>
        <w:t>Africa</w:t>
      </w:r>
      <w:proofErr w:type="spellEnd"/>
      <w:r w:rsidRPr="00ED6FEC">
        <w:rPr>
          <w:lang w:val="es-ES"/>
        </w:rPr>
        <w:t xml:space="preserve">: </w:t>
      </w:r>
      <w:proofErr w:type="spellStart"/>
      <w:r w:rsidRPr="00ED6FEC">
        <w:rPr>
          <w:lang w:val="es-ES"/>
        </w:rPr>
        <w:t>Prevalence</w:t>
      </w:r>
      <w:proofErr w:type="spellEnd"/>
      <w:r w:rsidRPr="00ED6FEC">
        <w:rPr>
          <w:lang w:val="es-ES"/>
        </w:rPr>
        <w:t xml:space="preserve">, </w:t>
      </w:r>
      <w:proofErr w:type="spellStart"/>
      <w:r w:rsidRPr="00ED6FEC">
        <w:rPr>
          <w:lang w:val="es-ES"/>
        </w:rPr>
        <w:t>patterning</w:t>
      </w:r>
      <w:proofErr w:type="spellEnd"/>
      <w:r w:rsidRPr="00ED6FEC">
        <w:rPr>
          <w:lang w:val="es-ES"/>
        </w:rPr>
        <w:t xml:space="preserve">, and </w:t>
      </w:r>
      <w:proofErr w:type="spellStart"/>
      <w:r w:rsidRPr="00ED6FEC">
        <w:rPr>
          <w:lang w:val="es-ES"/>
        </w:rPr>
        <w:t>implications</w:t>
      </w:r>
      <w:proofErr w:type="spellEnd"/>
      <w:r w:rsidRPr="00ED6FEC">
        <w:rPr>
          <w:lang w:val="es-ES"/>
        </w:rPr>
        <w:t xml:space="preserve">. Archives </w:t>
      </w:r>
      <w:proofErr w:type="spellStart"/>
      <w:r w:rsidRPr="00ED6FEC">
        <w:rPr>
          <w:lang w:val="es-ES"/>
        </w:rPr>
        <w:t>of</w:t>
      </w:r>
      <w:proofErr w:type="spellEnd"/>
      <w:r w:rsidRPr="00ED6FEC">
        <w:rPr>
          <w:lang w:val="es-ES"/>
        </w:rPr>
        <w:t xml:space="preserve"> oral </w:t>
      </w:r>
      <w:proofErr w:type="spellStart"/>
      <w:r w:rsidRPr="00ED6FEC">
        <w:rPr>
          <w:lang w:val="es-ES"/>
        </w:rPr>
        <w:t>biology</w:t>
      </w:r>
      <w:proofErr w:type="spellEnd"/>
      <w:r w:rsidRPr="00ED6FEC">
        <w:rPr>
          <w:lang w:val="es-ES"/>
        </w:rPr>
        <w:t>, 140, 105463. https://doi.org/10.1016/j.archoralbio.2022.105463</w:t>
      </w:r>
    </w:p>
    <w:p w14:paraId="7B7662EE" w14:textId="77777777" w:rsidR="00ED6FEC" w:rsidRPr="00ED6FEC" w:rsidRDefault="00ED6FEC" w:rsidP="00ED6FEC">
      <w:pPr>
        <w:pStyle w:val="Body"/>
        <w:rPr>
          <w:lang w:val="es-ES"/>
        </w:rPr>
      </w:pPr>
    </w:p>
    <w:p w14:paraId="07BE49FD" w14:textId="77777777" w:rsidR="00ED6FEC" w:rsidRPr="00ED6FEC" w:rsidRDefault="00ED6FEC" w:rsidP="00ED6FEC">
      <w:pPr>
        <w:pStyle w:val="Body"/>
        <w:rPr>
          <w:lang w:val="es-ES"/>
        </w:rPr>
      </w:pPr>
      <w:r w:rsidRPr="00ED6FEC">
        <w:rPr>
          <w:lang w:val="es-ES"/>
        </w:rPr>
        <w:t xml:space="preserve">6. Liu, X., Ren, Q., Bai, J., Kang, P., Ren, G., Li, X., &amp; Feng, X. (2023). </w:t>
      </w:r>
      <w:proofErr w:type="spellStart"/>
      <w:r w:rsidRPr="00ED6FEC">
        <w:rPr>
          <w:lang w:val="es-ES"/>
        </w:rPr>
        <w:t>Imaging</w:t>
      </w:r>
      <w:proofErr w:type="spellEnd"/>
      <w:r w:rsidRPr="00ED6FEC">
        <w:rPr>
          <w:lang w:val="es-ES"/>
        </w:rPr>
        <w:t xml:space="preserve"> </w:t>
      </w:r>
      <w:proofErr w:type="spellStart"/>
      <w:r w:rsidRPr="00ED6FEC">
        <w:rPr>
          <w:lang w:val="es-ES"/>
        </w:rPr>
        <w:t>analysis</w:t>
      </w:r>
      <w:proofErr w:type="spellEnd"/>
      <w:r w:rsidRPr="00ED6FEC">
        <w:rPr>
          <w:lang w:val="es-ES"/>
        </w:rPr>
        <w:t xml:space="preserve"> </w:t>
      </w:r>
      <w:proofErr w:type="spellStart"/>
      <w:r w:rsidRPr="00ED6FEC">
        <w:rPr>
          <w:lang w:val="es-ES"/>
        </w:rPr>
        <w:t>of</w:t>
      </w:r>
      <w:proofErr w:type="spellEnd"/>
      <w:r w:rsidRPr="00ED6FEC">
        <w:rPr>
          <w:lang w:val="es-ES"/>
        </w:rPr>
        <w:t xml:space="preserve"> 1 138 </w:t>
      </w:r>
      <w:proofErr w:type="spellStart"/>
      <w:r w:rsidRPr="00ED6FEC">
        <w:rPr>
          <w:lang w:val="es-ES"/>
        </w:rPr>
        <w:t>supernumerary</w:t>
      </w:r>
      <w:proofErr w:type="spellEnd"/>
      <w:r w:rsidRPr="00ED6FEC">
        <w:rPr>
          <w:lang w:val="es-ES"/>
        </w:rPr>
        <w:t xml:space="preserve"> </w:t>
      </w:r>
      <w:proofErr w:type="spellStart"/>
      <w:r w:rsidRPr="00ED6FEC">
        <w:rPr>
          <w:lang w:val="es-ES"/>
        </w:rPr>
        <w:t>teeth</w:t>
      </w:r>
      <w:proofErr w:type="spellEnd"/>
      <w:r w:rsidRPr="00ED6FEC">
        <w:rPr>
          <w:lang w:val="es-ES"/>
        </w:rPr>
        <w:t xml:space="preserve"> </w:t>
      </w:r>
      <w:proofErr w:type="spellStart"/>
      <w:r w:rsidRPr="00ED6FEC">
        <w:rPr>
          <w:lang w:val="es-ES"/>
        </w:rPr>
        <w:t>by</w:t>
      </w:r>
      <w:proofErr w:type="spellEnd"/>
      <w:r w:rsidRPr="00ED6FEC">
        <w:rPr>
          <w:lang w:val="es-ES"/>
        </w:rPr>
        <w:t xml:space="preserve"> </w:t>
      </w:r>
      <w:proofErr w:type="spellStart"/>
      <w:r w:rsidRPr="00ED6FEC">
        <w:rPr>
          <w:lang w:val="es-ES"/>
        </w:rPr>
        <w:t>using</w:t>
      </w:r>
      <w:proofErr w:type="spellEnd"/>
      <w:r w:rsidRPr="00ED6FEC">
        <w:rPr>
          <w:lang w:val="es-ES"/>
        </w:rPr>
        <w:t xml:space="preserve"> </w:t>
      </w:r>
      <w:proofErr w:type="spellStart"/>
      <w:r w:rsidRPr="00ED6FEC">
        <w:rPr>
          <w:lang w:val="es-ES"/>
        </w:rPr>
        <w:t>cone-beam</w:t>
      </w:r>
      <w:proofErr w:type="spellEnd"/>
      <w:r w:rsidRPr="00ED6FEC">
        <w:rPr>
          <w:lang w:val="es-ES"/>
        </w:rPr>
        <w:t xml:space="preserve"> </w:t>
      </w:r>
      <w:proofErr w:type="spellStart"/>
      <w:r w:rsidRPr="00ED6FEC">
        <w:rPr>
          <w:lang w:val="es-ES"/>
        </w:rPr>
        <w:t>computed</w:t>
      </w:r>
      <w:proofErr w:type="spellEnd"/>
      <w:r w:rsidRPr="00ED6FEC">
        <w:rPr>
          <w:lang w:val="es-ES"/>
        </w:rPr>
        <w:t xml:space="preserve"> </w:t>
      </w:r>
      <w:proofErr w:type="spellStart"/>
      <w:r w:rsidRPr="00ED6FEC">
        <w:rPr>
          <w:lang w:val="es-ES"/>
        </w:rPr>
        <w:t>tomography</w:t>
      </w:r>
      <w:proofErr w:type="spellEnd"/>
      <w:r w:rsidRPr="00ED6FEC">
        <w:rPr>
          <w:lang w:val="es-ES"/>
        </w:rPr>
        <w:t xml:space="preserve">. Hua xi </w:t>
      </w:r>
      <w:proofErr w:type="spellStart"/>
      <w:r w:rsidRPr="00ED6FEC">
        <w:rPr>
          <w:lang w:val="es-ES"/>
        </w:rPr>
        <w:t>kou</w:t>
      </w:r>
      <w:proofErr w:type="spellEnd"/>
      <w:r w:rsidRPr="00ED6FEC">
        <w:rPr>
          <w:lang w:val="es-ES"/>
        </w:rPr>
        <w:t xml:space="preserve"> </w:t>
      </w:r>
      <w:proofErr w:type="spellStart"/>
      <w:r w:rsidRPr="00ED6FEC">
        <w:rPr>
          <w:lang w:val="es-ES"/>
        </w:rPr>
        <w:t>qiang</w:t>
      </w:r>
      <w:proofErr w:type="spellEnd"/>
      <w:r w:rsidRPr="00ED6FEC">
        <w:rPr>
          <w:lang w:val="es-ES"/>
        </w:rPr>
        <w:t xml:space="preserve"> </w:t>
      </w:r>
      <w:proofErr w:type="spellStart"/>
      <w:r w:rsidRPr="00ED6FEC">
        <w:rPr>
          <w:lang w:val="es-ES"/>
        </w:rPr>
        <w:t>yi</w:t>
      </w:r>
      <w:proofErr w:type="spellEnd"/>
      <w:r w:rsidRPr="00ED6FEC">
        <w:rPr>
          <w:lang w:val="es-ES"/>
        </w:rPr>
        <w:t xml:space="preserve"> </w:t>
      </w:r>
      <w:proofErr w:type="spellStart"/>
      <w:r w:rsidRPr="00ED6FEC">
        <w:rPr>
          <w:lang w:val="es-ES"/>
        </w:rPr>
        <w:t>xue</w:t>
      </w:r>
      <w:proofErr w:type="spellEnd"/>
      <w:r w:rsidRPr="00ED6FEC">
        <w:rPr>
          <w:lang w:val="es-ES"/>
        </w:rPr>
        <w:t xml:space="preserve"> </w:t>
      </w:r>
      <w:proofErr w:type="spellStart"/>
      <w:r w:rsidRPr="00ED6FEC">
        <w:rPr>
          <w:lang w:val="es-ES"/>
        </w:rPr>
        <w:t>za</w:t>
      </w:r>
      <w:proofErr w:type="spellEnd"/>
      <w:r w:rsidRPr="00ED6FEC">
        <w:rPr>
          <w:lang w:val="es-ES"/>
        </w:rPr>
        <w:t xml:space="preserve"> </w:t>
      </w:r>
      <w:proofErr w:type="spellStart"/>
      <w:r w:rsidRPr="00ED6FEC">
        <w:rPr>
          <w:lang w:val="es-ES"/>
        </w:rPr>
        <w:t>zhi</w:t>
      </w:r>
      <w:proofErr w:type="spellEnd"/>
      <w:r w:rsidRPr="00ED6FEC">
        <w:rPr>
          <w:lang w:val="es-ES"/>
        </w:rPr>
        <w:t xml:space="preserve"> = </w:t>
      </w:r>
      <w:proofErr w:type="spellStart"/>
      <w:r w:rsidRPr="00ED6FEC">
        <w:rPr>
          <w:lang w:val="es-ES"/>
        </w:rPr>
        <w:t>Huaxi</w:t>
      </w:r>
      <w:proofErr w:type="spellEnd"/>
      <w:r w:rsidRPr="00ED6FEC">
        <w:rPr>
          <w:lang w:val="es-ES"/>
        </w:rPr>
        <w:t xml:space="preserve"> </w:t>
      </w:r>
      <w:proofErr w:type="spellStart"/>
      <w:r w:rsidRPr="00ED6FEC">
        <w:rPr>
          <w:lang w:val="es-ES"/>
        </w:rPr>
        <w:t>kouqiang</w:t>
      </w:r>
      <w:proofErr w:type="spellEnd"/>
      <w:r w:rsidRPr="00ED6FEC">
        <w:rPr>
          <w:lang w:val="es-ES"/>
        </w:rPr>
        <w:t xml:space="preserve"> </w:t>
      </w:r>
      <w:proofErr w:type="spellStart"/>
      <w:r w:rsidRPr="00ED6FEC">
        <w:rPr>
          <w:lang w:val="es-ES"/>
        </w:rPr>
        <w:t>yixue</w:t>
      </w:r>
      <w:proofErr w:type="spellEnd"/>
      <w:r w:rsidRPr="00ED6FEC">
        <w:rPr>
          <w:lang w:val="es-ES"/>
        </w:rPr>
        <w:t xml:space="preserve"> </w:t>
      </w:r>
      <w:proofErr w:type="spellStart"/>
      <w:r w:rsidRPr="00ED6FEC">
        <w:rPr>
          <w:lang w:val="es-ES"/>
        </w:rPr>
        <w:t>zazhi</w:t>
      </w:r>
      <w:proofErr w:type="spellEnd"/>
      <w:r w:rsidRPr="00ED6FEC">
        <w:rPr>
          <w:lang w:val="es-ES"/>
        </w:rPr>
        <w:t xml:space="preserve"> = West China </w:t>
      </w:r>
      <w:proofErr w:type="spellStart"/>
      <w:r w:rsidRPr="00ED6FEC">
        <w:rPr>
          <w:lang w:val="es-ES"/>
        </w:rPr>
        <w:t>journal</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stomatology</w:t>
      </w:r>
      <w:proofErr w:type="spellEnd"/>
      <w:r w:rsidRPr="00ED6FEC">
        <w:rPr>
          <w:lang w:val="es-ES"/>
        </w:rPr>
        <w:t>, 41(6), 671–677. https://doi.org/10.7518/hxkq.2023.2023110</w:t>
      </w:r>
    </w:p>
    <w:p w14:paraId="2A291666" w14:textId="77777777" w:rsidR="00ED6FEC" w:rsidRPr="00ED6FEC" w:rsidRDefault="00ED6FEC" w:rsidP="00ED6FEC">
      <w:pPr>
        <w:pStyle w:val="Body"/>
        <w:rPr>
          <w:lang w:val="es-ES"/>
        </w:rPr>
      </w:pPr>
    </w:p>
    <w:p w14:paraId="054D1655" w14:textId="77777777" w:rsidR="00ED6FEC" w:rsidRPr="00ED6FEC" w:rsidRDefault="00ED6FEC" w:rsidP="00ED6FEC">
      <w:pPr>
        <w:pStyle w:val="Body"/>
        <w:rPr>
          <w:lang w:val="es-ES"/>
        </w:rPr>
      </w:pPr>
      <w:r w:rsidRPr="00ED6FEC">
        <w:rPr>
          <w:lang w:val="es-ES"/>
        </w:rPr>
        <w:lastRenderedPageBreak/>
        <w:t xml:space="preserve">7. </w:t>
      </w:r>
      <w:proofErr w:type="spellStart"/>
      <w:r w:rsidRPr="00ED6FEC">
        <w:rPr>
          <w:lang w:val="es-ES"/>
        </w:rPr>
        <w:t>Kvaratsthelia</w:t>
      </w:r>
      <w:proofErr w:type="spellEnd"/>
      <w:r w:rsidRPr="00ED6FEC">
        <w:rPr>
          <w:lang w:val="es-ES"/>
        </w:rPr>
        <w:t xml:space="preserve">, S. (2024). </w:t>
      </w:r>
      <w:proofErr w:type="spellStart"/>
      <w:r w:rsidRPr="00ED6FEC">
        <w:rPr>
          <w:lang w:val="es-ES"/>
        </w:rPr>
        <w:t>Prevalence</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dentition</w:t>
      </w:r>
      <w:proofErr w:type="spellEnd"/>
      <w:r w:rsidRPr="00ED6FEC">
        <w:rPr>
          <w:lang w:val="es-ES"/>
        </w:rPr>
        <w:t xml:space="preserve">, dental </w:t>
      </w:r>
      <w:proofErr w:type="spellStart"/>
      <w:r w:rsidRPr="00ED6FEC">
        <w:rPr>
          <w:lang w:val="es-ES"/>
        </w:rPr>
        <w:t>arches</w:t>
      </w:r>
      <w:proofErr w:type="spellEnd"/>
      <w:r w:rsidRPr="00ED6FEC">
        <w:rPr>
          <w:lang w:val="es-ES"/>
        </w:rPr>
        <w:t xml:space="preserve">, and dental </w:t>
      </w:r>
      <w:proofErr w:type="spellStart"/>
      <w:r w:rsidRPr="00ED6FEC">
        <w:rPr>
          <w:lang w:val="es-ES"/>
        </w:rPr>
        <w:t>anomalies</w:t>
      </w:r>
      <w:proofErr w:type="spellEnd"/>
      <w:r w:rsidRPr="00ED6FEC">
        <w:rPr>
          <w:lang w:val="es-ES"/>
        </w:rPr>
        <w:t xml:space="preserve">. </w:t>
      </w:r>
      <w:proofErr w:type="spellStart"/>
      <w:r w:rsidRPr="00ED6FEC">
        <w:rPr>
          <w:lang w:val="es-ES"/>
        </w:rPr>
        <w:t>Georgian</w:t>
      </w:r>
      <w:proofErr w:type="spellEnd"/>
      <w:r w:rsidRPr="00ED6FEC">
        <w:rPr>
          <w:lang w:val="es-ES"/>
        </w:rPr>
        <w:t xml:space="preserve"> Medical News, (347), 177–180.</w:t>
      </w:r>
    </w:p>
    <w:p w14:paraId="795E7518" w14:textId="77777777" w:rsidR="00ED6FEC" w:rsidRPr="00ED6FEC" w:rsidRDefault="00ED6FEC" w:rsidP="00ED6FEC">
      <w:pPr>
        <w:pStyle w:val="Body"/>
        <w:rPr>
          <w:lang w:val="es-ES"/>
        </w:rPr>
      </w:pPr>
    </w:p>
    <w:p w14:paraId="37BF1F18" w14:textId="77777777" w:rsidR="00ED6FEC" w:rsidRPr="00ED6FEC" w:rsidRDefault="00ED6FEC" w:rsidP="00ED6FEC">
      <w:pPr>
        <w:pStyle w:val="Body"/>
        <w:rPr>
          <w:lang w:val="es-ES"/>
        </w:rPr>
      </w:pPr>
      <w:r w:rsidRPr="00ED6FEC">
        <w:rPr>
          <w:lang w:val="es-ES"/>
        </w:rPr>
        <w:t xml:space="preserve">8. </w:t>
      </w:r>
      <w:proofErr w:type="spellStart"/>
      <w:r w:rsidRPr="00ED6FEC">
        <w:rPr>
          <w:lang w:val="es-ES"/>
        </w:rPr>
        <w:t>Assunção</w:t>
      </w:r>
      <w:proofErr w:type="spellEnd"/>
      <w:r w:rsidRPr="00ED6FEC">
        <w:rPr>
          <w:lang w:val="es-ES"/>
        </w:rPr>
        <w:t xml:space="preserve">, W. B., Lemos, A. D. do N., Silva, J. H. R. da, &amp; Pereira, N. S. da S. (2024). </w:t>
      </w:r>
      <w:proofErr w:type="spellStart"/>
      <w:r w:rsidRPr="00ED6FEC">
        <w:rPr>
          <w:lang w:val="es-ES"/>
        </w:rPr>
        <w:t>Supernumerary</w:t>
      </w:r>
      <w:proofErr w:type="spellEnd"/>
      <w:r w:rsidRPr="00ED6FEC">
        <w:rPr>
          <w:lang w:val="es-ES"/>
        </w:rPr>
        <w:t xml:space="preserve"> </w:t>
      </w:r>
      <w:proofErr w:type="spellStart"/>
      <w:r w:rsidRPr="00ED6FEC">
        <w:rPr>
          <w:lang w:val="es-ES"/>
        </w:rPr>
        <w:t>tooth</w:t>
      </w:r>
      <w:proofErr w:type="spellEnd"/>
      <w:r w:rsidRPr="00ED6FEC">
        <w:rPr>
          <w:lang w:val="es-ES"/>
        </w:rPr>
        <w:t xml:space="preserve"> in </w:t>
      </w:r>
      <w:proofErr w:type="spellStart"/>
      <w:r w:rsidRPr="00ED6FEC">
        <w:rPr>
          <w:lang w:val="es-ES"/>
        </w:rPr>
        <w:t>the</w:t>
      </w:r>
      <w:proofErr w:type="spellEnd"/>
      <w:r w:rsidRPr="00ED6FEC">
        <w:rPr>
          <w:lang w:val="es-ES"/>
        </w:rPr>
        <w:t xml:space="preserve"> mandibular </w:t>
      </w:r>
      <w:proofErr w:type="spellStart"/>
      <w:r w:rsidRPr="00ED6FEC">
        <w:rPr>
          <w:lang w:val="es-ES"/>
        </w:rPr>
        <w:t>region</w:t>
      </w:r>
      <w:proofErr w:type="spellEnd"/>
      <w:r w:rsidRPr="00ED6FEC">
        <w:rPr>
          <w:lang w:val="es-ES"/>
        </w:rPr>
        <w:t xml:space="preserve">: Case </w:t>
      </w:r>
      <w:proofErr w:type="spellStart"/>
      <w:r w:rsidRPr="00ED6FEC">
        <w:rPr>
          <w:lang w:val="es-ES"/>
        </w:rPr>
        <w:t>report</w:t>
      </w:r>
      <w:proofErr w:type="spellEnd"/>
      <w:r w:rsidRPr="00ED6FEC">
        <w:rPr>
          <w:lang w:val="es-ES"/>
        </w:rPr>
        <w:t xml:space="preserve">. </w:t>
      </w:r>
      <w:proofErr w:type="spellStart"/>
      <w:r w:rsidRPr="00ED6FEC">
        <w:rPr>
          <w:lang w:val="es-ES"/>
        </w:rPr>
        <w:t>Observatory</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the</w:t>
      </w:r>
      <w:proofErr w:type="spellEnd"/>
      <w:r w:rsidRPr="00ED6FEC">
        <w:rPr>
          <w:lang w:val="es-ES"/>
        </w:rPr>
        <w:t xml:space="preserve"> </w:t>
      </w:r>
      <w:proofErr w:type="spellStart"/>
      <w:r w:rsidRPr="00ED6FEC">
        <w:rPr>
          <w:lang w:val="es-ES"/>
        </w:rPr>
        <w:t>Latin</w:t>
      </w:r>
      <w:proofErr w:type="spellEnd"/>
      <w:r w:rsidRPr="00ED6FEC">
        <w:rPr>
          <w:lang w:val="es-ES"/>
        </w:rPr>
        <w:t xml:space="preserve"> American </w:t>
      </w:r>
      <w:proofErr w:type="spellStart"/>
      <w:r w:rsidRPr="00ED6FEC">
        <w:rPr>
          <w:lang w:val="es-ES"/>
        </w:rPr>
        <w:t>Economy</w:t>
      </w:r>
      <w:proofErr w:type="spellEnd"/>
      <w:r w:rsidRPr="00ED6FEC">
        <w:rPr>
          <w:lang w:val="es-ES"/>
        </w:rPr>
        <w:t>, 22(5), e4839. https://doi.org/10.55905/oelv22n5-157</w:t>
      </w:r>
    </w:p>
    <w:p w14:paraId="3A189B7C" w14:textId="77777777" w:rsidR="00ED6FEC" w:rsidRPr="00ED6FEC" w:rsidRDefault="00ED6FEC" w:rsidP="00ED6FEC">
      <w:pPr>
        <w:pStyle w:val="Body"/>
        <w:rPr>
          <w:lang w:val="es-ES"/>
        </w:rPr>
      </w:pPr>
    </w:p>
    <w:p w14:paraId="5D11ADA0" w14:textId="77777777" w:rsidR="00ED6FEC" w:rsidRPr="00ED6FEC" w:rsidRDefault="00ED6FEC" w:rsidP="00ED6FEC">
      <w:pPr>
        <w:pStyle w:val="Body"/>
        <w:rPr>
          <w:lang w:val="es-ES"/>
        </w:rPr>
      </w:pPr>
      <w:r w:rsidRPr="00ED6FEC">
        <w:rPr>
          <w:lang w:val="es-ES"/>
        </w:rPr>
        <w:t xml:space="preserve">9. </w:t>
      </w:r>
      <w:proofErr w:type="spellStart"/>
      <w:r w:rsidRPr="00ED6FEC">
        <w:rPr>
          <w:lang w:val="es-ES"/>
        </w:rPr>
        <w:t>Bogdanowicz</w:t>
      </w:r>
      <w:proofErr w:type="spellEnd"/>
      <w:r w:rsidRPr="00ED6FEC">
        <w:rPr>
          <w:lang w:val="es-ES"/>
        </w:rPr>
        <w:t xml:space="preserve">, A., </w:t>
      </w:r>
      <w:proofErr w:type="spellStart"/>
      <w:r w:rsidRPr="00ED6FEC">
        <w:rPr>
          <w:lang w:val="es-ES"/>
        </w:rPr>
        <w:t>Szwarczyńska</w:t>
      </w:r>
      <w:proofErr w:type="spellEnd"/>
      <w:r w:rsidRPr="00ED6FEC">
        <w:rPr>
          <w:lang w:val="es-ES"/>
        </w:rPr>
        <w:t xml:space="preserve">, K., </w:t>
      </w:r>
      <w:proofErr w:type="spellStart"/>
      <w:r w:rsidRPr="00ED6FEC">
        <w:rPr>
          <w:lang w:val="es-ES"/>
        </w:rPr>
        <w:t>Zaleska</w:t>
      </w:r>
      <w:proofErr w:type="spellEnd"/>
      <w:r w:rsidRPr="00ED6FEC">
        <w:rPr>
          <w:lang w:val="es-ES"/>
        </w:rPr>
        <w:t xml:space="preserve">, S. B., </w:t>
      </w:r>
      <w:proofErr w:type="spellStart"/>
      <w:r w:rsidRPr="00ED6FEC">
        <w:rPr>
          <w:lang w:val="es-ES"/>
        </w:rPr>
        <w:t>Kulczyk</w:t>
      </w:r>
      <w:proofErr w:type="spellEnd"/>
      <w:r w:rsidRPr="00ED6FEC">
        <w:rPr>
          <w:lang w:val="es-ES"/>
        </w:rPr>
        <w:t xml:space="preserve">, T., &amp; </w:t>
      </w:r>
      <w:proofErr w:type="spellStart"/>
      <w:r w:rsidRPr="00ED6FEC">
        <w:rPr>
          <w:lang w:val="es-ES"/>
        </w:rPr>
        <w:t>Biedziak</w:t>
      </w:r>
      <w:proofErr w:type="spellEnd"/>
      <w:r w:rsidRPr="00ED6FEC">
        <w:rPr>
          <w:lang w:val="es-ES"/>
        </w:rPr>
        <w:t xml:space="preserve">, B. (2023). </w:t>
      </w:r>
      <w:proofErr w:type="spellStart"/>
      <w:r w:rsidRPr="00ED6FEC">
        <w:rPr>
          <w:lang w:val="es-ES"/>
        </w:rPr>
        <w:t>Tooth</w:t>
      </w:r>
      <w:proofErr w:type="spellEnd"/>
      <w:r w:rsidRPr="00ED6FEC">
        <w:rPr>
          <w:lang w:val="es-ES"/>
        </w:rPr>
        <w:t xml:space="preserve"> </w:t>
      </w:r>
      <w:proofErr w:type="spellStart"/>
      <w:r w:rsidRPr="00ED6FEC">
        <w:rPr>
          <w:lang w:val="es-ES"/>
        </w:rPr>
        <w:t>Migration</w:t>
      </w:r>
      <w:proofErr w:type="spellEnd"/>
      <w:r w:rsidRPr="00ED6FEC">
        <w:rPr>
          <w:lang w:val="es-ES"/>
        </w:rPr>
        <w:t xml:space="preserve"> in a </w:t>
      </w:r>
      <w:proofErr w:type="spellStart"/>
      <w:r w:rsidRPr="00ED6FEC">
        <w:rPr>
          <w:lang w:val="es-ES"/>
        </w:rPr>
        <w:t>Female</w:t>
      </w:r>
      <w:proofErr w:type="spellEnd"/>
      <w:r w:rsidRPr="00ED6FEC">
        <w:rPr>
          <w:lang w:val="es-ES"/>
        </w:rPr>
        <w:t xml:space="preserve"> </w:t>
      </w:r>
      <w:proofErr w:type="spellStart"/>
      <w:r w:rsidRPr="00ED6FEC">
        <w:rPr>
          <w:lang w:val="es-ES"/>
        </w:rPr>
        <w:t>Patient</w:t>
      </w:r>
      <w:proofErr w:type="spellEnd"/>
      <w:r w:rsidRPr="00ED6FEC">
        <w:rPr>
          <w:lang w:val="es-ES"/>
        </w:rPr>
        <w:t xml:space="preserve"> </w:t>
      </w:r>
      <w:proofErr w:type="spellStart"/>
      <w:r w:rsidRPr="00ED6FEC">
        <w:rPr>
          <w:lang w:val="es-ES"/>
        </w:rPr>
        <w:t>with</w:t>
      </w:r>
      <w:proofErr w:type="spellEnd"/>
      <w:r w:rsidRPr="00ED6FEC">
        <w:rPr>
          <w:lang w:val="es-ES"/>
        </w:rPr>
        <w:t xml:space="preserve"> </w:t>
      </w:r>
      <w:proofErr w:type="spellStart"/>
      <w:r w:rsidRPr="00ED6FEC">
        <w:rPr>
          <w:lang w:val="es-ES"/>
        </w:rPr>
        <w:t>Hyperdontia</w:t>
      </w:r>
      <w:proofErr w:type="spellEnd"/>
      <w:r w:rsidRPr="00ED6FEC">
        <w:rPr>
          <w:lang w:val="es-ES"/>
        </w:rPr>
        <w:t xml:space="preserve">: 11-Year </w:t>
      </w:r>
      <w:proofErr w:type="spellStart"/>
      <w:r w:rsidRPr="00ED6FEC">
        <w:rPr>
          <w:lang w:val="es-ES"/>
        </w:rPr>
        <w:t>Follow</w:t>
      </w:r>
      <w:proofErr w:type="spellEnd"/>
      <w:r w:rsidRPr="00ED6FEC">
        <w:rPr>
          <w:lang w:val="es-ES"/>
        </w:rPr>
        <w:t xml:space="preserve">-Up Case </w:t>
      </w:r>
      <w:proofErr w:type="spellStart"/>
      <w:r w:rsidRPr="00ED6FEC">
        <w:rPr>
          <w:lang w:val="es-ES"/>
        </w:rPr>
        <w:t>Report</w:t>
      </w:r>
      <w:proofErr w:type="spellEnd"/>
      <w:r w:rsidRPr="00ED6FEC">
        <w:rPr>
          <w:lang w:val="es-ES"/>
        </w:rPr>
        <w:t xml:space="preserve">. </w:t>
      </w:r>
      <w:proofErr w:type="spellStart"/>
      <w:r w:rsidRPr="00ED6FEC">
        <w:rPr>
          <w:lang w:val="es-ES"/>
        </w:rPr>
        <w:t>Journal</w:t>
      </w:r>
      <w:proofErr w:type="spellEnd"/>
      <w:r w:rsidRPr="00ED6FEC">
        <w:rPr>
          <w:lang w:val="es-ES"/>
        </w:rPr>
        <w:t xml:space="preserve"> of </w:t>
      </w:r>
      <w:proofErr w:type="spellStart"/>
      <w:r w:rsidRPr="00ED6FEC">
        <w:rPr>
          <w:lang w:val="es-ES"/>
        </w:rPr>
        <w:t>clinical</w:t>
      </w:r>
      <w:proofErr w:type="spellEnd"/>
      <w:r w:rsidRPr="00ED6FEC">
        <w:rPr>
          <w:lang w:val="es-ES"/>
        </w:rPr>
        <w:t xml:space="preserve"> medicine, 12(9), 3206. https://doi.org/10.3390/jcm12093206</w:t>
      </w:r>
    </w:p>
    <w:p w14:paraId="0A3EBB34" w14:textId="77777777" w:rsidR="00ED6FEC" w:rsidRPr="00ED6FEC" w:rsidRDefault="00ED6FEC" w:rsidP="00ED6FEC">
      <w:pPr>
        <w:pStyle w:val="Body"/>
        <w:rPr>
          <w:lang w:val="es-ES"/>
        </w:rPr>
      </w:pPr>
    </w:p>
    <w:p w14:paraId="23A078D5" w14:textId="77777777" w:rsidR="00ED6FEC" w:rsidRPr="00ED6FEC" w:rsidRDefault="00ED6FEC" w:rsidP="00ED6FEC">
      <w:pPr>
        <w:pStyle w:val="Body"/>
        <w:rPr>
          <w:lang w:val="es-ES"/>
        </w:rPr>
      </w:pPr>
      <w:r w:rsidRPr="00ED6FEC">
        <w:rPr>
          <w:lang w:val="es-ES"/>
        </w:rPr>
        <w:t xml:space="preserve">10. </w:t>
      </w:r>
      <w:proofErr w:type="spellStart"/>
      <w:r w:rsidRPr="00ED6FEC">
        <w:rPr>
          <w:lang w:val="es-ES"/>
        </w:rPr>
        <w:t>Kinaia</w:t>
      </w:r>
      <w:proofErr w:type="spellEnd"/>
      <w:r w:rsidRPr="00ED6FEC">
        <w:rPr>
          <w:lang w:val="es-ES"/>
        </w:rPr>
        <w:t xml:space="preserve">, B. M., </w:t>
      </w:r>
      <w:proofErr w:type="spellStart"/>
      <w:r w:rsidRPr="00ED6FEC">
        <w:rPr>
          <w:lang w:val="es-ES"/>
        </w:rPr>
        <w:t>Hasso</w:t>
      </w:r>
      <w:proofErr w:type="spellEnd"/>
      <w:r w:rsidRPr="00ED6FEC">
        <w:rPr>
          <w:lang w:val="es-ES"/>
        </w:rPr>
        <w:t xml:space="preserve">, D. F., </w:t>
      </w:r>
      <w:proofErr w:type="spellStart"/>
      <w:r w:rsidRPr="00ED6FEC">
        <w:rPr>
          <w:lang w:val="es-ES"/>
        </w:rPr>
        <w:t>Jirjis</w:t>
      </w:r>
      <w:proofErr w:type="spellEnd"/>
      <w:r w:rsidRPr="00ED6FEC">
        <w:rPr>
          <w:lang w:val="es-ES"/>
        </w:rPr>
        <w:t xml:space="preserve">, L., </w:t>
      </w:r>
      <w:proofErr w:type="spellStart"/>
      <w:r w:rsidRPr="00ED6FEC">
        <w:rPr>
          <w:lang w:val="es-ES"/>
        </w:rPr>
        <w:t>Zora</w:t>
      </w:r>
      <w:proofErr w:type="spellEnd"/>
      <w:r w:rsidRPr="00ED6FEC">
        <w:rPr>
          <w:lang w:val="es-ES"/>
        </w:rPr>
        <w:t xml:space="preserve">, J. S., </w:t>
      </w:r>
      <w:proofErr w:type="spellStart"/>
      <w:r w:rsidRPr="00ED6FEC">
        <w:rPr>
          <w:lang w:val="es-ES"/>
        </w:rPr>
        <w:t>Azimi</w:t>
      </w:r>
      <w:proofErr w:type="spellEnd"/>
      <w:r w:rsidRPr="00ED6FEC">
        <w:rPr>
          <w:lang w:val="es-ES"/>
        </w:rPr>
        <w:t xml:space="preserve">, K., </w:t>
      </w:r>
      <w:proofErr w:type="spellStart"/>
      <w:r w:rsidRPr="00ED6FEC">
        <w:rPr>
          <w:lang w:val="es-ES"/>
        </w:rPr>
        <w:t>Akkad</w:t>
      </w:r>
      <w:proofErr w:type="spellEnd"/>
      <w:r w:rsidRPr="00ED6FEC">
        <w:rPr>
          <w:lang w:val="es-ES"/>
        </w:rPr>
        <w:t xml:space="preserve">, L., Agarwal, K., </w:t>
      </w:r>
      <w:proofErr w:type="spellStart"/>
      <w:r w:rsidRPr="00ED6FEC">
        <w:rPr>
          <w:lang w:val="es-ES"/>
        </w:rPr>
        <w:t>Kaspo</w:t>
      </w:r>
      <w:proofErr w:type="spellEnd"/>
      <w:r w:rsidRPr="00ED6FEC">
        <w:rPr>
          <w:lang w:val="es-ES"/>
        </w:rPr>
        <w:t xml:space="preserve">, G., </w:t>
      </w:r>
      <w:proofErr w:type="spellStart"/>
      <w:r w:rsidRPr="00ED6FEC">
        <w:rPr>
          <w:lang w:val="es-ES"/>
        </w:rPr>
        <w:t>Neely</w:t>
      </w:r>
      <w:proofErr w:type="spellEnd"/>
      <w:r w:rsidRPr="00ED6FEC">
        <w:rPr>
          <w:lang w:val="es-ES"/>
        </w:rPr>
        <w:t>, A. L., &amp; Al-</w:t>
      </w:r>
      <w:proofErr w:type="spellStart"/>
      <w:r w:rsidRPr="00ED6FEC">
        <w:rPr>
          <w:lang w:val="es-ES"/>
        </w:rPr>
        <w:t>Qawasmi</w:t>
      </w:r>
      <w:proofErr w:type="spellEnd"/>
      <w:r w:rsidRPr="00ED6FEC">
        <w:rPr>
          <w:lang w:val="es-ES"/>
        </w:rPr>
        <w:t xml:space="preserve">, R. (2022). </w:t>
      </w:r>
      <w:proofErr w:type="spellStart"/>
      <w:r w:rsidRPr="00ED6FEC">
        <w:rPr>
          <w:lang w:val="es-ES"/>
        </w:rPr>
        <w:t>Supernumerary</w:t>
      </w:r>
      <w:proofErr w:type="spellEnd"/>
      <w:r w:rsidRPr="00ED6FEC">
        <w:rPr>
          <w:lang w:val="es-ES"/>
        </w:rPr>
        <w:t xml:space="preserve"> </w:t>
      </w:r>
      <w:proofErr w:type="spellStart"/>
      <w:r w:rsidRPr="00ED6FEC">
        <w:rPr>
          <w:lang w:val="es-ES"/>
        </w:rPr>
        <w:t>tooth</w:t>
      </w:r>
      <w:proofErr w:type="spellEnd"/>
      <w:r w:rsidRPr="00ED6FEC">
        <w:rPr>
          <w:lang w:val="es-ES"/>
        </w:rPr>
        <w:t xml:space="preserve"> </w:t>
      </w:r>
      <w:proofErr w:type="spellStart"/>
      <w:r w:rsidRPr="00ED6FEC">
        <w:rPr>
          <w:lang w:val="es-ES"/>
        </w:rPr>
        <w:t>autotransplantation</w:t>
      </w:r>
      <w:proofErr w:type="spellEnd"/>
      <w:r w:rsidRPr="00ED6FEC">
        <w:rPr>
          <w:lang w:val="es-ES"/>
        </w:rPr>
        <w:t xml:space="preserve"> </w:t>
      </w:r>
      <w:proofErr w:type="spellStart"/>
      <w:r w:rsidRPr="00ED6FEC">
        <w:rPr>
          <w:lang w:val="es-ES"/>
        </w:rPr>
        <w:t>to</w:t>
      </w:r>
      <w:proofErr w:type="spellEnd"/>
      <w:r w:rsidRPr="00ED6FEC">
        <w:rPr>
          <w:lang w:val="es-ES"/>
        </w:rPr>
        <w:t xml:space="preserve"> </w:t>
      </w:r>
      <w:proofErr w:type="spellStart"/>
      <w:r w:rsidRPr="00ED6FEC">
        <w:rPr>
          <w:lang w:val="es-ES"/>
        </w:rPr>
        <w:t>replace</w:t>
      </w:r>
      <w:proofErr w:type="spellEnd"/>
      <w:r w:rsidRPr="00ED6FEC">
        <w:rPr>
          <w:lang w:val="es-ES"/>
        </w:rPr>
        <w:t xml:space="preserve"> </w:t>
      </w:r>
      <w:proofErr w:type="spellStart"/>
      <w:r w:rsidRPr="00ED6FEC">
        <w:rPr>
          <w:lang w:val="es-ES"/>
        </w:rPr>
        <w:t>missing</w:t>
      </w:r>
      <w:proofErr w:type="spellEnd"/>
      <w:r w:rsidRPr="00ED6FEC">
        <w:rPr>
          <w:lang w:val="es-ES"/>
        </w:rPr>
        <w:t xml:space="preserve"> </w:t>
      </w:r>
      <w:proofErr w:type="spellStart"/>
      <w:r w:rsidRPr="00ED6FEC">
        <w:rPr>
          <w:lang w:val="es-ES"/>
        </w:rPr>
        <w:t>maxillary</w:t>
      </w:r>
      <w:proofErr w:type="spellEnd"/>
      <w:r w:rsidRPr="00ED6FEC">
        <w:rPr>
          <w:lang w:val="es-ES"/>
        </w:rPr>
        <w:t xml:space="preserve"> central </w:t>
      </w:r>
      <w:proofErr w:type="spellStart"/>
      <w:r w:rsidRPr="00ED6FEC">
        <w:rPr>
          <w:lang w:val="es-ES"/>
        </w:rPr>
        <w:t>incisor</w:t>
      </w:r>
      <w:proofErr w:type="spellEnd"/>
      <w:r w:rsidRPr="00ED6FEC">
        <w:rPr>
          <w:lang w:val="es-ES"/>
        </w:rPr>
        <w:t xml:space="preserve"> </w:t>
      </w:r>
      <w:proofErr w:type="spellStart"/>
      <w:r w:rsidRPr="00ED6FEC">
        <w:rPr>
          <w:lang w:val="es-ES"/>
        </w:rPr>
        <w:t>using</w:t>
      </w:r>
      <w:proofErr w:type="spellEnd"/>
      <w:r w:rsidRPr="00ED6FEC">
        <w:rPr>
          <w:lang w:val="es-ES"/>
        </w:rPr>
        <w:t xml:space="preserve"> </w:t>
      </w:r>
      <w:proofErr w:type="spellStart"/>
      <w:r w:rsidRPr="00ED6FEC">
        <w:rPr>
          <w:lang w:val="es-ES"/>
        </w:rPr>
        <w:t>three</w:t>
      </w:r>
      <w:proofErr w:type="spellEnd"/>
      <w:r w:rsidRPr="00ED6FEC">
        <w:rPr>
          <w:lang w:val="es-ES"/>
        </w:rPr>
        <w:t xml:space="preserve">-dimensional replica: A 6-year </w:t>
      </w:r>
      <w:proofErr w:type="spellStart"/>
      <w:r w:rsidRPr="00ED6FEC">
        <w:rPr>
          <w:lang w:val="es-ES"/>
        </w:rPr>
        <w:t>follow</w:t>
      </w:r>
      <w:proofErr w:type="spellEnd"/>
      <w:r w:rsidRPr="00ED6FEC">
        <w:rPr>
          <w:lang w:val="es-ES"/>
        </w:rPr>
        <w:t xml:space="preserve">-up. International </w:t>
      </w:r>
      <w:proofErr w:type="spellStart"/>
      <w:r w:rsidRPr="00ED6FEC">
        <w:rPr>
          <w:lang w:val="es-ES"/>
        </w:rPr>
        <w:t>orthodontics</w:t>
      </w:r>
      <w:proofErr w:type="spellEnd"/>
      <w:r w:rsidRPr="00ED6FEC">
        <w:rPr>
          <w:lang w:val="es-ES"/>
        </w:rPr>
        <w:t>, 20(2), 100635. https://doi.org/10.1016/j.ortho.2022.100635</w:t>
      </w:r>
    </w:p>
    <w:p w14:paraId="5E484D08" w14:textId="77777777" w:rsidR="00ED6FEC" w:rsidRPr="00ED6FEC" w:rsidRDefault="00ED6FEC" w:rsidP="00ED6FEC">
      <w:pPr>
        <w:pStyle w:val="Body"/>
        <w:rPr>
          <w:lang w:val="es-ES"/>
        </w:rPr>
      </w:pPr>
    </w:p>
    <w:p w14:paraId="16C01AF4" w14:textId="77777777" w:rsidR="00ED6FEC" w:rsidRPr="00ED6FEC" w:rsidRDefault="00ED6FEC" w:rsidP="00ED6FEC">
      <w:pPr>
        <w:pStyle w:val="Body"/>
        <w:rPr>
          <w:lang w:val="es-ES"/>
        </w:rPr>
      </w:pPr>
      <w:r w:rsidRPr="00ED6FEC">
        <w:rPr>
          <w:lang w:val="es-ES"/>
        </w:rPr>
        <w:t xml:space="preserve">11. Rocha, M. de O., Almeida Junior, A. A. N., Bezerra, G. F., Santos, G. A. dos, Castro, M. W. C. de, &amp; Souza, N. B. (2021). </w:t>
      </w:r>
      <w:proofErr w:type="spellStart"/>
      <w:r w:rsidRPr="00ED6FEC">
        <w:rPr>
          <w:lang w:val="es-ES"/>
        </w:rPr>
        <w:t>Removal</w:t>
      </w:r>
      <w:proofErr w:type="spellEnd"/>
      <w:r w:rsidRPr="00ED6FEC">
        <w:rPr>
          <w:lang w:val="es-ES"/>
        </w:rPr>
        <w:t xml:space="preserve"> of a </w:t>
      </w:r>
      <w:proofErr w:type="spellStart"/>
      <w:r w:rsidRPr="00ED6FEC">
        <w:rPr>
          <w:lang w:val="es-ES"/>
        </w:rPr>
        <w:t>supernumerary</w:t>
      </w:r>
      <w:proofErr w:type="spellEnd"/>
      <w:r w:rsidRPr="00ED6FEC">
        <w:rPr>
          <w:lang w:val="es-ES"/>
        </w:rPr>
        <w:t xml:space="preserve"> premolar: </w:t>
      </w:r>
      <w:proofErr w:type="spellStart"/>
      <w:r w:rsidRPr="00ED6FEC">
        <w:rPr>
          <w:lang w:val="es-ES"/>
        </w:rPr>
        <w:t>Clinical</w:t>
      </w:r>
      <w:proofErr w:type="spellEnd"/>
      <w:r w:rsidRPr="00ED6FEC">
        <w:rPr>
          <w:lang w:val="es-ES"/>
        </w:rPr>
        <w:t xml:space="preserve"> case </w:t>
      </w:r>
      <w:proofErr w:type="spellStart"/>
      <w:r w:rsidRPr="00ED6FEC">
        <w:rPr>
          <w:lang w:val="es-ES"/>
        </w:rPr>
        <w:t>report</w:t>
      </w:r>
      <w:proofErr w:type="spellEnd"/>
      <w:r w:rsidRPr="00ED6FEC">
        <w:rPr>
          <w:lang w:val="es-ES"/>
        </w:rPr>
        <w:t xml:space="preserve">. Revista </w:t>
      </w:r>
      <w:proofErr w:type="spellStart"/>
      <w:r w:rsidRPr="00ED6FEC">
        <w:rPr>
          <w:lang w:val="es-ES"/>
        </w:rPr>
        <w:t>Ciência</w:t>
      </w:r>
      <w:proofErr w:type="spellEnd"/>
      <w:r w:rsidRPr="00ED6FEC">
        <w:rPr>
          <w:lang w:val="es-ES"/>
        </w:rPr>
        <w:t xml:space="preserve"> &amp; </w:t>
      </w:r>
      <w:proofErr w:type="spellStart"/>
      <w:r w:rsidRPr="00ED6FEC">
        <w:rPr>
          <w:lang w:val="es-ES"/>
        </w:rPr>
        <w:t>Saúde</w:t>
      </w:r>
      <w:proofErr w:type="spellEnd"/>
      <w:r w:rsidRPr="00ED6FEC">
        <w:rPr>
          <w:lang w:val="es-ES"/>
        </w:rPr>
        <w:t>, 6(2), 12–16. https://revistaeletronicafunvic.org/index.php/c14ffd10/article/view/268</w:t>
      </w:r>
    </w:p>
    <w:p w14:paraId="62D6BD75" w14:textId="77777777" w:rsidR="00ED6FEC" w:rsidRPr="00ED6FEC" w:rsidRDefault="00ED6FEC" w:rsidP="00ED6FEC">
      <w:pPr>
        <w:pStyle w:val="Body"/>
        <w:rPr>
          <w:lang w:val="es-ES"/>
        </w:rPr>
      </w:pPr>
    </w:p>
    <w:p w14:paraId="632F21E5" w14:textId="77777777" w:rsidR="00ED6FEC" w:rsidRPr="00ED6FEC" w:rsidRDefault="00ED6FEC" w:rsidP="00ED6FEC">
      <w:pPr>
        <w:pStyle w:val="Body"/>
        <w:rPr>
          <w:lang w:val="es-ES"/>
        </w:rPr>
      </w:pPr>
      <w:r w:rsidRPr="00ED6FEC">
        <w:rPr>
          <w:lang w:val="es-ES"/>
        </w:rPr>
        <w:t xml:space="preserve">12. </w:t>
      </w:r>
      <w:proofErr w:type="spellStart"/>
      <w:r w:rsidRPr="00ED6FEC">
        <w:rPr>
          <w:lang w:val="es-ES"/>
        </w:rPr>
        <w:t>Fernandes</w:t>
      </w:r>
      <w:proofErr w:type="spellEnd"/>
      <w:r w:rsidRPr="00ED6FEC">
        <w:rPr>
          <w:lang w:val="es-ES"/>
        </w:rPr>
        <w:t xml:space="preserve">, D., Miranda, Y. M. S., Silva Neto, É. L. da, Andrade, M. C. de, Silva, G. F. S., Lima </w:t>
      </w:r>
      <w:proofErr w:type="spellStart"/>
      <w:r w:rsidRPr="00ED6FEC">
        <w:rPr>
          <w:lang w:val="es-ES"/>
        </w:rPr>
        <w:t>Filho</w:t>
      </w:r>
      <w:proofErr w:type="spellEnd"/>
      <w:r w:rsidRPr="00ED6FEC">
        <w:rPr>
          <w:lang w:val="es-ES"/>
        </w:rPr>
        <w:t xml:space="preserve">, H. L., &amp; Silva, L. A. B. da. (2023). </w:t>
      </w:r>
      <w:proofErr w:type="spellStart"/>
      <w:r w:rsidRPr="00ED6FEC">
        <w:rPr>
          <w:lang w:val="es-ES"/>
        </w:rPr>
        <w:t>Surgical</w:t>
      </w:r>
      <w:proofErr w:type="spellEnd"/>
      <w:r w:rsidRPr="00ED6FEC">
        <w:rPr>
          <w:lang w:val="es-ES"/>
        </w:rPr>
        <w:t xml:space="preserve"> </w:t>
      </w:r>
      <w:proofErr w:type="spellStart"/>
      <w:r w:rsidRPr="00ED6FEC">
        <w:rPr>
          <w:lang w:val="es-ES"/>
        </w:rPr>
        <w:t>removal</w:t>
      </w:r>
      <w:proofErr w:type="spellEnd"/>
      <w:r w:rsidRPr="00ED6FEC">
        <w:rPr>
          <w:lang w:val="es-ES"/>
        </w:rPr>
        <w:t xml:space="preserve"> </w:t>
      </w:r>
      <w:proofErr w:type="spellStart"/>
      <w:r w:rsidRPr="00ED6FEC">
        <w:rPr>
          <w:lang w:val="es-ES"/>
        </w:rPr>
        <w:t>of</w:t>
      </w:r>
      <w:proofErr w:type="spellEnd"/>
      <w:r w:rsidRPr="00ED6FEC">
        <w:rPr>
          <w:lang w:val="es-ES"/>
        </w:rPr>
        <w:t xml:space="preserve"> a </w:t>
      </w:r>
      <w:proofErr w:type="spellStart"/>
      <w:r w:rsidRPr="00ED6FEC">
        <w:rPr>
          <w:lang w:val="es-ES"/>
        </w:rPr>
        <w:t>supernumerary</w:t>
      </w:r>
      <w:proofErr w:type="spellEnd"/>
      <w:r w:rsidRPr="00ED6FEC">
        <w:rPr>
          <w:lang w:val="es-ES"/>
        </w:rPr>
        <w:t xml:space="preserve"> </w:t>
      </w:r>
      <w:proofErr w:type="spellStart"/>
      <w:r w:rsidRPr="00ED6FEC">
        <w:rPr>
          <w:lang w:val="es-ES"/>
        </w:rPr>
        <w:t>tooth</w:t>
      </w:r>
      <w:proofErr w:type="spellEnd"/>
      <w:r w:rsidRPr="00ED6FEC">
        <w:rPr>
          <w:lang w:val="es-ES"/>
        </w:rPr>
        <w:t xml:space="preserve"> </w:t>
      </w:r>
      <w:proofErr w:type="spellStart"/>
      <w:r w:rsidRPr="00ED6FEC">
        <w:rPr>
          <w:lang w:val="es-ES"/>
        </w:rPr>
        <w:t>associated</w:t>
      </w:r>
      <w:proofErr w:type="spellEnd"/>
      <w:r w:rsidRPr="00ED6FEC">
        <w:rPr>
          <w:lang w:val="es-ES"/>
        </w:rPr>
        <w:t xml:space="preserve"> </w:t>
      </w:r>
      <w:proofErr w:type="spellStart"/>
      <w:r w:rsidRPr="00ED6FEC">
        <w:rPr>
          <w:lang w:val="es-ES"/>
        </w:rPr>
        <w:t>with</w:t>
      </w:r>
      <w:proofErr w:type="spellEnd"/>
      <w:r w:rsidRPr="00ED6FEC">
        <w:rPr>
          <w:lang w:val="es-ES"/>
        </w:rPr>
        <w:t xml:space="preserve"> </w:t>
      </w:r>
      <w:proofErr w:type="spellStart"/>
      <w:r w:rsidRPr="00ED6FEC">
        <w:rPr>
          <w:lang w:val="es-ES"/>
        </w:rPr>
        <w:t>orthodontic</w:t>
      </w:r>
      <w:proofErr w:type="spellEnd"/>
      <w:r w:rsidRPr="00ED6FEC">
        <w:rPr>
          <w:lang w:val="es-ES"/>
        </w:rPr>
        <w:t xml:space="preserve"> </w:t>
      </w:r>
      <w:proofErr w:type="spellStart"/>
      <w:r w:rsidRPr="00ED6FEC">
        <w:rPr>
          <w:lang w:val="es-ES"/>
        </w:rPr>
        <w:t>treatment</w:t>
      </w:r>
      <w:proofErr w:type="spellEnd"/>
      <w:r w:rsidRPr="00ED6FEC">
        <w:rPr>
          <w:lang w:val="es-ES"/>
        </w:rPr>
        <w:t xml:space="preserve"> in a </w:t>
      </w:r>
      <w:proofErr w:type="spellStart"/>
      <w:r w:rsidRPr="00ED6FEC">
        <w:rPr>
          <w:lang w:val="es-ES"/>
        </w:rPr>
        <w:t>pediatric</w:t>
      </w:r>
      <w:proofErr w:type="spellEnd"/>
      <w:r w:rsidRPr="00ED6FEC">
        <w:rPr>
          <w:lang w:val="es-ES"/>
        </w:rPr>
        <w:t xml:space="preserve"> </w:t>
      </w:r>
      <w:proofErr w:type="spellStart"/>
      <w:r w:rsidRPr="00ED6FEC">
        <w:rPr>
          <w:lang w:val="es-ES"/>
        </w:rPr>
        <w:t>patient</w:t>
      </w:r>
      <w:proofErr w:type="spellEnd"/>
      <w:r w:rsidRPr="00ED6FEC">
        <w:rPr>
          <w:lang w:val="es-ES"/>
        </w:rPr>
        <w:t xml:space="preserve">. </w:t>
      </w:r>
      <w:proofErr w:type="spellStart"/>
      <w:r w:rsidRPr="00ED6FEC">
        <w:rPr>
          <w:lang w:val="es-ES"/>
        </w:rPr>
        <w:t>Brazilian</w:t>
      </w:r>
      <w:proofErr w:type="spellEnd"/>
      <w:r w:rsidRPr="00ED6FEC">
        <w:rPr>
          <w:lang w:val="es-ES"/>
        </w:rPr>
        <w:t xml:space="preserve"> </w:t>
      </w:r>
      <w:proofErr w:type="spellStart"/>
      <w:r w:rsidRPr="00ED6FEC">
        <w:rPr>
          <w:lang w:val="es-ES"/>
        </w:rPr>
        <w:t>Journal</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Implantology</w:t>
      </w:r>
      <w:proofErr w:type="spellEnd"/>
      <w:r w:rsidRPr="00ED6FEC">
        <w:rPr>
          <w:lang w:val="es-ES"/>
        </w:rPr>
        <w:t xml:space="preserve"> and </w:t>
      </w:r>
      <w:proofErr w:type="spellStart"/>
      <w:r w:rsidRPr="00ED6FEC">
        <w:rPr>
          <w:lang w:val="es-ES"/>
        </w:rPr>
        <w:t>Health</w:t>
      </w:r>
      <w:proofErr w:type="spellEnd"/>
      <w:r w:rsidRPr="00ED6FEC">
        <w:rPr>
          <w:lang w:val="es-ES"/>
        </w:rPr>
        <w:t xml:space="preserve"> </w:t>
      </w:r>
      <w:proofErr w:type="spellStart"/>
      <w:r w:rsidRPr="00ED6FEC">
        <w:rPr>
          <w:lang w:val="es-ES"/>
        </w:rPr>
        <w:t>Sciences</w:t>
      </w:r>
      <w:proofErr w:type="spellEnd"/>
      <w:r w:rsidRPr="00ED6FEC">
        <w:rPr>
          <w:lang w:val="es-ES"/>
        </w:rPr>
        <w:t>, 5(4), 235–245. https://doi.org/10.36557/2674-8169.2023v5n4p235-245</w:t>
      </w:r>
    </w:p>
    <w:p w14:paraId="223439B7" w14:textId="77777777" w:rsidR="00ED6FEC" w:rsidRPr="00ED6FEC" w:rsidRDefault="00ED6FEC" w:rsidP="00ED6FEC">
      <w:pPr>
        <w:pStyle w:val="Body"/>
        <w:rPr>
          <w:lang w:val="es-ES"/>
        </w:rPr>
      </w:pPr>
    </w:p>
    <w:p w14:paraId="4896EE0F" w14:textId="77777777" w:rsidR="00ED6FEC" w:rsidRPr="00ED6FEC" w:rsidRDefault="00ED6FEC" w:rsidP="00ED6FEC">
      <w:pPr>
        <w:pStyle w:val="Body"/>
        <w:rPr>
          <w:lang w:val="es-ES"/>
        </w:rPr>
      </w:pPr>
      <w:r w:rsidRPr="00ED6FEC">
        <w:rPr>
          <w:lang w:val="es-ES"/>
        </w:rPr>
        <w:t xml:space="preserve">13. </w:t>
      </w:r>
      <w:proofErr w:type="spellStart"/>
      <w:r w:rsidRPr="00ED6FEC">
        <w:rPr>
          <w:lang w:val="es-ES"/>
        </w:rPr>
        <w:t>Marya</w:t>
      </w:r>
      <w:proofErr w:type="spellEnd"/>
      <w:r w:rsidRPr="00ED6FEC">
        <w:rPr>
          <w:lang w:val="es-ES"/>
        </w:rPr>
        <w:t xml:space="preserve">, A., </w:t>
      </w:r>
      <w:proofErr w:type="spellStart"/>
      <w:r w:rsidRPr="00ED6FEC">
        <w:rPr>
          <w:lang w:val="es-ES"/>
        </w:rPr>
        <w:t>Sharan</w:t>
      </w:r>
      <w:proofErr w:type="spellEnd"/>
      <w:r w:rsidRPr="00ED6FEC">
        <w:rPr>
          <w:lang w:val="es-ES"/>
        </w:rPr>
        <w:t xml:space="preserve">, J., </w:t>
      </w:r>
      <w:proofErr w:type="spellStart"/>
      <w:r w:rsidRPr="00ED6FEC">
        <w:rPr>
          <w:lang w:val="es-ES"/>
        </w:rPr>
        <w:t>Mandava</w:t>
      </w:r>
      <w:proofErr w:type="spellEnd"/>
      <w:r w:rsidRPr="00ED6FEC">
        <w:rPr>
          <w:lang w:val="es-ES"/>
        </w:rPr>
        <w:t>, P., &amp; El-</w:t>
      </w:r>
      <w:proofErr w:type="spellStart"/>
      <w:r w:rsidRPr="00ED6FEC">
        <w:rPr>
          <w:lang w:val="es-ES"/>
        </w:rPr>
        <w:t>Hassanein</w:t>
      </w:r>
      <w:proofErr w:type="spellEnd"/>
      <w:r w:rsidRPr="00ED6FEC">
        <w:rPr>
          <w:lang w:val="es-ES"/>
        </w:rPr>
        <w:t xml:space="preserve">, E. H. (2023). </w:t>
      </w:r>
      <w:proofErr w:type="spellStart"/>
      <w:r w:rsidRPr="00ED6FEC">
        <w:rPr>
          <w:lang w:val="es-ES"/>
        </w:rPr>
        <w:t>Complications</w:t>
      </w:r>
      <w:proofErr w:type="spellEnd"/>
      <w:r w:rsidRPr="00ED6FEC">
        <w:rPr>
          <w:lang w:val="es-ES"/>
        </w:rPr>
        <w:t xml:space="preserve"> </w:t>
      </w:r>
      <w:proofErr w:type="spellStart"/>
      <w:r w:rsidRPr="00ED6FEC">
        <w:rPr>
          <w:lang w:val="es-ES"/>
        </w:rPr>
        <w:t>associated</w:t>
      </w:r>
      <w:proofErr w:type="spellEnd"/>
      <w:r w:rsidRPr="00ED6FEC">
        <w:rPr>
          <w:lang w:val="es-ES"/>
        </w:rPr>
        <w:t xml:space="preserve"> </w:t>
      </w:r>
      <w:proofErr w:type="spellStart"/>
      <w:r w:rsidRPr="00ED6FEC">
        <w:rPr>
          <w:lang w:val="es-ES"/>
        </w:rPr>
        <w:t>with</w:t>
      </w:r>
      <w:proofErr w:type="spellEnd"/>
      <w:r w:rsidRPr="00ED6FEC">
        <w:rPr>
          <w:lang w:val="es-ES"/>
        </w:rPr>
        <w:t xml:space="preserve"> </w:t>
      </w:r>
      <w:proofErr w:type="spellStart"/>
      <w:r w:rsidRPr="00ED6FEC">
        <w:rPr>
          <w:lang w:val="es-ES"/>
        </w:rPr>
        <w:t>the</w:t>
      </w:r>
      <w:proofErr w:type="spellEnd"/>
      <w:r w:rsidRPr="00ED6FEC">
        <w:rPr>
          <w:lang w:val="es-ES"/>
        </w:rPr>
        <w:t xml:space="preserve"> </w:t>
      </w:r>
      <w:proofErr w:type="spellStart"/>
      <w:r w:rsidRPr="00ED6FEC">
        <w:rPr>
          <w:lang w:val="es-ES"/>
        </w:rPr>
        <w:t>surgical</w:t>
      </w:r>
      <w:proofErr w:type="spellEnd"/>
      <w:r w:rsidRPr="00ED6FEC">
        <w:rPr>
          <w:lang w:val="es-ES"/>
        </w:rPr>
        <w:t xml:space="preserve"> </w:t>
      </w:r>
      <w:proofErr w:type="spellStart"/>
      <w:r w:rsidRPr="00ED6FEC">
        <w:rPr>
          <w:lang w:val="es-ES"/>
        </w:rPr>
        <w:t>removal</w:t>
      </w:r>
      <w:proofErr w:type="spellEnd"/>
      <w:r w:rsidRPr="00ED6FEC">
        <w:rPr>
          <w:lang w:val="es-ES"/>
        </w:rPr>
        <w:t xml:space="preserve"> </w:t>
      </w:r>
      <w:proofErr w:type="spellStart"/>
      <w:r w:rsidRPr="00ED6FEC">
        <w:rPr>
          <w:lang w:val="es-ES"/>
        </w:rPr>
        <w:t>of</w:t>
      </w:r>
      <w:proofErr w:type="spellEnd"/>
      <w:r w:rsidRPr="00ED6FEC">
        <w:rPr>
          <w:lang w:val="es-ES"/>
        </w:rPr>
        <w:t xml:space="preserve"> non-</w:t>
      </w:r>
      <w:proofErr w:type="spellStart"/>
      <w:r w:rsidRPr="00ED6FEC">
        <w:rPr>
          <w:lang w:val="es-ES"/>
        </w:rPr>
        <w:t>syndromic</w:t>
      </w:r>
      <w:proofErr w:type="spellEnd"/>
      <w:r w:rsidRPr="00ED6FEC">
        <w:rPr>
          <w:lang w:val="es-ES"/>
        </w:rPr>
        <w:t xml:space="preserve"> </w:t>
      </w:r>
      <w:proofErr w:type="spellStart"/>
      <w:r w:rsidRPr="00ED6FEC">
        <w:rPr>
          <w:lang w:val="es-ES"/>
        </w:rPr>
        <w:t>supernumerary</w:t>
      </w:r>
      <w:proofErr w:type="spellEnd"/>
      <w:r w:rsidRPr="00ED6FEC">
        <w:rPr>
          <w:lang w:val="es-ES"/>
        </w:rPr>
        <w:t xml:space="preserve"> premolar </w:t>
      </w:r>
      <w:proofErr w:type="spellStart"/>
      <w:r w:rsidRPr="00ED6FEC">
        <w:rPr>
          <w:lang w:val="es-ES"/>
        </w:rPr>
        <w:t>tooth</w:t>
      </w:r>
      <w:proofErr w:type="spellEnd"/>
      <w:r w:rsidRPr="00ED6FEC">
        <w:rPr>
          <w:lang w:val="es-ES"/>
        </w:rPr>
        <w:t xml:space="preserve"> </w:t>
      </w:r>
      <w:proofErr w:type="spellStart"/>
      <w:r w:rsidRPr="00ED6FEC">
        <w:rPr>
          <w:lang w:val="es-ES"/>
        </w:rPr>
        <w:t>buds</w:t>
      </w:r>
      <w:proofErr w:type="spellEnd"/>
      <w:r w:rsidRPr="00ED6FEC">
        <w:rPr>
          <w:lang w:val="es-ES"/>
        </w:rPr>
        <w:t xml:space="preserve"> in </w:t>
      </w:r>
      <w:proofErr w:type="spellStart"/>
      <w:r w:rsidRPr="00ED6FEC">
        <w:rPr>
          <w:lang w:val="es-ES"/>
        </w:rPr>
        <w:t>the</w:t>
      </w:r>
      <w:proofErr w:type="spellEnd"/>
      <w:r w:rsidRPr="00ED6FEC">
        <w:rPr>
          <w:lang w:val="es-ES"/>
        </w:rPr>
        <w:t xml:space="preserve"> </w:t>
      </w:r>
      <w:proofErr w:type="spellStart"/>
      <w:r w:rsidRPr="00ED6FEC">
        <w:rPr>
          <w:lang w:val="es-ES"/>
        </w:rPr>
        <w:t>mandible</w:t>
      </w:r>
      <w:proofErr w:type="spellEnd"/>
      <w:r w:rsidRPr="00ED6FEC">
        <w:rPr>
          <w:lang w:val="es-ES"/>
        </w:rPr>
        <w:t xml:space="preserve">. </w:t>
      </w:r>
      <w:proofErr w:type="spellStart"/>
      <w:r w:rsidRPr="00ED6FEC">
        <w:rPr>
          <w:lang w:val="es-ES"/>
        </w:rPr>
        <w:t>Journal</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surgical</w:t>
      </w:r>
      <w:proofErr w:type="spellEnd"/>
      <w:r w:rsidRPr="00ED6FEC">
        <w:rPr>
          <w:lang w:val="es-ES"/>
        </w:rPr>
        <w:t xml:space="preserve"> case </w:t>
      </w:r>
      <w:proofErr w:type="spellStart"/>
      <w:r w:rsidRPr="00ED6FEC">
        <w:rPr>
          <w:lang w:val="es-ES"/>
        </w:rPr>
        <w:t>reports</w:t>
      </w:r>
      <w:proofErr w:type="spellEnd"/>
      <w:r w:rsidRPr="00ED6FEC">
        <w:rPr>
          <w:lang w:val="es-ES"/>
        </w:rPr>
        <w:t>, 2023(5), rjad304. https://doi.org/10.1093/jscr/rjad304</w:t>
      </w:r>
    </w:p>
    <w:p w14:paraId="6137815A" w14:textId="77777777" w:rsidR="00ED6FEC" w:rsidRPr="00ED6FEC" w:rsidRDefault="00ED6FEC" w:rsidP="00ED6FEC">
      <w:pPr>
        <w:pStyle w:val="Body"/>
        <w:rPr>
          <w:lang w:val="es-ES"/>
        </w:rPr>
      </w:pPr>
    </w:p>
    <w:p w14:paraId="22C505B2" w14:textId="296A339C" w:rsidR="358001D3" w:rsidRDefault="00ED6FEC" w:rsidP="009054C6">
      <w:pPr>
        <w:pStyle w:val="Body"/>
        <w:jc w:val="left"/>
        <w:rPr>
          <w:lang w:val="es-ES"/>
        </w:rPr>
      </w:pPr>
      <w:r w:rsidRPr="00ED6FEC">
        <w:rPr>
          <w:lang w:val="es-ES"/>
        </w:rPr>
        <w:t xml:space="preserve">14. </w:t>
      </w:r>
      <w:proofErr w:type="spellStart"/>
      <w:r w:rsidRPr="00ED6FEC">
        <w:rPr>
          <w:lang w:val="es-ES"/>
        </w:rPr>
        <w:t>Mallya</w:t>
      </w:r>
      <w:proofErr w:type="spellEnd"/>
      <w:r w:rsidRPr="00ED6FEC">
        <w:rPr>
          <w:lang w:val="es-ES"/>
        </w:rPr>
        <w:t xml:space="preserve">, S. M., &amp; Lam, E. W. N. (2020). White &amp; </w:t>
      </w:r>
      <w:proofErr w:type="spellStart"/>
      <w:r w:rsidRPr="00ED6FEC">
        <w:rPr>
          <w:lang w:val="es-ES"/>
        </w:rPr>
        <w:t>Pharoah</w:t>
      </w:r>
      <w:proofErr w:type="spellEnd"/>
      <w:r w:rsidRPr="00ED6FEC">
        <w:rPr>
          <w:lang w:val="es-ES"/>
        </w:rPr>
        <w:t xml:space="preserve">: Oral </w:t>
      </w:r>
      <w:proofErr w:type="spellStart"/>
      <w:r w:rsidRPr="00ED6FEC">
        <w:rPr>
          <w:lang w:val="es-ES"/>
        </w:rPr>
        <w:t>Radiology</w:t>
      </w:r>
      <w:proofErr w:type="spellEnd"/>
      <w:r w:rsidRPr="00ED6FEC">
        <w:rPr>
          <w:lang w:val="es-ES"/>
        </w:rPr>
        <w:t xml:space="preserve"> – </w:t>
      </w:r>
      <w:proofErr w:type="spellStart"/>
      <w:r w:rsidRPr="00ED6FEC">
        <w:rPr>
          <w:lang w:val="es-ES"/>
        </w:rPr>
        <w:t>Principles</w:t>
      </w:r>
      <w:proofErr w:type="spellEnd"/>
      <w:r w:rsidRPr="00ED6FEC">
        <w:rPr>
          <w:lang w:val="es-ES"/>
        </w:rPr>
        <w:t xml:space="preserve"> and </w:t>
      </w:r>
      <w:proofErr w:type="spellStart"/>
      <w:r w:rsidRPr="00ED6FEC">
        <w:rPr>
          <w:lang w:val="es-ES"/>
        </w:rPr>
        <w:t>Interpretation</w:t>
      </w:r>
      <w:proofErr w:type="spellEnd"/>
      <w:r w:rsidRPr="00ED6FEC">
        <w:rPr>
          <w:lang w:val="es-ES"/>
        </w:rPr>
        <w:t xml:space="preserve"> (8th ed.). Rio de Janeiro: GEN </w:t>
      </w:r>
      <w:proofErr w:type="spellStart"/>
      <w:r w:rsidRPr="00ED6FEC">
        <w:rPr>
          <w:lang w:val="es-ES"/>
        </w:rPr>
        <w:t>Guanabara</w:t>
      </w:r>
      <w:proofErr w:type="spellEnd"/>
      <w:r w:rsidRPr="00ED6FEC">
        <w:rPr>
          <w:lang w:val="es-ES"/>
        </w:rPr>
        <w:t xml:space="preserve"> </w:t>
      </w:r>
      <w:proofErr w:type="spellStart"/>
      <w:r w:rsidRPr="00ED6FEC">
        <w:rPr>
          <w:lang w:val="es-ES"/>
        </w:rPr>
        <w:t>Koogan</w:t>
      </w:r>
      <w:proofErr w:type="spellEnd"/>
      <w:r w:rsidRPr="00ED6FEC">
        <w:rPr>
          <w:lang w:val="es-ES"/>
        </w:rPr>
        <w:t>.</w:t>
      </w:r>
    </w:p>
    <w:p w14:paraId="2FD5BE2F" w14:textId="77777777" w:rsidR="009054C6" w:rsidRDefault="009054C6" w:rsidP="00ED6FEC">
      <w:pPr>
        <w:pStyle w:val="Body"/>
        <w:spacing w:after="0"/>
        <w:jc w:val="left"/>
        <w:rPr>
          <w:lang w:val="es-ES"/>
        </w:rPr>
      </w:pPr>
    </w:p>
    <w:p w14:paraId="1D243636" w14:textId="77777777" w:rsidR="009054C6" w:rsidRDefault="009054C6" w:rsidP="00ED6FEC">
      <w:pPr>
        <w:pStyle w:val="Body"/>
        <w:spacing w:after="0"/>
        <w:jc w:val="left"/>
        <w:rPr>
          <w:lang w:val="es-ES"/>
        </w:rPr>
      </w:pPr>
    </w:p>
    <w:p w14:paraId="4AB47AC7" w14:textId="0B3E3C6F" w:rsidR="009054C6" w:rsidRPr="009054C6" w:rsidRDefault="009054C6" w:rsidP="009054C6">
      <w:pPr>
        <w:pStyle w:val="Body"/>
        <w:rPr>
          <w:rFonts w:ascii="Arial" w:hAnsi="Arial" w:cs="Arial"/>
          <w:highlight w:val="yellow"/>
        </w:rPr>
      </w:pPr>
      <w:r w:rsidRPr="009054C6">
        <w:rPr>
          <w:rFonts w:ascii="Arial" w:hAnsi="Arial" w:cs="Arial"/>
          <w:highlight w:val="yellow"/>
        </w:rPr>
        <w:t xml:space="preserve">15. </w:t>
      </w:r>
      <w:r w:rsidRPr="009054C6">
        <w:rPr>
          <w:rFonts w:ascii="Arial" w:hAnsi="Arial" w:cs="Arial"/>
          <w:highlight w:val="yellow"/>
        </w:rPr>
        <w:t>Chen, K. C., Huang, J. S., Chen, M. Y., Cheng, K. H., Wong, T. Y., &amp; Huang, T. T. (2019). Unusual supernumerary teeth and treatment outcomes analyzed for developing improved diagnosis and management plans. Journal of Oral and Maxillofacial Surgery, 77(5), 920-931.</w:t>
      </w:r>
      <w:r w:rsidRPr="009054C6">
        <w:rPr>
          <w:rFonts w:ascii="Arial" w:hAnsi="Arial" w:cs="Arial"/>
          <w:highlight w:val="yellow"/>
        </w:rPr>
        <w:t xml:space="preserve"> </w:t>
      </w:r>
    </w:p>
    <w:p w14:paraId="08D6F106" w14:textId="77777777" w:rsidR="009054C6" w:rsidRPr="009054C6" w:rsidRDefault="009054C6" w:rsidP="009054C6">
      <w:pPr>
        <w:pStyle w:val="Body"/>
        <w:rPr>
          <w:rFonts w:ascii="Arial" w:hAnsi="Arial" w:cs="Arial"/>
          <w:highlight w:val="yellow"/>
        </w:rPr>
      </w:pPr>
      <w:r w:rsidRPr="009054C6">
        <w:rPr>
          <w:rFonts w:ascii="Arial" w:hAnsi="Arial" w:cs="Arial"/>
          <w:highlight w:val="yellow"/>
        </w:rPr>
        <w:lastRenderedPageBreak/>
        <w:t xml:space="preserve">https://www.sciencedirect.com/science/article/pii/S0278239118313843 </w:t>
      </w:r>
    </w:p>
    <w:p w14:paraId="637CCCB4" w14:textId="77777777" w:rsidR="009054C6" w:rsidRPr="009054C6" w:rsidRDefault="009054C6" w:rsidP="009054C6">
      <w:pPr>
        <w:pStyle w:val="Body"/>
        <w:rPr>
          <w:rFonts w:ascii="Arial" w:hAnsi="Arial" w:cs="Arial"/>
          <w:highlight w:val="yellow"/>
        </w:rPr>
      </w:pPr>
    </w:p>
    <w:p w14:paraId="704E80E7" w14:textId="5A705D8E" w:rsidR="009054C6" w:rsidRDefault="009054C6" w:rsidP="009054C6">
      <w:pPr>
        <w:pStyle w:val="Body"/>
        <w:rPr>
          <w:rFonts w:ascii="Arial" w:hAnsi="Arial" w:cs="Arial"/>
        </w:rPr>
      </w:pPr>
      <w:r w:rsidRPr="009054C6">
        <w:rPr>
          <w:rFonts w:ascii="Arial" w:hAnsi="Arial" w:cs="Arial"/>
          <w:highlight w:val="yellow"/>
        </w:rPr>
        <w:t xml:space="preserve">16. </w:t>
      </w:r>
      <w:r w:rsidRPr="009054C6">
        <w:rPr>
          <w:rFonts w:ascii="Arial" w:hAnsi="Arial" w:cs="Arial"/>
          <w:highlight w:val="yellow"/>
        </w:rPr>
        <w:t xml:space="preserve">Rajab, L. D., &amp; Hamdan, M. A. M. (2002). Supernumerary teeth: review of the literature and a survey of 152 cases. International journal of </w:t>
      </w:r>
      <w:proofErr w:type="spellStart"/>
      <w:r w:rsidRPr="009054C6">
        <w:rPr>
          <w:rFonts w:ascii="Arial" w:hAnsi="Arial" w:cs="Arial"/>
          <w:highlight w:val="yellow"/>
        </w:rPr>
        <w:t>paediatric</w:t>
      </w:r>
      <w:proofErr w:type="spellEnd"/>
      <w:r w:rsidRPr="009054C6">
        <w:rPr>
          <w:rFonts w:ascii="Arial" w:hAnsi="Arial" w:cs="Arial"/>
          <w:highlight w:val="yellow"/>
        </w:rPr>
        <w:t xml:space="preserve"> dentistry, 12(4), 244-254.</w:t>
      </w:r>
      <w:r w:rsidRPr="009054C6">
        <w:rPr>
          <w:rFonts w:ascii="Arial" w:hAnsi="Arial" w:cs="Arial"/>
          <w:highlight w:val="yellow"/>
        </w:rPr>
        <w:t xml:space="preserve"> </w:t>
      </w:r>
      <w:r w:rsidRPr="009054C6">
        <w:rPr>
          <w:rFonts w:ascii="Arial" w:hAnsi="Arial" w:cs="Arial"/>
          <w:highlight w:val="yellow"/>
        </w:rPr>
        <w:t>https://onlinelibrary.wiley.com/doi/abs/10.1046/j.1365-263X.2002.00366.x</w:t>
      </w:r>
    </w:p>
    <w:sectPr w:rsidR="009054C6" w:rsidSect="003B7B99">
      <w:headerReference w:type="even" r:id="rId19"/>
      <w:headerReference w:type="default" r:id="rId20"/>
      <w:headerReference w:type="first" r:id="rId21"/>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D19A0" w14:textId="77777777" w:rsidR="00E46A9E" w:rsidRDefault="00E46A9E" w:rsidP="00C37E61">
      <w:r>
        <w:separator/>
      </w:r>
    </w:p>
  </w:endnote>
  <w:endnote w:type="continuationSeparator" w:id="0">
    <w:p w14:paraId="193C5783" w14:textId="77777777" w:rsidR="00E46A9E" w:rsidRDefault="00E46A9E" w:rsidP="00C37E61">
      <w:r>
        <w:continuationSeparator/>
      </w:r>
    </w:p>
  </w:endnote>
  <w:endnote w:type="continuationNotice" w:id="1">
    <w:p w14:paraId="0AFB8BD7" w14:textId="77777777" w:rsidR="00E46A9E" w:rsidRDefault="00E46A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C06BE" w14:textId="77777777" w:rsidR="003B7B99" w:rsidRDefault="003B7B9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36DD5" w14:textId="77777777" w:rsidR="003B7B99" w:rsidRDefault="003B7B9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DF7A" w14:textId="7E7CDB6C" w:rsidR="00754C9A" w:rsidRPr="00D828E8" w:rsidRDefault="00754C9A" w:rsidP="00D828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95F3E" w14:textId="77777777" w:rsidR="00E46A9E" w:rsidRDefault="00E46A9E" w:rsidP="00C37E61">
      <w:r>
        <w:separator/>
      </w:r>
    </w:p>
  </w:footnote>
  <w:footnote w:type="continuationSeparator" w:id="0">
    <w:p w14:paraId="571CED29" w14:textId="77777777" w:rsidR="00E46A9E" w:rsidRDefault="00E46A9E" w:rsidP="00C37E61">
      <w:r>
        <w:continuationSeparator/>
      </w:r>
    </w:p>
  </w:footnote>
  <w:footnote w:type="continuationNotice" w:id="1">
    <w:p w14:paraId="598315A9" w14:textId="77777777" w:rsidR="00E46A9E" w:rsidRDefault="00E46A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F42D4" w14:textId="344556A6" w:rsidR="003B7B99" w:rsidRDefault="00000000">
    <w:pPr>
      <w:pStyle w:val="Cabealho"/>
    </w:pPr>
    <w:r>
      <w:rPr>
        <w:noProof/>
      </w:rPr>
      <w:pict w14:anchorId="3CB2D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7344" o:spid="_x0000_s1026"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35"/>
      <w:gridCol w:w="2735"/>
      <w:gridCol w:w="2735"/>
    </w:tblGrid>
    <w:tr w:rsidR="100EE4C3" w14:paraId="01F7FC42" w14:textId="77777777" w:rsidTr="100EE4C3">
      <w:trPr>
        <w:trHeight w:val="300"/>
      </w:trPr>
      <w:tc>
        <w:tcPr>
          <w:tcW w:w="2735" w:type="dxa"/>
        </w:tcPr>
        <w:p w14:paraId="350B888B" w14:textId="7806F59A" w:rsidR="100EE4C3" w:rsidRDefault="100EE4C3" w:rsidP="100EE4C3">
          <w:pPr>
            <w:pStyle w:val="Cabealho"/>
            <w:ind w:left="-115"/>
          </w:pPr>
        </w:p>
      </w:tc>
      <w:tc>
        <w:tcPr>
          <w:tcW w:w="2735" w:type="dxa"/>
        </w:tcPr>
        <w:p w14:paraId="1C97142C" w14:textId="1DA3A0E0" w:rsidR="100EE4C3" w:rsidRDefault="100EE4C3" w:rsidP="100EE4C3">
          <w:pPr>
            <w:pStyle w:val="Cabealho"/>
            <w:jc w:val="center"/>
          </w:pPr>
        </w:p>
      </w:tc>
      <w:tc>
        <w:tcPr>
          <w:tcW w:w="2735" w:type="dxa"/>
        </w:tcPr>
        <w:p w14:paraId="60D38406" w14:textId="2D5D0F67" w:rsidR="100EE4C3" w:rsidRDefault="100EE4C3" w:rsidP="100EE4C3">
          <w:pPr>
            <w:pStyle w:val="Cabealho"/>
            <w:ind w:right="-115"/>
            <w:jc w:val="right"/>
          </w:pPr>
        </w:p>
      </w:tc>
    </w:tr>
  </w:tbl>
  <w:p w14:paraId="00221AC8" w14:textId="769179BA" w:rsidR="100EE4C3" w:rsidRDefault="00000000" w:rsidP="100EE4C3">
    <w:pPr>
      <w:pStyle w:val="Cabealho"/>
    </w:pPr>
    <w:r>
      <w:rPr>
        <w:noProof/>
      </w:rPr>
      <w:pict w14:anchorId="0E949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7345" o:spid="_x0000_s1027"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B3C7" w14:textId="67E5A3B6" w:rsidR="00296529" w:rsidRPr="00296529" w:rsidRDefault="00000000" w:rsidP="00296529">
    <w:pPr>
      <w:ind w:left="2160"/>
      <w:jc w:val="center"/>
      <w:rPr>
        <w:rFonts w:ascii="Times New Roman" w:eastAsia="Calibri" w:hAnsi="Times New Roman"/>
        <w:i/>
        <w:sz w:val="18"/>
        <w:szCs w:val="22"/>
      </w:rPr>
    </w:pPr>
    <w:r>
      <w:rPr>
        <w:noProof/>
      </w:rPr>
      <w:pict w14:anchorId="43F6A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7343" o:spid="_x0000_s1025"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752BFA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C8EFB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450606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8E7D0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75E23F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96B910" w14:textId="77777777" w:rsidR="00296529" w:rsidRDefault="00754C9A">
    <w:pPr>
      <w:pStyle w:val="Cabealh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D30F3" w14:textId="26250E82" w:rsidR="003B7B99" w:rsidRDefault="00000000">
    <w:pPr>
      <w:pStyle w:val="Cabealho"/>
    </w:pPr>
    <w:r>
      <w:rPr>
        <w:noProof/>
      </w:rPr>
      <w:pict w14:anchorId="48F626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7347" o:spid="_x0000_s1029"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00EE4C3" w14:paraId="1B07FE12" w14:textId="77777777" w:rsidTr="100EE4C3">
      <w:trPr>
        <w:trHeight w:val="300"/>
      </w:trPr>
      <w:tc>
        <w:tcPr>
          <w:tcW w:w="3600" w:type="dxa"/>
        </w:tcPr>
        <w:p w14:paraId="4AF32734" w14:textId="099895B1" w:rsidR="100EE4C3" w:rsidRDefault="100EE4C3" w:rsidP="100EE4C3">
          <w:pPr>
            <w:pStyle w:val="Cabealho"/>
            <w:ind w:left="-115"/>
          </w:pPr>
        </w:p>
      </w:tc>
      <w:tc>
        <w:tcPr>
          <w:tcW w:w="3600" w:type="dxa"/>
        </w:tcPr>
        <w:p w14:paraId="568DE9DF" w14:textId="147E9DE5" w:rsidR="100EE4C3" w:rsidRDefault="100EE4C3" w:rsidP="100EE4C3">
          <w:pPr>
            <w:pStyle w:val="Cabealho"/>
            <w:jc w:val="center"/>
          </w:pPr>
        </w:p>
      </w:tc>
      <w:tc>
        <w:tcPr>
          <w:tcW w:w="3600" w:type="dxa"/>
        </w:tcPr>
        <w:p w14:paraId="193C707E" w14:textId="70D663B5" w:rsidR="100EE4C3" w:rsidRDefault="100EE4C3" w:rsidP="100EE4C3">
          <w:pPr>
            <w:pStyle w:val="Cabealho"/>
            <w:ind w:right="-115"/>
            <w:jc w:val="right"/>
          </w:pPr>
        </w:p>
      </w:tc>
    </w:tr>
  </w:tbl>
  <w:p w14:paraId="60505B42" w14:textId="716394DD" w:rsidR="100EE4C3" w:rsidRDefault="00000000" w:rsidP="100EE4C3">
    <w:pPr>
      <w:pStyle w:val="Cabealho"/>
    </w:pPr>
    <w:r>
      <w:rPr>
        <w:noProof/>
      </w:rPr>
      <w:pict w14:anchorId="2274A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7348" o:spid="_x0000_s1030"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249B6" w14:textId="35E4C60D" w:rsidR="003B7B99" w:rsidRDefault="00000000">
    <w:pPr>
      <w:pStyle w:val="Cabealho"/>
    </w:pPr>
    <w:r>
      <w:rPr>
        <w:noProof/>
      </w:rPr>
      <w:pict w14:anchorId="2B429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7346" o:spid="_x0000_s1028"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6DCC13D"/>
    <w:multiLevelType w:val="hybridMultilevel"/>
    <w:tmpl w:val="FFFFFFFF"/>
    <w:lvl w:ilvl="0" w:tplc="342CE5E0">
      <w:start w:val="1"/>
      <w:numFmt w:val="decimal"/>
      <w:lvlText w:val="%1."/>
      <w:lvlJc w:val="left"/>
      <w:pPr>
        <w:ind w:left="720" w:hanging="360"/>
      </w:pPr>
    </w:lvl>
    <w:lvl w:ilvl="1" w:tplc="85DCB386">
      <w:start w:val="1"/>
      <w:numFmt w:val="lowerLetter"/>
      <w:lvlText w:val="%2."/>
      <w:lvlJc w:val="left"/>
      <w:pPr>
        <w:ind w:left="1440" w:hanging="360"/>
      </w:pPr>
    </w:lvl>
    <w:lvl w:ilvl="2" w:tplc="A5C4FC0E">
      <w:start w:val="1"/>
      <w:numFmt w:val="lowerRoman"/>
      <w:lvlText w:val="%3."/>
      <w:lvlJc w:val="right"/>
      <w:pPr>
        <w:ind w:left="2160" w:hanging="180"/>
      </w:pPr>
    </w:lvl>
    <w:lvl w:ilvl="3" w:tplc="58F2B1E0">
      <w:start w:val="1"/>
      <w:numFmt w:val="decimal"/>
      <w:lvlText w:val="%4."/>
      <w:lvlJc w:val="left"/>
      <w:pPr>
        <w:ind w:left="2880" w:hanging="360"/>
      </w:pPr>
    </w:lvl>
    <w:lvl w:ilvl="4" w:tplc="4A88CEBE">
      <w:start w:val="1"/>
      <w:numFmt w:val="lowerLetter"/>
      <w:lvlText w:val="%5."/>
      <w:lvlJc w:val="left"/>
      <w:pPr>
        <w:ind w:left="3600" w:hanging="360"/>
      </w:pPr>
    </w:lvl>
    <w:lvl w:ilvl="5" w:tplc="DE04FC20">
      <w:start w:val="1"/>
      <w:numFmt w:val="lowerRoman"/>
      <w:lvlText w:val="%6."/>
      <w:lvlJc w:val="right"/>
      <w:pPr>
        <w:ind w:left="4320" w:hanging="180"/>
      </w:pPr>
    </w:lvl>
    <w:lvl w:ilvl="6" w:tplc="0764C5A0">
      <w:start w:val="1"/>
      <w:numFmt w:val="decimal"/>
      <w:lvlText w:val="%7."/>
      <w:lvlJc w:val="left"/>
      <w:pPr>
        <w:ind w:left="5040" w:hanging="360"/>
      </w:pPr>
    </w:lvl>
    <w:lvl w:ilvl="7" w:tplc="349490A8">
      <w:start w:val="1"/>
      <w:numFmt w:val="lowerLetter"/>
      <w:lvlText w:val="%8."/>
      <w:lvlJc w:val="left"/>
      <w:pPr>
        <w:ind w:left="5760" w:hanging="360"/>
      </w:pPr>
    </w:lvl>
    <w:lvl w:ilvl="8" w:tplc="EEEEC370">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89839925">
    <w:abstractNumId w:val="18"/>
  </w:num>
  <w:num w:numId="2" w16cid:durableId="134135568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302849894">
    <w:abstractNumId w:val="15"/>
  </w:num>
  <w:num w:numId="4" w16cid:durableId="1539666083">
    <w:abstractNumId w:val="24"/>
  </w:num>
  <w:num w:numId="5" w16cid:durableId="191785923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6" w16cid:durableId="476916184">
    <w:abstractNumId w:val="7"/>
  </w:num>
  <w:num w:numId="7" w16cid:durableId="1035038367">
    <w:abstractNumId w:val="6"/>
  </w:num>
  <w:num w:numId="8" w16cid:durableId="575359520">
    <w:abstractNumId w:val="1"/>
  </w:num>
  <w:num w:numId="9" w16cid:durableId="602223705">
    <w:abstractNumId w:val="12"/>
  </w:num>
  <w:num w:numId="10" w16cid:durableId="934284289">
    <w:abstractNumId w:val="26"/>
  </w:num>
  <w:num w:numId="11" w16cid:durableId="1102531830">
    <w:abstractNumId w:val="2"/>
  </w:num>
  <w:num w:numId="12" w16cid:durableId="1817137133">
    <w:abstractNumId w:val="19"/>
  </w:num>
  <w:num w:numId="13" w16cid:durableId="1879931603">
    <w:abstractNumId w:val="3"/>
  </w:num>
  <w:num w:numId="14" w16cid:durableId="1970281849">
    <w:abstractNumId w:val="17"/>
  </w:num>
  <w:num w:numId="15" w16cid:durableId="979267015">
    <w:abstractNumId w:val="8"/>
  </w:num>
  <w:num w:numId="16" w16cid:durableId="2083407842">
    <w:abstractNumId w:val="22"/>
  </w:num>
  <w:num w:numId="17" w16cid:durableId="577180181">
    <w:abstractNumId w:val="5"/>
  </w:num>
  <w:num w:numId="18" w16cid:durableId="1308510604">
    <w:abstractNumId w:val="23"/>
  </w:num>
  <w:num w:numId="19" w16cid:durableId="837963626">
    <w:abstractNumId w:val="14"/>
  </w:num>
  <w:num w:numId="20" w16cid:durableId="1987977862">
    <w:abstractNumId w:val="29"/>
  </w:num>
  <w:num w:numId="21" w16cid:durableId="525563567">
    <w:abstractNumId w:val="11"/>
  </w:num>
  <w:num w:numId="22" w16cid:durableId="753358278">
    <w:abstractNumId w:val="9"/>
  </w:num>
  <w:num w:numId="23" w16cid:durableId="124474499">
    <w:abstractNumId w:val="13"/>
  </w:num>
  <w:num w:numId="24" w16cid:durableId="1428234074">
    <w:abstractNumId w:val="20"/>
  </w:num>
  <w:num w:numId="25" w16cid:durableId="749738616">
    <w:abstractNumId w:val="27"/>
  </w:num>
  <w:num w:numId="26" w16cid:durableId="167015361">
    <w:abstractNumId w:val="4"/>
  </w:num>
  <w:num w:numId="27" w16cid:durableId="2099978004">
    <w:abstractNumId w:val="16"/>
  </w:num>
  <w:num w:numId="28" w16cid:durableId="393236856">
    <w:abstractNumId w:val="21"/>
  </w:num>
  <w:num w:numId="29" w16cid:durableId="1525679447">
    <w:abstractNumId w:val="28"/>
  </w:num>
  <w:num w:numId="30" w16cid:durableId="962733866">
    <w:abstractNumId w:val="25"/>
  </w:num>
  <w:num w:numId="31" w16cid:durableId="9141711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50B29"/>
    <w:rsid w:val="00074EC0"/>
    <w:rsid w:val="000770C0"/>
    <w:rsid w:val="00081F41"/>
    <w:rsid w:val="000A3467"/>
    <w:rsid w:val="000A47FA"/>
    <w:rsid w:val="000A65D3"/>
    <w:rsid w:val="000B0303"/>
    <w:rsid w:val="000B1E33"/>
    <w:rsid w:val="000D689F"/>
    <w:rsid w:val="000E7B7B"/>
    <w:rsid w:val="000E7D62"/>
    <w:rsid w:val="00101D6B"/>
    <w:rsid w:val="00103357"/>
    <w:rsid w:val="00114D0E"/>
    <w:rsid w:val="00123C9F"/>
    <w:rsid w:val="00126190"/>
    <w:rsid w:val="00130F17"/>
    <w:rsid w:val="001320BF"/>
    <w:rsid w:val="001459ED"/>
    <w:rsid w:val="00155D89"/>
    <w:rsid w:val="00160A35"/>
    <w:rsid w:val="00162299"/>
    <w:rsid w:val="00163BC4"/>
    <w:rsid w:val="00164453"/>
    <w:rsid w:val="0017189F"/>
    <w:rsid w:val="00191062"/>
    <w:rsid w:val="00192B72"/>
    <w:rsid w:val="001A29D8"/>
    <w:rsid w:val="001A34A6"/>
    <w:rsid w:val="001A5CAA"/>
    <w:rsid w:val="001B0427"/>
    <w:rsid w:val="001C02D4"/>
    <w:rsid w:val="001C1F3F"/>
    <w:rsid w:val="001C4756"/>
    <w:rsid w:val="001C683B"/>
    <w:rsid w:val="001D0D88"/>
    <w:rsid w:val="001D3A51"/>
    <w:rsid w:val="001E10D2"/>
    <w:rsid w:val="001E25B4"/>
    <w:rsid w:val="001E44FE"/>
    <w:rsid w:val="001E6594"/>
    <w:rsid w:val="00200595"/>
    <w:rsid w:val="00204835"/>
    <w:rsid w:val="00231920"/>
    <w:rsid w:val="0023195C"/>
    <w:rsid w:val="00235C30"/>
    <w:rsid w:val="00240A1D"/>
    <w:rsid w:val="0024282C"/>
    <w:rsid w:val="002460DC"/>
    <w:rsid w:val="00250985"/>
    <w:rsid w:val="002556F6"/>
    <w:rsid w:val="00270370"/>
    <w:rsid w:val="00283105"/>
    <w:rsid w:val="00284C4C"/>
    <w:rsid w:val="00287E68"/>
    <w:rsid w:val="00296529"/>
    <w:rsid w:val="002B27FB"/>
    <w:rsid w:val="002B685A"/>
    <w:rsid w:val="002C57D2"/>
    <w:rsid w:val="002C6917"/>
    <w:rsid w:val="002D7480"/>
    <w:rsid w:val="002E0D56"/>
    <w:rsid w:val="002F5E37"/>
    <w:rsid w:val="00303F01"/>
    <w:rsid w:val="00306D9B"/>
    <w:rsid w:val="00315186"/>
    <w:rsid w:val="0033343E"/>
    <w:rsid w:val="003512C2"/>
    <w:rsid w:val="003528EA"/>
    <w:rsid w:val="00356EB3"/>
    <w:rsid w:val="00371FB6"/>
    <w:rsid w:val="0037416D"/>
    <w:rsid w:val="003763C1"/>
    <w:rsid w:val="00376BBE"/>
    <w:rsid w:val="00381EDA"/>
    <w:rsid w:val="0039224F"/>
    <w:rsid w:val="003A2FF3"/>
    <w:rsid w:val="003A43A4"/>
    <w:rsid w:val="003A7E18"/>
    <w:rsid w:val="003B6518"/>
    <w:rsid w:val="003B7B99"/>
    <w:rsid w:val="003C4C86"/>
    <w:rsid w:val="003C6258"/>
    <w:rsid w:val="003E04ED"/>
    <w:rsid w:val="003E2904"/>
    <w:rsid w:val="003F4B1F"/>
    <w:rsid w:val="003F7C42"/>
    <w:rsid w:val="00401927"/>
    <w:rsid w:val="0040696B"/>
    <w:rsid w:val="0041027F"/>
    <w:rsid w:val="00412475"/>
    <w:rsid w:val="00412B98"/>
    <w:rsid w:val="00416A27"/>
    <w:rsid w:val="00420C79"/>
    <w:rsid w:val="00423789"/>
    <w:rsid w:val="00427528"/>
    <w:rsid w:val="00440F43"/>
    <w:rsid w:val="00441B6F"/>
    <w:rsid w:val="00446221"/>
    <w:rsid w:val="00450E62"/>
    <w:rsid w:val="004539DB"/>
    <w:rsid w:val="00471A80"/>
    <w:rsid w:val="00494F38"/>
    <w:rsid w:val="004A1E0A"/>
    <w:rsid w:val="004C5997"/>
    <w:rsid w:val="004D305E"/>
    <w:rsid w:val="004D4277"/>
    <w:rsid w:val="004E1D18"/>
    <w:rsid w:val="004E6322"/>
    <w:rsid w:val="00502516"/>
    <w:rsid w:val="00505F06"/>
    <w:rsid w:val="00506828"/>
    <w:rsid w:val="00525E6E"/>
    <w:rsid w:val="0053056E"/>
    <w:rsid w:val="00536E49"/>
    <w:rsid w:val="00554FDA"/>
    <w:rsid w:val="0056365C"/>
    <w:rsid w:val="00581781"/>
    <w:rsid w:val="005C784C"/>
    <w:rsid w:val="005D17F6"/>
    <w:rsid w:val="005E5539"/>
    <w:rsid w:val="005F68D0"/>
    <w:rsid w:val="00602BF5"/>
    <w:rsid w:val="0060498A"/>
    <w:rsid w:val="00617FDD"/>
    <w:rsid w:val="00633614"/>
    <w:rsid w:val="00633F68"/>
    <w:rsid w:val="00636EB2"/>
    <w:rsid w:val="006375B8"/>
    <w:rsid w:val="00642CE5"/>
    <w:rsid w:val="0064558C"/>
    <w:rsid w:val="00647CA8"/>
    <w:rsid w:val="00655620"/>
    <w:rsid w:val="0066510A"/>
    <w:rsid w:val="00673F9F"/>
    <w:rsid w:val="00686953"/>
    <w:rsid w:val="00687DEA"/>
    <w:rsid w:val="00687E67"/>
    <w:rsid w:val="006967F7"/>
    <w:rsid w:val="006A250C"/>
    <w:rsid w:val="006B21D3"/>
    <w:rsid w:val="006B57D0"/>
    <w:rsid w:val="006D30FF"/>
    <w:rsid w:val="006D6940"/>
    <w:rsid w:val="006E7DE7"/>
    <w:rsid w:val="006F11EC"/>
    <w:rsid w:val="006F4149"/>
    <w:rsid w:val="0070082C"/>
    <w:rsid w:val="00706F4C"/>
    <w:rsid w:val="007154C9"/>
    <w:rsid w:val="00730EEB"/>
    <w:rsid w:val="007369E6"/>
    <w:rsid w:val="00746E59"/>
    <w:rsid w:val="00754C9A"/>
    <w:rsid w:val="0075599A"/>
    <w:rsid w:val="0075767A"/>
    <w:rsid w:val="00761D52"/>
    <w:rsid w:val="007639B0"/>
    <w:rsid w:val="0077749E"/>
    <w:rsid w:val="007806A5"/>
    <w:rsid w:val="00790ADA"/>
    <w:rsid w:val="007C0D09"/>
    <w:rsid w:val="007D2288"/>
    <w:rsid w:val="007E088F"/>
    <w:rsid w:val="007F7B32"/>
    <w:rsid w:val="00804BC2"/>
    <w:rsid w:val="0081431A"/>
    <w:rsid w:val="0083216F"/>
    <w:rsid w:val="008376C6"/>
    <w:rsid w:val="0084351E"/>
    <w:rsid w:val="008472D7"/>
    <w:rsid w:val="008513F8"/>
    <w:rsid w:val="00860000"/>
    <w:rsid w:val="00863BD3"/>
    <w:rsid w:val="008641ED"/>
    <w:rsid w:val="00866D66"/>
    <w:rsid w:val="008671C6"/>
    <w:rsid w:val="00875803"/>
    <w:rsid w:val="008B459E"/>
    <w:rsid w:val="008D3DE0"/>
    <w:rsid w:val="008D6406"/>
    <w:rsid w:val="008E13AE"/>
    <w:rsid w:val="008E1506"/>
    <w:rsid w:val="008E491F"/>
    <w:rsid w:val="008E710C"/>
    <w:rsid w:val="008F69D6"/>
    <w:rsid w:val="00902823"/>
    <w:rsid w:val="009054C6"/>
    <w:rsid w:val="00906236"/>
    <w:rsid w:val="009155E9"/>
    <w:rsid w:val="00915CA6"/>
    <w:rsid w:val="00924282"/>
    <w:rsid w:val="00927834"/>
    <w:rsid w:val="00931DBA"/>
    <w:rsid w:val="0093525E"/>
    <w:rsid w:val="009500A6"/>
    <w:rsid w:val="00957C18"/>
    <w:rsid w:val="009659BA"/>
    <w:rsid w:val="00983040"/>
    <w:rsid w:val="00997EBC"/>
    <w:rsid w:val="009B3FB9"/>
    <w:rsid w:val="009B6ED2"/>
    <w:rsid w:val="009C2465"/>
    <w:rsid w:val="009D35A0"/>
    <w:rsid w:val="009D7EB7"/>
    <w:rsid w:val="009E048A"/>
    <w:rsid w:val="009E08E9"/>
    <w:rsid w:val="009E3DB9"/>
    <w:rsid w:val="009E4F51"/>
    <w:rsid w:val="009E6E35"/>
    <w:rsid w:val="009F0EDA"/>
    <w:rsid w:val="00A03B96"/>
    <w:rsid w:val="00A05B19"/>
    <w:rsid w:val="00A1134E"/>
    <w:rsid w:val="00A20333"/>
    <w:rsid w:val="00A22EA8"/>
    <w:rsid w:val="00A24E7E"/>
    <w:rsid w:val="00A258C3"/>
    <w:rsid w:val="00A347C0"/>
    <w:rsid w:val="00A42159"/>
    <w:rsid w:val="00A51431"/>
    <w:rsid w:val="00A539AD"/>
    <w:rsid w:val="00A53AC3"/>
    <w:rsid w:val="00A565D9"/>
    <w:rsid w:val="00A66A4E"/>
    <w:rsid w:val="00A831C6"/>
    <w:rsid w:val="00A94063"/>
    <w:rsid w:val="00AA6219"/>
    <w:rsid w:val="00AA74E0"/>
    <w:rsid w:val="00AB703F"/>
    <w:rsid w:val="00AC6BB8"/>
    <w:rsid w:val="00AD130C"/>
    <w:rsid w:val="00AD4D27"/>
    <w:rsid w:val="00AE008F"/>
    <w:rsid w:val="00B01FCD"/>
    <w:rsid w:val="00B02D53"/>
    <w:rsid w:val="00B1776C"/>
    <w:rsid w:val="00B46643"/>
    <w:rsid w:val="00B51DC0"/>
    <w:rsid w:val="00B52583"/>
    <w:rsid w:val="00B52896"/>
    <w:rsid w:val="00B845C4"/>
    <w:rsid w:val="00B84A3A"/>
    <w:rsid w:val="00B95236"/>
    <w:rsid w:val="00B96BD9"/>
    <w:rsid w:val="00BA1B01"/>
    <w:rsid w:val="00BA2641"/>
    <w:rsid w:val="00BB37AA"/>
    <w:rsid w:val="00BC53A0"/>
    <w:rsid w:val="00BE62AD"/>
    <w:rsid w:val="00BF121F"/>
    <w:rsid w:val="00BF1F80"/>
    <w:rsid w:val="00BF717D"/>
    <w:rsid w:val="00C1091E"/>
    <w:rsid w:val="00C166EF"/>
    <w:rsid w:val="00C17EB0"/>
    <w:rsid w:val="00C27F5F"/>
    <w:rsid w:val="00C30A0F"/>
    <w:rsid w:val="00C37E61"/>
    <w:rsid w:val="00C70F1B"/>
    <w:rsid w:val="00C71A47"/>
    <w:rsid w:val="00C7464C"/>
    <w:rsid w:val="00C85588"/>
    <w:rsid w:val="00C87D9E"/>
    <w:rsid w:val="00CA6982"/>
    <w:rsid w:val="00CB209C"/>
    <w:rsid w:val="00CC72F5"/>
    <w:rsid w:val="00CD6755"/>
    <w:rsid w:val="00CD6856"/>
    <w:rsid w:val="00CD7E8A"/>
    <w:rsid w:val="00CE0089"/>
    <w:rsid w:val="00CE793C"/>
    <w:rsid w:val="00CF193C"/>
    <w:rsid w:val="00D03043"/>
    <w:rsid w:val="00D173F1"/>
    <w:rsid w:val="00D662E4"/>
    <w:rsid w:val="00D74CB0"/>
    <w:rsid w:val="00D828E8"/>
    <w:rsid w:val="00D8295D"/>
    <w:rsid w:val="00DA314A"/>
    <w:rsid w:val="00DA3604"/>
    <w:rsid w:val="00DC2A65"/>
    <w:rsid w:val="00DC5E99"/>
    <w:rsid w:val="00DE15F0"/>
    <w:rsid w:val="00DE5663"/>
    <w:rsid w:val="00DE78AA"/>
    <w:rsid w:val="00DF128E"/>
    <w:rsid w:val="00E053D0"/>
    <w:rsid w:val="00E15994"/>
    <w:rsid w:val="00E3114E"/>
    <w:rsid w:val="00E31A70"/>
    <w:rsid w:val="00E35B02"/>
    <w:rsid w:val="00E4178B"/>
    <w:rsid w:val="00E46A9E"/>
    <w:rsid w:val="00E66496"/>
    <w:rsid w:val="00E66B35"/>
    <w:rsid w:val="00E66E10"/>
    <w:rsid w:val="00E769F6"/>
    <w:rsid w:val="00E81AF7"/>
    <w:rsid w:val="00E8407C"/>
    <w:rsid w:val="00E84F3C"/>
    <w:rsid w:val="00E8725F"/>
    <w:rsid w:val="00E965B4"/>
    <w:rsid w:val="00EA012C"/>
    <w:rsid w:val="00EB3732"/>
    <w:rsid w:val="00EC6A55"/>
    <w:rsid w:val="00ED0288"/>
    <w:rsid w:val="00ED30F4"/>
    <w:rsid w:val="00ED6FEC"/>
    <w:rsid w:val="00EE52CB"/>
    <w:rsid w:val="00EF581D"/>
    <w:rsid w:val="00EF7FD8"/>
    <w:rsid w:val="00F06F59"/>
    <w:rsid w:val="00F17988"/>
    <w:rsid w:val="00F469F0"/>
    <w:rsid w:val="00F53273"/>
    <w:rsid w:val="00F5645C"/>
    <w:rsid w:val="00F630F1"/>
    <w:rsid w:val="00F63576"/>
    <w:rsid w:val="00F755E4"/>
    <w:rsid w:val="00F75CD4"/>
    <w:rsid w:val="00F77D02"/>
    <w:rsid w:val="00F87CD6"/>
    <w:rsid w:val="00FB3A86"/>
    <w:rsid w:val="00FD20C5"/>
    <w:rsid w:val="00FD36C8"/>
    <w:rsid w:val="00FE492D"/>
    <w:rsid w:val="00FE5DEF"/>
    <w:rsid w:val="02003E0A"/>
    <w:rsid w:val="027E85C1"/>
    <w:rsid w:val="036B8429"/>
    <w:rsid w:val="03E89CCE"/>
    <w:rsid w:val="0412E719"/>
    <w:rsid w:val="0500A71E"/>
    <w:rsid w:val="05F6E63A"/>
    <w:rsid w:val="07A3E67A"/>
    <w:rsid w:val="08C8141C"/>
    <w:rsid w:val="092B99CF"/>
    <w:rsid w:val="0A2BB791"/>
    <w:rsid w:val="0C316068"/>
    <w:rsid w:val="0CFD20A8"/>
    <w:rsid w:val="0D04C869"/>
    <w:rsid w:val="0D20F4C6"/>
    <w:rsid w:val="0FD0F488"/>
    <w:rsid w:val="100EE4C3"/>
    <w:rsid w:val="1049F10F"/>
    <w:rsid w:val="105844E4"/>
    <w:rsid w:val="10823BBD"/>
    <w:rsid w:val="1189E45F"/>
    <w:rsid w:val="12490675"/>
    <w:rsid w:val="127B4699"/>
    <w:rsid w:val="130CE2AE"/>
    <w:rsid w:val="138278CC"/>
    <w:rsid w:val="1473248A"/>
    <w:rsid w:val="15300015"/>
    <w:rsid w:val="15A6EC77"/>
    <w:rsid w:val="15B273FD"/>
    <w:rsid w:val="17769F2C"/>
    <w:rsid w:val="1B43CE7E"/>
    <w:rsid w:val="1C80EF3C"/>
    <w:rsid w:val="1D456AF4"/>
    <w:rsid w:val="1EA7D6FC"/>
    <w:rsid w:val="1F6C2418"/>
    <w:rsid w:val="229F87E4"/>
    <w:rsid w:val="23C881F1"/>
    <w:rsid w:val="2600A3F3"/>
    <w:rsid w:val="2801BF57"/>
    <w:rsid w:val="2A262EA0"/>
    <w:rsid w:val="2B2C574F"/>
    <w:rsid w:val="2B74C8B8"/>
    <w:rsid w:val="2E413BD0"/>
    <w:rsid w:val="30385F85"/>
    <w:rsid w:val="3079496C"/>
    <w:rsid w:val="308A69BA"/>
    <w:rsid w:val="31B70EA0"/>
    <w:rsid w:val="328E1310"/>
    <w:rsid w:val="330C2E0D"/>
    <w:rsid w:val="358001D3"/>
    <w:rsid w:val="35A22EF8"/>
    <w:rsid w:val="35B48A30"/>
    <w:rsid w:val="38423295"/>
    <w:rsid w:val="38FF3FF4"/>
    <w:rsid w:val="3C5DB55F"/>
    <w:rsid w:val="3C7BA9F1"/>
    <w:rsid w:val="3D516A9A"/>
    <w:rsid w:val="3F254FB5"/>
    <w:rsid w:val="40A98C3F"/>
    <w:rsid w:val="4488E66F"/>
    <w:rsid w:val="45472C7C"/>
    <w:rsid w:val="462AAFD8"/>
    <w:rsid w:val="48BEC2A0"/>
    <w:rsid w:val="4B84ACE8"/>
    <w:rsid w:val="4D9CBC63"/>
    <w:rsid w:val="4E013F09"/>
    <w:rsid w:val="4F2F2CEE"/>
    <w:rsid w:val="500568FB"/>
    <w:rsid w:val="502B64A0"/>
    <w:rsid w:val="50FFF865"/>
    <w:rsid w:val="5247C053"/>
    <w:rsid w:val="52D0586A"/>
    <w:rsid w:val="532A4F80"/>
    <w:rsid w:val="53FFD725"/>
    <w:rsid w:val="546A83BB"/>
    <w:rsid w:val="563CEF8E"/>
    <w:rsid w:val="5667DB00"/>
    <w:rsid w:val="56787289"/>
    <w:rsid w:val="56EE9F4B"/>
    <w:rsid w:val="58CE75B8"/>
    <w:rsid w:val="5A367829"/>
    <w:rsid w:val="5D270D56"/>
    <w:rsid w:val="5D6D0A61"/>
    <w:rsid w:val="5F01E71B"/>
    <w:rsid w:val="60807305"/>
    <w:rsid w:val="6099AEEE"/>
    <w:rsid w:val="60A87230"/>
    <w:rsid w:val="652CE310"/>
    <w:rsid w:val="65643696"/>
    <w:rsid w:val="65744897"/>
    <w:rsid w:val="675BD481"/>
    <w:rsid w:val="677F9316"/>
    <w:rsid w:val="687343BD"/>
    <w:rsid w:val="694EE47F"/>
    <w:rsid w:val="6AE3EB51"/>
    <w:rsid w:val="6BB39A0B"/>
    <w:rsid w:val="6C37CAA8"/>
    <w:rsid w:val="6E23A6E3"/>
    <w:rsid w:val="6EB9A683"/>
    <w:rsid w:val="6F2C1F15"/>
    <w:rsid w:val="6FC0B43D"/>
    <w:rsid w:val="71E047E3"/>
    <w:rsid w:val="7259AC6B"/>
    <w:rsid w:val="7280015E"/>
    <w:rsid w:val="735332B7"/>
    <w:rsid w:val="73A8C539"/>
    <w:rsid w:val="743F2CFF"/>
    <w:rsid w:val="751EB2BC"/>
    <w:rsid w:val="75E31603"/>
    <w:rsid w:val="79CA0565"/>
    <w:rsid w:val="79EF4A7B"/>
    <w:rsid w:val="7C02F6C0"/>
    <w:rsid w:val="7EF881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0F20E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4"/>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customStyle="1" w:styleId="MenoPendente1">
    <w:name w:val="Menção Pendente1"/>
    <w:basedOn w:val="Fontepargpadro"/>
    <w:uiPriority w:val="99"/>
    <w:semiHidden/>
    <w:unhideWhenUsed/>
    <w:rsid w:val="00287E68"/>
    <w:rPr>
      <w:color w:val="605E5C"/>
      <w:shd w:val="clear" w:color="auto" w:fill="E1DFDD"/>
    </w:rPr>
  </w:style>
  <w:style w:type="paragraph" w:styleId="PargrafodaLista">
    <w:name w:val="List Paragraph"/>
    <w:basedOn w:val="Normal"/>
    <w:uiPriority w:val="34"/>
    <w:qFormat/>
    <w:rsid w:val="100EE4C3"/>
    <w:pPr>
      <w:ind w:left="720"/>
      <w:contextualSpacing/>
    </w:pPr>
  </w:style>
  <w:style w:type="paragraph" w:styleId="Assuntodocomentrio">
    <w:name w:val="annotation subject"/>
    <w:basedOn w:val="Textodecomentrio"/>
    <w:next w:val="Textodecomentrio"/>
    <w:link w:val="AssuntodocomentrioChar"/>
    <w:semiHidden/>
    <w:unhideWhenUsed/>
    <w:rsid w:val="00C1091E"/>
    <w:rPr>
      <w:rFonts w:ascii="Helvetica" w:hAnsi="Helvetica"/>
      <w:b/>
      <w:bCs/>
      <w:lang w:val="en-US" w:eastAsia="en-US"/>
    </w:rPr>
  </w:style>
  <w:style w:type="character" w:customStyle="1" w:styleId="AssuntodocomentrioChar">
    <w:name w:val="Assunto do comentário Char"/>
    <w:basedOn w:val="TextodecomentrioChar"/>
    <w:link w:val="Assuntodocomentrio"/>
    <w:semiHidden/>
    <w:rsid w:val="00C1091E"/>
    <w:rPr>
      <w:rFonts w:ascii="Helvetica" w:hAnsi="Helvetica"/>
      <w:b/>
      <w:bCs/>
      <w:lang w:val="nb-NO" w:eastAsia="nb-NO"/>
    </w:rPr>
  </w:style>
  <w:style w:type="character" w:styleId="MenoPendente">
    <w:name w:val="Unresolved Mention"/>
    <w:basedOn w:val="Fontepargpadro"/>
    <w:uiPriority w:val="99"/>
    <w:semiHidden/>
    <w:unhideWhenUsed/>
    <w:rsid w:val="00DA314A"/>
    <w:rPr>
      <w:color w:val="605E5C"/>
      <w:shd w:val="clear" w:color="auto" w:fill="E1DFDD"/>
    </w:rPr>
  </w:style>
  <w:style w:type="paragraph" w:styleId="NormalWeb">
    <w:name w:val="Normal (Web)"/>
    <w:basedOn w:val="Normal"/>
    <w:semiHidden/>
    <w:unhideWhenUsed/>
    <w:rsid w:val="002C691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66405450">
      <w:bodyDiv w:val="1"/>
      <w:marLeft w:val="0"/>
      <w:marRight w:val="0"/>
      <w:marTop w:val="0"/>
      <w:marBottom w:val="0"/>
      <w:divBdr>
        <w:top w:val="none" w:sz="0" w:space="0" w:color="auto"/>
        <w:left w:val="none" w:sz="0" w:space="0" w:color="auto"/>
        <w:bottom w:val="none" w:sz="0" w:space="0" w:color="auto"/>
        <w:right w:val="none" w:sz="0" w:space="0" w:color="auto"/>
      </w:divBdr>
      <w:divsChild>
        <w:div w:id="1079906536">
          <w:marLeft w:val="0"/>
          <w:marRight w:val="0"/>
          <w:marTop w:val="0"/>
          <w:marBottom w:val="0"/>
          <w:divBdr>
            <w:top w:val="none" w:sz="0" w:space="0" w:color="auto"/>
            <w:left w:val="none" w:sz="0" w:space="0" w:color="auto"/>
            <w:bottom w:val="none" w:sz="0" w:space="0" w:color="auto"/>
            <w:right w:val="none" w:sz="0" w:space="0" w:color="auto"/>
          </w:divBdr>
        </w:div>
        <w:div w:id="757796400">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34829820">
      <w:bodyDiv w:val="1"/>
      <w:marLeft w:val="0"/>
      <w:marRight w:val="0"/>
      <w:marTop w:val="0"/>
      <w:marBottom w:val="0"/>
      <w:divBdr>
        <w:top w:val="none" w:sz="0" w:space="0" w:color="auto"/>
        <w:left w:val="none" w:sz="0" w:space="0" w:color="auto"/>
        <w:bottom w:val="none" w:sz="0" w:space="0" w:color="auto"/>
        <w:right w:val="none" w:sz="0" w:space="0" w:color="auto"/>
      </w:divBdr>
      <w:divsChild>
        <w:div w:id="39283839">
          <w:marLeft w:val="0"/>
          <w:marRight w:val="0"/>
          <w:marTop w:val="0"/>
          <w:marBottom w:val="0"/>
          <w:divBdr>
            <w:top w:val="none" w:sz="0" w:space="0" w:color="auto"/>
            <w:left w:val="none" w:sz="0" w:space="0" w:color="auto"/>
            <w:bottom w:val="none" w:sz="0" w:space="0" w:color="auto"/>
            <w:right w:val="none" w:sz="0" w:space="0" w:color="auto"/>
          </w:divBdr>
        </w:div>
        <w:div w:id="1554463194">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0F2B5-3C94-431D-9038-ACD978DF4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65</TotalTime>
  <Pages>9</Pages>
  <Words>2193</Words>
  <Characters>11846</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Paper Template</vt:lpstr>
    </vt:vector>
  </TitlesOfParts>
  <Company>aaaa</Company>
  <LinksUpToDate>false</LinksUpToDate>
  <CharactersWithSpaces>14011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Roberta Mansur Caetano</cp:lastModifiedBy>
  <cp:revision>20</cp:revision>
  <cp:lastPrinted>2025-08-13T13:00:00Z</cp:lastPrinted>
  <dcterms:created xsi:type="dcterms:W3CDTF">2025-08-13T13:00:00Z</dcterms:created>
  <dcterms:modified xsi:type="dcterms:W3CDTF">2025-08-21T17:49:00Z</dcterms:modified>
</cp:coreProperties>
</file>