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309AB" w14:textId="77777777" w:rsidR="002B47CF" w:rsidRDefault="002B47CF"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Comparative Evaluation of MAT, PCR, and LAMP Assays for the Diagnosis of Canine Leptospirosis</w:t>
      </w:r>
    </w:p>
    <w:p w14:paraId="19773F8D" w14:textId="0F7D2C7E" w:rsidR="00D84CE8" w:rsidRDefault="00D84CE8" w:rsidP="00F82139">
      <w:pPr>
        <w:spacing w:line="360" w:lineRule="auto"/>
        <w:jc w:val="both"/>
        <w:rPr>
          <w:rFonts w:ascii="Times New Roman" w:hAnsi="Times New Roman" w:cs="Times New Roman"/>
          <w:b/>
          <w:bCs/>
          <w:sz w:val="24"/>
          <w:szCs w:val="24"/>
        </w:rPr>
      </w:pPr>
    </w:p>
    <w:p w14:paraId="502096A5" w14:textId="77777777" w:rsidR="005F3CED" w:rsidRDefault="005F3CED" w:rsidP="00F82139">
      <w:pPr>
        <w:spacing w:line="360" w:lineRule="auto"/>
        <w:jc w:val="both"/>
        <w:rPr>
          <w:rFonts w:ascii="Times New Roman" w:hAnsi="Times New Roman" w:cs="Times New Roman"/>
          <w:b/>
          <w:bCs/>
          <w:sz w:val="24"/>
          <w:szCs w:val="24"/>
        </w:rPr>
      </w:pPr>
    </w:p>
    <w:p w14:paraId="28C77AE5" w14:textId="007B68FC" w:rsidR="00D82EE8" w:rsidRPr="003171B1" w:rsidRDefault="00D82EE8" w:rsidP="00F82139">
      <w:pPr>
        <w:spacing w:line="360" w:lineRule="auto"/>
        <w:jc w:val="both"/>
        <w:rPr>
          <w:rFonts w:ascii="Times New Roman" w:hAnsi="Times New Roman" w:cs="Times New Roman"/>
          <w:b/>
          <w:bCs/>
          <w:sz w:val="24"/>
          <w:szCs w:val="24"/>
        </w:rPr>
      </w:pPr>
      <w:r w:rsidRPr="003171B1">
        <w:rPr>
          <w:rFonts w:ascii="Times New Roman" w:hAnsi="Times New Roman" w:cs="Times New Roman"/>
          <w:b/>
          <w:bCs/>
          <w:sz w:val="24"/>
          <w:szCs w:val="24"/>
        </w:rPr>
        <w:t>ABSTRACT</w:t>
      </w:r>
    </w:p>
    <w:p w14:paraId="1AD40372" w14:textId="5D0217A6" w:rsidR="003171B1" w:rsidRDefault="003171B1" w:rsidP="003171B1">
      <w:pPr>
        <w:spacing w:line="360" w:lineRule="auto"/>
        <w:jc w:val="both"/>
        <w:rPr>
          <w:rFonts w:ascii="Times New Roman" w:hAnsi="Times New Roman" w:cs="Times New Roman"/>
          <w:sz w:val="24"/>
          <w:szCs w:val="24"/>
        </w:rPr>
      </w:pPr>
      <w:r w:rsidRPr="003171B1">
        <w:rPr>
          <w:rFonts w:ascii="Times New Roman" w:hAnsi="Times New Roman" w:cs="Times New Roman"/>
          <w:sz w:val="24"/>
          <w:szCs w:val="24"/>
        </w:rPr>
        <w:t xml:space="preserve">Leptospirosis is a globally significant zoonosis in dogs, yet its clinical diagnosis remains challenging due to the heterogeneous performance of available assays. This study evaluated the diagnostic accuracy of the microscopic agglutination test (MAT), polymerase chain reaction (PCR), and loop-mediated isothermal amplification (LAMP) in dogs presenting with clinical signs suggestive of leptospirosis at the Teaching Veterinary Clinical Complex, Pookode. Among </w:t>
      </w:r>
      <w:r w:rsidR="004E4DE6">
        <w:rPr>
          <w:rFonts w:ascii="Times New Roman" w:hAnsi="Times New Roman" w:cs="Times New Roman"/>
          <w:sz w:val="24"/>
          <w:szCs w:val="24"/>
        </w:rPr>
        <w:t>the total 52 dogs screened</w:t>
      </w:r>
      <w:r w:rsidRPr="003171B1">
        <w:rPr>
          <w:rFonts w:ascii="Times New Roman" w:hAnsi="Times New Roman" w:cs="Times New Roman"/>
          <w:sz w:val="24"/>
          <w:szCs w:val="24"/>
        </w:rPr>
        <w:t xml:space="preserve">, </w:t>
      </w:r>
      <w:r w:rsidR="004E4DE6">
        <w:rPr>
          <w:rFonts w:ascii="Times New Roman" w:hAnsi="Times New Roman" w:cs="Times New Roman"/>
          <w:sz w:val="24"/>
          <w:szCs w:val="24"/>
        </w:rPr>
        <w:t>50.0%</w:t>
      </w:r>
      <w:r w:rsidRPr="003171B1">
        <w:rPr>
          <w:rFonts w:ascii="Times New Roman" w:hAnsi="Times New Roman" w:cs="Times New Roman"/>
          <w:sz w:val="24"/>
          <w:szCs w:val="24"/>
        </w:rPr>
        <w:t xml:space="preserve"> (</w:t>
      </w:r>
      <w:r w:rsidR="004E4DE6">
        <w:rPr>
          <w:rFonts w:ascii="Times New Roman" w:hAnsi="Times New Roman" w:cs="Times New Roman"/>
          <w:sz w:val="24"/>
          <w:szCs w:val="24"/>
        </w:rPr>
        <w:t>26/50)</w:t>
      </w:r>
      <w:r w:rsidRPr="003171B1">
        <w:rPr>
          <w:rFonts w:ascii="Times New Roman" w:hAnsi="Times New Roman" w:cs="Times New Roman"/>
          <w:sz w:val="24"/>
          <w:szCs w:val="24"/>
        </w:rPr>
        <w:t xml:space="preserve"> were confirmed positive by at least one diagnostic assay. Of these, </w:t>
      </w:r>
      <w:r w:rsidR="004E4DE6" w:rsidRPr="003171B1">
        <w:rPr>
          <w:rFonts w:ascii="Times New Roman" w:hAnsi="Times New Roman" w:cs="Times New Roman"/>
          <w:sz w:val="24"/>
          <w:szCs w:val="24"/>
        </w:rPr>
        <w:t>23.1%</w:t>
      </w:r>
      <w:r w:rsidRPr="003171B1">
        <w:rPr>
          <w:rFonts w:ascii="Times New Roman" w:hAnsi="Times New Roman" w:cs="Times New Roman"/>
          <w:sz w:val="24"/>
          <w:szCs w:val="24"/>
        </w:rPr>
        <w:t xml:space="preserve"> were detected by MAT, 53.9% by PCR, and 88.5% by LAMP. MAT demonstrated 100% specificity but low sensitivity (23.1%), identifying Pomona, Icterohaemorrhagiae, and Pyrogenes as predominant serovars. PCR targeting the lipL32 gene achieved moderate sensitivity (53.9%), reflecting its value during the </w:t>
      </w:r>
      <w:proofErr w:type="spellStart"/>
      <w:r w:rsidRPr="003171B1">
        <w:rPr>
          <w:rFonts w:ascii="Times New Roman" w:hAnsi="Times New Roman" w:cs="Times New Roman"/>
          <w:sz w:val="24"/>
          <w:szCs w:val="24"/>
        </w:rPr>
        <w:t>leptospiraemic</w:t>
      </w:r>
      <w:proofErr w:type="spellEnd"/>
      <w:r w:rsidRPr="003171B1">
        <w:rPr>
          <w:rFonts w:ascii="Times New Roman" w:hAnsi="Times New Roman" w:cs="Times New Roman"/>
          <w:sz w:val="24"/>
          <w:szCs w:val="24"/>
        </w:rPr>
        <w:t xml:space="preserve"> phase but diminished reliability in later infection. </w:t>
      </w:r>
      <w:r w:rsidR="00960E7F">
        <w:rPr>
          <w:rFonts w:ascii="Times New Roman" w:hAnsi="Times New Roman" w:cs="Times New Roman"/>
          <w:sz w:val="24"/>
          <w:szCs w:val="24"/>
        </w:rPr>
        <w:t xml:space="preserve">The </w:t>
      </w:r>
      <w:r w:rsidRPr="003171B1">
        <w:rPr>
          <w:rFonts w:ascii="Times New Roman" w:hAnsi="Times New Roman" w:cs="Times New Roman"/>
          <w:sz w:val="24"/>
          <w:szCs w:val="24"/>
        </w:rPr>
        <w:t>LAMP</w:t>
      </w:r>
      <w:r w:rsidR="00960E7F">
        <w:rPr>
          <w:rFonts w:ascii="Times New Roman" w:hAnsi="Times New Roman" w:cs="Times New Roman"/>
          <w:sz w:val="24"/>
          <w:szCs w:val="24"/>
        </w:rPr>
        <w:t xml:space="preserve"> assay showed</w:t>
      </w:r>
      <w:r w:rsidRPr="003171B1">
        <w:rPr>
          <w:rFonts w:ascii="Times New Roman" w:hAnsi="Times New Roman" w:cs="Times New Roman"/>
          <w:sz w:val="24"/>
          <w:szCs w:val="24"/>
        </w:rPr>
        <w:t xml:space="preserve"> superior diagnostic performance, with 88.5% sensitivity, substantial agreement with PCR (κ = 0.63), and </w:t>
      </w:r>
      <w:r w:rsidR="00960E7F">
        <w:rPr>
          <w:rFonts w:ascii="Times New Roman" w:hAnsi="Times New Roman" w:cs="Times New Roman"/>
          <w:sz w:val="24"/>
          <w:szCs w:val="24"/>
        </w:rPr>
        <w:t>a</w:t>
      </w:r>
      <w:r w:rsidRPr="003171B1">
        <w:rPr>
          <w:rFonts w:ascii="Times New Roman" w:hAnsi="Times New Roman" w:cs="Times New Roman"/>
          <w:sz w:val="24"/>
          <w:szCs w:val="24"/>
        </w:rPr>
        <w:t xml:space="preserve"> highest accuracy </w:t>
      </w:r>
      <w:r w:rsidR="00960E7F">
        <w:rPr>
          <w:rFonts w:ascii="Times New Roman" w:hAnsi="Times New Roman" w:cs="Times New Roman"/>
          <w:sz w:val="24"/>
          <w:szCs w:val="24"/>
        </w:rPr>
        <w:t>by</w:t>
      </w:r>
      <w:r w:rsidRPr="003171B1">
        <w:rPr>
          <w:rFonts w:ascii="Times New Roman" w:hAnsi="Times New Roman" w:cs="Times New Roman"/>
          <w:sz w:val="24"/>
          <w:szCs w:val="24"/>
        </w:rPr>
        <w:t xml:space="preserve"> ROC analysis (AUC = 0.94) compared with PCR (AUC = 0.77) and MAT (AUC = 0.62). These findings underscore the limitations of MAT in acute diagnosis, while highlighting LAMP as a rapid, robust, and highly sensitive alternative suitable for clinical and field application. Integration of molecular assays, particularly LAMP, with serology offers a comprehensive diagnostic strategy across different stages of canine leptospirosis, with implications for both veterinary care and zoonotic surveillance.</w:t>
      </w:r>
    </w:p>
    <w:p w14:paraId="34521452" w14:textId="784752D6" w:rsidR="000F291B" w:rsidRPr="003171B1" w:rsidRDefault="000F291B" w:rsidP="003171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Pr="000F291B">
        <w:rPr>
          <w:rFonts w:ascii="Times New Roman" w:hAnsi="Times New Roman" w:cs="Times New Roman"/>
          <w:sz w:val="24"/>
          <w:szCs w:val="24"/>
        </w:rPr>
        <w:t>Canine Leptospirosis</w:t>
      </w:r>
      <w:r>
        <w:rPr>
          <w:rFonts w:ascii="Times New Roman" w:hAnsi="Times New Roman" w:cs="Times New Roman"/>
          <w:sz w:val="24"/>
          <w:szCs w:val="24"/>
        </w:rPr>
        <w:t>,</w:t>
      </w:r>
      <w:r w:rsidRPr="000F291B">
        <w:t xml:space="preserve"> </w:t>
      </w:r>
      <w:r w:rsidRPr="000F291B">
        <w:rPr>
          <w:rFonts w:ascii="Times New Roman" w:hAnsi="Times New Roman" w:cs="Times New Roman"/>
          <w:sz w:val="24"/>
          <w:szCs w:val="24"/>
        </w:rPr>
        <w:t xml:space="preserve">Pomona, </w:t>
      </w:r>
      <w:proofErr w:type="spellStart"/>
      <w:r w:rsidRPr="000F291B">
        <w:rPr>
          <w:rFonts w:ascii="Times New Roman" w:hAnsi="Times New Roman" w:cs="Times New Roman"/>
          <w:sz w:val="24"/>
          <w:szCs w:val="24"/>
        </w:rPr>
        <w:t>Icterohaemorrhagiae</w:t>
      </w:r>
      <w:proofErr w:type="spellEnd"/>
      <w:r w:rsidRPr="000F291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F291B">
        <w:rPr>
          <w:rFonts w:ascii="Times New Roman" w:hAnsi="Times New Roman" w:cs="Times New Roman"/>
          <w:sz w:val="24"/>
          <w:szCs w:val="24"/>
        </w:rPr>
        <w:t>Pyrogenes</w:t>
      </w:r>
      <w:proofErr w:type="spellEnd"/>
    </w:p>
    <w:p w14:paraId="5BFD49AA" w14:textId="51F180F9" w:rsidR="0016445D" w:rsidRPr="002B47CF" w:rsidRDefault="00A86680"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INTRODUCTION</w:t>
      </w:r>
    </w:p>
    <w:p w14:paraId="3A002BCE" w14:textId="74F0DF5C" w:rsidR="0052198E" w:rsidRPr="002B47CF" w:rsidRDefault="00A86680"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Leptospirosis is a worldwide zoonosis caused by infection with pathogenic spirochetes that belong to the genus Leptospira. </w:t>
      </w:r>
      <w:r w:rsidRPr="00960E7F">
        <w:rPr>
          <w:rFonts w:ascii="Times New Roman" w:hAnsi="Times New Roman" w:cs="Times New Roman"/>
          <w:i/>
          <w:iCs/>
          <w:sz w:val="24"/>
          <w:szCs w:val="24"/>
        </w:rPr>
        <w:t>Leptospira</w:t>
      </w:r>
      <w:r w:rsidRPr="002B47CF">
        <w:rPr>
          <w:rFonts w:ascii="Times New Roman" w:hAnsi="Times New Roman" w:cs="Times New Roman"/>
          <w:sz w:val="24"/>
          <w:szCs w:val="24"/>
        </w:rPr>
        <w:t xml:space="preserve"> spp. colonize the proximal renal tubules of various mammals and are excreted in the urine of carrier animals. Transmission of leptospirosis in humans and animals occurs by exposure to water or soil contaminated by the urine of infected animals or by direct contact with infected animals, as reported by Faine </w:t>
      </w:r>
      <w:r w:rsidR="00171E43" w:rsidRPr="00171E43">
        <w:rPr>
          <w:rFonts w:ascii="Times New Roman" w:hAnsi="Times New Roman" w:cs="Times New Roman"/>
          <w:i/>
          <w:iCs/>
          <w:sz w:val="24"/>
          <w:szCs w:val="24"/>
        </w:rPr>
        <w:t>et al</w:t>
      </w:r>
      <w:r w:rsidRPr="002B47CF">
        <w:rPr>
          <w:rFonts w:ascii="Times New Roman" w:hAnsi="Times New Roman" w:cs="Times New Roman"/>
          <w:i/>
          <w:iCs/>
          <w:sz w:val="24"/>
          <w:szCs w:val="24"/>
        </w:rPr>
        <w:t xml:space="preserve">., </w:t>
      </w:r>
      <w:r w:rsidRPr="002B47CF">
        <w:rPr>
          <w:rFonts w:ascii="Times New Roman" w:hAnsi="Times New Roman" w:cs="Times New Roman"/>
          <w:sz w:val="24"/>
          <w:szCs w:val="24"/>
        </w:rPr>
        <w:t>(1999).</w:t>
      </w:r>
      <w:r w:rsidR="0052198E" w:rsidRPr="002B47CF">
        <w:rPr>
          <w:rFonts w:ascii="Times New Roman" w:hAnsi="Times New Roman" w:cs="Times New Roman"/>
          <w:sz w:val="24"/>
          <w:szCs w:val="24"/>
        </w:rPr>
        <w:t xml:space="preserve"> </w:t>
      </w:r>
      <w:r w:rsidR="00DF0A86" w:rsidRPr="002B47CF">
        <w:rPr>
          <w:rFonts w:ascii="Times New Roman" w:hAnsi="Times New Roman" w:cs="Times New Roman"/>
          <w:sz w:val="24"/>
          <w:szCs w:val="24"/>
        </w:rPr>
        <w:lastRenderedPageBreak/>
        <w:t>Leptospirosis was first described as an acute infectious syndrome with spleen tumour, jaundice, and nephritis (Weil, 1886).</w:t>
      </w:r>
    </w:p>
    <w:p w14:paraId="5AC36780" w14:textId="77777777" w:rsidR="00CE1CF3" w:rsidRDefault="0052198E" w:rsidP="00CE1CF3">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The genus Leptospira belongs to the family Leptospiraceae, order Spirochaetales (Adler and De la Peña Moctezuma., 2010).</w:t>
      </w:r>
      <w:r w:rsidR="00960E7F" w:rsidRPr="00960E7F">
        <w:rPr>
          <w:rFonts w:ascii="Times New Roman" w:hAnsi="Times New Roman" w:cs="Times New Roman"/>
          <w:color w:val="FF0000"/>
          <w:sz w:val="24"/>
          <w:szCs w:val="24"/>
        </w:rPr>
        <w:t xml:space="preserve"> </w:t>
      </w:r>
      <w:r w:rsidR="00960E7F" w:rsidRPr="00CF5596">
        <w:rPr>
          <w:rFonts w:ascii="Times New Roman" w:hAnsi="Times New Roman" w:cs="Times New Roman"/>
          <w:sz w:val="24"/>
          <w:szCs w:val="24"/>
        </w:rPr>
        <w:t xml:space="preserve">Within the pathogenic genospecies </w:t>
      </w:r>
      <w:proofErr w:type="gramStart"/>
      <w:r w:rsidR="00960E7F" w:rsidRPr="00CF5596">
        <w:rPr>
          <w:rFonts w:ascii="Times New Roman" w:hAnsi="Times New Roman" w:cs="Times New Roman"/>
          <w:i/>
          <w:sz w:val="24"/>
          <w:szCs w:val="24"/>
        </w:rPr>
        <w:t>L.interrogans</w:t>
      </w:r>
      <w:proofErr w:type="gramEnd"/>
      <w:r w:rsidR="00960E7F" w:rsidRPr="00CF5596">
        <w:rPr>
          <w:rFonts w:ascii="Times New Roman" w:hAnsi="Times New Roman" w:cs="Times New Roman"/>
          <w:sz w:val="24"/>
          <w:szCs w:val="24"/>
        </w:rPr>
        <w:t xml:space="preserve">, </w:t>
      </w:r>
      <w:r w:rsidR="00AA1321" w:rsidRPr="00CF5596">
        <w:rPr>
          <w:rFonts w:ascii="Times New Roman" w:hAnsi="Times New Roman" w:cs="Times New Roman"/>
          <w:sz w:val="24"/>
          <w:szCs w:val="24"/>
        </w:rPr>
        <w:t xml:space="preserve">Leptospira are grouped into 24 antigenically related serogroups and classified into more than 250 serovars (Llanes </w:t>
      </w:r>
      <w:r w:rsidR="00171E43" w:rsidRPr="00171E43">
        <w:rPr>
          <w:rFonts w:ascii="Times New Roman" w:hAnsi="Times New Roman" w:cs="Times New Roman"/>
          <w:i/>
          <w:iCs/>
          <w:sz w:val="24"/>
          <w:szCs w:val="24"/>
        </w:rPr>
        <w:t>et al</w:t>
      </w:r>
      <w:r w:rsidR="00AA1321" w:rsidRPr="00CF5596">
        <w:rPr>
          <w:rFonts w:ascii="Times New Roman" w:hAnsi="Times New Roman" w:cs="Times New Roman"/>
          <w:sz w:val="24"/>
          <w:szCs w:val="24"/>
        </w:rPr>
        <w:t>., 2016).</w:t>
      </w:r>
    </w:p>
    <w:p w14:paraId="7F71FBC1" w14:textId="5C67B3B5" w:rsidR="001330AA" w:rsidRPr="002B47CF" w:rsidRDefault="00CE1CF3" w:rsidP="00CA655F">
      <w:pPr>
        <w:spacing w:line="360" w:lineRule="auto"/>
        <w:ind w:firstLine="567"/>
        <w:jc w:val="both"/>
        <w:rPr>
          <w:rFonts w:ascii="Times New Roman" w:hAnsi="Times New Roman" w:cs="Times New Roman"/>
          <w:sz w:val="24"/>
          <w:szCs w:val="24"/>
        </w:rPr>
      </w:pPr>
      <w:r w:rsidRPr="00CE1CF3">
        <w:rPr>
          <w:rFonts w:ascii="Times New Roman" w:hAnsi="Times New Roman" w:cs="Times New Roman"/>
          <w:sz w:val="24"/>
          <w:szCs w:val="24"/>
        </w:rPr>
        <w:t>A</w:t>
      </w:r>
      <w:r>
        <w:rPr>
          <w:rFonts w:ascii="Times New Roman" w:hAnsi="Times New Roman" w:cs="Times New Roman"/>
          <w:sz w:val="24"/>
          <w:szCs w:val="24"/>
        </w:rPr>
        <w:t xml:space="preserve">ccording to the </w:t>
      </w:r>
      <w:r w:rsidRPr="00CE1CF3">
        <w:rPr>
          <w:rFonts w:ascii="Times New Roman" w:hAnsi="Times New Roman" w:cs="Times New Roman"/>
          <w:sz w:val="24"/>
          <w:szCs w:val="24"/>
        </w:rPr>
        <w:t xml:space="preserve">meta-analysis </w:t>
      </w:r>
      <w:r w:rsidRPr="00982EA2">
        <w:rPr>
          <w:rFonts w:ascii="Times New Roman" w:hAnsi="Times New Roman" w:cs="Times New Roman"/>
          <w:sz w:val="24"/>
          <w:szCs w:val="24"/>
        </w:rPr>
        <w:t>by Esteves et al. (2023)</w:t>
      </w:r>
      <w:r w:rsidR="00982EA2">
        <w:rPr>
          <w:rFonts w:ascii="Times New Roman" w:hAnsi="Times New Roman" w:cs="Times New Roman"/>
          <w:sz w:val="24"/>
          <w:szCs w:val="24"/>
        </w:rPr>
        <w:t xml:space="preserve"> a</w:t>
      </w:r>
      <w:r w:rsidRPr="00CE1CF3">
        <w:rPr>
          <w:rFonts w:ascii="Times New Roman" w:hAnsi="Times New Roman" w:cs="Times New Roman"/>
          <w:sz w:val="24"/>
          <w:szCs w:val="24"/>
        </w:rPr>
        <w:t xml:space="preserve"> pooled global seropositivity rate of 19.7% in dog populations</w:t>
      </w:r>
      <w:r w:rsidR="00982EA2">
        <w:rPr>
          <w:rFonts w:ascii="Times New Roman" w:hAnsi="Times New Roman" w:cs="Times New Roman"/>
          <w:sz w:val="24"/>
          <w:szCs w:val="24"/>
        </w:rPr>
        <w:t xml:space="preserve"> exists</w:t>
      </w:r>
      <w:r w:rsidRPr="00CE1CF3">
        <w:rPr>
          <w:rFonts w:ascii="Times New Roman" w:hAnsi="Times New Roman" w:cs="Times New Roman"/>
          <w:sz w:val="24"/>
          <w:szCs w:val="24"/>
        </w:rPr>
        <w:t>, with significant regional variability in serogroup distribution and risk factors such as lifestyle, climate, and vaccination status.</w:t>
      </w:r>
      <w:r w:rsidR="00CA655F">
        <w:rPr>
          <w:rFonts w:ascii="Times New Roman" w:hAnsi="Times New Roman" w:cs="Times New Roman"/>
          <w:sz w:val="24"/>
          <w:szCs w:val="24"/>
        </w:rPr>
        <w:t xml:space="preserve"> </w:t>
      </w:r>
      <w:r w:rsidR="00AE2457" w:rsidRPr="00AE2457">
        <w:rPr>
          <w:rFonts w:ascii="Times New Roman" w:hAnsi="Times New Roman" w:cs="Times New Roman"/>
          <w:sz w:val="24"/>
          <w:szCs w:val="24"/>
        </w:rPr>
        <w:t xml:space="preserve">The current guidelines for diagnosis of canine leptospirosis recommend a combination of clinical suspicion, paired serologic testing with the Microscopic Agglutination Test (MAT), and nucleic acid amplification tests (PCR) on blood and urine samples collected before antibiotic treatment to optimize detection and confirm infection (Sykes </w:t>
      </w:r>
      <w:r w:rsidR="00AE2457" w:rsidRPr="00AE2457">
        <w:rPr>
          <w:rFonts w:ascii="Times New Roman" w:hAnsi="Times New Roman" w:cs="Times New Roman"/>
          <w:i/>
          <w:iCs/>
          <w:sz w:val="24"/>
          <w:szCs w:val="24"/>
        </w:rPr>
        <w:t>et al</w:t>
      </w:r>
      <w:r w:rsidR="00AE2457" w:rsidRPr="00AE2457">
        <w:rPr>
          <w:rFonts w:ascii="Times New Roman" w:hAnsi="Times New Roman" w:cs="Times New Roman"/>
          <w:sz w:val="24"/>
          <w:szCs w:val="24"/>
        </w:rPr>
        <w:t xml:space="preserve">., 2023). </w:t>
      </w:r>
      <w:r w:rsidR="001330AA" w:rsidRPr="00AE2457">
        <w:rPr>
          <w:rFonts w:ascii="Times New Roman" w:hAnsi="Times New Roman" w:cs="Times New Roman"/>
          <w:sz w:val="24"/>
          <w:szCs w:val="24"/>
        </w:rPr>
        <w:t>Direct</w:t>
      </w:r>
      <w:r w:rsidR="001330AA" w:rsidRPr="002B47CF">
        <w:rPr>
          <w:rFonts w:ascii="Times New Roman" w:hAnsi="Times New Roman" w:cs="Times New Roman"/>
          <w:sz w:val="24"/>
          <w:szCs w:val="24"/>
        </w:rPr>
        <w:t xml:space="preserve"> detection approaches for </w:t>
      </w:r>
      <w:r w:rsidR="00CA655F">
        <w:rPr>
          <w:rFonts w:ascii="Times New Roman" w:hAnsi="Times New Roman" w:cs="Times New Roman"/>
          <w:sz w:val="24"/>
          <w:szCs w:val="24"/>
        </w:rPr>
        <w:t>diagnosis of leptospirosis</w:t>
      </w:r>
      <w:r w:rsidR="001330AA" w:rsidRPr="002B47CF">
        <w:rPr>
          <w:rFonts w:ascii="Times New Roman" w:hAnsi="Times New Roman" w:cs="Times New Roman"/>
          <w:sz w:val="24"/>
          <w:szCs w:val="24"/>
        </w:rPr>
        <w:t>, like dark-field microscopy</w:t>
      </w:r>
      <w:r w:rsidR="00CF5596">
        <w:rPr>
          <w:rFonts w:ascii="Times New Roman" w:hAnsi="Times New Roman" w:cs="Times New Roman"/>
          <w:sz w:val="24"/>
          <w:szCs w:val="24"/>
        </w:rPr>
        <w:t xml:space="preserve"> (DFM)</w:t>
      </w:r>
      <w:r w:rsidR="001330AA" w:rsidRPr="002B47CF">
        <w:rPr>
          <w:rFonts w:ascii="Times New Roman" w:hAnsi="Times New Roman" w:cs="Times New Roman"/>
          <w:sz w:val="24"/>
          <w:szCs w:val="24"/>
        </w:rPr>
        <w:t xml:space="preserve"> and histochemical staining, are seldom recommended in animals due to their inherently poor sensitivity and low specificity. </w:t>
      </w:r>
      <w:r w:rsidR="009E3D4D">
        <w:rPr>
          <w:rFonts w:ascii="Times New Roman" w:hAnsi="Times New Roman" w:cs="Times New Roman"/>
          <w:sz w:val="24"/>
          <w:szCs w:val="24"/>
        </w:rPr>
        <w:t>Since DFM</w:t>
      </w:r>
      <w:r w:rsidR="001330AA" w:rsidRPr="002B47CF">
        <w:rPr>
          <w:rFonts w:ascii="Times New Roman" w:hAnsi="Times New Roman" w:cs="Times New Roman"/>
          <w:sz w:val="24"/>
          <w:szCs w:val="24"/>
        </w:rPr>
        <w:t xml:space="preserve"> identifies only samples with organism loads exceeding 10</w:t>
      </w:r>
      <w:r w:rsidR="001330AA" w:rsidRPr="002B1214">
        <w:rPr>
          <w:rFonts w:ascii="Times New Roman" w:hAnsi="Times New Roman" w:cs="Times New Roman"/>
          <w:sz w:val="24"/>
          <w:szCs w:val="24"/>
          <w:vertAlign w:val="superscript"/>
        </w:rPr>
        <w:t>4</w:t>
      </w:r>
      <w:r w:rsidR="001330AA" w:rsidRPr="002B47CF">
        <w:rPr>
          <w:rFonts w:ascii="Times New Roman" w:hAnsi="Times New Roman" w:cs="Times New Roman"/>
          <w:sz w:val="24"/>
          <w:szCs w:val="24"/>
        </w:rPr>
        <w:t> cells/mL and culture may require months for organism recovery owing to slow growth rates and fastidious culture requirements, rendering it impractical for timely veterinary intervention (</w:t>
      </w:r>
      <w:proofErr w:type="spellStart"/>
      <w:r w:rsidR="001330AA" w:rsidRPr="002B47CF">
        <w:rPr>
          <w:rFonts w:ascii="Times New Roman" w:hAnsi="Times New Roman" w:cs="Times New Roman"/>
          <w:sz w:val="24"/>
          <w:szCs w:val="24"/>
        </w:rPr>
        <w:t>Ciurariu</w:t>
      </w:r>
      <w:proofErr w:type="spellEnd"/>
      <w:r w:rsidR="001330AA" w:rsidRPr="002B47CF">
        <w:rPr>
          <w:rFonts w:ascii="Times New Roman" w:hAnsi="Times New Roman" w:cs="Times New Roman"/>
          <w:sz w:val="24"/>
          <w:szCs w:val="24"/>
        </w:rPr>
        <w:t xml:space="preserve"> </w:t>
      </w:r>
      <w:r w:rsidR="00171E43" w:rsidRPr="00171E43">
        <w:rPr>
          <w:rFonts w:ascii="Times New Roman" w:hAnsi="Times New Roman" w:cs="Times New Roman"/>
          <w:i/>
          <w:iCs/>
          <w:sz w:val="24"/>
          <w:szCs w:val="24"/>
        </w:rPr>
        <w:t>et al</w:t>
      </w:r>
      <w:r w:rsidR="001330AA" w:rsidRPr="002B47CF">
        <w:rPr>
          <w:rFonts w:ascii="Times New Roman" w:hAnsi="Times New Roman" w:cs="Times New Roman"/>
          <w:sz w:val="24"/>
          <w:szCs w:val="24"/>
        </w:rPr>
        <w:t>., 2025).</w:t>
      </w:r>
    </w:p>
    <w:p w14:paraId="2178AD8B" w14:textId="4B0FAFD0" w:rsidR="001330AA" w:rsidRPr="002B47CF" w:rsidRDefault="001330AA"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Serological tests such as the microscopic agglutination test (MAT) and </w:t>
      </w:r>
      <w:r w:rsidR="00171E43">
        <w:rPr>
          <w:rFonts w:ascii="Times New Roman" w:hAnsi="Times New Roman" w:cs="Times New Roman"/>
          <w:sz w:val="24"/>
          <w:szCs w:val="24"/>
        </w:rPr>
        <w:t>Enzyme Linked Immuno-Sorbent Assay (</w:t>
      </w:r>
      <w:r w:rsidRPr="002B47CF">
        <w:rPr>
          <w:rFonts w:ascii="Times New Roman" w:hAnsi="Times New Roman" w:cs="Times New Roman"/>
          <w:sz w:val="24"/>
          <w:szCs w:val="24"/>
        </w:rPr>
        <w:t>ELISA</w:t>
      </w:r>
      <w:r w:rsidR="00171E43">
        <w:rPr>
          <w:rFonts w:ascii="Times New Roman" w:hAnsi="Times New Roman" w:cs="Times New Roman"/>
          <w:sz w:val="24"/>
          <w:szCs w:val="24"/>
        </w:rPr>
        <w:t>)</w:t>
      </w:r>
      <w:r w:rsidRPr="002B47CF">
        <w:rPr>
          <w:rFonts w:ascii="Times New Roman" w:hAnsi="Times New Roman" w:cs="Times New Roman"/>
          <w:sz w:val="24"/>
          <w:szCs w:val="24"/>
        </w:rPr>
        <w:t xml:space="preserve"> remain the most broadly utilized laboratory methods in dogs, </w:t>
      </w:r>
      <w:r w:rsidR="00171E43">
        <w:rPr>
          <w:rFonts w:ascii="Times New Roman" w:hAnsi="Times New Roman" w:cs="Times New Roman"/>
          <w:sz w:val="24"/>
          <w:szCs w:val="24"/>
        </w:rPr>
        <w:t xml:space="preserve">though </w:t>
      </w:r>
      <w:r w:rsidRPr="002B47CF">
        <w:rPr>
          <w:rFonts w:ascii="Times New Roman" w:hAnsi="Times New Roman" w:cs="Times New Roman"/>
          <w:sz w:val="24"/>
          <w:szCs w:val="24"/>
        </w:rPr>
        <w:t xml:space="preserve">their accuracy is compromised by </w:t>
      </w:r>
      <w:r w:rsidR="00171E43">
        <w:rPr>
          <w:rFonts w:ascii="Times New Roman" w:hAnsi="Times New Roman" w:cs="Times New Roman"/>
          <w:sz w:val="24"/>
          <w:szCs w:val="24"/>
        </w:rPr>
        <w:t xml:space="preserve">antibodies due to </w:t>
      </w:r>
      <w:r w:rsidRPr="002B47CF">
        <w:rPr>
          <w:rFonts w:ascii="Times New Roman" w:hAnsi="Times New Roman" w:cs="Times New Roman"/>
          <w:sz w:val="24"/>
          <w:szCs w:val="24"/>
        </w:rPr>
        <w:t xml:space="preserve">previous vaccination and repeated environmental exposure to Leptospira. Additionally, MAT is </w:t>
      </w:r>
      <w:proofErr w:type="spellStart"/>
      <w:r w:rsidRPr="002B47CF">
        <w:rPr>
          <w:rFonts w:ascii="Times New Roman" w:hAnsi="Times New Roman" w:cs="Times New Roman"/>
          <w:sz w:val="24"/>
          <w:szCs w:val="24"/>
        </w:rPr>
        <w:t>labor-intensive</w:t>
      </w:r>
      <w:proofErr w:type="spellEnd"/>
      <w:r w:rsidR="00171E43">
        <w:rPr>
          <w:rFonts w:ascii="Times New Roman" w:hAnsi="Times New Roman" w:cs="Times New Roman"/>
          <w:sz w:val="24"/>
          <w:szCs w:val="24"/>
        </w:rPr>
        <w:t xml:space="preserve"> which</w:t>
      </w:r>
      <w:r w:rsidRPr="002B47CF">
        <w:rPr>
          <w:rFonts w:ascii="Times New Roman" w:hAnsi="Times New Roman" w:cs="Times New Roman"/>
          <w:sz w:val="24"/>
          <w:szCs w:val="24"/>
        </w:rPr>
        <w:t xml:space="preserve"> relies on the continuous maintenance of</w:t>
      </w:r>
      <w:r w:rsidR="00171E43">
        <w:rPr>
          <w:rFonts w:ascii="Times New Roman" w:hAnsi="Times New Roman" w:cs="Times New Roman"/>
          <w:sz w:val="24"/>
          <w:szCs w:val="24"/>
        </w:rPr>
        <w:t xml:space="preserve"> a panel </w:t>
      </w:r>
      <w:proofErr w:type="gramStart"/>
      <w:r w:rsidR="00171E43">
        <w:rPr>
          <w:rFonts w:ascii="Times New Roman" w:hAnsi="Times New Roman" w:cs="Times New Roman"/>
          <w:sz w:val="24"/>
          <w:szCs w:val="24"/>
        </w:rPr>
        <w:t xml:space="preserve">of </w:t>
      </w:r>
      <w:r w:rsidRPr="002B47CF">
        <w:rPr>
          <w:rFonts w:ascii="Times New Roman" w:hAnsi="Times New Roman" w:cs="Times New Roman"/>
          <w:sz w:val="24"/>
          <w:szCs w:val="24"/>
        </w:rPr>
        <w:t xml:space="preserve"> live</w:t>
      </w:r>
      <w:proofErr w:type="gramEnd"/>
      <w:r w:rsidRPr="002B47CF">
        <w:rPr>
          <w:rFonts w:ascii="Times New Roman" w:hAnsi="Times New Roman" w:cs="Times New Roman"/>
          <w:sz w:val="24"/>
          <w:szCs w:val="24"/>
        </w:rPr>
        <w:t xml:space="preserve"> Leptospira cultures (</w:t>
      </w:r>
      <w:proofErr w:type="spellStart"/>
      <w:r w:rsidRPr="002B47CF">
        <w:rPr>
          <w:rFonts w:ascii="Times New Roman" w:hAnsi="Times New Roman" w:cs="Times New Roman"/>
          <w:sz w:val="24"/>
          <w:szCs w:val="24"/>
        </w:rPr>
        <w:t>Warnasekara</w:t>
      </w:r>
      <w:proofErr w:type="spellEnd"/>
      <w:r w:rsidRPr="002B47CF">
        <w:rPr>
          <w:rFonts w:ascii="Times New Roman" w:hAnsi="Times New Roman" w:cs="Times New Roman"/>
          <w:sz w:val="24"/>
          <w:szCs w:val="24"/>
        </w:rPr>
        <w:t xml:space="preserve"> </w:t>
      </w:r>
      <w:r w:rsidR="00171E43" w:rsidRPr="00171E43">
        <w:rPr>
          <w:rFonts w:ascii="Times New Roman" w:hAnsi="Times New Roman" w:cs="Times New Roman"/>
          <w:i/>
          <w:iCs/>
          <w:sz w:val="24"/>
          <w:szCs w:val="24"/>
        </w:rPr>
        <w:t>et al</w:t>
      </w:r>
      <w:r w:rsidRPr="002B47CF">
        <w:rPr>
          <w:rFonts w:ascii="Times New Roman" w:hAnsi="Times New Roman" w:cs="Times New Roman"/>
          <w:sz w:val="24"/>
          <w:szCs w:val="24"/>
        </w:rPr>
        <w:t>., 2022).</w:t>
      </w:r>
    </w:p>
    <w:p w14:paraId="0BDB3519" w14:textId="595AA3FA" w:rsidR="001330AA" w:rsidRPr="002B47CF" w:rsidRDefault="001330AA"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Molecular diagnostic techniques, especially conventional and quantitative PCR targeting lipL32, lipL21, and lipL41 genes, offer substantially higher specificity and sensitivity for </w:t>
      </w:r>
      <w:r w:rsidRPr="007B478B">
        <w:rPr>
          <w:rFonts w:ascii="Times New Roman" w:hAnsi="Times New Roman" w:cs="Times New Roman"/>
          <w:i/>
          <w:iCs/>
          <w:sz w:val="24"/>
          <w:szCs w:val="24"/>
        </w:rPr>
        <w:t>Leptospira</w:t>
      </w:r>
      <w:r w:rsidRPr="002B47CF">
        <w:rPr>
          <w:rFonts w:ascii="Times New Roman" w:hAnsi="Times New Roman" w:cs="Times New Roman"/>
          <w:sz w:val="24"/>
          <w:szCs w:val="24"/>
        </w:rPr>
        <w:t xml:space="preserve"> detection in blood and urine. Ne</w:t>
      </w:r>
      <w:r w:rsidR="007B478B">
        <w:rPr>
          <w:rFonts w:ascii="Times New Roman" w:hAnsi="Times New Roman" w:cs="Times New Roman"/>
          <w:sz w:val="24"/>
          <w:szCs w:val="24"/>
        </w:rPr>
        <w:t>ver</w:t>
      </w:r>
      <w:r w:rsidRPr="002B47CF">
        <w:rPr>
          <w:rFonts w:ascii="Times New Roman" w:hAnsi="Times New Roman" w:cs="Times New Roman"/>
          <w:sz w:val="24"/>
          <w:szCs w:val="24"/>
        </w:rPr>
        <w:t>theless, these assays require sophisticated laboratory infrastructure and trained personnel</w:t>
      </w:r>
      <w:r w:rsidR="007B478B">
        <w:rPr>
          <w:rFonts w:ascii="Times New Roman" w:hAnsi="Times New Roman" w:cs="Times New Roman"/>
          <w:sz w:val="24"/>
          <w:szCs w:val="24"/>
        </w:rPr>
        <w:t xml:space="preserve"> and the sensitivity may be low as</w:t>
      </w:r>
      <w:r w:rsidRPr="002B47CF">
        <w:rPr>
          <w:rFonts w:ascii="Times New Roman" w:hAnsi="Times New Roman" w:cs="Times New Roman"/>
          <w:sz w:val="24"/>
          <w:szCs w:val="24"/>
        </w:rPr>
        <w:t xml:space="preserve"> </w:t>
      </w:r>
      <w:proofErr w:type="spellStart"/>
      <w:r w:rsidRPr="002B47CF">
        <w:rPr>
          <w:rFonts w:ascii="Times New Roman" w:hAnsi="Times New Roman" w:cs="Times New Roman"/>
          <w:sz w:val="24"/>
          <w:szCs w:val="24"/>
        </w:rPr>
        <w:t>leptospiremia</w:t>
      </w:r>
      <w:proofErr w:type="spellEnd"/>
      <w:r w:rsidRPr="002B47CF">
        <w:rPr>
          <w:rFonts w:ascii="Times New Roman" w:hAnsi="Times New Roman" w:cs="Times New Roman"/>
          <w:sz w:val="24"/>
          <w:szCs w:val="24"/>
        </w:rPr>
        <w:t xml:space="preserve"> may rapidly wane after the acute phase due to immune clearance</w:t>
      </w:r>
      <w:r w:rsidR="007B478B">
        <w:rPr>
          <w:rFonts w:ascii="Times New Roman" w:hAnsi="Times New Roman" w:cs="Times New Roman"/>
          <w:sz w:val="24"/>
          <w:szCs w:val="24"/>
        </w:rPr>
        <w:t xml:space="preserve"> </w:t>
      </w:r>
      <w:r w:rsidRPr="002B47CF">
        <w:rPr>
          <w:rFonts w:ascii="Times New Roman" w:hAnsi="Times New Roman" w:cs="Times New Roman"/>
          <w:sz w:val="24"/>
          <w:szCs w:val="24"/>
        </w:rPr>
        <w:t xml:space="preserve">(Wang </w:t>
      </w:r>
      <w:r w:rsidR="00171E43" w:rsidRPr="00171E43">
        <w:rPr>
          <w:rFonts w:ascii="Times New Roman" w:hAnsi="Times New Roman" w:cs="Times New Roman"/>
          <w:i/>
          <w:iCs/>
          <w:sz w:val="24"/>
          <w:szCs w:val="24"/>
        </w:rPr>
        <w:t>et al</w:t>
      </w:r>
      <w:r w:rsidRPr="002B47CF">
        <w:rPr>
          <w:rFonts w:ascii="Times New Roman" w:hAnsi="Times New Roman" w:cs="Times New Roman"/>
          <w:sz w:val="24"/>
          <w:szCs w:val="24"/>
        </w:rPr>
        <w:t>., 2025).</w:t>
      </w:r>
    </w:p>
    <w:p w14:paraId="09E8B719" w14:textId="1D7246D2" w:rsidR="0052198E" w:rsidRPr="002B47CF" w:rsidRDefault="001330AA"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In this context, loop-mediated isothermal amplification (LAMP) has emerged as a promising alternative nucleic acid amplification method. </w:t>
      </w:r>
      <w:r w:rsidR="00035280">
        <w:rPr>
          <w:rFonts w:ascii="Times New Roman" w:hAnsi="Times New Roman" w:cs="Times New Roman"/>
          <w:sz w:val="24"/>
          <w:szCs w:val="24"/>
        </w:rPr>
        <w:t xml:space="preserve">The technique </w:t>
      </w:r>
      <w:r w:rsidRPr="002B47CF">
        <w:rPr>
          <w:rFonts w:ascii="Times New Roman" w:hAnsi="Times New Roman" w:cs="Times New Roman"/>
          <w:sz w:val="24"/>
          <w:szCs w:val="24"/>
        </w:rPr>
        <w:t xml:space="preserve">can be performed in a simple water bath at a constant temperature, producing results within approximately 60 minutes </w:t>
      </w:r>
      <w:r w:rsidRPr="002B47CF">
        <w:rPr>
          <w:rFonts w:ascii="Times New Roman" w:hAnsi="Times New Roman" w:cs="Times New Roman"/>
          <w:sz w:val="24"/>
          <w:szCs w:val="24"/>
        </w:rPr>
        <w:lastRenderedPageBreak/>
        <w:t xml:space="preserve">without the need for thermal cycling. The amplification can be visualised directly by eye, making it highly </w:t>
      </w:r>
      <w:r w:rsidR="00035280">
        <w:rPr>
          <w:rFonts w:ascii="Times New Roman" w:hAnsi="Times New Roman" w:cs="Times New Roman"/>
          <w:sz w:val="24"/>
          <w:szCs w:val="24"/>
        </w:rPr>
        <w:t>suitable</w:t>
      </w:r>
      <w:r w:rsidRPr="002B47CF">
        <w:rPr>
          <w:rFonts w:ascii="Times New Roman" w:hAnsi="Times New Roman" w:cs="Times New Roman"/>
          <w:sz w:val="24"/>
          <w:szCs w:val="24"/>
        </w:rPr>
        <w:t xml:space="preserve"> to resource-limited and field settings (Williams, 2024).</w:t>
      </w:r>
    </w:p>
    <w:p w14:paraId="2C85794F" w14:textId="044C3F28" w:rsidR="00A86680" w:rsidRPr="002B47CF" w:rsidRDefault="00A86680"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MATERIALS AND METHODS</w:t>
      </w:r>
    </w:p>
    <w:p w14:paraId="68B19893" w14:textId="77B58DF6" w:rsidR="00E61882" w:rsidRPr="002B47CF" w:rsidRDefault="00E61882" w:rsidP="00F82139">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Patient selection criteria and sample collection</w:t>
      </w:r>
    </w:p>
    <w:p w14:paraId="4D205709" w14:textId="0C0B6411" w:rsidR="00DF0A86" w:rsidRPr="002B47CF" w:rsidRDefault="00DF0A86"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The study was conducted in the Department of Veterinary Epidemiology and Preventive Medicine from November 2024 to August 2025</w:t>
      </w:r>
      <w:r w:rsidR="00834696">
        <w:rPr>
          <w:rFonts w:ascii="Times New Roman" w:hAnsi="Times New Roman" w:cs="Times New Roman"/>
          <w:sz w:val="24"/>
          <w:szCs w:val="24"/>
        </w:rPr>
        <w:t xml:space="preserve"> and c</w:t>
      </w:r>
      <w:r w:rsidRPr="002B47CF">
        <w:rPr>
          <w:rFonts w:ascii="Times New Roman" w:hAnsi="Times New Roman" w:cs="Times New Roman"/>
          <w:sz w:val="24"/>
          <w:szCs w:val="24"/>
        </w:rPr>
        <w:t xml:space="preserve">linical samples were collected from dogs reported at the Teaching Veterinary Clinical Complex, College of Veterinary and Animal Sciences, Pookode. </w:t>
      </w:r>
      <w:r w:rsidR="00834696">
        <w:rPr>
          <w:rFonts w:ascii="Times New Roman" w:hAnsi="Times New Roman" w:cs="Times New Roman"/>
          <w:sz w:val="24"/>
          <w:szCs w:val="24"/>
        </w:rPr>
        <w:t>B</w:t>
      </w:r>
      <w:r w:rsidRPr="002B47CF">
        <w:rPr>
          <w:rFonts w:ascii="Times New Roman" w:hAnsi="Times New Roman" w:cs="Times New Roman"/>
          <w:sz w:val="24"/>
          <w:szCs w:val="24"/>
        </w:rPr>
        <w:t xml:space="preserve">lood samples for </w:t>
      </w:r>
      <w:r w:rsidR="00834696">
        <w:rPr>
          <w:rFonts w:ascii="Times New Roman" w:hAnsi="Times New Roman" w:cs="Times New Roman"/>
          <w:sz w:val="24"/>
          <w:szCs w:val="24"/>
        </w:rPr>
        <w:t xml:space="preserve">PCR </w:t>
      </w:r>
      <w:r w:rsidRPr="002B47CF">
        <w:rPr>
          <w:rFonts w:ascii="Times New Roman" w:hAnsi="Times New Roman" w:cs="Times New Roman"/>
          <w:sz w:val="24"/>
          <w:szCs w:val="24"/>
        </w:rPr>
        <w:t>and serum samples for microscopic agglutination test, were collected from animals exhibiting clinical manifestations suggestive of leptospirosis, including pyrexia, anorexia, vomiting, lethargy, jaundice, oliguria/anuria/haematuria/haemoglobinuria.</w:t>
      </w:r>
    </w:p>
    <w:p w14:paraId="34C637D8" w14:textId="1C6C033B" w:rsidR="00A62D42" w:rsidRPr="002B47CF" w:rsidRDefault="00A62D42" w:rsidP="00F82139">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Microscopic agglutination test</w:t>
      </w:r>
    </w:p>
    <w:p w14:paraId="73B54BF3" w14:textId="01A4E365" w:rsidR="00A62D42" w:rsidRPr="002B47CF" w:rsidRDefault="00A81A40" w:rsidP="00F82139">
      <w:pPr>
        <w:spacing w:line="360" w:lineRule="auto"/>
        <w:ind w:firstLine="567"/>
        <w:jc w:val="both"/>
        <w:rPr>
          <w:rFonts w:ascii="Times New Roman" w:hAnsi="Times New Roman" w:cs="Times New Roman"/>
          <w:sz w:val="24"/>
          <w:szCs w:val="24"/>
          <w:lang w:val="pt-BR"/>
        </w:rPr>
      </w:pPr>
      <w:r>
        <w:rPr>
          <w:rFonts w:ascii="Times New Roman" w:hAnsi="Times New Roman" w:cs="Times New Roman"/>
          <w:sz w:val="24"/>
          <w:szCs w:val="24"/>
        </w:rPr>
        <w:t>M</w:t>
      </w:r>
      <w:r w:rsidR="00A62D42" w:rsidRPr="002B47CF">
        <w:rPr>
          <w:rFonts w:ascii="Times New Roman" w:hAnsi="Times New Roman" w:cs="Times New Roman"/>
          <w:sz w:val="24"/>
          <w:szCs w:val="24"/>
        </w:rPr>
        <w:t xml:space="preserve">icroscopic agglutination test was carried out using live </w:t>
      </w:r>
      <w:r w:rsidR="00A62D42" w:rsidRPr="002B47CF">
        <w:rPr>
          <w:rFonts w:ascii="Times New Roman" w:hAnsi="Times New Roman" w:cs="Times New Roman"/>
          <w:i/>
          <w:iCs/>
          <w:sz w:val="24"/>
          <w:szCs w:val="24"/>
        </w:rPr>
        <w:t>Leptospira</w:t>
      </w:r>
      <w:r w:rsidR="00A62D42" w:rsidRPr="002B47CF">
        <w:rPr>
          <w:rFonts w:ascii="Times New Roman" w:hAnsi="Times New Roman" w:cs="Times New Roman"/>
          <w:sz w:val="24"/>
          <w:szCs w:val="24"/>
        </w:rPr>
        <w:t xml:space="preserve"> serovars, as described by Faine (1982).</w:t>
      </w:r>
      <w:r w:rsidR="001F3B49">
        <w:rPr>
          <w:rFonts w:ascii="Times New Roman" w:hAnsi="Times New Roman" w:cs="Times New Roman"/>
          <w:sz w:val="24"/>
          <w:szCs w:val="24"/>
        </w:rPr>
        <w:t xml:space="preserve"> </w:t>
      </w:r>
      <w:r w:rsidR="00A62D42" w:rsidRPr="002B47CF">
        <w:rPr>
          <w:rFonts w:ascii="Times New Roman" w:hAnsi="Times New Roman" w:cs="Times New Roman"/>
          <w:sz w:val="24"/>
          <w:szCs w:val="24"/>
          <w:lang w:val="pt-BR"/>
        </w:rPr>
        <w:t xml:space="preserve">The </w:t>
      </w:r>
      <w:r w:rsidR="001F3B49">
        <w:rPr>
          <w:rFonts w:ascii="Times New Roman" w:hAnsi="Times New Roman" w:cs="Times New Roman"/>
          <w:sz w:val="24"/>
          <w:szCs w:val="24"/>
          <w:lang w:val="pt-BR"/>
        </w:rPr>
        <w:t>serovars employed in MAT</w:t>
      </w:r>
      <w:r w:rsidR="00A62D42" w:rsidRPr="002B47CF">
        <w:rPr>
          <w:rFonts w:ascii="Times New Roman" w:hAnsi="Times New Roman" w:cs="Times New Roman"/>
          <w:sz w:val="24"/>
          <w:szCs w:val="24"/>
          <w:lang w:val="pt-BR"/>
        </w:rPr>
        <w:t xml:space="preserve"> were Icterohaemorrhagiae,</w:t>
      </w:r>
      <w:r w:rsidR="001F3B49">
        <w:rPr>
          <w:rFonts w:ascii="Times New Roman" w:hAnsi="Times New Roman" w:cs="Times New Roman"/>
          <w:sz w:val="24"/>
          <w:szCs w:val="24"/>
          <w:lang w:val="pt-BR"/>
        </w:rPr>
        <w:t xml:space="preserve"> </w:t>
      </w:r>
      <w:r w:rsidR="00A62D42" w:rsidRPr="002B47CF">
        <w:rPr>
          <w:rFonts w:ascii="Times New Roman" w:hAnsi="Times New Roman" w:cs="Times New Roman"/>
          <w:sz w:val="24"/>
          <w:szCs w:val="24"/>
          <w:lang w:val="pt-BR"/>
        </w:rPr>
        <w:t>Canicola,</w:t>
      </w:r>
      <w:r w:rsidR="00A62D42" w:rsidRPr="002B47CF">
        <w:rPr>
          <w:rFonts w:ascii="Times New Roman" w:hAnsi="Times New Roman" w:cs="Times New Roman"/>
          <w:i/>
          <w:iCs/>
          <w:sz w:val="24"/>
          <w:szCs w:val="24"/>
          <w:lang w:val="pt-BR"/>
        </w:rPr>
        <w:t xml:space="preserve"> </w:t>
      </w:r>
      <w:r w:rsidR="00A62D42" w:rsidRPr="002B47CF">
        <w:rPr>
          <w:rFonts w:ascii="Times New Roman" w:hAnsi="Times New Roman" w:cs="Times New Roman"/>
          <w:sz w:val="24"/>
          <w:szCs w:val="24"/>
          <w:lang w:val="pt-BR"/>
        </w:rPr>
        <w:t>Grippotyphosa,</w:t>
      </w:r>
      <w:r w:rsidR="00A62D42" w:rsidRPr="002B47CF">
        <w:rPr>
          <w:rFonts w:ascii="Times New Roman" w:hAnsi="Times New Roman" w:cs="Times New Roman"/>
          <w:i/>
          <w:iCs/>
          <w:sz w:val="24"/>
          <w:szCs w:val="24"/>
          <w:lang w:val="pt-BR"/>
        </w:rPr>
        <w:t xml:space="preserve"> </w:t>
      </w:r>
      <w:r w:rsidR="00A62D42" w:rsidRPr="002B47CF">
        <w:rPr>
          <w:rFonts w:ascii="Times New Roman" w:hAnsi="Times New Roman" w:cs="Times New Roman"/>
          <w:sz w:val="24"/>
          <w:szCs w:val="24"/>
          <w:lang w:val="pt-BR"/>
        </w:rPr>
        <w:t>Pomona, Pyrogenes, Patoc</w:t>
      </w:r>
      <w:r w:rsidR="001F3B49">
        <w:rPr>
          <w:rFonts w:ascii="Times New Roman" w:hAnsi="Times New Roman" w:cs="Times New Roman"/>
          <w:sz w:val="24"/>
          <w:szCs w:val="24"/>
          <w:lang w:val="pt-BR"/>
        </w:rPr>
        <w:t xml:space="preserve">, </w:t>
      </w:r>
      <w:r w:rsidR="00A62D42" w:rsidRPr="002B47CF">
        <w:rPr>
          <w:rFonts w:ascii="Times New Roman" w:hAnsi="Times New Roman" w:cs="Times New Roman"/>
          <w:sz w:val="24"/>
          <w:szCs w:val="24"/>
          <w:lang w:val="pt-BR"/>
        </w:rPr>
        <w:t xml:space="preserve"> Australis, Autumnalis, Hardjo,</w:t>
      </w:r>
      <w:r w:rsidR="001F3B49">
        <w:rPr>
          <w:rFonts w:ascii="Times New Roman" w:hAnsi="Times New Roman" w:cs="Times New Roman"/>
          <w:sz w:val="24"/>
          <w:szCs w:val="24"/>
          <w:lang w:val="pt-BR"/>
        </w:rPr>
        <w:t xml:space="preserve"> </w:t>
      </w:r>
      <w:r w:rsidR="00A62D42" w:rsidRPr="002B47CF">
        <w:rPr>
          <w:rFonts w:ascii="Times New Roman" w:hAnsi="Times New Roman" w:cs="Times New Roman"/>
          <w:sz w:val="24"/>
          <w:szCs w:val="24"/>
          <w:lang w:val="pt-BR"/>
        </w:rPr>
        <w:t>Hebdomadis, Bataviae, Javanica and Djasiman.</w:t>
      </w:r>
    </w:p>
    <w:p w14:paraId="710E3E9C" w14:textId="3D653CA8" w:rsidR="00A62D42" w:rsidRPr="002B47CF" w:rsidRDefault="00B17DB1" w:rsidP="0085237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Serum dilutions of</w:t>
      </w:r>
      <w:r w:rsidR="00A62D42" w:rsidRPr="002B47CF">
        <w:rPr>
          <w:rFonts w:ascii="Times New Roman" w:hAnsi="Times New Roman" w:cs="Times New Roman"/>
          <w:sz w:val="24"/>
          <w:szCs w:val="24"/>
        </w:rPr>
        <w:t xml:space="preserve"> 1:100 were prepared in PBS; 50 μL of each was taken and mixed with 50 μL of each of the </w:t>
      </w:r>
      <w:r w:rsidR="00731489" w:rsidRPr="002B47CF">
        <w:rPr>
          <w:rFonts w:ascii="Times New Roman" w:hAnsi="Times New Roman" w:cs="Times New Roman"/>
          <w:sz w:val="24"/>
          <w:szCs w:val="24"/>
        </w:rPr>
        <w:t>four</w:t>
      </w:r>
      <w:r w:rsidR="00731489">
        <w:rPr>
          <w:rFonts w:ascii="Times New Roman" w:hAnsi="Times New Roman" w:cs="Times New Roman"/>
          <w:sz w:val="24"/>
          <w:szCs w:val="24"/>
        </w:rPr>
        <w:t xml:space="preserve">-day </w:t>
      </w:r>
      <w:r w:rsidR="00A62D42" w:rsidRPr="002B47CF">
        <w:rPr>
          <w:rFonts w:ascii="Times New Roman" w:hAnsi="Times New Roman" w:cs="Times New Roman"/>
          <w:sz w:val="24"/>
          <w:szCs w:val="24"/>
        </w:rPr>
        <w:t xml:space="preserve">old live leptospiral serovars separately. Antigen controls were </w:t>
      </w:r>
      <w:r w:rsidR="00731489">
        <w:rPr>
          <w:rFonts w:ascii="Times New Roman" w:hAnsi="Times New Roman" w:cs="Times New Roman"/>
          <w:sz w:val="24"/>
          <w:szCs w:val="24"/>
        </w:rPr>
        <w:t>prepared</w:t>
      </w:r>
      <w:r w:rsidR="00A62D42" w:rsidRPr="002B47CF">
        <w:rPr>
          <w:rFonts w:ascii="Times New Roman" w:hAnsi="Times New Roman" w:cs="Times New Roman"/>
          <w:sz w:val="24"/>
          <w:szCs w:val="24"/>
        </w:rPr>
        <w:t xml:space="preserve"> with 50 μL of PBS and 50 μL of different live leptospiral serovars, and the plates were incubated at 37°C for 2 hours. After incubation, the results were read by examining a drop of the serum-antigen mixture from each well under a 10x objective of the DFM for the agglutination of leptospires. Samples positive at a 1:100 dilution were again serially diluted up to 1:1200. The dilution at which 50 per cent or more leptospiral organisms were seen agglutinated was taken as positive. In cases where samples showed agglutination against more than one serovar, </w:t>
      </w:r>
      <w:r w:rsidR="00B40B8C">
        <w:rPr>
          <w:rFonts w:ascii="Times New Roman" w:hAnsi="Times New Roman" w:cs="Times New Roman"/>
          <w:sz w:val="24"/>
          <w:szCs w:val="24"/>
        </w:rPr>
        <w:t>paired sera samples were taken to confirm the infecting serovar</w:t>
      </w:r>
      <w:r w:rsidR="00A62D42" w:rsidRPr="002B47CF">
        <w:rPr>
          <w:rFonts w:ascii="Times New Roman" w:hAnsi="Times New Roman" w:cs="Times New Roman"/>
          <w:sz w:val="24"/>
          <w:szCs w:val="24"/>
        </w:rPr>
        <w:t>.</w:t>
      </w:r>
    </w:p>
    <w:p w14:paraId="1A4E6C69" w14:textId="76C4A581" w:rsidR="00E61882" w:rsidRPr="002B47CF" w:rsidRDefault="00E61882" w:rsidP="00F82139">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Polymerase Chain Reaction</w:t>
      </w:r>
    </w:p>
    <w:p w14:paraId="0C5EFB24" w14:textId="68DE504A" w:rsidR="00DF0A86" w:rsidRPr="002B47CF" w:rsidRDefault="00B228E6"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The DNA was isolated from whole blood using a commercially available Genomic DNA extraction kit (Origin™), according to the procedure described by the manufacturer. </w:t>
      </w:r>
      <w:r w:rsidR="002E6D9C">
        <w:rPr>
          <w:rFonts w:ascii="Times New Roman" w:hAnsi="Times New Roman" w:cs="Times New Roman"/>
          <w:sz w:val="24"/>
          <w:szCs w:val="24"/>
        </w:rPr>
        <w:t>The</w:t>
      </w:r>
      <w:r w:rsidRPr="002B47CF">
        <w:rPr>
          <w:rFonts w:ascii="Times New Roman" w:hAnsi="Times New Roman" w:cs="Times New Roman"/>
          <w:sz w:val="24"/>
          <w:szCs w:val="24"/>
        </w:rPr>
        <w:t xml:space="preserve"> DNA was amplified using PCR for the detection of LipL32 gene, specific to pathogenic leptospira. </w:t>
      </w:r>
      <w:r w:rsidR="00C05D91" w:rsidRPr="002B47CF">
        <w:rPr>
          <w:rFonts w:ascii="Times New Roman" w:hAnsi="Times New Roman" w:cs="Times New Roman"/>
          <w:sz w:val="24"/>
          <w:szCs w:val="24"/>
        </w:rPr>
        <w:t>The details of primers used are depicted in table 1</w:t>
      </w:r>
      <w:r w:rsidR="002E6D9C">
        <w:rPr>
          <w:rFonts w:ascii="Times New Roman" w:hAnsi="Times New Roman" w:cs="Times New Roman"/>
          <w:sz w:val="24"/>
          <w:szCs w:val="24"/>
        </w:rPr>
        <w:t xml:space="preserve">. </w:t>
      </w:r>
      <w:r w:rsidRPr="002B47CF">
        <w:rPr>
          <w:rFonts w:ascii="Times New Roman" w:hAnsi="Times New Roman" w:cs="Times New Roman"/>
          <w:sz w:val="24"/>
          <w:szCs w:val="24"/>
        </w:rPr>
        <w:t xml:space="preserve">Components of PCR mixture were 5.00 µL </w:t>
      </w:r>
      <w:r w:rsidRPr="002B47CF">
        <w:rPr>
          <w:rFonts w:ascii="Times New Roman" w:hAnsi="Times New Roman" w:cs="Times New Roman"/>
          <w:sz w:val="24"/>
          <w:szCs w:val="24"/>
        </w:rPr>
        <w:lastRenderedPageBreak/>
        <w:t>of Template DNA, 12.50 µL Emerald Amp GT PCR Master Mix (Takara), 1.00 µL of forward and reverse primers each</w:t>
      </w:r>
      <w:r w:rsidR="005D10CC" w:rsidRPr="002B47CF">
        <w:rPr>
          <w:rFonts w:ascii="Times New Roman" w:hAnsi="Times New Roman" w:cs="Times New Roman"/>
          <w:sz w:val="24"/>
          <w:szCs w:val="24"/>
        </w:rPr>
        <w:t xml:space="preserve"> were added</w:t>
      </w:r>
      <w:r w:rsidRPr="002B47CF">
        <w:rPr>
          <w:rFonts w:ascii="Times New Roman" w:hAnsi="Times New Roman" w:cs="Times New Roman"/>
          <w:sz w:val="24"/>
          <w:szCs w:val="24"/>
        </w:rPr>
        <w:t>, and the final volume was adjusted to 25 µL using nuclease free water.</w:t>
      </w:r>
      <w:r w:rsidR="00E61882" w:rsidRPr="002B47CF">
        <w:rPr>
          <w:rFonts w:ascii="Times New Roman" w:hAnsi="Times New Roman" w:cs="Times New Roman"/>
          <w:sz w:val="24"/>
          <w:szCs w:val="24"/>
        </w:rPr>
        <w:t xml:space="preserve"> A T100 thermal cycler (</w:t>
      </w:r>
      <w:proofErr w:type="spellStart"/>
      <w:r w:rsidR="00E61882" w:rsidRPr="002B47CF">
        <w:rPr>
          <w:rFonts w:ascii="Times New Roman" w:hAnsi="Times New Roman" w:cs="Times New Roman"/>
          <w:sz w:val="24"/>
          <w:szCs w:val="24"/>
        </w:rPr>
        <w:t>Biorad</w:t>
      </w:r>
      <w:proofErr w:type="spellEnd"/>
      <w:r w:rsidR="00E61882" w:rsidRPr="002B47CF">
        <w:rPr>
          <w:rFonts w:ascii="Times New Roman" w:hAnsi="Times New Roman" w:cs="Times New Roman"/>
          <w:sz w:val="24"/>
          <w:szCs w:val="24"/>
        </w:rPr>
        <w:t xml:space="preserve">, USA), was used for </w:t>
      </w:r>
      <w:r w:rsidR="00800D42">
        <w:rPr>
          <w:rFonts w:ascii="Times New Roman" w:hAnsi="Times New Roman" w:cs="Times New Roman"/>
          <w:sz w:val="24"/>
          <w:szCs w:val="24"/>
        </w:rPr>
        <w:t>amplification</w:t>
      </w:r>
      <w:r w:rsidR="00E61882" w:rsidRPr="002B47CF">
        <w:rPr>
          <w:rFonts w:ascii="Times New Roman" w:hAnsi="Times New Roman" w:cs="Times New Roman"/>
          <w:sz w:val="24"/>
          <w:szCs w:val="24"/>
        </w:rPr>
        <w:t>.</w:t>
      </w:r>
    </w:p>
    <w:p w14:paraId="62A3F775" w14:textId="702DED7C" w:rsidR="006028ED" w:rsidRPr="002B47CF" w:rsidRDefault="006028ED" w:rsidP="00F82139">
      <w:pPr>
        <w:spacing w:after="0" w:line="360" w:lineRule="auto"/>
        <w:jc w:val="center"/>
        <w:rPr>
          <w:rFonts w:ascii="Times New Roman" w:hAnsi="Times New Roman" w:cs="Times New Roman"/>
          <w:b/>
          <w:bCs/>
          <w:sz w:val="24"/>
          <w:szCs w:val="24"/>
        </w:rPr>
      </w:pPr>
      <w:r w:rsidRPr="002B47CF">
        <w:rPr>
          <w:rFonts w:ascii="Times New Roman" w:hAnsi="Times New Roman" w:cs="Times New Roman"/>
          <w:b/>
          <w:bCs/>
          <w:sz w:val="24"/>
          <w:szCs w:val="24"/>
        </w:rPr>
        <w:t xml:space="preserve">Table 1. PCR primers used for the detection of </w:t>
      </w:r>
      <w:r w:rsidRPr="002B47CF">
        <w:rPr>
          <w:rFonts w:ascii="Times New Roman" w:hAnsi="Times New Roman" w:cs="Times New Roman"/>
          <w:b/>
          <w:bCs/>
          <w:i/>
          <w:iCs/>
          <w:sz w:val="24"/>
          <w:szCs w:val="24"/>
        </w:rPr>
        <w:t>Leptospira</w:t>
      </w:r>
      <w:r w:rsidRPr="002B47CF">
        <w:rPr>
          <w:rFonts w:ascii="Times New Roman" w:hAnsi="Times New Roman" w:cs="Times New Roman"/>
          <w:b/>
          <w:bCs/>
          <w:sz w:val="24"/>
          <w:szCs w:val="24"/>
        </w:rPr>
        <w:t xml:space="preserve"> spp.</w:t>
      </w:r>
    </w:p>
    <w:tbl>
      <w:tblPr>
        <w:tblStyle w:val="TableGrid"/>
        <w:tblW w:w="0" w:type="auto"/>
        <w:jc w:val="center"/>
        <w:tblLook w:val="04A0" w:firstRow="1" w:lastRow="0" w:firstColumn="1" w:lastColumn="0" w:noHBand="0" w:noVBand="1"/>
      </w:tblPr>
      <w:tblGrid>
        <w:gridCol w:w="816"/>
        <w:gridCol w:w="1005"/>
        <w:gridCol w:w="3986"/>
        <w:gridCol w:w="1043"/>
        <w:gridCol w:w="1242"/>
      </w:tblGrid>
      <w:tr w:rsidR="00C05D91" w:rsidRPr="002B47CF" w14:paraId="2B87E122" w14:textId="77777777" w:rsidTr="00C05D91">
        <w:trPr>
          <w:jc w:val="center"/>
        </w:trPr>
        <w:tc>
          <w:tcPr>
            <w:tcW w:w="816" w:type="dxa"/>
          </w:tcPr>
          <w:p w14:paraId="4CA55E2E" w14:textId="77777777" w:rsidR="00C05D91" w:rsidRPr="002B47CF" w:rsidRDefault="00C05D91"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Serial no:</w:t>
            </w:r>
          </w:p>
        </w:tc>
        <w:tc>
          <w:tcPr>
            <w:tcW w:w="1005" w:type="dxa"/>
          </w:tcPr>
          <w:p w14:paraId="7F1AD736" w14:textId="77777777" w:rsidR="00C05D91" w:rsidRPr="002B47CF" w:rsidRDefault="00C05D91"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Target gene</w:t>
            </w:r>
          </w:p>
        </w:tc>
        <w:tc>
          <w:tcPr>
            <w:tcW w:w="3986" w:type="dxa"/>
          </w:tcPr>
          <w:p w14:paraId="43BF1DEA" w14:textId="77777777" w:rsidR="00C05D91" w:rsidRPr="002B47CF" w:rsidRDefault="00C05D91"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Primer sequence 5’-3’</w:t>
            </w:r>
          </w:p>
        </w:tc>
        <w:tc>
          <w:tcPr>
            <w:tcW w:w="881" w:type="dxa"/>
          </w:tcPr>
          <w:p w14:paraId="15EB780C" w14:textId="77777777" w:rsidR="00C05D91" w:rsidRPr="002B47CF" w:rsidRDefault="00C05D91"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Product size</w:t>
            </w:r>
          </w:p>
        </w:tc>
        <w:tc>
          <w:tcPr>
            <w:tcW w:w="1238" w:type="dxa"/>
          </w:tcPr>
          <w:p w14:paraId="05691644" w14:textId="77777777" w:rsidR="00C05D91" w:rsidRPr="002B47CF" w:rsidRDefault="00C05D91"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Reference</w:t>
            </w:r>
          </w:p>
        </w:tc>
      </w:tr>
      <w:tr w:rsidR="00C05D91" w:rsidRPr="002B47CF" w14:paraId="6181F0EC" w14:textId="77777777" w:rsidTr="00C05D91">
        <w:trPr>
          <w:jc w:val="center"/>
        </w:trPr>
        <w:tc>
          <w:tcPr>
            <w:tcW w:w="816" w:type="dxa"/>
            <w:vAlign w:val="center"/>
          </w:tcPr>
          <w:p w14:paraId="16D49232" w14:textId="77777777" w:rsidR="00C05D91" w:rsidRPr="002B47CF" w:rsidRDefault="00C05D91"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1.</w:t>
            </w:r>
          </w:p>
        </w:tc>
        <w:tc>
          <w:tcPr>
            <w:tcW w:w="1005" w:type="dxa"/>
            <w:vAlign w:val="center"/>
          </w:tcPr>
          <w:p w14:paraId="73F94E85" w14:textId="77777777" w:rsidR="00C05D91" w:rsidRPr="002B47CF" w:rsidRDefault="00C05D91" w:rsidP="00F82139">
            <w:pPr>
              <w:spacing w:line="360" w:lineRule="auto"/>
              <w:jc w:val="both"/>
              <w:rPr>
                <w:rFonts w:ascii="Times New Roman" w:hAnsi="Times New Roman" w:cs="Times New Roman"/>
                <w:i/>
                <w:iCs/>
                <w:sz w:val="24"/>
                <w:szCs w:val="24"/>
              </w:rPr>
            </w:pPr>
            <w:r w:rsidRPr="002B47CF">
              <w:rPr>
                <w:rFonts w:ascii="Times New Roman" w:hAnsi="Times New Roman" w:cs="Times New Roman"/>
                <w:i/>
                <w:iCs/>
                <w:sz w:val="24"/>
                <w:szCs w:val="24"/>
              </w:rPr>
              <w:t>lipL 32</w:t>
            </w:r>
          </w:p>
        </w:tc>
        <w:tc>
          <w:tcPr>
            <w:tcW w:w="3986" w:type="dxa"/>
            <w:vAlign w:val="center"/>
          </w:tcPr>
          <w:p w14:paraId="3E4633A9" w14:textId="77777777" w:rsidR="00C05D91" w:rsidRPr="002B47CF" w:rsidRDefault="00C05D91"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Forward- 5’-CGC GCT GCA GTT ACT TAG TCG CGT CAG AAG-3’</w:t>
            </w:r>
          </w:p>
          <w:p w14:paraId="2638B13D" w14:textId="77777777" w:rsidR="00C05D91" w:rsidRPr="002B47CF" w:rsidRDefault="00C05D91" w:rsidP="00F82139">
            <w:pPr>
              <w:spacing w:line="360" w:lineRule="auto"/>
              <w:jc w:val="both"/>
              <w:rPr>
                <w:rFonts w:ascii="Times New Roman" w:hAnsi="Times New Roman" w:cs="Times New Roman"/>
                <w:sz w:val="24"/>
                <w:szCs w:val="24"/>
              </w:rPr>
            </w:pPr>
          </w:p>
          <w:p w14:paraId="67F438A4" w14:textId="77777777" w:rsidR="00C05D91" w:rsidRPr="002B47CF" w:rsidRDefault="00C05D91"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Reverse – 5’-CGC GGT CGA CGC TTT CGG TGG TCT CTG CCA AGC-3’</w:t>
            </w:r>
          </w:p>
        </w:tc>
        <w:tc>
          <w:tcPr>
            <w:tcW w:w="881" w:type="dxa"/>
            <w:vAlign w:val="center"/>
          </w:tcPr>
          <w:p w14:paraId="1F2DD05C" w14:textId="77777777" w:rsidR="00C05D91" w:rsidRPr="002B47CF" w:rsidRDefault="00C05D91"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790 bp</w:t>
            </w:r>
          </w:p>
        </w:tc>
        <w:tc>
          <w:tcPr>
            <w:tcW w:w="1238" w:type="dxa"/>
            <w:vAlign w:val="center"/>
          </w:tcPr>
          <w:p w14:paraId="3B9F18A9" w14:textId="087E3A91" w:rsidR="00C05D91" w:rsidRPr="002B47CF" w:rsidRDefault="00C05D91"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 xml:space="preserve">Krishna </w:t>
            </w:r>
            <w:r w:rsidR="00171E43" w:rsidRPr="00171E43">
              <w:rPr>
                <w:rFonts w:ascii="Times New Roman" w:hAnsi="Times New Roman" w:cs="Times New Roman"/>
                <w:i/>
                <w:iCs/>
                <w:sz w:val="24"/>
                <w:szCs w:val="24"/>
              </w:rPr>
              <w:t>et al</w:t>
            </w:r>
            <w:r w:rsidRPr="002B47CF">
              <w:rPr>
                <w:rFonts w:ascii="Times New Roman" w:hAnsi="Times New Roman" w:cs="Times New Roman"/>
                <w:i/>
                <w:iCs/>
                <w:sz w:val="24"/>
                <w:szCs w:val="24"/>
              </w:rPr>
              <w:t>.</w:t>
            </w:r>
            <w:r w:rsidRPr="002B47CF">
              <w:rPr>
                <w:rFonts w:ascii="Times New Roman" w:hAnsi="Times New Roman" w:cs="Times New Roman"/>
                <w:sz w:val="24"/>
                <w:szCs w:val="24"/>
              </w:rPr>
              <w:t xml:space="preserve"> (2013)</w:t>
            </w:r>
          </w:p>
        </w:tc>
      </w:tr>
    </w:tbl>
    <w:p w14:paraId="24D08A48" w14:textId="77777777" w:rsidR="00E61882" w:rsidRPr="002B47CF" w:rsidRDefault="00E61882" w:rsidP="00F82139">
      <w:pPr>
        <w:spacing w:line="360" w:lineRule="auto"/>
        <w:jc w:val="both"/>
        <w:rPr>
          <w:rFonts w:ascii="Times New Roman" w:hAnsi="Times New Roman" w:cs="Times New Roman"/>
          <w:sz w:val="24"/>
          <w:szCs w:val="24"/>
        </w:rPr>
      </w:pPr>
    </w:p>
    <w:p w14:paraId="7003DE2E" w14:textId="164CC4A7" w:rsidR="00E61882" w:rsidRPr="002B47CF" w:rsidRDefault="00E61882"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Gel loading dye (6X) (Thermo-scientific Cat. No. R0611) was used for gel electrophoresis</w:t>
      </w:r>
      <w:r w:rsidR="00C3146C">
        <w:rPr>
          <w:rFonts w:ascii="Times New Roman" w:hAnsi="Times New Roman" w:cs="Times New Roman"/>
          <w:sz w:val="24"/>
          <w:szCs w:val="24"/>
        </w:rPr>
        <w:t xml:space="preserve"> and t</w:t>
      </w:r>
      <w:r w:rsidRPr="002B47CF">
        <w:rPr>
          <w:rFonts w:ascii="Times New Roman" w:hAnsi="Times New Roman" w:cs="Times New Roman"/>
          <w:sz w:val="24"/>
          <w:szCs w:val="24"/>
        </w:rPr>
        <w:t>he results were visualized using electrophoresis system and gel documentation system (</w:t>
      </w:r>
      <w:proofErr w:type="spellStart"/>
      <w:r w:rsidRPr="002B47CF">
        <w:rPr>
          <w:rFonts w:ascii="Times New Roman" w:hAnsi="Times New Roman" w:cs="Times New Roman"/>
          <w:sz w:val="24"/>
          <w:szCs w:val="24"/>
        </w:rPr>
        <w:t>Biorad</w:t>
      </w:r>
      <w:proofErr w:type="spellEnd"/>
      <w:r w:rsidRPr="002B47CF">
        <w:rPr>
          <w:rFonts w:ascii="Times New Roman" w:hAnsi="Times New Roman" w:cs="Times New Roman"/>
          <w:sz w:val="24"/>
          <w:szCs w:val="24"/>
        </w:rPr>
        <w:t xml:space="preserve">, USA). </w:t>
      </w:r>
    </w:p>
    <w:p w14:paraId="541D112B" w14:textId="2FD31388" w:rsidR="00E61882" w:rsidRPr="002B47CF" w:rsidRDefault="00A62D42" w:rsidP="00F82139">
      <w:pPr>
        <w:tabs>
          <w:tab w:val="left" w:pos="3960"/>
        </w:tabs>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Loop-mediated isothermal amplification</w:t>
      </w:r>
    </w:p>
    <w:p w14:paraId="30F25AFD" w14:textId="4F214601" w:rsidR="00DF0A86" w:rsidRPr="002B47CF" w:rsidRDefault="006028ED"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Details of the primers for the Loop-Mediated Isothermal Amplification (LAMP) Assay, purchased from Vision Scientific Solutions, Angamali, Kerala, </w:t>
      </w:r>
      <w:r w:rsidR="00D2074A">
        <w:rPr>
          <w:rFonts w:ascii="Times New Roman" w:hAnsi="Times New Roman" w:cs="Times New Roman"/>
          <w:sz w:val="24"/>
          <w:szCs w:val="24"/>
        </w:rPr>
        <w:t>were</w:t>
      </w:r>
      <w:r w:rsidRPr="002B47CF">
        <w:rPr>
          <w:rFonts w:ascii="Times New Roman" w:hAnsi="Times New Roman" w:cs="Times New Roman"/>
          <w:sz w:val="24"/>
          <w:szCs w:val="24"/>
        </w:rPr>
        <w:t xml:space="preserve"> presented in Table </w:t>
      </w:r>
      <w:r w:rsidR="00035E84">
        <w:rPr>
          <w:rFonts w:ascii="Times New Roman" w:hAnsi="Times New Roman" w:cs="Times New Roman"/>
          <w:sz w:val="24"/>
          <w:szCs w:val="24"/>
        </w:rPr>
        <w:t>2</w:t>
      </w:r>
      <w:r w:rsidRPr="002B47CF">
        <w:rPr>
          <w:rFonts w:ascii="Times New Roman" w:hAnsi="Times New Roman" w:cs="Times New Roman"/>
          <w:sz w:val="24"/>
          <w:szCs w:val="24"/>
        </w:rPr>
        <w:t xml:space="preserve">. A set of two inner (FIP, BIP), two outer primers (F3, B3), and two loop (LF, LB) primers targeting the conserved sequence of the </w:t>
      </w:r>
      <w:r w:rsidRPr="002B47CF">
        <w:rPr>
          <w:rFonts w:ascii="Times New Roman" w:hAnsi="Times New Roman" w:cs="Times New Roman"/>
          <w:i/>
          <w:iCs/>
          <w:sz w:val="24"/>
          <w:szCs w:val="24"/>
        </w:rPr>
        <w:t>lipl32 gene</w:t>
      </w:r>
      <w:r w:rsidRPr="002B47CF">
        <w:rPr>
          <w:rFonts w:ascii="Times New Roman" w:hAnsi="Times New Roman" w:cs="Times New Roman"/>
          <w:sz w:val="24"/>
          <w:szCs w:val="24"/>
        </w:rPr>
        <w:t xml:space="preserve"> of </w:t>
      </w:r>
      <w:r w:rsidRPr="002B47CF">
        <w:rPr>
          <w:rFonts w:ascii="Times New Roman" w:hAnsi="Times New Roman" w:cs="Times New Roman"/>
          <w:i/>
          <w:iCs/>
          <w:sz w:val="24"/>
          <w:szCs w:val="24"/>
        </w:rPr>
        <w:t>Leptospira</w:t>
      </w:r>
      <w:r w:rsidRPr="002B47CF">
        <w:rPr>
          <w:rFonts w:ascii="Times New Roman" w:hAnsi="Times New Roman" w:cs="Times New Roman"/>
          <w:sz w:val="24"/>
          <w:szCs w:val="24"/>
        </w:rPr>
        <w:t xml:space="preserve"> spp. as reported by Suwanchareon </w:t>
      </w:r>
      <w:r w:rsidR="00171E43" w:rsidRPr="00171E43">
        <w:rPr>
          <w:rFonts w:ascii="Times New Roman" w:hAnsi="Times New Roman" w:cs="Times New Roman"/>
          <w:i/>
          <w:iCs/>
          <w:sz w:val="24"/>
          <w:szCs w:val="24"/>
        </w:rPr>
        <w:t>et al</w:t>
      </w:r>
      <w:r w:rsidRPr="002B47CF">
        <w:rPr>
          <w:rFonts w:ascii="Times New Roman" w:hAnsi="Times New Roman" w:cs="Times New Roman"/>
          <w:sz w:val="24"/>
          <w:szCs w:val="24"/>
        </w:rPr>
        <w:t>. (2016). A working solution at a concentration of 40 µM for the inner primer, 10 µM for the outer primer, and 10 µM for the loop primer was prepared using sterile, nuclease-free water.</w:t>
      </w:r>
    </w:p>
    <w:p w14:paraId="61F0AC68" w14:textId="4A17017E" w:rsidR="006028ED" w:rsidRPr="002B47CF" w:rsidRDefault="006028ED" w:rsidP="00F82139">
      <w:pPr>
        <w:spacing w:after="0" w:line="360" w:lineRule="auto"/>
        <w:jc w:val="center"/>
        <w:rPr>
          <w:rFonts w:ascii="Times New Roman" w:hAnsi="Times New Roman" w:cs="Times New Roman"/>
          <w:b/>
          <w:bCs/>
          <w:sz w:val="24"/>
          <w:szCs w:val="24"/>
        </w:rPr>
      </w:pPr>
      <w:r w:rsidRPr="002B47CF">
        <w:rPr>
          <w:rFonts w:ascii="Times New Roman" w:hAnsi="Times New Roman" w:cs="Times New Roman"/>
          <w:b/>
          <w:bCs/>
          <w:sz w:val="24"/>
          <w:szCs w:val="24"/>
        </w:rPr>
        <w:t xml:space="preserve">Table </w:t>
      </w:r>
      <w:r w:rsidR="00035E84">
        <w:rPr>
          <w:rFonts w:ascii="Times New Roman" w:hAnsi="Times New Roman" w:cs="Times New Roman"/>
          <w:b/>
          <w:bCs/>
          <w:sz w:val="24"/>
          <w:szCs w:val="24"/>
        </w:rPr>
        <w:t>2</w:t>
      </w:r>
      <w:r w:rsidRPr="002B47CF">
        <w:rPr>
          <w:rFonts w:ascii="Times New Roman" w:hAnsi="Times New Roman" w:cs="Times New Roman"/>
          <w:b/>
          <w:bCs/>
          <w:sz w:val="24"/>
          <w:szCs w:val="24"/>
        </w:rPr>
        <w:t xml:space="preserve">. LAMP primers used for the detection of </w:t>
      </w:r>
      <w:r w:rsidRPr="002B47CF">
        <w:rPr>
          <w:rFonts w:ascii="Times New Roman" w:hAnsi="Times New Roman" w:cs="Times New Roman"/>
          <w:b/>
          <w:bCs/>
          <w:i/>
          <w:iCs/>
          <w:sz w:val="24"/>
          <w:szCs w:val="24"/>
        </w:rPr>
        <w:t>Leptospira</w:t>
      </w:r>
      <w:r w:rsidRPr="002B47CF">
        <w:rPr>
          <w:rFonts w:ascii="Times New Roman" w:hAnsi="Times New Roman" w:cs="Times New Roman"/>
          <w:b/>
          <w:bCs/>
          <w:sz w:val="24"/>
          <w:szCs w:val="24"/>
        </w:rPr>
        <w:t xml:space="preserve"> spp.</w:t>
      </w:r>
    </w:p>
    <w:tbl>
      <w:tblPr>
        <w:tblStyle w:val="TableGrid"/>
        <w:tblW w:w="0" w:type="auto"/>
        <w:tblLook w:val="04A0" w:firstRow="1" w:lastRow="0" w:firstColumn="1" w:lastColumn="0" w:noHBand="0" w:noVBand="1"/>
      </w:tblPr>
      <w:tblGrid>
        <w:gridCol w:w="3253"/>
        <w:gridCol w:w="5763"/>
      </w:tblGrid>
      <w:tr w:rsidR="006028ED" w:rsidRPr="002B47CF" w14:paraId="6CC7D5EC" w14:textId="77777777" w:rsidTr="00CA59E9">
        <w:tc>
          <w:tcPr>
            <w:tcW w:w="3963" w:type="dxa"/>
          </w:tcPr>
          <w:p w14:paraId="18E0FEC6" w14:textId="77777777" w:rsidR="006028ED" w:rsidRPr="002B47CF" w:rsidRDefault="006028ED"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Primers</w:t>
            </w:r>
          </w:p>
        </w:tc>
        <w:tc>
          <w:tcPr>
            <w:tcW w:w="3963" w:type="dxa"/>
          </w:tcPr>
          <w:p w14:paraId="0A9AB96A" w14:textId="77777777" w:rsidR="006028ED" w:rsidRPr="002B47CF" w:rsidRDefault="006028ED" w:rsidP="00F82139">
            <w:pPr>
              <w:tabs>
                <w:tab w:val="left" w:pos="907"/>
              </w:tabs>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Primer sequence 5’ – 3’</w:t>
            </w:r>
          </w:p>
        </w:tc>
      </w:tr>
      <w:tr w:rsidR="006028ED" w:rsidRPr="002B47CF" w14:paraId="0BE2D021" w14:textId="77777777" w:rsidTr="00CA59E9">
        <w:tc>
          <w:tcPr>
            <w:tcW w:w="3963" w:type="dxa"/>
          </w:tcPr>
          <w:p w14:paraId="4966A456"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Forward Inner Primer (FIP)</w:t>
            </w:r>
          </w:p>
        </w:tc>
        <w:tc>
          <w:tcPr>
            <w:tcW w:w="3963" w:type="dxa"/>
          </w:tcPr>
          <w:p w14:paraId="01BB5CC6"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5’CGCTTACTAAGTCTCCGTCGCGTAATCGCTGAA ATGGGAGT-3’</w:t>
            </w:r>
          </w:p>
        </w:tc>
      </w:tr>
      <w:tr w:rsidR="006028ED" w:rsidRPr="002B47CF" w14:paraId="1A764DBB" w14:textId="77777777" w:rsidTr="00CA59E9">
        <w:tc>
          <w:tcPr>
            <w:tcW w:w="3963" w:type="dxa"/>
          </w:tcPr>
          <w:p w14:paraId="17573E50"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Backward Inner Primer (BIP)</w:t>
            </w:r>
          </w:p>
        </w:tc>
        <w:tc>
          <w:tcPr>
            <w:tcW w:w="3963" w:type="dxa"/>
          </w:tcPr>
          <w:p w14:paraId="08FE2FA4"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5’GCGGCTACCCCAGAAGAAAAGCATAATCGCCG ACATTCT-3’</w:t>
            </w:r>
          </w:p>
        </w:tc>
      </w:tr>
      <w:tr w:rsidR="006028ED" w:rsidRPr="002B47CF" w14:paraId="53D8648E" w14:textId="77777777" w:rsidTr="00CA59E9">
        <w:tc>
          <w:tcPr>
            <w:tcW w:w="3963" w:type="dxa"/>
          </w:tcPr>
          <w:p w14:paraId="4790C208"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Forward Outer primer (F3)</w:t>
            </w:r>
          </w:p>
        </w:tc>
        <w:tc>
          <w:tcPr>
            <w:tcW w:w="3963" w:type="dxa"/>
          </w:tcPr>
          <w:p w14:paraId="17708CDB"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5’-TCTATGTTTGGATTCCTGCC-3’</w:t>
            </w:r>
          </w:p>
        </w:tc>
      </w:tr>
      <w:tr w:rsidR="006028ED" w:rsidRPr="002B47CF" w14:paraId="06A3E24F" w14:textId="77777777" w:rsidTr="00CA59E9">
        <w:tc>
          <w:tcPr>
            <w:tcW w:w="3963" w:type="dxa"/>
          </w:tcPr>
          <w:p w14:paraId="2F9681DD"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Backward Outer Primer (B3)</w:t>
            </w:r>
          </w:p>
        </w:tc>
        <w:tc>
          <w:tcPr>
            <w:tcW w:w="3963" w:type="dxa"/>
          </w:tcPr>
          <w:p w14:paraId="3C00D2CD"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5’-TGCCACATTGGTTTGATACTTG-3’</w:t>
            </w:r>
          </w:p>
        </w:tc>
      </w:tr>
      <w:tr w:rsidR="006028ED" w:rsidRPr="002B47CF" w14:paraId="59481962" w14:textId="77777777" w:rsidTr="00CA59E9">
        <w:tc>
          <w:tcPr>
            <w:tcW w:w="3963" w:type="dxa"/>
          </w:tcPr>
          <w:p w14:paraId="582DB063"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lastRenderedPageBreak/>
              <w:t>Forward loop primer (LF)</w:t>
            </w:r>
          </w:p>
        </w:tc>
        <w:tc>
          <w:tcPr>
            <w:tcW w:w="3963" w:type="dxa"/>
          </w:tcPr>
          <w:p w14:paraId="6BD4AEF0"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5’-CTCACCGATTTCGCCTGT-3’</w:t>
            </w:r>
          </w:p>
        </w:tc>
      </w:tr>
      <w:tr w:rsidR="006028ED" w:rsidRPr="002B47CF" w14:paraId="20E0986B" w14:textId="77777777" w:rsidTr="00CA59E9">
        <w:tc>
          <w:tcPr>
            <w:tcW w:w="3963" w:type="dxa"/>
          </w:tcPr>
          <w:p w14:paraId="3E02A988"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Reverse loop primer (LB)</w:t>
            </w:r>
          </w:p>
        </w:tc>
        <w:tc>
          <w:tcPr>
            <w:tcW w:w="3963" w:type="dxa"/>
          </w:tcPr>
          <w:p w14:paraId="072E9396" w14:textId="77777777" w:rsidR="006028ED" w:rsidRPr="002B47CF" w:rsidRDefault="006028ED" w:rsidP="00F82139">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5’- TGCCACATTGGTTTGATACTTG-3’</w:t>
            </w:r>
          </w:p>
        </w:tc>
      </w:tr>
    </w:tbl>
    <w:p w14:paraId="1D51B099" w14:textId="77777777" w:rsidR="006028ED" w:rsidRPr="002B47CF" w:rsidRDefault="006028ED" w:rsidP="00F82139">
      <w:pPr>
        <w:tabs>
          <w:tab w:val="left" w:pos="3960"/>
        </w:tabs>
        <w:spacing w:line="360" w:lineRule="auto"/>
        <w:jc w:val="both"/>
        <w:rPr>
          <w:rFonts w:ascii="Times New Roman" w:hAnsi="Times New Roman" w:cs="Times New Roman"/>
          <w:sz w:val="24"/>
          <w:szCs w:val="24"/>
        </w:rPr>
      </w:pPr>
    </w:p>
    <w:p w14:paraId="1068020D" w14:textId="4ACA2774" w:rsidR="004B59FA" w:rsidRDefault="005D10CC" w:rsidP="00493C0F">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For LAMP assay 5.00 µL of Template DNA, 8.50 µL Bst Mix (OriginTM, cat. No. OBD01), 1.00 µL of each primer were added, and the final volume was adjusted to 25 µL using nuclease free water were combined and incubated at 95 °C for five minutes to achieve denaturation. Following this,</w:t>
      </w:r>
      <w:r w:rsidR="00493C0F">
        <w:rPr>
          <w:rFonts w:ascii="Times New Roman" w:hAnsi="Times New Roman" w:cs="Times New Roman"/>
          <w:sz w:val="24"/>
          <w:szCs w:val="24"/>
        </w:rPr>
        <w:t xml:space="preserve"> </w:t>
      </w:r>
      <w:r w:rsidR="00493C0F" w:rsidRPr="004444ED">
        <w:rPr>
          <w:rFonts w:ascii="Times New Roman" w:hAnsi="Times New Roman" w:cs="Times New Roman"/>
          <w:sz w:val="24"/>
          <w:szCs w:val="24"/>
        </w:rPr>
        <w:t>8.5 µL</w:t>
      </w:r>
      <w:r w:rsidRPr="002B47CF">
        <w:rPr>
          <w:rFonts w:ascii="Times New Roman" w:hAnsi="Times New Roman" w:cs="Times New Roman"/>
          <w:sz w:val="24"/>
          <w:szCs w:val="24"/>
        </w:rPr>
        <w:t xml:space="preserve"> Bst Mix was introduced to the reaction mixture, and incubation was performed at 60°C for 60 minutes. The reaction was subsequently inactivated by cooling to room temperature. All incubation steps were conducted using a programmable heat block (Equitron Medica Private Limited, Mumbai, India).</w:t>
      </w:r>
      <w:r w:rsidR="00F82139" w:rsidRPr="002B47CF">
        <w:rPr>
          <w:rFonts w:ascii="Times New Roman" w:hAnsi="Times New Roman" w:cs="Times New Roman"/>
          <w:sz w:val="24"/>
          <w:szCs w:val="24"/>
        </w:rPr>
        <w:t xml:space="preserve"> The results of the reaction were visualised based on a colour change in the reaction mix from deep pink to salmon pink and yellow. Further confirmation of amplification was achieved through visualisation of DNA by agarose gel electrophoresis, as described above.</w:t>
      </w:r>
    </w:p>
    <w:p w14:paraId="2496B176" w14:textId="7FC24C54" w:rsidR="00F33B01" w:rsidRDefault="00F33B01" w:rsidP="00F33B01">
      <w:pPr>
        <w:spacing w:line="360" w:lineRule="auto"/>
        <w:ind w:firstLine="567"/>
        <w:jc w:val="center"/>
        <w:rPr>
          <w:rFonts w:ascii="Times New Roman" w:hAnsi="Times New Roman" w:cs="Times New Roman"/>
          <w:sz w:val="24"/>
          <w:szCs w:val="24"/>
        </w:rPr>
      </w:pPr>
      <w:r>
        <w:rPr>
          <w:rFonts w:ascii="Times New Roman" w:hAnsi="Times New Roman" w:cs="Times New Roman"/>
          <w:sz w:val="24"/>
          <w:szCs w:val="24"/>
        </w:rPr>
        <w:t>Figure 1. Schematics of diagnosis for leptospirosis</w:t>
      </w:r>
    </w:p>
    <w:p w14:paraId="66BA3D9D" w14:textId="33465786" w:rsidR="00F33B01" w:rsidRPr="002B47CF" w:rsidRDefault="00517092" w:rsidP="00F33B01">
      <w:pPr>
        <w:spacing w:line="360" w:lineRule="auto"/>
        <w:ind w:firstLine="567"/>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4624" behindDoc="0" locked="0" layoutInCell="1" allowOverlap="1" wp14:anchorId="2C987F1B" wp14:editId="70224ABD">
                <wp:simplePos x="0" y="0"/>
                <wp:positionH relativeFrom="column">
                  <wp:posOffset>349250</wp:posOffset>
                </wp:positionH>
                <wp:positionV relativeFrom="paragraph">
                  <wp:posOffset>3810</wp:posOffset>
                </wp:positionV>
                <wp:extent cx="5092700" cy="2768600"/>
                <wp:effectExtent l="0" t="0" r="12700" b="12700"/>
                <wp:wrapNone/>
                <wp:docPr id="1029166496" name="Group 3"/>
                <wp:cNvGraphicFramePr/>
                <a:graphic xmlns:a="http://schemas.openxmlformats.org/drawingml/2006/main">
                  <a:graphicData uri="http://schemas.microsoft.com/office/word/2010/wordprocessingGroup">
                    <wpg:wgp>
                      <wpg:cNvGrpSpPr/>
                      <wpg:grpSpPr>
                        <a:xfrm>
                          <a:off x="0" y="0"/>
                          <a:ext cx="5092700" cy="2768600"/>
                          <a:chOff x="0" y="0"/>
                          <a:chExt cx="5092700" cy="2768600"/>
                        </a:xfrm>
                      </wpg:grpSpPr>
                      <wps:wsp>
                        <wps:cNvPr id="1188047584" name="Text Box 2"/>
                        <wps:cNvSpPr txBox="1">
                          <a:spLocks noChangeArrowheads="1"/>
                        </wps:cNvSpPr>
                        <wps:spPr bwMode="auto">
                          <a:xfrm>
                            <a:off x="984250" y="0"/>
                            <a:ext cx="3048000" cy="533400"/>
                          </a:xfrm>
                          <a:prstGeom prst="rect">
                            <a:avLst/>
                          </a:prstGeom>
                          <a:solidFill>
                            <a:srgbClr val="FFFFFF"/>
                          </a:solidFill>
                          <a:ln w="9525">
                            <a:solidFill>
                              <a:srgbClr val="000000"/>
                            </a:solidFill>
                            <a:miter lim="800000"/>
                            <a:headEnd/>
                            <a:tailEnd/>
                          </a:ln>
                        </wps:spPr>
                        <wps:txbx>
                          <w:txbxContent>
                            <w:p w14:paraId="069B4B67" w14:textId="04530B01" w:rsidR="00F33B01" w:rsidRPr="00F33B01" w:rsidRDefault="00F33B01" w:rsidP="00F33B01">
                              <w:pPr>
                                <w:spacing w:after="0" w:line="240" w:lineRule="auto"/>
                                <w:jc w:val="center"/>
                                <w:rPr>
                                  <w:rFonts w:ascii="Arial" w:hAnsi="Arial" w:cs="Arial"/>
                                  <w:b/>
                                  <w:bCs/>
                                  <w:sz w:val="20"/>
                                  <w:szCs w:val="20"/>
                                </w:rPr>
                              </w:pPr>
                              <w:r w:rsidRPr="00F33B01">
                                <w:rPr>
                                  <w:rFonts w:ascii="Arial" w:hAnsi="Arial" w:cs="Arial"/>
                                  <w:b/>
                                  <w:bCs/>
                                  <w:sz w:val="20"/>
                                  <w:szCs w:val="20"/>
                                </w:rPr>
                                <w:t>Patient selection</w:t>
                              </w:r>
                            </w:p>
                            <w:p w14:paraId="3F07914C" w14:textId="04424F46" w:rsidR="00F33B01" w:rsidRPr="00F33B01" w:rsidRDefault="00F33B01" w:rsidP="00F33B01">
                              <w:pPr>
                                <w:spacing w:line="240" w:lineRule="auto"/>
                                <w:jc w:val="center"/>
                                <w:rPr>
                                  <w:rFonts w:ascii="Arial" w:hAnsi="Arial" w:cs="Arial"/>
                                  <w:sz w:val="20"/>
                                  <w:szCs w:val="20"/>
                                </w:rPr>
                              </w:pPr>
                              <w:r w:rsidRPr="00F33B01">
                                <w:rPr>
                                  <w:rFonts w:ascii="Arial" w:hAnsi="Arial" w:cs="Arial"/>
                                  <w:sz w:val="20"/>
                                  <w:szCs w:val="20"/>
                                </w:rPr>
                                <w:t>Suspected cases of canine leptospirosis.</w:t>
                              </w:r>
                            </w:p>
                          </w:txbxContent>
                        </wps:txbx>
                        <wps:bodyPr rot="0" vert="horz" wrap="square" lIns="91440" tIns="45720" rIns="91440" bIns="45720" anchor="t" anchorCtr="0">
                          <a:noAutofit/>
                        </wps:bodyPr>
                      </wps:wsp>
                      <wps:wsp>
                        <wps:cNvPr id="785790041" name="Arrow: Down 1"/>
                        <wps:cNvSpPr/>
                        <wps:spPr>
                          <a:xfrm>
                            <a:off x="1028700" y="577850"/>
                            <a:ext cx="229235" cy="26225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02483" name="Arrow: Down 1"/>
                        <wps:cNvSpPr/>
                        <wps:spPr>
                          <a:xfrm>
                            <a:off x="3810000" y="577850"/>
                            <a:ext cx="229235" cy="26225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378980" name="Text Box 2"/>
                        <wps:cNvSpPr txBox="1">
                          <a:spLocks noChangeArrowheads="1"/>
                        </wps:cNvSpPr>
                        <wps:spPr bwMode="auto">
                          <a:xfrm>
                            <a:off x="0" y="927100"/>
                            <a:ext cx="2279650" cy="406400"/>
                          </a:xfrm>
                          <a:prstGeom prst="rect">
                            <a:avLst/>
                          </a:prstGeom>
                          <a:solidFill>
                            <a:srgbClr val="FFFFFF"/>
                          </a:solidFill>
                          <a:ln w="9525">
                            <a:solidFill>
                              <a:srgbClr val="000000"/>
                            </a:solidFill>
                            <a:miter lim="800000"/>
                            <a:headEnd/>
                            <a:tailEnd/>
                          </a:ln>
                        </wps:spPr>
                        <wps:txbx>
                          <w:txbxContent>
                            <w:p w14:paraId="5A538764" w14:textId="355023F0" w:rsidR="00F33B01" w:rsidRPr="00F33B01" w:rsidRDefault="00F33B01" w:rsidP="00F33B01">
                              <w:pPr>
                                <w:jc w:val="center"/>
                                <w:rPr>
                                  <w:rFonts w:ascii="Arial" w:hAnsi="Arial" w:cs="Arial"/>
                                  <w:sz w:val="20"/>
                                  <w:szCs w:val="20"/>
                                </w:rPr>
                              </w:pPr>
                              <w:r w:rsidRPr="00F33B01">
                                <w:rPr>
                                  <w:rFonts w:ascii="Arial" w:hAnsi="Arial" w:cs="Arial"/>
                                  <w:sz w:val="20"/>
                                  <w:szCs w:val="20"/>
                                </w:rPr>
                                <w:t>Whole blood sample for molecular testing.</w:t>
                              </w:r>
                            </w:p>
                          </w:txbxContent>
                        </wps:txbx>
                        <wps:bodyPr rot="0" vert="horz" wrap="square" lIns="91440" tIns="45720" rIns="91440" bIns="45720" anchor="t" anchorCtr="0">
                          <a:noAutofit/>
                        </wps:bodyPr>
                      </wps:wsp>
                      <wps:wsp>
                        <wps:cNvPr id="2063248556" name="Text Box 2"/>
                        <wps:cNvSpPr txBox="1">
                          <a:spLocks noChangeArrowheads="1"/>
                        </wps:cNvSpPr>
                        <wps:spPr bwMode="auto">
                          <a:xfrm>
                            <a:off x="2787650" y="914400"/>
                            <a:ext cx="2279650" cy="406400"/>
                          </a:xfrm>
                          <a:prstGeom prst="rect">
                            <a:avLst/>
                          </a:prstGeom>
                          <a:solidFill>
                            <a:srgbClr val="FFFFFF"/>
                          </a:solidFill>
                          <a:ln w="9525">
                            <a:solidFill>
                              <a:srgbClr val="000000"/>
                            </a:solidFill>
                            <a:miter lim="800000"/>
                            <a:headEnd/>
                            <a:tailEnd/>
                          </a:ln>
                        </wps:spPr>
                        <wps:txbx>
                          <w:txbxContent>
                            <w:p w14:paraId="0D177BE8" w14:textId="6CAFD088" w:rsidR="00F33B01" w:rsidRPr="00F33B01" w:rsidRDefault="00F33B01" w:rsidP="00F33B01">
                              <w:pPr>
                                <w:jc w:val="center"/>
                                <w:rPr>
                                  <w:rFonts w:ascii="Arial" w:hAnsi="Arial" w:cs="Arial"/>
                                  <w:sz w:val="20"/>
                                  <w:szCs w:val="20"/>
                                </w:rPr>
                              </w:pPr>
                              <w:r>
                                <w:rPr>
                                  <w:rFonts w:ascii="Arial" w:hAnsi="Arial" w:cs="Arial"/>
                                  <w:sz w:val="20"/>
                                  <w:szCs w:val="20"/>
                                </w:rPr>
                                <w:t>Serum</w:t>
                              </w:r>
                              <w:r w:rsidRPr="00F33B01">
                                <w:rPr>
                                  <w:rFonts w:ascii="Arial" w:hAnsi="Arial" w:cs="Arial"/>
                                  <w:sz w:val="20"/>
                                  <w:szCs w:val="20"/>
                                </w:rPr>
                                <w:t xml:space="preserve"> sample for </w:t>
                              </w:r>
                              <w:r>
                                <w:rPr>
                                  <w:rFonts w:ascii="Arial" w:hAnsi="Arial" w:cs="Arial"/>
                                  <w:sz w:val="20"/>
                                  <w:szCs w:val="20"/>
                                </w:rPr>
                                <w:t>serological</w:t>
                              </w:r>
                              <w:r w:rsidRPr="00F33B01">
                                <w:rPr>
                                  <w:rFonts w:ascii="Arial" w:hAnsi="Arial" w:cs="Arial"/>
                                  <w:sz w:val="20"/>
                                  <w:szCs w:val="20"/>
                                </w:rPr>
                                <w:t xml:space="preserve"> testing.</w:t>
                              </w:r>
                            </w:p>
                          </w:txbxContent>
                        </wps:txbx>
                        <wps:bodyPr rot="0" vert="horz" wrap="square" lIns="91440" tIns="45720" rIns="91440" bIns="45720" anchor="t" anchorCtr="0">
                          <a:noAutofit/>
                        </wps:bodyPr>
                      </wps:wsp>
                      <wps:wsp>
                        <wps:cNvPr id="1009912292" name="Text Box 2"/>
                        <wps:cNvSpPr txBox="1">
                          <a:spLocks noChangeArrowheads="1"/>
                        </wps:cNvSpPr>
                        <wps:spPr bwMode="auto">
                          <a:xfrm>
                            <a:off x="2813050" y="1714500"/>
                            <a:ext cx="2279650" cy="590550"/>
                          </a:xfrm>
                          <a:prstGeom prst="rect">
                            <a:avLst/>
                          </a:prstGeom>
                          <a:solidFill>
                            <a:srgbClr val="FFFFFF"/>
                          </a:solidFill>
                          <a:ln w="9525">
                            <a:solidFill>
                              <a:srgbClr val="000000"/>
                            </a:solidFill>
                            <a:miter lim="800000"/>
                            <a:headEnd/>
                            <a:tailEnd/>
                          </a:ln>
                        </wps:spPr>
                        <wps:txbx>
                          <w:txbxContent>
                            <w:p w14:paraId="00F9BB3C" w14:textId="11D34477" w:rsidR="00F33B01" w:rsidRDefault="00F33B01" w:rsidP="00F33B01">
                              <w:pPr>
                                <w:spacing w:after="0"/>
                                <w:jc w:val="center"/>
                                <w:rPr>
                                  <w:rFonts w:ascii="Arial" w:hAnsi="Arial" w:cs="Arial"/>
                                  <w:b/>
                                  <w:bCs/>
                                  <w:sz w:val="20"/>
                                  <w:szCs w:val="20"/>
                                </w:rPr>
                              </w:pPr>
                              <w:r>
                                <w:rPr>
                                  <w:rFonts w:ascii="Arial" w:hAnsi="Arial" w:cs="Arial"/>
                                  <w:b/>
                                  <w:bCs/>
                                  <w:sz w:val="20"/>
                                  <w:szCs w:val="20"/>
                                </w:rPr>
                                <w:t>MAT</w:t>
                              </w:r>
                            </w:p>
                            <w:p w14:paraId="30364C6E" w14:textId="6A028C76" w:rsidR="00F33B01" w:rsidRPr="00F33B01" w:rsidRDefault="00F33B01" w:rsidP="00F33B01">
                              <w:pPr>
                                <w:jc w:val="center"/>
                                <w:rPr>
                                  <w:rFonts w:ascii="Arial" w:hAnsi="Arial" w:cs="Arial"/>
                                  <w:sz w:val="20"/>
                                  <w:szCs w:val="20"/>
                                </w:rPr>
                              </w:pPr>
                              <w:r>
                                <w:rPr>
                                  <w:rFonts w:ascii="Arial" w:hAnsi="Arial" w:cs="Arial"/>
                                  <w:sz w:val="20"/>
                                  <w:szCs w:val="20"/>
                                </w:rPr>
                                <w:t>Using the panel of 13 leptospiral reference cultures</w:t>
                              </w:r>
                            </w:p>
                          </w:txbxContent>
                        </wps:txbx>
                        <wps:bodyPr rot="0" vert="horz" wrap="square" lIns="91440" tIns="45720" rIns="91440" bIns="45720" anchor="t" anchorCtr="0">
                          <a:noAutofit/>
                        </wps:bodyPr>
                      </wps:wsp>
                      <wps:wsp>
                        <wps:cNvPr id="1739629759" name="Arrow: Down 1"/>
                        <wps:cNvSpPr/>
                        <wps:spPr>
                          <a:xfrm>
                            <a:off x="3841750" y="1371600"/>
                            <a:ext cx="229235" cy="26225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3255538" name="Text Box 2"/>
                        <wps:cNvSpPr txBox="1">
                          <a:spLocks noChangeArrowheads="1"/>
                        </wps:cNvSpPr>
                        <wps:spPr bwMode="auto">
                          <a:xfrm>
                            <a:off x="0" y="1720850"/>
                            <a:ext cx="2279650" cy="1047750"/>
                          </a:xfrm>
                          <a:prstGeom prst="rect">
                            <a:avLst/>
                          </a:prstGeom>
                          <a:solidFill>
                            <a:srgbClr val="FFFFFF"/>
                          </a:solidFill>
                          <a:ln w="9525">
                            <a:solidFill>
                              <a:srgbClr val="000000"/>
                            </a:solidFill>
                            <a:miter lim="800000"/>
                            <a:headEnd/>
                            <a:tailEnd/>
                          </a:ln>
                        </wps:spPr>
                        <wps:txbx>
                          <w:txbxContent>
                            <w:p w14:paraId="4682B1F2" w14:textId="4A4864F4" w:rsidR="00F33B01" w:rsidRDefault="00F33B01" w:rsidP="00F33B01">
                              <w:pPr>
                                <w:spacing w:after="0"/>
                                <w:jc w:val="center"/>
                                <w:rPr>
                                  <w:rFonts w:ascii="Arial" w:hAnsi="Arial" w:cs="Arial"/>
                                  <w:b/>
                                  <w:bCs/>
                                  <w:sz w:val="20"/>
                                  <w:szCs w:val="20"/>
                                </w:rPr>
                              </w:pPr>
                              <w:r>
                                <w:rPr>
                                  <w:rFonts w:ascii="Arial" w:hAnsi="Arial" w:cs="Arial"/>
                                  <w:b/>
                                  <w:bCs/>
                                  <w:sz w:val="20"/>
                                  <w:szCs w:val="20"/>
                                </w:rPr>
                                <w:t>Polymerase Chain Reaction (PCR) and Loop-mediated isothermal amplification</w:t>
                              </w:r>
                            </w:p>
                            <w:p w14:paraId="0AFB4211" w14:textId="71E47ABC" w:rsidR="00F33B01" w:rsidRPr="00F33B01" w:rsidRDefault="00F33B01" w:rsidP="00F33B01">
                              <w:pPr>
                                <w:jc w:val="center"/>
                                <w:rPr>
                                  <w:rFonts w:ascii="Arial" w:hAnsi="Arial" w:cs="Arial"/>
                                  <w:sz w:val="20"/>
                                  <w:szCs w:val="20"/>
                                </w:rPr>
                              </w:pPr>
                              <w:r>
                                <w:rPr>
                                  <w:rFonts w:ascii="Arial" w:hAnsi="Arial" w:cs="Arial"/>
                                  <w:sz w:val="20"/>
                                  <w:szCs w:val="20"/>
                                </w:rPr>
                                <w:t>Isolation of pathogenic DNA, followed by amplification and visualisation</w:t>
                              </w:r>
                            </w:p>
                          </w:txbxContent>
                        </wps:txbx>
                        <wps:bodyPr rot="0" vert="horz" wrap="square" lIns="91440" tIns="45720" rIns="91440" bIns="45720" anchor="t" anchorCtr="0">
                          <a:noAutofit/>
                        </wps:bodyPr>
                      </wps:wsp>
                      <wps:wsp>
                        <wps:cNvPr id="548642294" name="Arrow: Down 1"/>
                        <wps:cNvSpPr/>
                        <wps:spPr>
                          <a:xfrm>
                            <a:off x="1022350" y="1390650"/>
                            <a:ext cx="229235" cy="26225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C987F1B" id="Group 3" o:spid="_x0000_s1026" style="position:absolute;left:0;text-align:left;margin-left:27.5pt;margin-top:.3pt;width:401pt;height:218pt;z-index:251674624" coordsize="50927,27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">
                <v:shapetype id="_x0000_t202" coordsize="21600,21600" o:spt="202" path="m,l,21600r21600,l21600,xe">
                  <v:stroke joinstyle="miter"/>
                  <v:path gradientshapeok="t" o:connecttype="rect"/>
                </v:shapetype>
                <v:shape id="Text Box 2" o:spid="_x0000_s1027" type="#_x0000_t202" style="position:absolute;left:9842;width:30480;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">
                  <v:textbox>
                    <w:txbxContent>
                      <w:p w14:paraId="069B4B67" w14:textId="04530B01" w:rsidR="00F33B01" w:rsidRPr="00F33B01" w:rsidRDefault="00F33B01" w:rsidP="00F33B01">
                        <w:pPr>
                          <w:spacing w:after="0" w:line="240" w:lineRule="auto"/>
                          <w:jc w:val="center"/>
                          <w:rPr>
                            <w:rFonts w:ascii="Arial" w:hAnsi="Arial" w:cs="Arial"/>
                            <w:b/>
                            <w:bCs/>
                            <w:sz w:val="20"/>
                            <w:szCs w:val="20"/>
                          </w:rPr>
                        </w:pPr>
                        <w:r w:rsidRPr="00F33B01">
                          <w:rPr>
                            <w:rFonts w:ascii="Arial" w:hAnsi="Arial" w:cs="Arial"/>
                            <w:b/>
                            <w:bCs/>
                            <w:sz w:val="20"/>
                            <w:szCs w:val="20"/>
                          </w:rPr>
                          <w:t>Patient selection</w:t>
                        </w:r>
                      </w:p>
                      <w:p w14:paraId="3F07914C" w14:textId="04424F46" w:rsidR="00F33B01" w:rsidRPr="00F33B01" w:rsidRDefault="00F33B01" w:rsidP="00F33B01">
                        <w:pPr>
                          <w:spacing w:line="240" w:lineRule="auto"/>
                          <w:jc w:val="center"/>
                          <w:rPr>
                            <w:rFonts w:ascii="Arial" w:hAnsi="Arial" w:cs="Arial"/>
                            <w:sz w:val="20"/>
                            <w:szCs w:val="20"/>
                          </w:rPr>
                        </w:pPr>
                        <w:r w:rsidRPr="00F33B01">
                          <w:rPr>
                            <w:rFonts w:ascii="Arial" w:hAnsi="Arial" w:cs="Arial"/>
                            <w:sz w:val="20"/>
                            <w:szCs w:val="20"/>
                          </w:rPr>
                          <w:t>Suspected cases of canine leptospirosis.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8" type="#_x0000_t67" style="position:absolute;left:10287;top:5778;width:2292;height:2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" adj="12160" filled="f" strokecolor="black [3213]" strokeweight="1pt"/>
                <v:shape id="Arrow: Down 1" o:spid="_x0000_s1029" type="#_x0000_t67" style="position:absolute;left:38100;top:5778;width:2292;height:2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" adj="12160" filled="f" strokecolor="black [3213]" strokeweight="1pt"/>
                <v:shape id="Text Box 2" o:spid="_x0000_s1030" type="#_x0000_t202" style="position:absolute;top:9271;width:22796;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">
                  <v:textbox>
                    <w:txbxContent>
                      <w:p w14:paraId="5A538764" w14:textId="355023F0" w:rsidR="00F33B01" w:rsidRPr="00F33B01" w:rsidRDefault="00F33B01" w:rsidP="00F33B01">
                        <w:pPr>
                          <w:jc w:val="center"/>
                          <w:rPr>
                            <w:rFonts w:ascii="Arial" w:hAnsi="Arial" w:cs="Arial"/>
                            <w:sz w:val="20"/>
                            <w:szCs w:val="20"/>
                          </w:rPr>
                        </w:pPr>
                        <w:r w:rsidRPr="00F33B01">
                          <w:rPr>
                            <w:rFonts w:ascii="Arial" w:hAnsi="Arial" w:cs="Arial"/>
                            <w:sz w:val="20"/>
                            <w:szCs w:val="20"/>
                          </w:rPr>
                          <w:t>Whole blood sample for molecular testing.</w:t>
                        </w:r>
                      </w:p>
                    </w:txbxContent>
                  </v:textbox>
                </v:shape>
                <v:shape id="Text Box 2" o:spid="_x0000_s1031" type="#_x0000_t202" style="position:absolute;left:27876;top:9144;width:22797;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">
                  <v:textbox>
                    <w:txbxContent>
                      <w:p w14:paraId="0D177BE8" w14:textId="6CAFD088" w:rsidR="00F33B01" w:rsidRPr="00F33B01" w:rsidRDefault="00F33B01" w:rsidP="00F33B01">
                        <w:pPr>
                          <w:jc w:val="center"/>
                          <w:rPr>
                            <w:rFonts w:ascii="Arial" w:hAnsi="Arial" w:cs="Arial"/>
                            <w:sz w:val="20"/>
                            <w:szCs w:val="20"/>
                          </w:rPr>
                        </w:pPr>
                        <w:r>
                          <w:rPr>
                            <w:rFonts w:ascii="Arial" w:hAnsi="Arial" w:cs="Arial"/>
                            <w:sz w:val="20"/>
                            <w:szCs w:val="20"/>
                          </w:rPr>
                          <w:t>Serum</w:t>
                        </w:r>
                        <w:r w:rsidRPr="00F33B01">
                          <w:rPr>
                            <w:rFonts w:ascii="Arial" w:hAnsi="Arial" w:cs="Arial"/>
                            <w:sz w:val="20"/>
                            <w:szCs w:val="20"/>
                          </w:rPr>
                          <w:t xml:space="preserve"> sample for </w:t>
                        </w:r>
                        <w:r>
                          <w:rPr>
                            <w:rFonts w:ascii="Arial" w:hAnsi="Arial" w:cs="Arial"/>
                            <w:sz w:val="20"/>
                            <w:szCs w:val="20"/>
                          </w:rPr>
                          <w:t>serological</w:t>
                        </w:r>
                        <w:r w:rsidRPr="00F33B01">
                          <w:rPr>
                            <w:rFonts w:ascii="Arial" w:hAnsi="Arial" w:cs="Arial"/>
                            <w:sz w:val="20"/>
                            <w:szCs w:val="20"/>
                          </w:rPr>
                          <w:t xml:space="preserve"> testing.</w:t>
                        </w:r>
                      </w:p>
                    </w:txbxContent>
                  </v:textbox>
                </v:shape>
                <v:shape id="Text Box 2" o:spid="_x0000_s1032" type="#_x0000_t202" style="position:absolute;left:28130;top:17145;width:22797;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">
                  <v:textbox>
                    <w:txbxContent>
                      <w:p w14:paraId="00F9BB3C" w14:textId="11D34477" w:rsidR="00F33B01" w:rsidRDefault="00F33B01" w:rsidP="00F33B01">
                        <w:pPr>
                          <w:spacing w:after="0"/>
                          <w:jc w:val="center"/>
                          <w:rPr>
                            <w:rFonts w:ascii="Arial" w:hAnsi="Arial" w:cs="Arial"/>
                            <w:b/>
                            <w:bCs/>
                            <w:sz w:val="20"/>
                            <w:szCs w:val="20"/>
                          </w:rPr>
                        </w:pPr>
                        <w:r>
                          <w:rPr>
                            <w:rFonts w:ascii="Arial" w:hAnsi="Arial" w:cs="Arial"/>
                            <w:b/>
                            <w:bCs/>
                            <w:sz w:val="20"/>
                            <w:szCs w:val="20"/>
                          </w:rPr>
                          <w:t>MAT</w:t>
                        </w:r>
                      </w:p>
                      <w:p w14:paraId="30364C6E" w14:textId="6A028C76" w:rsidR="00F33B01" w:rsidRPr="00F33B01" w:rsidRDefault="00F33B01" w:rsidP="00F33B01">
                        <w:pPr>
                          <w:jc w:val="center"/>
                          <w:rPr>
                            <w:rFonts w:ascii="Arial" w:hAnsi="Arial" w:cs="Arial"/>
                            <w:sz w:val="20"/>
                            <w:szCs w:val="20"/>
                          </w:rPr>
                        </w:pPr>
                        <w:r>
                          <w:rPr>
                            <w:rFonts w:ascii="Arial" w:hAnsi="Arial" w:cs="Arial"/>
                            <w:sz w:val="20"/>
                            <w:szCs w:val="20"/>
                          </w:rPr>
                          <w:t>Using the panel of 13 leptospiral reference cultures</w:t>
                        </w:r>
                      </w:p>
                    </w:txbxContent>
                  </v:textbox>
                </v:shape>
                <v:shape id="Arrow: Down 1" o:spid="_x0000_s1033" type="#_x0000_t67" style="position:absolute;left:38417;top:13716;width:2292;height:2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" adj="12160" filled="f" strokecolor="black [3213]" strokeweight="1pt"/>
                <v:shape id="Text Box 2" o:spid="_x0000_s1034" type="#_x0000_t202" style="position:absolute;top:17208;width:22796;height:10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">
                  <v:textbox>
                    <w:txbxContent>
                      <w:p w14:paraId="4682B1F2" w14:textId="4A4864F4" w:rsidR="00F33B01" w:rsidRDefault="00F33B01" w:rsidP="00F33B01">
                        <w:pPr>
                          <w:spacing w:after="0"/>
                          <w:jc w:val="center"/>
                          <w:rPr>
                            <w:rFonts w:ascii="Arial" w:hAnsi="Arial" w:cs="Arial"/>
                            <w:b/>
                            <w:bCs/>
                            <w:sz w:val="20"/>
                            <w:szCs w:val="20"/>
                          </w:rPr>
                        </w:pPr>
                        <w:r>
                          <w:rPr>
                            <w:rFonts w:ascii="Arial" w:hAnsi="Arial" w:cs="Arial"/>
                            <w:b/>
                            <w:bCs/>
                            <w:sz w:val="20"/>
                            <w:szCs w:val="20"/>
                          </w:rPr>
                          <w:t>Polymerase Chain Reaction (PCR) and Loop-mediated isothermal amplification</w:t>
                        </w:r>
                      </w:p>
                      <w:p w14:paraId="0AFB4211" w14:textId="71E47ABC" w:rsidR="00F33B01" w:rsidRPr="00F33B01" w:rsidRDefault="00F33B01" w:rsidP="00F33B01">
                        <w:pPr>
                          <w:jc w:val="center"/>
                          <w:rPr>
                            <w:rFonts w:ascii="Arial" w:hAnsi="Arial" w:cs="Arial"/>
                            <w:sz w:val="20"/>
                            <w:szCs w:val="20"/>
                          </w:rPr>
                        </w:pPr>
                        <w:r>
                          <w:rPr>
                            <w:rFonts w:ascii="Arial" w:hAnsi="Arial" w:cs="Arial"/>
                            <w:sz w:val="20"/>
                            <w:szCs w:val="20"/>
                          </w:rPr>
                          <w:t>Isolation of pathogenic DNA, followed by amplification and visualisation</w:t>
                        </w:r>
                      </w:p>
                    </w:txbxContent>
                  </v:textbox>
                </v:shape>
                <v:shape id="Arrow: Down 1" o:spid="_x0000_s1035" type="#_x0000_t67" style="position:absolute;left:10223;top:13906;width:2292;height:2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" adj="12160" filled="f" strokecolor="black [3213]" strokeweight="1pt"/>
              </v:group>
            </w:pict>
          </mc:Fallback>
        </mc:AlternateContent>
      </w:r>
    </w:p>
    <w:p w14:paraId="68072105" w14:textId="371ECC42" w:rsidR="00F33B01" w:rsidRDefault="00F33B01" w:rsidP="00F82139">
      <w:pPr>
        <w:spacing w:line="360" w:lineRule="auto"/>
        <w:jc w:val="both"/>
        <w:rPr>
          <w:rFonts w:ascii="Times New Roman" w:hAnsi="Times New Roman" w:cs="Times New Roman"/>
          <w:sz w:val="24"/>
          <w:szCs w:val="24"/>
          <w:u w:val="single"/>
        </w:rPr>
      </w:pPr>
    </w:p>
    <w:p w14:paraId="24533C28" w14:textId="60E420BB" w:rsidR="00F33B01" w:rsidRDefault="00F33B01" w:rsidP="00F82139">
      <w:pPr>
        <w:spacing w:line="360" w:lineRule="auto"/>
        <w:jc w:val="both"/>
        <w:rPr>
          <w:rFonts w:ascii="Times New Roman" w:hAnsi="Times New Roman" w:cs="Times New Roman"/>
          <w:sz w:val="24"/>
          <w:szCs w:val="24"/>
          <w:u w:val="single"/>
        </w:rPr>
      </w:pPr>
    </w:p>
    <w:p w14:paraId="1E420DEF" w14:textId="7B48D525" w:rsidR="00F33B01" w:rsidRDefault="00F33B01" w:rsidP="00F82139">
      <w:pPr>
        <w:spacing w:line="360" w:lineRule="auto"/>
        <w:jc w:val="both"/>
        <w:rPr>
          <w:rFonts w:ascii="Times New Roman" w:hAnsi="Times New Roman" w:cs="Times New Roman"/>
          <w:sz w:val="24"/>
          <w:szCs w:val="24"/>
          <w:u w:val="single"/>
        </w:rPr>
      </w:pPr>
    </w:p>
    <w:p w14:paraId="69F8EB4B" w14:textId="7C40E943" w:rsidR="00F33B01" w:rsidRDefault="00F33B01" w:rsidP="00F82139">
      <w:pPr>
        <w:spacing w:line="360" w:lineRule="auto"/>
        <w:jc w:val="both"/>
        <w:rPr>
          <w:rFonts w:ascii="Times New Roman" w:hAnsi="Times New Roman" w:cs="Times New Roman"/>
          <w:sz w:val="24"/>
          <w:szCs w:val="24"/>
          <w:u w:val="single"/>
        </w:rPr>
      </w:pPr>
    </w:p>
    <w:p w14:paraId="5A87FDD8" w14:textId="7A3132B1" w:rsidR="00F33B01" w:rsidRDefault="00F33B01" w:rsidP="00F82139">
      <w:pPr>
        <w:spacing w:line="360" w:lineRule="auto"/>
        <w:jc w:val="both"/>
        <w:rPr>
          <w:rFonts w:ascii="Times New Roman" w:hAnsi="Times New Roman" w:cs="Times New Roman"/>
          <w:sz w:val="24"/>
          <w:szCs w:val="24"/>
          <w:u w:val="single"/>
        </w:rPr>
      </w:pPr>
    </w:p>
    <w:p w14:paraId="14B59454" w14:textId="77777777" w:rsidR="00F33B01" w:rsidRDefault="00F33B01" w:rsidP="00F82139">
      <w:pPr>
        <w:spacing w:line="360" w:lineRule="auto"/>
        <w:jc w:val="both"/>
        <w:rPr>
          <w:rFonts w:ascii="Times New Roman" w:hAnsi="Times New Roman" w:cs="Times New Roman"/>
          <w:sz w:val="24"/>
          <w:szCs w:val="24"/>
          <w:u w:val="single"/>
        </w:rPr>
      </w:pPr>
    </w:p>
    <w:p w14:paraId="2D88ECFF" w14:textId="77777777" w:rsidR="00517092" w:rsidRDefault="00517092" w:rsidP="00F82139">
      <w:pPr>
        <w:spacing w:line="360" w:lineRule="auto"/>
        <w:jc w:val="both"/>
        <w:rPr>
          <w:rFonts w:ascii="Times New Roman" w:hAnsi="Times New Roman" w:cs="Times New Roman"/>
          <w:sz w:val="24"/>
          <w:szCs w:val="24"/>
          <w:u w:val="single"/>
        </w:rPr>
      </w:pPr>
    </w:p>
    <w:p w14:paraId="7898DAB8" w14:textId="77777777" w:rsidR="00517092" w:rsidRDefault="00517092" w:rsidP="00F82139">
      <w:pPr>
        <w:spacing w:line="360" w:lineRule="auto"/>
        <w:jc w:val="both"/>
        <w:rPr>
          <w:rFonts w:ascii="Times New Roman" w:hAnsi="Times New Roman" w:cs="Times New Roman"/>
          <w:sz w:val="24"/>
          <w:szCs w:val="24"/>
          <w:u w:val="single"/>
        </w:rPr>
      </w:pPr>
    </w:p>
    <w:p w14:paraId="4141F8E7" w14:textId="78F8B731" w:rsidR="00F82139" w:rsidRPr="002B47CF" w:rsidRDefault="00F82139" w:rsidP="00F82139">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Statistical analysis</w:t>
      </w:r>
    </w:p>
    <w:p w14:paraId="0ED6D063" w14:textId="4051D4ED" w:rsidR="005D10CC" w:rsidRPr="002B47CF" w:rsidRDefault="00F82139" w:rsidP="00F82139">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Statistical analysis was performed to evaluate and compare the diagnostic performance of MAT, PCR, and LAMP assays. Inter-test agreement was assessed using Cohen’s Kappa statistics, with values interpreted according to standard benchmarks. Additionally, Receiver </w:t>
      </w:r>
      <w:r w:rsidRPr="002B47CF">
        <w:rPr>
          <w:rFonts w:ascii="Times New Roman" w:hAnsi="Times New Roman" w:cs="Times New Roman"/>
          <w:sz w:val="24"/>
          <w:szCs w:val="24"/>
        </w:rPr>
        <w:lastRenderedPageBreak/>
        <w:t>Operating Characteristic (ROC) curve analysis was carried out to determine the overall diagnostic accuracy of each assay, expressed as the area under the curve (AUC).</w:t>
      </w:r>
    </w:p>
    <w:p w14:paraId="64C946B2" w14:textId="3F89A9C8" w:rsidR="00A86680" w:rsidRPr="002B47CF" w:rsidRDefault="00A86680"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RESULT AND DISCUSSION</w:t>
      </w:r>
    </w:p>
    <w:p w14:paraId="7BE3400B" w14:textId="2884E931" w:rsidR="00DA3897" w:rsidRPr="002B47CF" w:rsidRDefault="003C17A6" w:rsidP="00F82139">
      <w:pPr>
        <w:spacing w:line="360" w:lineRule="auto"/>
        <w:jc w:val="both"/>
        <w:rPr>
          <w:rFonts w:ascii="Times New Roman" w:hAnsi="Times New Roman" w:cs="Times New Roman"/>
          <w:sz w:val="24"/>
          <w:szCs w:val="24"/>
        </w:rPr>
      </w:pPr>
      <w:r>
        <w:rPr>
          <w:rFonts w:ascii="Times New Roman" w:hAnsi="Times New Roman" w:cs="Times New Roman"/>
          <w:sz w:val="24"/>
          <w:szCs w:val="24"/>
        </w:rPr>
        <w:t>Out of</w:t>
      </w:r>
      <w:r w:rsidR="00DA3897" w:rsidRPr="002B47CF">
        <w:rPr>
          <w:rFonts w:ascii="Times New Roman" w:hAnsi="Times New Roman" w:cs="Times New Roman"/>
          <w:sz w:val="24"/>
          <w:szCs w:val="24"/>
        </w:rPr>
        <w:t xml:space="preserve"> 52, </w:t>
      </w:r>
      <w:r>
        <w:rPr>
          <w:rFonts w:ascii="Times New Roman" w:hAnsi="Times New Roman" w:cs="Times New Roman"/>
          <w:sz w:val="24"/>
          <w:szCs w:val="24"/>
        </w:rPr>
        <w:t xml:space="preserve">11.5% </w:t>
      </w:r>
      <w:r w:rsidR="00DA3897" w:rsidRPr="002B47CF">
        <w:rPr>
          <w:rFonts w:ascii="Times New Roman" w:hAnsi="Times New Roman" w:cs="Times New Roman"/>
          <w:sz w:val="24"/>
          <w:szCs w:val="24"/>
        </w:rPr>
        <w:t>(</w:t>
      </w:r>
      <w:r>
        <w:rPr>
          <w:rFonts w:ascii="Times New Roman" w:hAnsi="Times New Roman" w:cs="Times New Roman"/>
          <w:sz w:val="24"/>
          <w:szCs w:val="24"/>
        </w:rPr>
        <w:t>6 cases</w:t>
      </w:r>
      <w:r w:rsidR="00DA3897" w:rsidRPr="002B47CF">
        <w:rPr>
          <w:rFonts w:ascii="Times New Roman" w:hAnsi="Times New Roman" w:cs="Times New Roman"/>
          <w:sz w:val="24"/>
          <w:szCs w:val="24"/>
        </w:rPr>
        <w:t xml:space="preserve">) tested positive by MAT, </w:t>
      </w:r>
      <w:r>
        <w:rPr>
          <w:rFonts w:ascii="Times New Roman" w:hAnsi="Times New Roman" w:cs="Times New Roman"/>
          <w:sz w:val="24"/>
          <w:szCs w:val="24"/>
        </w:rPr>
        <w:t>26.9%</w:t>
      </w:r>
      <w:r w:rsidR="00DA3897" w:rsidRPr="002B47CF">
        <w:rPr>
          <w:rFonts w:ascii="Times New Roman" w:hAnsi="Times New Roman" w:cs="Times New Roman"/>
          <w:sz w:val="24"/>
          <w:szCs w:val="24"/>
        </w:rPr>
        <w:t xml:space="preserve"> (</w:t>
      </w:r>
      <w:r>
        <w:rPr>
          <w:rFonts w:ascii="Times New Roman" w:hAnsi="Times New Roman" w:cs="Times New Roman"/>
          <w:sz w:val="24"/>
          <w:szCs w:val="24"/>
        </w:rPr>
        <w:t>14 cases</w:t>
      </w:r>
      <w:r w:rsidR="00DA3897" w:rsidRPr="002B47CF">
        <w:rPr>
          <w:rFonts w:ascii="Times New Roman" w:hAnsi="Times New Roman" w:cs="Times New Roman"/>
          <w:sz w:val="24"/>
          <w:szCs w:val="24"/>
        </w:rPr>
        <w:t xml:space="preserve">) by PCR, and </w:t>
      </w:r>
      <w:r>
        <w:rPr>
          <w:rFonts w:ascii="Times New Roman" w:hAnsi="Times New Roman" w:cs="Times New Roman"/>
          <w:sz w:val="24"/>
          <w:szCs w:val="24"/>
        </w:rPr>
        <w:t>44.2%</w:t>
      </w:r>
      <w:r w:rsidR="00DA3897" w:rsidRPr="002B47CF">
        <w:rPr>
          <w:rFonts w:ascii="Times New Roman" w:hAnsi="Times New Roman" w:cs="Times New Roman"/>
          <w:sz w:val="24"/>
          <w:szCs w:val="24"/>
        </w:rPr>
        <w:t xml:space="preserve"> (</w:t>
      </w:r>
      <w:r>
        <w:rPr>
          <w:rFonts w:ascii="Times New Roman" w:hAnsi="Times New Roman" w:cs="Times New Roman"/>
          <w:sz w:val="24"/>
          <w:szCs w:val="24"/>
        </w:rPr>
        <w:t>23 cases</w:t>
      </w:r>
      <w:r w:rsidR="00DA3897" w:rsidRPr="002B47CF">
        <w:rPr>
          <w:rFonts w:ascii="Times New Roman" w:hAnsi="Times New Roman" w:cs="Times New Roman"/>
          <w:sz w:val="24"/>
          <w:szCs w:val="24"/>
        </w:rPr>
        <w:t xml:space="preserve">) by LAMP. Overall, </w:t>
      </w:r>
      <w:r>
        <w:rPr>
          <w:rFonts w:ascii="Times New Roman" w:hAnsi="Times New Roman" w:cs="Times New Roman"/>
          <w:sz w:val="24"/>
          <w:szCs w:val="24"/>
        </w:rPr>
        <w:t>50.0%</w:t>
      </w:r>
      <w:r w:rsidR="00DA3897" w:rsidRPr="002B47CF">
        <w:rPr>
          <w:rFonts w:ascii="Times New Roman" w:hAnsi="Times New Roman" w:cs="Times New Roman"/>
          <w:sz w:val="24"/>
          <w:szCs w:val="24"/>
        </w:rPr>
        <w:t xml:space="preserve"> (</w:t>
      </w:r>
      <w:r>
        <w:rPr>
          <w:rFonts w:ascii="Times New Roman" w:hAnsi="Times New Roman" w:cs="Times New Roman"/>
          <w:sz w:val="24"/>
          <w:szCs w:val="24"/>
        </w:rPr>
        <w:t>26 cases</w:t>
      </w:r>
      <w:r w:rsidR="00DA3897" w:rsidRPr="002B47CF">
        <w:rPr>
          <w:rFonts w:ascii="Times New Roman" w:hAnsi="Times New Roman" w:cs="Times New Roman"/>
          <w:sz w:val="24"/>
          <w:szCs w:val="24"/>
        </w:rPr>
        <w:t>) were confirmed positive for leptospirosis by</w:t>
      </w:r>
      <w:r w:rsidR="002A280E" w:rsidRPr="002B47CF">
        <w:rPr>
          <w:rFonts w:ascii="Times New Roman" w:hAnsi="Times New Roman" w:cs="Times New Roman"/>
          <w:sz w:val="24"/>
          <w:szCs w:val="24"/>
        </w:rPr>
        <w:t xml:space="preserve"> </w:t>
      </w:r>
      <w:r w:rsidR="00DA3897" w:rsidRPr="002B47CF">
        <w:rPr>
          <w:rFonts w:ascii="Times New Roman" w:hAnsi="Times New Roman" w:cs="Times New Roman"/>
          <w:sz w:val="24"/>
          <w:szCs w:val="24"/>
        </w:rPr>
        <w:t>at least one of the diagnostic assays.</w:t>
      </w:r>
    </w:p>
    <w:p w14:paraId="4D3A5206" w14:textId="77777777" w:rsidR="00DA3897" w:rsidRPr="002B47CF" w:rsidRDefault="00DA3897" w:rsidP="00DA3897">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Microscopic agglutination test</w:t>
      </w:r>
    </w:p>
    <w:p w14:paraId="292A62A4" w14:textId="77777777" w:rsidR="00DA3897" w:rsidRPr="002B47CF" w:rsidRDefault="00DA3897" w:rsidP="00DA3897">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Among the 26 confirmed leptospirosis cases, six (23.1%) tested positive by the microscopic agglutination test (MAT). Canine serum samples suspected of leptospirosis were screened against 13 </w:t>
      </w:r>
      <w:r w:rsidRPr="002B47CF">
        <w:rPr>
          <w:rFonts w:ascii="Times New Roman" w:hAnsi="Times New Roman" w:cs="Times New Roman"/>
          <w:i/>
          <w:iCs/>
          <w:sz w:val="24"/>
          <w:szCs w:val="24"/>
        </w:rPr>
        <w:t>Leptospira</w:t>
      </w:r>
      <w:r w:rsidRPr="002B47CF">
        <w:rPr>
          <w:rFonts w:ascii="Times New Roman" w:hAnsi="Times New Roman" w:cs="Times New Roman"/>
          <w:sz w:val="24"/>
          <w:szCs w:val="24"/>
        </w:rPr>
        <w:t xml:space="preserve"> serovars, with titres of ≥1:200 considered positive. The sensitivity of MAT was 23.07 per cent, whereas the specificity was 100 per cent. </w:t>
      </w:r>
    </w:p>
    <w:p w14:paraId="5A16EB18" w14:textId="77777777" w:rsidR="00DA3897" w:rsidRPr="002B47CF" w:rsidRDefault="00DA3897" w:rsidP="00DA3897">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Antibodies were detected in six samples, with Pomona identified as the predominant serovar (2/6; 33.3%), followed by Icterohaemorrhagiae (1/6; 16.7%) and Pyrogenes (1/6; 16.7%). </w:t>
      </w:r>
    </w:p>
    <w:p w14:paraId="3C45D66E" w14:textId="77777777" w:rsidR="00DA3897" w:rsidRDefault="00DA3897" w:rsidP="00DA3897">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Two samples exhibited agglutination with more than one serovar. In such cases, the serovar showing agglutination at the highest dilution was considered the infecting serovar. Mixed infections were detected in two samples: Canicola with Pomona (1/6; 16.7%) and Icterohaemorrhagiae with Pyrogenes (1/6; 16.7%).</w:t>
      </w:r>
    </w:p>
    <w:p w14:paraId="69F8C0FE" w14:textId="342721E3" w:rsidR="00E432D8" w:rsidRDefault="00E432D8" w:rsidP="00E432D8">
      <w:pPr>
        <w:spacing w:line="360" w:lineRule="auto"/>
        <w:ind w:firstLine="720"/>
        <w:jc w:val="both"/>
        <w:rPr>
          <w:rFonts w:ascii="Times New Roman" w:hAnsi="Times New Roman" w:cs="Times New Roman"/>
          <w:sz w:val="24"/>
          <w:szCs w:val="24"/>
        </w:rPr>
      </w:pPr>
      <w:r w:rsidRPr="002B47CF">
        <w:rPr>
          <w:rFonts w:ascii="Times New Roman" w:hAnsi="Times New Roman" w:cs="Times New Roman"/>
          <w:sz w:val="24"/>
          <w:szCs w:val="24"/>
        </w:rPr>
        <w:t xml:space="preserve">The microscopic agglutination test (MAT) identified only 23.1 per </w:t>
      </w:r>
      <w:proofErr w:type="gramStart"/>
      <w:r w:rsidRPr="002B47CF">
        <w:rPr>
          <w:rFonts w:ascii="Times New Roman" w:hAnsi="Times New Roman" w:cs="Times New Roman"/>
          <w:sz w:val="24"/>
          <w:szCs w:val="24"/>
        </w:rPr>
        <w:t>cent  of</w:t>
      </w:r>
      <w:proofErr w:type="gramEnd"/>
      <w:r w:rsidRPr="002B47CF">
        <w:rPr>
          <w:rFonts w:ascii="Times New Roman" w:hAnsi="Times New Roman" w:cs="Times New Roman"/>
          <w:sz w:val="24"/>
          <w:szCs w:val="24"/>
        </w:rPr>
        <w:t xml:space="preserve"> confirmed cases in this study, despite demonstrating 100 per cent  specificity. This result highlights a recognised limitation of MAT: its poor sensitivity in acute infections, when detectable antibody levels have not yet developed (</w:t>
      </w:r>
      <w:proofErr w:type="spellStart"/>
      <w:r w:rsidRPr="002B47CF">
        <w:rPr>
          <w:rFonts w:ascii="Times New Roman" w:hAnsi="Times New Roman" w:cs="Times New Roman"/>
          <w:sz w:val="24"/>
          <w:szCs w:val="24"/>
        </w:rPr>
        <w:t>Levett</w:t>
      </w:r>
      <w:proofErr w:type="spellEnd"/>
      <w:r w:rsidRPr="002B47CF">
        <w:rPr>
          <w:rFonts w:ascii="Times New Roman" w:hAnsi="Times New Roman" w:cs="Times New Roman"/>
          <w:sz w:val="24"/>
          <w:szCs w:val="24"/>
        </w:rPr>
        <w:t xml:space="preserve">, 2001; </w:t>
      </w:r>
      <w:proofErr w:type="spellStart"/>
      <w:r w:rsidRPr="002B47CF">
        <w:rPr>
          <w:rFonts w:ascii="Times New Roman" w:hAnsi="Times New Roman" w:cs="Times New Roman"/>
          <w:sz w:val="24"/>
          <w:szCs w:val="24"/>
        </w:rPr>
        <w:t>Samrot</w:t>
      </w:r>
      <w:proofErr w:type="spellEnd"/>
      <w:r w:rsidRPr="002B47CF">
        <w:rPr>
          <w:rFonts w:ascii="Times New Roman" w:hAnsi="Times New Roman" w:cs="Times New Roman"/>
          <w:sz w:val="24"/>
          <w:szCs w:val="24"/>
        </w:rPr>
        <w:t xml:space="preserve"> </w:t>
      </w:r>
      <w:r w:rsidR="00171E43" w:rsidRPr="00171E43">
        <w:rPr>
          <w:rFonts w:ascii="Times New Roman" w:hAnsi="Times New Roman" w:cs="Times New Roman"/>
          <w:i/>
          <w:iCs/>
          <w:sz w:val="24"/>
          <w:szCs w:val="24"/>
        </w:rPr>
        <w:t>et al</w:t>
      </w:r>
      <w:r w:rsidRPr="002B47CF">
        <w:rPr>
          <w:rFonts w:ascii="Times New Roman" w:hAnsi="Times New Roman" w:cs="Times New Roman"/>
          <w:i/>
          <w:iCs/>
          <w:sz w:val="24"/>
          <w:szCs w:val="24"/>
        </w:rPr>
        <w:t>.,</w:t>
      </w:r>
      <w:r w:rsidRPr="002B47CF">
        <w:rPr>
          <w:rFonts w:ascii="Times New Roman" w:hAnsi="Times New Roman" w:cs="Times New Roman"/>
          <w:sz w:val="24"/>
          <w:szCs w:val="24"/>
        </w:rPr>
        <w:t xml:space="preserve"> 2021). Although MAT remains the reference standard for serological confirmation, its primary value lies in epidemiological surveillance and serovar distribution studies rather than in acute clinical diagnosis. In the present investigation, the predominant serovars detected were Pomona (33.3%), Icterohaemorrhagiae (16.7%), and Pyrogenes (16.7%), consistent with reports from canine leptospirosis in India and globally (Ambily </w:t>
      </w:r>
      <w:r w:rsidR="00171E43" w:rsidRPr="00171E43">
        <w:rPr>
          <w:rFonts w:ascii="Times New Roman" w:hAnsi="Times New Roman" w:cs="Times New Roman"/>
          <w:i/>
          <w:iCs/>
          <w:sz w:val="24"/>
          <w:szCs w:val="24"/>
        </w:rPr>
        <w:t>et al</w:t>
      </w:r>
      <w:r w:rsidRPr="002B47CF">
        <w:rPr>
          <w:rFonts w:ascii="Times New Roman" w:hAnsi="Times New Roman" w:cs="Times New Roman"/>
          <w:i/>
          <w:iCs/>
          <w:sz w:val="24"/>
          <w:szCs w:val="24"/>
        </w:rPr>
        <w:t>.,</w:t>
      </w:r>
      <w:r w:rsidRPr="002B47CF">
        <w:rPr>
          <w:rFonts w:ascii="Times New Roman" w:hAnsi="Times New Roman" w:cs="Times New Roman"/>
          <w:sz w:val="24"/>
          <w:szCs w:val="24"/>
        </w:rPr>
        <w:t xml:space="preserve"> 2013; Raj </w:t>
      </w:r>
      <w:r w:rsidR="00171E43" w:rsidRPr="00171E43">
        <w:rPr>
          <w:rFonts w:ascii="Times New Roman" w:hAnsi="Times New Roman" w:cs="Times New Roman"/>
          <w:i/>
          <w:iCs/>
          <w:sz w:val="24"/>
          <w:szCs w:val="24"/>
        </w:rPr>
        <w:t>et al</w:t>
      </w:r>
      <w:r w:rsidRPr="002B47CF">
        <w:rPr>
          <w:rFonts w:ascii="Times New Roman" w:hAnsi="Times New Roman" w:cs="Times New Roman"/>
          <w:i/>
          <w:iCs/>
          <w:sz w:val="24"/>
          <w:szCs w:val="24"/>
        </w:rPr>
        <w:t>.,</w:t>
      </w:r>
      <w:r w:rsidRPr="002B47CF">
        <w:rPr>
          <w:rFonts w:ascii="Times New Roman" w:hAnsi="Times New Roman" w:cs="Times New Roman"/>
          <w:sz w:val="24"/>
          <w:szCs w:val="24"/>
        </w:rPr>
        <w:t xml:space="preserve"> 2021). These findings reaffirm the epidemiological importance of these serovars and support their inclusion in surveillance and vaccine strategies.</w:t>
      </w:r>
    </w:p>
    <w:p w14:paraId="7BD0FDBC" w14:textId="77777777" w:rsidR="001141FA" w:rsidRDefault="001141FA" w:rsidP="001141FA">
      <w:pPr>
        <w:spacing w:line="360" w:lineRule="auto"/>
        <w:ind w:firstLine="567"/>
        <w:jc w:val="both"/>
        <w:rPr>
          <w:rFonts w:ascii="Times New Roman" w:hAnsi="Times New Roman" w:cs="Times New Roman"/>
          <w:sz w:val="24"/>
          <w:szCs w:val="24"/>
        </w:rPr>
      </w:pPr>
      <w:r w:rsidRPr="00E1014D">
        <w:rPr>
          <w:rFonts w:ascii="Times New Roman" w:hAnsi="Times New Roman" w:cs="Times New Roman"/>
          <w:sz w:val="24"/>
          <w:szCs w:val="24"/>
        </w:rPr>
        <w:lastRenderedPageBreak/>
        <w:t xml:space="preserve">Two samples exhibited agglutination with more than one serovar. In such cases, the serovar showing </w:t>
      </w:r>
      <w:r>
        <w:rPr>
          <w:rFonts w:ascii="Times New Roman" w:hAnsi="Times New Roman" w:cs="Times New Roman"/>
          <w:sz w:val="24"/>
          <w:szCs w:val="24"/>
        </w:rPr>
        <w:t xml:space="preserve">an increase in </w:t>
      </w:r>
      <w:r w:rsidRPr="00E1014D">
        <w:rPr>
          <w:rFonts w:ascii="Times New Roman" w:hAnsi="Times New Roman" w:cs="Times New Roman"/>
          <w:sz w:val="24"/>
          <w:szCs w:val="24"/>
        </w:rPr>
        <w:t xml:space="preserve">agglutination </w:t>
      </w:r>
      <w:r>
        <w:rPr>
          <w:rFonts w:ascii="Times New Roman" w:hAnsi="Times New Roman" w:cs="Times New Roman"/>
          <w:sz w:val="24"/>
          <w:szCs w:val="24"/>
        </w:rPr>
        <w:t>titre</w:t>
      </w:r>
      <w:r w:rsidRPr="00E1014D">
        <w:rPr>
          <w:rFonts w:ascii="Times New Roman" w:hAnsi="Times New Roman" w:cs="Times New Roman"/>
          <w:sz w:val="24"/>
          <w:szCs w:val="24"/>
        </w:rPr>
        <w:t xml:space="preserve"> </w:t>
      </w:r>
      <w:r>
        <w:rPr>
          <w:rFonts w:ascii="Times New Roman" w:hAnsi="Times New Roman" w:cs="Times New Roman"/>
          <w:sz w:val="24"/>
          <w:szCs w:val="24"/>
        </w:rPr>
        <w:t>following a paired sera sample was considered the infecting serovar</w:t>
      </w:r>
      <w:r w:rsidRPr="00E1014D">
        <w:rPr>
          <w:rFonts w:ascii="Times New Roman" w:hAnsi="Times New Roman" w:cs="Times New Roman"/>
          <w:sz w:val="24"/>
          <w:szCs w:val="24"/>
        </w:rPr>
        <w:t xml:space="preserve">. </w:t>
      </w:r>
      <w:r>
        <w:rPr>
          <w:rFonts w:ascii="Times New Roman" w:hAnsi="Times New Roman" w:cs="Times New Roman"/>
          <w:sz w:val="24"/>
          <w:szCs w:val="24"/>
        </w:rPr>
        <w:t>The two samples showed agglutination for</w:t>
      </w:r>
      <w:r w:rsidRPr="00E1014D">
        <w:rPr>
          <w:rFonts w:ascii="Times New Roman" w:hAnsi="Times New Roman" w:cs="Times New Roman"/>
          <w:sz w:val="24"/>
          <w:szCs w:val="24"/>
        </w:rPr>
        <w:t xml:space="preserve"> Canicola with Pomona (1/6; 16.7%) and Icterohaemorrhagiae with Py</w:t>
      </w:r>
      <w:r>
        <w:rPr>
          <w:rFonts w:ascii="Times New Roman" w:hAnsi="Times New Roman" w:cs="Times New Roman"/>
          <w:sz w:val="24"/>
          <w:szCs w:val="24"/>
        </w:rPr>
        <w:t>r</w:t>
      </w:r>
      <w:r w:rsidRPr="00E1014D">
        <w:rPr>
          <w:rFonts w:ascii="Times New Roman" w:hAnsi="Times New Roman" w:cs="Times New Roman"/>
          <w:sz w:val="24"/>
          <w:szCs w:val="24"/>
        </w:rPr>
        <w:t>ogenes (1/6; 16.7%)</w:t>
      </w:r>
      <w:r>
        <w:rPr>
          <w:rFonts w:ascii="Times New Roman" w:hAnsi="Times New Roman" w:cs="Times New Roman"/>
          <w:sz w:val="24"/>
          <w:szCs w:val="24"/>
        </w:rPr>
        <w:t xml:space="preserve">, where Canicola and </w:t>
      </w:r>
      <w:r w:rsidRPr="00E1014D">
        <w:rPr>
          <w:rFonts w:ascii="Times New Roman" w:hAnsi="Times New Roman" w:cs="Times New Roman"/>
          <w:sz w:val="24"/>
          <w:szCs w:val="24"/>
        </w:rPr>
        <w:t>Icterohaemorrhagiae</w:t>
      </w:r>
      <w:r>
        <w:rPr>
          <w:rFonts w:ascii="Times New Roman" w:hAnsi="Times New Roman" w:cs="Times New Roman"/>
          <w:sz w:val="24"/>
          <w:szCs w:val="24"/>
        </w:rPr>
        <w:t xml:space="preserve"> showed an increase in tire, respectively</w:t>
      </w:r>
      <w:r w:rsidRPr="00E1014D">
        <w:rPr>
          <w:rFonts w:ascii="Times New Roman" w:hAnsi="Times New Roman" w:cs="Times New Roman"/>
          <w:sz w:val="24"/>
          <w:szCs w:val="24"/>
        </w:rPr>
        <w:t>.</w:t>
      </w:r>
    </w:p>
    <w:p w14:paraId="0AD96E98" w14:textId="7208A402" w:rsidR="001141FA" w:rsidRDefault="001141FA" w:rsidP="001141FA">
      <w:pPr>
        <w:spacing w:line="360" w:lineRule="auto"/>
        <w:ind w:firstLine="567"/>
        <w:jc w:val="both"/>
        <w:rPr>
          <w:rFonts w:ascii="Times New Roman" w:hAnsi="Times New Roman" w:cs="Times New Roman"/>
          <w:sz w:val="24"/>
          <w:szCs w:val="24"/>
        </w:rPr>
      </w:pPr>
      <w:r w:rsidRPr="001141FA">
        <w:rPr>
          <w:rFonts w:ascii="Times New Roman" w:hAnsi="Times New Roman" w:cs="Times New Roman"/>
          <w:sz w:val="24"/>
          <w:szCs w:val="24"/>
        </w:rPr>
        <w:t xml:space="preserve">According to Jayasundara </w:t>
      </w:r>
      <w:r w:rsidRPr="001141FA">
        <w:rPr>
          <w:rFonts w:ascii="Times New Roman" w:hAnsi="Times New Roman" w:cs="Times New Roman"/>
          <w:i/>
          <w:iCs/>
          <w:sz w:val="24"/>
          <w:szCs w:val="24"/>
        </w:rPr>
        <w:t>et al.</w:t>
      </w:r>
      <w:r w:rsidRPr="001141FA">
        <w:rPr>
          <w:rFonts w:ascii="Times New Roman" w:hAnsi="Times New Roman" w:cs="Times New Roman"/>
          <w:sz w:val="24"/>
          <w:szCs w:val="24"/>
        </w:rPr>
        <w:t xml:space="preserve"> (2021) MAT results revealing reactivity against multiple serovars are particularly valuable for estimating true disease burden and predicting the diversity of circulating serogroups, which in turn shapes local surveillance efforts and intervention strategies</w:t>
      </w:r>
      <w:r w:rsidR="00D818CB">
        <w:rPr>
          <w:rFonts w:ascii="Times New Roman" w:hAnsi="Times New Roman" w:cs="Times New Roman"/>
          <w:sz w:val="24"/>
          <w:szCs w:val="24"/>
        </w:rPr>
        <w:t>.</w:t>
      </w:r>
    </w:p>
    <w:p w14:paraId="7581B2B1" w14:textId="77777777" w:rsidR="00D818CB" w:rsidRPr="002B47CF" w:rsidRDefault="00D818CB" w:rsidP="00D818CB">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Pr="002B47CF">
        <w:rPr>
          <w:rFonts w:ascii="Times New Roman" w:hAnsi="Times New Roman" w:cs="Times New Roman"/>
          <w:sz w:val="24"/>
          <w:szCs w:val="24"/>
        </w:rPr>
        <w:t xml:space="preserve">late </w:t>
      </w:r>
      <w:proofErr w:type="gramStart"/>
      <w:r w:rsidRPr="002B47CF">
        <w:rPr>
          <w:rFonts w:ascii="Times New Roman" w:hAnsi="Times New Roman" w:cs="Times New Roman"/>
          <w:sz w:val="24"/>
          <w:szCs w:val="24"/>
        </w:rPr>
        <w:t>1</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2B47CF">
        <w:rPr>
          <w:rFonts w:ascii="Times New Roman" w:hAnsi="Times New Roman" w:cs="Times New Roman"/>
          <w:sz w:val="24"/>
          <w:szCs w:val="24"/>
        </w:rPr>
        <w:t>The results for MAT</w:t>
      </w:r>
      <w:r>
        <w:rPr>
          <w:rFonts w:ascii="Times New Roman" w:hAnsi="Times New Roman" w:cs="Times New Roman"/>
          <w:sz w:val="24"/>
          <w:szCs w:val="24"/>
        </w:rPr>
        <w:t>:</w:t>
      </w:r>
      <w:r w:rsidRPr="002B47CF">
        <w:rPr>
          <w:rFonts w:ascii="Times New Roman" w:hAnsi="Times New Roman" w:cs="Times New Roman"/>
          <w:sz w:val="24"/>
          <w:szCs w:val="24"/>
        </w:rPr>
        <w:t xml:space="preserve"> a. 1:</w:t>
      </w:r>
      <w:r>
        <w:rPr>
          <w:rFonts w:ascii="Times New Roman" w:hAnsi="Times New Roman" w:cs="Times New Roman"/>
          <w:sz w:val="24"/>
          <w:szCs w:val="24"/>
        </w:rPr>
        <w:t>6</w:t>
      </w:r>
      <w:r w:rsidRPr="002B47CF">
        <w:rPr>
          <w:rFonts w:ascii="Times New Roman" w:hAnsi="Times New Roman" w:cs="Times New Roman"/>
          <w:sz w:val="24"/>
          <w:szCs w:val="24"/>
        </w:rPr>
        <w:t>00 dilution</w:t>
      </w:r>
      <w:r>
        <w:rPr>
          <w:rFonts w:ascii="Times New Roman" w:hAnsi="Times New Roman" w:cs="Times New Roman"/>
          <w:sz w:val="24"/>
          <w:szCs w:val="24"/>
        </w:rPr>
        <w:t>;</w:t>
      </w:r>
      <w:r w:rsidRPr="002B47CF">
        <w:rPr>
          <w:rFonts w:ascii="Times New Roman" w:hAnsi="Times New Roman" w:cs="Times New Roman"/>
          <w:sz w:val="24"/>
          <w:szCs w:val="24"/>
        </w:rPr>
        <w:t xml:space="preserve"> b. 1:400 dilution</w:t>
      </w:r>
      <w:r>
        <w:rPr>
          <w:rFonts w:ascii="Times New Roman" w:hAnsi="Times New Roman" w:cs="Times New Roman"/>
          <w:sz w:val="24"/>
          <w:szCs w:val="24"/>
        </w:rPr>
        <w:t>;</w:t>
      </w:r>
      <w:r w:rsidRPr="002B47CF">
        <w:rPr>
          <w:rFonts w:ascii="Times New Roman" w:hAnsi="Times New Roman" w:cs="Times New Roman"/>
          <w:sz w:val="24"/>
          <w:szCs w:val="24"/>
        </w:rPr>
        <w:t xml:space="preserve"> c. 1:</w:t>
      </w:r>
      <w:r>
        <w:rPr>
          <w:rFonts w:ascii="Times New Roman" w:hAnsi="Times New Roman" w:cs="Times New Roman"/>
          <w:sz w:val="24"/>
          <w:szCs w:val="24"/>
        </w:rPr>
        <w:t>2</w:t>
      </w:r>
      <w:r w:rsidRPr="002B47CF">
        <w:rPr>
          <w:rFonts w:ascii="Times New Roman" w:hAnsi="Times New Roman" w:cs="Times New Roman"/>
          <w:sz w:val="24"/>
          <w:szCs w:val="24"/>
        </w:rPr>
        <w:t>00 dilution</w:t>
      </w:r>
      <w:r>
        <w:rPr>
          <w:rFonts w:ascii="Times New Roman" w:hAnsi="Times New Roman" w:cs="Times New Roman"/>
          <w:sz w:val="24"/>
          <w:szCs w:val="24"/>
        </w:rPr>
        <w:t>.</w:t>
      </w:r>
    </w:p>
    <w:p w14:paraId="0BB11AC7" w14:textId="77777777" w:rsidR="00D818CB" w:rsidRPr="002B47CF" w:rsidRDefault="00D818CB" w:rsidP="00D818CB">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a.</w:t>
      </w:r>
      <w:r w:rsidRPr="002B47CF">
        <w:rPr>
          <w:rFonts w:ascii="Times New Roman" w:hAnsi="Times New Roman" w:cs="Times New Roman"/>
          <w:noProof/>
          <w:sz w:val="24"/>
          <w:szCs w:val="24"/>
        </w:rPr>
        <w:drawing>
          <wp:inline distT="0" distB="0" distL="0" distR="0" wp14:anchorId="1E40CABD" wp14:editId="36AE8535">
            <wp:extent cx="2361777" cy="2361777"/>
            <wp:effectExtent l="0" t="0" r="635" b="635"/>
            <wp:docPr id="222938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938052" name="Picture 22293805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8291" cy="2368291"/>
                    </a:xfrm>
                    <a:prstGeom prst="rect">
                      <a:avLst/>
                    </a:prstGeom>
                  </pic:spPr>
                </pic:pic>
              </a:graphicData>
            </a:graphic>
          </wp:inline>
        </w:drawing>
      </w:r>
      <w:r w:rsidRPr="002B47CF">
        <w:rPr>
          <w:rFonts w:ascii="Times New Roman" w:hAnsi="Times New Roman" w:cs="Times New Roman"/>
          <w:sz w:val="24"/>
          <w:szCs w:val="24"/>
        </w:rPr>
        <w:tab/>
        <w:t>b.</w:t>
      </w:r>
      <w:r w:rsidRPr="002B47CF">
        <w:rPr>
          <w:rFonts w:ascii="Times New Roman" w:hAnsi="Times New Roman" w:cs="Times New Roman"/>
          <w:noProof/>
          <w:sz w:val="24"/>
          <w:szCs w:val="24"/>
        </w:rPr>
        <w:drawing>
          <wp:inline distT="0" distB="0" distL="0" distR="0" wp14:anchorId="60392635" wp14:editId="0B7BA4EF">
            <wp:extent cx="2370667" cy="2370667"/>
            <wp:effectExtent l="0" t="0" r="0" b="0"/>
            <wp:docPr id="10657836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83660" name="Picture 106578366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1570" cy="2381570"/>
                    </a:xfrm>
                    <a:prstGeom prst="rect">
                      <a:avLst/>
                    </a:prstGeom>
                  </pic:spPr>
                </pic:pic>
              </a:graphicData>
            </a:graphic>
          </wp:inline>
        </w:drawing>
      </w:r>
    </w:p>
    <w:p w14:paraId="2DDC3FA0" w14:textId="7713791A" w:rsidR="00D818CB" w:rsidRPr="002B47CF" w:rsidRDefault="00D818CB" w:rsidP="00D818CB">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c.</w:t>
      </w:r>
      <w:r w:rsidRPr="002B47CF">
        <w:rPr>
          <w:rFonts w:ascii="Times New Roman" w:hAnsi="Times New Roman" w:cs="Times New Roman"/>
          <w:noProof/>
          <w:sz w:val="24"/>
          <w:szCs w:val="24"/>
        </w:rPr>
        <w:drawing>
          <wp:inline distT="0" distB="0" distL="0" distR="0" wp14:anchorId="21732AF6" wp14:editId="5A43D371">
            <wp:extent cx="2438400" cy="2438400"/>
            <wp:effectExtent l="0" t="0" r="0" b="0"/>
            <wp:docPr id="5289215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921592" name="Picture 52892159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62282" cy="2462282"/>
                    </a:xfrm>
                    <a:prstGeom prst="rect">
                      <a:avLst/>
                    </a:prstGeom>
                  </pic:spPr>
                </pic:pic>
              </a:graphicData>
            </a:graphic>
          </wp:inline>
        </w:drawing>
      </w:r>
    </w:p>
    <w:p w14:paraId="7CDB9C6D" w14:textId="77777777" w:rsidR="00DA3897" w:rsidRPr="002B47CF" w:rsidRDefault="00DA3897" w:rsidP="00DA3897">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Polymerase Chain Reaction</w:t>
      </w:r>
    </w:p>
    <w:p w14:paraId="3416963B" w14:textId="56E7C00D" w:rsidR="00D27053" w:rsidRDefault="001C5891" w:rsidP="00FE5B35">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lastRenderedPageBreak/>
        <w:t>Fourteen of the 26 confirmed cases (53.9%) yielded a 790 bp amplicon specific to pathogenic Leptospira.</w:t>
      </w:r>
      <w:r w:rsidR="00FE5B35">
        <w:rPr>
          <w:rFonts w:ascii="Times New Roman" w:hAnsi="Times New Roman" w:cs="Times New Roman"/>
          <w:sz w:val="24"/>
          <w:szCs w:val="24"/>
        </w:rPr>
        <w:t xml:space="preserve"> </w:t>
      </w:r>
      <w:r w:rsidR="00D27053" w:rsidRPr="002B47CF">
        <w:rPr>
          <w:rFonts w:ascii="Times New Roman" w:hAnsi="Times New Roman" w:cs="Times New Roman"/>
          <w:sz w:val="24"/>
          <w:szCs w:val="24"/>
        </w:rPr>
        <w:t xml:space="preserve">The assay targeted the </w:t>
      </w:r>
      <w:r w:rsidR="00D27053" w:rsidRPr="002B47CF">
        <w:rPr>
          <w:rFonts w:ascii="Times New Roman" w:hAnsi="Times New Roman" w:cs="Times New Roman"/>
          <w:i/>
          <w:iCs/>
          <w:sz w:val="24"/>
          <w:szCs w:val="24"/>
        </w:rPr>
        <w:t>lipL32 gene</w:t>
      </w:r>
      <w:r w:rsidR="00D27053" w:rsidRPr="002B47CF">
        <w:rPr>
          <w:rFonts w:ascii="Times New Roman" w:hAnsi="Times New Roman" w:cs="Times New Roman"/>
          <w:sz w:val="24"/>
          <w:szCs w:val="24"/>
        </w:rPr>
        <w:t xml:space="preserve">, a well-established pathogenic marker of </w:t>
      </w:r>
      <w:r w:rsidR="00D27053" w:rsidRPr="002B47CF">
        <w:rPr>
          <w:rFonts w:ascii="Times New Roman" w:hAnsi="Times New Roman" w:cs="Times New Roman"/>
          <w:i/>
          <w:iCs/>
          <w:sz w:val="24"/>
          <w:szCs w:val="24"/>
        </w:rPr>
        <w:t>Leptospira</w:t>
      </w:r>
      <w:r w:rsidR="00D27053" w:rsidRPr="002B47CF">
        <w:rPr>
          <w:rFonts w:ascii="Times New Roman" w:hAnsi="Times New Roman" w:cs="Times New Roman"/>
          <w:sz w:val="24"/>
          <w:szCs w:val="24"/>
        </w:rPr>
        <w:t xml:space="preserve"> spp. (Sykes </w:t>
      </w:r>
      <w:r w:rsidR="00171E43" w:rsidRPr="00171E43">
        <w:rPr>
          <w:rFonts w:ascii="Times New Roman" w:hAnsi="Times New Roman" w:cs="Times New Roman"/>
          <w:i/>
          <w:iCs/>
          <w:sz w:val="24"/>
          <w:szCs w:val="24"/>
        </w:rPr>
        <w:t>et al</w:t>
      </w:r>
      <w:r w:rsidR="00D27053" w:rsidRPr="002B47CF">
        <w:rPr>
          <w:rFonts w:ascii="Times New Roman" w:hAnsi="Times New Roman" w:cs="Times New Roman"/>
          <w:i/>
          <w:iCs/>
          <w:sz w:val="24"/>
          <w:szCs w:val="24"/>
        </w:rPr>
        <w:t>.,</w:t>
      </w:r>
      <w:r w:rsidR="00D27053" w:rsidRPr="002B47CF">
        <w:rPr>
          <w:rFonts w:ascii="Times New Roman" w:hAnsi="Times New Roman" w:cs="Times New Roman"/>
          <w:sz w:val="24"/>
          <w:szCs w:val="24"/>
        </w:rPr>
        <w:t xml:space="preserve"> 2011). Despite its recognised diagnostic value, the sensitivity of PCR is influenced by several factors, including bacterial load, the stage of infection at the time of sampling, and the presence of inhibitors in clinical specimens. These limitations may account for the moderate performance observed. Our findings corroborate</w:t>
      </w:r>
      <w:r w:rsidR="004F262E">
        <w:rPr>
          <w:rFonts w:ascii="Times New Roman" w:hAnsi="Times New Roman" w:cs="Times New Roman"/>
          <w:sz w:val="24"/>
          <w:szCs w:val="24"/>
        </w:rPr>
        <w:t>d with</w:t>
      </w:r>
      <w:r w:rsidR="00D27053" w:rsidRPr="002B47CF">
        <w:rPr>
          <w:rFonts w:ascii="Times New Roman" w:hAnsi="Times New Roman" w:cs="Times New Roman"/>
          <w:sz w:val="24"/>
          <w:szCs w:val="24"/>
        </w:rPr>
        <w:t xml:space="preserve"> earlier reports indicating that PCR </w:t>
      </w:r>
      <w:r w:rsidR="004F262E">
        <w:rPr>
          <w:rFonts w:ascii="Times New Roman" w:hAnsi="Times New Roman" w:cs="Times New Roman"/>
          <w:sz w:val="24"/>
          <w:szCs w:val="24"/>
        </w:rPr>
        <w:t>was</w:t>
      </w:r>
      <w:r w:rsidR="00D27053" w:rsidRPr="002B47CF">
        <w:rPr>
          <w:rFonts w:ascii="Times New Roman" w:hAnsi="Times New Roman" w:cs="Times New Roman"/>
          <w:sz w:val="24"/>
          <w:szCs w:val="24"/>
        </w:rPr>
        <w:t xml:space="preserve"> particularly valuable during the early </w:t>
      </w:r>
      <w:proofErr w:type="spellStart"/>
      <w:r w:rsidR="00D27053" w:rsidRPr="002B47CF">
        <w:rPr>
          <w:rFonts w:ascii="Times New Roman" w:hAnsi="Times New Roman" w:cs="Times New Roman"/>
          <w:sz w:val="24"/>
          <w:szCs w:val="24"/>
        </w:rPr>
        <w:t>leptospiraemic</w:t>
      </w:r>
      <w:proofErr w:type="spellEnd"/>
      <w:r w:rsidR="00D27053" w:rsidRPr="002B47CF">
        <w:rPr>
          <w:rFonts w:ascii="Times New Roman" w:hAnsi="Times New Roman" w:cs="Times New Roman"/>
          <w:sz w:val="24"/>
          <w:szCs w:val="24"/>
        </w:rPr>
        <w:t xml:space="preserve"> phase, but its diagnostic reliability diminishes in later stages due to bacterial clearance (Levett, 2001; Sykes </w:t>
      </w:r>
      <w:r w:rsidR="00171E43" w:rsidRPr="00171E43">
        <w:rPr>
          <w:rFonts w:ascii="Times New Roman" w:hAnsi="Times New Roman" w:cs="Times New Roman"/>
          <w:i/>
          <w:iCs/>
          <w:sz w:val="24"/>
          <w:szCs w:val="24"/>
        </w:rPr>
        <w:t>et al</w:t>
      </w:r>
      <w:r w:rsidR="00D27053" w:rsidRPr="002B47CF">
        <w:rPr>
          <w:rFonts w:ascii="Times New Roman" w:hAnsi="Times New Roman" w:cs="Times New Roman"/>
          <w:i/>
          <w:iCs/>
          <w:sz w:val="24"/>
          <w:szCs w:val="24"/>
        </w:rPr>
        <w:t>.,</w:t>
      </w:r>
      <w:r w:rsidR="00D27053" w:rsidRPr="002B47CF">
        <w:rPr>
          <w:rFonts w:ascii="Times New Roman" w:hAnsi="Times New Roman" w:cs="Times New Roman"/>
          <w:sz w:val="24"/>
          <w:szCs w:val="24"/>
        </w:rPr>
        <w:t xml:space="preserve"> 2011).</w:t>
      </w:r>
    </w:p>
    <w:p w14:paraId="6CFE0F8E" w14:textId="77777777" w:rsidR="00D818CB" w:rsidRPr="002B47CF" w:rsidRDefault="00D818CB" w:rsidP="00D818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2B47CF">
        <w:rPr>
          <w:rFonts w:ascii="Times New Roman" w:hAnsi="Times New Roman" w:cs="Times New Roman"/>
          <w:sz w:val="24"/>
          <w:szCs w:val="24"/>
        </w:rPr>
        <w:t xml:space="preserve">late </w:t>
      </w:r>
      <w:proofErr w:type="gramStart"/>
      <w:r w:rsidRPr="002B47CF">
        <w:rPr>
          <w:rFonts w:ascii="Times New Roman" w:hAnsi="Times New Roman" w:cs="Times New Roman"/>
          <w:sz w:val="24"/>
          <w:szCs w:val="24"/>
        </w:rPr>
        <w:t>2</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2B47CF">
        <w:rPr>
          <w:rFonts w:ascii="Times New Roman" w:hAnsi="Times New Roman" w:cs="Times New Roman"/>
          <w:sz w:val="24"/>
          <w:szCs w:val="24"/>
        </w:rPr>
        <w:t>The results for PCR</w:t>
      </w:r>
      <w:r>
        <w:rPr>
          <w:rFonts w:ascii="Times New Roman" w:hAnsi="Times New Roman" w:cs="Times New Roman"/>
          <w:sz w:val="24"/>
          <w:szCs w:val="24"/>
        </w:rPr>
        <w:t>:</w:t>
      </w:r>
      <w:r w:rsidRPr="002B47CF">
        <w:rPr>
          <w:rFonts w:ascii="Times New Roman" w:hAnsi="Times New Roman" w:cs="Times New Roman"/>
          <w:sz w:val="24"/>
          <w:szCs w:val="24"/>
        </w:rPr>
        <w:t xml:space="preserve"> Lane 1 depicts 100 bp ladder. Lane 2 and 3</w:t>
      </w:r>
      <w:r>
        <w:rPr>
          <w:rFonts w:ascii="Times New Roman" w:hAnsi="Times New Roman" w:cs="Times New Roman"/>
          <w:sz w:val="24"/>
          <w:szCs w:val="24"/>
        </w:rPr>
        <w:t>:</w:t>
      </w:r>
      <w:r w:rsidRPr="002B47CF">
        <w:rPr>
          <w:rFonts w:ascii="Times New Roman" w:hAnsi="Times New Roman" w:cs="Times New Roman"/>
          <w:sz w:val="24"/>
          <w:szCs w:val="24"/>
        </w:rPr>
        <w:t xml:space="preserve"> </w:t>
      </w:r>
      <w:r>
        <w:rPr>
          <w:rFonts w:ascii="Times New Roman" w:hAnsi="Times New Roman" w:cs="Times New Roman"/>
          <w:sz w:val="24"/>
          <w:szCs w:val="24"/>
        </w:rPr>
        <w:t>P</w:t>
      </w:r>
      <w:r w:rsidRPr="002B47CF">
        <w:rPr>
          <w:rFonts w:ascii="Times New Roman" w:hAnsi="Times New Roman" w:cs="Times New Roman"/>
          <w:sz w:val="24"/>
          <w:szCs w:val="24"/>
        </w:rPr>
        <w:t>ositive and negative control. Lane 4,5 and 6</w:t>
      </w:r>
      <w:r>
        <w:rPr>
          <w:rFonts w:ascii="Times New Roman" w:hAnsi="Times New Roman" w:cs="Times New Roman"/>
          <w:sz w:val="24"/>
          <w:szCs w:val="24"/>
        </w:rPr>
        <w:t>: P</w:t>
      </w:r>
      <w:r w:rsidRPr="002B47CF">
        <w:rPr>
          <w:rFonts w:ascii="Times New Roman" w:hAnsi="Times New Roman" w:cs="Times New Roman"/>
          <w:sz w:val="24"/>
          <w:szCs w:val="24"/>
        </w:rPr>
        <w:t>ositive samples</w:t>
      </w:r>
    </w:p>
    <w:p w14:paraId="12AF5FE2" w14:textId="44B8B3B2" w:rsidR="00D818CB" w:rsidRPr="00D818CB" w:rsidRDefault="00D818CB" w:rsidP="00D818CB">
      <w:pPr>
        <w:spacing w:after="0" w:line="360" w:lineRule="auto"/>
        <w:jc w:val="center"/>
        <w:rPr>
          <w:rFonts w:ascii="Times New Roman" w:hAnsi="Times New Roman" w:cs="Times New Roman"/>
          <w:b/>
          <w:bCs/>
          <w:sz w:val="24"/>
          <w:szCs w:val="24"/>
        </w:rPr>
      </w:pPr>
      <w:r w:rsidRPr="002B47CF">
        <w:rPr>
          <w:rFonts w:ascii="Times New Roman" w:hAnsi="Times New Roman" w:cs="Times New Roman"/>
          <w:b/>
          <w:bCs/>
          <w:noProof/>
          <w:sz w:val="24"/>
          <w:szCs w:val="24"/>
        </w:rPr>
        <w:drawing>
          <wp:inline distT="0" distB="0" distL="0" distR="0" wp14:anchorId="6082427A" wp14:editId="003D24C8">
            <wp:extent cx="4353663" cy="4648200"/>
            <wp:effectExtent l="0" t="0" r="8890" b="0"/>
            <wp:docPr id="7243418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41807"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85865" cy="4682580"/>
                    </a:xfrm>
                    <a:prstGeom prst="rect">
                      <a:avLst/>
                    </a:prstGeom>
                  </pic:spPr>
                </pic:pic>
              </a:graphicData>
            </a:graphic>
          </wp:inline>
        </w:drawing>
      </w:r>
    </w:p>
    <w:p w14:paraId="6BF1BE18" w14:textId="77777777" w:rsidR="00D27053" w:rsidRPr="002B47CF" w:rsidRDefault="00D27053" w:rsidP="001C5891">
      <w:pPr>
        <w:spacing w:line="360" w:lineRule="auto"/>
        <w:ind w:firstLine="567"/>
        <w:jc w:val="both"/>
        <w:rPr>
          <w:rFonts w:ascii="Times New Roman" w:hAnsi="Times New Roman" w:cs="Times New Roman"/>
          <w:sz w:val="24"/>
          <w:szCs w:val="24"/>
        </w:rPr>
      </w:pPr>
    </w:p>
    <w:p w14:paraId="5816C411" w14:textId="77777777" w:rsidR="001C5891" w:rsidRPr="002B47CF" w:rsidRDefault="001C5891" w:rsidP="001C5891">
      <w:pPr>
        <w:tabs>
          <w:tab w:val="left" w:pos="3960"/>
        </w:tabs>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Loop-mediated isothermal amplification</w:t>
      </w:r>
    </w:p>
    <w:p w14:paraId="466D7585" w14:textId="6DBE090E" w:rsidR="001C5891" w:rsidRPr="002B47CF" w:rsidRDefault="001C5891" w:rsidP="001C5891">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lastRenderedPageBreak/>
        <w:t>Twenty-three of the 26 confirmed samples (88.5%) tested positive by the LAMP assay. Positive reactions were characterised by a distinct colour change from deep pink to salmon pink or yellow, and the amplification products displayed the typical ladder-like pattern on agarose gel electrophoresis</w:t>
      </w:r>
      <w:r w:rsidR="002A280E" w:rsidRPr="002B47CF">
        <w:rPr>
          <w:rFonts w:ascii="Times New Roman" w:hAnsi="Times New Roman" w:cs="Times New Roman"/>
          <w:sz w:val="24"/>
          <w:szCs w:val="24"/>
        </w:rPr>
        <w:t>.</w:t>
      </w:r>
    </w:p>
    <w:p w14:paraId="69F27ACF" w14:textId="374AFCD7" w:rsidR="00D27053" w:rsidRDefault="00D27053" w:rsidP="00353049">
      <w:pPr>
        <w:spacing w:line="360" w:lineRule="auto"/>
        <w:ind w:firstLine="720"/>
        <w:jc w:val="both"/>
        <w:rPr>
          <w:rFonts w:ascii="Times New Roman" w:hAnsi="Times New Roman" w:cs="Times New Roman"/>
          <w:sz w:val="24"/>
          <w:szCs w:val="24"/>
        </w:rPr>
      </w:pPr>
      <w:r w:rsidRPr="002B47CF">
        <w:rPr>
          <w:rFonts w:ascii="Times New Roman" w:hAnsi="Times New Roman" w:cs="Times New Roman"/>
          <w:sz w:val="24"/>
          <w:szCs w:val="24"/>
        </w:rPr>
        <w:t xml:space="preserve">The loop-mediated isothermal amplification (LAMP) assay demonstrated superior diagnostic performance compared with both MAT and PCR. The rapid amplification process, straightforward visualisation of results, and methodological robustness highlight its potential as a practical tool for field-level diagnosis of leptospirosis. Comparable findings have been reported by Chen </w:t>
      </w:r>
      <w:r w:rsidR="00171E43" w:rsidRPr="00171E43">
        <w:rPr>
          <w:rFonts w:ascii="Times New Roman" w:hAnsi="Times New Roman" w:cs="Times New Roman"/>
          <w:i/>
          <w:iCs/>
          <w:sz w:val="24"/>
          <w:szCs w:val="24"/>
        </w:rPr>
        <w:t>et al</w:t>
      </w:r>
      <w:r w:rsidRPr="002B47CF">
        <w:rPr>
          <w:rFonts w:ascii="Times New Roman" w:hAnsi="Times New Roman" w:cs="Times New Roman"/>
          <w:i/>
          <w:iCs/>
          <w:sz w:val="24"/>
          <w:szCs w:val="24"/>
        </w:rPr>
        <w:t>.</w:t>
      </w:r>
      <w:r w:rsidRPr="002B47CF">
        <w:rPr>
          <w:rFonts w:ascii="Times New Roman" w:hAnsi="Times New Roman" w:cs="Times New Roman"/>
          <w:sz w:val="24"/>
          <w:szCs w:val="24"/>
        </w:rPr>
        <w:t xml:space="preserve"> (2015) and Suwanchareon </w:t>
      </w:r>
      <w:r w:rsidR="00171E43" w:rsidRPr="00171E43">
        <w:rPr>
          <w:rFonts w:ascii="Times New Roman" w:hAnsi="Times New Roman" w:cs="Times New Roman"/>
          <w:i/>
          <w:iCs/>
          <w:sz w:val="24"/>
          <w:szCs w:val="24"/>
        </w:rPr>
        <w:t>et al</w:t>
      </w:r>
      <w:r w:rsidRPr="002B47CF">
        <w:rPr>
          <w:rFonts w:ascii="Times New Roman" w:hAnsi="Times New Roman" w:cs="Times New Roman"/>
          <w:i/>
          <w:iCs/>
          <w:sz w:val="24"/>
          <w:szCs w:val="24"/>
        </w:rPr>
        <w:t>.</w:t>
      </w:r>
      <w:r w:rsidRPr="002B47CF">
        <w:rPr>
          <w:rFonts w:ascii="Times New Roman" w:hAnsi="Times New Roman" w:cs="Times New Roman"/>
          <w:sz w:val="24"/>
          <w:szCs w:val="24"/>
        </w:rPr>
        <w:t xml:space="preserve"> (2016), who similarly observed enhanced sensitivity of LAMP relative to conventional diagnostic assays, thereby reaffirming its diagnostic value.</w:t>
      </w:r>
    </w:p>
    <w:p w14:paraId="2A8B525E" w14:textId="77777777" w:rsidR="00D818CB" w:rsidRPr="002B47CF" w:rsidRDefault="00D818CB" w:rsidP="00D818C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Pr="002B47CF">
        <w:rPr>
          <w:rFonts w:ascii="Times New Roman" w:hAnsi="Times New Roman" w:cs="Times New Roman"/>
          <w:sz w:val="24"/>
          <w:szCs w:val="24"/>
        </w:rPr>
        <w:t xml:space="preserve">late </w:t>
      </w:r>
      <w:proofErr w:type="gramStart"/>
      <w:r w:rsidRPr="002B47CF">
        <w:rPr>
          <w:rFonts w:ascii="Times New Roman" w:hAnsi="Times New Roman" w:cs="Times New Roman"/>
          <w:sz w:val="24"/>
          <w:szCs w:val="24"/>
        </w:rPr>
        <w:t>3</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2B47CF">
        <w:rPr>
          <w:rFonts w:ascii="Times New Roman" w:hAnsi="Times New Roman" w:cs="Times New Roman"/>
          <w:sz w:val="24"/>
          <w:szCs w:val="24"/>
        </w:rPr>
        <w:t xml:space="preserve">The results for LAMP assay </w:t>
      </w:r>
      <w:r>
        <w:rPr>
          <w:rFonts w:ascii="Times New Roman" w:hAnsi="Times New Roman" w:cs="Times New Roman"/>
          <w:sz w:val="24"/>
          <w:szCs w:val="24"/>
        </w:rPr>
        <w:t>were :</w:t>
      </w:r>
      <w:r w:rsidRPr="002B47CF">
        <w:rPr>
          <w:rFonts w:ascii="Times New Roman" w:hAnsi="Times New Roman" w:cs="Times New Roman"/>
          <w:sz w:val="24"/>
          <w:szCs w:val="24"/>
        </w:rPr>
        <w:t xml:space="preserve"> Lane 1-5</w:t>
      </w:r>
      <w:r>
        <w:rPr>
          <w:rFonts w:ascii="Times New Roman" w:hAnsi="Times New Roman" w:cs="Times New Roman"/>
          <w:sz w:val="24"/>
          <w:szCs w:val="24"/>
        </w:rPr>
        <w:t>:</w:t>
      </w:r>
      <w:r w:rsidRPr="002B47CF">
        <w:rPr>
          <w:rFonts w:ascii="Times New Roman" w:hAnsi="Times New Roman" w:cs="Times New Roman"/>
          <w:sz w:val="24"/>
          <w:szCs w:val="24"/>
        </w:rPr>
        <w:t xml:space="preserve"> positive results. Lane 6 and 7</w:t>
      </w:r>
      <w:r>
        <w:rPr>
          <w:rFonts w:ascii="Times New Roman" w:hAnsi="Times New Roman" w:cs="Times New Roman"/>
          <w:sz w:val="24"/>
          <w:szCs w:val="24"/>
        </w:rPr>
        <w:t xml:space="preserve">: </w:t>
      </w:r>
      <w:r w:rsidRPr="002B47CF">
        <w:rPr>
          <w:rFonts w:ascii="Times New Roman" w:hAnsi="Times New Roman" w:cs="Times New Roman"/>
          <w:sz w:val="24"/>
          <w:szCs w:val="24"/>
        </w:rPr>
        <w:t>positive and negative controls.</w:t>
      </w:r>
    </w:p>
    <w:p w14:paraId="141CA8FB" w14:textId="019D04AE" w:rsidR="00D818CB" w:rsidRPr="002B47CF" w:rsidRDefault="00D818CB" w:rsidP="00D818CB">
      <w:pPr>
        <w:spacing w:line="360" w:lineRule="auto"/>
        <w:jc w:val="both"/>
        <w:rPr>
          <w:rFonts w:ascii="Times New Roman" w:hAnsi="Times New Roman" w:cs="Times New Roman"/>
          <w:sz w:val="24"/>
          <w:szCs w:val="24"/>
        </w:rPr>
      </w:pPr>
      <w:r w:rsidRPr="002B47CF">
        <w:rPr>
          <w:rFonts w:ascii="Times New Roman" w:hAnsi="Times New Roman" w:cs="Times New Roman"/>
          <w:noProof/>
          <w:sz w:val="24"/>
          <w:szCs w:val="24"/>
        </w:rPr>
        <w:lastRenderedPageBreak/>
        <w:drawing>
          <wp:inline distT="0" distB="0" distL="0" distR="0" wp14:anchorId="61AE2FBF" wp14:editId="73FCB95A">
            <wp:extent cx="3155315" cy="7999000"/>
            <wp:effectExtent l="0" t="0" r="6985" b="2540"/>
            <wp:docPr id="177290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9041" name="Picture 17729041"/>
                    <pic:cNvPicPr/>
                  </pic:nvPicPr>
                  <pic:blipFill>
                    <a:blip r:embed="rId11">
                      <a:extLst>
                        <a:ext uri="{28A0092B-C50C-407E-A947-70E740481C1C}">
                          <a14:useLocalDpi xmlns:a14="http://schemas.microsoft.com/office/drawing/2010/main" val="0"/>
                        </a:ext>
                      </a:extLst>
                    </a:blip>
                    <a:stretch>
                      <a:fillRect/>
                    </a:stretch>
                  </pic:blipFill>
                  <pic:spPr>
                    <a:xfrm>
                      <a:off x="0" y="0"/>
                      <a:ext cx="3158771" cy="8007762"/>
                    </a:xfrm>
                    <a:prstGeom prst="rect">
                      <a:avLst/>
                    </a:prstGeom>
                  </pic:spPr>
                </pic:pic>
              </a:graphicData>
            </a:graphic>
          </wp:inline>
        </w:drawing>
      </w:r>
    </w:p>
    <w:p w14:paraId="7A9F57A6" w14:textId="2FE79203" w:rsidR="00A2581B" w:rsidRPr="002B47CF" w:rsidRDefault="00A2581B" w:rsidP="0040202D">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Cohen’s kappa statistics</w:t>
      </w:r>
    </w:p>
    <w:p w14:paraId="66CF5DD3" w14:textId="41BDAACC" w:rsidR="00A2581B" w:rsidRPr="002B47CF" w:rsidRDefault="00A2581B" w:rsidP="0040202D">
      <w:pPr>
        <w:spacing w:line="360" w:lineRule="auto"/>
        <w:jc w:val="both"/>
        <w:rPr>
          <w:rFonts w:ascii="Times New Roman" w:hAnsi="Times New Roman" w:cs="Times New Roman"/>
          <w:color w:val="000000" w:themeColor="text1"/>
          <w:sz w:val="24"/>
          <w:szCs w:val="24"/>
        </w:rPr>
      </w:pPr>
      <w:r w:rsidRPr="002B47CF">
        <w:rPr>
          <w:rFonts w:ascii="Times New Roman" w:hAnsi="Times New Roman" w:cs="Times New Roman"/>
          <w:sz w:val="24"/>
          <w:szCs w:val="24"/>
        </w:rPr>
        <w:lastRenderedPageBreak/>
        <w:t xml:space="preserve">A summary of the performance of various diagnostic tests </w:t>
      </w:r>
      <w:r w:rsidR="00966DCA">
        <w:rPr>
          <w:rFonts w:ascii="Times New Roman" w:hAnsi="Times New Roman" w:cs="Times New Roman"/>
          <w:sz w:val="24"/>
          <w:szCs w:val="24"/>
        </w:rPr>
        <w:t>was</w:t>
      </w:r>
      <w:r w:rsidRPr="002B47CF">
        <w:rPr>
          <w:rFonts w:ascii="Times New Roman" w:hAnsi="Times New Roman" w:cs="Times New Roman"/>
          <w:sz w:val="24"/>
          <w:szCs w:val="24"/>
        </w:rPr>
        <w:t xml:space="preserve"> depicted in table </w:t>
      </w:r>
      <w:r w:rsidR="00035E84">
        <w:rPr>
          <w:rFonts w:ascii="Times New Roman" w:hAnsi="Times New Roman" w:cs="Times New Roman"/>
          <w:sz w:val="24"/>
          <w:szCs w:val="24"/>
        </w:rPr>
        <w:t>3</w:t>
      </w:r>
      <w:r w:rsidRPr="002B47CF">
        <w:rPr>
          <w:rFonts w:ascii="Times New Roman" w:hAnsi="Times New Roman" w:cs="Times New Roman"/>
          <w:sz w:val="24"/>
          <w:szCs w:val="24"/>
        </w:rPr>
        <w:t>.</w:t>
      </w:r>
      <w:r w:rsidR="005E2E1D" w:rsidRPr="002B47CF">
        <w:rPr>
          <w:rFonts w:ascii="Times New Roman" w:hAnsi="Times New Roman" w:cs="Times New Roman"/>
          <w:sz w:val="24"/>
          <w:szCs w:val="24"/>
        </w:rPr>
        <w:t xml:space="preserve"> On </w:t>
      </w:r>
      <w:r w:rsidR="005E2E1D" w:rsidRPr="002B47CF">
        <w:rPr>
          <w:rFonts w:ascii="Times New Roman" w:hAnsi="Times New Roman" w:cs="Times New Roman"/>
          <w:color w:val="000000" w:themeColor="text1"/>
          <w:sz w:val="24"/>
          <w:szCs w:val="24"/>
        </w:rPr>
        <w:t>comparison of PCR with MAT kappa statistics revealed a score of 0.52, indicative of moderate agreement between the tests, while the comparison of LAMP with MAT revealed a score of 0.28, indicative of fair agreement between the tests.</w:t>
      </w:r>
      <w:r w:rsidR="005E2E1D" w:rsidRPr="002B47CF">
        <w:rPr>
          <w:rFonts w:ascii="Times New Roman" w:hAnsi="Times New Roman" w:cs="Times New Roman"/>
          <w:i/>
          <w:iCs/>
          <w:color w:val="000000" w:themeColor="text1"/>
          <w:sz w:val="24"/>
          <w:szCs w:val="24"/>
        </w:rPr>
        <w:t xml:space="preserve"> </w:t>
      </w:r>
      <w:r w:rsidR="005E2E1D" w:rsidRPr="002B47CF">
        <w:rPr>
          <w:rFonts w:ascii="Times New Roman" w:hAnsi="Times New Roman" w:cs="Times New Roman"/>
          <w:color w:val="000000" w:themeColor="text1"/>
          <w:sz w:val="24"/>
          <w:szCs w:val="24"/>
        </w:rPr>
        <w:t>The comparison of LAMP with PCR revealed a score of 0.63, indicative of substantial agreement between the tests.</w:t>
      </w:r>
    </w:p>
    <w:p w14:paraId="5C714B46" w14:textId="01619AC5" w:rsidR="002B69DB" w:rsidRPr="002B47CF" w:rsidRDefault="002B69DB" w:rsidP="0040202D">
      <w:pPr>
        <w:spacing w:line="360" w:lineRule="auto"/>
        <w:jc w:val="both"/>
        <w:rPr>
          <w:rFonts w:ascii="Times New Roman" w:hAnsi="Times New Roman" w:cs="Times New Roman"/>
          <w:color w:val="000000" w:themeColor="text1"/>
          <w:sz w:val="24"/>
          <w:szCs w:val="24"/>
        </w:rPr>
      </w:pPr>
      <w:r w:rsidRPr="002B47CF">
        <w:rPr>
          <w:rFonts w:ascii="Times New Roman" w:hAnsi="Times New Roman" w:cs="Times New Roman"/>
          <w:sz w:val="24"/>
          <w:szCs w:val="24"/>
        </w:rPr>
        <w:t>PCR and MAT exhibited moderate agreement (κ = 0.52), while LAMP and MAT showed only fair agreement (κ = 0.28), underscoring the limitations of MAT in acute infections. In contrast, the substantial agreement observed between LAMP and PCR (κ = 0.63) highlights the consistency of molecular methods and confirms that LAMP can reliably complement PCR.</w:t>
      </w:r>
    </w:p>
    <w:p w14:paraId="31909357" w14:textId="11205D62" w:rsidR="00A2581B" w:rsidRPr="002B47CF" w:rsidRDefault="00A2581B" w:rsidP="00A2581B">
      <w:pPr>
        <w:spacing w:after="0" w:line="360" w:lineRule="auto"/>
        <w:jc w:val="center"/>
        <w:rPr>
          <w:rFonts w:ascii="Times New Roman" w:hAnsi="Times New Roman" w:cs="Times New Roman"/>
          <w:b/>
          <w:bCs/>
          <w:color w:val="000000" w:themeColor="text1"/>
          <w:sz w:val="24"/>
          <w:szCs w:val="24"/>
        </w:rPr>
      </w:pPr>
      <w:bookmarkStart w:id="0" w:name="_GoBack"/>
      <w:r w:rsidRPr="002B47CF">
        <w:rPr>
          <w:rFonts w:ascii="Times New Roman" w:hAnsi="Times New Roman" w:cs="Times New Roman"/>
          <w:b/>
          <w:bCs/>
          <w:color w:val="000000" w:themeColor="text1"/>
          <w:sz w:val="24"/>
          <w:szCs w:val="24"/>
        </w:rPr>
        <w:t>Table</w:t>
      </w:r>
      <w:bookmarkEnd w:id="0"/>
      <w:r w:rsidRPr="002B47CF">
        <w:rPr>
          <w:rFonts w:ascii="Times New Roman" w:hAnsi="Times New Roman" w:cs="Times New Roman"/>
          <w:b/>
          <w:bCs/>
          <w:color w:val="000000" w:themeColor="text1"/>
          <w:sz w:val="24"/>
          <w:szCs w:val="24"/>
        </w:rPr>
        <w:t xml:space="preserve"> </w:t>
      </w:r>
      <w:r w:rsidR="00035E84">
        <w:rPr>
          <w:rFonts w:ascii="Times New Roman" w:hAnsi="Times New Roman" w:cs="Times New Roman"/>
          <w:b/>
          <w:bCs/>
          <w:color w:val="000000" w:themeColor="text1"/>
          <w:sz w:val="24"/>
          <w:szCs w:val="24"/>
        </w:rPr>
        <w:t>3</w:t>
      </w:r>
      <w:r w:rsidRPr="002B47CF">
        <w:rPr>
          <w:rFonts w:ascii="Times New Roman" w:hAnsi="Times New Roman" w:cs="Times New Roman"/>
          <w:b/>
          <w:bCs/>
          <w:color w:val="000000" w:themeColor="text1"/>
          <w:sz w:val="24"/>
          <w:szCs w:val="24"/>
        </w:rPr>
        <w:t xml:space="preserve">. Performance of MAT, PCR, and LAMP in the diagnosis of Leptospirosis </w:t>
      </w:r>
    </w:p>
    <w:tbl>
      <w:tblPr>
        <w:tblStyle w:val="TableGrid"/>
        <w:tblW w:w="0" w:type="auto"/>
        <w:jc w:val="center"/>
        <w:tblLook w:val="04A0" w:firstRow="1" w:lastRow="0" w:firstColumn="1" w:lastColumn="0" w:noHBand="0" w:noVBand="1"/>
      </w:tblPr>
      <w:tblGrid>
        <w:gridCol w:w="1321"/>
        <w:gridCol w:w="1321"/>
        <w:gridCol w:w="1321"/>
        <w:gridCol w:w="1321"/>
        <w:gridCol w:w="1321"/>
        <w:gridCol w:w="1321"/>
      </w:tblGrid>
      <w:tr w:rsidR="00A2581B" w:rsidRPr="002B47CF" w14:paraId="2E52B335" w14:textId="77777777" w:rsidTr="00A2581B">
        <w:trPr>
          <w:jc w:val="center"/>
        </w:trPr>
        <w:tc>
          <w:tcPr>
            <w:tcW w:w="1321" w:type="dxa"/>
          </w:tcPr>
          <w:p w14:paraId="12712E46"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MAT (+)</w:t>
            </w:r>
          </w:p>
          <w:p w14:paraId="1B08F9B7"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PCR (+)</w:t>
            </w:r>
          </w:p>
          <w:p w14:paraId="4260A37E"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LAMP (+)</w:t>
            </w:r>
          </w:p>
        </w:tc>
        <w:tc>
          <w:tcPr>
            <w:tcW w:w="1321" w:type="dxa"/>
          </w:tcPr>
          <w:p w14:paraId="106CF397"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MAT (+)</w:t>
            </w:r>
          </w:p>
          <w:p w14:paraId="3EC9A107"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PCR (-)</w:t>
            </w:r>
          </w:p>
          <w:p w14:paraId="583353B9"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LAMP (-)</w:t>
            </w:r>
          </w:p>
        </w:tc>
        <w:tc>
          <w:tcPr>
            <w:tcW w:w="1321" w:type="dxa"/>
          </w:tcPr>
          <w:p w14:paraId="441FB34D"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MAT (-)</w:t>
            </w:r>
          </w:p>
          <w:p w14:paraId="0F2E7BAD"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PCR (+)</w:t>
            </w:r>
          </w:p>
          <w:p w14:paraId="054B4224"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LAMP (+)</w:t>
            </w:r>
          </w:p>
        </w:tc>
        <w:tc>
          <w:tcPr>
            <w:tcW w:w="1321" w:type="dxa"/>
          </w:tcPr>
          <w:p w14:paraId="33350B96"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MAT (-)</w:t>
            </w:r>
          </w:p>
          <w:p w14:paraId="150A4F4A"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PCR (-)</w:t>
            </w:r>
          </w:p>
          <w:p w14:paraId="47907C89"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LAMP (+)</w:t>
            </w:r>
          </w:p>
        </w:tc>
        <w:tc>
          <w:tcPr>
            <w:tcW w:w="1321" w:type="dxa"/>
          </w:tcPr>
          <w:p w14:paraId="0D066585"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MAT (-)</w:t>
            </w:r>
          </w:p>
          <w:p w14:paraId="49715950"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PCR (-)</w:t>
            </w:r>
          </w:p>
          <w:p w14:paraId="1C7C1C2B"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LAMP (-)</w:t>
            </w:r>
          </w:p>
        </w:tc>
        <w:tc>
          <w:tcPr>
            <w:tcW w:w="1321" w:type="dxa"/>
            <w:vAlign w:val="center"/>
          </w:tcPr>
          <w:p w14:paraId="605169BF" w14:textId="77777777" w:rsidR="00A2581B" w:rsidRPr="002B47CF" w:rsidRDefault="00A2581B" w:rsidP="00CA59E9">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TOTAL</w:t>
            </w:r>
          </w:p>
        </w:tc>
      </w:tr>
      <w:tr w:rsidR="00A2581B" w:rsidRPr="002B47CF" w14:paraId="25B030A2" w14:textId="77777777" w:rsidTr="00A2581B">
        <w:trPr>
          <w:jc w:val="center"/>
        </w:trPr>
        <w:tc>
          <w:tcPr>
            <w:tcW w:w="1321" w:type="dxa"/>
          </w:tcPr>
          <w:p w14:paraId="35B1C488" w14:textId="77777777" w:rsidR="00A2581B" w:rsidRPr="002B47CF" w:rsidRDefault="00A2581B" w:rsidP="00CA59E9">
            <w:pPr>
              <w:spacing w:line="360" w:lineRule="auto"/>
              <w:jc w:val="center"/>
              <w:rPr>
                <w:rFonts w:ascii="Times New Roman" w:hAnsi="Times New Roman" w:cs="Times New Roman"/>
                <w:color w:val="000000" w:themeColor="text1"/>
                <w:sz w:val="24"/>
                <w:szCs w:val="24"/>
              </w:rPr>
            </w:pPr>
            <w:r w:rsidRPr="002B47CF">
              <w:rPr>
                <w:rFonts w:ascii="Times New Roman" w:hAnsi="Times New Roman" w:cs="Times New Roman"/>
                <w:color w:val="000000" w:themeColor="text1"/>
                <w:sz w:val="24"/>
                <w:szCs w:val="24"/>
              </w:rPr>
              <w:t>3</w:t>
            </w:r>
          </w:p>
        </w:tc>
        <w:tc>
          <w:tcPr>
            <w:tcW w:w="1321" w:type="dxa"/>
          </w:tcPr>
          <w:p w14:paraId="7FCD6BCC" w14:textId="77777777" w:rsidR="00A2581B" w:rsidRPr="002B47CF" w:rsidRDefault="00A2581B" w:rsidP="00CA59E9">
            <w:pPr>
              <w:spacing w:line="360" w:lineRule="auto"/>
              <w:jc w:val="center"/>
              <w:rPr>
                <w:rFonts w:ascii="Times New Roman" w:hAnsi="Times New Roman" w:cs="Times New Roman"/>
                <w:color w:val="000000" w:themeColor="text1"/>
                <w:sz w:val="24"/>
                <w:szCs w:val="24"/>
              </w:rPr>
            </w:pPr>
            <w:r w:rsidRPr="002B47CF">
              <w:rPr>
                <w:rFonts w:ascii="Times New Roman" w:hAnsi="Times New Roman" w:cs="Times New Roman"/>
                <w:color w:val="000000" w:themeColor="text1"/>
                <w:sz w:val="24"/>
                <w:szCs w:val="24"/>
              </w:rPr>
              <w:t>3</w:t>
            </w:r>
          </w:p>
        </w:tc>
        <w:tc>
          <w:tcPr>
            <w:tcW w:w="1321" w:type="dxa"/>
          </w:tcPr>
          <w:p w14:paraId="06AD5B83" w14:textId="77777777" w:rsidR="00A2581B" w:rsidRPr="002B47CF" w:rsidRDefault="00A2581B" w:rsidP="00CA59E9">
            <w:pPr>
              <w:spacing w:line="360" w:lineRule="auto"/>
              <w:jc w:val="center"/>
              <w:rPr>
                <w:rFonts w:ascii="Times New Roman" w:hAnsi="Times New Roman" w:cs="Times New Roman"/>
                <w:color w:val="000000" w:themeColor="text1"/>
                <w:sz w:val="24"/>
                <w:szCs w:val="24"/>
              </w:rPr>
            </w:pPr>
            <w:r w:rsidRPr="002B47CF">
              <w:rPr>
                <w:rFonts w:ascii="Times New Roman" w:hAnsi="Times New Roman" w:cs="Times New Roman"/>
                <w:color w:val="000000" w:themeColor="text1"/>
                <w:sz w:val="24"/>
                <w:szCs w:val="24"/>
              </w:rPr>
              <w:t>11</w:t>
            </w:r>
          </w:p>
        </w:tc>
        <w:tc>
          <w:tcPr>
            <w:tcW w:w="1321" w:type="dxa"/>
          </w:tcPr>
          <w:p w14:paraId="439C615E" w14:textId="77777777" w:rsidR="00A2581B" w:rsidRPr="002B47CF" w:rsidRDefault="00A2581B" w:rsidP="00CA59E9">
            <w:pPr>
              <w:spacing w:line="360" w:lineRule="auto"/>
              <w:jc w:val="center"/>
              <w:rPr>
                <w:rFonts w:ascii="Times New Roman" w:hAnsi="Times New Roman" w:cs="Times New Roman"/>
                <w:color w:val="000000" w:themeColor="text1"/>
                <w:sz w:val="24"/>
                <w:szCs w:val="24"/>
              </w:rPr>
            </w:pPr>
            <w:r w:rsidRPr="002B47CF">
              <w:rPr>
                <w:rFonts w:ascii="Times New Roman" w:hAnsi="Times New Roman" w:cs="Times New Roman"/>
                <w:color w:val="000000" w:themeColor="text1"/>
                <w:sz w:val="24"/>
                <w:szCs w:val="24"/>
              </w:rPr>
              <w:t>9</w:t>
            </w:r>
          </w:p>
        </w:tc>
        <w:tc>
          <w:tcPr>
            <w:tcW w:w="1321" w:type="dxa"/>
          </w:tcPr>
          <w:p w14:paraId="61503680" w14:textId="77777777" w:rsidR="00A2581B" w:rsidRPr="002B47CF" w:rsidRDefault="00A2581B" w:rsidP="00CA59E9">
            <w:pPr>
              <w:spacing w:line="360" w:lineRule="auto"/>
              <w:jc w:val="center"/>
              <w:rPr>
                <w:rFonts w:ascii="Times New Roman" w:hAnsi="Times New Roman" w:cs="Times New Roman"/>
                <w:color w:val="000000" w:themeColor="text1"/>
                <w:sz w:val="24"/>
                <w:szCs w:val="24"/>
              </w:rPr>
            </w:pPr>
            <w:r w:rsidRPr="002B47CF">
              <w:rPr>
                <w:rFonts w:ascii="Times New Roman" w:hAnsi="Times New Roman" w:cs="Times New Roman"/>
                <w:color w:val="000000" w:themeColor="text1"/>
                <w:sz w:val="24"/>
                <w:szCs w:val="24"/>
              </w:rPr>
              <w:t>26</w:t>
            </w:r>
          </w:p>
        </w:tc>
        <w:tc>
          <w:tcPr>
            <w:tcW w:w="1321" w:type="dxa"/>
          </w:tcPr>
          <w:p w14:paraId="5D47C728" w14:textId="77777777" w:rsidR="00A2581B" w:rsidRPr="002B47CF" w:rsidRDefault="00A2581B" w:rsidP="00CA59E9">
            <w:pPr>
              <w:spacing w:line="360" w:lineRule="auto"/>
              <w:jc w:val="center"/>
              <w:rPr>
                <w:rFonts w:ascii="Times New Roman" w:hAnsi="Times New Roman" w:cs="Times New Roman"/>
                <w:color w:val="000000" w:themeColor="text1"/>
                <w:sz w:val="24"/>
                <w:szCs w:val="24"/>
              </w:rPr>
            </w:pPr>
            <w:r w:rsidRPr="002B47CF">
              <w:rPr>
                <w:rFonts w:ascii="Times New Roman" w:hAnsi="Times New Roman" w:cs="Times New Roman"/>
                <w:color w:val="000000" w:themeColor="text1"/>
                <w:sz w:val="24"/>
                <w:szCs w:val="24"/>
              </w:rPr>
              <w:t>52</w:t>
            </w:r>
          </w:p>
        </w:tc>
      </w:tr>
    </w:tbl>
    <w:p w14:paraId="7CCBCD51" w14:textId="77777777" w:rsidR="00A2581B" w:rsidRPr="002B47CF" w:rsidRDefault="00A2581B" w:rsidP="0040202D">
      <w:pPr>
        <w:spacing w:line="360" w:lineRule="auto"/>
        <w:jc w:val="both"/>
        <w:rPr>
          <w:rFonts w:ascii="Times New Roman" w:hAnsi="Times New Roman" w:cs="Times New Roman"/>
          <w:sz w:val="24"/>
          <w:szCs w:val="24"/>
        </w:rPr>
      </w:pPr>
    </w:p>
    <w:p w14:paraId="165531F5" w14:textId="5F166EA3" w:rsidR="0040202D" w:rsidRPr="002B47CF" w:rsidRDefault="0040202D" w:rsidP="0040202D">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ROC analysis</w:t>
      </w:r>
    </w:p>
    <w:p w14:paraId="447A64C7" w14:textId="7E2B16CE" w:rsidR="0040202D" w:rsidRPr="002B47CF" w:rsidRDefault="0040202D" w:rsidP="0040202D">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t xml:space="preserve">ROC analysis showed the highest accuracy for LAMP (AUC = 0.94), followed by PCR (AUC = 0.77), while MAT had lower accuracy (AUC = 0.62). The results are depicted in Figure 1. </w:t>
      </w:r>
    </w:p>
    <w:p w14:paraId="6FD80224" w14:textId="6DA3ED05" w:rsidR="002B69DB" w:rsidRPr="002B47CF" w:rsidRDefault="002B69DB" w:rsidP="002B69DB">
      <w:pPr>
        <w:spacing w:line="360" w:lineRule="auto"/>
        <w:ind w:firstLine="709"/>
        <w:jc w:val="both"/>
        <w:rPr>
          <w:rFonts w:ascii="Times New Roman" w:hAnsi="Times New Roman" w:cs="Times New Roman"/>
          <w:sz w:val="24"/>
          <w:szCs w:val="24"/>
        </w:rPr>
      </w:pPr>
      <w:r w:rsidRPr="002B47CF">
        <w:rPr>
          <w:rFonts w:ascii="Times New Roman" w:hAnsi="Times New Roman" w:cs="Times New Roman"/>
          <w:sz w:val="24"/>
          <w:szCs w:val="24"/>
        </w:rPr>
        <w:t>Receiver operating characteristic (ROC) analysis reinforced the observations of kappa statistics. LAMP achieved the highest diagnostic accuracy (AUC = 0.94), followed by PCR (AUC = 0.77), whereas MAT exhibited lower accuracy (AUC = 0.62). Collectively, these findings demonstrate that molecular assays, particularly LAMP, provide superior diagnostic performance over serology and are more dependable for early detection of leptospirosis in dogs.</w:t>
      </w:r>
    </w:p>
    <w:p w14:paraId="024D7040" w14:textId="77777777" w:rsidR="002B69DB" w:rsidRPr="002B47CF" w:rsidRDefault="002B69DB" w:rsidP="0040202D">
      <w:pPr>
        <w:spacing w:line="360" w:lineRule="auto"/>
        <w:ind w:firstLine="567"/>
        <w:jc w:val="both"/>
        <w:rPr>
          <w:rFonts w:ascii="Times New Roman" w:hAnsi="Times New Roman" w:cs="Times New Roman"/>
          <w:sz w:val="24"/>
          <w:szCs w:val="24"/>
        </w:rPr>
      </w:pPr>
    </w:p>
    <w:p w14:paraId="583D877F" w14:textId="427A1C08" w:rsidR="0040202D" w:rsidRPr="002B47CF" w:rsidRDefault="0040202D" w:rsidP="0040202D">
      <w:pPr>
        <w:spacing w:line="360" w:lineRule="auto"/>
        <w:jc w:val="center"/>
        <w:rPr>
          <w:rFonts w:ascii="Times New Roman" w:hAnsi="Times New Roman" w:cs="Times New Roman"/>
          <w:b/>
          <w:bCs/>
          <w:color w:val="000000" w:themeColor="text1"/>
          <w:sz w:val="24"/>
          <w:szCs w:val="24"/>
        </w:rPr>
      </w:pPr>
      <w:r w:rsidRPr="002B47CF">
        <w:rPr>
          <w:rFonts w:ascii="Times New Roman" w:hAnsi="Times New Roman" w:cs="Times New Roman"/>
          <w:b/>
          <w:bCs/>
          <w:color w:val="000000" w:themeColor="text1"/>
          <w:sz w:val="24"/>
          <w:szCs w:val="24"/>
        </w:rPr>
        <w:t xml:space="preserve">Figure </w:t>
      </w:r>
      <w:r w:rsidR="000F291B">
        <w:rPr>
          <w:rFonts w:ascii="Times New Roman" w:hAnsi="Times New Roman" w:cs="Times New Roman"/>
          <w:b/>
          <w:bCs/>
          <w:color w:val="000000" w:themeColor="text1"/>
          <w:sz w:val="24"/>
          <w:szCs w:val="24"/>
        </w:rPr>
        <w:t>2</w:t>
      </w:r>
      <w:r w:rsidRPr="002B47CF">
        <w:rPr>
          <w:rFonts w:ascii="Times New Roman" w:hAnsi="Times New Roman" w:cs="Times New Roman"/>
          <w:b/>
          <w:bCs/>
          <w:color w:val="000000" w:themeColor="text1"/>
          <w:sz w:val="24"/>
          <w:szCs w:val="24"/>
        </w:rPr>
        <w:t>. ROC curve for different diagnostic tests for leptospirosis</w:t>
      </w:r>
    </w:p>
    <w:p w14:paraId="4B83F55E" w14:textId="77777777" w:rsidR="0040202D" w:rsidRPr="002B47CF" w:rsidRDefault="0040202D" w:rsidP="0040202D">
      <w:pPr>
        <w:spacing w:line="360" w:lineRule="auto"/>
        <w:jc w:val="both"/>
        <w:rPr>
          <w:rFonts w:ascii="Times New Roman" w:hAnsi="Times New Roman" w:cs="Times New Roman"/>
          <w:b/>
          <w:bCs/>
          <w:i/>
          <w:iCs/>
          <w:color w:val="000000" w:themeColor="text1"/>
          <w:sz w:val="24"/>
          <w:szCs w:val="24"/>
        </w:rPr>
      </w:pPr>
      <w:r w:rsidRPr="002B47CF">
        <w:rPr>
          <w:rFonts w:ascii="Times New Roman" w:hAnsi="Times New Roman" w:cs="Times New Roman"/>
          <w:b/>
          <w:bCs/>
          <w:i/>
          <w:iCs/>
          <w:noProof/>
          <w:color w:val="000000" w:themeColor="text1"/>
          <w:sz w:val="24"/>
          <w:szCs w:val="24"/>
        </w:rPr>
        <w:lastRenderedPageBreak/>
        <w:drawing>
          <wp:inline distT="0" distB="0" distL="0" distR="0" wp14:anchorId="2068F603" wp14:editId="54EE8999">
            <wp:extent cx="5039360" cy="3926840"/>
            <wp:effectExtent l="0" t="0" r="8890" b="0"/>
            <wp:docPr id="13677055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705511" name="Picture 13677055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39360" cy="3926840"/>
                    </a:xfrm>
                    <a:prstGeom prst="rect">
                      <a:avLst/>
                    </a:prstGeom>
                  </pic:spPr>
                </pic:pic>
              </a:graphicData>
            </a:graphic>
          </wp:inline>
        </w:drawing>
      </w:r>
    </w:p>
    <w:p w14:paraId="4117ADFC" w14:textId="77777777" w:rsidR="0040202D" w:rsidRPr="002B47CF" w:rsidRDefault="0040202D" w:rsidP="002A280E">
      <w:pPr>
        <w:spacing w:line="360" w:lineRule="auto"/>
        <w:jc w:val="both"/>
        <w:rPr>
          <w:rFonts w:ascii="Times New Roman" w:hAnsi="Times New Roman" w:cs="Times New Roman"/>
          <w:sz w:val="24"/>
          <w:szCs w:val="24"/>
          <w:u w:val="single"/>
        </w:rPr>
      </w:pPr>
    </w:p>
    <w:p w14:paraId="09967888" w14:textId="666162C9" w:rsidR="002A280E" w:rsidRPr="002B47CF" w:rsidRDefault="002A280E" w:rsidP="002A280E">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Interpretation of Diagnostic Discordance</w:t>
      </w:r>
    </w:p>
    <w:p w14:paraId="7086A8DF" w14:textId="49D33374" w:rsidR="002A280E" w:rsidRPr="002B47CF" w:rsidRDefault="002A280E" w:rsidP="002A280E">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The observed discordance underscores the strengths and limitations of each assay type. Molecular assays (PCR and LAMP) target leptospiral DNA, identifying infection at early or acute stages, whereas MAT detects antibodies produced in later stages of infection. LAMP had higher sensitivity than PCR, likely due to its amplification efficiency and tolerance to inhibitors</w:t>
      </w:r>
      <w:r w:rsidR="00966DCA">
        <w:rPr>
          <w:rFonts w:ascii="Times New Roman" w:hAnsi="Times New Roman" w:cs="Times New Roman"/>
          <w:sz w:val="24"/>
          <w:szCs w:val="24"/>
        </w:rPr>
        <w:t xml:space="preserve"> and it </w:t>
      </w:r>
      <w:r w:rsidRPr="002B47CF">
        <w:rPr>
          <w:rFonts w:ascii="Times New Roman" w:hAnsi="Times New Roman" w:cs="Times New Roman"/>
          <w:sz w:val="24"/>
          <w:szCs w:val="24"/>
        </w:rPr>
        <w:t>agree</w:t>
      </w:r>
      <w:r w:rsidR="00966DCA">
        <w:rPr>
          <w:rFonts w:ascii="Times New Roman" w:hAnsi="Times New Roman" w:cs="Times New Roman"/>
          <w:sz w:val="24"/>
          <w:szCs w:val="24"/>
        </w:rPr>
        <w:t xml:space="preserve">d </w:t>
      </w:r>
      <w:r w:rsidRPr="002B47CF">
        <w:rPr>
          <w:rFonts w:ascii="Times New Roman" w:hAnsi="Times New Roman" w:cs="Times New Roman"/>
          <w:sz w:val="24"/>
          <w:szCs w:val="24"/>
        </w:rPr>
        <w:t xml:space="preserve">with previous reports. The presence of MAT-positive but molecular-negative cases </w:t>
      </w:r>
      <w:r w:rsidR="0053188A">
        <w:rPr>
          <w:rFonts w:ascii="Times New Roman" w:hAnsi="Times New Roman" w:cs="Times New Roman"/>
          <w:sz w:val="24"/>
          <w:szCs w:val="24"/>
        </w:rPr>
        <w:t>indicated</w:t>
      </w:r>
      <w:r w:rsidRPr="002B47CF">
        <w:rPr>
          <w:rFonts w:ascii="Times New Roman" w:hAnsi="Times New Roman" w:cs="Times New Roman"/>
          <w:sz w:val="24"/>
          <w:szCs w:val="24"/>
        </w:rPr>
        <w:t xml:space="preserve"> the natural decline of leptospiral DNA as immune clearance </w:t>
      </w:r>
      <w:r w:rsidR="00966DCA" w:rsidRPr="002B47CF">
        <w:rPr>
          <w:rFonts w:ascii="Times New Roman" w:hAnsi="Times New Roman" w:cs="Times New Roman"/>
          <w:sz w:val="24"/>
          <w:szCs w:val="24"/>
        </w:rPr>
        <w:t>progressed</w:t>
      </w:r>
      <w:r w:rsidRPr="002B47CF">
        <w:rPr>
          <w:rFonts w:ascii="Times New Roman" w:hAnsi="Times New Roman" w:cs="Times New Roman"/>
          <w:sz w:val="24"/>
          <w:szCs w:val="24"/>
        </w:rPr>
        <w:t>, with antibodies persisting longer.</w:t>
      </w:r>
    </w:p>
    <w:p w14:paraId="7412F8BB" w14:textId="6B18AEA9" w:rsidR="002A280E" w:rsidRPr="002B47CF" w:rsidRDefault="002A280E" w:rsidP="002A280E">
      <w:pPr>
        <w:spacing w:line="360" w:lineRule="auto"/>
        <w:jc w:val="both"/>
        <w:rPr>
          <w:rFonts w:ascii="Times New Roman" w:hAnsi="Times New Roman" w:cs="Times New Roman"/>
          <w:sz w:val="24"/>
          <w:szCs w:val="24"/>
          <w:u w:val="single"/>
        </w:rPr>
      </w:pPr>
      <w:r w:rsidRPr="002B47CF">
        <w:rPr>
          <w:rFonts w:ascii="Times New Roman" w:hAnsi="Times New Roman" w:cs="Times New Roman"/>
          <w:sz w:val="24"/>
          <w:szCs w:val="24"/>
          <w:u w:val="single"/>
        </w:rPr>
        <w:t>Implications for Clinical Diagnostics</w:t>
      </w:r>
    </w:p>
    <w:p w14:paraId="4570EA7F" w14:textId="608C6B5E" w:rsidR="002A280E" w:rsidRPr="002B47CF" w:rsidRDefault="002A280E" w:rsidP="002A280E">
      <w:pPr>
        <w:spacing w:line="360" w:lineRule="auto"/>
        <w:jc w:val="both"/>
        <w:rPr>
          <w:rFonts w:ascii="Times New Roman" w:hAnsi="Times New Roman" w:cs="Times New Roman"/>
          <w:sz w:val="24"/>
          <w:szCs w:val="24"/>
        </w:rPr>
      </w:pPr>
      <w:r w:rsidRPr="002B47CF">
        <w:rPr>
          <w:rFonts w:ascii="Times New Roman" w:hAnsi="Times New Roman" w:cs="Times New Roman"/>
          <w:sz w:val="24"/>
          <w:szCs w:val="24"/>
        </w:rPr>
        <w:t xml:space="preserve">The findings advocate combined use of molecular and serological tests to improve case detection throughout the infection timeline. While LAMP </w:t>
      </w:r>
      <w:r w:rsidR="00BD3A57">
        <w:rPr>
          <w:rFonts w:ascii="Times New Roman" w:hAnsi="Times New Roman" w:cs="Times New Roman"/>
          <w:sz w:val="24"/>
          <w:szCs w:val="24"/>
        </w:rPr>
        <w:t>was useful for</w:t>
      </w:r>
      <w:r w:rsidRPr="002B47CF">
        <w:rPr>
          <w:rFonts w:ascii="Times New Roman" w:hAnsi="Times New Roman" w:cs="Times New Roman"/>
          <w:sz w:val="24"/>
          <w:szCs w:val="24"/>
        </w:rPr>
        <w:t xml:space="preserve"> rapid molecular screening with superior sensitivity, MAT </w:t>
      </w:r>
      <w:r w:rsidR="00BD3A57">
        <w:rPr>
          <w:rFonts w:ascii="Times New Roman" w:hAnsi="Times New Roman" w:cs="Times New Roman"/>
          <w:sz w:val="24"/>
          <w:szCs w:val="24"/>
        </w:rPr>
        <w:t>would be useful</w:t>
      </w:r>
      <w:r w:rsidRPr="002B47CF">
        <w:rPr>
          <w:rFonts w:ascii="Times New Roman" w:hAnsi="Times New Roman" w:cs="Times New Roman"/>
          <w:sz w:val="24"/>
          <w:szCs w:val="24"/>
        </w:rPr>
        <w:t xml:space="preserve"> </w:t>
      </w:r>
      <w:proofErr w:type="spellStart"/>
      <w:r w:rsidRPr="002B47CF">
        <w:rPr>
          <w:rFonts w:ascii="Times New Roman" w:hAnsi="Times New Roman" w:cs="Times New Roman"/>
          <w:sz w:val="24"/>
          <w:szCs w:val="24"/>
        </w:rPr>
        <w:t>sero</w:t>
      </w:r>
      <w:proofErr w:type="spellEnd"/>
      <w:r w:rsidRPr="002B47CF">
        <w:rPr>
          <w:rFonts w:ascii="Times New Roman" w:hAnsi="Times New Roman" w:cs="Times New Roman"/>
          <w:sz w:val="24"/>
          <w:szCs w:val="24"/>
        </w:rPr>
        <w:t xml:space="preserve">-epidemiological </w:t>
      </w:r>
      <w:r w:rsidR="00BD3A57">
        <w:rPr>
          <w:rFonts w:ascii="Times New Roman" w:hAnsi="Times New Roman" w:cs="Times New Roman"/>
          <w:sz w:val="24"/>
          <w:szCs w:val="24"/>
        </w:rPr>
        <w:t xml:space="preserve">surveillance </w:t>
      </w:r>
      <w:r w:rsidRPr="002B47CF">
        <w:rPr>
          <w:rFonts w:ascii="Times New Roman" w:hAnsi="Times New Roman" w:cs="Times New Roman"/>
          <w:sz w:val="24"/>
          <w:szCs w:val="24"/>
        </w:rPr>
        <w:t xml:space="preserve">and confirmation of </w:t>
      </w:r>
      <w:r w:rsidR="00BD3A57">
        <w:rPr>
          <w:rFonts w:ascii="Times New Roman" w:hAnsi="Times New Roman" w:cs="Times New Roman"/>
          <w:sz w:val="24"/>
          <w:szCs w:val="24"/>
        </w:rPr>
        <w:t xml:space="preserve">cases </w:t>
      </w:r>
      <w:r w:rsidRPr="002B47CF">
        <w:rPr>
          <w:rFonts w:ascii="Times New Roman" w:hAnsi="Times New Roman" w:cs="Times New Roman"/>
          <w:sz w:val="24"/>
          <w:szCs w:val="24"/>
        </w:rPr>
        <w:t>in convalescent phases. Efforts should focus on integrating test platforms in diagnostic algorithms tailored to clinical presentation and infection stage.</w:t>
      </w:r>
    </w:p>
    <w:p w14:paraId="2A9B3341" w14:textId="14CECBEA" w:rsidR="002A280E" w:rsidRPr="002B47CF" w:rsidRDefault="002A280E" w:rsidP="00F82139">
      <w:pPr>
        <w:spacing w:line="360" w:lineRule="auto"/>
        <w:jc w:val="both"/>
        <w:rPr>
          <w:rFonts w:ascii="Times New Roman" w:hAnsi="Times New Roman" w:cs="Times New Roman"/>
          <w:b/>
          <w:bCs/>
          <w:sz w:val="24"/>
          <w:szCs w:val="24"/>
        </w:rPr>
      </w:pPr>
      <w:r w:rsidRPr="002B47CF">
        <w:rPr>
          <w:rFonts w:ascii="Times New Roman" w:hAnsi="Times New Roman" w:cs="Times New Roman"/>
          <w:b/>
          <w:bCs/>
          <w:sz w:val="24"/>
          <w:szCs w:val="24"/>
        </w:rPr>
        <w:t>CONCLUSION</w:t>
      </w:r>
    </w:p>
    <w:p w14:paraId="0CCD7B31" w14:textId="43A4024D" w:rsidR="002A280E" w:rsidRDefault="002A280E" w:rsidP="002A280E">
      <w:pPr>
        <w:spacing w:line="360" w:lineRule="auto"/>
        <w:ind w:firstLine="567"/>
        <w:jc w:val="both"/>
        <w:rPr>
          <w:rFonts w:ascii="Times New Roman" w:hAnsi="Times New Roman" w:cs="Times New Roman"/>
          <w:sz w:val="24"/>
          <w:szCs w:val="24"/>
        </w:rPr>
      </w:pPr>
      <w:r w:rsidRPr="002B47CF">
        <w:rPr>
          <w:rFonts w:ascii="Times New Roman" w:hAnsi="Times New Roman" w:cs="Times New Roman"/>
          <w:sz w:val="24"/>
          <w:szCs w:val="24"/>
        </w:rPr>
        <w:lastRenderedPageBreak/>
        <w:t>This study demonstrate</w:t>
      </w:r>
      <w:r w:rsidR="00B84085">
        <w:rPr>
          <w:rFonts w:ascii="Times New Roman" w:hAnsi="Times New Roman" w:cs="Times New Roman"/>
          <w:sz w:val="24"/>
          <w:szCs w:val="24"/>
        </w:rPr>
        <w:t>d</w:t>
      </w:r>
      <w:r w:rsidRPr="002B47CF">
        <w:rPr>
          <w:rFonts w:ascii="Times New Roman" w:hAnsi="Times New Roman" w:cs="Times New Roman"/>
          <w:sz w:val="24"/>
          <w:szCs w:val="24"/>
        </w:rPr>
        <w:t xml:space="preserve"> that among dogs suspected of leptospirosis, LAMP assay provide</w:t>
      </w:r>
      <w:r w:rsidR="00B84085">
        <w:rPr>
          <w:rFonts w:ascii="Times New Roman" w:hAnsi="Times New Roman" w:cs="Times New Roman"/>
          <w:sz w:val="24"/>
          <w:szCs w:val="24"/>
        </w:rPr>
        <w:t>d</w:t>
      </w:r>
      <w:r w:rsidRPr="002B47CF">
        <w:rPr>
          <w:rFonts w:ascii="Times New Roman" w:hAnsi="Times New Roman" w:cs="Times New Roman"/>
          <w:sz w:val="24"/>
          <w:szCs w:val="24"/>
        </w:rPr>
        <w:t xml:space="preserve"> higher detection rates compared to PCR and MAT, but concordant results across all modalities remain limited. The diagnostic discordance highlight</w:t>
      </w:r>
      <w:r w:rsidR="00D90ED1">
        <w:rPr>
          <w:rFonts w:ascii="Times New Roman" w:hAnsi="Times New Roman" w:cs="Times New Roman"/>
          <w:sz w:val="24"/>
          <w:szCs w:val="24"/>
        </w:rPr>
        <w:t>ed</w:t>
      </w:r>
      <w:r w:rsidRPr="002B47CF">
        <w:rPr>
          <w:rFonts w:ascii="Times New Roman" w:hAnsi="Times New Roman" w:cs="Times New Roman"/>
          <w:sz w:val="24"/>
          <w:szCs w:val="24"/>
        </w:rPr>
        <w:t xml:space="preserve"> distinct infection phases and assay capabilities. Combined molecular and serological testing </w:t>
      </w:r>
      <w:r w:rsidR="00B84085">
        <w:rPr>
          <w:rFonts w:ascii="Times New Roman" w:hAnsi="Times New Roman" w:cs="Times New Roman"/>
          <w:sz w:val="24"/>
          <w:szCs w:val="24"/>
        </w:rPr>
        <w:t>could be recommended for</w:t>
      </w:r>
      <w:r w:rsidR="007C35C1">
        <w:rPr>
          <w:rFonts w:ascii="Times New Roman" w:hAnsi="Times New Roman" w:cs="Times New Roman"/>
          <w:sz w:val="24"/>
          <w:szCs w:val="24"/>
        </w:rPr>
        <w:t xml:space="preserve"> </w:t>
      </w:r>
      <w:r w:rsidRPr="002B47CF">
        <w:rPr>
          <w:rFonts w:ascii="Times New Roman" w:hAnsi="Times New Roman" w:cs="Times New Roman"/>
          <w:sz w:val="24"/>
          <w:szCs w:val="24"/>
        </w:rPr>
        <w:t>diagnostic accuracy, guiding timely and appropriate management in veterinary settings.</w:t>
      </w:r>
    </w:p>
    <w:p w14:paraId="555C0ECF" w14:textId="47B10752" w:rsidR="007149F1" w:rsidRDefault="007149F1" w:rsidP="002A280E">
      <w:pPr>
        <w:spacing w:line="360" w:lineRule="auto"/>
        <w:ind w:firstLine="567"/>
        <w:jc w:val="both"/>
        <w:rPr>
          <w:rFonts w:ascii="Times New Roman" w:hAnsi="Times New Roman" w:cs="Times New Roman"/>
          <w:sz w:val="24"/>
          <w:szCs w:val="24"/>
        </w:rPr>
      </w:pPr>
    </w:p>
    <w:p w14:paraId="6440410C" w14:textId="77777777" w:rsidR="007149F1" w:rsidRPr="0042391E" w:rsidRDefault="007149F1" w:rsidP="007149F1">
      <w:pPr>
        <w:rPr>
          <w:rFonts w:ascii="Times New Roman" w:eastAsia="Calibri" w:hAnsi="Times New Roman" w:cs="Times New Roman"/>
          <w:sz w:val="24"/>
          <w:szCs w:val="24"/>
          <w:lang w:val="en-US"/>
        </w:rPr>
      </w:pPr>
      <w:bookmarkStart w:id="1" w:name="_Hlk204003461"/>
      <w:r w:rsidRPr="0042391E">
        <w:rPr>
          <w:rFonts w:ascii="Times New Roman" w:eastAsia="Calibri" w:hAnsi="Times New Roman" w:cs="Times New Roman"/>
          <w:sz w:val="24"/>
          <w:szCs w:val="24"/>
          <w:lang w:val="en-US"/>
        </w:rPr>
        <w:t>Disclaimer (Artificial intelligence)</w:t>
      </w:r>
    </w:p>
    <w:p w14:paraId="100C4659" w14:textId="77777777" w:rsidR="007149F1" w:rsidRPr="0042391E" w:rsidRDefault="007149F1" w:rsidP="007149F1">
      <w:pPr>
        <w:rPr>
          <w:rFonts w:ascii="Times New Roman" w:eastAsia="Calibri" w:hAnsi="Times New Roman" w:cs="Times New Roman"/>
          <w:sz w:val="24"/>
          <w:szCs w:val="24"/>
          <w:lang w:val="en-US"/>
        </w:rPr>
      </w:pPr>
      <w:r w:rsidRPr="0042391E">
        <w:rPr>
          <w:rFonts w:ascii="Times New Roman" w:eastAsia="Calibri" w:hAnsi="Times New Roman" w:cs="Times New Roman"/>
          <w:sz w:val="24"/>
          <w:szCs w:val="24"/>
          <w:lang w:val="en-US"/>
        </w:rPr>
        <w:t xml:space="preserve">Option 1: </w:t>
      </w:r>
    </w:p>
    <w:p w14:paraId="41F387C5" w14:textId="77777777" w:rsidR="007149F1" w:rsidRPr="0042391E" w:rsidRDefault="007149F1" w:rsidP="007149F1">
      <w:pPr>
        <w:rPr>
          <w:rFonts w:ascii="Times New Roman" w:eastAsia="Calibri" w:hAnsi="Times New Roman" w:cs="Times New Roman"/>
          <w:sz w:val="24"/>
          <w:szCs w:val="24"/>
          <w:lang w:val="en-US"/>
        </w:rPr>
      </w:pPr>
      <w:r w:rsidRPr="0042391E">
        <w:rPr>
          <w:rFonts w:ascii="Times New Roman" w:eastAsia="Calibri" w:hAnsi="Times New Roman" w:cs="Times New Roman"/>
          <w:sz w:val="24"/>
          <w:szCs w:val="24"/>
          <w:lang w:val="en-US"/>
        </w:rPr>
        <w:t xml:space="preserve">Author(s) hereby declare that NO generative AI technologies such as Large Language Models (ChatGPT, COPILOT, etc.) and text-to-image generators have been used during the writing or editing of this manuscript. </w:t>
      </w:r>
    </w:p>
    <w:p w14:paraId="36AC5653" w14:textId="77777777" w:rsidR="007149F1" w:rsidRPr="0042391E" w:rsidRDefault="007149F1" w:rsidP="007149F1">
      <w:pPr>
        <w:rPr>
          <w:rFonts w:ascii="Times New Roman" w:eastAsia="Calibri" w:hAnsi="Times New Roman" w:cs="Times New Roman"/>
          <w:sz w:val="24"/>
          <w:szCs w:val="24"/>
          <w:lang w:val="en-US"/>
        </w:rPr>
      </w:pPr>
      <w:r w:rsidRPr="0042391E">
        <w:rPr>
          <w:rFonts w:ascii="Times New Roman" w:eastAsia="Calibri" w:hAnsi="Times New Roman" w:cs="Times New Roman"/>
          <w:sz w:val="24"/>
          <w:szCs w:val="24"/>
          <w:lang w:val="en-US"/>
        </w:rPr>
        <w:t xml:space="preserve">Option 2: </w:t>
      </w:r>
    </w:p>
    <w:p w14:paraId="0C788C1E" w14:textId="77777777" w:rsidR="007149F1" w:rsidRPr="0042391E" w:rsidRDefault="007149F1" w:rsidP="007149F1">
      <w:pPr>
        <w:rPr>
          <w:rFonts w:ascii="Times New Roman" w:eastAsia="Calibri" w:hAnsi="Times New Roman" w:cs="Times New Roman"/>
          <w:sz w:val="24"/>
          <w:szCs w:val="24"/>
          <w:lang w:val="en-US"/>
        </w:rPr>
      </w:pPr>
      <w:r w:rsidRPr="0042391E">
        <w:rPr>
          <w:rFonts w:ascii="Times New Roman" w:eastAsia="Calibri" w:hAnsi="Times New Roman" w:cs="Times New Roman"/>
          <w:sz w:val="24"/>
          <w:szCs w:val="24"/>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bookmarkEnd w:id="1"/>
    <w:p w14:paraId="6D72B2BF" w14:textId="77777777" w:rsidR="007149F1" w:rsidRPr="002B47CF" w:rsidRDefault="007149F1" w:rsidP="002A280E">
      <w:pPr>
        <w:spacing w:line="360" w:lineRule="auto"/>
        <w:ind w:firstLine="567"/>
        <w:jc w:val="both"/>
        <w:rPr>
          <w:rFonts w:ascii="Times New Roman" w:hAnsi="Times New Roman" w:cs="Times New Roman"/>
          <w:sz w:val="24"/>
          <w:szCs w:val="24"/>
        </w:rPr>
      </w:pPr>
    </w:p>
    <w:p w14:paraId="6F61A411" w14:textId="23FC8C33" w:rsidR="00A86680" w:rsidRPr="002B47CF" w:rsidRDefault="00A86680" w:rsidP="00F82139">
      <w:pPr>
        <w:spacing w:line="360" w:lineRule="auto"/>
        <w:jc w:val="both"/>
        <w:rPr>
          <w:rFonts w:ascii="Times New Roman" w:hAnsi="Times New Roman" w:cs="Times New Roman"/>
          <w:b/>
          <w:bCs/>
          <w:sz w:val="24"/>
          <w:szCs w:val="24"/>
          <w:lang w:val="pt-BR"/>
        </w:rPr>
      </w:pPr>
      <w:r w:rsidRPr="002B47CF">
        <w:rPr>
          <w:rFonts w:ascii="Times New Roman" w:hAnsi="Times New Roman" w:cs="Times New Roman"/>
          <w:b/>
          <w:bCs/>
          <w:sz w:val="24"/>
          <w:szCs w:val="24"/>
          <w:lang w:val="pt-BR"/>
        </w:rPr>
        <w:t>REFERENCES</w:t>
      </w:r>
    </w:p>
    <w:p w14:paraId="522AF1AE" w14:textId="473B886D" w:rsidR="00627A87" w:rsidRDefault="00627A87" w:rsidP="00DC6485">
      <w:pPr>
        <w:rPr>
          <w:rFonts w:ascii="Arial" w:hAnsi="Arial" w:cs="Arial"/>
        </w:rPr>
      </w:pPr>
      <w:r w:rsidRPr="00DC6485">
        <w:rPr>
          <w:rFonts w:ascii="Arial" w:hAnsi="Arial" w:cs="Arial"/>
        </w:rPr>
        <w:t xml:space="preserve">Faine, S., Adler, B., Bolin, C. and </w:t>
      </w:r>
      <w:proofErr w:type="spellStart"/>
      <w:r w:rsidRPr="00DC6485">
        <w:rPr>
          <w:rFonts w:ascii="Arial" w:hAnsi="Arial" w:cs="Arial"/>
        </w:rPr>
        <w:t>Perolat</w:t>
      </w:r>
      <w:proofErr w:type="spellEnd"/>
      <w:r w:rsidRPr="00DC6485">
        <w:rPr>
          <w:rFonts w:ascii="Arial" w:hAnsi="Arial" w:cs="Arial"/>
        </w:rPr>
        <w:t xml:space="preserve">, P. 1999. Leptospira and Leptospirosis, 2nd ed., </w:t>
      </w:r>
      <w:proofErr w:type="spellStart"/>
      <w:r w:rsidRPr="00DC6485">
        <w:rPr>
          <w:rFonts w:ascii="Arial" w:hAnsi="Arial" w:cs="Arial"/>
        </w:rPr>
        <w:t>MediSci</w:t>
      </w:r>
      <w:proofErr w:type="spellEnd"/>
      <w:r w:rsidRPr="00DC6485">
        <w:rPr>
          <w:rFonts w:ascii="Arial" w:hAnsi="Arial" w:cs="Arial"/>
        </w:rPr>
        <w:t>, Melbourne.</w:t>
      </w:r>
    </w:p>
    <w:p w14:paraId="09340A2B" w14:textId="61A19432" w:rsidR="00627A87" w:rsidRDefault="00627A87" w:rsidP="00DC6485">
      <w:pPr>
        <w:rPr>
          <w:rFonts w:ascii="Arial" w:hAnsi="Arial" w:cs="Arial"/>
        </w:rPr>
      </w:pPr>
      <w:r w:rsidRPr="00DC6485">
        <w:rPr>
          <w:rFonts w:ascii="Arial" w:hAnsi="Arial" w:cs="Arial"/>
        </w:rPr>
        <w:t xml:space="preserve">Weil, A. (1886). </w:t>
      </w:r>
      <w:proofErr w:type="spellStart"/>
      <w:r w:rsidRPr="00DC6485">
        <w:rPr>
          <w:rFonts w:ascii="Arial" w:hAnsi="Arial" w:cs="Arial"/>
        </w:rPr>
        <w:t>Ueber</w:t>
      </w:r>
      <w:proofErr w:type="spellEnd"/>
      <w:r w:rsidRPr="00DC6485">
        <w:rPr>
          <w:rFonts w:ascii="Arial" w:hAnsi="Arial" w:cs="Arial"/>
        </w:rPr>
        <w:t xml:space="preserve"> </w:t>
      </w:r>
      <w:proofErr w:type="spellStart"/>
      <w:r w:rsidRPr="00DC6485">
        <w:rPr>
          <w:rFonts w:ascii="Arial" w:hAnsi="Arial" w:cs="Arial"/>
        </w:rPr>
        <w:t>eine</w:t>
      </w:r>
      <w:proofErr w:type="spellEnd"/>
      <w:r w:rsidRPr="00DC6485">
        <w:rPr>
          <w:rFonts w:ascii="Arial" w:hAnsi="Arial" w:cs="Arial"/>
        </w:rPr>
        <w:t xml:space="preserve"> </w:t>
      </w:r>
      <w:proofErr w:type="spellStart"/>
      <w:r w:rsidRPr="00DC6485">
        <w:rPr>
          <w:rFonts w:ascii="Arial" w:hAnsi="Arial" w:cs="Arial"/>
        </w:rPr>
        <w:t>eigentümliche</w:t>
      </w:r>
      <w:proofErr w:type="spellEnd"/>
      <w:r w:rsidRPr="00DC6485">
        <w:rPr>
          <w:rFonts w:ascii="Arial" w:hAnsi="Arial" w:cs="Arial"/>
        </w:rPr>
        <w:t xml:space="preserve">, </w:t>
      </w:r>
      <w:proofErr w:type="spellStart"/>
      <w:r w:rsidRPr="00DC6485">
        <w:rPr>
          <w:rFonts w:ascii="Arial" w:hAnsi="Arial" w:cs="Arial"/>
        </w:rPr>
        <w:t>mit</w:t>
      </w:r>
      <w:proofErr w:type="spellEnd"/>
      <w:r w:rsidRPr="00DC6485">
        <w:rPr>
          <w:rFonts w:ascii="Arial" w:hAnsi="Arial" w:cs="Arial"/>
        </w:rPr>
        <w:t xml:space="preserve"> Milztumor, Icterus und Nephritis </w:t>
      </w:r>
      <w:proofErr w:type="spellStart"/>
      <w:r w:rsidRPr="00DC6485">
        <w:rPr>
          <w:rFonts w:ascii="Arial" w:hAnsi="Arial" w:cs="Arial"/>
        </w:rPr>
        <w:t>einhergehende</w:t>
      </w:r>
      <w:proofErr w:type="spellEnd"/>
      <w:r w:rsidRPr="00DC6485">
        <w:rPr>
          <w:rFonts w:ascii="Arial" w:hAnsi="Arial" w:cs="Arial"/>
        </w:rPr>
        <w:t xml:space="preserve"> acute </w:t>
      </w:r>
      <w:proofErr w:type="spellStart"/>
      <w:r w:rsidRPr="00DC6485">
        <w:rPr>
          <w:rFonts w:ascii="Arial" w:hAnsi="Arial" w:cs="Arial"/>
        </w:rPr>
        <w:t>Infektionskrankheit</w:t>
      </w:r>
      <w:proofErr w:type="spellEnd"/>
      <w:r w:rsidRPr="00DC6485">
        <w:rPr>
          <w:rFonts w:ascii="Arial" w:hAnsi="Arial" w:cs="Arial"/>
        </w:rPr>
        <w:t>. </w:t>
      </w:r>
      <w:proofErr w:type="spellStart"/>
      <w:r w:rsidRPr="00DC6485">
        <w:rPr>
          <w:rFonts w:ascii="Arial" w:hAnsi="Arial" w:cs="Arial"/>
          <w:i/>
          <w:iCs/>
        </w:rPr>
        <w:t>Deutsches</w:t>
      </w:r>
      <w:proofErr w:type="spellEnd"/>
      <w:r w:rsidRPr="00DC6485">
        <w:rPr>
          <w:rFonts w:ascii="Arial" w:hAnsi="Arial" w:cs="Arial"/>
          <w:i/>
          <w:iCs/>
        </w:rPr>
        <w:t xml:space="preserve"> </w:t>
      </w:r>
      <w:proofErr w:type="spellStart"/>
      <w:r w:rsidRPr="00DC6485">
        <w:rPr>
          <w:rFonts w:ascii="Arial" w:hAnsi="Arial" w:cs="Arial"/>
          <w:i/>
          <w:iCs/>
        </w:rPr>
        <w:t>Archiv</w:t>
      </w:r>
      <w:proofErr w:type="spellEnd"/>
      <w:r w:rsidRPr="00DC6485">
        <w:rPr>
          <w:rFonts w:ascii="Arial" w:hAnsi="Arial" w:cs="Arial"/>
          <w:i/>
          <w:iCs/>
        </w:rPr>
        <w:t xml:space="preserve"> </w:t>
      </w:r>
      <w:proofErr w:type="spellStart"/>
      <w:r w:rsidRPr="00DC6485">
        <w:rPr>
          <w:rFonts w:ascii="Arial" w:hAnsi="Arial" w:cs="Arial"/>
          <w:i/>
          <w:iCs/>
        </w:rPr>
        <w:t>für</w:t>
      </w:r>
      <w:proofErr w:type="spellEnd"/>
      <w:r w:rsidRPr="00DC6485">
        <w:rPr>
          <w:rFonts w:ascii="Arial" w:hAnsi="Arial" w:cs="Arial"/>
          <w:i/>
          <w:iCs/>
        </w:rPr>
        <w:t xml:space="preserve"> </w:t>
      </w:r>
      <w:proofErr w:type="spellStart"/>
      <w:r w:rsidRPr="00DC6485">
        <w:rPr>
          <w:rFonts w:ascii="Arial" w:hAnsi="Arial" w:cs="Arial"/>
          <w:i/>
          <w:iCs/>
        </w:rPr>
        <w:t>klinische</w:t>
      </w:r>
      <w:proofErr w:type="spellEnd"/>
      <w:r w:rsidRPr="00DC6485">
        <w:rPr>
          <w:rFonts w:ascii="Arial" w:hAnsi="Arial" w:cs="Arial"/>
          <w:i/>
          <w:iCs/>
        </w:rPr>
        <w:t xml:space="preserve"> </w:t>
      </w:r>
      <w:proofErr w:type="spellStart"/>
      <w:r w:rsidRPr="00DC6485">
        <w:rPr>
          <w:rFonts w:ascii="Arial" w:hAnsi="Arial" w:cs="Arial"/>
          <w:i/>
          <w:iCs/>
        </w:rPr>
        <w:t>Medizin</w:t>
      </w:r>
      <w:proofErr w:type="spellEnd"/>
      <w:r w:rsidRPr="00DC6485">
        <w:rPr>
          <w:rFonts w:ascii="Arial" w:hAnsi="Arial" w:cs="Arial"/>
        </w:rPr>
        <w:t>, 39, 209–232.</w:t>
      </w:r>
    </w:p>
    <w:p w14:paraId="188B2119" w14:textId="77777777" w:rsidR="003738C7" w:rsidRDefault="003738C7" w:rsidP="003738C7">
      <w:pPr>
        <w:rPr>
          <w:rFonts w:ascii="Arial" w:hAnsi="Arial" w:cs="Arial"/>
        </w:rPr>
      </w:pPr>
      <w:r w:rsidRPr="00DC6485">
        <w:rPr>
          <w:rFonts w:ascii="Arial" w:hAnsi="Arial" w:cs="Arial"/>
        </w:rPr>
        <w:t xml:space="preserve">Llanes, A, Carlos M. R. and Sreekumari R. 2016. "Whole genome sequencing allows better understanding of the evolutionary history of Leptospira interrogans serovar </w:t>
      </w:r>
      <w:proofErr w:type="spellStart"/>
      <w:r w:rsidRPr="00DC6485">
        <w:rPr>
          <w:rFonts w:ascii="Arial" w:hAnsi="Arial" w:cs="Arial"/>
        </w:rPr>
        <w:t>Hardjo</w:t>
      </w:r>
      <w:proofErr w:type="spellEnd"/>
      <w:r w:rsidRPr="00DC6485">
        <w:rPr>
          <w:rFonts w:ascii="Arial" w:hAnsi="Arial" w:cs="Arial"/>
        </w:rPr>
        <w:t xml:space="preserve">." </w:t>
      </w:r>
      <w:proofErr w:type="spellStart"/>
      <w:r w:rsidRPr="00DC6485">
        <w:rPr>
          <w:rFonts w:ascii="Arial" w:hAnsi="Arial" w:cs="Arial"/>
        </w:rPr>
        <w:t>PloS</w:t>
      </w:r>
      <w:proofErr w:type="spellEnd"/>
      <w:r w:rsidRPr="00DC6485">
        <w:rPr>
          <w:rFonts w:ascii="Arial" w:hAnsi="Arial" w:cs="Arial"/>
        </w:rPr>
        <w:t xml:space="preserve"> one 11: 0159387.</w:t>
      </w:r>
    </w:p>
    <w:p w14:paraId="19BC3BBE" w14:textId="11250BAC" w:rsidR="00CE1CF3" w:rsidRDefault="00CE1CF3" w:rsidP="003738C7">
      <w:pPr>
        <w:rPr>
          <w:rFonts w:ascii="Arial" w:hAnsi="Arial" w:cs="Arial"/>
        </w:rPr>
      </w:pPr>
      <w:r w:rsidRPr="00CE1CF3">
        <w:rPr>
          <w:rFonts w:ascii="Arial" w:hAnsi="Arial" w:cs="Arial"/>
        </w:rPr>
        <w:t>Esteves, S. B., Santos, C. M., Silva, B. C. S., Salgado, F. F., Guilloux, A. G. A., Cortez, A., Lucco, R. C., &amp; Miotto, B. A. (2023). Time for change? A systematic review with meta-analysis of leptospires infecting dogs to assess vaccine compatibility in Brazil. </w:t>
      </w:r>
      <w:r w:rsidRPr="00CE1CF3">
        <w:rPr>
          <w:rFonts w:ascii="Arial" w:hAnsi="Arial" w:cs="Arial"/>
          <w:i/>
          <w:iCs/>
        </w:rPr>
        <w:t>Preventive veterinary medicine</w:t>
      </w:r>
      <w:r w:rsidRPr="00CE1CF3">
        <w:rPr>
          <w:rFonts w:ascii="Arial" w:hAnsi="Arial" w:cs="Arial"/>
        </w:rPr>
        <w:t>, </w:t>
      </w:r>
      <w:r w:rsidRPr="00CE1CF3">
        <w:rPr>
          <w:rFonts w:ascii="Arial" w:hAnsi="Arial" w:cs="Arial"/>
          <w:i/>
          <w:iCs/>
        </w:rPr>
        <w:t>213</w:t>
      </w:r>
      <w:r w:rsidRPr="00CE1CF3">
        <w:rPr>
          <w:rFonts w:ascii="Arial" w:hAnsi="Arial" w:cs="Arial"/>
        </w:rPr>
        <w:t xml:space="preserve">, 105869. </w:t>
      </w:r>
      <w:hyperlink r:id="rId13" w:history="1">
        <w:r w:rsidR="00AE2457" w:rsidRPr="00542053">
          <w:rPr>
            <w:rStyle w:val="Hyperlink"/>
            <w:rFonts w:ascii="Arial" w:hAnsi="Arial" w:cs="Arial"/>
          </w:rPr>
          <w:t>https://doi.org/10.1016/j.prevetmed.2023.105869</w:t>
        </w:r>
      </w:hyperlink>
    </w:p>
    <w:p w14:paraId="28D0A381" w14:textId="11E614CB" w:rsidR="00AE2457" w:rsidRPr="00DC6485" w:rsidRDefault="00AE2457" w:rsidP="003738C7">
      <w:pPr>
        <w:rPr>
          <w:rFonts w:ascii="Arial" w:hAnsi="Arial" w:cs="Arial"/>
        </w:rPr>
      </w:pPr>
      <w:r w:rsidRPr="00AE2457">
        <w:rPr>
          <w:rFonts w:ascii="Arial" w:hAnsi="Arial" w:cs="Arial"/>
        </w:rPr>
        <w:t>Sykes, J. E., Francey, T., Schuller, S., Stoddard, R. A., Cowgill, L. D., &amp; Moore, G. E. (2023). Updated ACVIM consensus statement on leptospirosis in dogs. </w:t>
      </w:r>
      <w:r w:rsidRPr="00AE2457">
        <w:rPr>
          <w:rFonts w:ascii="Arial" w:hAnsi="Arial" w:cs="Arial"/>
          <w:i/>
          <w:iCs/>
        </w:rPr>
        <w:t>Journal of veterinary internal medicine</w:t>
      </w:r>
      <w:r w:rsidRPr="00AE2457">
        <w:rPr>
          <w:rFonts w:ascii="Arial" w:hAnsi="Arial" w:cs="Arial"/>
        </w:rPr>
        <w:t>, </w:t>
      </w:r>
      <w:r w:rsidRPr="00AE2457">
        <w:rPr>
          <w:rFonts w:ascii="Arial" w:hAnsi="Arial" w:cs="Arial"/>
          <w:i/>
          <w:iCs/>
        </w:rPr>
        <w:t>37</w:t>
      </w:r>
      <w:r w:rsidRPr="00AE2457">
        <w:rPr>
          <w:rFonts w:ascii="Arial" w:hAnsi="Arial" w:cs="Arial"/>
        </w:rPr>
        <w:t>(6), 1966–1982. https://doi.org/10.1111/jvim.16903</w:t>
      </w:r>
    </w:p>
    <w:p w14:paraId="7F2B3564" w14:textId="77777777" w:rsidR="003738C7" w:rsidRPr="00DC6485" w:rsidRDefault="003738C7" w:rsidP="003738C7">
      <w:pPr>
        <w:rPr>
          <w:rFonts w:ascii="Arial" w:hAnsi="Arial" w:cs="Arial"/>
        </w:rPr>
      </w:pPr>
      <w:proofErr w:type="spellStart"/>
      <w:r w:rsidRPr="00DC6485">
        <w:rPr>
          <w:rFonts w:ascii="Arial" w:hAnsi="Arial" w:cs="Arial"/>
        </w:rPr>
        <w:t>Ciurariu</w:t>
      </w:r>
      <w:proofErr w:type="spellEnd"/>
      <w:r w:rsidRPr="00DC6485">
        <w:rPr>
          <w:rFonts w:ascii="Arial" w:hAnsi="Arial" w:cs="Arial"/>
        </w:rPr>
        <w:t xml:space="preserve">, E., Prodan-Barbulescu, C., Mateescu, D. M., </w:t>
      </w:r>
      <w:proofErr w:type="spellStart"/>
      <w:r w:rsidRPr="00DC6485">
        <w:rPr>
          <w:rFonts w:ascii="Arial" w:hAnsi="Arial" w:cs="Arial"/>
        </w:rPr>
        <w:t>Tutac</w:t>
      </w:r>
      <w:proofErr w:type="spellEnd"/>
      <w:r w:rsidRPr="00DC6485">
        <w:rPr>
          <w:rFonts w:ascii="Arial" w:hAnsi="Arial" w:cs="Arial"/>
        </w:rPr>
        <w:t xml:space="preserve">, P., </w:t>
      </w:r>
      <w:proofErr w:type="spellStart"/>
      <w:r w:rsidRPr="00DC6485">
        <w:rPr>
          <w:rFonts w:ascii="Arial" w:hAnsi="Arial" w:cs="Arial"/>
        </w:rPr>
        <w:t>Sorop</w:t>
      </w:r>
      <w:proofErr w:type="spellEnd"/>
      <w:r w:rsidRPr="00DC6485">
        <w:rPr>
          <w:rFonts w:ascii="Arial" w:hAnsi="Arial" w:cs="Arial"/>
        </w:rPr>
        <w:t>, V. B., Susan, M., &amp; Varga, N. I. (2025). Diagnostic Advances in Leptospirosis: A Comparative Analysis of Paraclinical Tests with a Focus on PCR. Microorganisms, 13(3), 667. https://doi.org/10.3390/microorganisms13030667</w:t>
      </w:r>
    </w:p>
    <w:p w14:paraId="19DCBB24" w14:textId="77777777" w:rsidR="003738C7" w:rsidRPr="00DC6485" w:rsidRDefault="003738C7" w:rsidP="003738C7">
      <w:pPr>
        <w:rPr>
          <w:rFonts w:ascii="Arial" w:hAnsi="Arial" w:cs="Arial"/>
        </w:rPr>
      </w:pPr>
      <w:proofErr w:type="spellStart"/>
      <w:r w:rsidRPr="00DC6485">
        <w:rPr>
          <w:rFonts w:ascii="Arial" w:hAnsi="Arial" w:cs="Arial"/>
        </w:rPr>
        <w:lastRenderedPageBreak/>
        <w:t>Warnasekara</w:t>
      </w:r>
      <w:proofErr w:type="spellEnd"/>
      <w:r w:rsidRPr="00DC6485">
        <w:rPr>
          <w:rFonts w:ascii="Arial" w:hAnsi="Arial" w:cs="Arial"/>
        </w:rPr>
        <w:t xml:space="preserve">, J., </w:t>
      </w:r>
      <w:proofErr w:type="spellStart"/>
      <w:r w:rsidRPr="00DC6485">
        <w:rPr>
          <w:rFonts w:ascii="Arial" w:hAnsi="Arial" w:cs="Arial"/>
        </w:rPr>
        <w:t>Srimantha</w:t>
      </w:r>
      <w:proofErr w:type="spellEnd"/>
      <w:r w:rsidRPr="00DC6485">
        <w:rPr>
          <w:rFonts w:ascii="Arial" w:hAnsi="Arial" w:cs="Arial"/>
        </w:rPr>
        <w:t xml:space="preserve">, S., </w:t>
      </w:r>
      <w:proofErr w:type="spellStart"/>
      <w:r w:rsidRPr="00DC6485">
        <w:rPr>
          <w:rFonts w:ascii="Arial" w:hAnsi="Arial" w:cs="Arial"/>
        </w:rPr>
        <w:t>Kappagoda</w:t>
      </w:r>
      <w:proofErr w:type="spellEnd"/>
      <w:r w:rsidRPr="00DC6485">
        <w:rPr>
          <w:rFonts w:ascii="Arial" w:hAnsi="Arial" w:cs="Arial"/>
        </w:rPr>
        <w:t>, C., Jayasundara, D., Senevirathna, I., Matthias, M., Agampodi, S., &amp; Vinetz, J. M. (2022). Diagnostic method-based underestimation of leptospirosis in clinical and research settings; an experience from a large prospective study in a high endemic setting. </w:t>
      </w:r>
      <w:r w:rsidRPr="00DC6485">
        <w:rPr>
          <w:rFonts w:ascii="Arial" w:hAnsi="Arial" w:cs="Arial"/>
          <w:i/>
          <w:iCs/>
        </w:rPr>
        <w:t>PLoS neglected tropical diseases</w:t>
      </w:r>
      <w:r w:rsidRPr="00DC6485">
        <w:rPr>
          <w:rFonts w:ascii="Arial" w:hAnsi="Arial" w:cs="Arial"/>
        </w:rPr>
        <w:t>, </w:t>
      </w:r>
      <w:r w:rsidRPr="00DC6485">
        <w:rPr>
          <w:rFonts w:ascii="Arial" w:hAnsi="Arial" w:cs="Arial"/>
          <w:i/>
          <w:iCs/>
        </w:rPr>
        <w:t>16</w:t>
      </w:r>
      <w:r w:rsidRPr="00DC6485">
        <w:rPr>
          <w:rFonts w:ascii="Arial" w:hAnsi="Arial" w:cs="Arial"/>
        </w:rPr>
        <w:t xml:space="preserve">(4), e0010331. </w:t>
      </w:r>
      <w:hyperlink r:id="rId14" w:history="1">
        <w:r w:rsidRPr="00DC6485">
          <w:rPr>
            <w:rStyle w:val="Hyperlink"/>
            <w:rFonts w:ascii="Arial" w:hAnsi="Arial" w:cs="Arial"/>
          </w:rPr>
          <w:t>https://doi.org/10.1371/journal.pntd.0010331</w:t>
        </w:r>
      </w:hyperlink>
    </w:p>
    <w:p w14:paraId="44041052" w14:textId="77777777" w:rsidR="003738C7" w:rsidRPr="00DC6485" w:rsidRDefault="003738C7" w:rsidP="003738C7">
      <w:pPr>
        <w:rPr>
          <w:rFonts w:ascii="Arial" w:hAnsi="Arial" w:cs="Arial"/>
        </w:rPr>
      </w:pPr>
      <w:r w:rsidRPr="00DC6485">
        <w:rPr>
          <w:rFonts w:ascii="Arial" w:hAnsi="Arial" w:cs="Arial"/>
        </w:rPr>
        <w:t>Wang, W., Gao, Y., Ji, J., Huang, Z., Xiong, B., &amp; Xiang, S. (2025). Trends and advances in </w:t>
      </w:r>
      <w:r w:rsidRPr="00DC6485">
        <w:rPr>
          <w:rFonts w:ascii="Arial" w:hAnsi="Arial" w:cs="Arial"/>
          <w:i/>
          <w:iCs/>
        </w:rPr>
        <w:t>Leptospira</w:t>
      </w:r>
      <w:r w:rsidRPr="00DC6485">
        <w:rPr>
          <w:rFonts w:ascii="Arial" w:hAnsi="Arial" w:cs="Arial"/>
        </w:rPr>
        <w:t>, a bibliometric analysis. </w:t>
      </w:r>
      <w:r w:rsidRPr="00DC6485">
        <w:rPr>
          <w:rFonts w:ascii="Arial" w:hAnsi="Arial" w:cs="Arial"/>
          <w:i/>
          <w:iCs/>
        </w:rPr>
        <w:t>Frontiers in microbiology</w:t>
      </w:r>
      <w:r w:rsidRPr="00DC6485">
        <w:rPr>
          <w:rFonts w:ascii="Arial" w:hAnsi="Arial" w:cs="Arial"/>
        </w:rPr>
        <w:t>, </w:t>
      </w:r>
      <w:r w:rsidRPr="00DC6485">
        <w:rPr>
          <w:rFonts w:ascii="Arial" w:hAnsi="Arial" w:cs="Arial"/>
          <w:i/>
          <w:iCs/>
        </w:rPr>
        <w:t>15</w:t>
      </w:r>
      <w:r w:rsidRPr="00DC6485">
        <w:rPr>
          <w:rFonts w:ascii="Arial" w:hAnsi="Arial" w:cs="Arial"/>
        </w:rPr>
        <w:t xml:space="preserve">, 1514738. </w:t>
      </w:r>
      <w:hyperlink r:id="rId15" w:history="1">
        <w:r w:rsidRPr="00DC6485">
          <w:rPr>
            <w:rStyle w:val="Hyperlink"/>
            <w:rFonts w:ascii="Arial" w:hAnsi="Arial" w:cs="Arial"/>
          </w:rPr>
          <w:t>https://doi.org/10.3389/fmicb.2024.1514738</w:t>
        </w:r>
      </w:hyperlink>
    </w:p>
    <w:p w14:paraId="6AF2F520" w14:textId="77777777" w:rsidR="003738C7" w:rsidRPr="00DC6485" w:rsidRDefault="003738C7" w:rsidP="003738C7">
      <w:pPr>
        <w:rPr>
          <w:rFonts w:ascii="Arial" w:hAnsi="Arial" w:cs="Arial"/>
        </w:rPr>
      </w:pPr>
      <w:r w:rsidRPr="00DC6485">
        <w:rPr>
          <w:rFonts w:ascii="Arial" w:hAnsi="Arial" w:cs="Arial"/>
        </w:rPr>
        <w:t>Williams C (2025). A Novel Loop-Mediated Isothermal Amplification (LAMP) Assay for the Detection of Leptospira in Febrile Patients. J Infect Dis Diagn. 10:332.</w:t>
      </w:r>
    </w:p>
    <w:p w14:paraId="546096EF" w14:textId="23545C7D" w:rsidR="003738C7" w:rsidRDefault="00F10A3D" w:rsidP="00DC6485">
      <w:pPr>
        <w:rPr>
          <w:rFonts w:ascii="Arial" w:hAnsi="Arial" w:cs="Arial"/>
        </w:rPr>
      </w:pPr>
      <w:r w:rsidRPr="00F10A3D">
        <w:rPr>
          <w:rFonts w:ascii="Arial" w:hAnsi="Arial" w:cs="Arial"/>
        </w:rPr>
        <w:t>Krishna, S.V., Siju Joseph, S.J., Ambily, R., Mini, M., Liya Anto, L.A. and Mohan, S.G., 2013. Cloning and sequencing of the virulent gene LipL32 of Leptospira interrogans serovar Autumnalis. Vet. World 6: 193-195</w:t>
      </w:r>
    </w:p>
    <w:p w14:paraId="0DC90BA1" w14:textId="77777777" w:rsidR="007F395D" w:rsidRPr="00DC6485" w:rsidRDefault="007F395D" w:rsidP="007F395D">
      <w:pPr>
        <w:rPr>
          <w:rFonts w:ascii="Arial" w:hAnsi="Arial" w:cs="Arial"/>
        </w:rPr>
      </w:pPr>
      <w:r w:rsidRPr="00DC6485">
        <w:rPr>
          <w:rFonts w:ascii="Arial" w:hAnsi="Arial" w:cs="Arial"/>
        </w:rPr>
        <w:t>Suwancharoen, D., Sittiwicheanwong, B., and Wiratsudakul, A. (2016). Evaluation of loop-mediated isothermal amplification method (LAMP) for pathogenic Leptospira spp. detection with leptospires isolation and real-time PCR. </w:t>
      </w:r>
      <w:r w:rsidRPr="00DC6485">
        <w:rPr>
          <w:rFonts w:ascii="Arial" w:hAnsi="Arial" w:cs="Arial"/>
          <w:i/>
          <w:iCs/>
        </w:rPr>
        <w:t>The Journal of veterinary medical science</w:t>
      </w:r>
      <w:r w:rsidRPr="00DC6485">
        <w:rPr>
          <w:rFonts w:ascii="Arial" w:hAnsi="Arial" w:cs="Arial"/>
        </w:rPr>
        <w:t>, </w:t>
      </w:r>
      <w:r w:rsidRPr="00DC6485">
        <w:rPr>
          <w:rFonts w:ascii="Arial" w:hAnsi="Arial" w:cs="Arial"/>
          <w:i/>
          <w:iCs/>
        </w:rPr>
        <w:t>78</w:t>
      </w:r>
      <w:r w:rsidRPr="00DC6485">
        <w:rPr>
          <w:rFonts w:ascii="Arial" w:hAnsi="Arial" w:cs="Arial"/>
        </w:rPr>
        <w:t xml:space="preserve">(8), 1299–1302. </w:t>
      </w:r>
      <w:hyperlink r:id="rId16" w:history="1">
        <w:r w:rsidRPr="00DC6485">
          <w:rPr>
            <w:rStyle w:val="Hyperlink"/>
            <w:rFonts w:ascii="Arial" w:hAnsi="Arial" w:cs="Arial"/>
          </w:rPr>
          <w:t>https://doi.org/10.1292/jvms.15-0702</w:t>
        </w:r>
      </w:hyperlink>
    </w:p>
    <w:p w14:paraId="65334703" w14:textId="77777777" w:rsidR="007F395D" w:rsidRPr="00DC6485" w:rsidRDefault="007F395D" w:rsidP="007F395D">
      <w:pPr>
        <w:rPr>
          <w:rFonts w:ascii="Arial" w:hAnsi="Arial" w:cs="Arial"/>
        </w:rPr>
      </w:pPr>
      <w:r w:rsidRPr="00DC6485">
        <w:rPr>
          <w:rFonts w:ascii="Arial" w:hAnsi="Arial" w:cs="Arial"/>
        </w:rPr>
        <w:t>Levett P. N. (2001). Leptospirosis. </w:t>
      </w:r>
      <w:r w:rsidRPr="00DC6485">
        <w:rPr>
          <w:rFonts w:ascii="Arial" w:hAnsi="Arial" w:cs="Arial"/>
          <w:i/>
          <w:iCs/>
        </w:rPr>
        <w:t>Clinical microbiology reviews</w:t>
      </w:r>
      <w:r w:rsidRPr="00DC6485">
        <w:rPr>
          <w:rFonts w:ascii="Arial" w:hAnsi="Arial" w:cs="Arial"/>
        </w:rPr>
        <w:t>, </w:t>
      </w:r>
      <w:r w:rsidRPr="00DC6485">
        <w:rPr>
          <w:rFonts w:ascii="Arial" w:hAnsi="Arial" w:cs="Arial"/>
          <w:i/>
          <w:iCs/>
        </w:rPr>
        <w:t>14</w:t>
      </w:r>
      <w:r w:rsidRPr="00DC6485">
        <w:rPr>
          <w:rFonts w:ascii="Arial" w:hAnsi="Arial" w:cs="Arial"/>
        </w:rPr>
        <w:t>(2), 296–326. https://doi.org/10.1128/CMR.14.2.296-326.2001</w:t>
      </w:r>
    </w:p>
    <w:p w14:paraId="05EAFC59" w14:textId="27F35C83" w:rsidR="007F395D" w:rsidRDefault="007F395D" w:rsidP="007F395D">
      <w:pPr>
        <w:rPr>
          <w:rFonts w:ascii="Arial" w:hAnsi="Arial" w:cs="Arial"/>
        </w:rPr>
      </w:pPr>
      <w:proofErr w:type="spellStart"/>
      <w:r w:rsidRPr="00DC6485">
        <w:rPr>
          <w:rFonts w:ascii="Arial" w:hAnsi="Arial" w:cs="Arial"/>
        </w:rPr>
        <w:t>Samrot</w:t>
      </w:r>
      <w:proofErr w:type="spellEnd"/>
      <w:r w:rsidRPr="00DC6485">
        <w:rPr>
          <w:rFonts w:ascii="Arial" w:hAnsi="Arial" w:cs="Arial"/>
        </w:rPr>
        <w:t>, A. V., Sean, T. C., Bhavya, K. S., Sahithya, C. S., Chan-Drasekaran, S., Palanisamy, R., Robinson, E. R., Subbiah, S. K., and Mok, P. L. (2021). Leptospiral Infection, Pathogenesis and Its Diagnosis-A Review. </w:t>
      </w:r>
      <w:r w:rsidRPr="00DC6485">
        <w:rPr>
          <w:rFonts w:ascii="Arial" w:hAnsi="Arial" w:cs="Arial"/>
          <w:i/>
          <w:iCs/>
        </w:rPr>
        <w:t>Pathogens (Basel, Switzerland)</w:t>
      </w:r>
      <w:r w:rsidRPr="00DC6485">
        <w:rPr>
          <w:rFonts w:ascii="Arial" w:hAnsi="Arial" w:cs="Arial"/>
        </w:rPr>
        <w:t>, </w:t>
      </w:r>
      <w:r w:rsidRPr="00DC6485">
        <w:rPr>
          <w:rFonts w:ascii="Arial" w:hAnsi="Arial" w:cs="Arial"/>
          <w:i/>
          <w:iCs/>
        </w:rPr>
        <w:t>10</w:t>
      </w:r>
      <w:r w:rsidRPr="00DC6485">
        <w:rPr>
          <w:rFonts w:ascii="Arial" w:hAnsi="Arial" w:cs="Arial"/>
        </w:rPr>
        <w:t xml:space="preserve">(2), 145. </w:t>
      </w:r>
      <w:hyperlink r:id="rId17" w:history="1">
        <w:r w:rsidRPr="00542053">
          <w:rPr>
            <w:rStyle w:val="Hyperlink"/>
            <w:rFonts w:ascii="Arial" w:hAnsi="Arial" w:cs="Arial"/>
          </w:rPr>
          <w:t>https://doi.org/10.3390/pathogens10020145</w:t>
        </w:r>
      </w:hyperlink>
    </w:p>
    <w:p w14:paraId="6455638A" w14:textId="7B0EE819" w:rsidR="007F395D" w:rsidRPr="007F395D" w:rsidRDefault="007F395D" w:rsidP="007F395D">
      <w:pPr>
        <w:rPr>
          <w:rFonts w:ascii="Arial" w:hAnsi="Arial" w:cs="Arial"/>
        </w:rPr>
      </w:pPr>
      <w:r w:rsidRPr="007F395D">
        <w:rPr>
          <w:rFonts w:ascii="Arial" w:hAnsi="Arial" w:cs="Arial"/>
        </w:rPr>
        <w:t xml:space="preserve">Ambily, R., Mini, M., Joseph, S., Abhinay, G., and </w:t>
      </w:r>
      <w:proofErr w:type="spellStart"/>
      <w:r w:rsidRPr="007F395D">
        <w:rPr>
          <w:rFonts w:ascii="Arial" w:hAnsi="Arial" w:cs="Arial"/>
        </w:rPr>
        <w:t>Saseendranath</w:t>
      </w:r>
      <w:proofErr w:type="spellEnd"/>
      <w:r w:rsidRPr="007F395D">
        <w:rPr>
          <w:rFonts w:ascii="Arial" w:hAnsi="Arial" w:cs="Arial"/>
        </w:rPr>
        <w:t xml:space="preserve">, M. R. (2013). Seroprevalence of leptospirosis among dogs in Kerala. </w:t>
      </w:r>
      <w:r w:rsidRPr="007F395D">
        <w:rPr>
          <w:rFonts w:ascii="Arial" w:hAnsi="Arial" w:cs="Arial"/>
          <w:i/>
          <w:iCs/>
        </w:rPr>
        <w:t>Journal of Veterinary and Animal Sciences, 44</w:t>
      </w:r>
      <w:r w:rsidRPr="007F395D">
        <w:rPr>
          <w:rFonts w:ascii="Arial" w:hAnsi="Arial" w:cs="Arial"/>
        </w:rPr>
        <w:t>(1), 47–49.</w:t>
      </w:r>
    </w:p>
    <w:p w14:paraId="69FA5644" w14:textId="6A6937AC" w:rsidR="007F395D" w:rsidRDefault="007F395D" w:rsidP="007F395D">
      <w:pPr>
        <w:rPr>
          <w:rFonts w:ascii="Arial" w:hAnsi="Arial" w:cs="Arial"/>
        </w:rPr>
      </w:pPr>
      <w:r w:rsidRPr="00DC6485">
        <w:rPr>
          <w:rFonts w:ascii="Arial" w:hAnsi="Arial" w:cs="Arial"/>
        </w:rPr>
        <w:t>Raj, J., Campbell, R., and Tappin, S. (2021). Clinical findings in dogs diagnosed with leptospirosis in England. </w:t>
      </w:r>
      <w:r w:rsidRPr="00DC6485">
        <w:rPr>
          <w:rFonts w:ascii="Arial" w:hAnsi="Arial" w:cs="Arial"/>
          <w:i/>
          <w:iCs/>
        </w:rPr>
        <w:t>The Veterinary record</w:t>
      </w:r>
      <w:r w:rsidRPr="00DC6485">
        <w:rPr>
          <w:rFonts w:ascii="Arial" w:hAnsi="Arial" w:cs="Arial"/>
        </w:rPr>
        <w:t>, </w:t>
      </w:r>
      <w:r w:rsidRPr="00DC6485">
        <w:rPr>
          <w:rFonts w:ascii="Arial" w:hAnsi="Arial" w:cs="Arial"/>
          <w:i/>
          <w:iCs/>
        </w:rPr>
        <w:t>189</w:t>
      </w:r>
      <w:r w:rsidRPr="00DC6485">
        <w:rPr>
          <w:rFonts w:ascii="Arial" w:hAnsi="Arial" w:cs="Arial"/>
        </w:rPr>
        <w:t xml:space="preserve">(7), e452. </w:t>
      </w:r>
      <w:hyperlink r:id="rId18" w:history="1">
        <w:r w:rsidR="001141FA" w:rsidRPr="00542053">
          <w:rPr>
            <w:rStyle w:val="Hyperlink"/>
            <w:rFonts w:ascii="Arial" w:hAnsi="Arial" w:cs="Arial"/>
          </w:rPr>
          <w:t>https://doi.org/10.1002/vetr.452</w:t>
        </w:r>
      </w:hyperlink>
    </w:p>
    <w:p w14:paraId="3E2AEF0F" w14:textId="33F27BD6" w:rsidR="001141FA" w:rsidRPr="00DC6485" w:rsidRDefault="001141FA" w:rsidP="007F395D">
      <w:pPr>
        <w:rPr>
          <w:rFonts w:ascii="Arial" w:hAnsi="Arial" w:cs="Arial"/>
        </w:rPr>
      </w:pPr>
      <w:r w:rsidRPr="001141FA">
        <w:rPr>
          <w:rFonts w:ascii="Arial" w:hAnsi="Arial" w:cs="Arial"/>
        </w:rPr>
        <w:t xml:space="preserve">Jayasundara, D., Gamage, C., </w:t>
      </w:r>
      <w:proofErr w:type="spellStart"/>
      <w:r w:rsidRPr="001141FA">
        <w:rPr>
          <w:rFonts w:ascii="Arial" w:hAnsi="Arial" w:cs="Arial"/>
        </w:rPr>
        <w:t>Senavirathna</w:t>
      </w:r>
      <w:proofErr w:type="spellEnd"/>
      <w:r w:rsidRPr="001141FA">
        <w:rPr>
          <w:rFonts w:ascii="Arial" w:hAnsi="Arial" w:cs="Arial"/>
        </w:rPr>
        <w:t xml:space="preserve">, I., </w:t>
      </w:r>
      <w:proofErr w:type="spellStart"/>
      <w:r w:rsidRPr="001141FA">
        <w:rPr>
          <w:rFonts w:ascii="Arial" w:hAnsi="Arial" w:cs="Arial"/>
        </w:rPr>
        <w:t>Warnasekara</w:t>
      </w:r>
      <w:proofErr w:type="spellEnd"/>
      <w:r w:rsidRPr="001141FA">
        <w:rPr>
          <w:rFonts w:ascii="Arial" w:hAnsi="Arial" w:cs="Arial"/>
        </w:rPr>
        <w:t xml:space="preserve">, J., Matthias, M. A., Vinetz, J. M., &amp; </w:t>
      </w:r>
      <w:proofErr w:type="spellStart"/>
      <w:r w:rsidRPr="001141FA">
        <w:rPr>
          <w:rFonts w:ascii="Arial" w:hAnsi="Arial" w:cs="Arial"/>
        </w:rPr>
        <w:t>Agampodi</w:t>
      </w:r>
      <w:proofErr w:type="spellEnd"/>
      <w:r w:rsidRPr="001141FA">
        <w:rPr>
          <w:rFonts w:ascii="Arial" w:hAnsi="Arial" w:cs="Arial"/>
        </w:rPr>
        <w:t>, S. (2021). Optimizing the microscopic agglutination test (MAT) panel for the diagnosis of Leptospirosis in a low resource, hyper-endemic setting with varied microgeographic variation in reactivity. </w:t>
      </w:r>
      <w:r w:rsidRPr="001141FA">
        <w:rPr>
          <w:rFonts w:ascii="Arial" w:hAnsi="Arial" w:cs="Arial"/>
          <w:i/>
          <w:iCs/>
        </w:rPr>
        <w:t>PLoS neglected tropical diseases</w:t>
      </w:r>
      <w:r w:rsidRPr="001141FA">
        <w:rPr>
          <w:rFonts w:ascii="Arial" w:hAnsi="Arial" w:cs="Arial"/>
        </w:rPr>
        <w:t>, </w:t>
      </w:r>
      <w:r w:rsidRPr="001141FA">
        <w:rPr>
          <w:rFonts w:ascii="Arial" w:hAnsi="Arial" w:cs="Arial"/>
          <w:i/>
          <w:iCs/>
        </w:rPr>
        <w:t>15</w:t>
      </w:r>
      <w:r w:rsidRPr="001141FA">
        <w:rPr>
          <w:rFonts w:ascii="Arial" w:hAnsi="Arial" w:cs="Arial"/>
        </w:rPr>
        <w:t>(7), e0009565. https://doi.org/10.1371/journal.pntd.0009565</w:t>
      </w:r>
    </w:p>
    <w:p w14:paraId="00445C58" w14:textId="77777777" w:rsidR="007F395D" w:rsidRPr="00DC6485" w:rsidRDefault="007F395D" w:rsidP="007F395D">
      <w:pPr>
        <w:rPr>
          <w:rFonts w:ascii="Arial" w:hAnsi="Arial" w:cs="Arial"/>
        </w:rPr>
      </w:pPr>
      <w:r w:rsidRPr="00DC6485">
        <w:rPr>
          <w:rFonts w:ascii="Arial" w:hAnsi="Arial" w:cs="Arial"/>
        </w:rPr>
        <w:t>Sykes, J. E., Hartmann, K., Lunn, K. F., Moore, G. E., Stoddard, R. A., and Goldstein, R. E. (2011). 2010 ACVIM small animal consensus statement on leptospirosis: diagnosis, epidemiology, treatment, and prevention. </w:t>
      </w:r>
      <w:r w:rsidRPr="00DC6485">
        <w:rPr>
          <w:rFonts w:ascii="Arial" w:hAnsi="Arial" w:cs="Arial"/>
          <w:i/>
          <w:iCs/>
        </w:rPr>
        <w:t>Journal of veterinary internal medicine</w:t>
      </w:r>
      <w:r w:rsidRPr="00DC6485">
        <w:rPr>
          <w:rFonts w:ascii="Arial" w:hAnsi="Arial" w:cs="Arial"/>
        </w:rPr>
        <w:t>, </w:t>
      </w:r>
      <w:r w:rsidRPr="00DC6485">
        <w:rPr>
          <w:rFonts w:ascii="Arial" w:hAnsi="Arial" w:cs="Arial"/>
          <w:i/>
          <w:iCs/>
        </w:rPr>
        <w:t>25</w:t>
      </w:r>
      <w:r w:rsidRPr="00DC6485">
        <w:rPr>
          <w:rFonts w:ascii="Arial" w:hAnsi="Arial" w:cs="Arial"/>
        </w:rPr>
        <w:t>(1), 1–13. https://doi.org/10.1111/j.1939-1676.2010.0654.x</w:t>
      </w:r>
    </w:p>
    <w:p w14:paraId="59975AAF" w14:textId="77777777" w:rsidR="007F395D" w:rsidRDefault="007F395D" w:rsidP="007F395D">
      <w:pPr>
        <w:rPr>
          <w:rFonts w:ascii="Arial" w:hAnsi="Arial" w:cs="Arial"/>
        </w:rPr>
      </w:pPr>
      <w:r w:rsidRPr="00DC6485">
        <w:rPr>
          <w:rFonts w:ascii="Arial" w:hAnsi="Arial" w:cs="Arial"/>
        </w:rPr>
        <w:t>Chen, H.-W., Weissenberger, G., and Ching, W.-M. (2015). Development of lyophilized loop-mediated isothermal amplification reagents for the detection of Leptospira. </w:t>
      </w:r>
      <w:r w:rsidRPr="00DC6485">
        <w:rPr>
          <w:rFonts w:ascii="Arial" w:hAnsi="Arial" w:cs="Arial"/>
          <w:i/>
          <w:iCs/>
        </w:rPr>
        <w:t>Military Medicine</w:t>
      </w:r>
      <w:r w:rsidRPr="00DC6485">
        <w:rPr>
          <w:rFonts w:ascii="Arial" w:hAnsi="Arial" w:cs="Arial"/>
        </w:rPr>
        <w:t xml:space="preserve">, 181(5 </w:t>
      </w:r>
      <w:proofErr w:type="spellStart"/>
      <w:r w:rsidRPr="00DC6485">
        <w:rPr>
          <w:rFonts w:ascii="Arial" w:hAnsi="Arial" w:cs="Arial"/>
        </w:rPr>
        <w:t>Suppl</w:t>
      </w:r>
      <w:proofErr w:type="spellEnd"/>
      <w:r w:rsidRPr="00DC6485">
        <w:rPr>
          <w:rFonts w:ascii="Arial" w:hAnsi="Arial" w:cs="Arial"/>
        </w:rPr>
        <w:t>), 227–231. https://doi.org/10.7205/MILMED-D-15-00149</w:t>
      </w:r>
    </w:p>
    <w:p w14:paraId="2E05F583" w14:textId="00A03F07" w:rsidR="001141FA" w:rsidRPr="00DC6485" w:rsidRDefault="001141FA" w:rsidP="00DC6485">
      <w:pPr>
        <w:rPr>
          <w:rFonts w:ascii="Arial" w:hAnsi="Arial" w:cs="Arial"/>
        </w:rPr>
      </w:pPr>
    </w:p>
    <w:sectPr w:rsidR="001141FA" w:rsidRPr="00DC6485">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BABE0" w14:textId="77777777" w:rsidR="00637376" w:rsidRDefault="00637376" w:rsidP="005F3CED">
      <w:pPr>
        <w:spacing w:after="0" w:line="240" w:lineRule="auto"/>
      </w:pPr>
      <w:r>
        <w:separator/>
      </w:r>
    </w:p>
  </w:endnote>
  <w:endnote w:type="continuationSeparator" w:id="0">
    <w:p w14:paraId="512FA8DC" w14:textId="77777777" w:rsidR="00637376" w:rsidRDefault="00637376" w:rsidP="005F3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D4F3D" w14:textId="77777777" w:rsidR="005F3CED" w:rsidRDefault="005F3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92C1F" w14:textId="77777777" w:rsidR="005F3CED" w:rsidRDefault="005F3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A4424" w14:textId="77777777" w:rsidR="005F3CED" w:rsidRDefault="005F3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B363C" w14:textId="77777777" w:rsidR="00637376" w:rsidRDefault="00637376" w:rsidP="005F3CED">
      <w:pPr>
        <w:spacing w:after="0" w:line="240" w:lineRule="auto"/>
      </w:pPr>
      <w:r>
        <w:separator/>
      </w:r>
    </w:p>
  </w:footnote>
  <w:footnote w:type="continuationSeparator" w:id="0">
    <w:p w14:paraId="3889E0FF" w14:textId="77777777" w:rsidR="00637376" w:rsidRDefault="00637376" w:rsidP="005F3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BCAC2" w14:textId="281202A3" w:rsidR="005F3CED" w:rsidRDefault="00637376">
    <w:pPr>
      <w:pStyle w:val="Header"/>
    </w:pPr>
    <w:r>
      <w:rPr>
        <w:noProof/>
      </w:rPr>
      <w:pict w14:anchorId="7BE55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686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8C883" w14:textId="08C541DC" w:rsidR="005F3CED" w:rsidRDefault="00637376">
    <w:pPr>
      <w:pStyle w:val="Header"/>
    </w:pPr>
    <w:r>
      <w:rPr>
        <w:noProof/>
      </w:rPr>
      <w:pict w14:anchorId="192A5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686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6DB41" w14:textId="267B9AC3" w:rsidR="005F3CED" w:rsidRDefault="00637376">
    <w:pPr>
      <w:pStyle w:val="Header"/>
    </w:pPr>
    <w:r>
      <w:rPr>
        <w:noProof/>
      </w:rPr>
      <w:pict w14:anchorId="4026A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686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970834"/>
    <w:multiLevelType w:val="multilevel"/>
    <w:tmpl w:val="B316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CE7"/>
    <w:rsid w:val="00001153"/>
    <w:rsid w:val="000347FE"/>
    <w:rsid w:val="00035238"/>
    <w:rsid w:val="00035280"/>
    <w:rsid w:val="00035E84"/>
    <w:rsid w:val="000908F1"/>
    <w:rsid w:val="000F291B"/>
    <w:rsid w:val="001141FA"/>
    <w:rsid w:val="001330AA"/>
    <w:rsid w:val="0016445D"/>
    <w:rsid w:val="00171E43"/>
    <w:rsid w:val="00176999"/>
    <w:rsid w:val="00192382"/>
    <w:rsid w:val="001C5891"/>
    <w:rsid w:val="001F3B49"/>
    <w:rsid w:val="00216C21"/>
    <w:rsid w:val="002966EE"/>
    <w:rsid w:val="002A280E"/>
    <w:rsid w:val="002B1214"/>
    <w:rsid w:val="002B47CF"/>
    <w:rsid w:val="002B69DB"/>
    <w:rsid w:val="002E6D9C"/>
    <w:rsid w:val="002F6267"/>
    <w:rsid w:val="003026F3"/>
    <w:rsid w:val="003153E9"/>
    <w:rsid w:val="003171B1"/>
    <w:rsid w:val="00353049"/>
    <w:rsid w:val="003648FB"/>
    <w:rsid w:val="00371C58"/>
    <w:rsid w:val="003738C7"/>
    <w:rsid w:val="00386FE6"/>
    <w:rsid w:val="003B42B2"/>
    <w:rsid w:val="003C17A6"/>
    <w:rsid w:val="003E1547"/>
    <w:rsid w:val="003E7E83"/>
    <w:rsid w:val="0040202D"/>
    <w:rsid w:val="0042391E"/>
    <w:rsid w:val="00493C0F"/>
    <w:rsid w:val="00497C12"/>
    <w:rsid w:val="004B59FA"/>
    <w:rsid w:val="004C1691"/>
    <w:rsid w:val="004E4DE6"/>
    <w:rsid w:val="004F262E"/>
    <w:rsid w:val="00506E3E"/>
    <w:rsid w:val="00517092"/>
    <w:rsid w:val="0052198E"/>
    <w:rsid w:val="0053188A"/>
    <w:rsid w:val="005547D4"/>
    <w:rsid w:val="00583DC4"/>
    <w:rsid w:val="005C7CBE"/>
    <w:rsid w:val="005D10CC"/>
    <w:rsid w:val="005D7123"/>
    <w:rsid w:val="005E2E1D"/>
    <w:rsid w:val="005F3CED"/>
    <w:rsid w:val="006028ED"/>
    <w:rsid w:val="00627A87"/>
    <w:rsid w:val="00636A43"/>
    <w:rsid w:val="00637376"/>
    <w:rsid w:val="006503B0"/>
    <w:rsid w:val="0065383B"/>
    <w:rsid w:val="006A7C5A"/>
    <w:rsid w:val="006E21A5"/>
    <w:rsid w:val="0070206E"/>
    <w:rsid w:val="00702B2A"/>
    <w:rsid w:val="007149F1"/>
    <w:rsid w:val="00731489"/>
    <w:rsid w:val="00793BAE"/>
    <w:rsid w:val="007B2ADD"/>
    <w:rsid w:val="007B478B"/>
    <w:rsid w:val="007C35C1"/>
    <w:rsid w:val="007D7C5B"/>
    <w:rsid w:val="007F395D"/>
    <w:rsid w:val="00800D42"/>
    <w:rsid w:val="00834696"/>
    <w:rsid w:val="0085237B"/>
    <w:rsid w:val="008B237E"/>
    <w:rsid w:val="009526B6"/>
    <w:rsid w:val="00960E7F"/>
    <w:rsid w:val="00966DCA"/>
    <w:rsid w:val="009742BD"/>
    <w:rsid w:val="00982EA2"/>
    <w:rsid w:val="009B30CD"/>
    <w:rsid w:val="009E3D4D"/>
    <w:rsid w:val="00A2581B"/>
    <w:rsid w:val="00A53AEC"/>
    <w:rsid w:val="00A62D42"/>
    <w:rsid w:val="00A81A40"/>
    <w:rsid w:val="00A86680"/>
    <w:rsid w:val="00AA00AD"/>
    <w:rsid w:val="00AA1321"/>
    <w:rsid w:val="00AA76A6"/>
    <w:rsid w:val="00AE2457"/>
    <w:rsid w:val="00B1213D"/>
    <w:rsid w:val="00B15C21"/>
    <w:rsid w:val="00B17DB1"/>
    <w:rsid w:val="00B228E6"/>
    <w:rsid w:val="00B40B8C"/>
    <w:rsid w:val="00B7620E"/>
    <w:rsid w:val="00B84085"/>
    <w:rsid w:val="00BD3A57"/>
    <w:rsid w:val="00C01A23"/>
    <w:rsid w:val="00C05D91"/>
    <w:rsid w:val="00C3146C"/>
    <w:rsid w:val="00C836E5"/>
    <w:rsid w:val="00CA655F"/>
    <w:rsid w:val="00CE1CF3"/>
    <w:rsid w:val="00CE7343"/>
    <w:rsid w:val="00CF5596"/>
    <w:rsid w:val="00D2074A"/>
    <w:rsid w:val="00D22E59"/>
    <w:rsid w:val="00D27053"/>
    <w:rsid w:val="00D818CB"/>
    <w:rsid w:val="00D82EE8"/>
    <w:rsid w:val="00D84CE8"/>
    <w:rsid w:val="00D90ED1"/>
    <w:rsid w:val="00DA3897"/>
    <w:rsid w:val="00DC6485"/>
    <w:rsid w:val="00DF0A86"/>
    <w:rsid w:val="00DF27E3"/>
    <w:rsid w:val="00E0503E"/>
    <w:rsid w:val="00E432D8"/>
    <w:rsid w:val="00E61882"/>
    <w:rsid w:val="00EB65ED"/>
    <w:rsid w:val="00ED28CC"/>
    <w:rsid w:val="00ED3E71"/>
    <w:rsid w:val="00F10A3D"/>
    <w:rsid w:val="00F33B01"/>
    <w:rsid w:val="00F459B1"/>
    <w:rsid w:val="00F82139"/>
    <w:rsid w:val="00F91E58"/>
    <w:rsid w:val="00F95D75"/>
    <w:rsid w:val="00F9731D"/>
    <w:rsid w:val="00FB25B8"/>
    <w:rsid w:val="00FE5B35"/>
    <w:rsid w:val="00FF5283"/>
    <w:rsid w:val="00FF5CE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B0B9AB"/>
  <w15:chartTrackingRefBased/>
  <w15:docId w15:val="{6DDE290C-B59A-4912-9547-A50FB27D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C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F5C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5C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5C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5C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5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C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F5C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5C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5C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5C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5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CE7"/>
    <w:rPr>
      <w:rFonts w:eastAsiaTheme="majorEastAsia" w:cstheme="majorBidi"/>
      <w:color w:val="272727" w:themeColor="text1" w:themeTint="D8"/>
    </w:rPr>
  </w:style>
  <w:style w:type="paragraph" w:styleId="Title">
    <w:name w:val="Title"/>
    <w:basedOn w:val="Normal"/>
    <w:next w:val="Normal"/>
    <w:link w:val="TitleChar"/>
    <w:uiPriority w:val="10"/>
    <w:qFormat/>
    <w:rsid w:val="00FF5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CE7"/>
    <w:pPr>
      <w:spacing w:before="160"/>
      <w:jc w:val="center"/>
    </w:pPr>
    <w:rPr>
      <w:i/>
      <w:iCs/>
      <w:color w:val="404040" w:themeColor="text1" w:themeTint="BF"/>
    </w:rPr>
  </w:style>
  <w:style w:type="character" w:customStyle="1" w:styleId="QuoteChar">
    <w:name w:val="Quote Char"/>
    <w:basedOn w:val="DefaultParagraphFont"/>
    <w:link w:val="Quote"/>
    <w:uiPriority w:val="29"/>
    <w:rsid w:val="00FF5CE7"/>
    <w:rPr>
      <w:i/>
      <w:iCs/>
      <w:color w:val="404040" w:themeColor="text1" w:themeTint="BF"/>
    </w:rPr>
  </w:style>
  <w:style w:type="paragraph" w:styleId="ListParagraph">
    <w:name w:val="List Paragraph"/>
    <w:basedOn w:val="Normal"/>
    <w:uiPriority w:val="34"/>
    <w:qFormat/>
    <w:rsid w:val="00FF5CE7"/>
    <w:pPr>
      <w:ind w:left="720"/>
      <w:contextualSpacing/>
    </w:pPr>
  </w:style>
  <w:style w:type="character" w:styleId="IntenseEmphasis">
    <w:name w:val="Intense Emphasis"/>
    <w:basedOn w:val="DefaultParagraphFont"/>
    <w:uiPriority w:val="21"/>
    <w:qFormat/>
    <w:rsid w:val="00FF5CE7"/>
    <w:rPr>
      <w:i/>
      <w:iCs/>
      <w:color w:val="2F5496" w:themeColor="accent1" w:themeShade="BF"/>
    </w:rPr>
  </w:style>
  <w:style w:type="paragraph" w:styleId="IntenseQuote">
    <w:name w:val="Intense Quote"/>
    <w:basedOn w:val="Normal"/>
    <w:next w:val="Normal"/>
    <w:link w:val="IntenseQuoteChar"/>
    <w:uiPriority w:val="30"/>
    <w:qFormat/>
    <w:rsid w:val="00FF5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5CE7"/>
    <w:rPr>
      <w:i/>
      <w:iCs/>
      <w:color w:val="2F5496" w:themeColor="accent1" w:themeShade="BF"/>
    </w:rPr>
  </w:style>
  <w:style w:type="character" w:styleId="IntenseReference">
    <w:name w:val="Intense Reference"/>
    <w:basedOn w:val="DefaultParagraphFont"/>
    <w:uiPriority w:val="32"/>
    <w:qFormat/>
    <w:rsid w:val="00FF5CE7"/>
    <w:rPr>
      <w:b/>
      <w:bCs/>
      <w:smallCaps/>
      <w:color w:val="2F5496" w:themeColor="accent1" w:themeShade="BF"/>
      <w:spacing w:val="5"/>
    </w:rPr>
  </w:style>
  <w:style w:type="character" w:styleId="Hyperlink">
    <w:name w:val="Hyperlink"/>
    <w:basedOn w:val="DefaultParagraphFont"/>
    <w:uiPriority w:val="99"/>
    <w:unhideWhenUsed/>
    <w:rsid w:val="001330AA"/>
    <w:rPr>
      <w:color w:val="0563C1" w:themeColor="hyperlink"/>
      <w:u w:val="single"/>
    </w:rPr>
  </w:style>
  <w:style w:type="character" w:styleId="UnresolvedMention">
    <w:name w:val="Unresolved Mention"/>
    <w:basedOn w:val="DefaultParagraphFont"/>
    <w:uiPriority w:val="99"/>
    <w:semiHidden/>
    <w:unhideWhenUsed/>
    <w:rsid w:val="001330AA"/>
    <w:rPr>
      <w:color w:val="605E5C"/>
      <w:shd w:val="clear" w:color="auto" w:fill="E1DFDD"/>
    </w:rPr>
  </w:style>
  <w:style w:type="table" w:styleId="TableGrid">
    <w:name w:val="Table Grid"/>
    <w:basedOn w:val="TableNormal"/>
    <w:uiPriority w:val="39"/>
    <w:rsid w:val="00B228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3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CED"/>
  </w:style>
  <w:style w:type="paragraph" w:styleId="Footer">
    <w:name w:val="footer"/>
    <w:basedOn w:val="Normal"/>
    <w:link w:val="FooterChar"/>
    <w:uiPriority w:val="99"/>
    <w:unhideWhenUsed/>
    <w:rsid w:val="005F3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j.prevetmed.2023.105869" TargetMode="External"/><Relationship Id="rId18" Type="http://schemas.openxmlformats.org/officeDocument/2006/relationships/hyperlink" Target="https://doi.org/10.1002/vetr.45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doi.org/10.3390/pathogens1002014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292/jvms.15-0702"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89/fmicb.2024.1514738" TargetMode="External"/><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371/journal.pntd.001033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14</Pages>
  <Words>3568</Words>
  <Characters>20343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K.</dc:creator>
  <cp:keywords/>
  <dc:description/>
  <cp:lastModifiedBy>SDI 1089</cp:lastModifiedBy>
  <cp:revision>78</cp:revision>
  <dcterms:created xsi:type="dcterms:W3CDTF">2025-09-11T15:45:00Z</dcterms:created>
  <dcterms:modified xsi:type="dcterms:W3CDTF">2025-09-19T08:46:00Z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c73f9b94-ba5c-492c-9d92-ef57e24970b2</vt:lpwstr>
  </property>
</Properties>
</file>