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68D5" w:rsidRDefault="00426BEE" w:rsidP="0001380E">
      <w:pPr>
        <w:jc w:val="both"/>
      </w:pPr>
      <w:r w:rsidRPr="00426BEE">
        <w:t>Original Research Article</w:t>
      </w:r>
    </w:p>
    <w:p w:rsidR="00426BEE" w:rsidRDefault="00426BEE" w:rsidP="0001380E">
      <w:pPr>
        <w:jc w:val="both"/>
      </w:pPr>
    </w:p>
    <w:p w:rsidR="00B952C7" w:rsidRPr="00DE05BE" w:rsidRDefault="00B952C7" w:rsidP="00B952C7">
      <w:pPr>
        <w:pStyle w:val="Default"/>
        <w:spacing w:line="276" w:lineRule="auto"/>
        <w:jc w:val="center"/>
        <w:rPr>
          <w:sz w:val="28"/>
          <w:szCs w:val="28"/>
        </w:rPr>
      </w:pPr>
      <w:r w:rsidRPr="00DE05BE">
        <w:rPr>
          <w:b/>
          <w:bCs/>
          <w:sz w:val="28"/>
          <w:szCs w:val="28"/>
        </w:rPr>
        <w:t>Evaluation of Groundnut Germplasm for Late Leaf Spot Resistance</w:t>
      </w:r>
    </w:p>
    <w:p w:rsidR="00F50EC8" w:rsidRDefault="00F50EC8" w:rsidP="00B952C7">
      <w:pPr>
        <w:jc w:val="center"/>
        <w:rPr>
          <w:rFonts w:ascii="Times New Roman" w:hAnsi="Times New Roman" w:cs="Times New Roman"/>
          <w:b/>
          <w:sz w:val="24"/>
          <w:szCs w:val="24"/>
        </w:rPr>
      </w:pPr>
    </w:p>
    <w:p w:rsidR="00B952C7" w:rsidRPr="00DE05BE" w:rsidRDefault="00B952C7" w:rsidP="00B952C7">
      <w:pPr>
        <w:spacing w:before="240"/>
        <w:jc w:val="center"/>
        <w:rPr>
          <w:rFonts w:ascii="Times New Roman" w:hAnsi="Times New Roman" w:cs="Times New Roman"/>
          <w:b/>
          <w:bCs/>
          <w:sz w:val="24"/>
          <w:szCs w:val="24"/>
        </w:rPr>
      </w:pPr>
      <w:bookmarkStart w:id="0" w:name="_GoBack"/>
      <w:bookmarkEnd w:id="0"/>
    </w:p>
    <w:p w:rsidR="00B952C7" w:rsidRPr="00510C89" w:rsidRDefault="00B952C7" w:rsidP="00B952C7">
      <w:pPr>
        <w:jc w:val="center"/>
        <w:rPr>
          <w:rFonts w:ascii="Times New Roman" w:hAnsi="Times New Roman" w:cs="Times New Roman"/>
          <w:b/>
          <w:bCs/>
          <w:sz w:val="24"/>
          <w:szCs w:val="24"/>
        </w:rPr>
      </w:pPr>
      <w:r w:rsidRPr="00510C89">
        <w:rPr>
          <w:rFonts w:ascii="Times New Roman" w:hAnsi="Times New Roman" w:cs="Times New Roman"/>
          <w:b/>
          <w:bCs/>
          <w:sz w:val="24"/>
          <w:szCs w:val="24"/>
        </w:rPr>
        <w:t>Abstract</w:t>
      </w:r>
    </w:p>
    <w:p w:rsidR="00B952C7" w:rsidRDefault="00B952C7" w:rsidP="00B952C7">
      <w:pPr>
        <w:jc w:val="both"/>
        <w:rPr>
          <w:rFonts w:ascii="Times New Roman" w:hAnsi="Times New Roman" w:cs="Times New Roman"/>
          <w:sz w:val="24"/>
          <w:szCs w:val="24"/>
        </w:rPr>
      </w:pPr>
      <w:r w:rsidRPr="00510C89">
        <w:rPr>
          <w:rFonts w:ascii="Times New Roman" w:hAnsi="Times New Roman" w:cs="Times New Roman"/>
          <w:sz w:val="24"/>
          <w:szCs w:val="24"/>
        </w:rPr>
        <w:t>Groundnut (</w:t>
      </w:r>
      <w:proofErr w:type="spellStart"/>
      <w:r w:rsidRPr="00510C89">
        <w:rPr>
          <w:rFonts w:ascii="Times New Roman" w:hAnsi="Times New Roman" w:cs="Times New Roman"/>
          <w:i/>
          <w:iCs/>
          <w:sz w:val="24"/>
          <w:szCs w:val="24"/>
        </w:rPr>
        <w:t>Arachis</w:t>
      </w:r>
      <w:proofErr w:type="spellEnd"/>
      <w:r w:rsidRPr="00510C89">
        <w:rPr>
          <w:rFonts w:ascii="Times New Roman" w:hAnsi="Times New Roman" w:cs="Times New Roman"/>
          <w:i/>
          <w:iCs/>
          <w:sz w:val="24"/>
          <w:szCs w:val="24"/>
        </w:rPr>
        <w:t xml:space="preserve"> </w:t>
      </w:r>
      <w:proofErr w:type="spellStart"/>
      <w:r w:rsidRPr="00510C89">
        <w:rPr>
          <w:rFonts w:ascii="Times New Roman" w:hAnsi="Times New Roman" w:cs="Times New Roman"/>
          <w:i/>
          <w:iCs/>
          <w:sz w:val="24"/>
          <w:szCs w:val="24"/>
        </w:rPr>
        <w:t>hypogaea</w:t>
      </w:r>
      <w:proofErr w:type="spellEnd"/>
      <w:r w:rsidRPr="00510C89">
        <w:rPr>
          <w:rFonts w:ascii="Times New Roman" w:hAnsi="Times New Roman" w:cs="Times New Roman"/>
          <w:sz w:val="24"/>
          <w:szCs w:val="24"/>
        </w:rPr>
        <w:t xml:space="preserve"> L.) is a vital global oilseed crop whose productivity is severely constrained by late leaf spot (LLS) disease, caused by </w:t>
      </w:r>
      <w:proofErr w:type="spellStart"/>
      <w:r w:rsidRPr="00510C89">
        <w:rPr>
          <w:rFonts w:ascii="Times New Roman" w:hAnsi="Times New Roman" w:cs="Times New Roman"/>
          <w:sz w:val="24"/>
          <w:szCs w:val="24"/>
        </w:rPr>
        <w:t>Nothopassalorapersonata</w:t>
      </w:r>
      <w:proofErr w:type="spellEnd"/>
      <w:r w:rsidRPr="00510C89">
        <w:rPr>
          <w:rFonts w:ascii="Times New Roman" w:hAnsi="Times New Roman" w:cs="Times New Roman"/>
          <w:sz w:val="24"/>
          <w:szCs w:val="24"/>
        </w:rPr>
        <w:t>, which can cause yield losses of 50-70%. Developing resistant cultivars is the most sustainable management strategy. This study aimed to screen 21 groundnut genotypes for LLS resistance during Kharif 2024. Screening was conducted using a 1–9 visual scale at 75 and 85 days after sowing (DAS) to assess both early and progressive disease reactions. The results identified GPBD-4, KDG-128, and JL-776 as parental lines with stable resistance at both growth stages. Among segregating populations, crosses involving these resistant parents, particularly JL-776 × KDG-128 and JL-776 × GPBD-4, demonstrated consistent and durable resistance across the F₁, F₂, and backcross generations. The study confirms that these genotypes are reliable sources of resistance alleles. The cross combinations JL-776 × KDG-128 and JL-776 × GPBD-4 are identified as excellent breeding material for developing high-yielding, resilient groundnut cultivars with durable LLS resistance.</w:t>
      </w:r>
    </w:p>
    <w:p w:rsidR="00B952C7" w:rsidRPr="00D43D4C" w:rsidRDefault="00B952C7" w:rsidP="00B952C7">
      <w:pPr>
        <w:jc w:val="both"/>
        <w:rPr>
          <w:rFonts w:ascii="Times New Roman" w:hAnsi="Times New Roman" w:cs="Times New Roman"/>
          <w:sz w:val="24"/>
          <w:szCs w:val="24"/>
        </w:rPr>
      </w:pPr>
      <w:r w:rsidRPr="006D6E3C">
        <w:rPr>
          <w:rFonts w:ascii="Times New Roman" w:hAnsi="Times New Roman" w:cs="Times New Roman"/>
          <w:b/>
          <w:sz w:val="24"/>
          <w:szCs w:val="24"/>
        </w:rPr>
        <w:t>Keywords</w:t>
      </w:r>
      <w:r w:rsidRPr="006D6E3C">
        <w:rPr>
          <w:rFonts w:ascii="Times New Roman" w:hAnsi="Times New Roman" w:cs="Times New Roman"/>
          <w:sz w:val="24"/>
          <w:szCs w:val="24"/>
        </w:rPr>
        <w:t xml:space="preserve">: </w:t>
      </w:r>
      <w:proofErr w:type="spellStart"/>
      <w:proofErr w:type="gramStart"/>
      <w:r w:rsidRPr="006D6E3C">
        <w:rPr>
          <w:rFonts w:ascii="Times New Roman" w:hAnsi="Times New Roman" w:cs="Times New Roman"/>
          <w:sz w:val="24"/>
          <w:szCs w:val="24"/>
        </w:rPr>
        <w:t>Groundnut</w:t>
      </w:r>
      <w:r w:rsidRPr="00281475">
        <w:rPr>
          <w:rFonts w:ascii="Times New Roman" w:hAnsi="Times New Roman" w:cs="Times New Roman"/>
          <w:sz w:val="24"/>
          <w:szCs w:val="24"/>
        </w:rPr>
        <w:t>,foliar</w:t>
      </w:r>
      <w:proofErr w:type="spellEnd"/>
      <w:proofErr w:type="gramEnd"/>
      <w:r w:rsidRPr="00281475">
        <w:rPr>
          <w:rFonts w:ascii="Times New Roman" w:hAnsi="Times New Roman" w:cs="Times New Roman"/>
          <w:sz w:val="24"/>
          <w:szCs w:val="24"/>
        </w:rPr>
        <w:t xml:space="preserve"> </w:t>
      </w:r>
      <w:proofErr w:type="spellStart"/>
      <w:r w:rsidRPr="00281475">
        <w:rPr>
          <w:rFonts w:ascii="Times New Roman" w:hAnsi="Times New Roman" w:cs="Times New Roman"/>
          <w:sz w:val="24"/>
          <w:szCs w:val="24"/>
        </w:rPr>
        <w:t>disease</w:t>
      </w:r>
      <w:r>
        <w:rPr>
          <w:rFonts w:ascii="Times New Roman" w:hAnsi="Times New Roman" w:cs="Times New Roman"/>
          <w:sz w:val="24"/>
          <w:szCs w:val="24"/>
        </w:rPr>
        <w:t>,Late</w:t>
      </w:r>
      <w:proofErr w:type="spellEnd"/>
      <w:r>
        <w:rPr>
          <w:rFonts w:ascii="Times New Roman" w:hAnsi="Times New Roman" w:cs="Times New Roman"/>
          <w:sz w:val="24"/>
          <w:szCs w:val="24"/>
        </w:rPr>
        <w:t xml:space="preserve"> leaf spot (LLS), Field screening</w:t>
      </w:r>
      <w:r w:rsidRPr="00281475">
        <w:rPr>
          <w:rFonts w:ascii="Times New Roman" w:hAnsi="Times New Roman" w:cs="Times New Roman"/>
          <w:sz w:val="24"/>
          <w:szCs w:val="24"/>
        </w:rPr>
        <w:t>, Resistance</w:t>
      </w:r>
      <w:r>
        <w:rPr>
          <w:rFonts w:ascii="Times New Roman" w:hAnsi="Times New Roman" w:cs="Times New Roman"/>
          <w:sz w:val="24"/>
          <w:szCs w:val="24"/>
        </w:rPr>
        <w:t>,</w:t>
      </w:r>
    </w:p>
    <w:p w:rsidR="00B952C7" w:rsidRDefault="00B952C7" w:rsidP="00B952C7">
      <w:pPr>
        <w:rPr>
          <w:rFonts w:ascii="Times New Roman" w:hAnsi="Times New Roman" w:cs="Times New Roman"/>
          <w:b/>
          <w:bCs/>
          <w:sz w:val="24"/>
          <w:szCs w:val="24"/>
        </w:rPr>
      </w:pPr>
      <w:r w:rsidRPr="00DE05BE">
        <w:rPr>
          <w:rFonts w:ascii="Times New Roman" w:hAnsi="Times New Roman" w:cs="Times New Roman"/>
          <w:b/>
          <w:bCs/>
          <w:sz w:val="24"/>
          <w:szCs w:val="24"/>
        </w:rPr>
        <w:t>Introduction-</w:t>
      </w:r>
    </w:p>
    <w:p w:rsidR="00E850BF" w:rsidRPr="001D1B37" w:rsidRDefault="00E850BF" w:rsidP="006D6E3C">
      <w:pPr>
        <w:pStyle w:val="NormalWeb"/>
        <w:ind w:firstLine="720"/>
        <w:jc w:val="both"/>
      </w:pPr>
      <w:r w:rsidRPr="001D1B37">
        <w:t>Groundnut (</w:t>
      </w:r>
      <w:proofErr w:type="spellStart"/>
      <w:r w:rsidRPr="001D1B37">
        <w:rPr>
          <w:rStyle w:val="Emphasis"/>
        </w:rPr>
        <w:t>Arachis</w:t>
      </w:r>
      <w:proofErr w:type="spellEnd"/>
      <w:r w:rsidRPr="001D1B37">
        <w:rPr>
          <w:rStyle w:val="Emphasis"/>
        </w:rPr>
        <w:t xml:space="preserve"> </w:t>
      </w:r>
      <w:proofErr w:type="spellStart"/>
      <w:r w:rsidRPr="001D1B37">
        <w:rPr>
          <w:rStyle w:val="Emphasis"/>
        </w:rPr>
        <w:t>hypogaea</w:t>
      </w:r>
      <w:proofErr w:type="spellEnd"/>
      <w:r w:rsidRPr="001D1B37">
        <w:t xml:space="preserve"> L.), commonly known as peanut, is one of the most important oilseed crops cultivated worldwide. It is a </w:t>
      </w:r>
      <w:r w:rsidRPr="00EC4D05">
        <w:rPr>
          <w:rStyle w:val="Strong"/>
          <w:b w:val="0"/>
        </w:rPr>
        <w:t>self-pollinated, allotetraploid annual legume</w:t>
      </w:r>
      <w:r w:rsidRPr="001D1B37">
        <w:t xml:space="preserve"> (2n = 4x = 40) with a genome size of approximately 2800 Mb/1C, which originated from the natural hybridization of two diploid wild species, </w:t>
      </w:r>
      <w:r w:rsidRPr="001D1B37">
        <w:rPr>
          <w:rStyle w:val="Emphasis"/>
        </w:rPr>
        <w:t xml:space="preserve">A. </w:t>
      </w:r>
      <w:proofErr w:type="spellStart"/>
      <w:r w:rsidRPr="001D1B37">
        <w:rPr>
          <w:rStyle w:val="Emphasis"/>
        </w:rPr>
        <w:t>duranensis</w:t>
      </w:r>
      <w:proofErr w:type="spellEnd"/>
      <w:r w:rsidRPr="001D1B37">
        <w:t xml:space="preserve"> (A genome) and </w:t>
      </w:r>
      <w:r w:rsidRPr="001D1B37">
        <w:rPr>
          <w:rStyle w:val="Emphasis"/>
        </w:rPr>
        <w:t xml:space="preserve">A. </w:t>
      </w:r>
      <w:proofErr w:type="spellStart"/>
      <w:r w:rsidRPr="001D1B37">
        <w:rPr>
          <w:rStyle w:val="Emphasis"/>
        </w:rPr>
        <w:t>ipaensis</w:t>
      </w:r>
      <w:proofErr w:type="spellEnd"/>
      <w:r w:rsidRPr="001D1B37">
        <w:t xml:space="preserve"> (B genome), followed by chromosome doubling and polyploidization. This unique genomic constitution has contributed to its wide adaptability and agronomic versatility. Groundnut is widely grown in tropical and subtropical regions and ranks as the </w:t>
      </w:r>
      <w:r w:rsidRPr="00EC4D05">
        <w:rPr>
          <w:rStyle w:val="Strong"/>
          <w:b w:val="0"/>
        </w:rPr>
        <w:t>sixth most important oilseed crop globally</w:t>
      </w:r>
      <w:r w:rsidRPr="00EC4D05">
        <w:rPr>
          <w:b/>
        </w:rPr>
        <w:t xml:space="preserve">. </w:t>
      </w:r>
      <w:r w:rsidRPr="00EC4D05">
        <w:t xml:space="preserve">The crop is highly valued for </w:t>
      </w:r>
      <w:proofErr w:type="spellStart"/>
      <w:r w:rsidRPr="00EC4D05">
        <w:t>its</w:t>
      </w:r>
      <w:r w:rsidRPr="00EC4D05">
        <w:rPr>
          <w:rStyle w:val="Strong"/>
          <w:b w:val="0"/>
        </w:rPr>
        <w:t>oil</w:t>
      </w:r>
      <w:proofErr w:type="spellEnd"/>
      <w:r w:rsidRPr="00EC4D05">
        <w:rPr>
          <w:rStyle w:val="Strong"/>
          <w:b w:val="0"/>
        </w:rPr>
        <w:t xml:space="preserve"> content (45–53</w:t>
      </w:r>
      <w:proofErr w:type="gramStart"/>
      <w:r w:rsidRPr="00EC4D05">
        <w:rPr>
          <w:rStyle w:val="Strong"/>
          <w:b w:val="0"/>
        </w:rPr>
        <w:t>%)</w:t>
      </w:r>
      <w:r w:rsidRPr="00EC4D05">
        <w:t>and</w:t>
      </w:r>
      <w:proofErr w:type="gramEnd"/>
      <w:r w:rsidRPr="00EC4D05">
        <w:t xml:space="preserve"> </w:t>
      </w:r>
      <w:r w:rsidRPr="00EC4D05">
        <w:rPr>
          <w:rStyle w:val="Strong"/>
          <w:b w:val="0"/>
        </w:rPr>
        <w:t>digestible protein (25–30%)</w:t>
      </w:r>
      <w:r w:rsidRPr="00EC4D05">
        <w:rPr>
          <w:b/>
        </w:rPr>
        <w:t>,</w:t>
      </w:r>
      <w:r w:rsidRPr="001D1B37">
        <w:t xml:space="preserve"> which make it a vital source of food, feed, and raw material for oil processing industries. In addition to its nutritional importance, groundnut kernels contain vitamins, minerals, and bioactive compounds that enhance human health, while the haulms serve as protein-rich fodder for livestock, thereby sustaining mixed farming systems (Nigam, 2014).</w:t>
      </w:r>
    </w:p>
    <w:p w:rsidR="00E850BF" w:rsidRPr="001D1B37" w:rsidRDefault="00E850BF" w:rsidP="006D6E3C">
      <w:pPr>
        <w:pStyle w:val="NormalWeb"/>
        <w:ind w:firstLine="720"/>
        <w:jc w:val="both"/>
      </w:pPr>
      <w:r w:rsidRPr="001D1B37">
        <w:t xml:space="preserve">Despite its significance, groundnut productivity is severely constrained by multiple </w:t>
      </w:r>
      <w:r w:rsidRPr="00EC4D05">
        <w:rPr>
          <w:rStyle w:val="Strong"/>
          <w:b w:val="0"/>
        </w:rPr>
        <w:t>biotic and abiotic stresses</w:t>
      </w:r>
      <w:r w:rsidRPr="001D1B37">
        <w:t xml:space="preserve">. Drought, heat stress, and poor soil fertility are among the major abiotic challenges, while foliar fungal diseases, especially </w:t>
      </w:r>
      <w:r w:rsidRPr="00EC4D05">
        <w:rPr>
          <w:rStyle w:val="Strong"/>
          <w:b w:val="0"/>
        </w:rPr>
        <w:t>late leaf spot (LLS)</w:t>
      </w:r>
      <w:r w:rsidRPr="001D1B37">
        <w:t xml:space="preserve"> and rust, remain the most destructive biotic constraints. The majority of commercially cultivated varieties, particularly of the Spanish bunch type (</w:t>
      </w:r>
      <w:proofErr w:type="spellStart"/>
      <w:r w:rsidRPr="001D1B37">
        <w:rPr>
          <w:rStyle w:val="Emphasis"/>
        </w:rPr>
        <w:t>Arachis</w:t>
      </w:r>
      <w:proofErr w:type="spellEnd"/>
      <w:r w:rsidRPr="001D1B37">
        <w:rPr>
          <w:rStyle w:val="Emphasis"/>
        </w:rPr>
        <w:t xml:space="preserve"> </w:t>
      </w:r>
      <w:proofErr w:type="spellStart"/>
      <w:r w:rsidRPr="001D1B37">
        <w:rPr>
          <w:rStyle w:val="Emphasis"/>
        </w:rPr>
        <w:t>hypogaea</w:t>
      </w:r>
      <w:proofErr w:type="spellEnd"/>
      <w:r w:rsidRPr="001D1B37">
        <w:t xml:space="preserve"> ssp. </w:t>
      </w:r>
      <w:proofErr w:type="spellStart"/>
      <w:r w:rsidRPr="001D1B37">
        <w:rPr>
          <w:rStyle w:val="Emphasis"/>
        </w:rPr>
        <w:t>fastigiata</w:t>
      </w:r>
      <w:proofErr w:type="spellEnd"/>
      <w:r w:rsidRPr="001D1B37">
        <w:t xml:space="preserve">), are highly prone to foliar diseases. Among these, </w:t>
      </w:r>
      <w:r w:rsidRPr="00EC4D05">
        <w:rPr>
          <w:rStyle w:val="Strong"/>
          <w:b w:val="0"/>
        </w:rPr>
        <w:t xml:space="preserve">LLS caused </w:t>
      </w:r>
      <w:proofErr w:type="spellStart"/>
      <w:r w:rsidRPr="00EC4D05">
        <w:rPr>
          <w:rStyle w:val="Strong"/>
          <w:b w:val="0"/>
        </w:rPr>
        <w:t>by</w:t>
      </w:r>
      <w:r w:rsidRPr="001D1B37">
        <w:rPr>
          <w:rStyle w:val="Emphasis"/>
          <w:bCs/>
        </w:rPr>
        <w:t>Nothopassalorapersonata</w:t>
      </w:r>
      <w:proofErr w:type="spellEnd"/>
      <w:r w:rsidRPr="001D1B37">
        <w:t xml:space="preserve"> (syn. </w:t>
      </w:r>
      <w:proofErr w:type="spellStart"/>
      <w:r w:rsidRPr="001D1B37">
        <w:rPr>
          <w:rStyle w:val="Emphasis"/>
        </w:rPr>
        <w:lastRenderedPageBreak/>
        <w:t>Cercosporidiumpersonatum</w:t>
      </w:r>
      <w:proofErr w:type="spellEnd"/>
      <w:r w:rsidRPr="001D1B37">
        <w:t xml:space="preserve"> or </w:t>
      </w:r>
      <w:proofErr w:type="spellStart"/>
      <w:r w:rsidRPr="001D1B37">
        <w:rPr>
          <w:rStyle w:val="Emphasis"/>
        </w:rPr>
        <w:t>Phaeoisariopsis</w:t>
      </w:r>
      <w:proofErr w:type="spellEnd"/>
      <w:r w:rsidRPr="001D1B37">
        <w:rPr>
          <w:rStyle w:val="Emphasis"/>
        </w:rPr>
        <w:t xml:space="preserve"> </w:t>
      </w:r>
      <w:proofErr w:type="spellStart"/>
      <w:r w:rsidRPr="001D1B37">
        <w:rPr>
          <w:rStyle w:val="Emphasis"/>
        </w:rPr>
        <w:t>personata</w:t>
      </w:r>
      <w:proofErr w:type="spellEnd"/>
      <w:r w:rsidRPr="001D1B37">
        <w:t xml:space="preserve">) is one of the most devastating diseases affecting groundnut worldwide (Subrahmanyam et al., 1995; </w:t>
      </w:r>
      <w:proofErr w:type="spellStart"/>
      <w:r w:rsidRPr="001D1B37">
        <w:t>Waliyar</w:t>
      </w:r>
      <w:proofErr w:type="spellEnd"/>
      <w:r w:rsidRPr="001D1B37">
        <w:t xml:space="preserve">, 1991; </w:t>
      </w:r>
      <w:proofErr w:type="spellStart"/>
      <w:r w:rsidRPr="001D1B37">
        <w:t>Sukruth</w:t>
      </w:r>
      <w:proofErr w:type="spellEnd"/>
      <w:r w:rsidRPr="001D1B37">
        <w:t>, 2017; Ramakrishnan et al., 2020).</w:t>
      </w:r>
    </w:p>
    <w:p w:rsidR="00E850BF" w:rsidRPr="001D1B37" w:rsidRDefault="00E850BF" w:rsidP="006D6E3C">
      <w:pPr>
        <w:pStyle w:val="NormalWeb"/>
        <w:ind w:firstLine="720"/>
        <w:jc w:val="both"/>
      </w:pPr>
      <w:r w:rsidRPr="001D1B37">
        <w:t xml:space="preserve">The pathogen typically appears </w:t>
      </w:r>
      <w:r w:rsidRPr="00EC4D05">
        <w:rPr>
          <w:rStyle w:val="Strong"/>
          <w:b w:val="0"/>
        </w:rPr>
        <w:t>45–60 days after sowing (DAS</w:t>
      </w:r>
      <w:r w:rsidRPr="001D1B37">
        <w:rPr>
          <w:rStyle w:val="Strong"/>
        </w:rPr>
        <w:t>)</w:t>
      </w:r>
      <w:r w:rsidRPr="001D1B37">
        <w:t xml:space="preserve">, later than early leaf spot (ELS), which justifies its nomenclature. Symptoms are characterized initially by small, dark brown to black circular lesions appearing predominantly on the abaxial (lower) surface of older leaves. As the infection progresses, lesions enlarge to 3–10 mm in diameter, deepen in colour, and become visible on both leaf surfaces. Often, mature lesions are surrounded by faint chlorotic halos. In severe cases, the disease leads to premature defoliation, reduced photosynthetic activity, and accelerated plant senescence. Such epidemics drastically curtail pod filling and kernel development, ultimately resulting in </w:t>
      </w:r>
      <w:r w:rsidRPr="00EC4D05">
        <w:rPr>
          <w:rStyle w:val="Strong"/>
          <w:b w:val="0"/>
        </w:rPr>
        <w:t>yield losses of 50–70%</w:t>
      </w:r>
      <w:r w:rsidRPr="001D1B37">
        <w:t xml:space="preserve"> in susceptible cultivars (McDonald &amp; Subrahmanyam, 1985; Subrahmanyam et al., 1985; </w:t>
      </w:r>
      <w:proofErr w:type="spellStart"/>
      <w:r w:rsidRPr="001D1B37">
        <w:t>Waliyar</w:t>
      </w:r>
      <w:proofErr w:type="spellEnd"/>
      <w:r w:rsidRPr="001D1B37">
        <w:t>, 1990). In India, where fungicide applications are often limited due to cost constraints, yield losses can exceed 70% in unmanaged fields.</w:t>
      </w:r>
    </w:p>
    <w:p w:rsidR="00E850BF" w:rsidRPr="001D1B37" w:rsidRDefault="00E850BF" w:rsidP="006D6E3C">
      <w:pPr>
        <w:pStyle w:val="NormalWeb"/>
        <w:ind w:firstLine="720"/>
        <w:jc w:val="both"/>
      </w:pPr>
      <w:r w:rsidRPr="001D1B37">
        <w:t xml:space="preserve">The impact of LLS extends beyond yield reduction. Infected plants produce kernels of inferior quality with lower oil content, reduced protein, and diminished market value. Consequently, LLS not only affects farmer livelihoods but also influences oilseed trade and processing industries, thereby impacting national food security and export potential. Its economic significance has led to the disease being recognized as one of the </w:t>
      </w:r>
      <w:r w:rsidRPr="001D1B37">
        <w:rPr>
          <w:rStyle w:val="Strong"/>
          <w:b w:val="0"/>
        </w:rPr>
        <w:t>most important foliar diseases of groundnut worldwide</w:t>
      </w:r>
      <w:r w:rsidRPr="001D1B37">
        <w:t>.</w:t>
      </w:r>
    </w:p>
    <w:p w:rsidR="00E850BF" w:rsidRPr="001D1B37" w:rsidRDefault="00E850BF" w:rsidP="006D6E3C">
      <w:pPr>
        <w:pStyle w:val="NormalWeb"/>
        <w:ind w:firstLine="720"/>
        <w:jc w:val="both"/>
      </w:pPr>
      <w:r w:rsidRPr="001D1B37">
        <w:t xml:space="preserve">Efforts to manage LLS have traditionally relied on </w:t>
      </w:r>
      <w:r w:rsidRPr="001D1B37">
        <w:rPr>
          <w:rStyle w:val="Strong"/>
          <w:b w:val="0"/>
        </w:rPr>
        <w:t>chemical control</w:t>
      </w:r>
      <w:r w:rsidRPr="001D1B37">
        <w:rPr>
          <w:b/>
        </w:rPr>
        <w:t>,</w:t>
      </w:r>
      <w:r w:rsidRPr="001D1B37">
        <w:t xml:space="preserve"> particularly fungicides such as chlorothalonil, mancozeb, and triazoles. While effective, repeated fungicide applications increase production costs, pose risks of chemical residues, and raise environmental and health concerns. Moreover, continuous use can lead to the evolution of fungicide-resistant pathogen strains, further complicating disease management (</w:t>
      </w:r>
      <w:proofErr w:type="spellStart"/>
      <w:r w:rsidRPr="001D1B37">
        <w:t>Pande</w:t>
      </w:r>
      <w:proofErr w:type="spellEnd"/>
      <w:r w:rsidRPr="001D1B37">
        <w:t xml:space="preserve"> &amp; Rao, 2001). Cultural practices, including crop rotation, destruction of infected residues, and deep ploughing, provide some degree of disease reduction but are </w:t>
      </w:r>
      <w:r w:rsidRPr="001D1B37">
        <w:rPr>
          <w:rStyle w:val="Strong"/>
          <w:b w:val="0"/>
        </w:rPr>
        <w:t>rarely feasible for smallholder farmers</w:t>
      </w:r>
      <w:r w:rsidRPr="001D1B37">
        <w:t xml:space="preserve"> due to limited land availability, high labour demand, and lack of awareness (Gowda et al., 2002).</w:t>
      </w:r>
    </w:p>
    <w:p w:rsidR="00E850BF" w:rsidRPr="001D1B37" w:rsidRDefault="00E850BF" w:rsidP="006D6E3C">
      <w:pPr>
        <w:pStyle w:val="NormalWeb"/>
        <w:ind w:firstLine="720"/>
        <w:jc w:val="both"/>
      </w:pPr>
      <w:r w:rsidRPr="001D1B37">
        <w:t xml:space="preserve">Given these challenges, </w:t>
      </w:r>
      <w:r w:rsidRPr="001D1B37">
        <w:rPr>
          <w:rStyle w:val="Strong"/>
          <w:b w:val="0"/>
        </w:rPr>
        <w:t>host plant resistance</w:t>
      </w:r>
      <w:r w:rsidRPr="001D1B37">
        <w:t xml:space="preserve"> has emerged as the most efficient, cost-effective, and eco-friendly strategy for sustainable LLS management, especially in developing countries. Deployment of resistant cultivars reduces reliance on chemical fungicides, lowers input costs, and contributes to environmentally safe production systems. Several resistant donor lines have been identified over the years, such as </w:t>
      </w:r>
      <w:r w:rsidR="001D1B37" w:rsidRPr="001D1B37">
        <w:rPr>
          <w:rStyle w:val="Strong"/>
          <w:b w:val="0"/>
        </w:rPr>
        <w:t xml:space="preserve">GPBD-4 </w:t>
      </w:r>
      <w:r w:rsidRPr="001D1B37">
        <w:rPr>
          <w:rStyle w:val="Strong"/>
          <w:b w:val="0"/>
        </w:rPr>
        <w:t>and KDG-128</w:t>
      </w:r>
      <w:r w:rsidRPr="001D1B37">
        <w:t>, and have been widely utilized in breeding programs (</w:t>
      </w:r>
      <w:proofErr w:type="spellStart"/>
      <w:r w:rsidRPr="001D1B37">
        <w:t>Khedikar</w:t>
      </w:r>
      <w:proofErr w:type="spellEnd"/>
      <w:r w:rsidRPr="001D1B37">
        <w:t xml:space="preserve"> et al., 2010; Sujay et al., 2012; Dwivedi et al., 2002). However, the inheritance of LLS resistance is complex and polygenic in nature. Studies have demonstrated that resistance is governed by </w:t>
      </w:r>
      <w:r w:rsidRPr="001D1B37">
        <w:rPr>
          <w:rStyle w:val="Strong"/>
          <w:b w:val="0"/>
        </w:rPr>
        <w:t>quantitative trait loci (QTLs)</w:t>
      </w:r>
      <w:r w:rsidRPr="001D1B37">
        <w:t xml:space="preserve"> involving additive, dominance, and epistatic interactions (</w:t>
      </w:r>
      <w:proofErr w:type="spellStart"/>
      <w:r w:rsidRPr="001D1B37">
        <w:t>Motagi</w:t>
      </w:r>
      <w:proofErr w:type="spellEnd"/>
      <w:r w:rsidRPr="001D1B37">
        <w:t xml:space="preserve"> et al., 2001; Sujay et al., 2012). Additionally, the expression of resistance is strongly influenced by environmental factors such as temperature, humidity, and rainfall patterns, making it challenging to achieve stable resistance across diverse </w:t>
      </w:r>
      <w:proofErr w:type="spellStart"/>
      <w:r w:rsidRPr="001D1B37">
        <w:t>agro</w:t>
      </w:r>
      <w:proofErr w:type="spellEnd"/>
      <w:r w:rsidRPr="001D1B37">
        <w:t>-ecologies.</w:t>
      </w:r>
    </w:p>
    <w:p w:rsidR="00E850BF" w:rsidRPr="001D1B37" w:rsidRDefault="00E850BF" w:rsidP="006D6E3C">
      <w:pPr>
        <w:pStyle w:val="NormalWeb"/>
        <w:ind w:firstLine="720"/>
        <w:jc w:val="both"/>
      </w:pPr>
      <w:r w:rsidRPr="001D1B37">
        <w:t xml:space="preserve">The </w:t>
      </w:r>
      <w:r w:rsidRPr="001D1B37">
        <w:rPr>
          <w:rStyle w:val="Strong"/>
          <w:b w:val="0"/>
        </w:rPr>
        <w:t>quantitative and environment-sensitive nature</w:t>
      </w:r>
      <w:r w:rsidRPr="001D1B37">
        <w:t xml:space="preserve"> of LLS resistance complicates direct selection in breeding programs. While classical breeding approaches have been successful to some extent, progress has been relatively slow. The advent of molecular breeding, especially QTL mapping and marker-assisted selection, has accelerated the process </w:t>
      </w:r>
      <w:r w:rsidRPr="001D1B37">
        <w:lastRenderedPageBreak/>
        <w:t xml:space="preserve">by enabling precise </w:t>
      </w:r>
      <w:proofErr w:type="spellStart"/>
      <w:r w:rsidRPr="001D1B37">
        <w:t>introgression</w:t>
      </w:r>
      <w:proofErr w:type="spellEnd"/>
      <w:r w:rsidRPr="001D1B37">
        <w:t xml:space="preserve"> of resistance loci into elite cultivars (</w:t>
      </w:r>
      <w:proofErr w:type="spellStart"/>
      <w:r w:rsidRPr="001D1B37">
        <w:t>Khedikar</w:t>
      </w:r>
      <w:proofErr w:type="spellEnd"/>
      <w:r w:rsidRPr="001D1B37">
        <w:t xml:space="preserve"> et al., 2010; Ramakrishnan et al., 2020). Nonetheless, phenotypic screening under field conditions remains indispensable for validating resistance and ensuring durability.</w:t>
      </w:r>
    </w:p>
    <w:p w:rsidR="00E850BF" w:rsidRPr="001D1B37" w:rsidRDefault="00E850BF" w:rsidP="006D6E3C">
      <w:pPr>
        <w:pStyle w:val="NormalWeb"/>
        <w:ind w:firstLine="720"/>
        <w:jc w:val="both"/>
      </w:pPr>
      <w:r w:rsidRPr="001D1B37">
        <w:t xml:space="preserve">Therefore, there is a continued need to identify </w:t>
      </w:r>
      <w:r w:rsidRPr="001D1B37">
        <w:rPr>
          <w:rStyle w:val="Strong"/>
          <w:b w:val="0"/>
        </w:rPr>
        <w:t>stable sources of resistance</w:t>
      </w:r>
      <w:r w:rsidRPr="001D1B37">
        <w:t xml:space="preserve"> and evaluate their performance under natural disease pressure. Combining resistant donors with high-yielding and high oleic acid parents offers a promising avenue for developing cultivars that are both agronomically superior and disease-resistant. The present study was undertaken to evaluate groundnut germplasm and segregating populations for LLS resistance, with the ultimate aim of identifying reliable parental lines and promising cross combinations for use in resistance breeding programs.</w:t>
      </w:r>
    </w:p>
    <w:p w:rsidR="00B952C7" w:rsidRPr="00DE05BE" w:rsidRDefault="00B952C7" w:rsidP="00B952C7">
      <w:pPr>
        <w:jc w:val="both"/>
        <w:rPr>
          <w:rFonts w:ascii="Times New Roman" w:hAnsi="Times New Roman" w:cs="Times New Roman"/>
          <w:b/>
          <w:bCs/>
          <w:sz w:val="24"/>
          <w:szCs w:val="24"/>
        </w:rPr>
      </w:pPr>
      <w:r w:rsidRPr="00DE05BE">
        <w:rPr>
          <w:rFonts w:ascii="Times New Roman" w:hAnsi="Times New Roman" w:cs="Times New Roman"/>
          <w:b/>
          <w:bCs/>
          <w:sz w:val="24"/>
          <w:szCs w:val="24"/>
        </w:rPr>
        <w:t>Materials and Methods</w:t>
      </w:r>
    </w:p>
    <w:p w:rsidR="00B952C7" w:rsidRPr="00DE05BE" w:rsidRDefault="00B952C7" w:rsidP="006D6E3C">
      <w:pPr>
        <w:ind w:firstLine="720"/>
        <w:jc w:val="both"/>
        <w:rPr>
          <w:rFonts w:ascii="Times New Roman" w:hAnsi="Times New Roman" w:cs="Times New Roman"/>
          <w:sz w:val="24"/>
          <w:szCs w:val="24"/>
        </w:rPr>
      </w:pPr>
      <w:r w:rsidRPr="00DE05BE">
        <w:rPr>
          <w:rFonts w:ascii="Times New Roman" w:hAnsi="Times New Roman" w:cs="Times New Roman"/>
          <w:sz w:val="24"/>
          <w:szCs w:val="24"/>
        </w:rPr>
        <w:t xml:space="preserve">Total 21 genotypes were screened for LLS during </w:t>
      </w:r>
      <w:r w:rsidRPr="00DE05BE">
        <w:rPr>
          <w:rFonts w:ascii="Times New Roman" w:hAnsi="Times New Roman" w:cs="Times New Roman"/>
          <w:i/>
          <w:iCs/>
          <w:sz w:val="24"/>
          <w:szCs w:val="24"/>
        </w:rPr>
        <w:t xml:space="preserve">Kharif </w:t>
      </w:r>
      <w:r w:rsidRPr="00DE05BE">
        <w:rPr>
          <w:rFonts w:ascii="Times New Roman" w:hAnsi="Times New Roman" w:cs="Times New Roman"/>
          <w:sz w:val="24"/>
          <w:szCs w:val="24"/>
        </w:rPr>
        <w:t xml:space="preserve">2024.Visual screening with modified 1-9 point scale as given by Subrahmanyam </w:t>
      </w:r>
      <w:proofErr w:type="gramStart"/>
      <w:r w:rsidRPr="00DE05BE">
        <w:rPr>
          <w:rFonts w:ascii="Times New Roman" w:hAnsi="Times New Roman" w:cs="Times New Roman"/>
          <w:i/>
          <w:iCs/>
          <w:sz w:val="24"/>
          <w:szCs w:val="24"/>
        </w:rPr>
        <w:t>et al.</w:t>
      </w:r>
      <w:r>
        <w:rPr>
          <w:rFonts w:ascii="Times New Roman" w:hAnsi="Times New Roman" w:cs="Times New Roman"/>
          <w:i/>
          <w:iCs/>
          <w:sz w:val="24"/>
          <w:szCs w:val="24"/>
        </w:rPr>
        <w:t>,</w:t>
      </w:r>
      <w:r w:rsidRPr="00DE05BE">
        <w:rPr>
          <w:rFonts w:ascii="Times New Roman" w:hAnsi="Times New Roman" w:cs="Times New Roman"/>
          <w:sz w:val="24"/>
          <w:szCs w:val="24"/>
        </w:rPr>
        <w:t>(</w:t>
      </w:r>
      <w:proofErr w:type="gramEnd"/>
      <w:r w:rsidRPr="00DE05BE">
        <w:rPr>
          <w:rFonts w:ascii="Times New Roman" w:hAnsi="Times New Roman" w:cs="Times New Roman"/>
          <w:sz w:val="24"/>
          <w:szCs w:val="24"/>
        </w:rPr>
        <w:t>1995) was used for screening of genotypes for late leaf spot disease. The field disease scores were mainly based on the extent of leaf area damage. Late leaf spot disease reaction was categorized based on severity. For late leaf spots (LLS) Disease scoring was done in 75 and 85 days after sowing. Scoring scale 1 to 9 was used representing score 1-3 (0 to 20% disease) to highly resistance lines, 4-5 for moderately resistance (21 to 50%), 6-7 for susceptible (51 to 70%) and 8-9 for highly susceptible (71 to 100%).</w:t>
      </w:r>
    </w:p>
    <w:p w:rsidR="00B952C7" w:rsidRPr="00DE05BE" w:rsidRDefault="00B952C7" w:rsidP="00B952C7">
      <w:pPr>
        <w:pStyle w:val="NormalWeb"/>
        <w:spacing w:before="0" w:beforeAutospacing="0" w:after="0" w:afterAutospacing="0" w:line="276" w:lineRule="auto"/>
        <w:jc w:val="both"/>
      </w:pPr>
      <w:r w:rsidRPr="00DE05BE">
        <w:rPr>
          <w:b/>
        </w:rPr>
        <w:t xml:space="preserve">Table 1. Disease scoring was based on 1-9 scale. (Subrahmanyam </w:t>
      </w:r>
      <w:r w:rsidRPr="00DE05BE">
        <w:rPr>
          <w:b/>
          <w:i/>
        </w:rPr>
        <w:t>et al</w:t>
      </w:r>
      <w:r w:rsidRPr="00DE05BE">
        <w:rPr>
          <w:b/>
        </w:rPr>
        <w:t>.,1995)</w:t>
      </w:r>
    </w:p>
    <w:p w:rsidR="00B952C7" w:rsidRPr="00DE05BE" w:rsidRDefault="00B952C7" w:rsidP="00B952C7">
      <w:pPr>
        <w:pStyle w:val="NormalWeb"/>
        <w:spacing w:before="0" w:beforeAutospacing="0" w:after="0" w:afterAutospacing="0" w:line="276" w:lineRule="auto"/>
        <w:jc w:val="both"/>
      </w:pPr>
    </w:p>
    <w:tbl>
      <w:tblPr>
        <w:tblStyle w:val="TableGrid"/>
        <w:tblW w:w="0" w:type="auto"/>
        <w:jc w:val="center"/>
        <w:tblLook w:val="04A0" w:firstRow="1" w:lastRow="0" w:firstColumn="1" w:lastColumn="0" w:noHBand="0" w:noVBand="1"/>
      </w:tblPr>
      <w:tblGrid>
        <w:gridCol w:w="4608"/>
        <w:gridCol w:w="4634"/>
      </w:tblGrid>
      <w:tr w:rsidR="00B952C7" w:rsidRPr="00DE05BE" w:rsidTr="00E51318">
        <w:trPr>
          <w:jc w:val="center"/>
        </w:trPr>
        <w:tc>
          <w:tcPr>
            <w:tcW w:w="4788" w:type="dxa"/>
          </w:tcPr>
          <w:p w:rsidR="00B952C7" w:rsidRPr="00DE05BE" w:rsidRDefault="00B952C7" w:rsidP="00E51318">
            <w:pPr>
              <w:pStyle w:val="NormalWeb"/>
              <w:spacing w:before="0" w:beforeAutospacing="0" w:line="276" w:lineRule="auto"/>
              <w:jc w:val="center"/>
              <w:rPr>
                <w:b/>
              </w:rPr>
            </w:pPr>
            <w:r w:rsidRPr="00DE05BE">
              <w:rPr>
                <w:b/>
              </w:rPr>
              <w:t xml:space="preserve">Scale </w:t>
            </w:r>
          </w:p>
        </w:tc>
        <w:tc>
          <w:tcPr>
            <w:tcW w:w="4788" w:type="dxa"/>
          </w:tcPr>
          <w:p w:rsidR="00B952C7" w:rsidRPr="00DE05BE" w:rsidRDefault="00B952C7" w:rsidP="00E51318">
            <w:pPr>
              <w:pStyle w:val="NormalWeb"/>
              <w:spacing w:before="0" w:beforeAutospacing="0" w:line="276" w:lineRule="auto"/>
              <w:rPr>
                <w:b/>
              </w:rPr>
            </w:pPr>
            <w:r w:rsidRPr="00DE05BE">
              <w:rPr>
                <w:b/>
              </w:rPr>
              <w:t xml:space="preserve"> Response</w:t>
            </w:r>
          </w:p>
        </w:tc>
      </w:tr>
      <w:tr w:rsidR="00B952C7" w:rsidRPr="00DE05BE" w:rsidTr="00E51318">
        <w:trPr>
          <w:jc w:val="center"/>
        </w:trPr>
        <w:tc>
          <w:tcPr>
            <w:tcW w:w="4788" w:type="dxa"/>
          </w:tcPr>
          <w:p w:rsidR="00B952C7" w:rsidRPr="00DE05BE" w:rsidRDefault="00B952C7" w:rsidP="00E51318">
            <w:pPr>
              <w:pStyle w:val="NormalWeb"/>
              <w:spacing w:before="0" w:beforeAutospacing="0" w:line="276" w:lineRule="auto"/>
              <w:jc w:val="center"/>
            </w:pPr>
            <w:r w:rsidRPr="00DE05BE">
              <w:t>0-1</w:t>
            </w:r>
          </w:p>
        </w:tc>
        <w:tc>
          <w:tcPr>
            <w:tcW w:w="4788" w:type="dxa"/>
          </w:tcPr>
          <w:p w:rsidR="00B952C7" w:rsidRPr="00DE05BE" w:rsidRDefault="00B952C7" w:rsidP="00E51318">
            <w:pPr>
              <w:pStyle w:val="NormalWeb"/>
              <w:spacing w:before="0" w:beforeAutospacing="0" w:line="276" w:lineRule="auto"/>
            </w:pPr>
            <w:r w:rsidRPr="00DE05BE">
              <w:t>Highly resistance</w:t>
            </w:r>
          </w:p>
        </w:tc>
      </w:tr>
      <w:tr w:rsidR="00B952C7" w:rsidRPr="00DE05BE" w:rsidTr="00E51318">
        <w:trPr>
          <w:jc w:val="center"/>
        </w:trPr>
        <w:tc>
          <w:tcPr>
            <w:tcW w:w="4788" w:type="dxa"/>
          </w:tcPr>
          <w:p w:rsidR="00B952C7" w:rsidRPr="00DE05BE" w:rsidRDefault="00B952C7" w:rsidP="00E51318">
            <w:pPr>
              <w:pStyle w:val="NormalWeb"/>
              <w:spacing w:before="0" w:beforeAutospacing="0" w:line="276" w:lineRule="auto"/>
              <w:jc w:val="center"/>
            </w:pPr>
            <w:r w:rsidRPr="00DE05BE">
              <w:t>2-3</w:t>
            </w:r>
          </w:p>
        </w:tc>
        <w:tc>
          <w:tcPr>
            <w:tcW w:w="4788" w:type="dxa"/>
          </w:tcPr>
          <w:p w:rsidR="00B952C7" w:rsidRPr="00DE05BE" w:rsidRDefault="00B952C7" w:rsidP="00E51318">
            <w:pPr>
              <w:pStyle w:val="NormalWeb"/>
              <w:spacing w:before="0" w:beforeAutospacing="0" w:line="276" w:lineRule="auto"/>
            </w:pPr>
            <w:r w:rsidRPr="00DE05BE">
              <w:t>Resistance</w:t>
            </w:r>
          </w:p>
        </w:tc>
      </w:tr>
      <w:tr w:rsidR="00B952C7" w:rsidRPr="00DE05BE" w:rsidTr="00E51318">
        <w:trPr>
          <w:jc w:val="center"/>
        </w:trPr>
        <w:tc>
          <w:tcPr>
            <w:tcW w:w="4788" w:type="dxa"/>
          </w:tcPr>
          <w:p w:rsidR="00B952C7" w:rsidRPr="00DE05BE" w:rsidRDefault="00B952C7" w:rsidP="00E51318">
            <w:pPr>
              <w:pStyle w:val="NormalWeb"/>
              <w:spacing w:before="0" w:beforeAutospacing="0" w:line="276" w:lineRule="auto"/>
              <w:jc w:val="center"/>
            </w:pPr>
            <w:r w:rsidRPr="00DE05BE">
              <w:t>4-5</w:t>
            </w:r>
          </w:p>
        </w:tc>
        <w:tc>
          <w:tcPr>
            <w:tcW w:w="4788" w:type="dxa"/>
          </w:tcPr>
          <w:p w:rsidR="00B952C7" w:rsidRPr="00DE05BE" w:rsidRDefault="00B952C7" w:rsidP="00E51318">
            <w:pPr>
              <w:pStyle w:val="NormalWeb"/>
              <w:spacing w:before="0" w:beforeAutospacing="0" w:line="276" w:lineRule="auto"/>
            </w:pPr>
            <w:r w:rsidRPr="00DE05BE">
              <w:t>Moderate resistance</w:t>
            </w:r>
          </w:p>
        </w:tc>
      </w:tr>
      <w:tr w:rsidR="00B952C7" w:rsidRPr="00DE05BE" w:rsidTr="00E51318">
        <w:trPr>
          <w:jc w:val="center"/>
        </w:trPr>
        <w:tc>
          <w:tcPr>
            <w:tcW w:w="4788" w:type="dxa"/>
          </w:tcPr>
          <w:p w:rsidR="00B952C7" w:rsidRPr="00DE05BE" w:rsidRDefault="00B952C7" w:rsidP="00E51318">
            <w:pPr>
              <w:pStyle w:val="NormalWeb"/>
              <w:spacing w:before="0" w:beforeAutospacing="0" w:line="276" w:lineRule="auto"/>
              <w:jc w:val="center"/>
            </w:pPr>
            <w:r w:rsidRPr="00DE05BE">
              <w:t>6-7</w:t>
            </w:r>
          </w:p>
        </w:tc>
        <w:tc>
          <w:tcPr>
            <w:tcW w:w="4788" w:type="dxa"/>
          </w:tcPr>
          <w:p w:rsidR="00B952C7" w:rsidRPr="00DE05BE" w:rsidRDefault="00B952C7" w:rsidP="00E51318">
            <w:pPr>
              <w:pStyle w:val="NormalWeb"/>
              <w:spacing w:before="0" w:beforeAutospacing="0" w:line="276" w:lineRule="auto"/>
            </w:pPr>
            <w:r w:rsidRPr="00DE05BE">
              <w:t>Susceptible</w:t>
            </w:r>
          </w:p>
        </w:tc>
      </w:tr>
      <w:tr w:rsidR="00B952C7" w:rsidRPr="00DE05BE" w:rsidTr="00E51318">
        <w:trPr>
          <w:jc w:val="center"/>
        </w:trPr>
        <w:tc>
          <w:tcPr>
            <w:tcW w:w="4788" w:type="dxa"/>
          </w:tcPr>
          <w:p w:rsidR="00B952C7" w:rsidRPr="00DE05BE" w:rsidRDefault="00B952C7" w:rsidP="00E51318">
            <w:pPr>
              <w:pStyle w:val="NormalWeb"/>
              <w:spacing w:before="0" w:beforeAutospacing="0" w:line="276" w:lineRule="auto"/>
              <w:jc w:val="center"/>
            </w:pPr>
            <w:r w:rsidRPr="00DE05BE">
              <w:t>8-9</w:t>
            </w:r>
          </w:p>
        </w:tc>
        <w:tc>
          <w:tcPr>
            <w:tcW w:w="4788" w:type="dxa"/>
          </w:tcPr>
          <w:p w:rsidR="00B952C7" w:rsidRPr="00DE05BE" w:rsidRDefault="00B952C7" w:rsidP="00E51318">
            <w:pPr>
              <w:pStyle w:val="NormalWeb"/>
              <w:spacing w:before="0" w:beforeAutospacing="0" w:line="276" w:lineRule="auto"/>
            </w:pPr>
            <w:r w:rsidRPr="00DE05BE">
              <w:t>Highly susceptible</w:t>
            </w:r>
          </w:p>
        </w:tc>
      </w:tr>
    </w:tbl>
    <w:p w:rsidR="00B952C7" w:rsidRPr="00DE05BE" w:rsidRDefault="00B952C7" w:rsidP="00B952C7">
      <w:pPr>
        <w:pStyle w:val="NormalWeb"/>
        <w:spacing w:before="240" w:beforeAutospacing="0" w:line="276" w:lineRule="auto"/>
        <w:jc w:val="both"/>
        <w:rPr>
          <w:b/>
        </w:rPr>
      </w:pPr>
      <w:r w:rsidRPr="00DE05BE">
        <w:rPr>
          <w:b/>
        </w:rPr>
        <w:t>Table 2. List of Parents with Pedigree and its trait.</w:t>
      </w:r>
    </w:p>
    <w:tbl>
      <w:tblPr>
        <w:tblStyle w:val="TableGrid"/>
        <w:tblW w:w="8995" w:type="dxa"/>
        <w:tblLook w:val="04A0" w:firstRow="1" w:lastRow="0" w:firstColumn="1" w:lastColumn="0" w:noHBand="0" w:noVBand="1"/>
      </w:tblPr>
      <w:tblGrid>
        <w:gridCol w:w="1809"/>
        <w:gridCol w:w="3524"/>
        <w:gridCol w:w="3662"/>
      </w:tblGrid>
      <w:tr w:rsidR="00B952C7" w:rsidRPr="00DE05BE" w:rsidTr="00E51318">
        <w:trPr>
          <w:trHeight w:val="20"/>
        </w:trPr>
        <w:tc>
          <w:tcPr>
            <w:tcW w:w="1809" w:type="dxa"/>
          </w:tcPr>
          <w:p w:rsidR="00B952C7" w:rsidRPr="00DE05BE" w:rsidRDefault="00B952C7" w:rsidP="00E51318">
            <w:pPr>
              <w:spacing w:line="276" w:lineRule="auto"/>
              <w:jc w:val="both"/>
              <w:rPr>
                <w:rFonts w:ascii="Times New Roman" w:hAnsi="Times New Roman" w:cs="Times New Roman"/>
                <w:b/>
                <w:color w:val="000000"/>
                <w:sz w:val="24"/>
                <w:szCs w:val="24"/>
                <w:lang w:val="en-IN" w:eastAsia="en-IN"/>
              </w:rPr>
            </w:pPr>
            <w:r w:rsidRPr="00DE05BE">
              <w:rPr>
                <w:rFonts w:ascii="Times New Roman" w:hAnsi="Times New Roman" w:cs="Times New Roman"/>
                <w:b/>
                <w:color w:val="000000"/>
                <w:sz w:val="24"/>
                <w:szCs w:val="24"/>
                <w:lang w:eastAsia="en-IN"/>
              </w:rPr>
              <w:t>Parents:</w:t>
            </w:r>
          </w:p>
        </w:tc>
        <w:tc>
          <w:tcPr>
            <w:tcW w:w="3524" w:type="dxa"/>
          </w:tcPr>
          <w:p w:rsidR="00B952C7" w:rsidRPr="00DE05BE" w:rsidRDefault="00B952C7" w:rsidP="00E51318">
            <w:pPr>
              <w:spacing w:line="276" w:lineRule="auto"/>
              <w:jc w:val="both"/>
              <w:rPr>
                <w:rFonts w:ascii="Times New Roman" w:hAnsi="Times New Roman" w:cs="Times New Roman"/>
                <w:b/>
                <w:sz w:val="24"/>
                <w:szCs w:val="24"/>
              </w:rPr>
            </w:pPr>
            <w:r w:rsidRPr="00DE05BE">
              <w:rPr>
                <w:rFonts w:ascii="Times New Roman" w:hAnsi="Times New Roman" w:cs="Times New Roman"/>
                <w:b/>
                <w:sz w:val="24"/>
                <w:szCs w:val="24"/>
              </w:rPr>
              <w:t xml:space="preserve">                   Pedigree</w:t>
            </w:r>
          </w:p>
        </w:tc>
        <w:tc>
          <w:tcPr>
            <w:tcW w:w="3662" w:type="dxa"/>
          </w:tcPr>
          <w:p w:rsidR="00B952C7" w:rsidRPr="00DE05BE" w:rsidRDefault="00B952C7" w:rsidP="00E51318">
            <w:pPr>
              <w:spacing w:line="276" w:lineRule="auto"/>
              <w:jc w:val="both"/>
              <w:rPr>
                <w:rFonts w:ascii="Times New Roman" w:hAnsi="Times New Roman" w:cs="Times New Roman"/>
                <w:b/>
                <w:sz w:val="24"/>
                <w:szCs w:val="24"/>
              </w:rPr>
            </w:pPr>
            <w:r w:rsidRPr="00DE05BE">
              <w:rPr>
                <w:rFonts w:ascii="Times New Roman" w:hAnsi="Times New Roman" w:cs="Times New Roman"/>
                <w:b/>
                <w:sz w:val="24"/>
                <w:szCs w:val="24"/>
              </w:rPr>
              <w:t>Traits for selection of parents</w:t>
            </w:r>
          </w:p>
        </w:tc>
      </w:tr>
      <w:tr w:rsidR="00B952C7" w:rsidRPr="00DE05BE" w:rsidTr="00E51318">
        <w:trPr>
          <w:trHeight w:val="20"/>
        </w:trPr>
        <w:tc>
          <w:tcPr>
            <w:tcW w:w="1809" w:type="dxa"/>
          </w:tcPr>
          <w:p w:rsidR="00B952C7" w:rsidRPr="00DE05BE" w:rsidRDefault="00B952C7" w:rsidP="00E51318">
            <w:pPr>
              <w:spacing w:line="276" w:lineRule="auto"/>
              <w:jc w:val="both"/>
              <w:rPr>
                <w:rFonts w:ascii="Times New Roman" w:hAnsi="Times New Roman" w:cs="Times New Roman"/>
                <w:b/>
                <w:sz w:val="24"/>
                <w:szCs w:val="24"/>
              </w:rPr>
            </w:pPr>
            <w:r w:rsidRPr="00DE05BE">
              <w:rPr>
                <w:rFonts w:ascii="Times New Roman" w:hAnsi="Times New Roman" w:cs="Times New Roman"/>
                <w:color w:val="000000"/>
                <w:sz w:val="24"/>
                <w:szCs w:val="24"/>
                <w:lang w:val="en-IN" w:eastAsia="en-IN"/>
              </w:rPr>
              <w:t>TG- 86</w:t>
            </w:r>
          </w:p>
        </w:tc>
        <w:tc>
          <w:tcPr>
            <w:tcW w:w="3524" w:type="dxa"/>
          </w:tcPr>
          <w:p w:rsidR="00B952C7" w:rsidRPr="00DE05BE" w:rsidRDefault="00B952C7" w:rsidP="00E51318">
            <w:pPr>
              <w:spacing w:line="276" w:lineRule="auto"/>
              <w:rPr>
                <w:rFonts w:ascii="Times New Roman" w:hAnsi="Times New Roman" w:cs="Times New Roman"/>
                <w:sz w:val="24"/>
                <w:szCs w:val="24"/>
              </w:rPr>
            </w:pPr>
            <w:r w:rsidRPr="00DE05BE">
              <w:rPr>
                <w:rFonts w:ascii="Times New Roman" w:hAnsi="Times New Roman" w:cs="Times New Roman"/>
                <w:sz w:val="24"/>
                <w:szCs w:val="24"/>
              </w:rPr>
              <w:t xml:space="preserve">TG-66 (gamma ray </w:t>
            </w:r>
            <w:proofErr w:type="gramStart"/>
            <w:r w:rsidRPr="00DE05BE">
              <w:rPr>
                <w:rFonts w:ascii="Times New Roman" w:hAnsi="Times New Roman" w:cs="Times New Roman"/>
                <w:sz w:val="24"/>
                <w:szCs w:val="24"/>
              </w:rPr>
              <w:t>irradiation )</w:t>
            </w:r>
            <w:proofErr w:type="gramEnd"/>
          </w:p>
        </w:tc>
        <w:tc>
          <w:tcPr>
            <w:tcW w:w="3662" w:type="dxa"/>
          </w:tcPr>
          <w:p w:rsidR="00B952C7" w:rsidRPr="00DE05BE" w:rsidRDefault="00B952C7" w:rsidP="00E51318">
            <w:pPr>
              <w:spacing w:line="276" w:lineRule="auto"/>
              <w:jc w:val="both"/>
              <w:rPr>
                <w:rFonts w:ascii="Times New Roman" w:hAnsi="Times New Roman" w:cs="Times New Roman"/>
                <w:b/>
                <w:sz w:val="24"/>
                <w:szCs w:val="24"/>
              </w:rPr>
            </w:pPr>
            <w:r w:rsidRPr="00DE05BE">
              <w:rPr>
                <w:rFonts w:ascii="Times New Roman" w:hAnsi="Times New Roman" w:cs="Times New Roman"/>
                <w:sz w:val="24"/>
                <w:szCs w:val="24"/>
              </w:rPr>
              <w:t>High yielding</w:t>
            </w:r>
          </w:p>
        </w:tc>
      </w:tr>
      <w:tr w:rsidR="00B952C7" w:rsidRPr="00DE05BE" w:rsidTr="00E51318">
        <w:trPr>
          <w:trHeight w:val="20"/>
        </w:trPr>
        <w:tc>
          <w:tcPr>
            <w:tcW w:w="1809" w:type="dxa"/>
          </w:tcPr>
          <w:p w:rsidR="00B952C7" w:rsidRPr="00DE05BE" w:rsidRDefault="00B952C7" w:rsidP="00E51318">
            <w:pPr>
              <w:spacing w:line="276" w:lineRule="auto"/>
              <w:jc w:val="both"/>
              <w:rPr>
                <w:rFonts w:ascii="Times New Roman" w:hAnsi="Times New Roman" w:cs="Times New Roman"/>
                <w:b/>
                <w:sz w:val="24"/>
                <w:szCs w:val="24"/>
              </w:rPr>
            </w:pPr>
            <w:r w:rsidRPr="00DE05BE">
              <w:rPr>
                <w:rFonts w:ascii="Times New Roman" w:hAnsi="Times New Roman" w:cs="Times New Roman"/>
                <w:color w:val="000000"/>
                <w:sz w:val="24"/>
                <w:szCs w:val="24"/>
                <w:lang w:val="en-IN" w:eastAsia="en-IN"/>
              </w:rPr>
              <w:t>JL-776</w:t>
            </w:r>
          </w:p>
        </w:tc>
        <w:tc>
          <w:tcPr>
            <w:tcW w:w="3524" w:type="dxa"/>
          </w:tcPr>
          <w:p w:rsidR="00B952C7" w:rsidRPr="00DE05BE" w:rsidRDefault="00B952C7" w:rsidP="00E51318">
            <w:pPr>
              <w:spacing w:line="276" w:lineRule="auto"/>
              <w:rPr>
                <w:rFonts w:ascii="Times New Roman" w:hAnsi="Times New Roman" w:cs="Times New Roman"/>
                <w:sz w:val="24"/>
                <w:szCs w:val="24"/>
              </w:rPr>
            </w:pPr>
            <w:r w:rsidRPr="00DE05BE">
              <w:rPr>
                <w:rFonts w:ascii="Times New Roman" w:hAnsi="Times New Roman" w:cs="Times New Roman"/>
                <w:sz w:val="24"/>
                <w:szCs w:val="24"/>
              </w:rPr>
              <w:t>ICGV 92069 × ICGV 86031</w:t>
            </w:r>
          </w:p>
        </w:tc>
        <w:tc>
          <w:tcPr>
            <w:tcW w:w="3662" w:type="dxa"/>
          </w:tcPr>
          <w:p w:rsidR="00B952C7" w:rsidRPr="00DE05BE" w:rsidRDefault="00B952C7" w:rsidP="00E51318">
            <w:pPr>
              <w:spacing w:line="276" w:lineRule="auto"/>
              <w:jc w:val="both"/>
              <w:rPr>
                <w:rFonts w:ascii="Times New Roman" w:hAnsi="Times New Roman" w:cs="Times New Roman"/>
                <w:b/>
                <w:sz w:val="24"/>
                <w:szCs w:val="24"/>
              </w:rPr>
            </w:pPr>
            <w:r w:rsidRPr="00DE05BE">
              <w:rPr>
                <w:rFonts w:ascii="Times New Roman" w:hAnsi="Times New Roman" w:cs="Times New Roman"/>
                <w:sz w:val="24"/>
                <w:szCs w:val="24"/>
              </w:rPr>
              <w:t>High yielding</w:t>
            </w:r>
          </w:p>
        </w:tc>
      </w:tr>
      <w:tr w:rsidR="00B952C7" w:rsidRPr="00DE05BE" w:rsidTr="00E51318">
        <w:trPr>
          <w:trHeight w:val="20"/>
        </w:trPr>
        <w:tc>
          <w:tcPr>
            <w:tcW w:w="1809" w:type="dxa"/>
          </w:tcPr>
          <w:p w:rsidR="00B952C7" w:rsidRPr="00DE05BE" w:rsidRDefault="00B952C7" w:rsidP="00E51318">
            <w:pPr>
              <w:spacing w:line="276" w:lineRule="auto"/>
              <w:jc w:val="both"/>
              <w:rPr>
                <w:rFonts w:ascii="Times New Roman" w:hAnsi="Times New Roman" w:cs="Times New Roman"/>
                <w:b/>
                <w:sz w:val="24"/>
                <w:szCs w:val="24"/>
              </w:rPr>
            </w:pPr>
            <w:r w:rsidRPr="00DE05BE">
              <w:rPr>
                <w:rFonts w:ascii="Times New Roman" w:hAnsi="Times New Roman" w:cs="Times New Roman"/>
                <w:color w:val="000000"/>
                <w:sz w:val="24"/>
                <w:szCs w:val="24"/>
                <w:lang w:val="en-IN" w:eastAsia="en-IN"/>
              </w:rPr>
              <w:t>KDG-128</w:t>
            </w:r>
          </w:p>
        </w:tc>
        <w:tc>
          <w:tcPr>
            <w:tcW w:w="3524" w:type="dxa"/>
          </w:tcPr>
          <w:p w:rsidR="00B952C7" w:rsidRPr="00DE05BE" w:rsidRDefault="00B952C7" w:rsidP="00E51318">
            <w:pPr>
              <w:spacing w:line="276" w:lineRule="auto"/>
              <w:rPr>
                <w:rFonts w:ascii="Times New Roman" w:hAnsi="Times New Roman" w:cs="Times New Roman"/>
                <w:sz w:val="24"/>
                <w:szCs w:val="24"/>
              </w:rPr>
            </w:pPr>
            <w:r w:rsidRPr="00DE05BE">
              <w:rPr>
                <w:rFonts w:ascii="Times New Roman" w:hAnsi="Times New Roman" w:cs="Times New Roman"/>
                <w:sz w:val="24"/>
                <w:szCs w:val="24"/>
              </w:rPr>
              <w:t>ICGV020059</w:t>
            </w:r>
          </w:p>
        </w:tc>
        <w:tc>
          <w:tcPr>
            <w:tcW w:w="3662" w:type="dxa"/>
          </w:tcPr>
          <w:p w:rsidR="00B952C7" w:rsidRPr="00DE05BE" w:rsidRDefault="00B952C7" w:rsidP="00E51318">
            <w:pPr>
              <w:spacing w:line="276" w:lineRule="auto"/>
              <w:jc w:val="both"/>
              <w:rPr>
                <w:rFonts w:ascii="Times New Roman" w:hAnsi="Times New Roman" w:cs="Times New Roman"/>
                <w:b/>
                <w:sz w:val="24"/>
                <w:szCs w:val="24"/>
              </w:rPr>
            </w:pPr>
            <w:r w:rsidRPr="00DE05BE">
              <w:rPr>
                <w:rFonts w:ascii="Times New Roman" w:hAnsi="Times New Roman" w:cs="Times New Roman"/>
                <w:sz w:val="24"/>
                <w:szCs w:val="24"/>
              </w:rPr>
              <w:t>High oleic acid</w:t>
            </w:r>
          </w:p>
        </w:tc>
      </w:tr>
      <w:tr w:rsidR="00B952C7" w:rsidRPr="00DE05BE" w:rsidTr="00E51318">
        <w:trPr>
          <w:trHeight w:val="20"/>
        </w:trPr>
        <w:tc>
          <w:tcPr>
            <w:tcW w:w="1809" w:type="dxa"/>
          </w:tcPr>
          <w:p w:rsidR="00B952C7" w:rsidRPr="00DE05BE" w:rsidRDefault="00B952C7" w:rsidP="00E51318">
            <w:pPr>
              <w:spacing w:line="276" w:lineRule="auto"/>
              <w:jc w:val="both"/>
              <w:rPr>
                <w:rFonts w:ascii="Times New Roman" w:hAnsi="Times New Roman" w:cs="Times New Roman"/>
                <w:b/>
                <w:sz w:val="24"/>
                <w:szCs w:val="24"/>
              </w:rPr>
            </w:pPr>
            <w:r w:rsidRPr="00DE05BE">
              <w:rPr>
                <w:rFonts w:ascii="Times New Roman" w:hAnsi="Times New Roman" w:cs="Times New Roman"/>
                <w:color w:val="000000"/>
                <w:sz w:val="24"/>
                <w:szCs w:val="24"/>
                <w:lang w:val="en-IN" w:eastAsia="en-IN"/>
              </w:rPr>
              <w:t>GPBD-4</w:t>
            </w:r>
          </w:p>
        </w:tc>
        <w:tc>
          <w:tcPr>
            <w:tcW w:w="3524" w:type="dxa"/>
          </w:tcPr>
          <w:p w:rsidR="00B952C7" w:rsidRPr="00DE05BE" w:rsidRDefault="00B952C7" w:rsidP="00E51318">
            <w:pPr>
              <w:tabs>
                <w:tab w:val="left" w:pos="1172"/>
              </w:tabs>
              <w:spacing w:line="276" w:lineRule="auto"/>
              <w:rPr>
                <w:rFonts w:ascii="Times New Roman" w:hAnsi="Times New Roman" w:cs="Times New Roman"/>
                <w:sz w:val="24"/>
                <w:szCs w:val="24"/>
              </w:rPr>
            </w:pPr>
            <w:r w:rsidRPr="00DE05BE">
              <w:rPr>
                <w:rFonts w:ascii="Times New Roman" w:hAnsi="Times New Roman" w:cs="Times New Roman"/>
                <w:sz w:val="24"/>
                <w:szCs w:val="24"/>
              </w:rPr>
              <w:t>KRG 1 × CS 16</w:t>
            </w:r>
          </w:p>
        </w:tc>
        <w:tc>
          <w:tcPr>
            <w:tcW w:w="3662" w:type="dxa"/>
          </w:tcPr>
          <w:p w:rsidR="00B952C7" w:rsidRPr="00DE05BE" w:rsidRDefault="00B952C7" w:rsidP="00E51318">
            <w:pPr>
              <w:tabs>
                <w:tab w:val="left" w:pos="1172"/>
              </w:tabs>
              <w:spacing w:line="276" w:lineRule="auto"/>
              <w:jc w:val="both"/>
              <w:rPr>
                <w:rFonts w:ascii="Times New Roman" w:hAnsi="Times New Roman" w:cs="Times New Roman"/>
                <w:b/>
                <w:sz w:val="24"/>
                <w:szCs w:val="24"/>
              </w:rPr>
            </w:pPr>
            <w:r w:rsidRPr="00DE05BE">
              <w:rPr>
                <w:rFonts w:ascii="Times New Roman" w:hAnsi="Times New Roman" w:cs="Times New Roman"/>
                <w:sz w:val="24"/>
                <w:szCs w:val="24"/>
              </w:rPr>
              <w:t>Resistant to LLS and rust</w:t>
            </w:r>
          </w:p>
        </w:tc>
      </w:tr>
      <w:tr w:rsidR="00B952C7" w:rsidRPr="00DE05BE" w:rsidTr="00E51318">
        <w:trPr>
          <w:trHeight w:val="20"/>
        </w:trPr>
        <w:tc>
          <w:tcPr>
            <w:tcW w:w="1809" w:type="dxa"/>
          </w:tcPr>
          <w:p w:rsidR="00B952C7" w:rsidRPr="00DE05BE" w:rsidRDefault="00B952C7" w:rsidP="00E51318">
            <w:pPr>
              <w:spacing w:line="276" w:lineRule="auto"/>
              <w:jc w:val="both"/>
              <w:rPr>
                <w:rFonts w:ascii="Times New Roman" w:hAnsi="Times New Roman" w:cs="Times New Roman"/>
                <w:b/>
                <w:sz w:val="24"/>
                <w:szCs w:val="24"/>
              </w:rPr>
            </w:pPr>
            <w:r w:rsidRPr="00DE05BE">
              <w:rPr>
                <w:rFonts w:ascii="Times New Roman" w:hAnsi="Times New Roman" w:cs="Times New Roman"/>
                <w:color w:val="000000"/>
                <w:sz w:val="24"/>
                <w:szCs w:val="24"/>
                <w:lang w:val="en-IN" w:eastAsia="en-IN"/>
              </w:rPr>
              <w:t>SUNOLIC-95R</w:t>
            </w:r>
          </w:p>
        </w:tc>
        <w:tc>
          <w:tcPr>
            <w:tcW w:w="3524" w:type="dxa"/>
          </w:tcPr>
          <w:p w:rsidR="00B952C7" w:rsidRPr="00DE05BE" w:rsidRDefault="00B952C7" w:rsidP="00E51318">
            <w:pPr>
              <w:spacing w:line="276" w:lineRule="auto"/>
              <w:rPr>
                <w:rFonts w:ascii="Times New Roman" w:hAnsi="Times New Roman" w:cs="Times New Roman"/>
                <w:sz w:val="24"/>
                <w:szCs w:val="24"/>
              </w:rPr>
            </w:pPr>
            <w:r w:rsidRPr="00DE05BE">
              <w:rPr>
                <w:rFonts w:ascii="Times New Roman" w:hAnsi="Times New Roman" w:cs="Times New Roman"/>
                <w:sz w:val="24"/>
                <w:szCs w:val="24"/>
              </w:rPr>
              <w:t xml:space="preserve">F435 × </w:t>
            </w:r>
            <w:proofErr w:type="spellStart"/>
            <w:r w:rsidRPr="00DE05BE">
              <w:rPr>
                <w:rFonts w:ascii="Times New Roman" w:hAnsi="Times New Roman" w:cs="Times New Roman"/>
                <w:sz w:val="24"/>
                <w:szCs w:val="24"/>
              </w:rPr>
              <w:t>Sunrunner</w:t>
            </w:r>
            <w:proofErr w:type="spellEnd"/>
          </w:p>
        </w:tc>
        <w:tc>
          <w:tcPr>
            <w:tcW w:w="3662" w:type="dxa"/>
          </w:tcPr>
          <w:p w:rsidR="00B952C7" w:rsidRPr="00DE05BE" w:rsidRDefault="00B952C7" w:rsidP="00E51318">
            <w:pPr>
              <w:spacing w:line="276" w:lineRule="auto"/>
              <w:jc w:val="both"/>
              <w:rPr>
                <w:rFonts w:ascii="Times New Roman" w:hAnsi="Times New Roman" w:cs="Times New Roman"/>
                <w:b/>
                <w:sz w:val="24"/>
                <w:szCs w:val="24"/>
              </w:rPr>
            </w:pPr>
            <w:r w:rsidRPr="00DE05BE">
              <w:rPr>
                <w:rFonts w:ascii="Times New Roman" w:hAnsi="Times New Roman" w:cs="Times New Roman"/>
                <w:sz w:val="24"/>
                <w:szCs w:val="24"/>
              </w:rPr>
              <w:t>High oleic acid</w:t>
            </w:r>
          </w:p>
        </w:tc>
      </w:tr>
    </w:tbl>
    <w:p w:rsidR="00B952C7" w:rsidRPr="00DE05BE" w:rsidRDefault="00B952C7" w:rsidP="00B952C7">
      <w:pPr>
        <w:suppressAutoHyphens/>
        <w:spacing w:before="240" w:after="0"/>
        <w:contextualSpacing/>
        <w:rPr>
          <w:rFonts w:ascii="Times New Roman" w:hAnsi="Times New Roman" w:cs="Times New Roman"/>
          <w:b/>
          <w:sz w:val="24"/>
          <w:szCs w:val="24"/>
        </w:rPr>
      </w:pPr>
      <w:r w:rsidRPr="00DE05BE">
        <w:rPr>
          <w:rFonts w:ascii="Times New Roman" w:hAnsi="Times New Roman" w:cs="Times New Roman"/>
          <w:b/>
          <w:sz w:val="24"/>
          <w:szCs w:val="24"/>
        </w:rPr>
        <w:t>Table 3. List of generation and crosses</w:t>
      </w:r>
    </w:p>
    <w:tbl>
      <w:tblPr>
        <w:tblStyle w:val="TableGrid"/>
        <w:tblW w:w="9715" w:type="dxa"/>
        <w:tblLayout w:type="fixed"/>
        <w:tblLook w:val="04A0" w:firstRow="1" w:lastRow="0" w:firstColumn="1" w:lastColumn="0" w:noHBand="0" w:noVBand="1"/>
      </w:tblPr>
      <w:tblGrid>
        <w:gridCol w:w="828"/>
        <w:gridCol w:w="1417"/>
        <w:gridCol w:w="1580"/>
        <w:gridCol w:w="1890"/>
        <w:gridCol w:w="1800"/>
        <w:gridCol w:w="2200"/>
      </w:tblGrid>
      <w:tr w:rsidR="00B952C7" w:rsidRPr="00DE05BE" w:rsidTr="00E51318">
        <w:trPr>
          <w:trHeight w:val="20"/>
        </w:trPr>
        <w:tc>
          <w:tcPr>
            <w:tcW w:w="828" w:type="dxa"/>
            <w:vAlign w:val="center"/>
          </w:tcPr>
          <w:p w:rsidR="00B952C7" w:rsidRPr="00DE05BE" w:rsidRDefault="00B952C7" w:rsidP="00E51318">
            <w:pPr>
              <w:spacing w:line="276" w:lineRule="auto"/>
              <w:jc w:val="center"/>
              <w:outlineLvl w:val="3"/>
              <w:rPr>
                <w:rFonts w:ascii="Times New Roman" w:hAnsi="Times New Roman" w:cs="Times New Roman"/>
                <w:b/>
                <w:color w:val="000000"/>
                <w:lang w:val="en-IN" w:eastAsia="en-IN"/>
              </w:rPr>
            </w:pPr>
            <w:r w:rsidRPr="00DE05BE">
              <w:rPr>
                <w:rFonts w:ascii="Times New Roman" w:hAnsi="Times New Roman" w:cs="Times New Roman"/>
                <w:b/>
                <w:color w:val="000000"/>
                <w:lang w:val="en-IN" w:eastAsia="en-IN"/>
              </w:rPr>
              <w:t>Sr. No.</w:t>
            </w:r>
          </w:p>
        </w:tc>
        <w:tc>
          <w:tcPr>
            <w:tcW w:w="1417" w:type="dxa"/>
            <w:vAlign w:val="center"/>
          </w:tcPr>
          <w:p w:rsidR="00B952C7" w:rsidRPr="00DE05BE" w:rsidRDefault="00B952C7" w:rsidP="00E51318">
            <w:pPr>
              <w:spacing w:line="276" w:lineRule="auto"/>
              <w:jc w:val="center"/>
              <w:outlineLvl w:val="3"/>
              <w:rPr>
                <w:rFonts w:ascii="Times New Roman" w:hAnsi="Times New Roman" w:cs="Times New Roman"/>
                <w:b/>
                <w:color w:val="000000"/>
                <w:lang w:val="en-IN" w:eastAsia="en-IN"/>
              </w:rPr>
            </w:pPr>
            <w:r w:rsidRPr="00DE05BE">
              <w:rPr>
                <w:rFonts w:ascii="Times New Roman" w:hAnsi="Times New Roman" w:cs="Times New Roman"/>
                <w:b/>
                <w:color w:val="000000"/>
                <w:lang w:val="en-IN" w:eastAsia="en-IN"/>
              </w:rPr>
              <w:t>Generations</w:t>
            </w:r>
          </w:p>
        </w:tc>
        <w:tc>
          <w:tcPr>
            <w:tcW w:w="1580" w:type="dxa"/>
            <w:vAlign w:val="center"/>
          </w:tcPr>
          <w:p w:rsidR="00B952C7" w:rsidRPr="00DE05BE" w:rsidRDefault="00B952C7" w:rsidP="00E51318">
            <w:pPr>
              <w:spacing w:line="276" w:lineRule="auto"/>
              <w:jc w:val="center"/>
              <w:outlineLvl w:val="3"/>
              <w:rPr>
                <w:rFonts w:ascii="Times New Roman" w:hAnsi="Times New Roman" w:cs="Times New Roman"/>
                <w:b/>
                <w:color w:val="000000"/>
                <w:lang w:val="en-IN" w:eastAsia="en-IN"/>
              </w:rPr>
            </w:pPr>
            <w:r w:rsidRPr="00DE05BE">
              <w:rPr>
                <w:rFonts w:ascii="Times New Roman" w:hAnsi="Times New Roman" w:cs="Times New Roman"/>
                <w:b/>
                <w:color w:val="000000"/>
                <w:lang w:val="en-IN" w:eastAsia="en-IN"/>
              </w:rPr>
              <w:t>Cross-1</w:t>
            </w:r>
          </w:p>
        </w:tc>
        <w:tc>
          <w:tcPr>
            <w:tcW w:w="1890" w:type="dxa"/>
            <w:vAlign w:val="center"/>
          </w:tcPr>
          <w:p w:rsidR="00B952C7" w:rsidRPr="00DE05BE" w:rsidRDefault="00B952C7" w:rsidP="00E51318">
            <w:pPr>
              <w:spacing w:line="276" w:lineRule="auto"/>
              <w:jc w:val="center"/>
              <w:outlineLvl w:val="3"/>
              <w:rPr>
                <w:rFonts w:ascii="Times New Roman" w:hAnsi="Times New Roman" w:cs="Times New Roman"/>
                <w:b/>
                <w:color w:val="000000"/>
                <w:lang w:val="en-IN" w:eastAsia="en-IN"/>
              </w:rPr>
            </w:pPr>
            <w:r w:rsidRPr="00DE05BE">
              <w:rPr>
                <w:rFonts w:ascii="Times New Roman" w:hAnsi="Times New Roman" w:cs="Times New Roman"/>
                <w:b/>
                <w:color w:val="000000"/>
                <w:lang w:val="en-IN" w:eastAsia="en-IN"/>
              </w:rPr>
              <w:t>Cross-2</w:t>
            </w:r>
          </w:p>
        </w:tc>
        <w:tc>
          <w:tcPr>
            <w:tcW w:w="1800" w:type="dxa"/>
            <w:vAlign w:val="center"/>
          </w:tcPr>
          <w:p w:rsidR="00B952C7" w:rsidRPr="00DE05BE" w:rsidRDefault="00B952C7" w:rsidP="00E51318">
            <w:pPr>
              <w:spacing w:line="276" w:lineRule="auto"/>
              <w:jc w:val="center"/>
              <w:outlineLvl w:val="3"/>
              <w:rPr>
                <w:rFonts w:ascii="Times New Roman" w:hAnsi="Times New Roman" w:cs="Times New Roman"/>
                <w:b/>
                <w:color w:val="000000"/>
                <w:lang w:val="en-IN" w:eastAsia="en-IN"/>
              </w:rPr>
            </w:pPr>
            <w:r w:rsidRPr="00DE05BE">
              <w:rPr>
                <w:rFonts w:ascii="Times New Roman" w:hAnsi="Times New Roman" w:cs="Times New Roman"/>
                <w:b/>
                <w:color w:val="000000"/>
                <w:lang w:val="en-IN" w:eastAsia="en-IN"/>
              </w:rPr>
              <w:t>Cross-3</w:t>
            </w:r>
          </w:p>
        </w:tc>
        <w:tc>
          <w:tcPr>
            <w:tcW w:w="2200" w:type="dxa"/>
            <w:vAlign w:val="center"/>
          </w:tcPr>
          <w:p w:rsidR="00B952C7" w:rsidRPr="00DE05BE" w:rsidRDefault="00B952C7" w:rsidP="00E51318">
            <w:pPr>
              <w:spacing w:line="276" w:lineRule="auto"/>
              <w:jc w:val="center"/>
              <w:outlineLvl w:val="3"/>
              <w:rPr>
                <w:rFonts w:ascii="Times New Roman" w:hAnsi="Times New Roman" w:cs="Times New Roman"/>
                <w:b/>
                <w:color w:val="000000"/>
                <w:lang w:val="en-IN" w:eastAsia="en-IN"/>
              </w:rPr>
            </w:pPr>
            <w:r w:rsidRPr="00DE05BE">
              <w:rPr>
                <w:rFonts w:ascii="Times New Roman" w:hAnsi="Times New Roman" w:cs="Times New Roman"/>
                <w:b/>
                <w:color w:val="000000"/>
                <w:lang w:val="en-IN" w:eastAsia="en-IN"/>
              </w:rPr>
              <w:t>Cross-4</w:t>
            </w:r>
          </w:p>
        </w:tc>
      </w:tr>
      <w:tr w:rsidR="00B952C7" w:rsidRPr="00DE05BE" w:rsidTr="00E51318">
        <w:trPr>
          <w:trHeight w:val="20"/>
        </w:trPr>
        <w:tc>
          <w:tcPr>
            <w:tcW w:w="828" w:type="dxa"/>
            <w:vAlign w:val="center"/>
          </w:tcPr>
          <w:p w:rsidR="00B952C7" w:rsidRPr="00DE05BE" w:rsidRDefault="00B952C7" w:rsidP="00E51318">
            <w:pPr>
              <w:spacing w:line="276" w:lineRule="auto"/>
              <w:jc w:val="center"/>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1</w:t>
            </w:r>
          </w:p>
        </w:tc>
        <w:tc>
          <w:tcPr>
            <w:tcW w:w="1417" w:type="dxa"/>
            <w:vAlign w:val="center"/>
          </w:tcPr>
          <w:p w:rsidR="00B952C7" w:rsidRPr="00DE05BE" w:rsidRDefault="00B952C7" w:rsidP="00E51318">
            <w:pPr>
              <w:spacing w:line="276" w:lineRule="auto"/>
              <w:jc w:val="center"/>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P1</w:t>
            </w:r>
          </w:p>
        </w:tc>
        <w:tc>
          <w:tcPr>
            <w:tcW w:w="1580" w:type="dxa"/>
          </w:tcPr>
          <w:p w:rsidR="00B952C7" w:rsidRPr="00DE05BE" w:rsidRDefault="00B952C7" w:rsidP="00E51318">
            <w:pPr>
              <w:spacing w:line="276" w:lineRule="auto"/>
              <w:jc w:val="both"/>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TG- 86</w:t>
            </w:r>
          </w:p>
        </w:tc>
        <w:tc>
          <w:tcPr>
            <w:tcW w:w="1890" w:type="dxa"/>
          </w:tcPr>
          <w:p w:rsidR="00B952C7" w:rsidRPr="00DE05BE" w:rsidRDefault="00B952C7" w:rsidP="00E51318">
            <w:pPr>
              <w:spacing w:line="276" w:lineRule="auto"/>
              <w:jc w:val="both"/>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JL-776</w:t>
            </w:r>
          </w:p>
        </w:tc>
        <w:tc>
          <w:tcPr>
            <w:tcW w:w="1800" w:type="dxa"/>
          </w:tcPr>
          <w:p w:rsidR="00B952C7" w:rsidRPr="00DE05BE" w:rsidRDefault="00B952C7" w:rsidP="00E51318">
            <w:pPr>
              <w:spacing w:line="276" w:lineRule="auto"/>
              <w:jc w:val="both"/>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JL-776</w:t>
            </w:r>
          </w:p>
        </w:tc>
        <w:tc>
          <w:tcPr>
            <w:tcW w:w="2200" w:type="dxa"/>
          </w:tcPr>
          <w:p w:rsidR="00B952C7" w:rsidRPr="00DE05BE" w:rsidRDefault="00B952C7" w:rsidP="00E51318">
            <w:pPr>
              <w:spacing w:line="276" w:lineRule="auto"/>
              <w:jc w:val="both"/>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JL-776</w:t>
            </w:r>
          </w:p>
        </w:tc>
      </w:tr>
      <w:tr w:rsidR="00B952C7" w:rsidRPr="00DE05BE" w:rsidTr="00E51318">
        <w:trPr>
          <w:trHeight w:val="20"/>
        </w:trPr>
        <w:tc>
          <w:tcPr>
            <w:tcW w:w="828" w:type="dxa"/>
            <w:vAlign w:val="center"/>
          </w:tcPr>
          <w:p w:rsidR="00B952C7" w:rsidRPr="00DE05BE" w:rsidRDefault="00B952C7" w:rsidP="00E51318">
            <w:pPr>
              <w:spacing w:line="276" w:lineRule="auto"/>
              <w:jc w:val="center"/>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2</w:t>
            </w:r>
          </w:p>
        </w:tc>
        <w:tc>
          <w:tcPr>
            <w:tcW w:w="1417" w:type="dxa"/>
            <w:vAlign w:val="center"/>
          </w:tcPr>
          <w:p w:rsidR="00B952C7" w:rsidRPr="00DE05BE" w:rsidRDefault="00B952C7" w:rsidP="00E51318">
            <w:pPr>
              <w:spacing w:line="276" w:lineRule="auto"/>
              <w:jc w:val="center"/>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P2</w:t>
            </w:r>
          </w:p>
        </w:tc>
        <w:tc>
          <w:tcPr>
            <w:tcW w:w="1580" w:type="dxa"/>
          </w:tcPr>
          <w:p w:rsidR="00B952C7" w:rsidRPr="00DE05BE" w:rsidRDefault="00B952C7" w:rsidP="00E51318">
            <w:pPr>
              <w:spacing w:line="276" w:lineRule="auto"/>
              <w:jc w:val="both"/>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KDG-128</w:t>
            </w:r>
          </w:p>
        </w:tc>
        <w:tc>
          <w:tcPr>
            <w:tcW w:w="1890" w:type="dxa"/>
          </w:tcPr>
          <w:p w:rsidR="00B952C7" w:rsidRPr="00DE05BE" w:rsidRDefault="00B952C7" w:rsidP="00E51318">
            <w:pPr>
              <w:spacing w:line="276" w:lineRule="auto"/>
              <w:jc w:val="both"/>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KDG-128</w:t>
            </w:r>
          </w:p>
        </w:tc>
        <w:tc>
          <w:tcPr>
            <w:tcW w:w="1800" w:type="dxa"/>
          </w:tcPr>
          <w:p w:rsidR="00B952C7" w:rsidRPr="00DE05BE" w:rsidRDefault="00B952C7" w:rsidP="00E51318">
            <w:pPr>
              <w:spacing w:line="276" w:lineRule="auto"/>
              <w:jc w:val="both"/>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GPBD-4</w:t>
            </w:r>
          </w:p>
        </w:tc>
        <w:tc>
          <w:tcPr>
            <w:tcW w:w="2200" w:type="dxa"/>
          </w:tcPr>
          <w:p w:rsidR="00B952C7" w:rsidRPr="00DE05BE" w:rsidRDefault="00B952C7" w:rsidP="00E51318">
            <w:pPr>
              <w:spacing w:line="276" w:lineRule="auto"/>
              <w:jc w:val="both"/>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SUNOLIC-95R</w:t>
            </w:r>
          </w:p>
        </w:tc>
      </w:tr>
      <w:tr w:rsidR="00B952C7" w:rsidRPr="00DE05BE" w:rsidTr="00E51318">
        <w:trPr>
          <w:trHeight w:val="20"/>
        </w:trPr>
        <w:tc>
          <w:tcPr>
            <w:tcW w:w="828" w:type="dxa"/>
            <w:vAlign w:val="center"/>
          </w:tcPr>
          <w:p w:rsidR="00B952C7" w:rsidRPr="00DE05BE" w:rsidRDefault="00B952C7" w:rsidP="00E51318">
            <w:pPr>
              <w:spacing w:line="276" w:lineRule="auto"/>
              <w:jc w:val="center"/>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3</w:t>
            </w:r>
          </w:p>
        </w:tc>
        <w:tc>
          <w:tcPr>
            <w:tcW w:w="1417" w:type="dxa"/>
            <w:vAlign w:val="center"/>
          </w:tcPr>
          <w:p w:rsidR="00B952C7" w:rsidRPr="00DE05BE" w:rsidRDefault="00B952C7" w:rsidP="00E51318">
            <w:pPr>
              <w:spacing w:line="276" w:lineRule="auto"/>
              <w:jc w:val="center"/>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F1</w:t>
            </w:r>
          </w:p>
        </w:tc>
        <w:tc>
          <w:tcPr>
            <w:tcW w:w="1580" w:type="dxa"/>
          </w:tcPr>
          <w:p w:rsidR="00B952C7" w:rsidRPr="00DE05BE" w:rsidRDefault="00B952C7" w:rsidP="00E51318">
            <w:pPr>
              <w:spacing w:line="276" w:lineRule="auto"/>
              <w:jc w:val="both"/>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 xml:space="preserve">(TG-86 × </w:t>
            </w:r>
            <w:r w:rsidRPr="00DE05BE">
              <w:rPr>
                <w:rFonts w:ascii="Times New Roman" w:hAnsi="Times New Roman" w:cs="Times New Roman"/>
                <w:color w:val="000000"/>
                <w:lang w:val="en-IN" w:eastAsia="en-IN"/>
              </w:rPr>
              <w:lastRenderedPageBreak/>
              <w:t>KDG-128)</w:t>
            </w:r>
          </w:p>
        </w:tc>
        <w:tc>
          <w:tcPr>
            <w:tcW w:w="1890" w:type="dxa"/>
          </w:tcPr>
          <w:p w:rsidR="00B952C7" w:rsidRPr="00DE05BE" w:rsidRDefault="00B952C7" w:rsidP="00E51318">
            <w:pPr>
              <w:spacing w:line="276" w:lineRule="auto"/>
              <w:jc w:val="both"/>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lastRenderedPageBreak/>
              <w:t>(JL-776× KDG-</w:t>
            </w:r>
            <w:r w:rsidRPr="00DE05BE">
              <w:rPr>
                <w:rFonts w:ascii="Times New Roman" w:hAnsi="Times New Roman" w:cs="Times New Roman"/>
                <w:color w:val="000000"/>
                <w:lang w:val="en-IN" w:eastAsia="en-IN"/>
              </w:rPr>
              <w:lastRenderedPageBreak/>
              <w:t>128)</w:t>
            </w:r>
          </w:p>
        </w:tc>
        <w:tc>
          <w:tcPr>
            <w:tcW w:w="1800" w:type="dxa"/>
          </w:tcPr>
          <w:p w:rsidR="00B952C7" w:rsidRPr="00DE05BE" w:rsidRDefault="00B952C7" w:rsidP="00E51318">
            <w:pPr>
              <w:spacing w:line="276" w:lineRule="auto"/>
              <w:jc w:val="both"/>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lastRenderedPageBreak/>
              <w:t>(JL-776×GPBD-</w:t>
            </w:r>
            <w:r w:rsidRPr="00DE05BE">
              <w:rPr>
                <w:rFonts w:ascii="Times New Roman" w:hAnsi="Times New Roman" w:cs="Times New Roman"/>
                <w:color w:val="000000"/>
                <w:lang w:val="en-IN" w:eastAsia="en-IN"/>
              </w:rPr>
              <w:lastRenderedPageBreak/>
              <w:t>4)</w:t>
            </w:r>
          </w:p>
        </w:tc>
        <w:tc>
          <w:tcPr>
            <w:tcW w:w="2200" w:type="dxa"/>
          </w:tcPr>
          <w:p w:rsidR="00B952C7" w:rsidRPr="00DE05BE" w:rsidRDefault="00B952C7" w:rsidP="00E51318">
            <w:pPr>
              <w:spacing w:line="276" w:lineRule="auto"/>
              <w:jc w:val="both"/>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lastRenderedPageBreak/>
              <w:t>(JL-776× SUNOLIC-</w:t>
            </w:r>
            <w:r w:rsidRPr="00DE05BE">
              <w:rPr>
                <w:rFonts w:ascii="Times New Roman" w:hAnsi="Times New Roman" w:cs="Times New Roman"/>
                <w:color w:val="000000"/>
                <w:lang w:val="en-IN" w:eastAsia="en-IN"/>
              </w:rPr>
              <w:lastRenderedPageBreak/>
              <w:t>95R)</w:t>
            </w:r>
          </w:p>
        </w:tc>
      </w:tr>
      <w:tr w:rsidR="00B952C7" w:rsidRPr="00DE05BE" w:rsidTr="00E51318">
        <w:trPr>
          <w:trHeight w:val="20"/>
        </w:trPr>
        <w:tc>
          <w:tcPr>
            <w:tcW w:w="828" w:type="dxa"/>
            <w:vAlign w:val="center"/>
          </w:tcPr>
          <w:p w:rsidR="00B952C7" w:rsidRPr="00DE05BE" w:rsidRDefault="00B952C7" w:rsidP="00E51318">
            <w:pPr>
              <w:spacing w:line="276" w:lineRule="auto"/>
              <w:jc w:val="center"/>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lastRenderedPageBreak/>
              <w:t>4</w:t>
            </w:r>
          </w:p>
        </w:tc>
        <w:tc>
          <w:tcPr>
            <w:tcW w:w="1417" w:type="dxa"/>
            <w:vAlign w:val="center"/>
          </w:tcPr>
          <w:p w:rsidR="00B952C7" w:rsidRPr="00DE05BE" w:rsidRDefault="00B952C7" w:rsidP="00E51318">
            <w:pPr>
              <w:spacing w:line="276" w:lineRule="auto"/>
              <w:jc w:val="center"/>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F2</w:t>
            </w:r>
          </w:p>
        </w:tc>
        <w:tc>
          <w:tcPr>
            <w:tcW w:w="1580" w:type="dxa"/>
          </w:tcPr>
          <w:p w:rsidR="00B952C7" w:rsidRPr="00DE05BE" w:rsidRDefault="00B952C7" w:rsidP="00E51318">
            <w:pPr>
              <w:spacing w:line="276" w:lineRule="auto"/>
              <w:jc w:val="both"/>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SELF ON F1</w:t>
            </w:r>
          </w:p>
        </w:tc>
        <w:tc>
          <w:tcPr>
            <w:tcW w:w="1890" w:type="dxa"/>
          </w:tcPr>
          <w:p w:rsidR="00B952C7" w:rsidRPr="00DE05BE" w:rsidRDefault="00B952C7" w:rsidP="00E51318">
            <w:pPr>
              <w:spacing w:line="276" w:lineRule="auto"/>
              <w:jc w:val="both"/>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SELF ON F1</w:t>
            </w:r>
          </w:p>
        </w:tc>
        <w:tc>
          <w:tcPr>
            <w:tcW w:w="1800" w:type="dxa"/>
          </w:tcPr>
          <w:p w:rsidR="00B952C7" w:rsidRPr="00DE05BE" w:rsidRDefault="00B952C7" w:rsidP="00E51318">
            <w:pPr>
              <w:spacing w:line="276" w:lineRule="auto"/>
              <w:jc w:val="both"/>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SELF ON F1</w:t>
            </w:r>
          </w:p>
        </w:tc>
        <w:tc>
          <w:tcPr>
            <w:tcW w:w="2200" w:type="dxa"/>
          </w:tcPr>
          <w:p w:rsidR="00B952C7" w:rsidRPr="00DE05BE" w:rsidRDefault="00B952C7" w:rsidP="00E51318">
            <w:pPr>
              <w:spacing w:line="276" w:lineRule="auto"/>
              <w:jc w:val="both"/>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SELF ON F1</w:t>
            </w:r>
          </w:p>
        </w:tc>
      </w:tr>
      <w:tr w:rsidR="00B952C7" w:rsidRPr="00DE05BE" w:rsidTr="00E51318">
        <w:trPr>
          <w:trHeight w:val="20"/>
        </w:trPr>
        <w:tc>
          <w:tcPr>
            <w:tcW w:w="828" w:type="dxa"/>
            <w:vAlign w:val="center"/>
          </w:tcPr>
          <w:p w:rsidR="00B952C7" w:rsidRPr="00DE05BE" w:rsidRDefault="00B952C7" w:rsidP="00E51318">
            <w:pPr>
              <w:spacing w:line="276" w:lineRule="auto"/>
              <w:jc w:val="center"/>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5</w:t>
            </w:r>
          </w:p>
        </w:tc>
        <w:tc>
          <w:tcPr>
            <w:tcW w:w="1417" w:type="dxa"/>
            <w:vAlign w:val="center"/>
          </w:tcPr>
          <w:p w:rsidR="00B952C7" w:rsidRPr="00DE05BE" w:rsidRDefault="00B952C7" w:rsidP="00E51318">
            <w:pPr>
              <w:spacing w:line="276" w:lineRule="auto"/>
              <w:jc w:val="center"/>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BC1</w:t>
            </w:r>
          </w:p>
        </w:tc>
        <w:tc>
          <w:tcPr>
            <w:tcW w:w="1580" w:type="dxa"/>
          </w:tcPr>
          <w:p w:rsidR="00B952C7" w:rsidRPr="00DE05BE" w:rsidRDefault="00B952C7" w:rsidP="00E51318">
            <w:pPr>
              <w:spacing w:line="276" w:lineRule="auto"/>
              <w:jc w:val="both"/>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(TG-86 × KDG-128) × TG-86</w:t>
            </w:r>
          </w:p>
        </w:tc>
        <w:tc>
          <w:tcPr>
            <w:tcW w:w="1890" w:type="dxa"/>
          </w:tcPr>
          <w:p w:rsidR="00B952C7" w:rsidRPr="00DE05BE" w:rsidRDefault="00B952C7" w:rsidP="00E51318">
            <w:pPr>
              <w:spacing w:line="276" w:lineRule="auto"/>
              <w:jc w:val="both"/>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 xml:space="preserve">(JL-776× KDG-128) × JL-776 </w:t>
            </w:r>
          </w:p>
        </w:tc>
        <w:tc>
          <w:tcPr>
            <w:tcW w:w="1800" w:type="dxa"/>
          </w:tcPr>
          <w:p w:rsidR="00B952C7" w:rsidRPr="00DE05BE" w:rsidRDefault="00B952C7" w:rsidP="00E51318">
            <w:pPr>
              <w:spacing w:line="276" w:lineRule="auto"/>
              <w:jc w:val="both"/>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(JL-776×GPBD-4) × JL-776</w:t>
            </w:r>
          </w:p>
        </w:tc>
        <w:tc>
          <w:tcPr>
            <w:tcW w:w="2200" w:type="dxa"/>
          </w:tcPr>
          <w:p w:rsidR="00B952C7" w:rsidRPr="00DE05BE" w:rsidRDefault="00B952C7" w:rsidP="00E51318">
            <w:pPr>
              <w:spacing w:line="276" w:lineRule="auto"/>
              <w:jc w:val="both"/>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(JL-776× SUNOLIC-95R) × JL-776</w:t>
            </w:r>
          </w:p>
        </w:tc>
      </w:tr>
      <w:tr w:rsidR="00B952C7" w:rsidRPr="00DE05BE" w:rsidTr="00E51318">
        <w:trPr>
          <w:trHeight w:val="20"/>
        </w:trPr>
        <w:tc>
          <w:tcPr>
            <w:tcW w:w="828" w:type="dxa"/>
            <w:vAlign w:val="center"/>
          </w:tcPr>
          <w:p w:rsidR="00B952C7" w:rsidRPr="00DE05BE" w:rsidRDefault="00B952C7" w:rsidP="00E51318">
            <w:pPr>
              <w:spacing w:line="276" w:lineRule="auto"/>
              <w:jc w:val="center"/>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6</w:t>
            </w:r>
          </w:p>
        </w:tc>
        <w:tc>
          <w:tcPr>
            <w:tcW w:w="1417" w:type="dxa"/>
            <w:vAlign w:val="center"/>
          </w:tcPr>
          <w:p w:rsidR="00B952C7" w:rsidRPr="00DE05BE" w:rsidRDefault="00B952C7" w:rsidP="00E51318">
            <w:pPr>
              <w:spacing w:line="276" w:lineRule="auto"/>
              <w:jc w:val="center"/>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BC2</w:t>
            </w:r>
          </w:p>
        </w:tc>
        <w:tc>
          <w:tcPr>
            <w:tcW w:w="1580" w:type="dxa"/>
          </w:tcPr>
          <w:p w:rsidR="00B952C7" w:rsidRPr="00DE05BE" w:rsidRDefault="00B952C7" w:rsidP="00E51318">
            <w:pPr>
              <w:spacing w:line="276" w:lineRule="auto"/>
              <w:jc w:val="both"/>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(TG-86 × KDG-128) × KDG-128</w:t>
            </w:r>
          </w:p>
        </w:tc>
        <w:tc>
          <w:tcPr>
            <w:tcW w:w="1890" w:type="dxa"/>
          </w:tcPr>
          <w:p w:rsidR="00B952C7" w:rsidRPr="00DE05BE" w:rsidRDefault="00B952C7" w:rsidP="00E51318">
            <w:pPr>
              <w:spacing w:line="276" w:lineRule="auto"/>
              <w:jc w:val="both"/>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(JL-776× KDG-128) × KDG-128</w:t>
            </w:r>
          </w:p>
        </w:tc>
        <w:tc>
          <w:tcPr>
            <w:tcW w:w="1800" w:type="dxa"/>
          </w:tcPr>
          <w:p w:rsidR="00B952C7" w:rsidRPr="00DE05BE" w:rsidRDefault="00B952C7" w:rsidP="00E51318">
            <w:pPr>
              <w:spacing w:line="276" w:lineRule="auto"/>
              <w:jc w:val="both"/>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(JL-776×GPBD-4) × GPBD-4</w:t>
            </w:r>
          </w:p>
        </w:tc>
        <w:tc>
          <w:tcPr>
            <w:tcW w:w="2200" w:type="dxa"/>
          </w:tcPr>
          <w:p w:rsidR="00B952C7" w:rsidRPr="00DE05BE" w:rsidRDefault="00B952C7" w:rsidP="00E51318">
            <w:pPr>
              <w:spacing w:line="276" w:lineRule="auto"/>
              <w:jc w:val="both"/>
              <w:outlineLvl w:val="3"/>
              <w:rPr>
                <w:rFonts w:ascii="Times New Roman" w:hAnsi="Times New Roman" w:cs="Times New Roman"/>
                <w:color w:val="000000"/>
                <w:lang w:val="en-IN" w:eastAsia="en-IN"/>
              </w:rPr>
            </w:pPr>
            <w:r w:rsidRPr="00DE05BE">
              <w:rPr>
                <w:rFonts w:ascii="Times New Roman" w:hAnsi="Times New Roman" w:cs="Times New Roman"/>
                <w:color w:val="000000"/>
                <w:lang w:val="en-IN" w:eastAsia="en-IN"/>
              </w:rPr>
              <w:t>(JL-776× SUNOLIC-95R) × SUNOLIC-95R</w:t>
            </w:r>
          </w:p>
        </w:tc>
      </w:tr>
    </w:tbl>
    <w:p w:rsidR="00B952C7" w:rsidRDefault="00B952C7" w:rsidP="00B952C7">
      <w:pPr>
        <w:spacing w:before="240"/>
        <w:jc w:val="both"/>
        <w:rPr>
          <w:rFonts w:ascii="Times New Roman" w:hAnsi="Times New Roman" w:cs="Times New Roman"/>
          <w:b/>
          <w:bCs/>
          <w:sz w:val="24"/>
          <w:szCs w:val="24"/>
        </w:rPr>
      </w:pPr>
      <w:r w:rsidRPr="00DE05BE">
        <w:rPr>
          <w:rFonts w:ascii="Times New Roman" w:hAnsi="Times New Roman" w:cs="Times New Roman"/>
          <w:b/>
          <w:bCs/>
          <w:sz w:val="24"/>
          <w:szCs w:val="24"/>
        </w:rPr>
        <w:t>Results and Discussion</w:t>
      </w:r>
    </w:p>
    <w:p w:rsidR="00B952C7" w:rsidRPr="0001380E" w:rsidRDefault="00B952C7" w:rsidP="006D6E3C">
      <w:pPr>
        <w:spacing w:before="100" w:beforeAutospacing="1" w:after="100" w:afterAutospacing="1" w:line="240" w:lineRule="auto"/>
        <w:ind w:firstLine="720"/>
        <w:jc w:val="both"/>
        <w:rPr>
          <w:rFonts w:ascii="Times New Roman" w:eastAsia="Times New Roman" w:hAnsi="Times New Roman" w:cs="Times New Roman"/>
          <w:sz w:val="24"/>
          <w:szCs w:val="24"/>
        </w:rPr>
      </w:pPr>
      <w:r w:rsidRPr="0001380E">
        <w:rPr>
          <w:rFonts w:ascii="Times New Roman" w:eastAsia="Times New Roman" w:hAnsi="Times New Roman" w:cs="Times New Roman"/>
          <w:sz w:val="24"/>
          <w:szCs w:val="24"/>
        </w:rPr>
        <w:t xml:space="preserve">Field screening of the groundnut germplasm for </w:t>
      </w:r>
      <w:r w:rsidRPr="00331C21">
        <w:rPr>
          <w:rFonts w:ascii="Times New Roman" w:eastAsia="Times New Roman" w:hAnsi="Times New Roman" w:cs="Times New Roman"/>
          <w:bCs/>
          <w:sz w:val="24"/>
          <w:szCs w:val="24"/>
        </w:rPr>
        <w:t>late leaf spot (LLS)</w:t>
      </w:r>
      <w:r w:rsidRPr="0001380E">
        <w:rPr>
          <w:rFonts w:ascii="Times New Roman" w:eastAsia="Times New Roman" w:hAnsi="Times New Roman" w:cs="Times New Roman"/>
          <w:sz w:val="24"/>
          <w:szCs w:val="24"/>
        </w:rPr>
        <w:t xml:space="preserve"> resistance was undertaken using the </w:t>
      </w:r>
      <w:r w:rsidRPr="00331C21">
        <w:rPr>
          <w:rFonts w:ascii="Times New Roman" w:eastAsia="Times New Roman" w:hAnsi="Times New Roman" w:cs="Times New Roman"/>
          <w:bCs/>
          <w:sz w:val="24"/>
          <w:szCs w:val="24"/>
        </w:rPr>
        <w:t>1–9 visual scale of Subrahmanyam et al. (1995)</w:t>
      </w:r>
      <w:r w:rsidRPr="0001380E">
        <w:rPr>
          <w:rFonts w:ascii="Times New Roman" w:eastAsia="Times New Roman" w:hAnsi="Times New Roman" w:cs="Times New Roman"/>
          <w:sz w:val="24"/>
          <w:szCs w:val="24"/>
        </w:rPr>
        <w:t xml:space="preserve">. Disease scoring at </w:t>
      </w:r>
      <w:r w:rsidRPr="00331C21">
        <w:rPr>
          <w:rFonts w:ascii="Times New Roman" w:eastAsia="Times New Roman" w:hAnsi="Times New Roman" w:cs="Times New Roman"/>
          <w:bCs/>
          <w:sz w:val="24"/>
          <w:szCs w:val="24"/>
        </w:rPr>
        <w:t>75 DAS (days after sowing)</w:t>
      </w:r>
      <w:r w:rsidRPr="0001380E">
        <w:rPr>
          <w:rFonts w:ascii="Times New Roman" w:eastAsia="Times New Roman" w:hAnsi="Times New Roman" w:cs="Times New Roman"/>
          <w:sz w:val="24"/>
          <w:szCs w:val="24"/>
        </w:rPr>
        <w:t xml:space="preserve"> and </w:t>
      </w:r>
      <w:r w:rsidRPr="00331C21">
        <w:rPr>
          <w:rFonts w:ascii="Times New Roman" w:eastAsia="Times New Roman" w:hAnsi="Times New Roman" w:cs="Times New Roman"/>
          <w:bCs/>
          <w:sz w:val="24"/>
          <w:szCs w:val="24"/>
        </w:rPr>
        <w:t>85 DAS</w:t>
      </w:r>
      <w:r w:rsidRPr="0001380E">
        <w:rPr>
          <w:rFonts w:ascii="Times New Roman" w:eastAsia="Times New Roman" w:hAnsi="Times New Roman" w:cs="Times New Roman"/>
          <w:sz w:val="24"/>
          <w:szCs w:val="24"/>
        </w:rPr>
        <w:t xml:space="preserve"> provided a comparative picture of early infection responses as well as disease progression during crop maturity. The two-time-point assessment ensured that both initial resistance and durability of resistance could be captured in parents as well as their respective segregating generations.</w:t>
      </w:r>
    </w:p>
    <w:p w:rsidR="00B952C7" w:rsidRPr="0001380E" w:rsidRDefault="00B952C7" w:rsidP="00B952C7">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01380E">
        <w:rPr>
          <w:rFonts w:ascii="Times New Roman" w:eastAsia="Times New Roman" w:hAnsi="Times New Roman" w:cs="Times New Roman"/>
          <w:b/>
          <w:bCs/>
          <w:sz w:val="24"/>
          <w:szCs w:val="24"/>
        </w:rPr>
        <w:t>Performance of Parental Lines</w:t>
      </w:r>
    </w:p>
    <w:p w:rsidR="00B952C7" w:rsidRPr="0001380E" w:rsidRDefault="00B952C7" w:rsidP="00B952C7">
      <w:pPr>
        <w:spacing w:before="100" w:beforeAutospacing="1" w:after="100" w:afterAutospacing="1" w:line="240" w:lineRule="auto"/>
        <w:jc w:val="both"/>
        <w:rPr>
          <w:rFonts w:ascii="Times New Roman" w:eastAsia="Times New Roman" w:hAnsi="Times New Roman" w:cs="Times New Roman"/>
          <w:sz w:val="24"/>
          <w:szCs w:val="24"/>
        </w:rPr>
      </w:pPr>
      <w:r w:rsidRPr="0001380E">
        <w:rPr>
          <w:rFonts w:ascii="Times New Roman" w:eastAsia="Times New Roman" w:hAnsi="Times New Roman" w:cs="Times New Roman"/>
          <w:sz w:val="24"/>
          <w:szCs w:val="24"/>
        </w:rPr>
        <w:t xml:space="preserve">The parental genotypes differed significantly in their reaction to LLS infection. </w:t>
      </w:r>
      <w:r w:rsidRPr="00CC4E48">
        <w:rPr>
          <w:rFonts w:ascii="Times New Roman" w:eastAsia="Times New Roman" w:hAnsi="Times New Roman" w:cs="Times New Roman"/>
          <w:bCs/>
          <w:sz w:val="24"/>
          <w:szCs w:val="24"/>
        </w:rPr>
        <w:t>GPBD-4</w:t>
      </w:r>
      <w:r w:rsidRPr="0001380E">
        <w:rPr>
          <w:rFonts w:ascii="Times New Roman" w:eastAsia="Times New Roman" w:hAnsi="Times New Roman" w:cs="Times New Roman"/>
          <w:sz w:val="24"/>
          <w:szCs w:val="24"/>
        </w:rPr>
        <w:t xml:space="preserve"> exhibited the lowest mean disease score (1.89 at 75 DAS and 2.56 at 85 DAS), confirming its well-established status as a stable donor for resistance against foliar diseases, including LLS and rust (Gowda et al., 2002; Ramakrishnan et al., 2020). Similarly, </w:t>
      </w:r>
      <w:r w:rsidRPr="00CC4E48">
        <w:rPr>
          <w:rFonts w:ascii="Times New Roman" w:eastAsia="Times New Roman" w:hAnsi="Times New Roman" w:cs="Times New Roman"/>
          <w:bCs/>
          <w:sz w:val="24"/>
          <w:szCs w:val="24"/>
        </w:rPr>
        <w:t>KDG-128</w:t>
      </w:r>
      <w:r w:rsidRPr="0001380E">
        <w:rPr>
          <w:rFonts w:ascii="Times New Roman" w:eastAsia="Times New Roman" w:hAnsi="Times New Roman" w:cs="Times New Roman"/>
          <w:sz w:val="24"/>
          <w:szCs w:val="24"/>
        </w:rPr>
        <w:t xml:space="preserve"> recorded low scores (2.14 at 75 DAS and 2.91 at 85 DAS), reaffirming that this genotype carries effective alleles for disease resistance. </w:t>
      </w:r>
      <w:r w:rsidRPr="00CC4E48">
        <w:rPr>
          <w:rFonts w:ascii="Times New Roman" w:eastAsia="Times New Roman" w:hAnsi="Times New Roman" w:cs="Times New Roman"/>
          <w:bCs/>
          <w:sz w:val="24"/>
          <w:szCs w:val="24"/>
        </w:rPr>
        <w:t>JL-776</w:t>
      </w:r>
      <w:r w:rsidRPr="0001380E">
        <w:rPr>
          <w:rFonts w:ascii="Times New Roman" w:eastAsia="Times New Roman" w:hAnsi="Times New Roman" w:cs="Times New Roman"/>
          <w:sz w:val="24"/>
          <w:szCs w:val="24"/>
        </w:rPr>
        <w:t xml:space="preserve"> also displayed consistent resistance across both stages (2.86 at 75 DAS and 3.77 at 85 DAS), proving to be a moderately strong source of resistance.</w:t>
      </w:r>
    </w:p>
    <w:p w:rsidR="00B952C7" w:rsidRPr="0001380E" w:rsidRDefault="00B952C7" w:rsidP="006D6E3C">
      <w:pPr>
        <w:spacing w:before="100" w:beforeAutospacing="1" w:after="100" w:afterAutospacing="1" w:line="240" w:lineRule="auto"/>
        <w:ind w:firstLine="720"/>
        <w:jc w:val="both"/>
        <w:rPr>
          <w:rFonts w:ascii="Times New Roman" w:eastAsia="Times New Roman" w:hAnsi="Times New Roman" w:cs="Times New Roman"/>
          <w:sz w:val="24"/>
          <w:szCs w:val="24"/>
        </w:rPr>
      </w:pPr>
      <w:r w:rsidRPr="0001380E">
        <w:rPr>
          <w:rFonts w:ascii="Times New Roman" w:eastAsia="Times New Roman" w:hAnsi="Times New Roman" w:cs="Times New Roman"/>
          <w:sz w:val="24"/>
          <w:szCs w:val="24"/>
        </w:rPr>
        <w:t xml:space="preserve">By contrast, </w:t>
      </w:r>
      <w:r w:rsidRPr="00CC4E48">
        <w:rPr>
          <w:rFonts w:ascii="Times New Roman" w:eastAsia="Times New Roman" w:hAnsi="Times New Roman" w:cs="Times New Roman"/>
          <w:bCs/>
          <w:sz w:val="24"/>
          <w:szCs w:val="24"/>
        </w:rPr>
        <w:t>TG-86</w:t>
      </w:r>
      <w:r w:rsidRPr="0001380E">
        <w:rPr>
          <w:rFonts w:ascii="Times New Roman" w:eastAsia="Times New Roman" w:hAnsi="Times New Roman" w:cs="Times New Roman"/>
          <w:sz w:val="24"/>
          <w:szCs w:val="24"/>
        </w:rPr>
        <w:t xml:space="preserve"> showed a clear shift from resistance (3.93 at 75 DAS) to moderate resistance (4.81 at 85 DAS), indicating that its resistance is not durable under progressive disease pressure. This suggests the presence of partial or stage-dependent resistance mechanisms, which may break down as the pathogen load increases with crop age. </w:t>
      </w:r>
      <w:r w:rsidR="00331C21" w:rsidRPr="00CC4E48">
        <w:rPr>
          <w:rFonts w:ascii="Times New Roman" w:eastAsia="Times New Roman" w:hAnsi="Times New Roman" w:cs="Times New Roman"/>
          <w:bCs/>
          <w:sz w:val="24"/>
          <w:szCs w:val="24"/>
        </w:rPr>
        <w:t xml:space="preserve">Sunoleic-95 </w:t>
      </w:r>
      <w:proofErr w:type="gramStart"/>
      <w:r w:rsidR="00331C21" w:rsidRPr="00CC4E48">
        <w:rPr>
          <w:rFonts w:ascii="Times New Roman" w:eastAsia="Times New Roman" w:hAnsi="Times New Roman" w:cs="Times New Roman"/>
          <w:bCs/>
          <w:sz w:val="24"/>
          <w:szCs w:val="24"/>
        </w:rPr>
        <w:t xml:space="preserve">R </w:t>
      </w:r>
      <w:r w:rsidRPr="0001380E">
        <w:rPr>
          <w:rFonts w:ascii="Times New Roman" w:eastAsia="Times New Roman" w:hAnsi="Times New Roman" w:cs="Times New Roman"/>
          <w:sz w:val="24"/>
          <w:szCs w:val="24"/>
        </w:rPr>
        <w:t>,</w:t>
      </w:r>
      <w:proofErr w:type="gramEnd"/>
      <w:r w:rsidRPr="0001380E">
        <w:rPr>
          <w:rFonts w:ascii="Times New Roman" w:eastAsia="Times New Roman" w:hAnsi="Times New Roman" w:cs="Times New Roman"/>
          <w:sz w:val="24"/>
          <w:szCs w:val="24"/>
        </w:rPr>
        <w:t xml:space="preserve"> on the other hand, was clearly identified as the most susceptible line (5.71 at 75 DAS and 6.93 at 85 DAS). Its susceptibility limits its direct use as a resistance donor, though its value lies in contributing high oleic acid content for oil quality improvement.</w:t>
      </w:r>
    </w:p>
    <w:p w:rsidR="00B952C7" w:rsidRPr="0001380E" w:rsidRDefault="00B952C7" w:rsidP="00B952C7">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01380E">
        <w:rPr>
          <w:rFonts w:ascii="Times New Roman" w:eastAsia="Times New Roman" w:hAnsi="Times New Roman" w:cs="Times New Roman"/>
          <w:b/>
          <w:bCs/>
          <w:sz w:val="24"/>
          <w:szCs w:val="24"/>
        </w:rPr>
        <w:t>Performance of F₁ Generations</w:t>
      </w:r>
    </w:p>
    <w:p w:rsidR="00B952C7" w:rsidRPr="0001380E" w:rsidRDefault="00B952C7" w:rsidP="006D6E3C">
      <w:pPr>
        <w:spacing w:before="100" w:beforeAutospacing="1" w:after="100" w:afterAutospacing="1" w:line="240" w:lineRule="auto"/>
        <w:ind w:firstLine="720"/>
        <w:jc w:val="both"/>
        <w:rPr>
          <w:rFonts w:ascii="Times New Roman" w:eastAsia="Times New Roman" w:hAnsi="Times New Roman" w:cs="Times New Roman"/>
          <w:sz w:val="24"/>
          <w:szCs w:val="24"/>
        </w:rPr>
      </w:pPr>
      <w:r w:rsidRPr="0001380E">
        <w:rPr>
          <w:rFonts w:ascii="Times New Roman" w:eastAsia="Times New Roman" w:hAnsi="Times New Roman" w:cs="Times New Roman"/>
          <w:sz w:val="24"/>
          <w:szCs w:val="24"/>
        </w:rPr>
        <w:t xml:space="preserve">The F₁ crosses revealed strong evidence of hybrid vigour for disease resistance, particularly when resistant parents were involved. </w:t>
      </w:r>
      <w:r w:rsidRPr="00CC4E48">
        <w:rPr>
          <w:rFonts w:ascii="Times New Roman" w:eastAsia="Times New Roman" w:hAnsi="Times New Roman" w:cs="Times New Roman"/>
          <w:bCs/>
          <w:sz w:val="24"/>
          <w:szCs w:val="24"/>
        </w:rPr>
        <w:t>JL-776 × KDG-128</w:t>
      </w:r>
      <w:r w:rsidRPr="0001380E">
        <w:rPr>
          <w:rFonts w:ascii="Times New Roman" w:eastAsia="Times New Roman" w:hAnsi="Times New Roman" w:cs="Times New Roman"/>
          <w:sz w:val="24"/>
          <w:szCs w:val="24"/>
        </w:rPr>
        <w:t xml:space="preserve"> (1.19 at 75 DAS; 1.88 at 85 DAS) and </w:t>
      </w:r>
      <w:r w:rsidRPr="00CC4E48">
        <w:rPr>
          <w:rFonts w:ascii="Times New Roman" w:eastAsia="Times New Roman" w:hAnsi="Times New Roman" w:cs="Times New Roman"/>
          <w:bCs/>
          <w:sz w:val="24"/>
          <w:szCs w:val="24"/>
        </w:rPr>
        <w:t>JL-776 × GPBD-4</w:t>
      </w:r>
      <w:r w:rsidRPr="0001380E">
        <w:rPr>
          <w:rFonts w:ascii="Times New Roman" w:eastAsia="Times New Roman" w:hAnsi="Times New Roman" w:cs="Times New Roman"/>
          <w:sz w:val="24"/>
          <w:szCs w:val="24"/>
        </w:rPr>
        <w:t xml:space="preserve"> (1.23 at 75 DAS; 1.63 at 85 DAS) recorded very low scores, placing them in the resistant to highly resistant class. The strong resistance in these F₁s highlights the complementary action of alleles contributed by both parents. Even </w:t>
      </w:r>
      <w:r w:rsidRPr="00CC4E48">
        <w:rPr>
          <w:rFonts w:ascii="Times New Roman" w:eastAsia="Times New Roman" w:hAnsi="Times New Roman" w:cs="Times New Roman"/>
          <w:bCs/>
          <w:sz w:val="24"/>
          <w:szCs w:val="24"/>
        </w:rPr>
        <w:t xml:space="preserve">JL-776 × </w:t>
      </w:r>
      <w:r w:rsidR="006D6E3C">
        <w:rPr>
          <w:rFonts w:ascii="Times New Roman" w:eastAsia="Times New Roman" w:hAnsi="Times New Roman" w:cs="Times New Roman"/>
          <w:bCs/>
          <w:sz w:val="24"/>
          <w:szCs w:val="24"/>
        </w:rPr>
        <w:t>Sunoleic-95 R</w:t>
      </w:r>
      <w:r w:rsidRPr="0001380E">
        <w:rPr>
          <w:rFonts w:ascii="Times New Roman" w:eastAsia="Times New Roman" w:hAnsi="Times New Roman" w:cs="Times New Roman"/>
          <w:sz w:val="24"/>
          <w:szCs w:val="24"/>
        </w:rPr>
        <w:t xml:space="preserve"> (1.83 and 2.51) displayed resistance, despite </w:t>
      </w:r>
      <w:r w:rsidR="00331C21" w:rsidRPr="00CC4E48">
        <w:rPr>
          <w:rFonts w:ascii="Times New Roman" w:eastAsia="Times New Roman" w:hAnsi="Times New Roman" w:cs="Times New Roman"/>
          <w:sz w:val="24"/>
          <w:szCs w:val="24"/>
        </w:rPr>
        <w:t xml:space="preserve">Sunoleic-95 </w:t>
      </w:r>
      <w:proofErr w:type="gramStart"/>
      <w:r w:rsidR="00331C21" w:rsidRPr="00CC4E48">
        <w:rPr>
          <w:rFonts w:ascii="Times New Roman" w:eastAsia="Times New Roman" w:hAnsi="Times New Roman" w:cs="Times New Roman"/>
          <w:sz w:val="24"/>
          <w:szCs w:val="24"/>
        </w:rPr>
        <w:t xml:space="preserve">R </w:t>
      </w:r>
      <w:r w:rsidRPr="0001380E">
        <w:rPr>
          <w:rFonts w:ascii="Times New Roman" w:eastAsia="Times New Roman" w:hAnsi="Times New Roman" w:cs="Times New Roman"/>
          <w:sz w:val="24"/>
          <w:szCs w:val="24"/>
        </w:rPr>
        <w:t xml:space="preserve"> being</w:t>
      </w:r>
      <w:proofErr w:type="gramEnd"/>
      <w:r w:rsidRPr="0001380E">
        <w:rPr>
          <w:rFonts w:ascii="Times New Roman" w:eastAsia="Times New Roman" w:hAnsi="Times New Roman" w:cs="Times New Roman"/>
          <w:sz w:val="24"/>
          <w:szCs w:val="24"/>
        </w:rPr>
        <w:t xml:space="preserve"> highly susceptible. This observation confirms the dominance of resistance alleles from JL-776, which successfully maske</w:t>
      </w:r>
      <w:r w:rsidR="00144607">
        <w:rPr>
          <w:rFonts w:ascii="Times New Roman" w:eastAsia="Times New Roman" w:hAnsi="Times New Roman" w:cs="Times New Roman"/>
          <w:sz w:val="24"/>
          <w:szCs w:val="24"/>
        </w:rPr>
        <w:t xml:space="preserve">d the susceptibility of the </w:t>
      </w:r>
      <w:proofErr w:type="spellStart"/>
      <w:r w:rsidR="00144607">
        <w:rPr>
          <w:rFonts w:ascii="Times New Roman" w:eastAsia="Times New Roman" w:hAnsi="Times New Roman" w:cs="Times New Roman"/>
          <w:sz w:val="24"/>
          <w:szCs w:val="24"/>
        </w:rPr>
        <w:t>Suno</w:t>
      </w:r>
      <w:r w:rsidRPr="0001380E">
        <w:rPr>
          <w:rFonts w:ascii="Times New Roman" w:eastAsia="Times New Roman" w:hAnsi="Times New Roman" w:cs="Times New Roman"/>
          <w:sz w:val="24"/>
          <w:szCs w:val="24"/>
        </w:rPr>
        <w:t>leic</w:t>
      </w:r>
      <w:proofErr w:type="spellEnd"/>
      <w:r w:rsidRPr="0001380E">
        <w:rPr>
          <w:rFonts w:ascii="Times New Roman" w:eastAsia="Times New Roman" w:hAnsi="Times New Roman" w:cs="Times New Roman"/>
          <w:sz w:val="24"/>
          <w:szCs w:val="24"/>
        </w:rPr>
        <w:t xml:space="preserve"> parent.</w:t>
      </w:r>
    </w:p>
    <w:p w:rsidR="00B952C7" w:rsidRPr="0001380E" w:rsidRDefault="00B952C7" w:rsidP="006D6E3C">
      <w:pPr>
        <w:spacing w:before="100" w:beforeAutospacing="1" w:after="100" w:afterAutospacing="1" w:line="240" w:lineRule="auto"/>
        <w:ind w:firstLine="720"/>
        <w:jc w:val="both"/>
        <w:rPr>
          <w:rFonts w:ascii="Times New Roman" w:eastAsia="Times New Roman" w:hAnsi="Times New Roman" w:cs="Times New Roman"/>
          <w:sz w:val="24"/>
          <w:szCs w:val="24"/>
        </w:rPr>
      </w:pPr>
      <w:r w:rsidRPr="0001380E">
        <w:rPr>
          <w:rFonts w:ascii="Times New Roman" w:eastAsia="Times New Roman" w:hAnsi="Times New Roman" w:cs="Times New Roman"/>
          <w:sz w:val="24"/>
          <w:szCs w:val="24"/>
        </w:rPr>
        <w:t xml:space="preserve">In comparison, </w:t>
      </w:r>
      <w:r w:rsidRPr="00CC4E48">
        <w:rPr>
          <w:rFonts w:ascii="Times New Roman" w:eastAsia="Times New Roman" w:hAnsi="Times New Roman" w:cs="Times New Roman"/>
          <w:bCs/>
          <w:sz w:val="24"/>
          <w:szCs w:val="24"/>
        </w:rPr>
        <w:t>TG-86 × KDG-128</w:t>
      </w:r>
      <w:r w:rsidRPr="0001380E">
        <w:rPr>
          <w:rFonts w:ascii="Times New Roman" w:eastAsia="Times New Roman" w:hAnsi="Times New Roman" w:cs="Times New Roman"/>
          <w:sz w:val="24"/>
          <w:szCs w:val="24"/>
        </w:rPr>
        <w:t xml:space="preserve"> exhibited resistance at 75 DAS (2.94) but shifted closer to moderate resistance at 85 DAS (3.76). This behaviour mirrors that of TG-86 as a </w:t>
      </w:r>
      <w:r w:rsidRPr="0001380E">
        <w:rPr>
          <w:rFonts w:ascii="Times New Roman" w:eastAsia="Times New Roman" w:hAnsi="Times New Roman" w:cs="Times New Roman"/>
          <w:sz w:val="24"/>
          <w:szCs w:val="24"/>
        </w:rPr>
        <w:lastRenderedPageBreak/>
        <w:t>parent, suggesting that although KDG-128 provides strong alleles, the resistance breakdown tendency of TG-86 still influences the hybrid under progressive disease pressure.</w:t>
      </w:r>
    </w:p>
    <w:p w:rsidR="00B952C7" w:rsidRPr="0001380E" w:rsidRDefault="00B952C7" w:rsidP="00B952C7">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01380E">
        <w:rPr>
          <w:rFonts w:ascii="Times New Roman" w:eastAsia="Times New Roman" w:hAnsi="Times New Roman" w:cs="Times New Roman"/>
          <w:b/>
          <w:bCs/>
          <w:sz w:val="24"/>
          <w:szCs w:val="24"/>
        </w:rPr>
        <w:t>Performance of F₂ Generations</w:t>
      </w:r>
    </w:p>
    <w:p w:rsidR="00B952C7" w:rsidRPr="0001380E" w:rsidRDefault="00B952C7" w:rsidP="006D6E3C">
      <w:pPr>
        <w:spacing w:before="100" w:beforeAutospacing="1" w:after="100" w:afterAutospacing="1" w:line="240" w:lineRule="auto"/>
        <w:ind w:firstLine="720"/>
        <w:jc w:val="both"/>
        <w:rPr>
          <w:rFonts w:ascii="Times New Roman" w:eastAsia="Times New Roman" w:hAnsi="Times New Roman" w:cs="Times New Roman"/>
          <w:sz w:val="24"/>
          <w:szCs w:val="24"/>
        </w:rPr>
      </w:pPr>
      <w:r w:rsidRPr="0001380E">
        <w:rPr>
          <w:rFonts w:ascii="Times New Roman" w:eastAsia="Times New Roman" w:hAnsi="Times New Roman" w:cs="Times New Roman"/>
          <w:sz w:val="24"/>
          <w:szCs w:val="24"/>
        </w:rPr>
        <w:t xml:space="preserve">The F₂ populations displayed segregation for resistance, yet the averages indicated retention of resistant traits in most crosses. </w:t>
      </w:r>
      <w:r w:rsidRPr="00CC4E48">
        <w:rPr>
          <w:rFonts w:ascii="Times New Roman" w:eastAsia="Times New Roman" w:hAnsi="Times New Roman" w:cs="Times New Roman"/>
          <w:bCs/>
          <w:sz w:val="24"/>
          <w:szCs w:val="24"/>
        </w:rPr>
        <w:t>JL-776 × KDG-128</w:t>
      </w:r>
      <w:r w:rsidRPr="0001380E">
        <w:rPr>
          <w:rFonts w:ascii="Times New Roman" w:eastAsia="Times New Roman" w:hAnsi="Times New Roman" w:cs="Times New Roman"/>
          <w:sz w:val="24"/>
          <w:szCs w:val="24"/>
        </w:rPr>
        <w:t xml:space="preserve"> (1.56 and 2.31) and </w:t>
      </w:r>
      <w:r w:rsidRPr="00CC4E48">
        <w:rPr>
          <w:rFonts w:ascii="Times New Roman" w:eastAsia="Times New Roman" w:hAnsi="Times New Roman" w:cs="Times New Roman"/>
          <w:bCs/>
          <w:sz w:val="24"/>
          <w:szCs w:val="24"/>
        </w:rPr>
        <w:t>JL-776 × GPBD-4</w:t>
      </w:r>
      <w:r w:rsidRPr="0001380E">
        <w:rPr>
          <w:rFonts w:ascii="Times New Roman" w:eastAsia="Times New Roman" w:hAnsi="Times New Roman" w:cs="Times New Roman"/>
          <w:sz w:val="24"/>
          <w:szCs w:val="24"/>
        </w:rPr>
        <w:t xml:space="preserve"> (1.64 and 2.19) maintained strong resistance across both stages. This highlights the heritable nature of resistance genes in these crosses. Similarly, </w:t>
      </w:r>
      <w:r w:rsidRPr="00CC4E48">
        <w:rPr>
          <w:rFonts w:ascii="Times New Roman" w:eastAsia="Times New Roman" w:hAnsi="Times New Roman" w:cs="Times New Roman"/>
          <w:bCs/>
          <w:sz w:val="24"/>
          <w:szCs w:val="24"/>
        </w:rPr>
        <w:t xml:space="preserve">JL-776 × </w:t>
      </w:r>
      <w:r w:rsidR="00331C21" w:rsidRPr="00CC4E48">
        <w:rPr>
          <w:rFonts w:ascii="Times New Roman" w:eastAsia="Times New Roman" w:hAnsi="Times New Roman" w:cs="Times New Roman"/>
          <w:bCs/>
          <w:sz w:val="24"/>
          <w:szCs w:val="24"/>
        </w:rPr>
        <w:t xml:space="preserve">Sunoleic-95 </w:t>
      </w:r>
      <w:proofErr w:type="gramStart"/>
      <w:r w:rsidR="00331C21" w:rsidRPr="00CC4E48">
        <w:rPr>
          <w:rFonts w:ascii="Times New Roman" w:eastAsia="Times New Roman" w:hAnsi="Times New Roman" w:cs="Times New Roman"/>
          <w:bCs/>
          <w:sz w:val="24"/>
          <w:szCs w:val="24"/>
        </w:rPr>
        <w:t xml:space="preserve">R </w:t>
      </w:r>
      <w:r w:rsidRPr="0001380E">
        <w:rPr>
          <w:rFonts w:ascii="Times New Roman" w:eastAsia="Times New Roman" w:hAnsi="Times New Roman" w:cs="Times New Roman"/>
          <w:sz w:val="24"/>
          <w:szCs w:val="24"/>
        </w:rPr>
        <w:t xml:space="preserve"> (</w:t>
      </w:r>
      <w:proofErr w:type="gramEnd"/>
      <w:r w:rsidRPr="0001380E">
        <w:rPr>
          <w:rFonts w:ascii="Times New Roman" w:eastAsia="Times New Roman" w:hAnsi="Times New Roman" w:cs="Times New Roman"/>
          <w:sz w:val="24"/>
          <w:szCs w:val="24"/>
        </w:rPr>
        <w:t>2.27 and 2.93) performed better than expected, considering the susceptibility of one parent.</w:t>
      </w:r>
    </w:p>
    <w:p w:rsidR="00B952C7" w:rsidRPr="0001380E" w:rsidRDefault="00B952C7" w:rsidP="006D6E3C">
      <w:pPr>
        <w:spacing w:before="100" w:beforeAutospacing="1" w:after="100" w:afterAutospacing="1" w:line="240" w:lineRule="auto"/>
        <w:ind w:firstLine="720"/>
        <w:jc w:val="both"/>
        <w:rPr>
          <w:rFonts w:ascii="Times New Roman" w:eastAsia="Times New Roman" w:hAnsi="Times New Roman" w:cs="Times New Roman"/>
          <w:sz w:val="24"/>
          <w:szCs w:val="24"/>
        </w:rPr>
      </w:pPr>
      <w:r w:rsidRPr="0001380E">
        <w:rPr>
          <w:rFonts w:ascii="Times New Roman" w:eastAsia="Times New Roman" w:hAnsi="Times New Roman" w:cs="Times New Roman"/>
          <w:sz w:val="24"/>
          <w:szCs w:val="24"/>
        </w:rPr>
        <w:t xml:space="preserve">On the contrary, </w:t>
      </w:r>
      <w:r w:rsidRPr="00CC4E48">
        <w:rPr>
          <w:rFonts w:ascii="Times New Roman" w:eastAsia="Times New Roman" w:hAnsi="Times New Roman" w:cs="Times New Roman"/>
          <w:bCs/>
          <w:sz w:val="24"/>
          <w:szCs w:val="24"/>
        </w:rPr>
        <w:t>TG-86 × KDG-128</w:t>
      </w:r>
      <w:r w:rsidRPr="0001380E">
        <w:rPr>
          <w:rFonts w:ascii="Times New Roman" w:eastAsia="Times New Roman" w:hAnsi="Times New Roman" w:cs="Times New Roman"/>
          <w:sz w:val="24"/>
          <w:szCs w:val="24"/>
        </w:rPr>
        <w:t xml:space="preserve"> recorded higher mean scores in F₂ (3.87 and 4.43), shifting into the moderate resistance category. This indicates segregation towards susceptibility and the possible influence of minor genes from TG-86, confirming that durable resistance in this cross is weaker than in those involving JL-776.</w:t>
      </w:r>
    </w:p>
    <w:p w:rsidR="00B952C7" w:rsidRPr="0001380E" w:rsidRDefault="00B952C7" w:rsidP="00B952C7">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01380E">
        <w:rPr>
          <w:rFonts w:ascii="Times New Roman" w:eastAsia="Times New Roman" w:hAnsi="Times New Roman" w:cs="Times New Roman"/>
          <w:b/>
          <w:bCs/>
          <w:sz w:val="24"/>
          <w:szCs w:val="24"/>
        </w:rPr>
        <w:t>Performance of Backcross Generations (BC₁ and BC₂)</w:t>
      </w:r>
    </w:p>
    <w:p w:rsidR="00B952C7" w:rsidRPr="0001380E" w:rsidRDefault="00B952C7" w:rsidP="00B952C7">
      <w:pPr>
        <w:spacing w:before="100" w:beforeAutospacing="1" w:after="100" w:afterAutospacing="1" w:line="240" w:lineRule="auto"/>
        <w:jc w:val="both"/>
        <w:rPr>
          <w:rFonts w:ascii="Times New Roman" w:eastAsia="Times New Roman" w:hAnsi="Times New Roman" w:cs="Times New Roman"/>
          <w:sz w:val="24"/>
          <w:szCs w:val="24"/>
        </w:rPr>
      </w:pPr>
      <w:r w:rsidRPr="0001380E">
        <w:rPr>
          <w:rFonts w:ascii="Times New Roman" w:eastAsia="Times New Roman" w:hAnsi="Times New Roman" w:cs="Times New Roman"/>
          <w:sz w:val="24"/>
          <w:szCs w:val="24"/>
        </w:rPr>
        <w:t>Backcross populations provided further insights into resistance inheritance:</w:t>
      </w:r>
    </w:p>
    <w:p w:rsidR="00B952C7" w:rsidRPr="0001380E" w:rsidRDefault="00B952C7" w:rsidP="006D6E3C">
      <w:pPr>
        <w:spacing w:before="100" w:beforeAutospacing="1" w:after="100" w:afterAutospacing="1" w:line="240" w:lineRule="auto"/>
        <w:ind w:firstLine="720"/>
        <w:jc w:val="both"/>
        <w:rPr>
          <w:rFonts w:ascii="Times New Roman" w:eastAsia="Times New Roman" w:hAnsi="Times New Roman" w:cs="Times New Roman"/>
          <w:sz w:val="24"/>
          <w:szCs w:val="24"/>
        </w:rPr>
      </w:pPr>
      <w:r w:rsidRPr="00CC4E48">
        <w:rPr>
          <w:rFonts w:ascii="Times New Roman" w:eastAsia="Times New Roman" w:hAnsi="Times New Roman" w:cs="Times New Roman"/>
          <w:bCs/>
          <w:sz w:val="24"/>
          <w:szCs w:val="24"/>
        </w:rPr>
        <w:t>BC₁ populations</w:t>
      </w:r>
      <w:r w:rsidRPr="0001380E">
        <w:rPr>
          <w:rFonts w:ascii="Times New Roman" w:eastAsia="Times New Roman" w:hAnsi="Times New Roman" w:cs="Times New Roman"/>
          <w:sz w:val="24"/>
          <w:szCs w:val="24"/>
        </w:rPr>
        <w:t xml:space="preserve"> (backcrossed with the resistant parent JL-776) of </w:t>
      </w:r>
      <w:r w:rsidRPr="00CC4E48">
        <w:rPr>
          <w:rFonts w:ascii="Times New Roman" w:eastAsia="Times New Roman" w:hAnsi="Times New Roman" w:cs="Times New Roman"/>
          <w:bCs/>
          <w:sz w:val="24"/>
          <w:szCs w:val="24"/>
        </w:rPr>
        <w:t>JL-776 × KDG-128 (2.14 and 2.76)</w:t>
      </w:r>
      <w:r w:rsidRPr="0001380E">
        <w:rPr>
          <w:rFonts w:ascii="Times New Roman" w:eastAsia="Times New Roman" w:hAnsi="Times New Roman" w:cs="Times New Roman"/>
          <w:sz w:val="24"/>
          <w:szCs w:val="24"/>
        </w:rPr>
        <w:t xml:space="preserve"> and </w:t>
      </w:r>
      <w:r w:rsidRPr="00CC4E48">
        <w:rPr>
          <w:rFonts w:ascii="Times New Roman" w:eastAsia="Times New Roman" w:hAnsi="Times New Roman" w:cs="Times New Roman"/>
          <w:bCs/>
          <w:sz w:val="24"/>
          <w:szCs w:val="24"/>
        </w:rPr>
        <w:t>JL-776 × GPBD-4 (2.71 and 3.12)</w:t>
      </w:r>
      <w:r w:rsidRPr="0001380E">
        <w:rPr>
          <w:rFonts w:ascii="Times New Roman" w:eastAsia="Times New Roman" w:hAnsi="Times New Roman" w:cs="Times New Roman"/>
          <w:sz w:val="24"/>
          <w:szCs w:val="24"/>
        </w:rPr>
        <w:t xml:space="preserve"> retained moderate to strong resistance, reinforcing the dominance of resistance alleles. </w:t>
      </w:r>
      <w:r w:rsidRPr="00CC4E48">
        <w:rPr>
          <w:rFonts w:ascii="Times New Roman" w:eastAsia="Times New Roman" w:hAnsi="Times New Roman" w:cs="Times New Roman"/>
          <w:bCs/>
          <w:sz w:val="24"/>
          <w:szCs w:val="24"/>
        </w:rPr>
        <w:t xml:space="preserve">JL-776 × </w:t>
      </w:r>
      <w:r w:rsidR="006D6E3C">
        <w:rPr>
          <w:rFonts w:ascii="Times New Roman" w:eastAsia="Times New Roman" w:hAnsi="Times New Roman" w:cs="Times New Roman"/>
          <w:bCs/>
          <w:sz w:val="24"/>
          <w:szCs w:val="24"/>
        </w:rPr>
        <w:t>Sunoleic-95</w:t>
      </w:r>
      <w:r w:rsidRPr="0001380E">
        <w:rPr>
          <w:rFonts w:ascii="Times New Roman" w:eastAsia="Times New Roman" w:hAnsi="Times New Roman" w:cs="Times New Roman"/>
          <w:sz w:val="24"/>
          <w:szCs w:val="24"/>
        </w:rPr>
        <w:t xml:space="preserve"> (2.56 and 3.15) also displayed useful levels of resistance, reflecting the effective transfer of resistance from JL-776. Conversely, </w:t>
      </w:r>
      <w:r w:rsidRPr="00CC4E48">
        <w:rPr>
          <w:rFonts w:ascii="Times New Roman" w:eastAsia="Times New Roman" w:hAnsi="Times New Roman" w:cs="Times New Roman"/>
          <w:bCs/>
          <w:sz w:val="24"/>
          <w:szCs w:val="24"/>
        </w:rPr>
        <w:t>TG-86 × KDG-128 BC₁</w:t>
      </w:r>
      <w:r w:rsidRPr="0001380E">
        <w:rPr>
          <w:rFonts w:ascii="Times New Roman" w:eastAsia="Times New Roman" w:hAnsi="Times New Roman" w:cs="Times New Roman"/>
          <w:sz w:val="24"/>
          <w:szCs w:val="24"/>
        </w:rPr>
        <w:t xml:space="preserve"> showed higher scores (4.13 and 4.87), which placed it in the moderately resistant group, again revealing the unstable resistance contribution of TG-86.</w:t>
      </w:r>
    </w:p>
    <w:p w:rsidR="00B952C7" w:rsidRPr="0001380E" w:rsidRDefault="00B952C7" w:rsidP="006D6E3C">
      <w:pPr>
        <w:spacing w:before="100" w:beforeAutospacing="1" w:after="100" w:afterAutospacing="1" w:line="240" w:lineRule="auto"/>
        <w:ind w:firstLine="720"/>
        <w:jc w:val="both"/>
        <w:rPr>
          <w:rFonts w:ascii="Times New Roman" w:eastAsia="Times New Roman" w:hAnsi="Times New Roman" w:cs="Times New Roman"/>
          <w:sz w:val="24"/>
          <w:szCs w:val="24"/>
        </w:rPr>
      </w:pPr>
      <w:r w:rsidRPr="00CC4E48">
        <w:rPr>
          <w:rFonts w:ascii="Times New Roman" w:eastAsia="Times New Roman" w:hAnsi="Times New Roman" w:cs="Times New Roman"/>
          <w:bCs/>
          <w:sz w:val="24"/>
          <w:szCs w:val="24"/>
        </w:rPr>
        <w:t>BC₂ populations</w:t>
      </w:r>
      <w:r w:rsidRPr="0001380E">
        <w:rPr>
          <w:rFonts w:ascii="Times New Roman" w:eastAsia="Times New Roman" w:hAnsi="Times New Roman" w:cs="Times New Roman"/>
          <w:sz w:val="24"/>
          <w:szCs w:val="24"/>
        </w:rPr>
        <w:t xml:space="preserve"> (backcrossed with the second parent) provided an opportunity to test resistance allele stability. </w:t>
      </w:r>
      <w:r w:rsidRPr="00CC4E48">
        <w:rPr>
          <w:rFonts w:ascii="Times New Roman" w:eastAsia="Times New Roman" w:hAnsi="Times New Roman" w:cs="Times New Roman"/>
          <w:bCs/>
          <w:sz w:val="24"/>
          <w:szCs w:val="24"/>
        </w:rPr>
        <w:t>JL-776 × KDG-128 BC₂ (1.77 and 2.39)</w:t>
      </w:r>
      <w:r w:rsidRPr="0001380E">
        <w:rPr>
          <w:rFonts w:ascii="Times New Roman" w:eastAsia="Times New Roman" w:hAnsi="Times New Roman" w:cs="Times New Roman"/>
          <w:sz w:val="24"/>
          <w:szCs w:val="24"/>
        </w:rPr>
        <w:t xml:space="preserve"> and </w:t>
      </w:r>
      <w:r w:rsidRPr="00CC4E48">
        <w:rPr>
          <w:rFonts w:ascii="Times New Roman" w:eastAsia="Times New Roman" w:hAnsi="Times New Roman" w:cs="Times New Roman"/>
          <w:bCs/>
          <w:sz w:val="24"/>
          <w:szCs w:val="24"/>
        </w:rPr>
        <w:t>JL-776 × GPBD-4 BC₂ (2.15 and 2.63)</w:t>
      </w:r>
      <w:r w:rsidRPr="0001380E">
        <w:rPr>
          <w:rFonts w:ascii="Times New Roman" w:eastAsia="Times New Roman" w:hAnsi="Times New Roman" w:cs="Times New Roman"/>
          <w:sz w:val="24"/>
          <w:szCs w:val="24"/>
        </w:rPr>
        <w:t xml:space="preserve"> demonstrated durable resistance. This confirms that both KDG-128 and GPBD-4 effectively transmit resistance alleles into progenies. By contrast, </w:t>
      </w:r>
      <w:r w:rsidRPr="00CC4E48">
        <w:rPr>
          <w:rFonts w:ascii="Times New Roman" w:eastAsia="Times New Roman" w:hAnsi="Times New Roman" w:cs="Times New Roman"/>
          <w:bCs/>
          <w:sz w:val="24"/>
          <w:szCs w:val="24"/>
        </w:rPr>
        <w:t xml:space="preserve">JL-776 × </w:t>
      </w:r>
      <w:r w:rsidR="00331C21" w:rsidRPr="00CC4E48">
        <w:rPr>
          <w:rFonts w:ascii="Times New Roman" w:eastAsia="Times New Roman" w:hAnsi="Times New Roman" w:cs="Times New Roman"/>
          <w:bCs/>
          <w:sz w:val="24"/>
          <w:szCs w:val="24"/>
        </w:rPr>
        <w:t xml:space="preserve">Sunoleic-95 R </w:t>
      </w:r>
      <w:r w:rsidRPr="00CC4E48">
        <w:rPr>
          <w:rFonts w:ascii="Times New Roman" w:eastAsia="Times New Roman" w:hAnsi="Times New Roman" w:cs="Times New Roman"/>
          <w:bCs/>
          <w:sz w:val="24"/>
          <w:szCs w:val="24"/>
        </w:rPr>
        <w:t>BC₂ (3.63 and 4.26)</w:t>
      </w:r>
      <w:r w:rsidRPr="0001380E">
        <w:rPr>
          <w:rFonts w:ascii="Times New Roman" w:eastAsia="Times New Roman" w:hAnsi="Times New Roman" w:cs="Times New Roman"/>
          <w:sz w:val="24"/>
          <w:szCs w:val="24"/>
        </w:rPr>
        <w:t xml:space="preserve"> shifted towards moderate susceptibility, reflecting the dilution effect when susceptible </w:t>
      </w:r>
      <w:r w:rsidR="00F55093">
        <w:rPr>
          <w:rFonts w:ascii="Times New Roman" w:eastAsia="Times New Roman" w:hAnsi="Times New Roman" w:cs="Times New Roman"/>
          <w:sz w:val="24"/>
          <w:szCs w:val="24"/>
        </w:rPr>
        <w:t>Sunoleic-95 R</w:t>
      </w:r>
      <w:r w:rsidRPr="0001380E">
        <w:rPr>
          <w:rFonts w:ascii="Times New Roman" w:eastAsia="Times New Roman" w:hAnsi="Times New Roman" w:cs="Times New Roman"/>
          <w:sz w:val="24"/>
          <w:szCs w:val="24"/>
        </w:rPr>
        <w:t xml:space="preserve"> was reintroduced.</w:t>
      </w:r>
    </w:p>
    <w:p w:rsidR="00B952C7" w:rsidRPr="0001380E" w:rsidRDefault="00B952C7" w:rsidP="00B952C7">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01380E">
        <w:rPr>
          <w:rFonts w:ascii="Times New Roman" w:eastAsia="Times New Roman" w:hAnsi="Times New Roman" w:cs="Times New Roman"/>
          <w:b/>
          <w:bCs/>
          <w:sz w:val="24"/>
          <w:szCs w:val="24"/>
        </w:rPr>
        <w:t>Comparative Insights</w:t>
      </w:r>
    </w:p>
    <w:p w:rsidR="00B952C7" w:rsidRPr="0001380E" w:rsidRDefault="00B952C7" w:rsidP="006D6E3C">
      <w:pPr>
        <w:spacing w:before="100" w:beforeAutospacing="1" w:after="100" w:afterAutospacing="1" w:line="240" w:lineRule="auto"/>
        <w:ind w:firstLine="720"/>
        <w:jc w:val="both"/>
        <w:rPr>
          <w:rFonts w:ascii="Times New Roman" w:eastAsia="Times New Roman" w:hAnsi="Times New Roman" w:cs="Times New Roman"/>
          <w:sz w:val="24"/>
          <w:szCs w:val="24"/>
        </w:rPr>
      </w:pPr>
      <w:r w:rsidRPr="0001380E">
        <w:rPr>
          <w:rFonts w:ascii="Times New Roman" w:eastAsia="Times New Roman" w:hAnsi="Times New Roman" w:cs="Times New Roman"/>
          <w:sz w:val="24"/>
          <w:szCs w:val="24"/>
        </w:rPr>
        <w:t xml:space="preserve">The data collectively showed that resistance sources such as GPBD-4, KDG-128, and JL-776 consistently performed across multiple generations. The crosses </w:t>
      </w:r>
      <w:r w:rsidRPr="00CC4E48">
        <w:rPr>
          <w:rFonts w:ascii="Times New Roman" w:eastAsia="Times New Roman" w:hAnsi="Times New Roman" w:cs="Times New Roman"/>
          <w:bCs/>
          <w:sz w:val="24"/>
          <w:szCs w:val="24"/>
        </w:rPr>
        <w:t>JL-776 × KDG-128</w:t>
      </w:r>
      <w:r w:rsidRPr="0001380E">
        <w:rPr>
          <w:rFonts w:ascii="Times New Roman" w:eastAsia="Times New Roman" w:hAnsi="Times New Roman" w:cs="Times New Roman"/>
          <w:sz w:val="24"/>
          <w:szCs w:val="24"/>
        </w:rPr>
        <w:t xml:space="preserve"> and </w:t>
      </w:r>
      <w:r w:rsidRPr="00CC4E48">
        <w:rPr>
          <w:rFonts w:ascii="Times New Roman" w:eastAsia="Times New Roman" w:hAnsi="Times New Roman" w:cs="Times New Roman"/>
          <w:bCs/>
          <w:sz w:val="24"/>
          <w:szCs w:val="24"/>
        </w:rPr>
        <w:t>JL-776 × GPBD-4</w:t>
      </w:r>
      <w:r w:rsidRPr="0001380E">
        <w:rPr>
          <w:rFonts w:ascii="Times New Roman" w:eastAsia="Times New Roman" w:hAnsi="Times New Roman" w:cs="Times New Roman"/>
          <w:sz w:val="24"/>
          <w:szCs w:val="24"/>
        </w:rPr>
        <w:t xml:space="preserve"> stood out as the most promising combinations for resistance breeding. Interestingly, the positive performance of </w:t>
      </w:r>
      <w:r w:rsidRPr="00CC4E48">
        <w:rPr>
          <w:rFonts w:ascii="Times New Roman" w:eastAsia="Times New Roman" w:hAnsi="Times New Roman" w:cs="Times New Roman"/>
          <w:bCs/>
          <w:sz w:val="24"/>
          <w:szCs w:val="24"/>
        </w:rPr>
        <w:t xml:space="preserve">JL-776 × </w:t>
      </w:r>
      <w:r w:rsidR="00331C21" w:rsidRPr="00CC4E48">
        <w:rPr>
          <w:rFonts w:ascii="Times New Roman" w:eastAsia="Times New Roman" w:hAnsi="Times New Roman" w:cs="Times New Roman"/>
          <w:bCs/>
          <w:sz w:val="24"/>
          <w:szCs w:val="24"/>
        </w:rPr>
        <w:t xml:space="preserve">Sunoleic-95 R </w:t>
      </w:r>
      <w:r w:rsidRPr="0001380E">
        <w:rPr>
          <w:rFonts w:ascii="Times New Roman" w:eastAsia="Times New Roman" w:hAnsi="Times New Roman" w:cs="Times New Roman"/>
          <w:sz w:val="24"/>
          <w:szCs w:val="24"/>
        </w:rPr>
        <w:t>demonstrates the possibility of integrating resistance with oil quality traits, provided careful selection is made in segregating generations.</w:t>
      </w:r>
    </w:p>
    <w:p w:rsidR="00B952C7" w:rsidRPr="0001380E" w:rsidRDefault="00B952C7" w:rsidP="00B952C7">
      <w:pPr>
        <w:spacing w:before="100" w:beforeAutospacing="1" w:after="100" w:afterAutospacing="1" w:line="240" w:lineRule="auto"/>
        <w:jc w:val="both"/>
        <w:rPr>
          <w:rFonts w:ascii="Times New Roman" w:eastAsia="Times New Roman" w:hAnsi="Times New Roman" w:cs="Times New Roman"/>
          <w:sz w:val="24"/>
          <w:szCs w:val="24"/>
        </w:rPr>
      </w:pPr>
      <w:r w:rsidRPr="0001380E">
        <w:rPr>
          <w:rFonts w:ascii="Times New Roman" w:eastAsia="Times New Roman" w:hAnsi="Times New Roman" w:cs="Times New Roman"/>
          <w:sz w:val="24"/>
          <w:szCs w:val="24"/>
        </w:rPr>
        <w:t xml:space="preserve">These findings </w:t>
      </w:r>
      <w:proofErr w:type="gramStart"/>
      <w:r w:rsidRPr="0001380E">
        <w:rPr>
          <w:rFonts w:ascii="Times New Roman" w:eastAsia="Times New Roman" w:hAnsi="Times New Roman" w:cs="Times New Roman"/>
          <w:sz w:val="24"/>
          <w:szCs w:val="24"/>
        </w:rPr>
        <w:t>are in agreement</w:t>
      </w:r>
      <w:proofErr w:type="gramEnd"/>
      <w:r w:rsidRPr="0001380E">
        <w:rPr>
          <w:rFonts w:ascii="Times New Roman" w:eastAsia="Times New Roman" w:hAnsi="Times New Roman" w:cs="Times New Roman"/>
          <w:sz w:val="24"/>
          <w:szCs w:val="24"/>
        </w:rPr>
        <w:t xml:space="preserve"> with earlier studies (Dwivedi et al., 2002; </w:t>
      </w:r>
      <w:proofErr w:type="spellStart"/>
      <w:r w:rsidRPr="0001380E">
        <w:rPr>
          <w:rFonts w:ascii="Times New Roman" w:eastAsia="Times New Roman" w:hAnsi="Times New Roman" w:cs="Times New Roman"/>
          <w:sz w:val="24"/>
          <w:szCs w:val="24"/>
        </w:rPr>
        <w:t>Khedikar</w:t>
      </w:r>
      <w:proofErr w:type="spellEnd"/>
      <w:r w:rsidRPr="0001380E">
        <w:rPr>
          <w:rFonts w:ascii="Times New Roman" w:eastAsia="Times New Roman" w:hAnsi="Times New Roman" w:cs="Times New Roman"/>
          <w:sz w:val="24"/>
          <w:szCs w:val="24"/>
        </w:rPr>
        <w:t xml:space="preserve"> et al., 2010; Sujay et al., 2012), which reported that resistance to LLS is polygenic, durable when pyramided, and most effective when multiple resistant parents are involved. Furthermore, the resistance observed across F₁, F₂, and backcross generations highlights the feasibility of gene </w:t>
      </w:r>
      <w:proofErr w:type="spellStart"/>
      <w:r w:rsidRPr="0001380E">
        <w:rPr>
          <w:rFonts w:ascii="Times New Roman" w:eastAsia="Times New Roman" w:hAnsi="Times New Roman" w:cs="Times New Roman"/>
          <w:sz w:val="24"/>
          <w:szCs w:val="24"/>
        </w:rPr>
        <w:t>introgression</w:t>
      </w:r>
      <w:proofErr w:type="spellEnd"/>
      <w:r w:rsidRPr="0001380E">
        <w:rPr>
          <w:rFonts w:ascii="Times New Roman" w:eastAsia="Times New Roman" w:hAnsi="Times New Roman" w:cs="Times New Roman"/>
          <w:sz w:val="24"/>
          <w:szCs w:val="24"/>
        </w:rPr>
        <w:t xml:space="preserve"> for durable resistance.</w:t>
      </w:r>
    </w:p>
    <w:p w:rsidR="00B952C7" w:rsidRPr="00DE05BE" w:rsidRDefault="00B952C7" w:rsidP="00B952C7">
      <w:pPr>
        <w:jc w:val="both"/>
        <w:rPr>
          <w:rFonts w:ascii="Times New Roman" w:hAnsi="Times New Roman" w:cs="Times New Roman"/>
          <w:sz w:val="24"/>
          <w:szCs w:val="24"/>
        </w:rPr>
      </w:pPr>
      <w:r w:rsidRPr="00DE05BE">
        <w:rPr>
          <w:rFonts w:ascii="Times New Roman" w:hAnsi="Times New Roman" w:cs="Times New Roman"/>
          <w:b/>
          <w:bCs/>
          <w:sz w:val="24"/>
          <w:szCs w:val="24"/>
        </w:rPr>
        <w:lastRenderedPageBreak/>
        <w:t xml:space="preserve">Table 4: </w:t>
      </w:r>
      <w:r w:rsidRPr="00DE05BE">
        <w:rPr>
          <w:rFonts w:ascii="Times New Roman" w:hAnsi="Times New Roman" w:cs="Times New Roman"/>
          <w:sz w:val="24"/>
          <w:szCs w:val="24"/>
        </w:rPr>
        <w:t>Disease scoring of late leaf spot of groundnut at 75 and 85 DAS</w:t>
      </w:r>
    </w:p>
    <w:tbl>
      <w:tblPr>
        <w:tblStyle w:val="TableGrid"/>
        <w:tblW w:w="8843" w:type="dxa"/>
        <w:tblInd w:w="558" w:type="dxa"/>
        <w:tblLook w:val="04A0" w:firstRow="1" w:lastRow="0" w:firstColumn="1" w:lastColumn="0" w:noHBand="0" w:noVBand="1"/>
      </w:tblPr>
      <w:tblGrid>
        <w:gridCol w:w="1376"/>
        <w:gridCol w:w="3878"/>
        <w:gridCol w:w="1270"/>
        <w:gridCol w:w="2319"/>
      </w:tblGrid>
      <w:tr w:rsidR="00B952C7" w:rsidRPr="00DE05BE" w:rsidTr="00E51318">
        <w:trPr>
          <w:trHeight w:val="287"/>
        </w:trPr>
        <w:tc>
          <w:tcPr>
            <w:tcW w:w="1352" w:type="dxa"/>
            <w:vAlign w:val="center"/>
          </w:tcPr>
          <w:p w:rsidR="00B952C7" w:rsidRPr="00DE05BE" w:rsidRDefault="00B952C7" w:rsidP="00E51318">
            <w:pPr>
              <w:spacing w:line="276" w:lineRule="auto"/>
              <w:jc w:val="center"/>
              <w:rPr>
                <w:rFonts w:ascii="Times New Roman" w:hAnsi="Times New Roman" w:cs="Times New Roman"/>
                <w:b/>
                <w:bCs/>
                <w:color w:val="000000"/>
                <w:sz w:val="24"/>
                <w:szCs w:val="24"/>
              </w:rPr>
            </w:pPr>
            <w:r w:rsidRPr="00DE05BE">
              <w:rPr>
                <w:rFonts w:ascii="Times New Roman" w:hAnsi="Times New Roman" w:cs="Times New Roman"/>
                <w:b/>
                <w:bCs/>
                <w:color w:val="000000"/>
                <w:sz w:val="24"/>
                <w:szCs w:val="24"/>
              </w:rPr>
              <w:t>Generation</w:t>
            </w:r>
          </w:p>
        </w:tc>
        <w:tc>
          <w:tcPr>
            <w:tcW w:w="3891" w:type="dxa"/>
            <w:vAlign w:val="center"/>
          </w:tcPr>
          <w:p w:rsidR="00B952C7" w:rsidRPr="00DE05BE" w:rsidRDefault="00B952C7" w:rsidP="00E51318">
            <w:pPr>
              <w:spacing w:line="276" w:lineRule="auto"/>
              <w:jc w:val="center"/>
              <w:rPr>
                <w:rFonts w:ascii="Times New Roman" w:hAnsi="Times New Roman" w:cs="Times New Roman"/>
                <w:b/>
                <w:bCs/>
                <w:color w:val="000000"/>
                <w:sz w:val="24"/>
                <w:szCs w:val="24"/>
              </w:rPr>
            </w:pPr>
            <w:r w:rsidRPr="00DE05BE">
              <w:rPr>
                <w:rFonts w:ascii="Times New Roman" w:hAnsi="Times New Roman" w:cs="Times New Roman"/>
                <w:b/>
                <w:bCs/>
                <w:color w:val="000000"/>
                <w:sz w:val="24"/>
                <w:szCs w:val="24"/>
              </w:rPr>
              <w:t>Crosses</w:t>
            </w:r>
          </w:p>
        </w:tc>
        <w:tc>
          <w:tcPr>
            <w:tcW w:w="3600" w:type="dxa"/>
            <w:gridSpan w:val="2"/>
          </w:tcPr>
          <w:p w:rsidR="00B952C7" w:rsidRPr="00DE05BE" w:rsidRDefault="00B952C7" w:rsidP="00E51318">
            <w:pPr>
              <w:spacing w:line="276" w:lineRule="auto"/>
              <w:jc w:val="center"/>
              <w:rPr>
                <w:rFonts w:ascii="Times New Roman" w:hAnsi="Times New Roman" w:cs="Times New Roman"/>
                <w:b/>
                <w:sz w:val="24"/>
                <w:szCs w:val="24"/>
              </w:rPr>
            </w:pPr>
            <w:r w:rsidRPr="00DE05BE">
              <w:rPr>
                <w:rFonts w:ascii="Times New Roman" w:hAnsi="Times New Roman" w:cs="Times New Roman"/>
                <w:b/>
                <w:sz w:val="24"/>
                <w:szCs w:val="24"/>
              </w:rPr>
              <w:t>Disease score for late leaf spots (LLS)</w:t>
            </w:r>
          </w:p>
        </w:tc>
      </w:tr>
      <w:tr w:rsidR="00B952C7" w:rsidRPr="00DE05BE" w:rsidTr="00E51318">
        <w:tc>
          <w:tcPr>
            <w:tcW w:w="1352" w:type="dxa"/>
            <w:vAlign w:val="bottom"/>
          </w:tcPr>
          <w:p w:rsidR="00B952C7" w:rsidRPr="00DE05BE" w:rsidRDefault="00B952C7" w:rsidP="00E51318">
            <w:pPr>
              <w:spacing w:line="276" w:lineRule="auto"/>
              <w:jc w:val="center"/>
              <w:rPr>
                <w:rFonts w:ascii="Times New Roman" w:hAnsi="Times New Roman" w:cs="Times New Roman"/>
                <w:b/>
                <w:color w:val="000000"/>
                <w:sz w:val="24"/>
                <w:szCs w:val="24"/>
              </w:rPr>
            </w:pPr>
          </w:p>
        </w:tc>
        <w:tc>
          <w:tcPr>
            <w:tcW w:w="3891" w:type="dxa"/>
            <w:vAlign w:val="bottom"/>
          </w:tcPr>
          <w:p w:rsidR="00B952C7" w:rsidRPr="00DE05BE" w:rsidRDefault="00B952C7" w:rsidP="00E51318">
            <w:pPr>
              <w:spacing w:line="276" w:lineRule="auto"/>
              <w:jc w:val="center"/>
              <w:rPr>
                <w:rFonts w:ascii="Times New Roman" w:hAnsi="Times New Roman" w:cs="Times New Roman"/>
                <w:b/>
                <w:color w:val="000000"/>
                <w:sz w:val="24"/>
                <w:szCs w:val="24"/>
              </w:rPr>
            </w:pPr>
          </w:p>
        </w:tc>
        <w:tc>
          <w:tcPr>
            <w:tcW w:w="1273" w:type="dxa"/>
          </w:tcPr>
          <w:p w:rsidR="00B952C7" w:rsidRPr="00DE05BE" w:rsidRDefault="00B952C7" w:rsidP="00E51318">
            <w:pPr>
              <w:spacing w:line="276" w:lineRule="auto"/>
              <w:jc w:val="center"/>
              <w:rPr>
                <w:rFonts w:ascii="Times New Roman" w:hAnsi="Times New Roman" w:cs="Times New Roman"/>
                <w:b/>
                <w:sz w:val="24"/>
                <w:szCs w:val="24"/>
              </w:rPr>
            </w:pPr>
            <w:r w:rsidRPr="00DE05BE">
              <w:rPr>
                <w:rFonts w:ascii="Times New Roman" w:hAnsi="Times New Roman" w:cs="Times New Roman"/>
                <w:b/>
                <w:sz w:val="24"/>
                <w:szCs w:val="24"/>
              </w:rPr>
              <w:t>75 DAS</w:t>
            </w:r>
          </w:p>
        </w:tc>
        <w:tc>
          <w:tcPr>
            <w:tcW w:w="2327" w:type="dxa"/>
          </w:tcPr>
          <w:p w:rsidR="00B952C7" w:rsidRPr="00DE05BE" w:rsidRDefault="00B952C7" w:rsidP="00E51318">
            <w:pPr>
              <w:spacing w:line="276" w:lineRule="auto"/>
              <w:jc w:val="center"/>
              <w:rPr>
                <w:rFonts w:ascii="Times New Roman" w:hAnsi="Times New Roman" w:cs="Times New Roman"/>
                <w:b/>
                <w:sz w:val="24"/>
                <w:szCs w:val="24"/>
              </w:rPr>
            </w:pPr>
            <w:r w:rsidRPr="00DE05BE">
              <w:rPr>
                <w:rFonts w:ascii="Times New Roman" w:hAnsi="Times New Roman" w:cs="Times New Roman"/>
                <w:b/>
                <w:sz w:val="24"/>
                <w:szCs w:val="24"/>
              </w:rPr>
              <w:t>85 DAS</w:t>
            </w:r>
          </w:p>
        </w:tc>
      </w:tr>
      <w:tr w:rsidR="00B952C7" w:rsidRPr="00DE05BE" w:rsidTr="00E51318">
        <w:tc>
          <w:tcPr>
            <w:tcW w:w="1352" w:type="dxa"/>
            <w:vAlign w:val="bottom"/>
          </w:tcPr>
          <w:p w:rsidR="00B952C7" w:rsidRPr="00DE05BE" w:rsidRDefault="00B952C7" w:rsidP="00E51318">
            <w:pPr>
              <w:spacing w:line="276" w:lineRule="auto"/>
              <w:jc w:val="center"/>
              <w:rPr>
                <w:rFonts w:ascii="Times New Roman" w:hAnsi="Times New Roman" w:cs="Times New Roman"/>
                <w:b/>
                <w:color w:val="000000"/>
                <w:sz w:val="24"/>
                <w:szCs w:val="24"/>
              </w:rPr>
            </w:pPr>
          </w:p>
        </w:tc>
        <w:tc>
          <w:tcPr>
            <w:tcW w:w="3891" w:type="dxa"/>
            <w:vAlign w:val="bottom"/>
          </w:tcPr>
          <w:p w:rsidR="00B952C7" w:rsidRPr="00DE05BE" w:rsidRDefault="00B952C7" w:rsidP="00E51318">
            <w:pPr>
              <w:spacing w:line="276" w:lineRule="auto"/>
              <w:jc w:val="center"/>
              <w:rPr>
                <w:rFonts w:ascii="Times New Roman" w:hAnsi="Times New Roman" w:cs="Times New Roman"/>
                <w:b/>
                <w:color w:val="000000"/>
                <w:sz w:val="24"/>
                <w:szCs w:val="24"/>
              </w:rPr>
            </w:pPr>
            <w:r w:rsidRPr="00DE05BE">
              <w:rPr>
                <w:rFonts w:ascii="Times New Roman" w:hAnsi="Times New Roman" w:cs="Times New Roman"/>
                <w:b/>
                <w:color w:val="000000"/>
                <w:sz w:val="24"/>
                <w:szCs w:val="24"/>
              </w:rPr>
              <w:t>Parents</w:t>
            </w:r>
          </w:p>
        </w:tc>
        <w:tc>
          <w:tcPr>
            <w:tcW w:w="1273" w:type="dxa"/>
          </w:tcPr>
          <w:p w:rsidR="00B952C7" w:rsidRPr="00DE05BE" w:rsidRDefault="00B952C7" w:rsidP="00E51318">
            <w:pPr>
              <w:spacing w:line="276" w:lineRule="auto"/>
              <w:jc w:val="center"/>
              <w:rPr>
                <w:rFonts w:ascii="Times New Roman" w:hAnsi="Times New Roman" w:cs="Times New Roman"/>
                <w:sz w:val="24"/>
                <w:szCs w:val="24"/>
              </w:rPr>
            </w:pPr>
          </w:p>
        </w:tc>
        <w:tc>
          <w:tcPr>
            <w:tcW w:w="2327" w:type="dxa"/>
          </w:tcPr>
          <w:p w:rsidR="00B952C7" w:rsidRPr="00DE05BE" w:rsidRDefault="00B952C7" w:rsidP="00E51318">
            <w:pPr>
              <w:spacing w:line="276" w:lineRule="auto"/>
              <w:jc w:val="center"/>
              <w:rPr>
                <w:rFonts w:ascii="Times New Roman" w:hAnsi="Times New Roman" w:cs="Times New Roman"/>
                <w:sz w:val="24"/>
                <w:szCs w:val="24"/>
              </w:rPr>
            </w:pPr>
          </w:p>
        </w:tc>
      </w:tr>
      <w:tr w:rsidR="00B952C7" w:rsidRPr="00DE05BE" w:rsidTr="00E51318">
        <w:tc>
          <w:tcPr>
            <w:tcW w:w="1352" w:type="dxa"/>
            <w:vAlign w:val="bottom"/>
          </w:tcPr>
          <w:p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P1</w:t>
            </w:r>
          </w:p>
        </w:tc>
        <w:tc>
          <w:tcPr>
            <w:tcW w:w="3891" w:type="dxa"/>
            <w:vAlign w:val="bottom"/>
          </w:tcPr>
          <w:p w:rsidR="00B952C7" w:rsidRPr="00DE05BE" w:rsidRDefault="00B952C7" w:rsidP="00E51318">
            <w:pPr>
              <w:spacing w:line="276" w:lineRule="auto"/>
              <w:rPr>
                <w:rFonts w:ascii="Times New Roman" w:hAnsi="Times New Roman" w:cs="Times New Roman"/>
                <w:color w:val="000000"/>
                <w:sz w:val="24"/>
                <w:szCs w:val="24"/>
              </w:rPr>
            </w:pPr>
            <w:r w:rsidRPr="00DE05BE">
              <w:rPr>
                <w:rFonts w:ascii="Times New Roman" w:hAnsi="Times New Roman" w:cs="Times New Roman"/>
                <w:color w:val="000000"/>
                <w:sz w:val="24"/>
                <w:szCs w:val="24"/>
              </w:rPr>
              <w:t>TG-86</w:t>
            </w:r>
          </w:p>
        </w:tc>
        <w:tc>
          <w:tcPr>
            <w:tcW w:w="1273" w:type="dxa"/>
            <w:vAlign w:val="bottom"/>
          </w:tcPr>
          <w:p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3.93</w:t>
            </w:r>
          </w:p>
        </w:tc>
        <w:tc>
          <w:tcPr>
            <w:tcW w:w="2327" w:type="dxa"/>
            <w:vAlign w:val="bottom"/>
          </w:tcPr>
          <w:p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4.81</w:t>
            </w:r>
          </w:p>
        </w:tc>
      </w:tr>
      <w:tr w:rsidR="00B952C7" w:rsidRPr="00DE05BE" w:rsidTr="00E51318">
        <w:tc>
          <w:tcPr>
            <w:tcW w:w="1352" w:type="dxa"/>
            <w:vAlign w:val="bottom"/>
          </w:tcPr>
          <w:p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P2</w:t>
            </w:r>
          </w:p>
        </w:tc>
        <w:tc>
          <w:tcPr>
            <w:tcW w:w="3891" w:type="dxa"/>
            <w:vAlign w:val="bottom"/>
          </w:tcPr>
          <w:p w:rsidR="00B952C7" w:rsidRPr="00DE05BE" w:rsidRDefault="00B952C7" w:rsidP="00E51318">
            <w:pPr>
              <w:spacing w:line="276" w:lineRule="auto"/>
              <w:rPr>
                <w:rFonts w:ascii="Times New Roman" w:hAnsi="Times New Roman" w:cs="Times New Roman"/>
                <w:color w:val="000000"/>
                <w:sz w:val="24"/>
                <w:szCs w:val="24"/>
              </w:rPr>
            </w:pPr>
            <w:r w:rsidRPr="00DE05BE">
              <w:rPr>
                <w:rFonts w:ascii="Times New Roman" w:hAnsi="Times New Roman" w:cs="Times New Roman"/>
                <w:color w:val="000000"/>
                <w:sz w:val="24"/>
                <w:szCs w:val="24"/>
              </w:rPr>
              <w:t>JL-776</w:t>
            </w:r>
          </w:p>
        </w:tc>
        <w:tc>
          <w:tcPr>
            <w:tcW w:w="1273" w:type="dxa"/>
            <w:vAlign w:val="bottom"/>
          </w:tcPr>
          <w:p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2.86</w:t>
            </w:r>
          </w:p>
        </w:tc>
        <w:tc>
          <w:tcPr>
            <w:tcW w:w="2327" w:type="dxa"/>
            <w:vAlign w:val="bottom"/>
          </w:tcPr>
          <w:p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3.77</w:t>
            </w:r>
          </w:p>
        </w:tc>
      </w:tr>
      <w:tr w:rsidR="00B952C7" w:rsidRPr="00DE05BE" w:rsidTr="00E51318">
        <w:tc>
          <w:tcPr>
            <w:tcW w:w="1352" w:type="dxa"/>
            <w:vAlign w:val="bottom"/>
          </w:tcPr>
          <w:p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P3</w:t>
            </w:r>
          </w:p>
        </w:tc>
        <w:tc>
          <w:tcPr>
            <w:tcW w:w="3891" w:type="dxa"/>
            <w:vAlign w:val="bottom"/>
          </w:tcPr>
          <w:p w:rsidR="00B952C7" w:rsidRPr="00DE05BE" w:rsidRDefault="00B952C7" w:rsidP="00E51318">
            <w:pPr>
              <w:spacing w:line="276" w:lineRule="auto"/>
              <w:rPr>
                <w:rFonts w:ascii="Times New Roman" w:hAnsi="Times New Roman" w:cs="Times New Roman"/>
                <w:color w:val="000000"/>
                <w:sz w:val="24"/>
                <w:szCs w:val="24"/>
              </w:rPr>
            </w:pPr>
            <w:r w:rsidRPr="00DE05BE">
              <w:rPr>
                <w:rFonts w:ascii="Times New Roman" w:hAnsi="Times New Roman" w:cs="Times New Roman"/>
                <w:color w:val="000000"/>
                <w:sz w:val="24"/>
                <w:szCs w:val="24"/>
              </w:rPr>
              <w:t>KDG-128</w:t>
            </w:r>
          </w:p>
        </w:tc>
        <w:tc>
          <w:tcPr>
            <w:tcW w:w="1273" w:type="dxa"/>
            <w:vAlign w:val="bottom"/>
          </w:tcPr>
          <w:p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2.14</w:t>
            </w:r>
          </w:p>
        </w:tc>
        <w:tc>
          <w:tcPr>
            <w:tcW w:w="2327" w:type="dxa"/>
            <w:vAlign w:val="bottom"/>
          </w:tcPr>
          <w:p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2.91</w:t>
            </w:r>
          </w:p>
        </w:tc>
      </w:tr>
      <w:tr w:rsidR="00B952C7" w:rsidRPr="00DE05BE" w:rsidTr="00E51318">
        <w:tc>
          <w:tcPr>
            <w:tcW w:w="1352" w:type="dxa"/>
            <w:vAlign w:val="bottom"/>
          </w:tcPr>
          <w:p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P4</w:t>
            </w:r>
          </w:p>
        </w:tc>
        <w:tc>
          <w:tcPr>
            <w:tcW w:w="3891" w:type="dxa"/>
            <w:vAlign w:val="bottom"/>
          </w:tcPr>
          <w:p w:rsidR="00B952C7" w:rsidRPr="00DE05BE" w:rsidRDefault="00B952C7" w:rsidP="00E51318">
            <w:pPr>
              <w:spacing w:line="276" w:lineRule="auto"/>
              <w:rPr>
                <w:rFonts w:ascii="Times New Roman" w:hAnsi="Times New Roman" w:cs="Times New Roman"/>
                <w:color w:val="000000"/>
                <w:sz w:val="24"/>
                <w:szCs w:val="24"/>
              </w:rPr>
            </w:pPr>
            <w:r w:rsidRPr="00DE05BE">
              <w:rPr>
                <w:rFonts w:ascii="Times New Roman" w:hAnsi="Times New Roman" w:cs="Times New Roman"/>
                <w:color w:val="000000"/>
                <w:sz w:val="24"/>
                <w:szCs w:val="24"/>
              </w:rPr>
              <w:t>GPBD-4</w:t>
            </w:r>
          </w:p>
        </w:tc>
        <w:tc>
          <w:tcPr>
            <w:tcW w:w="1273" w:type="dxa"/>
            <w:vAlign w:val="bottom"/>
          </w:tcPr>
          <w:p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1.89</w:t>
            </w:r>
          </w:p>
        </w:tc>
        <w:tc>
          <w:tcPr>
            <w:tcW w:w="2327" w:type="dxa"/>
            <w:vAlign w:val="bottom"/>
          </w:tcPr>
          <w:p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2.56</w:t>
            </w:r>
          </w:p>
        </w:tc>
      </w:tr>
      <w:tr w:rsidR="00B952C7" w:rsidRPr="00DE05BE" w:rsidTr="00E51318">
        <w:tc>
          <w:tcPr>
            <w:tcW w:w="1352" w:type="dxa"/>
            <w:vAlign w:val="bottom"/>
          </w:tcPr>
          <w:p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P5</w:t>
            </w:r>
          </w:p>
        </w:tc>
        <w:tc>
          <w:tcPr>
            <w:tcW w:w="3891" w:type="dxa"/>
            <w:vAlign w:val="bottom"/>
          </w:tcPr>
          <w:p w:rsidR="00B952C7" w:rsidRPr="00DE05BE" w:rsidRDefault="00B952C7" w:rsidP="00E51318">
            <w:pPr>
              <w:spacing w:line="276" w:lineRule="auto"/>
              <w:rPr>
                <w:rFonts w:ascii="Times New Roman" w:hAnsi="Times New Roman" w:cs="Times New Roman"/>
                <w:color w:val="000000"/>
                <w:sz w:val="24"/>
                <w:szCs w:val="24"/>
              </w:rPr>
            </w:pPr>
            <w:r w:rsidRPr="00DE05BE">
              <w:rPr>
                <w:rFonts w:ascii="Times New Roman" w:hAnsi="Times New Roman" w:cs="Times New Roman"/>
                <w:color w:val="000000"/>
                <w:sz w:val="24"/>
                <w:szCs w:val="24"/>
              </w:rPr>
              <w:t>SUNOLIC-95 R</w:t>
            </w:r>
          </w:p>
        </w:tc>
        <w:tc>
          <w:tcPr>
            <w:tcW w:w="1273" w:type="dxa"/>
            <w:vAlign w:val="bottom"/>
          </w:tcPr>
          <w:p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5.71</w:t>
            </w:r>
          </w:p>
        </w:tc>
        <w:tc>
          <w:tcPr>
            <w:tcW w:w="2327" w:type="dxa"/>
            <w:vAlign w:val="bottom"/>
          </w:tcPr>
          <w:p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6.93</w:t>
            </w:r>
          </w:p>
        </w:tc>
      </w:tr>
      <w:tr w:rsidR="00B952C7" w:rsidRPr="00DE05BE" w:rsidTr="00E51318">
        <w:tc>
          <w:tcPr>
            <w:tcW w:w="1352" w:type="dxa"/>
            <w:vAlign w:val="bottom"/>
          </w:tcPr>
          <w:p w:rsidR="00B952C7" w:rsidRPr="00DE05BE" w:rsidRDefault="00B952C7" w:rsidP="00E51318">
            <w:pPr>
              <w:spacing w:line="276" w:lineRule="auto"/>
              <w:jc w:val="center"/>
              <w:rPr>
                <w:rFonts w:ascii="Times New Roman" w:hAnsi="Times New Roman" w:cs="Times New Roman"/>
                <w:color w:val="000000"/>
                <w:sz w:val="24"/>
                <w:szCs w:val="24"/>
              </w:rPr>
            </w:pPr>
          </w:p>
        </w:tc>
        <w:tc>
          <w:tcPr>
            <w:tcW w:w="3891" w:type="dxa"/>
            <w:vAlign w:val="bottom"/>
          </w:tcPr>
          <w:p w:rsidR="00B952C7" w:rsidRPr="00DE05BE" w:rsidRDefault="00B952C7" w:rsidP="00E51318">
            <w:pPr>
              <w:spacing w:line="276" w:lineRule="auto"/>
              <w:rPr>
                <w:rFonts w:ascii="Times New Roman" w:hAnsi="Times New Roman" w:cs="Times New Roman"/>
                <w:b/>
                <w:color w:val="000000"/>
                <w:sz w:val="24"/>
                <w:szCs w:val="24"/>
              </w:rPr>
            </w:pPr>
            <w:r w:rsidRPr="00DE05BE">
              <w:rPr>
                <w:rFonts w:ascii="Times New Roman" w:hAnsi="Times New Roman" w:cs="Times New Roman"/>
                <w:b/>
                <w:color w:val="000000"/>
                <w:sz w:val="24"/>
                <w:szCs w:val="24"/>
              </w:rPr>
              <w:t>Crosses</w:t>
            </w:r>
          </w:p>
        </w:tc>
        <w:tc>
          <w:tcPr>
            <w:tcW w:w="1273" w:type="dxa"/>
            <w:vAlign w:val="bottom"/>
          </w:tcPr>
          <w:p w:rsidR="00B952C7" w:rsidRPr="00DE05BE" w:rsidRDefault="00B952C7" w:rsidP="00E51318">
            <w:pPr>
              <w:spacing w:line="276" w:lineRule="auto"/>
              <w:jc w:val="center"/>
              <w:rPr>
                <w:rFonts w:ascii="Times New Roman" w:hAnsi="Times New Roman" w:cs="Times New Roman"/>
                <w:color w:val="000000"/>
                <w:sz w:val="24"/>
                <w:szCs w:val="24"/>
              </w:rPr>
            </w:pPr>
          </w:p>
        </w:tc>
        <w:tc>
          <w:tcPr>
            <w:tcW w:w="2327" w:type="dxa"/>
            <w:vAlign w:val="bottom"/>
          </w:tcPr>
          <w:p w:rsidR="00B952C7" w:rsidRPr="00DE05BE" w:rsidRDefault="00B952C7" w:rsidP="00E51318">
            <w:pPr>
              <w:spacing w:line="276" w:lineRule="auto"/>
              <w:jc w:val="center"/>
              <w:rPr>
                <w:rFonts w:ascii="Times New Roman" w:hAnsi="Times New Roman" w:cs="Times New Roman"/>
                <w:color w:val="000000"/>
                <w:sz w:val="24"/>
                <w:szCs w:val="24"/>
              </w:rPr>
            </w:pPr>
          </w:p>
        </w:tc>
      </w:tr>
      <w:tr w:rsidR="00B952C7" w:rsidRPr="00DE05BE" w:rsidTr="00E51318">
        <w:tc>
          <w:tcPr>
            <w:tcW w:w="1352" w:type="dxa"/>
            <w:vAlign w:val="bottom"/>
          </w:tcPr>
          <w:p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F1</w:t>
            </w:r>
          </w:p>
        </w:tc>
        <w:tc>
          <w:tcPr>
            <w:tcW w:w="3891" w:type="dxa"/>
            <w:vAlign w:val="bottom"/>
          </w:tcPr>
          <w:p w:rsidR="00B952C7" w:rsidRPr="00DE05BE" w:rsidRDefault="00B952C7" w:rsidP="00E51318">
            <w:pPr>
              <w:spacing w:line="276" w:lineRule="auto"/>
              <w:rPr>
                <w:rFonts w:ascii="Times New Roman" w:hAnsi="Times New Roman" w:cs="Times New Roman"/>
                <w:color w:val="000000"/>
                <w:sz w:val="24"/>
                <w:szCs w:val="24"/>
              </w:rPr>
            </w:pPr>
            <w:r w:rsidRPr="00DE05BE">
              <w:rPr>
                <w:rFonts w:ascii="Times New Roman" w:hAnsi="Times New Roman" w:cs="Times New Roman"/>
                <w:color w:val="000000"/>
                <w:sz w:val="24"/>
                <w:szCs w:val="24"/>
              </w:rPr>
              <w:t>TG-86 ×KDG -128</w:t>
            </w:r>
          </w:p>
        </w:tc>
        <w:tc>
          <w:tcPr>
            <w:tcW w:w="1273" w:type="dxa"/>
            <w:vAlign w:val="bottom"/>
          </w:tcPr>
          <w:p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2.94</w:t>
            </w:r>
          </w:p>
        </w:tc>
        <w:tc>
          <w:tcPr>
            <w:tcW w:w="2327" w:type="dxa"/>
            <w:vAlign w:val="bottom"/>
          </w:tcPr>
          <w:p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3.76</w:t>
            </w:r>
          </w:p>
        </w:tc>
      </w:tr>
      <w:tr w:rsidR="00B952C7" w:rsidRPr="00DE05BE" w:rsidTr="00E51318">
        <w:tc>
          <w:tcPr>
            <w:tcW w:w="1352" w:type="dxa"/>
            <w:vAlign w:val="bottom"/>
          </w:tcPr>
          <w:p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F1</w:t>
            </w:r>
          </w:p>
        </w:tc>
        <w:tc>
          <w:tcPr>
            <w:tcW w:w="3891" w:type="dxa"/>
            <w:vAlign w:val="bottom"/>
          </w:tcPr>
          <w:p w:rsidR="00B952C7" w:rsidRPr="00DE05BE" w:rsidRDefault="00B952C7" w:rsidP="00E51318">
            <w:pPr>
              <w:spacing w:line="276" w:lineRule="auto"/>
              <w:rPr>
                <w:rFonts w:ascii="Times New Roman" w:hAnsi="Times New Roman" w:cs="Times New Roman"/>
                <w:color w:val="000000"/>
                <w:sz w:val="24"/>
                <w:szCs w:val="24"/>
              </w:rPr>
            </w:pPr>
            <w:r w:rsidRPr="00DE05BE">
              <w:rPr>
                <w:rFonts w:ascii="Times New Roman" w:hAnsi="Times New Roman" w:cs="Times New Roman"/>
                <w:color w:val="000000"/>
                <w:sz w:val="24"/>
                <w:szCs w:val="24"/>
              </w:rPr>
              <w:t>JL-776 ×KDG -128</w:t>
            </w:r>
          </w:p>
        </w:tc>
        <w:tc>
          <w:tcPr>
            <w:tcW w:w="1273" w:type="dxa"/>
            <w:vAlign w:val="bottom"/>
          </w:tcPr>
          <w:p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1.19</w:t>
            </w:r>
          </w:p>
        </w:tc>
        <w:tc>
          <w:tcPr>
            <w:tcW w:w="2327" w:type="dxa"/>
            <w:vAlign w:val="bottom"/>
          </w:tcPr>
          <w:p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1.88</w:t>
            </w:r>
          </w:p>
        </w:tc>
      </w:tr>
      <w:tr w:rsidR="00B952C7" w:rsidRPr="00DE05BE" w:rsidTr="00E51318">
        <w:tc>
          <w:tcPr>
            <w:tcW w:w="1352" w:type="dxa"/>
            <w:vAlign w:val="bottom"/>
          </w:tcPr>
          <w:p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F1</w:t>
            </w:r>
          </w:p>
        </w:tc>
        <w:tc>
          <w:tcPr>
            <w:tcW w:w="3891" w:type="dxa"/>
            <w:vAlign w:val="bottom"/>
          </w:tcPr>
          <w:p w:rsidR="00B952C7" w:rsidRPr="00DE05BE" w:rsidRDefault="00B952C7" w:rsidP="00E51318">
            <w:pPr>
              <w:spacing w:line="276" w:lineRule="auto"/>
              <w:rPr>
                <w:rFonts w:ascii="Times New Roman" w:hAnsi="Times New Roman" w:cs="Times New Roman"/>
                <w:color w:val="000000"/>
                <w:sz w:val="24"/>
                <w:szCs w:val="24"/>
              </w:rPr>
            </w:pPr>
            <w:r w:rsidRPr="00DE05BE">
              <w:rPr>
                <w:rFonts w:ascii="Times New Roman" w:hAnsi="Times New Roman" w:cs="Times New Roman"/>
                <w:color w:val="000000"/>
                <w:sz w:val="24"/>
                <w:szCs w:val="24"/>
              </w:rPr>
              <w:t>JL-776 × GPBD-4</w:t>
            </w:r>
          </w:p>
        </w:tc>
        <w:tc>
          <w:tcPr>
            <w:tcW w:w="1273" w:type="dxa"/>
            <w:vAlign w:val="bottom"/>
          </w:tcPr>
          <w:p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1.23</w:t>
            </w:r>
          </w:p>
        </w:tc>
        <w:tc>
          <w:tcPr>
            <w:tcW w:w="2327" w:type="dxa"/>
            <w:vAlign w:val="bottom"/>
          </w:tcPr>
          <w:p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1.63</w:t>
            </w:r>
          </w:p>
        </w:tc>
      </w:tr>
      <w:tr w:rsidR="00B952C7" w:rsidRPr="00DE05BE" w:rsidTr="00E51318">
        <w:tc>
          <w:tcPr>
            <w:tcW w:w="1352" w:type="dxa"/>
            <w:vAlign w:val="bottom"/>
          </w:tcPr>
          <w:p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F1</w:t>
            </w:r>
          </w:p>
        </w:tc>
        <w:tc>
          <w:tcPr>
            <w:tcW w:w="3891" w:type="dxa"/>
            <w:vAlign w:val="bottom"/>
          </w:tcPr>
          <w:p w:rsidR="00B952C7" w:rsidRPr="00DE05BE" w:rsidRDefault="00B952C7" w:rsidP="00E51318">
            <w:pPr>
              <w:spacing w:line="276" w:lineRule="auto"/>
              <w:rPr>
                <w:rFonts w:ascii="Times New Roman" w:hAnsi="Times New Roman" w:cs="Times New Roman"/>
                <w:color w:val="000000"/>
                <w:sz w:val="24"/>
                <w:szCs w:val="24"/>
              </w:rPr>
            </w:pPr>
            <w:r w:rsidRPr="00DE05BE">
              <w:rPr>
                <w:rFonts w:ascii="Times New Roman" w:hAnsi="Times New Roman" w:cs="Times New Roman"/>
                <w:color w:val="000000"/>
                <w:sz w:val="24"/>
                <w:szCs w:val="24"/>
              </w:rPr>
              <w:t xml:space="preserve">JL-776 </w:t>
            </w:r>
            <w:proofErr w:type="gramStart"/>
            <w:r w:rsidRPr="00DE05BE">
              <w:rPr>
                <w:rFonts w:ascii="Times New Roman" w:hAnsi="Times New Roman" w:cs="Times New Roman"/>
                <w:color w:val="000000"/>
                <w:sz w:val="24"/>
                <w:szCs w:val="24"/>
              </w:rPr>
              <w:t>×  SUNOLIC</w:t>
            </w:r>
            <w:proofErr w:type="gramEnd"/>
            <w:r w:rsidRPr="00DE05BE">
              <w:rPr>
                <w:rFonts w:ascii="Times New Roman" w:hAnsi="Times New Roman" w:cs="Times New Roman"/>
                <w:color w:val="000000"/>
                <w:sz w:val="24"/>
                <w:szCs w:val="24"/>
              </w:rPr>
              <w:t xml:space="preserve"> 95R</w:t>
            </w:r>
          </w:p>
        </w:tc>
        <w:tc>
          <w:tcPr>
            <w:tcW w:w="1273" w:type="dxa"/>
            <w:vAlign w:val="bottom"/>
          </w:tcPr>
          <w:p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1.83</w:t>
            </w:r>
          </w:p>
        </w:tc>
        <w:tc>
          <w:tcPr>
            <w:tcW w:w="2327" w:type="dxa"/>
            <w:vAlign w:val="bottom"/>
          </w:tcPr>
          <w:p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2.51</w:t>
            </w:r>
          </w:p>
        </w:tc>
      </w:tr>
      <w:tr w:rsidR="00B952C7" w:rsidRPr="00DE05BE" w:rsidTr="00E51318">
        <w:tc>
          <w:tcPr>
            <w:tcW w:w="1352" w:type="dxa"/>
            <w:vAlign w:val="bottom"/>
          </w:tcPr>
          <w:p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F2</w:t>
            </w:r>
          </w:p>
        </w:tc>
        <w:tc>
          <w:tcPr>
            <w:tcW w:w="3891" w:type="dxa"/>
            <w:vAlign w:val="bottom"/>
          </w:tcPr>
          <w:p w:rsidR="00B952C7" w:rsidRPr="00DE05BE" w:rsidRDefault="00B952C7" w:rsidP="00E51318">
            <w:pPr>
              <w:spacing w:line="276" w:lineRule="auto"/>
              <w:rPr>
                <w:rFonts w:ascii="Times New Roman" w:hAnsi="Times New Roman" w:cs="Times New Roman"/>
                <w:color w:val="000000"/>
                <w:sz w:val="24"/>
                <w:szCs w:val="24"/>
              </w:rPr>
            </w:pPr>
            <w:r w:rsidRPr="00DE05BE">
              <w:rPr>
                <w:rFonts w:ascii="Times New Roman" w:hAnsi="Times New Roman" w:cs="Times New Roman"/>
                <w:color w:val="000000"/>
                <w:sz w:val="24"/>
                <w:szCs w:val="24"/>
              </w:rPr>
              <w:t>TG-86 ×KDG -128</w:t>
            </w:r>
          </w:p>
        </w:tc>
        <w:tc>
          <w:tcPr>
            <w:tcW w:w="1273" w:type="dxa"/>
            <w:vAlign w:val="bottom"/>
          </w:tcPr>
          <w:p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3.87</w:t>
            </w:r>
          </w:p>
        </w:tc>
        <w:tc>
          <w:tcPr>
            <w:tcW w:w="2327" w:type="dxa"/>
            <w:vAlign w:val="bottom"/>
          </w:tcPr>
          <w:p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4.43</w:t>
            </w:r>
          </w:p>
        </w:tc>
      </w:tr>
      <w:tr w:rsidR="00B952C7" w:rsidRPr="00DE05BE" w:rsidTr="00E51318">
        <w:tc>
          <w:tcPr>
            <w:tcW w:w="1352" w:type="dxa"/>
            <w:vAlign w:val="bottom"/>
          </w:tcPr>
          <w:p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F2</w:t>
            </w:r>
          </w:p>
        </w:tc>
        <w:tc>
          <w:tcPr>
            <w:tcW w:w="3891" w:type="dxa"/>
            <w:vAlign w:val="bottom"/>
          </w:tcPr>
          <w:p w:rsidR="00B952C7" w:rsidRPr="00DE05BE" w:rsidRDefault="00B952C7" w:rsidP="00E51318">
            <w:pPr>
              <w:spacing w:line="276" w:lineRule="auto"/>
              <w:rPr>
                <w:rFonts w:ascii="Times New Roman" w:hAnsi="Times New Roman" w:cs="Times New Roman"/>
                <w:color w:val="000000"/>
                <w:sz w:val="24"/>
                <w:szCs w:val="24"/>
              </w:rPr>
            </w:pPr>
            <w:r w:rsidRPr="00DE05BE">
              <w:rPr>
                <w:rFonts w:ascii="Times New Roman" w:hAnsi="Times New Roman" w:cs="Times New Roman"/>
                <w:color w:val="000000"/>
                <w:sz w:val="24"/>
                <w:szCs w:val="24"/>
              </w:rPr>
              <w:t>JL-776 ×KDG -128</w:t>
            </w:r>
          </w:p>
        </w:tc>
        <w:tc>
          <w:tcPr>
            <w:tcW w:w="1273" w:type="dxa"/>
            <w:vAlign w:val="bottom"/>
          </w:tcPr>
          <w:p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1.56</w:t>
            </w:r>
          </w:p>
        </w:tc>
        <w:tc>
          <w:tcPr>
            <w:tcW w:w="2327" w:type="dxa"/>
            <w:vAlign w:val="bottom"/>
          </w:tcPr>
          <w:p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2.31</w:t>
            </w:r>
          </w:p>
        </w:tc>
      </w:tr>
      <w:tr w:rsidR="00B952C7" w:rsidRPr="00DE05BE" w:rsidTr="00E51318">
        <w:tc>
          <w:tcPr>
            <w:tcW w:w="1352" w:type="dxa"/>
            <w:vAlign w:val="bottom"/>
          </w:tcPr>
          <w:p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F2</w:t>
            </w:r>
          </w:p>
        </w:tc>
        <w:tc>
          <w:tcPr>
            <w:tcW w:w="3891" w:type="dxa"/>
            <w:vAlign w:val="bottom"/>
          </w:tcPr>
          <w:p w:rsidR="00B952C7" w:rsidRPr="00DE05BE" w:rsidRDefault="00B952C7" w:rsidP="00E51318">
            <w:pPr>
              <w:spacing w:line="276" w:lineRule="auto"/>
              <w:rPr>
                <w:rFonts w:ascii="Times New Roman" w:hAnsi="Times New Roman" w:cs="Times New Roman"/>
                <w:color w:val="000000"/>
                <w:sz w:val="24"/>
                <w:szCs w:val="24"/>
              </w:rPr>
            </w:pPr>
            <w:r w:rsidRPr="00DE05BE">
              <w:rPr>
                <w:rFonts w:ascii="Times New Roman" w:hAnsi="Times New Roman" w:cs="Times New Roman"/>
                <w:color w:val="000000"/>
                <w:sz w:val="24"/>
                <w:szCs w:val="24"/>
              </w:rPr>
              <w:t>JL-776 × GPBD-4</w:t>
            </w:r>
          </w:p>
        </w:tc>
        <w:tc>
          <w:tcPr>
            <w:tcW w:w="1273" w:type="dxa"/>
            <w:vAlign w:val="bottom"/>
          </w:tcPr>
          <w:p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1.64</w:t>
            </w:r>
          </w:p>
        </w:tc>
        <w:tc>
          <w:tcPr>
            <w:tcW w:w="2327" w:type="dxa"/>
            <w:vAlign w:val="bottom"/>
          </w:tcPr>
          <w:p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2.19</w:t>
            </w:r>
          </w:p>
        </w:tc>
      </w:tr>
      <w:tr w:rsidR="00B952C7" w:rsidRPr="00DE05BE" w:rsidTr="00E51318">
        <w:tc>
          <w:tcPr>
            <w:tcW w:w="1352" w:type="dxa"/>
            <w:vAlign w:val="bottom"/>
          </w:tcPr>
          <w:p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F2</w:t>
            </w:r>
          </w:p>
        </w:tc>
        <w:tc>
          <w:tcPr>
            <w:tcW w:w="3891" w:type="dxa"/>
            <w:vAlign w:val="bottom"/>
          </w:tcPr>
          <w:p w:rsidR="00B952C7" w:rsidRPr="00DE05BE" w:rsidRDefault="00B952C7" w:rsidP="00E51318">
            <w:pPr>
              <w:spacing w:line="276" w:lineRule="auto"/>
              <w:rPr>
                <w:rFonts w:ascii="Times New Roman" w:hAnsi="Times New Roman" w:cs="Times New Roman"/>
                <w:color w:val="000000"/>
                <w:sz w:val="24"/>
                <w:szCs w:val="24"/>
              </w:rPr>
            </w:pPr>
            <w:r w:rsidRPr="00DE05BE">
              <w:rPr>
                <w:rFonts w:ascii="Times New Roman" w:hAnsi="Times New Roman" w:cs="Times New Roman"/>
                <w:color w:val="000000"/>
                <w:sz w:val="24"/>
                <w:szCs w:val="24"/>
              </w:rPr>
              <w:t xml:space="preserve">JL-776 </w:t>
            </w:r>
            <w:proofErr w:type="gramStart"/>
            <w:r w:rsidRPr="00DE05BE">
              <w:rPr>
                <w:rFonts w:ascii="Times New Roman" w:hAnsi="Times New Roman" w:cs="Times New Roman"/>
                <w:color w:val="000000"/>
                <w:sz w:val="24"/>
                <w:szCs w:val="24"/>
              </w:rPr>
              <w:t>×  SUNOLIC</w:t>
            </w:r>
            <w:proofErr w:type="gramEnd"/>
            <w:r w:rsidRPr="00DE05BE">
              <w:rPr>
                <w:rFonts w:ascii="Times New Roman" w:hAnsi="Times New Roman" w:cs="Times New Roman"/>
                <w:color w:val="000000"/>
                <w:sz w:val="24"/>
                <w:szCs w:val="24"/>
              </w:rPr>
              <w:t xml:space="preserve"> 95R</w:t>
            </w:r>
          </w:p>
        </w:tc>
        <w:tc>
          <w:tcPr>
            <w:tcW w:w="1273" w:type="dxa"/>
            <w:vAlign w:val="bottom"/>
          </w:tcPr>
          <w:p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2.27</w:t>
            </w:r>
          </w:p>
        </w:tc>
        <w:tc>
          <w:tcPr>
            <w:tcW w:w="2327" w:type="dxa"/>
            <w:vAlign w:val="bottom"/>
          </w:tcPr>
          <w:p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2.93</w:t>
            </w:r>
          </w:p>
        </w:tc>
      </w:tr>
      <w:tr w:rsidR="00B952C7" w:rsidRPr="00DE05BE" w:rsidTr="00E51318">
        <w:tc>
          <w:tcPr>
            <w:tcW w:w="1352" w:type="dxa"/>
            <w:vAlign w:val="bottom"/>
          </w:tcPr>
          <w:p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BC1</w:t>
            </w:r>
          </w:p>
        </w:tc>
        <w:tc>
          <w:tcPr>
            <w:tcW w:w="3891" w:type="dxa"/>
            <w:vAlign w:val="bottom"/>
          </w:tcPr>
          <w:p w:rsidR="00B952C7" w:rsidRPr="00DE05BE" w:rsidRDefault="00B952C7" w:rsidP="00E51318">
            <w:pPr>
              <w:spacing w:line="276" w:lineRule="auto"/>
              <w:rPr>
                <w:rFonts w:ascii="Times New Roman" w:hAnsi="Times New Roman" w:cs="Times New Roman"/>
                <w:color w:val="000000"/>
                <w:sz w:val="24"/>
                <w:szCs w:val="24"/>
              </w:rPr>
            </w:pPr>
            <w:r w:rsidRPr="00DE05BE">
              <w:rPr>
                <w:rFonts w:ascii="Times New Roman" w:hAnsi="Times New Roman" w:cs="Times New Roman"/>
                <w:color w:val="000000"/>
                <w:sz w:val="24"/>
                <w:szCs w:val="24"/>
              </w:rPr>
              <w:t>(TG-86 × KDG -128) × TG-86</w:t>
            </w:r>
          </w:p>
        </w:tc>
        <w:tc>
          <w:tcPr>
            <w:tcW w:w="1273" w:type="dxa"/>
            <w:vAlign w:val="bottom"/>
          </w:tcPr>
          <w:p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4.13</w:t>
            </w:r>
          </w:p>
        </w:tc>
        <w:tc>
          <w:tcPr>
            <w:tcW w:w="2327" w:type="dxa"/>
            <w:vAlign w:val="bottom"/>
          </w:tcPr>
          <w:p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4.87</w:t>
            </w:r>
          </w:p>
        </w:tc>
      </w:tr>
      <w:tr w:rsidR="00B952C7" w:rsidRPr="00DE05BE" w:rsidTr="00E51318">
        <w:tc>
          <w:tcPr>
            <w:tcW w:w="1352" w:type="dxa"/>
            <w:vAlign w:val="bottom"/>
          </w:tcPr>
          <w:p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BC1</w:t>
            </w:r>
          </w:p>
        </w:tc>
        <w:tc>
          <w:tcPr>
            <w:tcW w:w="3891" w:type="dxa"/>
            <w:vAlign w:val="bottom"/>
          </w:tcPr>
          <w:p w:rsidR="00B952C7" w:rsidRPr="00DE05BE" w:rsidRDefault="00B952C7" w:rsidP="00E51318">
            <w:pPr>
              <w:spacing w:line="276" w:lineRule="auto"/>
              <w:rPr>
                <w:rFonts w:ascii="Times New Roman" w:hAnsi="Times New Roman" w:cs="Times New Roman"/>
                <w:color w:val="000000"/>
                <w:sz w:val="24"/>
                <w:szCs w:val="24"/>
              </w:rPr>
            </w:pPr>
            <w:r w:rsidRPr="00DE05BE">
              <w:rPr>
                <w:rFonts w:ascii="Times New Roman" w:hAnsi="Times New Roman" w:cs="Times New Roman"/>
                <w:color w:val="000000"/>
                <w:sz w:val="24"/>
                <w:szCs w:val="24"/>
              </w:rPr>
              <w:t>(JL-776 × KDG -128) × JL-776</w:t>
            </w:r>
          </w:p>
        </w:tc>
        <w:tc>
          <w:tcPr>
            <w:tcW w:w="1273" w:type="dxa"/>
            <w:vAlign w:val="bottom"/>
          </w:tcPr>
          <w:p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2.14</w:t>
            </w:r>
          </w:p>
        </w:tc>
        <w:tc>
          <w:tcPr>
            <w:tcW w:w="2327" w:type="dxa"/>
            <w:vAlign w:val="bottom"/>
          </w:tcPr>
          <w:p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2.76</w:t>
            </w:r>
          </w:p>
        </w:tc>
      </w:tr>
      <w:tr w:rsidR="00B952C7" w:rsidRPr="00DE05BE" w:rsidTr="00E51318">
        <w:tc>
          <w:tcPr>
            <w:tcW w:w="1352" w:type="dxa"/>
            <w:vAlign w:val="bottom"/>
          </w:tcPr>
          <w:p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BC1</w:t>
            </w:r>
          </w:p>
        </w:tc>
        <w:tc>
          <w:tcPr>
            <w:tcW w:w="3891" w:type="dxa"/>
            <w:vAlign w:val="bottom"/>
          </w:tcPr>
          <w:p w:rsidR="00B952C7" w:rsidRPr="00DE05BE" w:rsidRDefault="00B952C7" w:rsidP="00E51318">
            <w:pPr>
              <w:spacing w:line="276" w:lineRule="auto"/>
              <w:rPr>
                <w:rFonts w:ascii="Times New Roman" w:hAnsi="Times New Roman" w:cs="Times New Roman"/>
                <w:color w:val="000000"/>
                <w:sz w:val="24"/>
                <w:szCs w:val="24"/>
              </w:rPr>
            </w:pPr>
            <w:r w:rsidRPr="00DE05BE">
              <w:rPr>
                <w:rFonts w:ascii="Times New Roman" w:hAnsi="Times New Roman" w:cs="Times New Roman"/>
                <w:color w:val="000000"/>
                <w:sz w:val="24"/>
                <w:szCs w:val="24"/>
              </w:rPr>
              <w:t>(JL-776 × GPBD-4) × JL-776</w:t>
            </w:r>
          </w:p>
        </w:tc>
        <w:tc>
          <w:tcPr>
            <w:tcW w:w="1273" w:type="dxa"/>
            <w:vAlign w:val="bottom"/>
          </w:tcPr>
          <w:p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2.71</w:t>
            </w:r>
          </w:p>
        </w:tc>
        <w:tc>
          <w:tcPr>
            <w:tcW w:w="2327" w:type="dxa"/>
            <w:vAlign w:val="bottom"/>
          </w:tcPr>
          <w:p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3.12</w:t>
            </w:r>
          </w:p>
        </w:tc>
      </w:tr>
      <w:tr w:rsidR="00B952C7" w:rsidRPr="00DE05BE" w:rsidTr="00E51318">
        <w:tc>
          <w:tcPr>
            <w:tcW w:w="1352" w:type="dxa"/>
            <w:vAlign w:val="bottom"/>
          </w:tcPr>
          <w:p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BC1</w:t>
            </w:r>
          </w:p>
        </w:tc>
        <w:tc>
          <w:tcPr>
            <w:tcW w:w="3891" w:type="dxa"/>
            <w:vAlign w:val="bottom"/>
          </w:tcPr>
          <w:p w:rsidR="00B952C7" w:rsidRPr="00DE05BE" w:rsidRDefault="00B952C7" w:rsidP="00E51318">
            <w:pPr>
              <w:spacing w:line="276" w:lineRule="auto"/>
              <w:rPr>
                <w:rFonts w:ascii="Times New Roman" w:hAnsi="Times New Roman" w:cs="Times New Roman"/>
                <w:color w:val="000000"/>
                <w:sz w:val="24"/>
                <w:szCs w:val="24"/>
              </w:rPr>
            </w:pPr>
            <w:r w:rsidRPr="00DE05BE">
              <w:rPr>
                <w:rFonts w:ascii="Times New Roman" w:hAnsi="Times New Roman" w:cs="Times New Roman"/>
                <w:color w:val="000000"/>
                <w:sz w:val="24"/>
                <w:szCs w:val="24"/>
              </w:rPr>
              <w:t>(JL-776 × SUNOLIC 95 R) × JL-776</w:t>
            </w:r>
          </w:p>
        </w:tc>
        <w:tc>
          <w:tcPr>
            <w:tcW w:w="1273" w:type="dxa"/>
            <w:vAlign w:val="bottom"/>
          </w:tcPr>
          <w:p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2.56</w:t>
            </w:r>
          </w:p>
        </w:tc>
        <w:tc>
          <w:tcPr>
            <w:tcW w:w="2327" w:type="dxa"/>
            <w:vAlign w:val="bottom"/>
          </w:tcPr>
          <w:p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3.15</w:t>
            </w:r>
          </w:p>
        </w:tc>
      </w:tr>
      <w:tr w:rsidR="00B952C7" w:rsidRPr="00DE05BE" w:rsidTr="00E51318">
        <w:tc>
          <w:tcPr>
            <w:tcW w:w="1352" w:type="dxa"/>
            <w:vAlign w:val="bottom"/>
          </w:tcPr>
          <w:p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BC2</w:t>
            </w:r>
          </w:p>
        </w:tc>
        <w:tc>
          <w:tcPr>
            <w:tcW w:w="3891" w:type="dxa"/>
            <w:vAlign w:val="bottom"/>
          </w:tcPr>
          <w:p w:rsidR="00B952C7" w:rsidRPr="00DE05BE" w:rsidRDefault="00B952C7" w:rsidP="00E51318">
            <w:pPr>
              <w:spacing w:line="276" w:lineRule="auto"/>
              <w:rPr>
                <w:rFonts w:ascii="Times New Roman" w:hAnsi="Times New Roman" w:cs="Times New Roman"/>
                <w:color w:val="000000"/>
                <w:sz w:val="24"/>
                <w:szCs w:val="24"/>
              </w:rPr>
            </w:pPr>
            <w:r w:rsidRPr="00DE05BE">
              <w:rPr>
                <w:rFonts w:ascii="Times New Roman" w:hAnsi="Times New Roman" w:cs="Times New Roman"/>
                <w:color w:val="000000"/>
                <w:sz w:val="24"/>
                <w:szCs w:val="24"/>
              </w:rPr>
              <w:t>(TG-86 × KDG -128) × KDG-128</w:t>
            </w:r>
          </w:p>
        </w:tc>
        <w:tc>
          <w:tcPr>
            <w:tcW w:w="1273" w:type="dxa"/>
            <w:vAlign w:val="bottom"/>
          </w:tcPr>
          <w:p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2.65</w:t>
            </w:r>
          </w:p>
        </w:tc>
        <w:tc>
          <w:tcPr>
            <w:tcW w:w="2327" w:type="dxa"/>
            <w:vAlign w:val="bottom"/>
          </w:tcPr>
          <w:p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3.39</w:t>
            </w:r>
          </w:p>
        </w:tc>
      </w:tr>
      <w:tr w:rsidR="00B952C7" w:rsidRPr="00DE05BE" w:rsidTr="00E51318">
        <w:tc>
          <w:tcPr>
            <w:tcW w:w="1352" w:type="dxa"/>
            <w:vAlign w:val="bottom"/>
          </w:tcPr>
          <w:p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BC2</w:t>
            </w:r>
          </w:p>
        </w:tc>
        <w:tc>
          <w:tcPr>
            <w:tcW w:w="3891" w:type="dxa"/>
            <w:vAlign w:val="bottom"/>
          </w:tcPr>
          <w:p w:rsidR="00B952C7" w:rsidRPr="00DE05BE" w:rsidRDefault="00B952C7" w:rsidP="00E51318">
            <w:pPr>
              <w:spacing w:line="276" w:lineRule="auto"/>
              <w:rPr>
                <w:rFonts w:ascii="Times New Roman" w:hAnsi="Times New Roman" w:cs="Times New Roman"/>
                <w:color w:val="000000"/>
                <w:sz w:val="24"/>
                <w:szCs w:val="24"/>
              </w:rPr>
            </w:pPr>
            <w:r w:rsidRPr="00DE05BE">
              <w:rPr>
                <w:rFonts w:ascii="Times New Roman" w:hAnsi="Times New Roman" w:cs="Times New Roman"/>
                <w:color w:val="000000"/>
                <w:sz w:val="24"/>
                <w:szCs w:val="24"/>
              </w:rPr>
              <w:t>(JL-776× KDG -128) × KDG-128</w:t>
            </w:r>
          </w:p>
        </w:tc>
        <w:tc>
          <w:tcPr>
            <w:tcW w:w="1273" w:type="dxa"/>
            <w:vAlign w:val="bottom"/>
          </w:tcPr>
          <w:p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1.77</w:t>
            </w:r>
          </w:p>
        </w:tc>
        <w:tc>
          <w:tcPr>
            <w:tcW w:w="2327" w:type="dxa"/>
            <w:vAlign w:val="bottom"/>
          </w:tcPr>
          <w:p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2.39</w:t>
            </w:r>
          </w:p>
        </w:tc>
      </w:tr>
      <w:tr w:rsidR="00B952C7" w:rsidRPr="00DE05BE" w:rsidTr="00E51318">
        <w:tc>
          <w:tcPr>
            <w:tcW w:w="1352" w:type="dxa"/>
            <w:vAlign w:val="bottom"/>
          </w:tcPr>
          <w:p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BC2</w:t>
            </w:r>
          </w:p>
        </w:tc>
        <w:tc>
          <w:tcPr>
            <w:tcW w:w="3891" w:type="dxa"/>
            <w:vAlign w:val="bottom"/>
          </w:tcPr>
          <w:p w:rsidR="00B952C7" w:rsidRPr="00DE05BE" w:rsidRDefault="00B952C7" w:rsidP="00E51318">
            <w:pPr>
              <w:spacing w:line="276" w:lineRule="auto"/>
              <w:rPr>
                <w:rFonts w:ascii="Times New Roman" w:hAnsi="Times New Roman" w:cs="Times New Roman"/>
                <w:color w:val="000000"/>
                <w:sz w:val="24"/>
                <w:szCs w:val="24"/>
              </w:rPr>
            </w:pPr>
            <w:r w:rsidRPr="00DE05BE">
              <w:rPr>
                <w:rFonts w:ascii="Times New Roman" w:hAnsi="Times New Roman" w:cs="Times New Roman"/>
                <w:color w:val="000000"/>
                <w:sz w:val="24"/>
                <w:szCs w:val="24"/>
              </w:rPr>
              <w:t>(JL-776× GPBD-4) × GPBD-4</w:t>
            </w:r>
          </w:p>
        </w:tc>
        <w:tc>
          <w:tcPr>
            <w:tcW w:w="1273" w:type="dxa"/>
            <w:vAlign w:val="bottom"/>
          </w:tcPr>
          <w:p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2.15</w:t>
            </w:r>
          </w:p>
        </w:tc>
        <w:tc>
          <w:tcPr>
            <w:tcW w:w="2327" w:type="dxa"/>
            <w:vAlign w:val="bottom"/>
          </w:tcPr>
          <w:p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2.63</w:t>
            </w:r>
          </w:p>
        </w:tc>
      </w:tr>
      <w:tr w:rsidR="00B952C7" w:rsidRPr="00DE05BE" w:rsidTr="00E51318">
        <w:tc>
          <w:tcPr>
            <w:tcW w:w="1352" w:type="dxa"/>
            <w:vAlign w:val="bottom"/>
          </w:tcPr>
          <w:p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BC2</w:t>
            </w:r>
          </w:p>
        </w:tc>
        <w:tc>
          <w:tcPr>
            <w:tcW w:w="3891" w:type="dxa"/>
            <w:vAlign w:val="bottom"/>
          </w:tcPr>
          <w:p w:rsidR="00B952C7" w:rsidRPr="00DE05BE" w:rsidRDefault="00B952C7" w:rsidP="00E51318">
            <w:pPr>
              <w:spacing w:line="276" w:lineRule="auto"/>
              <w:rPr>
                <w:rFonts w:ascii="Times New Roman" w:hAnsi="Times New Roman" w:cs="Times New Roman"/>
                <w:color w:val="000000"/>
                <w:sz w:val="24"/>
                <w:szCs w:val="24"/>
              </w:rPr>
            </w:pPr>
            <w:r w:rsidRPr="00DE05BE">
              <w:rPr>
                <w:rFonts w:ascii="Times New Roman" w:hAnsi="Times New Roman" w:cs="Times New Roman"/>
                <w:color w:val="000000"/>
                <w:sz w:val="24"/>
                <w:szCs w:val="24"/>
              </w:rPr>
              <w:t xml:space="preserve">(JL-776 ×SUNOLIC 95 </w:t>
            </w:r>
            <w:proofErr w:type="gramStart"/>
            <w:r w:rsidRPr="00DE05BE">
              <w:rPr>
                <w:rFonts w:ascii="Times New Roman" w:hAnsi="Times New Roman" w:cs="Times New Roman"/>
                <w:color w:val="000000"/>
                <w:sz w:val="24"/>
                <w:szCs w:val="24"/>
              </w:rPr>
              <w:t>R )</w:t>
            </w:r>
            <w:proofErr w:type="gramEnd"/>
            <w:r w:rsidRPr="00DE05BE">
              <w:rPr>
                <w:rFonts w:ascii="Times New Roman" w:hAnsi="Times New Roman" w:cs="Times New Roman"/>
                <w:color w:val="000000"/>
                <w:sz w:val="24"/>
                <w:szCs w:val="24"/>
              </w:rPr>
              <w:t xml:space="preserve"> × SUNOLIC 95 R</w:t>
            </w:r>
          </w:p>
        </w:tc>
        <w:tc>
          <w:tcPr>
            <w:tcW w:w="1273" w:type="dxa"/>
            <w:vAlign w:val="bottom"/>
          </w:tcPr>
          <w:p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3.63</w:t>
            </w:r>
          </w:p>
        </w:tc>
        <w:tc>
          <w:tcPr>
            <w:tcW w:w="2327" w:type="dxa"/>
            <w:vAlign w:val="bottom"/>
          </w:tcPr>
          <w:p w:rsidR="00B952C7" w:rsidRPr="00DE05BE" w:rsidRDefault="00B952C7" w:rsidP="00E51318">
            <w:pPr>
              <w:spacing w:line="276" w:lineRule="auto"/>
              <w:jc w:val="center"/>
              <w:rPr>
                <w:rFonts w:ascii="Times New Roman" w:hAnsi="Times New Roman" w:cs="Times New Roman"/>
                <w:color w:val="000000"/>
                <w:sz w:val="24"/>
                <w:szCs w:val="24"/>
              </w:rPr>
            </w:pPr>
            <w:r w:rsidRPr="00DE05BE">
              <w:rPr>
                <w:rFonts w:ascii="Times New Roman" w:hAnsi="Times New Roman" w:cs="Times New Roman"/>
                <w:color w:val="000000"/>
                <w:sz w:val="24"/>
                <w:szCs w:val="24"/>
              </w:rPr>
              <w:t>4.26</w:t>
            </w:r>
          </w:p>
        </w:tc>
      </w:tr>
    </w:tbl>
    <w:p w:rsidR="00B952C7" w:rsidRPr="00DE05BE" w:rsidRDefault="00B952C7" w:rsidP="00B952C7">
      <w:pPr>
        <w:jc w:val="both"/>
        <w:rPr>
          <w:rFonts w:ascii="Times New Roman" w:hAnsi="Times New Roman" w:cs="Times New Roman"/>
          <w:sz w:val="24"/>
          <w:szCs w:val="24"/>
        </w:rPr>
      </w:pPr>
    </w:p>
    <w:p w:rsidR="00B952C7" w:rsidRPr="00DE05BE" w:rsidRDefault="00B952C7" w:rsidP="00B952C7">
      <w:pPr>
        <w:jc w:val="both"/>
        <w:rPr>
          <w:rFonts w:ascii="Times New Roman" w:hAnsi="Times New Roman" w:cs="Times New Roman"/>
          <w:sz w:val="24"/>
          <w:szCs w:val="24"/>
        </w:rPr>
      </w:pPr>
      <w:r w:rsidRPr="00DE05BE">
        <w:rPr>
          <w:rFonts w:ascii="Times New Roman" w:hAnsi="Times New Roman" w:cs="Times New Roman"/>
          <w:b/>
          <w:bCs/>
          <w:sz w:val="24"/>
          <w:szCs w:val="24"/>
        </w:rPr>
        <w:t xml:space="preserve">Table </w:t>
      </w:r>
      <w:r w:rsidR="00FE355E">
        <w:rPr>
          <w:rFonts w:ascii="Times New Roman" w:hAnsi="Times New Roman" w:cs="Times New Roman"/>
          <w:b/>
          <w:bCs/>
          <w:sz w:val="24"/>
          <w:szCs w:val="24"/>
        </w:rPr>
        <w:t>5</w:t>
      </w:r>
      <w:r w:rsidRPr="00DE05BE">
        <w:rPr>
          <w:rFonts w:ascii="Times New Roman" w:hAnsi="Times New Roman" w:cs="Times New Roman"/>
          <w:b/>
          <w:bCs/>
          <w:sz w:val="24"/>
          <w:szCs w:val="24"/>
        </w:rPr>
        <w:t xml:space="preserve">: </w:t>
      </w:r>
      <w:r w:rsidR="00060859">
        <w:rPr>
          <w:rFonts w:ascii="Times New Roman" w:hAnsi="Times New Roman" w:cs="Times New Roman"/>
          <w:sz w:val="24"/>
          <w:szCs w:val="24"/>
        </w:rPr>
        <w:t>Grouping of parents and crosses</w:t>
      </w:r>
      <w:r w:rsidRPr="00DE05BE">
        <w:rPr>
          <w:rFonts w:ascii="Times New Roman" w:hAnsi="Times New Roman" w:cs="Times New Roman"/>
          <w:sz w:val="24"/>
          <w:szCs w:val="24"/>
        </w:rPr>
        <w:t xml:space="preserve"> based on the reaction against late leaf spot of groundnut</w:t>
      </w:r>
    </w:p>
    <w:tbl>
      <w:tblPr>
        <w:tblStyle w:val="TableGrid"/>
        <w:tblW w:w="9286" w:type="dxa"/>
        <w:tblLook w:val="04A0" w:firstRow="1" w:lastRow="0" w:firstColumn="1" w:lastColumn="0" w:noHBand="0" w:noVBand="1"/>
      </w:tblPr>
      <w:tblGrid>
        <w:gridCol w:w="1075"/>
        <w:gridCol w:w="2070"/>
        <w:gridCol w:w="6141"/>
      </w:tblGrid>
      <w:tr w:rsidR="00B952C7" w:rsidRPr="00DE05BE" w:rsidTr="00E51318">
        <w:tc>
          <w:tcPr>
            <w:tcW w:w="1075" w:type="dxa"/>
          </w:tcPr>
          <w:p w:rsidR="00B952C7" w:rsidRPr="00DE05BE" w:rsidRDefault="00B952C7" w:rsidP="00E51318">
            <w:pPr>
              <w:spacing w:line="276" w:lineRule="auto"/>
              <w:jc w:val="both"/>
              <w:rPr>
                <w:rFonts w:ascii="Times New Roman" w:hAnsi="Times New Roman" w:cs="Times New Roman"/>
                <w:b/>
                <w:bCs/>
                <w:sz w:val="24"/>
                <w:szCs w:val="24"/>
              </w:rPr>
            </w:pPr>
            <w:r w:rsidRPr="00DE05BE">
              <w:rPr>
                <w:rFonts w:ascii="Times New Roman" w:hAnsi="Times New Roman" w:cs="Times New Roman"/>
                <w:b/>
                <w:bCs/>
                <w:sz w:val="24"/>
                <w:szCs w:val="24"/>
              </w:rPr>
              <w:t>Rating</w:t>
            </w:r>
          </w:p>
        </w:tc>
        <w:tc>
          <w:tcPr>
            <w:tcW w:w="2070" w:type="dxa"/>
          </w:tcPr>
          <w:p w:rsidR="00B952C7" w:rsidRPr="00DE05BE" w:rsidRDefault="00B952C7" w:rsidP="00E51318">
            <w:pPr>
              <w:spacing w:line="276" w:lineRule="auto"/>
              <w:jc w:val="both"/>
              <w:rPr>
                <w:rFonts w:ascii="Times New Roman" w:hAnsi="Times New Roman" w:cs="Times New Roman"/>
                <w:b/>
                <w:bCs/>
                <w:sz w:val="24"/>
                <w:szCs w:val="24"/>
              </w:rPr>
            </w:pPr>
            <w:r w:rsidRPr="00DE05BE">
              <w:rPr>
                <w:rFonts w:ascii="Times New Roman" w:hAnsi="Times New Roman" w:cs="Times New Roman"/>
                <w:b/>
                <w:bCs/>
                <w:sz w:val="24"/>
                <w:szCs w:val="24"/>
              </w:rPr>
              <w:t xml:space="preserve">Reaction </w:t>
            </w:r>
          </w:p>
        </w:tc>
        <w:tc>
          <w:tcPr>
            <w:tcW w:w="6141" w:type="dxa"/>
          </w:tcPr>
          <w:p w:rsidR="00B952C7" w:rsidRPr="00DE05BE" w:rsidRDefault="00B952C7" w:rsidP="00E51318">
            <w:pPr>
              <w:spacing w:line="276" w:lineRule="auto"/>
              <w:jc w:val="both"/>
              <w:rPr>
                <w:rFonts w:ascii="Times New Roman" w:hAnsi="Times New Roman" w:cs="Times New Roman"/>
                <w:b/>
                <w:bCs/>
                <w:sz w:val="24"/>
                <w:szCs w:val="24"/>
              </w:rPr>
            </w:pPr>
            <w:r w:rsidRPr="00DE05BE">
              <w:rPr>
                <w:rFonts w:ascii="Times New Roman" w:hAnsi="Times New Roman" w:cs="Times New Roman"/>
                <w:b/>
                <w:bCs/>
                <w:sz w:val="24"/>
                <w:szCs w:val="24"/>
              </w:rPr>
              <w:t>Genotypes</w:t>
            </w:r>
          </w:p>
        </w:tc>
      </w:tr>
      <w:tr w:rsidR="00B952C7" w:rsidRPr="00DE05BE" w:rsidTr="00E51318">
        <w:trPr>
          <w:trHeight w:val="170"/>
        </w:trPr>
        <w:tc>
          <w:tcPr>
            <w:tcW w:w="1075" w:type="dxa"/>
          </w:tcPr>
          <w:p w:rsidR="00B952C7" w:rsidRPr="00DE05BE" w:rsidRDefault="00B952C7" w:rsidP="00E51318">
            <w:pPr>
              <w:pStyle w:val="NormalWeb"/>
              <w:spacing w:before="0" w:beforeAutospacing="0" w:line="276" w:lineRule="auto"/>
              <w:jc w:val="center"/>
            </w:pPr>
            <w:r w:rsidRPr="00DE05BE">
              <w:t>0-1</w:t>
            </w:r>
          </w:p>
        </w:tc>
        <w:tc>
          <w:tcPr>
            <w:tcW w:w="2070" w:type="dxa"/>
          </w:tcPr>
          <w:p w:rsidR="00B952C7" w:rsidRPr="00DE05BE" w:rsidRDefault="00B952C7" w:rsidP="00E51318">
            <w:pPr>
              <w:pStyle w:val="NormalWeb"/>
              <w:spacing w:before="0" w:beforeAutospacing="0" w:line="276" w:lineRule="auto"/>
            </w:pPr>
            <w:r w:rsidRPr="00DE05BE">
              <w:t>Highly resistance</w:t>
            </w:r>
          </w:p>
        </w:tc>
        <w:tc>
          <w:tcPr>
            <w:tcW w:w="6141" w:type="dxa"/>
          </w:tcPr>
          <w:p w:rsidR="00B952C7" w:rsidRPr="00DE05BE" w:rsidRDefault="00B952C7" w:rsidP="00E51318">
            <w:pPr>
              <w:spacing w:line="276" w:lineRule="auto"/>
              <w:jc w:val="both"/>
              <w:rPr>
                <w:rFonts w:ascii="Times New Roman" w:hAnsi="Times New Roman" w:cs="Times New Roman"/>
                <w:color w:val="000000"/>
                <w:sz w:val="24"/>
                <w:szCs w:val="24"/>
              </w:rPr>
            </w:pPr>
            <w:r w:rsidRPr="00DE05BE">
              <w:rPr>
                <w:rFonts w:ascii="Times New Roman" w:hAnsi="Times New Roman" w:cs="Times New Roman"/>
                <w:color w:val="000000"/>
                <w:sz w:val="24"/>
                <w:szCs w:val="24"/>
              </w:rPr>
              <w:t>JL-776 × GPBD-4</w:t>
            </w:r>
          </w:p>
        </w:tc>
      </w:tr>
      <w:tr w:rsidR="00B952C7" w:rsidRPr="00DE05BE" w:rsidTr="00E51318">
        <w:tc>
          <w:tcPr>
            <w:tcW w:w="1075" w:type="dxa"/>
          </w:tcPr>
          <w:p w:rsidR="00B952C7" w:rsidRPr="00DE05BE" w:rsidRDefault="00B952C7" w:rsidP="00E51318">
            <w:pPr>
              <w:pStyle w:val="NormalWeb"/>
              <w:spacing w:before="0" w:beforeAutospacing="0" w:line="276" w:lineRule="auto"/>
              <w:jc w:val="center"/>
            </w:pPr>
            <w:r w:rsidRPr="00DE05BE">
              <w:t>2-3</w:t>
            </w:r>
          </w:p>
        </w:tc>
        <w:tc>
          <w:tcPr>
            <w:tcW w:w="2070" w:type="dxa"/>
          </w:tcPr>
          <w:p w:rsidR="00B952C7" w:rsidRPr="00DE05BE" w:rsidRDefault="00B952C7" w:rsidP="00E51318">
            <w:pPr>
              <w:pStyle w:val="NormalWeb"/>
              <w:spacing w:before="0" w:beforeAutospacing="0" w:line="276" w:lineRule="auto"/>
            </w:pPr>
            <w:r w:rsidRPr="00DE05BE">
              <w:t>Resistance</w:t>
            </w:r>
          </w:p>
        </w:tc>
        <w:tc>
          <w:tcPr>
            <w:tcW w:w="6141" w:type="dxa"/>
          </w:tcPr>
          <w:p w:rsidR="00B952C7" w:rsidRPr="00DE05BE" w:rsidRDefault="00B952C7" w:rsidP="00E51318">
            <w:pPr>
              <w:spacing w:line="276" w:lineRule="auto"/>
              <w:jc w:val="both"/>
              <w:rPr>
                <w:rFonts w:ascii="Times New Roman" w:hAnsi="Times New Roman" w:cs="Times New Roman"/>
                <w:sz w:val="24"/>
                <w:szCs w:val="24"/>
              </w:rPr>
            </w:pPr>
            <w:r w:rsidRPr="00DE05BE">
              <w:rPr>
                <w:rFonts w:ascii="Times New Roman" w:hAnsi="Times New Roman" w:cs="Times New Roman"/>
                <w:sz w:val="24"/>
                <w:szCs w:val="24"/>
              </w:rPr>
              <w:t>JL-776 ×KDG -128, JL-776 × GPBD-4, JL-776 ×KDG -128</w:t>
            </w:r>
          </w:p>
          <w:p w:rsidR="00B952C7" w:rsidRPr="00DE05BE" w:rsidRDefault="00B952C7" w:rsidP="00E51318">
            <w:pPr>
              <w:spacing w:line="276" w:lineRule="auto"/>
              <w:jc w:val="both"/>
              <w:rPr>
                <w:rFonts w:ascii="Times New Roman" w:hAnsi="Times New Roman" w:cs="Times New Roman"/>
                <w:sz w:val="24"/>
                <w:szCs w:val="24"/>
              </w:rPr>
            </w:pPr>
            <w:r w:rsidRPr="00DE05BE">
              <w:rPr>
                <w:rFonts w:ascii="Times New Roman" w:hAnsi="Times New Roman" w:cs="Times New Roman"/>
                <w:sz w:val="24"/>
                <w:szCs w:val="24"/>
              </w:rPr>
              <w:t xml:space="preserve">(JL-776× KDG -128) × KDG-128, JL-776 </w:t>
            </w:r>
            <w:proofErr w:type="gramStart"/>
            <w:r w:rsidRPr="00DE05BE">
              <w:rPr>
                <w:rFonts w:ascii="Times New Roman" w:hAnsi="Times New Roman" w:cs="Times New Roman"/>
                <w:sz w:val="24"/>
                <w:szCs w:val="24"/>
              </w:rPr>
              <w:t>×  SUNOLIC</w:t>
            </w:r>
            <w:proofErr w:type="gramEnd"/>
            <w:r w:rsidRPr="00DE05BE">
              <w:rPr>
                <w:rFonts w:ascii="Times New Roman" w:hAnsi="Times New Roman" w:cs="Times New Roman"/>
                <w:sz w:val="24"/>
                <w:szCs w:val="24"/>
              </w:rPr>
              <w:t xml:space="preserve"> 95R</w:t>
            </w:r>
          </w:p>
          <w:p w:rsidR="00B952C7" w:rsidRPr="00DE05BE" w:rsidRDefault="00B952C7" w:rsidP="00E51318">
            <w:pPr>
              <w:spacing w:line="276" w:lineRule="auto"/>
              <w:jc w:val="both"/>
              <w:rPr>
                <w:rFonts w:ascii="Times New Roman" w:hAnsi="Times New Roman" w:cs="Times New Roman"/>
                <w:sz w:val="24"/>
                <w:szCs w:val="24"/>
              </w:rPr>
            </w:pPr>
            <w:r w:rsidRPr="00DE05BE">
              <w:rPr>
                <w:rFonts w:ascii="Times New Roman" w:hAnsi="Times New Roman" w:cs="Times New Roman"/>
                <w:sz w:val="24"/>
                <w:szCs w:val="24"/>
              </w:rPr>
              <w:t xml:space="preserve">GPBD-4, (JL-776× GPBD-4) × GPBD-4, (JL-776 × KDG -128) × JL-776, KDG-128, JL-776 </w:t>
            </w:r>
            <w:proofErr w:type="gramStart"/>
            <w:r w:rsidRPr="00DE05BE">
              <w:rPr>
                <w:rFonts w:ascii="Times New Roman" w:hAnsi="Times New Roman" w:cs="Times New Roman"/>
                <w:sz w:val="24"/>
                <w:szCs w:val="24"/>
              </w:rPr>
              <w:t>×  SUNOLIC</w:t>
            </w:r>
            <w:proofErr w:type="gramEnd"/>
            <w:r w:rsidRPr="00DE05BE">
              <w:rPr>
                <w:rFonts w:ascii="Times New Roman" w:hAnsi="Times New Roman" w:cs="Times New Roman"/>
                <w:sz w:val="24"/>
                <w:szCs w:val="24"/>
              </w:rPr>
              <w:t xml:space="preserve"> 95R, (JL-776 × SUNOLIC 95 R) × JL-776, (JL-776 × GPBD-4) × JL-776</w:t>
            </w:r>
          </w:p>
          <w:p w:rsidR="00B952C7" w:rsidRPr="00DE05BE" w:rsidRDefault="00B952C7" w:rsidP="00E51318">
            <w:pPr>
              <w:spacing w:line="276" w:lineRule="auto"/>
              <w:jc w:val="both"/>
              <w:rPr>
                <w:rFonts w:ascii="Times New Roman" w:hAnsi="Times New Roman" w:cs="Times New Roman"/>
                <w:sz w:val="24"/>
                <w:szCs w:val="24"/>
              </w:rPr>
            </w:pPr>
            <w:r w:rsidRPr="00DE05BE">
              <w:rPr>
                <w:rFonts w:ascii="Times New Roman" w:hAnsi="Times New Roman" w:cs="Times New Roman"/>
                <w:sz w:val="24"/>
                <w:szCs w:val="24"/>
              </w:rPr>
              <w:t>(TG-86 × KDG -128) × KDG-128, JL-776, TG-86 ×KDG -128</w:t>
            </w:r>
          </w:p>
        </w:tc>
      </w:tr>
      <w:tr w:rsidR="00B952C7" w:rsidRPr="00DE05BE" w:rsidTr="00E51318">
        <w:tc>
          <w:tcPr>
            <w:tcW w:w="1075" w:type="dxa"/>
          </w:tcPr>
          <w:p w:rsidR="00B952C7" w:rsidRPr="00DE05BE" w:rsidRDefault="00B952C7" w:rsidP="00E51318">
            <w:pPr>
              <w:pStyle w:val="NormalWeb"/>
              <w:spacing w:before="0" w:beforeAutospacing="0" w:line="276" w:lineRule="auto"/>
              <w:jc w:val="center"/>
            </w:pPr>
            <w:r w:rsidRPr="00DE05BE">
              <w:lastRenderedPageBreak/>
              <w:t>4-5</w:t>
            </w:r>
          </w:p>
        </w:tc>
        <w:tc>
          <w:tcPr>
            <w:tcW w:w="2070" w:type="dxa"/>
          </w:tcPr>
          <w:p w:rsidR="00B952C7" w:rsidRPr="00DE05BE" w:rsidRDefault="00B952C7" w:rsidP="00E51318">
            <w:pPr>
              <w:pStyle w:val="NormalWeb"/>
              <w:spacing w:before="0" w:beforeAutospacing="0" w:line="276" w:lineRule="auto"/>
            </w:pPr>
            <w:r w:rsidRPr="00DE05BE">
              <w:t>Moderate resistance</w:t>
            </w:r>
          </w:p>
        </w:tc>
        <w:tc>
          <w:tcPr>
            <w:tcW w:w="6141" w:type="dxa"/>
          </w:tcPr>
          <w:p w:rsidR="00B952C7" w:rsidRPr="00DE05BE" w:rsidRDefault="00B952C7" w:rsidP="00E51318">
            <w:pPr>
              <w:spacing w:line="276" w:lineRule="auto"/>
              <w:jc w:val="both"/>
              <w:rPr>
                <w:rFonts w:ascii="Times New Roman" w:hAnsi="Times New Roman" w:cs="Times New Roman"/>
                <w:sz w:val="24"/>
                <w:szCs w:val="24"/>
              </w:rPr>
            </w:pPr>
            <w:r w:rsidRPr="00DE05BE">
              <w:rPr>
                <w:rFonts w:ascii="Times New Roman" w:hAnsi="Times New Roman" w:cs="Times New Roman"/>
                <w:sz w:val="24"/>
                <w:szCs w:val="24"/>
              </w:rPr>
              <w:t xml:space="preserve">(JL-776 ×SUNOLIC 95 </w:t>
            </w:r>
            <w:proofErr w:type="gramStart"/>
            <w:r w:rsidRPr="00DE05BE">
              <w:rPr>
                <w:rFonts w:ascii="Times New Roman" w:hAnsi="Times New Roman" w:cs="Times New Roman"/>
                <w:sz w:val="24"/>
                <w:szCs w:val="24"/>
              </w:rPr>
              <w:t>R )</w:t>
            </w:r>
            <w:proofErr w:type="gramEnd"/>
            <w:r w:rsidRPr="00DE05BE">
              <w:rPr>
                <w:rFonts w:ascii="Times New Roman" w:hAnsi="Times New Roman" w:cs="Times New Roman"/>
                <w:sz w:val="24"/>
                <w:szCs w:val="24"/>
              </w:rPr>
              <w:t xml:space="preserve"> × SUNOLIC 95 R, TG-86 ×KDG -128, TG-86, (TG-86 × KDG -128) × TG-86</w:t>
            </w:r>
          </w:p>
        </w:tc>
      </w:tr>
      <w:tr w:rsidR="00B952C7" w:rsidRPr="00DE05BE" w:rsidTr="00E51318">
        <w:tc>
          <w:tcPr>
            <w:tcW w:w="1075" w:type="dxa"/>
          </w:tcPr>
          <w:p w:rsidR="00B952C7" w:rsidRPr="00DE05BE" w:rsidRDefault="00B952C7" w:rsidP="00E51318">
            <w:pPr>
              <w:pStyle w:val="NormalWeb"/>
              <w:spacing w:before="0" w:beforeAutospacing="0" w:line="276" w:lineRule="auto"/>
              <w:jc w:val="center"/>
            </w:pPr>
            <w:r w:rsidRPr="00DE05BE">
              <w:t>6-7</w:t>
            </w:r>
          </w:p>
        </w:tc>
        <w:tc>
          <w:tcPr>
            <w:tcW w:w="2070" w:type="dxa"/>
          </w:tcPr>
          <w:p w:rsidR="00B952C7" w:rsidRPr="00DE05BE" w:rsidRDefault="00B952C7" w:rsidP="00E51318">
            <w:pPr>
              <w:pStyle w:val="NormalWeb"/>
              <w:spacing w:before="0" w:beforeAutospacing="0" w:line="276" w:lineRule="auto"/>
            </w:pPr>
            <w:r w:rsidRPr="00DE05BE">
              <w:t>Susceptible</w:t>
            </w:r>
          </w:p>
        </w:tc>
        <w:tc>
          <w:tcPr>
            <w:tcW w:w="6141" w:type="dxa"/>
          </w:tcPr>
          <w:p w:rsidR="00B952C7" w:rsidRPr="00DE05BE" w:rsidRDefault="00B952C7" w:rsidP="00E51318">
            <w:pPr>
              <w:spacing w:line="276" w:lineRule="auto"/>
              <w:jc w:val="both"/>
              <w:rPr>
                <w:rFonts w:ascii="Times New Roman" w:hAnsi="Times New Roman" w:cs="Times New Roman"/>
                <w:color w:val="000000"/>
                <w:sz w:val="24"/>
                <w:szCs w:val="24"/>
              </w:rPr>
            </w:pPr>
            <w:r w:rsidRPr="00DE05BE">
              <w:rPr>
                <w:rFonts w:ascii="Times New Roman" w:hAnsi="Times New Roman" w:cs="Times New Roman"/>
                <w:color w:val="000000"/>
                <w:sz w:val="24"/>
                <w:szCs w:val="24"/>
              </w:rPr>
              <w:t>SUNOLIC-95 R</w:t>
            </w:r>
          </w:p>
        </w:tc>
      </w:tr>
      <w:tr w:rsidR="00B952C7" w:rsidRPr="00DE05BE" w:rsidTr="00E51318">
        <w:tc>
          <w:tcPr>
            <w:tcW w:w="1075" w:type="dxa"/>
          </w:tcPr>
          <w:p w:rsidR="00B952C7" w:rsidRPr="00DE05BE" w:rsidRDefault="00B952C7" w:rsidP="00E51318">
            <w:pPr>
              <w:pStyle w:val="NormalWeb"/>
              <w:spacing w:before="0" w:beforeAutospacing="0" w:line="276" w:lineRule="auto"/>
              <w:jc w:val="center"/>
            </w:pPr>
            <w:r w:rsidRPr="00DE05BE">
              <w:t>8-9</w:t>
            </w:r>
          </w:p>
        </w:tc>
        <w:tc>
          <w:tcPr>
            <w:tcW w:w="2070" w:type="dxa"/>
          </w:tcPr>
          <w:p w:rsidR="00B952C7" w:rsidRPr="00DE05BE" w:rsidRDefault="00B952C7" w:rsidP="00E51318">
            <w:pPr>
              <w:pStyle w:val="NormalWeb"/>
              <w:spacing w:before="0" w:beforeAutospacing="0" w:line="276" w:lineRule="auto"/>
            </w:pPr>
            <w:r w:rsidRPr="00DE05BE">
              <w:t>Highly susceptible</w:t>
            </w:r>
          </w:p>
        </w:tc>
        <w:tc>
          <w:tcPr>
            <w:tcW w:w="6141" w:type="dxa"/>
          </w:tcPr>
          <w:p w:rsidR="00B952C7" w:rsidRPr="00DE05BE" w:rsidRDefault="00B952C7" w:rsidP="00E51318">
            <w:pPr>
              <w:pStyle w:val="Default"/>
              <w:spacing w:line="276" w:lineRule="auto"/>
              <w:jc w:val="both"/>
            </w:pPr>
            <w:r w:rsidRPr="00DE05BE">
              <w:t>No Genotypes were Highly susceptible</w:t>
            </w:r>
          </w:p>
        </w:tc>
      </w:tr>
    </w:tbl>
    <w:p w:rsidR="00B952C7" w:rsidRPr="00DE05BE" w:rsidRDefault="00B952C7" w:rsidP="00B952C7">
      <w:pPr>
        <w:jc w:val="both"/>
        <w:rPr>
          <w:rFonts w:ascii="Times New Roman" w:hAnsi="Times New Roman" w:cs="Times New Roman"/>
          <w:sz w:val="24"/>
          <w:szCs w:val="24"/>
        </w:rPr>
      </w:pPr>
    </w:p>
    <w:p w:rsidR="00B952C7" w:rsidRPr="00DE05BE" w:rsidRDefault="00B952C7" w:rsidP="00B952C7">
      <w:pPr>
        <w:jc w:val="both"/>
        <w:rPr>
          <w:rFonts w:ascii="Times New Roman" w:hAnsi="Times New Roman" w:cs="Times New Roman"/>
          <w:sz w:val="24"/>
          <w:szCs w:val="24"/>
        </w:rPr>
      </w:pPr>
      <w:r>
        <w:rPr>
          <w:noProof/>
          <w:lang w:val="en-US" w:eastAsia="en-US" w:bidi="hi-IN"/>
        </w:rPr>
        <w:drawing>
          <wp:inline distT="0" distB="0" distL="0" distR="0">
            <wp:extent cx="5831457" cy="2898475"/>
            <wp:effectExtent l="19050" t="0" r="16893"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952C7" w:rsidRPr="00DE05BE" w:rsidRDefault="00B952C7" w:rsidP="00B952C7">
      <w:pPr>
        <w:rPr>
          <w:rFonts w:ascii="Times New Roman" w:hAnsi="Times New Roman" w:cs="Times New Roman"/>
        </w:rPr>
      </w:pPr>
      <w:r w:rsidRPr="00DE05BE">
        <w:rPr>
          <w:rFonts w:ascii="Times New Roman" w:hAnsi="Times New Roman" w:cs="Times New Roman"/>
          <w:b/>
          <w:bCs/>
        </w:rPr>
        <w:t xml:space="preserve">Fig 1: </w:t>
      </w:r>
      <w:r w:rsidRPr="00DE05BE">
        <w:rPr>
          <w:rFonts w:ascii="Times New Roman" w:hAnsi="Times New Roman" w:cs="Times New Roman"/>
        </w:rPr>
        <w:t>Number and percentage of genotypes with different reaction towards late leaf spot in groundnut</w:t>
      </w:r>
    </w:p>
    <w:p w:rsidR="00B952C7" w:rsidRPr="00DE05BE" w:rsidRDefault="00B952C7" w:rsidP="00B952C7">
      <w:pPr>
        <w:rPr>
          <w:rFonts w:ascii="Times New Roman" w:hAnsi="Times New Roman" w:cs="Times New Roman"/>
          <w:b/>
          <w:bCs/>
          <w:sz w:val="24"/>
          <w:szCs w:val="24"/>
        </w:rPr>
      </w:pPr>
      <w:r w:rsidRPr="00DE05BE">
        <w:rPr>
          <w:rFonts w:ascii="Times New Roman" w:hAnsi="Times New Roman" w:cs="Times New Roman"/>
          <w:b/>
          <w:bCs/>
          <w:sz w:val="24"/>
          <w:szCs w:val="24"/>
        </w:rPr>
        <w:t>Conclusion</w:t>
      </w:r>
    </w:p>
    <w:p w:rsidR="00B952C7" w:rsidRDefault="00B952C7" w:rsidP="00B952C7">
      <w:pPr>
        <w:ind w:firstLine="720"/>
        <w:jc w:val="both"/>
        <w:rPr>
          <w:rFonts w:ascii="Times New Roman" w:hAnsi="Times New Roman" w:cs="Times New Roman"/>
          <w:color w:val="0F1115"/>
          <w:sz w:val="24"/>
          <w:szCs w:val="24"/>
          <w:shd w:val="clear" w:color="auto" w:fill="FFFFFF"/>
        </w:rPr>
      </w:pPr>
      <w:r w:rsidRPr="00DE05BE">
        <w:rPr>
          <w:rFonts w:ascii="Times New Roman" w:hAnsi="Times New Roman" w:cs="Times New Roman"/>
          <w:color w:val="0F1115"/>
          <w:sz w:val="24"/>
          <w:szCs w:val="24"/>
          <w:shd w:val="clear" w:color="auto" w:fill="FFFFFF"/>
        </w:rPr>
        <w:t>Screening of groundnut genotypes identified </w:t>
      </w:r>
      <w:r w:rsidRPr="00DE05BE">
        <w:rPr>
          <w:rStyle w:val="Strong"/>
          <w:rFonts w:ascii="Times New Roman" w:hAnsi="Times New Roman" w:cs="Times New Roman"/>
          <w:color w:val="0F1115"/>
          <w:sz w:val="24"/>
          <w:szCs w:val="24"/>
          <w:shd w:val="clear" w:color="auto" w:fill="FFFFFF"/>
        </w:rPr>
        <w:t>GPBD-4, KDG-128, and JL-776</w:t>
      </w:r>
      <w:r w:rsidRPr="00DE05BE">
        <w:rPr>
          <w:rFonts w:ascii="Times New Roman" w:hAnsi="Times New Roman" w:cs="Times New Roman"/>
          <w:color w:val="0F1115"/>
          <w:sz w:val="24"/>
          <w:szCs w:val="24"/>
          <w:shd w:val="clear" w:color="auto" w:fill="FFFFFF"/>
        </w:rPr>
        <w:t> as consistently resistant parents to late leaf spot at both 75 and 85 DAS. Among the crosses, </w:t>
      </w:r>
      <w:r w:rsidRPr="00DE05BE">
        <w:rPr>
          <w:rStyle w:val="Strong"/>
          <w:rFonts w:ascii="Times New Roman" w:hAnsi="Times New Roman" w:cs="Times New Roman"/>
          <w:color w:val="0F1115"/>
          <w:sz w:val="24"/>
          <w:szCs w:val="24"/>
          <w:shd w:val="clear" w:color="auto" w:fill="FFFFFF"/>
        </w:rPr>
        <w:t>JL-776 × KDG-128</w:t>
      </w:r>
      <w:r w:rsidRPr="00DE05BE">
        <w:rPr>
          <w:rFonts w:ascii="Times New Roman" w:hAnsi="Times New Roman" w:cs="Times New Roman"/>
          <w:color w:val="0F1115"/>
          <w:sz w:val="24"/>
          <w:szCs w:val="24"/>
          <w:shd w:val="clear" w:color="auto" w:fill="FFFFFF"/>
        </w:rPr>
        <w:t> and </w:t>
      </w:r>
      <w:r w:rsidRPr="00DE05BE">
        <w:rPr>
          <w:rStyle w:val="Strong"/>
          <w:rFonts w:ascii="Times New Roman" w:hAnsi="Times New Roman" w:cs="Times New Roman"/>
          <w:color w:val="0F1115"/>
          <w:sz w:val="24"/>
          <w:szCs w:val="24"/>
          <w:shd w:val="clear" w:color="auto" w:fill="FFFFFF"/>
        </w:rPr>
        <w:t>JL-776 × GPBD-4</w:t>
      </w:r>
      <w:r w:rsidRPr="00DE05BE">
        <w:rPr>
          <w:rFonts w:ascii="Times New Roman" w:hAnsi="Times New Roman" w:cs="Times New Roman"/>
          <w:color w:val="0F1115"/>
          <w:sz w:val="24"/>
          <w:szCs w:val="24"/>
          <w:shd w:val="clear" w:color="auto" w:fill="FFFFFF"/>
        </w:rPr>
        <w:t> showed the most stable resistance across all generations (F₁, F₂, BC₁, BC₂). In contrast, </w:t>
      </w:r>
      <w:r w:rsidRPr="00DE05BE">
        <w:rPr>
          <w:rStyle w:val="Strong"/>
          <w:rFonts w:ascii="Times New Roman" w:hAnsi="Times New Roman" w:cs="Times New Roman"/>
          <w:color w:val="0F1115"/>
          <w:sz w:val="24"/>
          <w:szCs w:val="24"/>
          <w:shd w:val="clear" w:color="auto" w:fill="FFFFFF"/>
        </w:rPr>
        <w:t>TG-86</w:t>
      </w:r>
      <w:r w:rsidRPr="00DE05BE">
        <w:rPr>
          <w:rFonts w:ascii="Times New Roman" w:hAnsi="Times New Roman" w:cs="Times New Roman"/>
          <w:color w:val="0F1115"/>
          <w:sz w:val="24"/>
          <w:szCs w:val="24"/>
          <w:shd w:val="clear" w:color="auto" w:fill="FFFFFF"/>
        </w:rPr>
        <w:t> showed weakening resistance and </w:t>
      </w:r>
      <w:r w:rsidR="00331C21">
        <w:rPr>
          <w:rStyle w:val="Strong"/>
          <w:rFonts w:ascii="Times New Roman" w:hAnsi="Times New Roman" w:cs="Times New Roman"/>
          <w:color w:val="0F1115"/>
          <w:sz w:val="24"/>
          <w:szCs w:val="24"/>
          <w:shd w:val="clear" w:color="auto" w:fill="FFFFFF"/>
        </w:rPr>
        <w:t>SUNOLEIC-95 R</w:t>
      </w:r>
      <w:r w:rsidRPr="00DE05BE">
        <w:rPr>
          <w:rFonts w:ascii="Times New Roman" w:hAnsi="Times New Roman" w:cs="Times New Roman"/>
          <w:color w:val="0F1115"/>
          <w:sz w:val="24"/>
          <w:szCs w:val="24"/>
          <w:shd w:val="clear" w:color="auto" w:fill="FFFFFF"/>
        </w:rPr>
        <w:t> was highly susceptible. The results confirm that alleles from GPBD-4, KDG-128, and JL-776 are effective for breeding durable resistance.</w:t>
      </w:r>
    </w:p>
    <w:p w:rsidR="00EB6908" w:rsidRPr="0001380E" w:rsidRDefault="00EB6908" w:rsidP="00EB6908">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01380E">
        <w:rPr>
          <w:rFonts w:ascii="Times New Roman" w:eastAsia="Times New Roman" w:hAnsi="Times New Roman" w:cs="Times New Roman"/>
          <w:b/>
          <w:bCs/>
          <w:sz w:val="24"/>
          <w:szCs w:val="24"/>
        </w:rPr>
        <w:t>Implications for Breeding</w:t>
      </w:r>
    </w:p>
    <w:p w:rsidR="00EB6908" w:rsidRPr="00B952C7" w:rsidRDefault="00EB6908" w:rsidP="006D6E3C">
      <w:pPr>
        <w:spacing w:before="100" w:beforeAutospacing="1" w:after="100" w:afterAutospacing="1" w:line="240" w:lineRule="auto"/>
        <w:ind w:firstLine="720"/>
        <w:jc w:val="both"/>
        <w:rPr>
          <w:rFonts w:ascii="Times New Roman" w:eastAsia="Times New Roman" w:hAnsi="Times New Roman" w:cs="Times New Roman"/>
          <w:sz w:val="24"/>
          <w:szCs w:val="24"/>
        </w:rPr>
      </w:pPr>
      <w:r w:rsidRPr="0001380E">
        <w:rPr>
          <w:rFonts w:ascii="Times New Roman" w:eastAsia="Times New Roman" w:hAnsi="Times New Roman" w:cs="Times New Roman"/>
          <w:sz w:val="24"/>
          <w:szCs w:val="24"/>
        </w:rPr>
        <w:t xml:space="preserve">The stability of resistance in multiple generations underscores the potential for developing elite cultivars combining high yield, high oleic acid content, and durable disease resistance. Among all materials, </w:t>
      </w:r>
      <w:r w:rsidRPr="0001380E">
        <w:rPr>
          <w:rFonts w:ascii="Times New Roman" w:eastAsia="Times New Roman" w:hAnsi="Times New Roman" w:cs="Times New Roman"/>
          <w:b/>
          <w:bCs/>
          <w:sz w:val="24"/>
          <w:szCs w:val="24"/>
        </w:rPr>
        <w:t>JL-776 × KDG-128</w:t>
      </w:r>
      <w:r w:rsidRPr="0001380E">
        <w:rPr>
          <w:rFonts w:ascii="Times New Roman" w:eastAsia="Times New Roman" w:hAnsi="Times New Roman" w:cs="Times New Roman"/>
          <w:sz w:val="24"/>
          <w:szCs w:val="24"/>
        </w:rPr>
        <w:t xml:space="preserve"> and </w:t>
      </w:r>
      <w:r w:rsidRPr="0001380E">
        <w:rPr>
          <w:rFonts w:ascii="Times New Roman" w:eastAsia="Times New Roman" w:hAnsi="Times New Roman" w:cs="Times New Roman"/>
          <w:b/>
          <w:bCs/>
          <w:sz w:val="24"/>
          <w:szCs w:val="24"/>
        </w:rPr>
        <w:t>JL-776 × GPBD-4</w:t>
      </w:r>
      <w:r w:rsidRPr="0001380E">
        <w:rPr>
          <w:rFonts w:ascii="Times New Roman" w:eastAsia="Times New Roman" w:hAnsi="Times New Roman" w:cs="Times New Roman"/>
          <w:sz w:val="24"/>
          <w:szCs w:val="24"/>
        </w:rPr>
        <w:t xml:space="preserve"> emerge as prime candidates for use in future breeding programs. Marker-assisted selection (as reported by </w:t>
      </w:r>
      <w:proofErr w:type="spellStart"/>
      <w:r w:rsidRPr="0001380E">
        <w:rPr>
          <w:rFonts w:ascii="Times New Roman" w:eastAsia="Times New Roman" w:hAnsi="Times New Roman" w:cs="Times New Roman"/>
          <w:sz w:val="24"/>
          <w:szCs w:val="24"/>
        </w:rPr>
        <w:t>Khedikar</w:t>
      </w:r>
      <w:proofErr w:type="spellEnd"/>
      <w:r w:rsidRPr="0001380E">
        <w:rPr>
          <w:rFonts w:ascii="Times New Roman" w:eastAsia="Times New Roman" w:hAnsi="Times New Roman" w:cs="Times New Roman"/>
          <w:sz w:val="24"/>
          <w:szCs w:val="24"/>
        </w:rPr>
        <w:t xml:space="preserve"> et al., 2010; Ramakrishnan et al., 2020) can accelerate the fixation of resistance alleles from these donors into farmer-preferred backgrounds.</w:t>
      </w:r>
    </w:p>
    <w:p w:rsidR="00F75CF7" w:rsidRDefault="00F75CF7" w:rsidP="00F75CF7">
      <w:pPr>
        <w:spacing w:before="100" w:beforeAutospacing="1" w:after="100" w:afterAutospacing="1" w:line="240" w:lineRule="auto"/>
        <w:jc w:val="both"/>
        <w:outlineLvl w:val="3"/>
        <w:rPr>
          <w:rFonts w:ascii="Times New Roman" w:eastAsia="Times New Roman" w:hAnsi="Times New Roman" w:cs="Times New Roman"/>
          <w:b/>
          <w:bCs/>
          <w:sz w:val="24"/>
          <w:szCs w:val="24"/>
        </w:rPr>
      </w:pPr>
    </w:p>
    <w:p w:rsidR="00EB6908" w:rsidRDefault="005B7736" w:rsidP="00F75CF7">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F75CF7">
        <w:rPr>
          <w:rFonts w:ascii="Times New Roman" w:eastAsia="Times New Roman" w:hAnsi="Times New Roman" w:cs="Times New Roman"/>
          <w:b/>
          <w:bCs/>
          <w:sz w:val="24"/>
          <w:szCs w:val="24"/>
        </w:rPr>
        <w:t>Disclaimer (Artificial intelligence)</w:t>
      </w:r>
    </w:p>
    <w:p w:rsidR="00F75CF7" w:rsidRPr="00F75CF7" w:rsidRDefault="00F75CF7" w:rsidP="00F75CF7">
      <w:pPr>
        <w:spacing w:before="100" w:beforeAutospacing="1" w:after="100" w:afterAutospacing="1"/>
        <w:ind w:firstLine="720"/>
        <w:jc w:val="both"/>
        <w:outlineLvl w:val="3"/>
        <w:rPr>
          <w:rFonts w:ascii="Times New Roman" w:eastAsia="Times New Roman" w:hAnsi="Times New Roman" w:cs="Times New Roman"/>
          <w:sz w:val="24"/>
          <w:szCs w:val="24"/>
        </w:rPr>
      </w:pPr>
      <w:r w:rsidRPr="00F75CF7">
        <w:rPr>
          <w:rFonts w:ascii="Times New Roman" w:eastAsia="Times New Roman" w:hAnsi="Times New Roman" w:cs="Times New Roman"/>
          <w:sz w:val="24"/>
          <w:szCs w:val="24"/>
        </w:rPr>
        <w:lastRenderedPageBreak/>
        <w:t>Author(s) hereby declare that NO generative AI technologies such as Large Language Models (</w:t>
      </w:r>
      <w:proofErr w:type="spellStart"/>
      <w:r w:rsidRPr="00F75CF7">
        <w:rPr>
          <w:rFonts w:ascii="Times New Roman" w:eastAsia="Times New Roman" w:hAnsi="Times New Roman" w:cs="Times New Roman"/>
          <w:sz w:val="24"/>
          <w:szCs w:val="24"/>
        </w:rPr>
        <w:t>ChatGPT</w:t>
      </w:r>
      <w:proofErr w:type="spellEnd"/>
      <w:r w:rsidRPr="00F75CF7">
        <w:rPr>
          <w:rFonts w:ascii="Times New Roman" w:eastAsia="Times New Roman" w:hAnsi="Times New Roman" w:cs="Times New Roman"/>
          <w:sz w:val="24"/>
          <w:szCs w:val="24"/>
        </w:rPr>
        <w:t xml:space="preserve">, </w:t>
      </w:r>
      <w:proofErr w:type="spellStart"/>
      <w:r w:rsidRPr="00F75CF7">
        <w:rPr>
          <w:rFonts w:ascii="Times New Roman" w:eastAsia="Times New Roman" w:hAnsi="Times New Roman" w:cs="Times New Roman"/>
          <w:sz w:val="24"/>
          <w:szCs w:val="24"/>
        </w:rPr>
        <w:t>deepseek</w:t>
      </w:r>
      <w:proofErr w:type="spellEnd"/>
      <w:r w:rsidRPr="00F75CF7">
        <w:rPr>
          <w:rFonts w:ascii="Times New Roman" w:eastAsia="Times New Roman" w:hAnsi="Times New Roman" w:cs="Times New Roman"/>
          <w:sz w:val="24"/>
          <w:szCs w:val="24"/>
        </w:rPr>
        <w:t>, COPILOT, etc) and text-to-image generators have not been used during writing or editing of manuscripts.</w:t>
      </w:r>
    </w:p>
    <w:p w:rsidR="00B952C7" w:rsidRDefault="00B952C7" w:rsidP="00B952C7">
      <w:pPr>
        <w:jc w:val="both"/>
        <w:rPr>
          <w:rFonts w:ascii="Times New Roman" w:hAnsi="Times New Roman" w:cs="Times New Roman"/>
          <w:b/>
          <w:bCs/>
          <w:sz w:val="24"/>
          <w:szCs w:val="24"/>
        </w:rPr>
      </w:pPr>
      <w:r w:rsidRPr="00DE05BE">
        <w:rPr>
          <w:rFonts w:ascii="Times New Roman" w:hAnsi="Times New Roman" w:cs="Times New Roman"/>
          <w:b/>
          <w:bCs/>
          <w:sz w:val="24"/>
          <w:szCs w:val="24"/>
        </w:rPr>
        <w:t>References</w:t>
      </w:r>
    </w:p>
    <w:p w:rsidR="00B952C7" w:rsidRPr="00E16ECE" w:rsidRDefault="00B952C7" w:rsidP="00B952C7">
      <w:pPr>
        <w:ind w:left="284" w:hanging="568"/>
        <w:jc w:val="both"/>
        <w:rPr>
          <w:rFonts w:ascii="Times New Roman" w:hAnsi="Times New Roman" w:cs="Times New Roman"/>
          <w:sz w:val="24"/>
          <w:szCs w:val="24"/>
        </w:rPr>
      </w:pPr>
      <w:r w:rsidRPr="00E16ECE">
        <w:rPr>
          <w:rFonts w:ascii="Times New Roman" w:hAnsi="Times New Roman" w:cs="Times New Roman"/>
          <w:sz w:val="24"/>
          <w:szCs w:val="24"/>
        </w:rPr>
        <w:t xml:space="preserve">Dwivedi SL, </w:t>
      </w:r>
      <w:proofErr w:type="spellStart"/>
      <w:r w:rsidRPr="00E16ECE">
        <w:rPr>
          <w:rFonts w:ascii="Times New Roman" w:hAnsi="Times New Roman" w:cs="Times New Roman"/>
          <w:sz w:val="24"/>
          <w:szCs w:val="24"/>
        </w:rPr>
        <w:t>Pande</w:t>
      </w:r>
      <w:proofErr w:type="spellEnd"/>
      <w:r w:rsidRPr="00E16ECE">
        <w:rPr>
          <w:rFonts w:ascii="Times New Roman" w:hAnsi="Times New Roman" w:cs="Times New Roman"/>
          <w:sz w:val="24"/>
          <w:szCs w:val="24"/>
        </w:rPr>
        <w:t xml:space="preserve"> S, Rao JN, Nigam SN. Components of resistance to late leaf spot and rust among interspecific derivatives and their significance in a foliar disease resistance breeding in groundnut (</w:t>
      </w:r>
      <w:proofErr w:type="spellStart"/>
      <w:r w:rsidRPr="00E16ECE">
        <w:rPr>
          <w:rFonts w:ascii="Times New Roman" w:hAnsi="Times New Roman" w:cs="Times New Roman"/>
          <w:sz w:val="24"/>
          <w:szCs w:val="24"/>
        </w:rPr>
        <w:t>Arachis</w:t>
      </w:r>
      <w:proofErr w:type="spellEnd"/>
      <w:r w:rsidRPr="00E16ECE">
        <w:rPr>
          <w:rFonts w:ascii="Times New Roman" w:hAnsi="Times New Roman" w:cs="Times New Roman"/>
          <w:sz w:val="24"/>
          <w:szCs w:val="24"/>
        </w:rPr>
        <w:t xml:space="preserve"> </w:t>
      </w:r>
      <w:proofErr w:type="spellStart"/>
      <w:r w:rsidRPr="00E16ECE">
        <w:rPr>
          <w:rFonts w:ascii="Times New Roman" w:hAnsi="Times New Roman" w:cs="Times New Roman"/>
          <w:sz w:val="24"/>
          <w:szCs w:val="24"/>
        </w:rPr>
        <w:t>hypogaea</w:t>
      </w:r>
      <w:proofErr w:type="spellEnd"/>
      <w:r w:rsidRPr="00E16ECE">
        <w:rPr>
          <w:rFonts w:ascii="Times New Roman" w:hAnsi="Times New Roman" w:cs="Times New Roman"/>
          <w:sz w:val="24"/>
          <w:szCs w:val="24"/>
        </w:rPr>
        <w:t xml:space="preserve"> L.). </w:t>
      </w:r>
      <w:proofErr w:type="spellStart"/>
      <w:r w:rsidRPr="00E16ECE">
        <w:rPr>
          <w:rFonts w:ascii="Times New Roman" w:hAnsi="Times New Roman" w:cs="Times New Roman"/>
          <w:sz w:val="24"/>
          <w:szCs w:val="24"/>
        </w:rPr>
        <w:t>Euphytica</w:t>
      </w:r>
      <w:proofErr w:type="spellEnd"/>
      <w:r w:rsidRPr="00E16ECE">
        <w:rPr>
          <w:rFonts w:ascii="Times New Roman" w:hAnsi="Times New Roman" w:cs="Times New Roman"/>
          <w:sz w:val="24"/>
          <w:szCs w:val="24"/>
        </w:rPr>
        <w:t xml:space="preserve">. </w:t>
      </w:r>
      <w:proofErr w:type="gramStart"/>
      <w:r w:rsidRPr="00E16ECE">
        <w:rPr>
          <w:rFonts w:ascii="Times New Roman" w:hAnsi="Times New Roman" w:cs="Times New Roman"/>
          <w:sz w:val="24"/>
          <w:szCs w:val="24"/>
        </w:rPr>
        <w:t>2002;125:81</w:t>
      </w:r>
      <w:proofErr w:type="gramEnd"/>
      <w:r w:rsidRPr="00E16ECE">
        <w:rPr>
          <w:rFonts w:ascii="Times New Roman" w:hAnsi="Times New Roman" w:cs="Times New Roman"/>
          <w:sz w:val="24"/>
          <w:szCs w:val="24"/>
        </w:rPr>
        <w:t>-88</w:t>
      </w:r>
    </w:p>
    <w:p w:rsidR="00B952C7" w:rsidRPr="00E16ECE" w:rsidRDefault="00B952C7" w:rsidP="00B952C7">
      <w:pPr>
        <w:ind w:left="284" w:hanging="568"/>
        <w:jc w:val="both"/>
        <w:rPr>
          <w:rFonts w:ascii="Times New Roman" w:hAnsi="Times New Roman" w:cs="Times New Roman"/>
          <w:sz w:val="24"/>
          <w:szCs w:val="24"/>
        </w:rPr>
      </w:pPr>
      <w:r w:rsidRPr="00E16ECE">
        <w:rPr>
          <w:rFonts w:ascii="Times New Roman" w:hAnsi="Times New Roman" w:cs="Times New Roman"/>
          <w:sz w:val="24"/>
          <w:szCs w:val="24"/>
        </w:rPr>
        <w:t xml:space="preserve">Gowda, M.V.C., </w:t>
      </w:r>
      <w:proofErr w:type="spellStart"/>
      <w:r w:rsidRPr="00E16ECE">
        <w:rPr>
          <w:rFonts w:ascii="Times New Roman" w:hAnsi="Times New Roman" w:cs="Times New Roman"/>
          <w:sz w:val="24"/>
          <w:szCs w:val="24"/>
        </w:rPr>
        <w:t>Motagi</w:t>
      </w:r>
      <w:proofErr w:type="spellEnd"/>
      <w:r w:rsidRPr="00E16ECE">
        <w:rPr>
          <w:rFonts w:ascii="Times New Roman" w:hAnsi="Times New Roman" w:cs="Times New Roman"/>
          <w:sz w:val="24"/>
          <w:szCs w:val="24"/>
        </w:rPr>
        <w:t xml:space="preserve">, B.N., Naidu, G.K., </w:t>
      </w:r>
      <w:proofErr w:type="spellStart"/>
      <w:r w:rsidRPr="00E16ECE">
        <w:rPr>
          <w:rFonts w:ascii="Times New Roman" w:hAnsi="Times New Roman" w:cs="Times New Roman"/>
          <w:sz w:val="24"/>
          <w:szCs w:val="24"/>
        </w:rPr>
        <w:t>Diddimani</w:t>
      </w:r>
      <w:proofErr w:type="spellEnd"/>
      <w:r w:rsidRPr="00E16ECE">
        <w:rPr>
          <w:rFonts w:ascii="Times New Roman" w:hAnsi="Times New Roman" w:cs="Times New Roman"/>
          <w:sz w:val="24"/>
          <w:szCs w:val="24"/>
        </w:rPr>
        <w:t>, S.N., &amp;</w:t>
      </w:r>
      <w:proofErr w:type="spellStart"/>
      <w:r w:rsidRPr="00E16ECE">
        <w:rPr>
          <w:rFonts w:ascii="Times New Roman" w:hAnsi="Times New Roman" w:cs="Times New Roman"/>
          <w:sz w:val="24"/>
          <w:szCs w:val="24"/>
        </w:rPr>
        <w:t>Sheshagiri</w:t>
      </w:r>
      <w:proofErr w:type="spellEnd"/>
      <w:r w:rsidRPr="00E16ECE">
        <w:rPr>
          <w:rFonts w:ascii="Times New Roman" w:hAnsi="Times New Roman" w:cs="Times New Roman"/>
          <w:sz w:val="24"/>
          <w:szCs w:val="24"/>
        </w:rPr>
        <w:t xml:space="preserve">, R. (2002). GPBD 4: A Spanish bunch groundnut genotype resistant to rust and late leaf spot. </w:t>
      </w:r>
      <w:r w:rsidRPr="00E16ECE">
        <w:rPr>
          <w:rStyle w:val="Emphasis"/>
          <w:rFonts w:ascii="Times New Roman" w:hAnsi="Times New Roman" w:cs="Times New Roman"/>
          <w:sz w:val="24"/>
          <w:szCs w:val="24"/>
        </w:rPr>
        <w:t xml:space="preserve">International </w:t>
      </w:r>
      <w:proofErr w:type="spellStart"/>
      <w:r w:rsidRPr="00E16ECE">
        <w:rPr>
          <w:rStyle w:val="Emphasis"/>
          <w:rFonts w:ascii="Times New Roman" w:hAnsi="Times New Roman" w:cs="Times New Roman"/>
          <w:sz w:val="24"/>
          <w:szCs w:val="24"/>
        </w:rPr>
        <w:t>Arachis</w:t>
      </w:r>
      <w:proofErr w:type="spellEnd"/>
      <w:r w:rsidRPr="00E16ECE">
        <w:rPr>
          <w:rStyle w:val="Emphasis"/>
          <w:rFonts w:ascii="Times New Roman" w:hAnsi="Times New Roman" w:cs="Times New Roman"/>
          <w:sz w:val="24"/>
          <w:szCs w:val="24"/>
        </w:rPr>
        <w:t xml:space="preserve"> Newsletter</w:t>
      </w:r>
      <w:r w:rsidRPr="00E16ECE">
        <w:rPr>
          <w:rFonts w:ascii="Times New Roman" w:hAnsi="Times New Roman" w:cs="Times New Roman"/>
          <w:sz w:val="24"/>
          <w:szCs w:val="24"/>
        </w:rPr>
        <w:t>, 22: 29–32.</w:t>
      </w:r>
    </w:p>
    <w:p w:rsidR="00B952C7" w:rsidRPr="00E16ECE" w:rsidRDefault="00B952C7" w:rsidP="00B952C7">
      <w:pPr>
        <w:ind w:left="284" w:hanging="568"/>
        <w:jc w:val="both"/>
        <w:rPr>
          <w:rFonts w:ascii="Times New Roman" w:hAnsi="Times New Roman" w:cs="Times New Roman"/>
          <w:sz w:val="24"/>
          <w:szCs w:val="24"/>
        </w:rPr>
      </w:pPr>
      <w:proofErr w:type="spellStart"/>
      <w:r w:rsidRPr="00E16ECE">
        <w:rPr>
          <w:rFonts w:ascii="Times New Roman" w:hAnsi="Times New Roman" w:cs="Times New Roman"/>
          <w:sz w:val="24"/>
          <w:szCs w:val="24"/>
        </w:rPr>
        <w:t>Khedikar</w:t>
      </w:r>
      <w:proofErr w:type="spellEnd"/>
      <w:r w:rsidRPr="00E16ECE">
        <w:rPr>
          <w:rFonts w:ascii="Times New Roman" w:hAnsi="Times New Roman" w:cs="Times New Roman"/>
          <w:sz w:val="24"/>
          <w:szCs w:val="24"/>
        </w:rPr>
        <w:t xml:space="preserve">, Y.P., Gowda, M.V.C., </w:t>
      </w:r>
      <w:proofErr w:type="spellStart"/>
      <w:r w:rsidRPr="00E16ECE">
        <w:rPr>
          <w:rFonts w:ascii="Times New Roman" w:hAnsi="Times New Roman" w:cs="Times New Roman"/>
          <w:sz w:val="24"/>
          <w:szCs w:val="24"/>
        </w:rPr>
        <w:t>Sarvamangala</w:t>
      </w:r>
      <w:proofErr w:type="spellEnd"/>
      <w:r w:rsidRPr="00E16ECE">
        <w:rPr>
          <w:rFonts w:ascii="Times New Roman" w:hAnsi="Times New Roman" w:cs="Times New Roman"/>
          <w:sz w:val="24"/>
          <w:szCs w:val="24"/>
        </w:rPr>
        <w:t xml:space="preserve">, C., et al. (2010). A QTL study on late leaf spot and rust revealed one major QTL for molecular breeding in groundnut. </w:t>
      </w:r>
      <w:proofErr w:type="spellStart"/>
      <w:r w:rsidRPr="00E16ECE">
        <w:rPr>
          <w:rStyle w:val="Emphasis"/>
          <w:rFonts w:ascii="Times New Roman" w:hAnsi="Times New Roman" w:cs="Times New Roman"/>
          <w:sz w:val="24"/>
          <w:szCs w:val="24"/>
        </w:rPr>
        <w:t>Theor</w:t>
      </w:r>
      <w:proofErr w:type="spellEnd"/>
      <w:r w:rsidRPr="00E16ECE">
        <w:rPr>
          <w:rStyle w:val="Emphasis"/>
          <w:rFonts w:ascii="Times New Roman" w:hAnsi="Times New Roman" w:cs="Times New Roman"/>
          <w:sz w:val="24"/>
          <w:szCs w:val="24"/>
        </w:rPr>
        <w:t>. Appl. Genet.</w:t>
      </w:r>
      <w:r w:rsidRPr="00E16ECE">
        <w:rPr>
          <w:rFonts w:ascii="Times New Roman" w:hAnsi="Times New Roman" w:cs="Times New Roman"/>
          <w:sz w:val="24"/>
          <w:szCs w:val="24"/>
        </w:rPr>
        <w:t>, 121: 971–984.</w:t>
      </w:r>
    </w:p>
    <w:p w:rsidR="00B952C7" w:rsidRPr="00E16ECE" w:rsidRDefault="00B952C7" w:rsidP="00B952C7">
      <w:pPr>
        <w:ind w:left="284" w:hanging="568"/>
        <w:jc w:val="both"/>
        <w:rPr>
          <w:rFonts w:ascii="Times New Roman" w:hAnsi="Times New Roman" w:cs="Times New Roman"/>
          <w:sz w:val="24"/>
          <w:szCs w:val="24"/>
        </w:rPr>
      </w:pPr>
      <w:r w:rsidRPr="00E16ECE">
        <w:rPr>
          <w:rFonts w:ascii="Times New Roman" w:hAnsi="Times New Roman" w:cs="Times New Roman"/>
          <w:sz w:val="24"/>
          <w:szCs w:val="24"/>
        </w:rPr>
        <w:t xml:space="preserve">McDonald &amp; Subrahmanyam (1985) composed </w:t>
      </w:r>
      <w:r w:rsidRPr="00E16ECE">
        <w:rPr>
          <w:rFonts w:ascii="Times New Roman" w:hAnsi="Times New Roman" w:cs="Times New Roman"/>
          <w:b/>
          <w:bCs/>
          <w:sz w:val="24"/>
          <w:szCs w:val="24"/>
        </w:rPr>
        <w:t>Information Bulletin No. 21</w:t>
      </w:r>
      <w:r w:rsidRPr="00E16ECE">
        <w:rPr>
          <w:rFonts w:ascii="Times New Roman" w:hAnsi="Times New Roman" w:cs="Times New Roman"/>
          <w:sz w:val="24"/>
          <w:szCs w:val="24"/>
        </w:rPr>
        <w:t xml:space="preserve">, focusing specifically on early and late leaf spots of groundnut, elaborating on symptoms and disease cycle </w:t>
      </w:r>
      <w:hyperlink r:id="rId8" w:tgtFrame="_blank" w:history="1">
        <w:r w:rsidRPr="00E16ECE">
          <w:rPr>
            <w:rStyle w:val="Hyperlink"/>
            <w:rFonts w:ascii="Times New Roman" w:hAnsi="Times New Roman" w:cs="Times New Roman"/>
            <w:sz w:val="24"/>
            <w:szCs w:val="24"/>
          </w:rPr>
          <w:t>oar.icrisat.org+1thepharmajournal.com+1</w:t>
        </w:r>
      </w:hyperlink>
      <w:r w:rsidRPr="00E16ECE">
        <w:rPr>
          <w:rFonts w:ascii="Times New Roman" w:hAnsi="Times New Roman" w:cs="Times New Roman"/>
          <w:sz w:val="24"/>
          <w:szCs w:val="24"/>
        </w:rPr>
        <w:t>.</w:t>
      </w:r>
    </w:p>
    <w:p w:rsidR="00B952C7" w:rsidRDefault="00B952C7" w:rsidP="00B952C7">
      <w:pPr>
        <w:ind w:left="284" w:hanging="568"/>
        <w:jc w:val="both"/>
        <w:rPr>
          <w:rFonts w:ascii="Times New Roman" w:hAnsi="Times New Roman" w:cs="Times New Roman"/>
          <w:sz w:val="24"/>
          <w:szCs w:val="24"/>
        </w:rPr>
      </w:pPr>
      <w:proofErr w:type="spellStart"/>
      <w:r w:rsidRPr="00E16ECE">
        <w:rPr>
          <w:rFonts w:ascii="Times New Roman" w:hAnsi="Times New Roman" w:cs="Times New Roman"/>
          <w:sz w:val="24"/>
          <w:szCs w:val="24"/>
        </w:rPr>
        <w:t>Motagi</w:t>
      </w:r>
      <w:proofErr w:type="spellEnd"/>
      <w:r w:rsidRPr="00E16ECE">
        <w:rPr>
          <w:rFonts w:ascii="Times New Roman" w:hAnsi="Times New Roman" w:cs="Times New Roman"/>
          <w:sz w:val="24"/>
          <w:szCs w:val="24"/>
        </w:rPr>
        <w:t>, B. N., Gowda, M. V. C., &amp; Naidu, G. K. (2000). Inheritance of late leafspot resistance in groundnut mutants. </w:t>
      </w:r>
      <w:r w:rsidRPr="00E16ECE">
        <w:rPr>
          <w:rFonts w:ascii="Times New Roman" w:hAnsi="Times New Roman" w:cs="Times New Roman"/>
          <w:i/>
          <w:iCs/>
          <w:sz w:val="24"/>
          <w:szCs w:val="24"/>
        </w:rPr>
        <w:t>Indian Journal of Genetics and Plant Breeding</w:t>
      </w:r>
      <w:r w:rsidRPr="00E16ECE">
        <w:rPr>
          <w:rFonts w:ascii="Times New Roman" w:hAnsi="Times New Roman" w:cs="Times New Roman"/>
          <w:sz w:val="24"/>
          <w:szCs w:val="24"/>
        </w:rPr>
        <w:t>, </w:t>
      </w:r>
      <w:r w:rsidRPr="00E16ECE">
        <w:rPr>
          <w:rFonts w:ascii="Times New Roman" w:hAnsi="Times New Roman" w:cs="Times New Roman"/>
          <w:i/>
          <w:iCs/>
          <w:sz w:val="24"/>
          <w:szCs w:val="24"/>
        </w:rPr>
        <w:t>60</w:t>
      </w:r>
      <w:r w:rsidRPr="00E16ECE">
        <w:rPr>
          <w:rFonts w:ascii="Times New Roman" w:hAnsi="Times New Roman" w:cs="Times New Roman"/>
          <w:sz w:val="24"/>
          <w:szCs w:val="24"/>
        </w:rPr>
        <w:t>(03), 347-352.</w:t>
      </w:r>
    </w:p>
    <w:p w:rsidR="003808CD" w:rsidRDefault="003808CD" w:rsidP="00B952C7">
      <w:pPr>
        <w:ind w:left="284" w:hanging="568"/>
        <w:jc w:val="both"/>
        <w:rPr>
          <w:rFonts w:ascii="Times New Roman" w:hAnsi="Times New Roman" w:cs="Times New Roman"/>
          <w:sz w:val="24"/>
          <w:szCs w:val="24"/>
        </w:rPr>
      </w:pPr>
      <w:r w:rsidRPr="003808CD">
        <w:rPr>
          <w:rFonts w:ascii="Times New Roman" w:hAnsi="Times New Roman" w:cs="Times New Roman"/>
          <w:bCs/>
          <w:sz w:val="24"/>
          <w:szCs w:val="24"/>
        </w:rPr>
        <w:t>Nigam, S.N. (2014).</w:t>
      </w:r>
      <w:r w:rsidRPr="003808CD">
        <w:rPr>
          <w:rFonts w:ascii="Times New Roman" w:hAnsi="Times New Roman" w:cs="Times New Roman"/>
          <w:sz w:val="24"/>
          <w:szCs w:val="24"/>
        </w:rPr>
        <w:t xml:space="preserve"> Groundnut at a glance. In: </w:t>
      </w:r>
      <w:r w:rsidRPr="003808CD">
        <w:rPr>
          <w:rFonts w:ascii="Times New Roman" w:hAnsi="Times New Roman" w:cs="Times New Roman"/>
          <w:i/>
          <w:iCs/>
          <w:sz w:val="24"/>
          <w:szCs w:val="24"/>
        </w:rPr>
        <w:t>Groundnut Improvement: Use of Genetic and Genomic Resources</w:t>
      </w:r>
      <w:r w:rsidRPr="003808CD">
        <w:rPr>
          <w:rFonts w:ascii="Times New Roman" w:hAnsi="Times New Roman" w:cs="Times New Roman"/>
          <w:sz w:val="24"/>
          <w:szCs w:val="24"/>
        </w:rPr>
        <w:t xml:space="preserve"> (pp. 1–14). Elsevier.</w:t>
      </w:r>
    </w:p>
    <w:p w:rsidR="00B952C7" w:rsidRDefault="00B952C7" w:rsidP="00B952C7">
      <w:pPr>
        <w:spacing w:line="240" w:lineRule="auto"/>
        <w:ind w:left="284" w:hanging="568"/>
        <w:jc w:val="both"/>
        <w:rPr>
          <w:rFonts w:ascii="Times New Roman" w:hAnsi="Times New Roman" w:cs="Times New Roman"/>
          <w:sz w:val="24"/>
          <w:szCs w:val="24"/>
        </w:rPr>
      </w:pPr>
      <w:proofErr w:type="spellStart"/>
      <w:r w:rsidRPr="00E16ECE">
        <w:rPr>
          <w:rFonts w:ascii="Times New Roman" w:hAnsi="Times New Roman" w:cs="Times New Roman"/>
          <w:sz w:val="24"/>
          <w:szCs w:val="24"/>
        </w:rPr>
        <w:t>Pooniya</w:t>
      </w:r>
      <w:proofErr w:type="spellEnd"/>
      <w:r w:rsidRPr="00E16ECE">
        <w:rPr>
          <w:rFonts w:ascii="Times New Roman" w:hAnsi="Times New Roman" w:cs="Times New Roman"/>
          <w:sz w:val="24"/>
          <w:szCs w:val="24"/>
        </w:rPr>
        <w:t xml:space="preserve">, S. K., Yadav, S., Rathore, M. S., Tiwari, S., </w:t>
      </w:r>
      <w:proofErr w:type="spellStart"/>
      <w:r w:rsidRPr="00E16ECE">
        <w:rPr>
          <w:rFonts w:ascii="Times New Roman" w:hAnsi="Times New Roman" w:cs="Times New Roman"/>
          <w:sz w:val="24"/>
          <w:szCs w:val="24"/>
        </w:rPr>
        <w:t>Sikarwar</w:t>
      </w:r>
      <w:proofErr w:type="spellEnd"/>
      <w:r w:rsidRPr="00E16ECE">
        <w:rPr>
          <w:rFonts w:ascii="Times New Roman" w:hAnsi="Times New Roman" w:cs="Times New Roman"/>
          <w:sz w:val="24"/>
          <w:szCs w:val="24"/>
        </w:rPr>
        <w:t>, R. S., &amp; Tripathi, M. K. (2020). Field evaluation of early and late leaf spot diseases in advanced breeding lines of groundnut (</w:t>
      </w:r>
      <w:proofErr w:type="spellStart"/>
      <w:r w:rsidRPr="00E16ECE">
        <w:rPr>
          <w:rFonts w:ascii="Times New Roman" w:hAnsi="Times New Roman" w:cs="Times New Roman"/>
          <w:sz w:val="24"/>
          <w:szCs w:val="24"/>
        </w:rPr>
        <w:t>Arachis</w:t>
      </w:r>
      <w:proofErr w:type="spellEnd"/>
      <w:r w:rsidRPr="00E16ECE">
        <w:rPr>
          <w:rFonts w:ascii="Times New Roman" w:hAnsi="Times New Roman" w:cs="Times New Roman"/>
          <w:sz w:val="24"/>
          <w:szCs w:val="24"/>
        </w:rPr>
        <w:t xml:space="preserve"> </w:t>
      </w:r>
      <w:proofErr w:type="spellStart"/>
      <w:r w:rsidRPr="00E16ECE">
        <w:rPr>
          <w:rFonts w:ascii="Times New Roman" w:hAnsi="Times New Roman" w:cs="Times New Roman"/>
          <w:sz w:val="24"/>
          <w:szCs w:val="24"/>
        </w:rPr>
        <w:t>hypogaea</w:t>
      </w:r>
      <w:proofErr w:type="spellEnd"/>
      <w:r w:rsidRPr="00E16ECE">
        <w:rPr>
          <w:rFonts w:ascii="Times New Roman" w:hAnsi="Times New Roman" w:cs="Times New Roman"/>
          <w:sz w:val="24"/>
          <w:szCs w:val="24"/>
        </w:rPr>
        <w:t xml:space="preserve"> L.). </w:t>
      </w:r>
      <w:r w:rsidRPr="00E16ECE">
        <w:rPr>
          <w:rFonts w:ascii="Times New Roman" w:hAnsi="Times New Roman" w:cs="Times New Roman"/>
          <w:i/>
          <w:iCs/>
          <w:sz w:val="24"/>
          <w:szCs w:val="24"/>
        </w:rPr>
        <w:t>International Journal of Current Microbiology and Applied Sciences</w:t>
      </w:r>
      <w:r w:rsidRPr="00E16ECE">
        <w:rPr>
          <w:rFonts w:ascii="Times New Roman" w:hAnsi="Times New Roman" w:cs="Times New Roman"/>
          <w:sz w:val="24"/>
          <w:szCs w:val="24"/>
        </w:rPr>
        <w:t>, </w:t>
      </w:r>
      <w:r w:rsidRPr="00E16ECE">
        <w:rPr>
          <w:rFonts w:ascii="Times New Roman" w:hAnsi="Times New Roman" w:cs="Times New Roman"/>
          <w:i/>
          <w:iCs/>
          <w:sz w:val="24"/>
          <w:szCs w:val="24"/>
        </w:rPr>
        <w:t>7</w:t>
      </w:r>
      <w:r w:rsidRPr="00E16ECE">
        <w:rPr>
          <w:rFonts w:ascii="Times New Roman" w:hAnsi="Times New Roman" w:cs="Times New Roman"/>
          <w:sz w:val="24"/>
          <w:szCs w:val="24"/>
        </w:rPr>
        <w:t>, 3909-3919.</w:t>
      </w:r>
    </w:p>
    <w:p w:rsidR="00E850BF" w:rsidRPr="00E16ECE" w:rsidRDefault="00E850BF" w:rsidP="00B952C7">
      <w:pPr>
        <w:spacing w:line="240" w:lineRule="auto"/>
        <w:ind w:left="284" w:hanging="568"/>
        <w:jc w:val="both"/>
        <w:rPr>
          <w:rFonts w:ascii="Times New Roman" w:hAnsi="Times New Roman" w:cs="Times New Roman"/>
          <w:sz w:val="24"/>
          <w:szCs w:val="24"/>
        </w:rPr>
      </w:pPr>
      <w:proofErr w:type="spellStart"/>
      <w:r w:rsidRPr="00E850BF">
        <w:rPr>
          <w:rFonts w:ascii="Times New Roman" w:hAnsi="Times New Roman" w:cs="Times New Roman"/>
          <w:sz w:val="24"/>
          <w:szCs w:val="24"/>
        </w:rPr>
        <w:t>Pande</w:t>
      </w:r>
      <w:proofErr w:type="spellEnd"/>
      <w:r w:rsidRPr="00E850BF">
        <w:rPr>
          <w:rFonts w:ascii="Times New Roman" w:hAnsi="Times New Roman" w:cs="Times New Roman"/>
          <w:sz w:val="24"/>
          <w:szCs w:val="24"/>
        </w:rPr>
        <w:t xml:space="preserve">, S., &amp; Rao, J. N. (2001). Resistance of wild </w:t>
      </w:r>
      <w:proofErr w:type="spellStart"/>
      <w:r w:rsidRPr="00E850BF">
        <w:rPr>
          <w:rFonts w:ascii="Times New Roman" w:hAnsi="Times New Roman" w:cs="Times New Roman"/>
          <w:sz w:val="24"/>
          <w:szCs w:val="24"/>
        </w:rPr>
        <w:t>Arachis</w:t>
      </w:r>
      <w:proofErr w:type="spellEnd"/>
      <w:r w:rsidRPr="00E850BF">
        <w:rPr>
          <w:rFonts w:ascii="Times New Roman" w:hAnsi="Times New Roman" w:cs="Times New Roman"/>
          <w:sz w:val="24"/>
          <w:szCs w:val="24"/>
        </w:rPr>
        <w:t xml:space="preserve"> species to late leaf spot and rust in greenhouse trials. </w:t>
      </w:r>
      <w:r w:rsidRPr="00E850BF">
        <w:rPr>
          <w:rFonts w:ascii="Times New Roman" w:hAnsi="Times New Roman" w:cs="Times New Roman"/>
          <w:i/>
          <w:iCs/>
          <w:sz w:val="24"/>
          <w:szCs w:val="24"/>
        </w:rPr>
        <w:t>Plant Disease</w:t>
      </w:r>
      <w:r w:rsidRPr="00E850BF">
        <w:rPr>
          <w:rFonts w:ascii="Times New Roman" w:hAnsi="Times New Roman" w:cs="Times New Roman"/>
          <w:sz w:val="24"/>
          <w:szCs w:val="24"/>
        </w:rPr>
        <w:t>, </w:t>
      </w:r>
      <w:r w:rsidRPr="00E850BF">
        <w:rPr>
          <w:rFonts w:ascii="Times New Roman" w:hAnsi="Times New Roman" w:cs="Times New Roman"/>
          <w:i/>
          <w:iCs/>
          <w:sz w:val="24"/>
          <w:szCs w:val="24"/>
        </w:rPr>
        <w:t>85</w:t>
      </w:r>
      <w:r w:rsidRPr="00E850BF">
        <w:rPr>
          <w:rFonts w:ascii="Times New Roman" w:hAnsi="Times New Roman" w:cs="Times New Roman"/>
          <w:sz w:val="24"/>
          <w:szCs w:val="24"/>
        </w:rPr>
        <w:t>(8), 851-855.</w:t>
      </w:r>
    </w:p>
    <w:p w:rsidR="00B952C7" w:rsidRPr="00E16ECE" w:rsidRDefault="00B952C7" w:rsidP="00B952C7">
      <w:pPr>
        <w:tabs>
          <w:tab w:val="left" w:pos="2713"/>
        </w:tabs>
        <w:spacing w:before="120" w:after="120"/>
        <w:ind w:left="284" w:hanging="568"/>
        <w:jc w:val="both"/>
        <w:rPr>
          <w:rFonts w:ascii="Times New Roman" w:hAnsi="Times New Roman" w:cs="Times New Roman"/>
          <w:color w:val="222222"/>
          <w:sz w:val="24"/>
          <w:szCs w:val="24"/>
          <w:shd w:val="clear" w:color="auto" w:fill="FFFFFF"/>
          <w:lang w:bidi="en-US"/>
        </w:rPr>
      </w:pPr>
      <w:r w:rsidRPr="00E16ECE">
        <w:rPr>
          <w:rFonts w:ascii="Times New Roman" w:hAnsi="Times New Roman" w:cs="Times New Roman"/>
          <w:color w:val="222222"/>
          <w:sz w:val="24"/>
          <w:szCs w:val="24"/>
          <w:shd w:val="clear" w:color="auto" w:fill="FFFFFF"/>
          <w:lang w:bidi="en-US"/>
        </w:rPr>
        <w:t xml:space="preserve">RAMAKRISHNAN, P., MANIVANNAN, N., MOTHILAL, A., MAHAINGAM, L., PRABHU, R. AND GOPIKRISHNAN, P., 2020, Marker assisted </w:t>
      </w:r>
      <w:proofErr w:type="spellStart"/>
      <w:r w:rsidRPr="00E16ECE">
        <w:rPr>
          <w:rFonts w:ascii="Times New Roman" w:hAnsi="Times New Roman" w:cs="Times New Roman"/>
          <w:color w:val="222222"/>
          <w:sz w:val="24"/>
          <w:szCs w:val="24"/>
          <w:shd w:val="clear" w:color="auto" w:fill="FFFFFF"/>
          <w:lang w:bidi="en-US"/>
        </w:rPr>
        <w:t>introgression</w:t>
      </w:r>
      <w:proofErr w:type="spellEnd"/>
      <w:r w:rsidRPr="00E16ECE">
        <w:rPr>
          <w:rFonts w:ascii="Times New Roman" w:hAnsi="Times New Roman" w:cs="Times New Roman"/>
          <w:color w:val="222222"/>
          <w:sz w:val="24"/>
          <w:szCs w:val="24"/>
          <w:shd w:val="clear" w:color="auto" w:fill="FFFFFF"/>
          <w:lang w:bidi="en-US"/>
        </w:rPr>
        <w:t xml:space="preserve"> of QTL region to improve late leaf spot and rust resistance in elite and popular variety of groundnut (</w:t>
      </w:r>
      <w:proofErr w:type="spellStart"/>
      <w:r w:rsidRPr="00E16ECE">
        <w:rPr>
          <w:rFonts w:ascii="Times New Roman" w:hAnsi="Times New Roman" w:cs="Times New Roman"/>
          <w:color w:val="222222"/>
          <w:sz w:val="24"/>
          <w:szCs w:val="24"/>
          <w:shd w:val="clear" w:color="auto" w:fill="FFFFFF"/>
          <w:lang w:bidi="en-US"/>
        </w:rPr>
        <w:t>Arachis</w:t>
      </w:r>
      <w:proofErr w:type="spellEnd"/>
      <w:r w:rsidRPr="00E16ECE">
        <w:rPr>
          <w:rFonts w:ascii="Times New Roman" w:hAnsi="Times New Roman" w:cs="Times New Roman"/>
          <w:color w:val="222222"/>
          <w:sz w:val="24"/>
          <w:szCs w:val="24"/>
          <w:shd w:val="clear" w:color="auto" w:fill="FFFFFF"/>
          <w:lang w:bidi="en-US"/>
        </w:rPr>
        <w:t xml:space="preserve"> </w:t>
      </w:r>
      <w:proofErr w:type="spellStart"/>
      <w:r w:rsidRPr="00E16ECE">
        <w:rPr>
          <w:rFonts w:ascii="Times New Roman" w:hAnsi="Times New Roman" w:cs="Times New Roman"/>
          <w:color w:val="222222"/>
          <w:sz w:val="24"/>
          <w:szCs w:val="24"/>
          <w:shd w:val="clear" w:color="auto" w:fill="FFFFFF"/>
          <w:lang w:bidi="en-US"/>
        </w:rPr>
        <w:t>hypogaea</w:t>
      </w:r>
      <w:proofErr w:type="spellEnd"/>
      <w:r w:rsidRPr="00E16ECE">
        <w:rPr>
          <w:rFonts w:ascii="Times New Roman" w:hAnsi="Times New Roman" w:cs="Times New Roman"/>
          <w:color w:val="222222"/>
          <w:sz w:val="24"/>
          <w:szCs w:val="24"/>
          <w:shd w:val="clear" w:color="auto" w:fill="FFFFFF"/>
          <w:lang w:bidi="en-US"/>
        </w:rPr>
        <w:t xml:space="preserve"> L.) cv TMV2. </w:t>
      </w:r>
      <w:proofErr w:type="spellStart"/>
      <w:r w:rsidRPr="00E16ECE">
        <w:rPr>
          <w:rFonts w:ascii="Times New Roman" w:hAnsi="Times New Roman" w:cs="Times New Roman"/>
          <w:color w:val="222222"/>
          <w:sz w:val="24"/>
          <w:szCs w:val="24"/>
          <w:shd w:val="clear" w:color="auto" w:fill="FFFFFF"/>
          <w:lang w:bidi="en-US"/>
        </w:rPr>
        <w:t>Australa</w:t>
      </w:r>
      <w:proofErr w:type="spellEnd"/>
      <w:r w:rsidRPr="00E16ECE">
        <w:rPr>
          <w:rFonts w:ascii="Times New Roman" w:hAnsi="Times New Roman" w:cs="Times New Roman"/>
          <w:color w:val="222222"/>
          <w:sz w:val="24"/>
          <w:szCs w:val="24"/>
          <w:shd w:val="clear" w:color="auto" w:fill="FFFFFF"/>
          <w:lang w:bidi="en-US"/>
        </w:rPr>
        <w:t>. Plant Dis., 49: 505-513</w:t>
      </w:r>
    </w:p>
    <w:p w:rsidR="00B952C7" w:rsidRPr="00E16ECE" w:rsidRDefault="00B952C7" w:rsidP="00B952C7">
      <w:pPr>
        <w:spacing w:line="240" w:lineRule="auto"/>
        <w:ind w:left="284" w:hanging="568"/>
        <w:jc w:val="both"/>
        <w:rPr>
          <w:rFonts w:ascii="Times New Roman" w:hAnsi="Times New Roman" w:cs="Times New Roman"/>
          <w:sz w:val="24"/>
          <w:szCs w:val="24"/>
        </w:rPr>
      </w:pPr>
      <w:r w:rsidRPr="00E16ECE">
        <w:rPr>
          <w:rFonts w:ascii="Times New Roman" w:hAnsi="Times New Roman" w:cs="Times New Roman"/>
          <w:sz w:val="24"/>
          <w:szCs w:val="24"/>
        </w:rPr>
        <w:t xml:space="preserve">Subrahmanyam, P., et al. (1995). Screening methods and sources of resistance to rust and late leaf spot of groundnut. </w:t>
      </w:r>
      <w:r w:rsidRPr="00E16ECE">
        <w:rPr>
          <w:rStyle w:val="Emphasis"/>
          <w:rFonts w:ascii="Times New Roman" w:hAnsi="Times New Roman" w:cs="Times New Roman"/>
          <w:sz w:val="24"/>
          <w:szCs w:val="24"/>
        </w:rPr>
        <w:t>Information Bulletin no. 47</w:t>
      </w:r>
      <w:r w:rsidRPr="00E16ECE">
        <w:rPr>
          <w:rFonts w:ascii="Times New Roman" w:hAnsi="Times New Roman" w:cs="Times New Roman"/>
          <w:sz w:val="24"/>
          <w:szCs w:val="24"/>
        </w:rPr>
        <w:t>, ICRISAT.</w:t>
      </w:r>
    </w:p>
    <w:p w:rsidR="00B952C7" w:rsidRPr="00E16ECE" w:rsidRDefault="00B952C7" w:rsidP="00B952C7">
      <w:pPr>
        <w:pStyle w:val="NormalWeb"/>
        <w:ind w:left="284" w:hanging="568"/>
        <w:jc w:val="both"/>
      </w:pPr>
      <w:r w:rsidRPr="00E16ECE">
        <w:t xml:space="preserve">   Sujay, V., Gowda, M.V.C., Pandey, M.K., et al. (2012). Quantitative trait locus analysis and construction of consensus genetic map for foliar disease resistance in groundnut (</w:t>
      </w:r>
      <w:proofErr w:type="spellStart"/>
      <w:r w:rsidRPr="00E16ECE">
        <w:rPr>
          <w:rStyle w:val="Emphasis"/>
        </w:rPr>
        <w:t>Arachis</w:t>
      </w:r>
      <w:proofErr w:type="spellEnd"/>
      <w:r w:rsidRPr="00E16ECE">
        <w:rPr>
          <w:rStyle w:val="Emphasis"/>
        </w:rPr>
        <w:t xml:space="preserve"> </w:t>
      </w:r>
      <w:proofErr w:type="spellStart"/>
      <w:r w:rsidRPr="00E16ECE">
        <w:rPr>
          <w:rStyle w:val="Emphasis"/>
        </w:rPr>
        <w:t>hypogaea</w:t>
      </w:r>
      <w:proofErr w:type="spellEnd"/>
      <w:r w:rsidRPr="00E16ECE">
        <w:t xml:space="preserve"> L.). </w:t>
      </w:r>
      <w:r w:rsidRPr="00E16ECE">
        <w:rPr>
          <w:rStyle w:val="Emphasis"/>
        </w:rPr>
        <w:t>Mol. Breeding</w:t>
      </w:r>
      <w:r w:rsidRPr="00E16ECE">
        <w:t>, 30: 773–788.</w:t>
      </w:r>
    </w:p>
    <w:p w:rsidR="00B952C7" w:rsidRPr="00E16ECE" w:rsidRDefault="00B952C7" w:rsidP="00B952C7">
      <w:pPr>
        <w:pStyle w:val="ListParagraph"/>
        <w:spacing w:before="120" w:after="120" w:line="276" w:lineRule="auto"/>
        <w:ind w:left="284" w:hanging="568"/>
        <w:rPr>
          <w:color w:val="0D0D0D" w:themeColor="text1" w:themeTint="F2"/>
          <w:sz w:val="24"/>
          <w:szCs w:val="24"/>
          <w:shd w:val="clear" w:color="auto" w:fill="FFFFFF"/>
          <w:lang w:val="en-GB"/>
        </w:rPr>
      </w:pPr>
      <w:proofErr w:type="spellStart"/>
      <w:r w:rsidRPr="00E16ECE">
        <w:rPr>
          <w:color w:val="222222"/>
          <w:sz w:val="24"/>
          <w:szCs w:val="24"/>
          <w:shd w:val="clear" w:color="auto" w:fill="FFFFFF"/>
        </w:rPr>
        <w:t>Sukruth</w:t>
      </w:r>
      <w:proofErr w:type="spellEnd"/>
      <w:r w:rsidRPr="00E16ECE">
        <w:rPr>
          <w:color w:val="222222"/>
          <w:sz w:val="24"/>
          <w:szCs w:val="24"/>
          <w:shd w:val="clear" w:color="auto" w:fill="FFFFFF"/>
        </w:rPr>
        <w:t>, M. (2017). </w:t>
      </w:r>
      <w:r w:rsidRPr="00E16ECE">
        <w:rPr>
          <w:i/>
          <w:iCs/>
          <w:color w:val="222222"/>
          <w:sz w:val="24"/>
          <w:szCs w:val="24"/>
          <w:shd w:val="clear" w:color="auto" w:fill="FFFFFF"/>
        </w:rPr>
        <w:t xml:space="preserve">Evaluation of diverse recombinant inbred lines and advanced backcross </w:t>
      </w:r>
      <w:r w:rsidRPr="00E16ECE">
        <w:rPr>
          <w:i/>
          <w:iCs/>
          <w:color w:val="222222"/>
          <w:sz w:val="24"/>
          <w:szCs w:val="24"/>
          <w:shd w:val="clear" w:color="auto" w:fill="FFFFFF"/>
        </w:rPr>
        <w:lastRenderedPageBreak/>
        <w:t>lines for productivity traits and validation of markers linked to foliar disease resistance in groundnut</w:t>
      </w:r>
      <w:r w:rsidRPr="00E16ECE">
        <w:rPr>
          <w:color w:val="222222"/>
          <w:sz w:val="24"/>
          <w:szCs w:val="24"/>
          <w:shd w:val="clear" w:color="auto" w:fill="FFFFFF"/>
        </w:rPr>
        <w:t> (Doctoral dissertation, UASD).</w:t>
      </w:r>
    </w:p>
    <w:p w:rsidR="00B952C7" w:rsidRPr="00E16ECE" w:rsidRDefault="00B952C7" w:rsidP="00B952C7">
      <w:pPr>
        <w:ind w:left="284" w:hanging="568"/>
        <w:jc w:val="both"/>
        <w:rPr>
          <w:rFonts w:ascii="Times New Roman" w:hAnsi="Times New Roman" w:cs="Times New Roman"/>
          <w:sz w:val="24"/>
          <w:szCs w:val="24"/>
        </w:rPr>
      </w:pPr>
      <w:r w:rsidRPr="00E16ECE">
        <w:rPr>
          <w:rFonts w:ascii="Times New Roman" w:hAnsi="Times New Roman" w:cs="Times New Roman"/>
          <w:sz w:val="24"/>
          <w:szCs w:val="24"/>
        </w:rPr>
        <w:t xml:space="preserve">Subrahmanyam, P., McDonald, D., </w:t>
      </w:r>
      <w:proofErr w:type="spellStart"/>
      <w:r w:rsidRPr="00E16ECE">
        <w:rPr>
          <w:rFonts w:ascii="Times New Roman" w:hAnsi="Times New Roman" w:cs="Times New Roman"/>
          <w:sz w:val="24"/>
          <w:szCs w:val="24"/>
        </w:rPr>
        <w:t>Waliyar</w:t>
      </w:r>
      <w:proofErr w:type="spellEnd"/>
      <w:r w:rsidRPr="00E16ECE">
        <w:rPr>
          <w:rFonts w:ascii="Times New Roman" w:hAnsi="Times New Roman" w:cs="Times New Roman"/>
          <w:sz w:val="24"/>
          <w:szCs w:val="24"/>
        </w:rPr>
        <w:t xml:space="preserve">, F., &amp; Reddy, L.J. (1995). </w:t>
      </w:r>
      <w:r w:rsidRPr="00E16ECE">
        <w:rPr>
          <w:rFonts w:ascii="Times New Roman" w:hAnsi="Times New Roman" w:cs="Times New Roman"/>
          <w:b/>
          <w:bCs/>
          <w:sz w:val="24"/>
          <w:szCs w:val="24"/>
        </w:rPr>
        <w:t>Screening Methods and Sources of Resistance to Rust and Late Leaf Spot of Groundnut</w:t>
      </w:r>
      <w:r w:rsidRPr="00E16ECE">
        <w:rPr>
          <w:rFonts w:ascii="Times New Roman" w:hAnsi="Times New Roman" w:cs="Times New Roman"/>
          <w:sz w:val="24"/>
          <w:szCs w:val="24"/>
        </w:rPr>
        <w:t xml:space="preserve">. ICRISAT, </w:t>
      </w:r>
      <w:proofErr w:type="spellStart"/>
      <w:r w:rsidRPr="00E16ECE">
        <w:rPr>
          <w:rFonts w:ascii="Times New Roman" w:hAnsi="Times New Roman" w:cs="Times New Roman"/>
          <w:sz w:val="24"/>
          <w:szCs w:val="24"/>
        </w:rPr>
        <w:t>Patancheru</w:t>
      </w:r>
      <w:proofErr w:type="spellEnd"/>
      <w:r w:rsidRPr="00E16ECE">
        <w:rPr>
          <w:rFonts w:ascii="Times New Roman" w:hAnsi="Times New Roman" w:cs="Times New Roman"/>
          <w:sz w:val="24"/>
          <w:szCs w:val="24"/>
        </w:rPr>
        <w:t>, India.</w:t>
      </w:r>
    </w:p>
    <w:p w:rsidR="00B952C7" w:rsidRPr="00E16ECE" w:rsidRDefault="00B952C7" w:rsidP="00B952C7">
      <w:pPr>
        <w:ind w:left="284" w:hanging="568"/>
        <w:jc w:val="both"/>
        <w:rPr>
          <w:rFonts w:ascii="Times New Roman" w:hAnsi="Times New Roman" w:cs="Times New Roman"/>
          <w:sz w:val="24"/>
          <w:szCs w:val="24"/>
        </w:rPr>
      </w:pPr>
      <w:proofErr w:type="spellStart"/>
      <w:r w:rsidRPr="00E16ECE">
        <w:rPr>
          <w:rFonts w:ascii="Times New Roman" w:hAnsi="Times New Roman" w:cs="Times New Roman"/>
          <w:sz w:val="24"/>
          <w:szCs w:val="24"/>
        </w:rPr>
        <w:t>Waliyar</w:t>
      </w:r>
      <w:proofErr w:type="spellEnd"/>
      <w:r w:rsidRPr="00E16ECE">
        <w:rPr>
          <w:rFonts w:ascii="Times New Roman" w:hAnsi="Times New Roman" w:cs="Times New Roman"/>
          <w:sz w:val="24"/>
          <w:szCs w:val="24"/>
        </w:rPr>
        <w:t xml:space="preserve">, F. (1991). Evaluation of groundnut germplasm for resistance to </w:t>
      </w:r>
      <w:proofErr w:type="spellStart"/>
      <w:r w:rsidRPr="00E16ECE">
        <w:rPr>
          <w:rFonts w:ascii="Times New Roman" w:hAnsi="Times New Roman" w:cs="Times New Roman"/>
          <w:i/>
          <w:iCs/>
          <w:sz w:val="24"/>
          <w:szCs w:val="24"/>
        </w:rPr>
        <w:t>Phaeoisariopsispersonata</w:t>
      </w:r>
      <w:proofErr w:type="spellEnd"/>
      <w:r w:rsidRPr="00E16ECE">
        <w:rPr>
          <w:rFonts w:ascii="Times New Roman" w:hAnsi="Times New Roman" w:cs="Times New Roman"/>
          <w:sz w:val="24"/>
          <w:szCs w:val="24"/>
        </w:rPr>
        <w:t xml:space="preserve"> and </w:t>
      </w:r>
      <w:r w:rsidRPr="00E16ECE">
        <w:rPr>
          <w:rFonts w:ascii="Times New Roman" w:hAnsi="Times New Roman" w:cs="Times New Roman"/>
          <w:i/>
          <w:iCs/>
          <w:sz w:val="24"/>
          <w:szCs w:val="24"/>
        </w:rPr>
        <w:t xml:space="preserve">Puccinia </w:t>
      </w:r>
      <w:proofErr w:type="spellStart"/>
      <w:r w:rsidRPr="00E16ECE">
        <w:rPr>
          <w:rFonts w:ascii="Times New Roman" w:hAnsi="Times New Roman" w:cs="Times New Roman"/>
          <w:i/>
          <w:iCs/>
          <w:sz w:val="24"/>
          <w:szCs w:val="24"/>
        </w:rPr>
        <w:t>arachidis</w:t>
      </w:r>
      <w:proofErr w:type="spellEnd"/>
      <w:r w:rsidRPr="00E16ECE">
        <w:rPr>
          <w:rFonts w:ascii="Times New Roman" w:hAnsi="Times New Roman" w:cs="Times New Roman"/>
          <w:sz w:val="24"/>
          <w:szCs w:val="24"/>
        </w:rPr>
        <w:t xml:space="preserve">. </w:t>
      </w:r>
      <w:r w:rsidRPr="00E16ECE">
        <w:rPr>
          <w:rFonts w:ascii="Times New Roman" w:hAnsi="Times New Roman" w:cs="Times New Roman"/>
          <w:i/>
          <w:iCs/>
          <w:sz w:val="24"/>
          <w:szCs w:val="24"/>
        </w:rPr>
        <w:t>Plant Disease</w:t>
      </w:r>
      <w:r w:rsidRPr="00E16ECE">
        <w:rPr>
          <w:rFonts w:ascii="Times New Roman" w:hAnsi="Times New Roman" w:cs="Times New Roman"/>
          <w:sz w:val="24"/>
          <w:szCs w:val="24"/>
        </w:rPr>
        <w:t xml:space="preserve">, </w:t>
      </w:r>
      <w:r w:rsidRPr="00E16ECE">
        <w:rPr>
          <w:rFonts w:ascii="Times New Roman" w:hAnsi="Times New Roman" w:cs="Times New Roman"/>
          <w:b/>
          <w:bCs/>
          <w:sz w:val="24"/>
          <w:szCs w:val="24"/>
        </w:rPr>
        <w:t>75</w:t>
      </w:r>
      <w:r w:rsidRPr="00E16ECE">
        <w:rPr>
          <w:rFonts w:ascii="Times New Roman" w:hAnsi="Times New Roman" w:cs="Times New Roman"/>
          <w:sz w:val="24"/>
          <w:szCs w:val="24"/>
        </w:rPr>
        <w:t>(3), 278–281.</w:t>
      </w:r>
    </w:p>
    <w:p w:rsidR="00B952C7" w:rsidRPr="00DE05BE" w:rsidRDefault="00B952C7" w:rsidP="00B952C7">
      <w:pPr>
        <w:jc w:val="both"/>
        <w:rPr>
          <w:rFonts w:ascii="Times New Roman" w:hAnsi="Times New Roman" w:cs="Times New Roman"/>
          <w:sz w:val="24"/>
          <w:szCs w:val="24"/>
        </w:rPr>
      </w:pPr>
    </w:p>
    <w:p w:rsidR="00B952C7" w:rsidRDefault="00B952C7" w:rsidP="0001380E">
      <w:pPr>
        <w:jc w:val="both"/>
      </w:pPr>
    </w:p>
    <w:sectPr w:rsidR="00B952C7" w:rsidSect="004268D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0D8C" w:rsidRDefault="00690D8C" w:rsidP="00BC2D57">
      <w:pPr>
        <w:spacing w:after="0" w:line="240" w:lineRule="auto"/>
      </w:pPr>
      <w:r>
        <w:separator/>
      </w:r>
    </w:p>
  </w:endnote>
  <w:endnote w:type="continuationSeparator" w:id="0">
    <w:p w:rsidR="00690D8C" w:rsidRDefault="00690D8C" w:rsidP="00BC2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D57" w:rsidRDefault="00BC2D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D57" w:rsidRDefault="00BC2D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D57" w:rsidRDefault="00BC2D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0D8C" w:rsidRDefault="00690D8C" w:rsidP="00BC2D57">
      <w:pPr>
        <w:spacing w:after="0" w:line="240" w:lineRule="auto"/>
      </w:pPr>
      <w:r>
        <w:separator/>
      </w:r>
    </w:p>
  </w:footnote>
  <w:footnote w:type="continuationSeparator" w:id="0">
    <w:p w:rsidR="00690D8C" w:rsidRDefault="00690D8C" w:rsidP="00BC2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D57" w:rsidRDefault="00690D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1377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D57" w:rsidRDefault="00690D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1377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D57" w:rsidRDefault="00690D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1377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246B2A"/>
    <w:multiLevelType w:val="multilevel"/>
    <w:tmpl w:val="07AE0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1380E"/>
    <w:rsid w:val="0001380E"/>
    <w:rsid w:val="00060859"/>
    <w:rsid w:val="0007402E"/>
    <w:rsid w:val="000D29C4"/>
    <w:rsid w:val="00144607"/>
    <w:rsid w:val="00183DB4"/>
    <w:rsid w:val="001D1B37"/>
    <w:rsid w:val="002B134D"/>
    <w:rsid w:val="002C13CF"/>
    <w:rsid w:val="00331C21"/>
    <w:rsid w:val="003808CD"/>
    <w:rsid w:val="004268D5"/>
    <w:rsid w:val="00426BEE"/>
    <w:rsid w:val="004844F9"/>
    <w:rsid w:val="005313B5"/>
    <w:rsid w:val="005B7736"/>
    <w:rsid w:val="006244F3"/>
    <w:rsid w:val="00685AF1"/>
    <w:rsid w:val="00690D8C"/>
    <w:rsid w:val="006D6E3C"/>
    <w:rsid w:val="007515D1"/>
    <w:rsid w:val="0082565C"/>
    <w:rsid w:val="00836C74"/>
    <w:rsid w:val="00A045D6"/>
    <w:rsid w:val="00A10228"/>
    <w:rsid w:val="00B9066A"/>
    <w:rsid w:val="00B952C7"/>
    <w:rsid w:val="00BC2D57"/>
    <w:rsid w:val="00C017F0"/>
    <w:rsid w:val="00CC4E48"/>
    <w:rsid w:val="00E61A96"/>
    <w:rsid w:val="00E70BA6"/>
    <w:rsid w:val="00E850BF"/>
    <w:rsid w:val="00EB6908"/>
    <w:rsid w:val="00EC4D05"/>
    <w:rsid w:val="00EE12CB"/>
    <w:rsid w:val="00F50EC8"/>
    <w:rsid w:val="00F55093"/>
    <w:rsid w:val="00F75CF7"/>
    <w:rsid w:val="00FE355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17B358A-F9EE-4CF1-B871-03B89378C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68D5"/>
  </w:style>
  <w:style w:type="paragraph" w:styleId="Heading3">
    <w:name w:val="heading 3"/>
    <w:basedOn w:val="Normal"/>
    <w:link w:val="Heading3Char"/>
    <w:uiPriority w:val="9"/>
    <w:qFormat/>
    <w:rsid w:val="000138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1380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1380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1380E"/>
    <w:rPr>
      <w:rFonts w:ascii="Times New Roman" w:eastAsia="Times New Roman" w:hAnsi="Times New Roman" w:cs="Times New Roman"/>
      <w:b/>
      <w:bCs/>
      <w:sz w:val="24"/>
      <w:szCs w:val="24"/>
    </w:rPr>
  </w:style>
  <w:style w:type="paragraph" w:styleId="NormalWeb">
    <w:name w:val="Normal (Web)"/>
    <w:basedOn w:val="Normal"/>
    <w:uiPriority w:val="99"/>
    <w:unhideWhenUsed/>
    <w:rsid w:val="000138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380E"/>
    <w:rPr>
      <w:b/>
      <w:bCs/>
    </w:rPr>
  </w:style>
  <w:style w:type="paragraph" w:customStyle="1" w:styleId="Default">
    <w:name w:val="Default"/>
    <w:rsid w:val="00B952C7"/>
    <w:pPr>
      <w:autoSpaceDE w:val="0"/>
      <w:autoSpaceDN w:val="0"/>
      <w:adjustRightInd w:val="0"/>
      <w:spacing w:after="0" w:line="240" w:lineRule="auto"/>
    </w:pPr>
    <w:rPr>
      <w:rFonts w:ascii="Times New Roman" w:eastAsiaTheme="minorHAnsi" w:hAnsi="Times New Roman" w:cs="Times New Roman"/>
      <w:color w:val="000000"/>
      <w:sz w:val="24"/>
      <w:szCs w:val="24"/>
      <w:lang w:val="en-IN" w:eastAsia="en-US" w:bidi="hi-IN"/>
    </w:rPr>
  </w:style>
  <w:style w:type="table" w:styleId="TableGrid">
    <w:name w:val="Table Grid"/>
    <w:basedOn w:val="TableNormal"/>
    <w:uiPriority w:val="59"/>
    <w:qFormat/>
    <w:rsid w:val="00B952C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1"/>
    <w:qFormat/>
    <w:rsid w:val="00B952C7"/>
    <w:pPr>
      <w:widowControl w:val="0"/>
      <w:autoSpaceDE w:val="0"/>
      <w:autoSpaceDN w:val="0"/>
      <w:spacing w:before="7" w:after="0" w:line="240" w:lineRule="auto"/>
      <w:ind w:left="1294" w:hanging="719"/>
      <w:jc w:val="both"/>
    </w:pPr>
    <w:rPr>
      <w:rFonts w:ascii="Times New Roman" w:eastAsia="Times New Roman" w:hAnsi="Times New Roman" w:cs="Times New Roman"/>
      <w:lang w:val="en-US" w:eastAsia="en-US"/>
    </w:rPr>
  </w:style>
  <w:style w:type="character" w:styleId="Emphasis">
    <w:name w:val="Emphasis"/>
    <w:basedOn w:val="DefaultParagraphFont"/>
    <w:uiPriority w:val="20"/>
    <w:qFormat/>
    <w:rsid w:val="00B952C7"/>
    <w:rPr>
      <w:i/>
      <w:iCs/>
    </w:rPr>
  </w:style>
  <w:style w:type="character" w:styleId="Hyperlink">
    <w:name w:val="Hyperlink"/>
    <w:basedOn w:val="DefaultParagraphFont"/>
    <w:uiPriority w:val="99"/>
    <w:unhideWhenUsed/>
    <w:rsid w:val="00B952C7"/>
    <w:rPr>
      <w:color w:val="0000FF" w:themeColor="hyperlink"/>
      <w:u w:val="single"/>
    </w:rPr>
  </w:style>
  <w:style w:type="paragraph" w:styleId="BalloonText">
    <w:name w:val="Balloon Text"/>
    <w:basedOn w:val="Normal"/>
    <w:link w:val="BalloonTextChar"/>
    <w:uiPriority w:val="99"/>
    <w:semiHidden/>
    <w:unhideWhenUsed/>
    <w:rsid w:val="00B952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2C7"/>
    <w:rPr>
      <w:rFonts w:ascii="Tahoma" w:hAnsi="Tahoma" w:cs="Tahoma"/>
      <w:sz w:val="16"/>
      <w:szCs w:val="16"/>
    </w:rPr>
  </w:style>
  <w:style w:type="character" w:customStyle="1" w:styleId="UnresolvedMention1">
    <w:name w:val="Unresolved Mention1"/>
    <w:basedOn w:val="DefaultParagraphFont"/>
    <w:uiPriority w:val="99"/>
    <w:semiHidden/>
    <w:unhideWhenUsed/>
    <w:rsid w:val="00F50EC8"/>
    <w:rPr>
      <w:color w:val="605E5C"/>
      <w:shd w:val="clear" w:color="auto" w:fill="E1DFDD"/>
    </w:rPr>
  </w:style>
  <w:style w:type="paragraph" w:styleId="Header">
    <w:name w:val="header"/>
    <w:basedOn w:val="Normal"/>
    <w:link w:val="HeaderChar"/>
    <w:uiPriority w:val="99"/>
    <w:unhideWhenUsed/>
    <w:rsid w:val="00BC2D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D57"/>
  </w:style>
  <w:style w:type="paragraph" w:styleId="Footer">
    <w:name w:val="footer"/>
    <w:basedOn w:val="Normal"/>
    <w:link w:val="FooterChar"/>
    <w:uiPriority w:val="99"/>
    <w:unhideWhenUsed/>
    <w:rsid w:val="00BC2D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300592">
      <w:bodyDiv w:val="1"/>
      <w:marLeft w:val="0"/>
      <w:marRight w:val="0"/>
      <w:marTop w:val="0"/>
      <w:marBottom w:val="0"/>
      <w:divBdr>
        <w:top w:val="none" w:sz="0" w:space="0" w:color="auto"/>
        <w:left w:val="none" w:sz="0" w:space="0" w:color="auto"/>
        <w:bottom w:val="none" w:sz="0" w:space="0" w:color="auto"/>
        <w:right w:val="none" w:sz="0" w:space="0" w:color="auto"/>
      </w:divBdr>
    </w:div>
    <w:div w:id="82582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ar.icrisat.org/3477/1/PNABX110.pdf?utm_source=chatgpt.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600" b="1" i="0" u="none" strike="noStrike" kern="1200" cap="all" baseline="0">
                <a:solidFill>
                  <a:schemeClr val="tx1">
                    <a:lumMod val="65000"/>
                    <a:lumOff val="35000"/>
                  </a:schemeClr>
                </a:solidFill>
                <a:latin typeface="+mn-lt"/>
                <a:ea typeface="+mn-ea"/>
                <a:cs typeface="+mn-cs"/>
              </a:defRPr>
            </a:pPr>
            <a:r>
              <a:rPr lang="en-IN"/>
              <a:t>genotypes</a:t>
            </a:r>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6456266418495464E-2"/>
          <c:y val="0.32866938648772198"/>
          <c:w val="0.82708746716300952"/>
          <c:h val="0.66922295344965921"/>
        </c:manualLayout>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8329-4D21-8DD4-0870ABD3C721}"/>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8329-4D21-8DD4-0870ABD3C721}"/>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8329-4D21-8DD4-0870ABD3C721}"/>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8329-4D21-8DD4-0870ABD3C721}"/>
              </c:ext>
            </c:extLst>
          </c:dPt>
          <c:dLbls>
            <c:dLbl>
              <c:idx val="0"/>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spc="0" baseline="0">
                      <a:solidFill>
                        <a:schemeClr val="accent1"/>
                      </a:solidFill>
                      <a:latin typeface="+mn-lt"/>
                      <a:ea typeface="+mn-ea"/>
                      <a:cs typeface="+mn-cs"/>
                    </a:defRPr>
                  </a:pPr>
                  <a:endParaRPr lang="en-US"/>
                </a:p>
              </c:txPr>
              <c:dLblPos val="outEnd"/>
              <c:showLegendKey val="0"/>
              <c:showVal val="1"/>
              <c:showCatName val="1"/>
              <c:showSerName val="0"/>
              <c:showPercent val="1"/>
              <c:showBubbleSize val="0"/>
              <c:extLst>
                <c:ext xmlns:c16="http://schemas.microsoft.com/office/drawing/2014/chart" uri="{C3380CC4-5D6E-409C-BE32-E72D297353CC}">
                  <c16:uniqueId val="{00000001-8329-4D21-8DD4-0870ABD3C721}"/>
                </c:ext>
              </c:extLst>
            </c:dLbl>
            <c:dLbl>
              <c:idx val="1"/>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spc="0" baseline="0">
                      <a:solidFill>
                        <a:schemeClr val="accent2"/>
                      </a:solidFill>
                      <a:latin typeface="+mn-lt"/>
                      <a:ea typeface="+mn-ea"/>
                      <a:cs typeface="+mn-cs"/>
                    </a:defRPr>
                  </a:pPr>
                  <a:endParaRPr lang="en-US"/>
                </a:p>
              </c:txPr>
              <c:dLblPos val="outEnd"/>
              <c:showLegendKey val="0"/>
              <c:showVal val="1"/>
              <c:showCatName val="1"/>
              <c:showSerName val="0"/>
              <c:showPercent val="1"/>
              <c:showBubbleSize val="0"/>
              <c:extLst>
                <c:ext xmlns:c16="http://schemas.microsoft.com/office/drawing/2014/chart" uri="{C3380CC4-5D6E-409C-BE32-E72D297353CC}">
                  <c16:uniqueId val="{00000003-8329-4D21-8DD4-0870ABD3C721}"/>
                </c:ext>
              </c:extLst>
            </c:dLbl>
            <c:dLbl>
              <c:idx val="2"/>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spc="0" baseline="0">
                      <a:solidFill>
                        <a:schemeClr val="accent3"/>
                      </a:solidFill>
                      <a:latin typeface="+mn-lt"/>
                      <a:ea typeface="+mn-ea"/>
                      <a:cs typeface="+mn-cs"/>
                    </a:defRPr>
                  </a:pPr>
                  <a:endParaRPr lang="en-US"/>
                </a:p>
              </c:txPr>
              <c:dLblPos val="outEnd"/>
              <c:showLegendKey val="0"/>
              <c:showVal val="1"/>
              <c:showCatName val="1"/>
              <c:showSerName val="0"/>
              <c:showPercent val="1"/>
              <c:showBubbleSize val="0"/>
              <c:extLst>
                <c:ext xmlns:c16="http://schemas.microsoft.com/office/drawing/2014/chart" uri="{C3380CC4-5D6E-409C-BE32-E72D297353CC}">
                  <c16:uniqueId val="{00000005-8329-4D21-8DD4-0870ABD3C721}"/>
                </c:ext>
              </c:extLst>
            </c:dLbl>
            <c:dLbl>
              <c:idx val="3"/>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spc="0" baseline="0">
                      <a:solidFill>
                        <a:schemeClr val="accent4"/>
                      </a:solidFill>
                      <a:latin typeface="+mn-lt"/>
                      <a:ea typeface="+mn-ea"/>
                      <a:cs typeface="+mn-cs"/>
                    </a:defRPr>
                  </a:pPr>
                  <a:endParaRPr lang="en-US"/>
                </a:p>
              </c:txPr>
              <c:dLblPos val="outEnd"/>
              <c:showLegendKey val="0"/>
              <c:showVal val="1"/>
              <c:showCatName val="1"/>
              <c:showSerName val="0"/>
              <c:showPercent val="1"/>
              <c:showBubbleSize val="0"/>
              <c:extLst>
                <c:ext xmlns:c16="http://schemas.microsoft.com/office/drawing/2014/chart" uri="{C3380CC4-5D6E-409C-BE32-E72D297353CC}">
                  <c16:uniqueId val="{00000007-8329-4D21-8DD4-0870ABD3C721}"/>
                </c:ext>
              </c:extLst>
            </c:dLbl>
            <c:spPr>
              <a:noFill/>
              <a:ln>
                <a:noFill/>
              </a:ln>
              <a:effectLst/>
            </c:spPr>
            <c:txPr>
              <a:bodyPr/>
              <a:lstStyle/>
              <a:p>
                <a:pPr>
                  <a:defRPr lang="en-US"/>
                </a:pPr>
                <a:endParaRPr lang="en-US"/>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Sheet2!$F$3:$F$6</c:f>
              <c:strCache>
                <c:ptCount val="4"/>
                <c:pt idx="0">
                  <c:v>Highly resistance</c:v>
                </c:pt>
                <c:pt idx="1">
                  <c:v>Resistance</c:v>
                </c:pt>
                <c:pt idx="2">
                  <c:v>Moderate resistance</c:v>
                </c:pt>
                <c:pt idx="3">
                  <c:v>Susceptible</c:v>
                </c:pt>
              </c:strCache>
            </c:strRef>
          </c:cat>
          <c:val>
            <c:numRef>
              <c:f>Sheet2!$G$3:$G$6</c:f>
              <c:numCache>
                <c:formatCode>General</c:formatCode>
                <c:ptCount val="4"/>
                <c:pt idx="0">
                  <c:v>1</c:v>
                </c:pt>
                <c:pt idx="1">
                  <c:v>15</c:v>
                </c:pt>
                <c:pt idx="2">
                  <c:v>4</c:v>
                </c:pt>
                <c:pt idx="3">
                  <c:v>1</c:v>
                </c:pt>
              </c:numCache>
            </c:numRef>
          </c:val>
          <c:extLst>
            <c:ext xmlns:c16="http://schemas.microsoft.com/office/drawing/2014/chart" uri="{C3380CC4-5D6E-409C-BE32-E72D297353CC}">
              <c16:uniqueId val="{00000008-8329-4D21-8DD4-0870ABD3C721}"/>
            </c:ext>
          </c:extLst>
        </c:ser>
        <c:dLbls>
          <c:showLegendKey val="0"/>
          <c:showVal val="0"/>
          <c:showCatName val="1"/>
          <c:showSerName val="0"/>
          <c:showPercent val="0"/>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3145</Words>
  <Characters>17933</Characters>
  <Application>Microsoft Office Word</Application>
  <DocSecurity>0</DocSecurity>
  <Lines>149</Lines>
  <Paragraphs>42</Paragraphs>
  <ScaleCrop>false</ScaleCrop>
  <Company/>
  <LinksUpToDate>false</LinksUpToDate>
  <CharactersWithSpaces>21036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1137</cp:lastModifiedBy>
  <cp:revision>22</cp:revision>
  <dcterms:created xsi:type="dcterms:W3CDTF">2025-09-11T13:28:00Z</dcterms:created>
  <dcterms:modified xsi:type="dcterms:W3CDTF">2025-09-16T06:17:00Z</dcterms:modified>
</cp:coreProperties>
</file>