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2E976" w14:textId="77777777" w:rsidR="009216C8" w:rsidRPr="009216C8" w:rsidRDefault="009216C8" w:rsidP="009216C8">
      <w:pPr>
        <w:spacing w:after="0" w:line="360" w:lineRule="auto"/>
        <w:jc w:val="center"/>
        <w:rPr>
          <w:rFonts w:ascii="Arial" w:hAnsi="Arial" w:cs="Arial"/>
          <w:b/>
          <w:bCs/>
          <w:i/>
          <w:iCs/>
          <w:sz w:val="22"/>
          <w:szCs w:val="22"/>
          <w:u w:val="single"/>
          <w:lang w:val="en-US"/>
        </w:rPr>
      </w:pPr>
      <w:bookmarkStart w:id="0" w:name="_Hlk208398251"/>
      <w:bookmarkStart w:id="1" w:name="_GoBack"/>
      <w:bookmarkEnd w:id="1"/>
      <w:r w:rsidRPr="009216C8">
        <w:rPr>
          <w:rFonts w:ascii="Arial" w:hAnsi="Arial" w:cs="Arial"/>
          <w:b/>
          <w:bCs/>
          <w:i/>
          <w:iCs/>
          <w:sz w:val="22"/>
          <w:szCs w:val="22"/>
          <w:u w:val="single"/>
          <w:lang w:val="en-US"/>
        </w:rPr>
        <w:t>Original Research Article</w:t>
      </w:r>
    </w:p>
    <w:p w14:paraId="7B1D819C" w14:textId="123411A5" w:rsidR="006A726E" w:rsidRPr="00A658C5" w:rsidRDefault="006A726E" w:rsidP="007952EF">
      <w:pPr>
        <w:spacing w:after="0" w:line="360" w:lineRule="auto"/>
        <w:jc w:val="center"/>
        <w:rPr>
          <w:rFonts w:ascii="Arial" w:hAnsi="Arial" w:cs="Arial"/>
          <w:b/>
          <w:bCs/>
          <w:sz w:val="22"/>
          <w:szCs w:val="22"/>
        </w:rPr>
      </w:pPr>
      <w:r w:rsidRPr="00A658C5">
        <w:rPr>
          <w:rFonts w:ascii="Arial" w:hAnsi="Arial" w:cs="Arial"/>
          <w:b/>
          <w:bCs/>
          <w:sz w:val="22"/>
          <w:szCs w:val="22"/>
        </w:rPr>
        <w:t xml:space="preserve">Incidence and Control Measures of </w:t>
      </w:r>
      <w:proofErr w:type="spellStart"/>
      <w:r w:rsidRPr="00A658C5">
        <w:rPr>
          <w:rFonts w:ascii="Arial" w:hAnsi="Arial" w:cs="Arial"/>
          <w:b/>
          <w:bCs/>
          <w:sz w:val="22"/>
          <w:szCs w:val="22"/>
        </w:rPr>
        <w:t>Gumboro</w:t>
      </w:r>
      <w:proofErr w:type="spellEnd"/>
      <w:r w:rsidRPr="00A658C5">
        <w:rPr>
          <w:rFonts w:ascii="Arial" w:hAnsi="Arial" w:cs="Arial"/>
          <w:b/>
          <w:bCs/>
          <w:sz w:val="22"/>
          <w:szCs w:val="22"/>
        </w:rPr>
        <w:t xml:space="preserve"> Disease in </w:t>
      </w:r>
      <w:r w:rsidR="00722885">
        <w:rPr>
          <w:rFonts w:ascii="Arial" w:hAnsi="Arial" w:cs="Arial"/>
          <w:b/>
          <w:bCs/>
          <w:sz w:val="22"/>
          <w:szCs w:val="22"/>
        </w:rPr>
        <w:t xml:space="preserve">a </w:t>
      </w:r>
      <w:r w:rsidRPr="00A658C5">
        <w:rPr>
          <w:rFonts w:ascii="Arial" w:hAnsi="Arial" w:cs="Arial"/>
          <w:b/>
          <w:bCs/>
          <w:sz w:val="22"/>
          <w:szCs w:val="22"/>
        </w:rPr>
        <w:t>Native Chicken</w:t>
      </w:r>
      <w:r w:rsidR="00722885">
        <w:rPr>
          <w:rFonts w:ascii="Arial" w:hAnsi="Arial" w:cs="Arial"/>
          <w:b/>
          <w:bCs/>
          <w:sz w:val="22"/>
          <w:szCs w:val="22"/>
        </w:rPr>
        <w:t xml:space="preserve"> </w:t>
      </w:r>
      <w:proofErr w:type="gramStart"/>
      <w:r w:rsidR="00722885">
        <w:rPr>
          <w:rFonts w:ascii="Arial" w:hAnsi="Arial" w:cs="Arial"/>
          <w:b/>
          <w:bCs/>
          <w:sz w:val="22"/>
          <w:szCs w:val="22"/>
        </w:rPr>
        <w:t>farm</w:t>
      </w:r>
      <w:r w:rsidRPr="00A658C5">
        <w:rPr>
          <w:rFonts w:ascii="Arial" w:hAnsi="Arial" w:cs="Arial"/>
          <w:b/>
          <w:bCs/>
          <w:sz w:val="22"/>
          <w:szCs w:val="22"/>
        </w:rPr>
        <w:t xml:space="preserve"> </w:t>
      </w:r>
      <w:r w:rsidR="00732DA9">
        <w:rPr>
          <w:rFonts w:ascii="Arial" w:hAnsi="Arial" w:cs="Arial"/>
          <w:b/>
          <w:bCs/>
          <w:sz w:val="22"/>
          <w:szCs w:val="22"/>
        </w:rPr>
        <w:t>:</w:t>
      </w:r>
      <w:proofErr w:type="gramEnd"/>
      <w:r w:rsidRPr="00A658C5">
        <w:rPr>
          <w:rFonts w:ascii="Arial" w:hAnsi="Arial" w:cs="Arial"/>
          <w:b/>
          <w:bCs/>
          <w:sz w:val="22"/>
          <w:szCs w:val="22"/>
        </w:rPr>
        <w:t xml:space="preserve"> A Field Study</w:t>
      </w:r>
    </w:p>
    <w:bookmarkEnd w:id="0"/>
    <w:p w14:paraId="05863C82" w14:textId="05484E0D" w:rsidR="009216C8" w:rsidRDefault="009216C8" w:rsidP="003571E6">
      <w:pPr>
        <w:spacing w:after="0" w:line="360" w:lineRule="auto"/>
        <w:jc w:val="center"/>
        <w:rPr>
          <w:rFonts w:ascii="Arial" w:hAnsi="Arial" w:cs="Arial"/>
          <w:sz w:val="20"/>
          <w:szCs w:val="20"/>
          <w:lang w:val="en-GB"/>
        </w:rPr>
      </w:pPr>
    </w:p>
    <w:p w14:paraId="53AD02E4" w14:textId="5AABD981" w:rsidR="006A726E" w:rsidRPr="00661523" w:rsidRDefault="00634C03" w:rsidP="007952EF">
      <w:pPr>
        <w:spacing w:after="0" w:line="360" w:lineRule="auto"/>
        <w:jc w:val="both"/>
        <w:rPr>
          <w:rFonts w:ascii="Arial" w:hAnsi="Arial" w:cs="Arial"/>
          <w:b/>
          <w:bCs/>
        </w:rPr>
      </w:pPr>
      <w:r w:rsidRPr="00661523">
        <w:rPr>
          <w:rFonts w:ascii="Arial" w:hAnsi="Arial" w:cs="Arial"/>
          <w:b/>
          <w:bCs/>
          <w:sz w:val="22"/>
          <w:szCs w:val="22"/>
        </w:rPr>
        <w:t>ABSTRACT</w:t>
      </w:r>
    </w:p>
    <w:p w14:paraId="7EDC1018" w14:textId="669157D0" w:rsidR="00152C63" w:rsidRPr="00152C63" w:rsidRDefault="00152C63" w:rsidP="00152C63">
      <w:pPr>
        <w:spacing w:after="0" w:line="360" w:lineRule="auto"/>
        <w:ind w:firstLine="720"/>
        <w:jc w:val="both"/>
        <w:rPr>
          <w:rFonts w:ascii="Arial" w:hAnsi="Arial" w:cs="Arial"/>
          <w:sz w:val="20"/>
          <w:szCs w:val="20"/>
        </w:rPr>
      </w:pPr>
      <w:r w:rsidRPr="00152C63">
        <w:rPr>
          <w:rFonts w:ascii="Arial" w:hAnsi="Arial" w:cs="Arial"/>
          <w:sz w:val="20"/>
          <w:szCs w:val="20"/>
        </w:rPr>
        <w:t xml:space="preserve">The present investigation was undertaken to characterize and confirm an outbreak of Infectious Bursal Disease (IBD, </w:t>
      </w:r>
      <w:proofErr w:type="spellStart"/>
      <w:r w:rsidRPr="00152C63">
        <w:rPr>
          <w:rFonts w:ascii="Arial" w:hAnsi="Arial" w:cs="Arial"/>
          <w:sz w:val="20"/>
          <w:szCs w:val="20"/>
        </w:rPr>
        <w:t>Gumboro</w:t>
      </w:r>
      <w:proofErr w:type="spellEnd"/>
      <w:r w:rsidRPr="00152C63">
        <w:rPr>
          <w:rFonts w:ascii="Arial" w:hAnsi="Arial" w:cs="Arial"/>
          <w:sz w:val="20"/>
          <w:szCs w:val="20"/>
        </w:rPr>
        <w:t xml:space="preserve"> disease) in a native chicken farm housing 800 Aseel birds and to assess the clinical outcome following therapeutic and biosecurity interventions. The outbreak occurred on a native chicken farm in </w:t>
      </w:r>
      <w:proofErr w:type="spellStart"/>
      <w:r w:rsidRPr="00152C63">
        <w:rPr>
          <w:rFonts w:ascii="Arial" w:hAnsi="Arial" w:cs="Arial"/>
          <w:sz w:val="20"/>
          <w:szCs w:val="20"/>
        </w:rPr>
        <w:t>Periyakangangkuppam</w:t>
      </w:r>
      <w:proofErr w:type="spellEnd"/>
      <w:r w:rsidRPr="00152C63">
        <w:rPr>
          <w:rFonts w:ascii="Arial" w:hAnsi="Arial" w:cs="Arial"/>
          <w:sz w:val="20"/>
          <w:szCs w:val="20"/>
        </w:rPr>
        <w:t xml:space="preserve"> village, </w:t>
      </w:r>
      <w:proofErr w:type="spellStart"/>
      <w:r w:rsidRPr="00152C63">
        <w:rPr>
          <w:rFonts w:ascii="Arial" w:hAnsi="Arial" w:cs="Arial"/>
          <w:sz w:val="20"/>
          <w:szCs w:val="20"/>
        </w:rPr>
        <w:t>Cuddalore</w:t>
      </w:r>
      <w:proofErr w:type="spellEnd"/>
      <w:r w:rsidRPr="00152C63">
        <w:rPr>
          <w:rFonts w:ascii="Arial" w:hAnsi="Arial" w:cs="Arial"/>
          <w:sz w:val="20"/>
          <w:szCs w:val="20"/>
        </w:rPr>
        <w:t xml:space="preserve"> district, Tamil Nadu, India. Affected birds were subjected to detailed clinical observation, and necropsy examinations were performed to record gross pathological lesions. Laboratory confirmation of IBD was achieved using counter-</w:t>
      </w:r>
      <w:proofErr w:type="spellStart"/>
      <w:r w:rsidRPr="00152C63">
        <w:rPr>
          <w:rFonts w:ascii="Arial" w:hAnsi="Arial" w:cs="Arial"/>
          <w:sz w:val="20"/>
          <w:szCs w:val="20"/>
        </w:rPr>
        <w:t>immunoelectrophoresis</w:t>
      </w:r>
      <w:proofErr w:type="spellEnd"/>
      <w:r w:rsidRPr="00152C63">
        <w:rPr>
          <w:rFonts w:ascii="Arial" w:hAnsi="Arial" w:cs="Arial"/>
          <w:sz w:val="20"/>
          <w:szCs w:val="20"/>
        </w:rPr>
        <w:t xml:space="preserve"> (CIEP). Supportive treatment consisted of broad-spectrum antibiotics (cephalexin), liver tonics, and strict farm-level biosecurity practices, including disinfection with phenolic compounds. Daily monitoring of clinical progress and mortality patterns revealed that the outbreak was characterized by acute onset of anorexia, depression, ruffled feathers, watery diarrhoea, and high mortality rates. Post-mortem examination revealed pathognomonic lesions, including petechial and </w:t>
      </w:r>
      <w:proofErr w:type="spellStart"/>
      <w:r w:rsidRPr="00152C63">
        <w:rPr>
          <w:rFonts w:ascii="Arial" w:hAnsi="Arial" w:cs="Arial"/>
          <w:sz w:val="20"/>
          <w:szCs w:val="20"/>
        </w:rPr>
        <w:t>ecchymotic</w:t>
      </w:r>
      <w:proofErr w:type="spellEnd"/>
      <w:r w:rsidRPr="00152C63">
        <w:rPr>
          <w:rFonts w:ascii="Arial" w:hAnsi="Arial" w:cs="Arial"/>
          <w:sz w:val="20"/>
          <w:szCs w:val="20"/>
        </w:rPr>
        <w:t xml:space="preserve"> haemorrhages in the breast and thigh muscles and swollen, haemorrhagic bursae of </w:t>
      </w:r>
      <w:proofErr w:type="spellStart"/>
      <w:r w:rsidRPr="00152C63">
        <w:rPr>
          <w:rFonts w:ascii="Arial" w:hAnsi="Arial" w:cs="Arial"/>
          <w:sz w:val="20"/>
          <w:szCs w:val="20"/>
        </w:rPr>
        <w:t>Fabricius</w:t>
      </w:r>
      <w:proofErr w:type="spellEnd"/>
      <w:r w:rsidRPr="00152C63">
        <w:rPr>
          <w:rFonts w:ascii="Arial" w:hAnsi="Arial" w:cs="Arial"/>
          <w:sz w:val="20"/>
          <w:szCs w:val="20"/>
        </w:rPr>
        <w:t>. Laboratory results confirmed the diagnosis of IBD. Following therapeutic and managemental interventions, a progressive decline in mortality was observed, with marked clinical recovery by the fifth day of treatment. The investigation confirmed IBD as the cause of mortality in the affected flock and demonstrated that prompt therapeutic management combined with stringent biosecurity measures effectively mitigated economic losses. These findings underscore the importance of timely vaccination, strict hygiene protocols, and rapid disease confirmation as critical components in the prevention and control of IBD outbreaks in native poultry production systems.</w:t>
      </w:r>
    </w:p>
    <w:p w14:paraId="63F21776" w14:textId="1F0E338B" w:rsidR="006A726E" w:rsidRPr="00661523" w:rsidRDefault="006A726E" w:rsidP="007952EF">
      <w:pPr>
        <w:spacing w:after="0" w:line="360" w:lineRule="auto"/>
        <w:jc w:val="both"/>
        <w:rPr>
          <w:rFonts w:ascii="Arial" w:hAnsi="Arial" w:cs="Arial"/>
        </w:rPr>
      </w:pPr>
      <w:r w:rsidRPr="00661523">
        <w:rPr>
          <w:rFonts w:ascii="Arial" w:hAnsi="Arial" w:cs="Arial"/>
          <w:b/>
          <w:bCs/>
        </w:rPr>
        <w:t>Keywords:</w:t>
      </w:r>
      <w:r w:rsidRPr="0036639F">
        <w:rPr>
          <w:rFonts w:ascii="Arial" w:hAnsi="Arial" w:cs="Arial"/>
          <w:sz w:val="20"/>
          <w:szCs w:val="20"/>
        </w:rPr>
        <w:t xml:space="preserve"> </w:t>
      </w:r>
      <w:r w:rsidR="00CE1B33" w:rsidRPr="0036639F">
        <w:rPr>
          <w:rFonts w:ascii="Arial" w:hAnsi="Arial" w:cs="Arial"/>
          <w:sz w:val="20"/>
          <w:szCs w:val="20"/>
        </w:rPr>
        <w:t>Native</w:t>
      </w:r>
      <w:r w:rsidRPr="0036639F">
        <w:rPr>
          <w:rFonts w:ascii="Arial" w:hAnsi="Arial" w:cs="Arial"/>
          <w:sz w:val="20"/>
          <w:szCs w:val="20"/>
        </w:rPr>
        <w:t xml:space="preserve"> Chicken, Infectious Bursal Disease, Biosecurity</w:t>
      </w:r>
      <w:r w:rsidR="00CE1B33" w:rsidRPr="0036639F">
        <w:rPr>
          <w:rFonts w:ascii="Arial" w:hAnsi="Arial" w:cs="Arial"/>
          <w:sz w:val="20"/>
          <w:szCs w:val="20"/>
        </w:rPr>
        <w:t xml:space="preserve"> measures, Vaccination</w:t>
      </w:r>
    </w:p>
    <w:p w14:paraId="587CAD10" w14:textId="2DF08897" w:rsidR="008E5AC6" w:rsidRPr="0036639F" w:rsidRDefault="00D814B3" w:rsidP="007952EF">
      <w:pPr>
        <w:spacing w:after="0" w:line="360" w:lineRule="auto"/>
        <w:jc w:val="both"/>
        <w:rPr>
          <w:rFonts w:ascii="Arial" w:hAnsi="Arial" w:cs="Arial"/>
          <w:b/>
          <w:bCs/>
          <w:sz w:val="22"/>
          <w:szCs w:val="22"/>
        </w:rPr>
      </w:pPr>
      <w:r w:rsidRPr="0036639F">
        <w:rPr>
          <w:rFonts w:ascii="Arial" w:hAnsi="Arial" w:cs="Arial"/>
          <w:b/>
          <w:bCs/>
          <w:sz w:val="22"/>
          <w:szCs w:val="22"/>
        </w:rPr>
        <w:t>1. INTRODUCTION</w:t>
      </w:r>
    </w:p>
    <w:p w14:paraId="42081D72" w14:textId="1894CFC3" w:rsidR="008E5AC6" w:rsidRPr="0036639F" w:rsidRDefault="008E5AC6" w:rsidP="007952EF">
      <w:pPr>
        <w:spacing w:after="0" w:line="360" w:lineRule="auto"/>
        <w:ind w:firstLine="720"/>
        <w:jc w:val="both"/>
        <w:rPr>
          <w:rFonts w:ascii="Arial" w:hAnsi="Arial" w:cs="Arial"/>
          <w:sz w:val="20"/>
          <w:szCs w:val="20"/>
        </w:rPr>
      </w:pPr>
      <w:r w:rsidRPr="0036639F">
        <w:rPr>
          <w:rFonts w:ascii="Arial" w:hAnsi="Arial" w:cs="Arial"/>
          <w:sz w:val="20"/>
          <w:szCs w:val="20"/>
        </w:rPr>
        <w:t>Poultry farming plays a vital role in the livelihood of rural communities in India, particularly through the rearing of native or desi chickens such as Aseel, which are valued for their adaptability, disease resistance and meat quality</w:t>
      </w:r>
      <w:r w:rsidR="00F71774" w:rsidRPr="0036639F">
        <w:rPr>
          <w:rFonts w:ascii="Arial" w:hAnsi="Arial" w:cs="Arial"/>
          <w:sz w:val="20"/>
          <w:szCs w:val="20"/>
        </w:rPr>
        <w:t xml:space="preserve"> (Murali and </w:t>
      </w:r>
      <w:proofErr w:type="spellStart"/>
      <w:r w:rsidR="00F71774" w:rsidRPr="0036639F">
        <w:rPr>
          <w:rFonts w:ascii="Arial" w:hAnsi="Arial" w:cs="Arial"/>
          <w:sz w:val="20"/>
          <w:szCs w:val="20"/>
        </w:rPr>
        <w:t>Vimalarani</w:t>
      </w:r>
      <w:proofErr w:type="spellEnd"/>
      <w:r w:rsidR="00F71774" w:rsidRPr="0036639F">
        <w:rPr>
          <w:rFonts w:ascii="Arial" w:hAnsi="Arial" w:cs="Arial"/>
          <w:sz w:val="20"/>
          <w:szCs w:val="20"/>
        </w:rPr>
        <w:t>, 2025)</w:t>
      </w:r>
      <w:r w:rsidRPr="0036639F">
        <w:rPr>
          <w:rFonts w:ascii="Arial" w:hAnsi="Arial" w:cs="Arial"/>
          <w:sz w:val="20"/>
          <w:szCs w:val="20"/>
        </w:rPr>
        <w:t>. However, the intensification of rearing practices in backyard and smallholder poultry systems</w:t>
      </w:r>
      <w:r w:rsidR="00171478" w:rsidRPr="0036639F">
        <w:rPr>
          <w:rFonts w:ascii="Arial" w:hAnsi="Arial" w:cs="Arial"/>
          <w:sz w:val="20"/>
          <w:szCs w:val="20"/>
        </w:rPr>
        <w:t xml:space="preserve"> </w:t>
      </w:r>
      <w:r w:rsidRPr="0036639F">
        <w:rPr>
          <w:rFonts w:ascii="Arial" w:hAnsi="Arial" w:cs="Arial"/>
          <w:sz w:val="20"/>
          <w:szCs w:val="20"/>
        </w:rPr>
        <w:t>without parallel implementation of scientific management and disease control practices</w:t>
      </w:r>
      <w:r w:rsidR="00171478" w:rsidRPr="0036639F">
        <w:rPr>
          <w:rFonts w:ascii="Arial" w:hAnsi="Arial" w:cs="Arial"/>
          <w:sz w:val="20"/>
          <w:szCs w:val="20"/>
        </w:rPr>
        <w:t xml:space="preserve"> </w:t>
      </w:r>
      <w:r w:rsidRPr="0036639F">
        <w:rPr>
          <w:rFonts w:ascii="Arial" w:hAnsi="Arial" w:cs="Arial"/>
          <w:sz w:val="20"/>
          <w:szCs w:val="20"/>
        </w:rPr>
        <w:t>has increased the vulnerability of these flocks to infectious diseases, particularly viral infections</w:t>
      </w:r>
      <w:r w:rsidR="0084646C">
        <w:rPr>
          <w:rFonts w:ascii="Arial" w:hAnsi="Arial" w:cs="Arial"/>
          <w:sz w:val="20"/>
          <w:szCs w:val="20"/>
        </w:rPr>
        <w:t>.</w:t>
      </w:r>
      <w:r w:rsidRPr="0036639F">
        <w:rPr>
          <w:rFonts w:ascii="Arial" w:hAnsi="Arial" w:cs="Arial"/>
          <w:sz w:val="20"/>
          <w:szCs w:val="20"/>
        </w:rPr>
        <w:t xml:space="preserve"> </w:t>
      </w:r>
    </w:p>
    <w:p w14:paraId="4C5E8810" w14:textId="3D4C5B52" w:rsidR="008E5AC6" w:rsidRPr="0036639F" w:rsidRDefault="008E5AC6"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One of the most economically important diseases affecting young chickens is Infectious Bursal Disease (IBD), also known as </w:t>
      </w:r>
      <w:proofErr w:type="spellStart"/>
      <w:r w:rsidRPr="0036639F">
        <w:rPr>
          <w:rFonts w:ascii="Arial" w:hAnsi="Arial" w:cs="Arial"/>
          <w:sz w:val="20"/>
          <w:szCs w:val="20"/>
        </w:rPr>
        <w:t>Gumboro</w:t>
      </w:r>
      <w:proofErr w:type="spellEnd"/>
      <w:r w:rsidRPr="0036639F">
        <w:rPr>
          <w:rFonts w:ascii="Arial" w:hAnsi="Arial" w:cs="Arial"/>
          <w:sz w:val="20"/>
          <w:szCs w:val="20"/>
        </w:rPr>
        <w:t xml:space="preserve"> disease. IBD is an acute, highly contagious, immunosuppressive disease that affects chickens primarily between the ages of 3 to 6 weeks, although outbreaks have also been recorded in slightly older birds under field conditions (</w:t>
      </w:r>
      <w:proofErr w:type="spellStart"/>
      <w:r w:rsidR="00EE3D6B" w:rsidRPr="004E6ABB">
        <w:rPr>
          <w:rFonts w:ascii="Arial" w:hAnsi="Arial" w:cs="Arial"/>
          <w:sz w:val="20"/>
          <w:szCs w:val="20"/>
        </w:rPr>
        <w:t>Chitradevi</w:t>
      </w:r>
      <w:proofErr w:type="spellEnd"/>
      <w:r w:rsidR="00EE3D6B">
        <w:rPr>
          <w:rFonts w:ascii="Arial" w:hAnsi="Arial" w:cs="Arial"/>
          <w:sz w:val="20"/>
          <w:szCs w:val="20"/>
        </w:rPr>
        <w:t>, 2022</w:t>
      </w:r>
      <w:r w:rsidRPr="0036639F">
        <w:rPr>
          <w:rFonts w:ascii="Arial" w:hAnsi="Arial" w:cs="Arial"/>
          <w:sz w:val="20"/>
          <w:szCs w:val="20"/>
        </w:rPr>
        <w:t xml:space="preserve">). The causative agent, Infectious Bursal Disease Virus (IBDV), belongs to the genus </w:t>
      </w:r>
      <w:proofErr w:type="spellStart"/>
      <w:r w:rsidRPr="0036639F">
        <w:rPr>
          <w:rFonts w:ascii="Arial" w:hAnsi="Arial" w:cs="Arial"/>
          <w:i/>
          <w:iCs/>
          <w:sz w:val="20"/>
          <w:szCs w:val="20"/>
        </w:rPr>
        <w:t>Avibirnavirus</w:t>
      </w:r>
      <w:proofErr w:type="spellEnd"/>
      <w:r w:rsidRPr="0036639F">
        <w:rPr>
          <w:rFonts w:ascii="Arial" w:hAnsi="Arial" w:cs="Arial"/>
          <w:sz w:val="20"/>
          <w:szCs w:val="20"/>
        </w:rPr>
        <w:t xml:space="preserve"> within the family </w:t>
      </w:r>
      <w:proofErr w:type="spellStart"/>
      <w:r w:rsidRPr="0036639F">
        <w:rPr>
          <w:rFonts w:ascii="Arial" w:hAnsi="Arial" w:cs="Arial"/>
          <w:i/>
          <w:iCs/>
          <w:sz w:val="20"/>
          <w:szCs w:val="20"/>
        </w:rPr>
        <w:t>Birnaviridae</w:t>
      </w:r>
      <w:proofErr w:type="spellEnd"/>
      <w:r w:rsidRPr="0036639F">
        <w:rPr>
          <w:rFonts w:ascii="Arial" w:hAnsi="Arial" w:cs="Arial"/>
          <w:sz w:val="20"/>
          <w:szCs w:val="20"/>
        </w:rPr>
        <w:t xml:space="preserve">. The virus is non-enveloped, double-stranded RNA and its primary target is the bursa of </w:t>
      </w:r>
      <w:proofErr w:type="spellStart"/>
      <w:r w:rsidRPr="0036639F">
        <w:rPr>
          <w:rFonts w:ascii="Arial" w:hAnsi="Arial" w:cs="Arial"/>
          <w:sz w:val="20"/>
          <w:szCs w:val="20"/>
        </w:rPr>
        <w:t>Fabricius</w:t>
      </w:r>
      <w:proofErr w:type="spellEnd"/>
      <w:r w:rsidRPr="0036639F">
        <w:rPr>
          <w:rFonts w:ascii="Arial" w:hAnsi="Arial" w:cs="Arial"/>
          <w:sz w:val="20"/>
          <w:szCs w:val="20"/>
        </w:rPr>
        <w:t xml:space="preserve">, a central </w:t>
      </w:r>
      <w:r w:rsidRPr="0036639F">
        <w:rPr>
          <w:rFonts w:ascii="Arial" w:hAnsi="Arial" w:cs="Arial"/>
          <w:sz w:val="20"/>
          <w:szCs w:val="20"/>
        </w:rPr>
        <w:lastRenderedPageBreak/>
        <w:t>organ in the development of the chicken’s humoral immune system (Van den Berg, 2000</w:t>
      </w:r>
      <w:r w:rsidR="00747EED" w:rsidRPr="0036639F">
        <w:rPr>
          <w:rFonts w:ascii="Arial" w:hAnsi="Arial" w:cs="Arial"/>
          <w:sz w:val="20"/>
          <w:szCs w:val="20"/>
        </w:rPr>
        <w:t xml:space="preserve"> and </w:t>
      </w:r>
      <w:r w:rsidRPr="0036639F">
        <w:rPr>
          <w:rFonts w:ascii="Arial" w:hAnsi="Arial" w:cs="Arial"/>
          <w:sz w:val="20"/>
          <w:szCs w:val="20"/>
        </w:rPr>
        <w:t>M</w:t>
      </w:r>
      <w:r w:rsidR="00171478" w:rsidRPr="0036639F">
        <w:rPr>
          <w:rFonts w:ascii="Arial" w:hAnsi="Arial" w:cs="Arial"/>
          <w:sz w:val="20"/>
          <w:szCs w:val="20"/>
        </w:rPr>
        <w:t>u</w:t>
      </w:r>
      <w:r w:rsidRPr="0036639F">
        <w:rPr>
          <w:rFonts w:ascii="Arial" w:hAnsi="Arial" w:cs="Arial"/>
          <w:sz w:val="20"/>
          <w:szCs w:val="20"/>
        </w:rPr>
        <w:t xml:space="preserve">ller </w:t>
      </w:r>
      <w:r w:rsidR="00171478" w:rsidRPr="0036639F">
        <w:rPr>
          <w:rFonts w:ascii="Arial" w:hAnsi="Arial" w:cs="Arial"/>
          <w:i/>
          <w:iCs/>
          <w:sz w:val="20"/>
          <w:szCs w:val="20"/>
        </w:rPr>
        <w:t>et al</w:t>
      </w:r>
      <w:r w:rsidRPr="0036639F">
        <w:rPr>
          <w:rFonts w:ascii="Arial" w:hAnsi="Arial" w:cs="Arial"/>
          <w:sz w:val="20"/>
          <w:szCs w:val="20"/>
        </w:rPr>
        <w:t>., 2003).</w:t>
      </w:r>
    </w:p>
    <w:p w14:paraId="6196ABFF" w14:textId="5030D1F1" w:rsidR="008E5AC6" w:rsidRPr="0036639F" w:rsidRDefault="008E5AC6"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The infection leads to severe lymphoid depletion, </w:t>
      </w:r>
      <w:proofErr w:type="spellStart"/>
      <w:r w:rsidRPr="0036639F">
        <w:rPr>
          <w:rFonts w:ascii="Arial" w:hAnsi="Arial" w:cs="Arial"/>
          <w:sz w:val="20"/>
          <w:szCs w:val="20"/>
        </w:rPr>
        <w:t>edema</w:t>
      </w:r>
      <w:proofErr w:type="spellEnd"/>
      <w:r w:rsidR="00171478" w:rsidRPr="0036639F">
        <w:rPr>
          <w:rFonts w:ascii="Arial" w:hAnsi="Arial" w:cs="Arial"/>
          <w:sz w:val="20"/>
          <w:szCs w:val="20"/>
        </w:rPr>
        <w:t xml:space="preserve"> </w:t>
      </w:r>
      <w:r w:rsidRPr="0036639F">
        <w:rPr>
          <w:rFonts w:ascii="Arial" w:hAnsi="Arial" w:cs="Arial"/>
          <w:sz w:val="20"/>
          <w:szCs w:val="20"/>
        </w:rPr>
        <w:t xml:space="preserve">and </w:t>
      </w:r>
      <w:proofErr w:type="spellStart"/>
      <w:r w:rsidRPr="0036639F">
        <w:rPr>
          <w:rFonts w:ascii="Arial" w:hAnsi="Arial" w:cs="Arial"/>
          <w:sz w:val="20"/>
          <w:szCs w:val="20"/>
        </w:rPr>
        <w:t>hemorrhage</w:t>
      </w:r>
      <w:proofErr w:type="spellEnd"/>
      <w:r w:rsidRPr="0036639F">
        <w:rPr>
          <w:rFonts w:ascii="Arial" w:hAnsi="Arial" w:cs="Arial"/>
          <w:sz w:val="20"/>
          <w:szCs w:val="20"/>
        </w:rPr>
        <w:t xml:space="preserve"> in the bursa, resulting in profound immunosuppression that predisposes affected birds to secondary bacterial, viral</w:t>
      </w:r>
      <w:r w:rsidR="00171478" w:rsidRPr="0036639F">
        <w:rPr>
          <w:rFonts w:ascii="Arial" w:hAnsi="Arial" w:cs="Arial"/>
          <w:sz w:val="20"/>
          <w:szCs w:val="20"/>
        </w:rPr>
        <w:t xml:space="preserve"> </w:t>
      </w:r>
      <w:r w:rsidRPr="0036639F">
        <w:rPr>
          <w:rFonts w:ascii="Arial" w:hAnsi="Arial" w:cs="Arial"/>
          <w:sz w:val="20"/>
          <w:szCs w:val="20"/>
        </w:rPr>
        <w:t>and parasitic infections (</w:t>
      </w:r>
      <w:proofErr w:type="spellStart"/>
      <w:r w:rsidRPr="0036639F">
        <w:rPr>
          <w:rFonts w:ascii="Arial" w:hAnsi="Arial" w:cs="Arial"/>
          <w:sz w:val="20"/>
          <w:szCs w:val="20"/>
        </w:rPr>
        <w:t>Chettle</w:t>
      </w:r>
      <w:proofErr w:type="spellEnd"/>
      <w:r w:rsidRPr="0036639F">
        <w:rPr>
          <w:rFonts w:ascii="Arial" w:hAnsi="Arial" w:cs="Arial"/>
          <w:sz w:val="20"/>
          <w:szCs w:val="20"/>
        </w:rPr>
        <w:t xml:space="preserve"> </w:t>
      </w:r>
      <w:r w:rsidR="00171478" w:rsidRPr="0036639F">
        <w:rPr>
          <w:rFonts w:ascii="Arial" w:hAnsi="Arial" w:cs="Arial"/>
          <w:i/>
          <w:iCs/>
          <w:sz w:val="20"/>
          <w:szCs w:val="20"/>
        </w:rPr>
        <w:t>et al</w:t>
      </w:r>
      <w:r w:rsidRPr="0036639F">
        <w:rPr>
          <w:rFonts w:ascii="Arial" w:hAnsi="Arial" w:cs="Arial"/>
          <w:sz w:val="20"/>
          <w:szCs w:val="20"/>
        </w:rPr>
        <w:t>., 19</w:t>
      </w:r>
      <w:r w:rsidR="00E66AE2">
        <w:rPr>
          <w:rFonts w:ascii="Arial" w:hAnsi="Arial" w:cs="Arial"/>
          <w:sz w:val="20"/>
          <w:szCs w:val="20"/>
        </w:rPr>
        <w:t>89</w:t>
      </w:r>
      <w:r w:rsidRPr="0036639F">
        <w:rPr>
          <w:rFonts w:ascii="Arial" w:hAnsi="Arial" w:cs="Arial"/>
          <w:sz w:val="20"/>
          <w:szCs w:val="20"/>
        </w:rPr>
        <w:t xml:space="preserve">). This immunosuppressive effect also compromises the efficacy of vaccination against other pathogens such as Newcastle disease, infectious bronchitis and Marek’s disease, resulting in compounded losses (Sharma </w:t>
      </w:r>
      <w:r w:rsidR="00171478" w:rsidRPr="0036639F">
        <w:rPr>
          <w:rFonts w:ascii="Arial" w:hAnsi="Arial" w:cs="Arial"/>
          <w:i/>
          <w:iCs/>
          <w:sz w:val="20"/>
          <w:szCs w:val="20"/>
        </w:rPr>
        <w:t>et al</w:t>
      </w:r>
      <w:r w:rsidRPr="0036639F">
        <w:rPr>
          <w:rFonts w:ascii="Arial" w:hAnsi="Arial" w:cs="Arial"/>
          <w:sz w:val="20"/>
          <w:szCs w:val="20"/>
        </w:rPr>
        <w:t xml:space="preserve">., 2000; </w:t>
      </w:r>
      <w:proofErr w:type="spellStart"/>
      <w:r w:rsidRPr="0036639F">
        <w:rPr>
          <w:rFonts w:ascii="Arial" w:hAnsi="Arial" w:cs="Arial"/>
          <w:sz w:val="20"/>
          <w:szCs w:val="20"/>
        </w:rPr>
        <w:t>Eterradossi</w:t>
      </w:r>
      <w:proofErr w:type="spellEnd"/>
      <w:r w:rsidRPr="0036639F">
        <w:rPr>
          <w:rFonts w:ascii="Arial" w:hAnsi="Arial" w:cs="Arial"/>
          <w:sz w:val="20"/>
          <w:szCs w:val="20"/>
        </w:rPr>
        <w:t xml:space="preserve"> </w:t>
      </w:r>
      <w:r w:rsidR="00171478" w:rsidRPr="0036639F">
        <w:rPr>
          <w:rFonts w:ascii="Arial" w:hAnsi="Arial" w:cs="Arial"/>
          <w:sz w:val="20"/>
          <w:szCs w:val="20"/>
        </w:rPr>
        <w:t>and</w:t>
      </w:r>
      <w:r w:rsidRPr="0036639F">
        <w:rPr>
          <w:rFonts w:ascii="Arial" w:hAnsi="Arial" w:cs="Arial"/>
          <w:sz w:val="20"/>
          <w:szCs w:val="20"/>
        </w:rPr>
        <w:t xml:space="preserve"> </w:t>
      </w:r>
      <w:proofErr w:type="spellStart"/>
      <w:r w:rsidRPr="0036639F">
        <w:rPr>
          <w:rFonts w:ascii="Arial" w:hAnsi="Arial" w:cs="Arial"/>
          <w:sz w:val="20"/>
          <w:szCs w:val="20"/>
        </w:rPr>
        <w:t>Saif</w:t>
      </w:r>
      <w:proofErr w:type="spellEnd"/>
      <w:r w:rsidRPr="0036639F">
        <w:rPr>
          <w:rFonts w:ascii="Arial" w:hAnsi="Arial" w:cs="Arial"/>
          <w:sz w:val="20"/>
          <w:szCs w:val="20"/>
        </w:rPr>
        <w:t>, 20</w:t>
      </w:r>
      <w:r w:rsidR="00E66AE2">
        <w:rPr>
          <w:rFonts w:ascii="Arial" w:hAnsi="Arial" w:cs="Arial"/>
          <w:sz w:val="20"/>
          <w:szCs w:val="20"/>
        </w:rPr>
        <w:t>19</w:t>
      </w:r>
      <w:r w:rsidRPr="0036639F">
        <w:rPr>
          <w:rFonts w:ascii="Arial" w:hAnsi="Arial" w:cs="Arial"/>
          <w:sz w:val="20"/>
          <w:szCs w:val="20"/>
        </w:rPr>
        <w:t>).</w:t>
      </w:r>
    </w:p>
    <w:p w14:paraId="6C513BD6" w14:textId="62D661AB" w:rsidR="008E5AC6" w:rsidRPr="0036639F" w:rsidRDefault="008E5AC6"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IBD is primarily transmitted by the </w:t>
      </w:r>
      <w:r w:rsidR="00747EED" w:rsidRPr="0036639F">
        <w:rPr>
          <w:rFonts w:ascii="Arial" w:hAnsi="Arial" w:cs="Arial"/>
          <w:sz w:val="20"/>
          <w:szCs w:val="20"/>
        </w:rPr>
        <w:t>faecal</w:t>
      </w:r>
      <w:r w:rsidRPr="0036639F">
        <w:rPr>
          <w:rFonts w:ascii="Arial" w:hAnsi="Arial" w:cs="Arial"/>
          <w:sz w:val="20"/>
          <w:szCs w:val="20"/>
        </w:rPr>
        <w:t>-oral route, and the virus is extremely resistant to environmental conditions, surviving for long periods in contaminated litter, feed, water and fomites. This environmental persistence, along with its short incubation period and rapid spread, contributes to explosive outbreaks in susceptible populations (</w:t>
      </w:r>
      <w:r w:rsidR="002A5FE8">
        <w:rPr>
          <w:rFonts w:ascii="Arial" w:hAnsi="Arial" w:cs="Arial"/>
          <w:sz w:val="20"/>
          <w:szCs w:val="20"/>
        </w:rPr>
        <w:t>Girish</w:t>
      </w:r>
      <w:r w:rsidRPr="0036639F">
        <w:rPr>
          <w:rFonts w:ascii="Arial" w:hAnsi="Arial" w:cs="Arial"/>
          <w:sz w:val="20"/>
          <w:szCs w:val="20"/>
        </w:rPr>
        <w:t xml:space="preserve"> </w:t>
      </w:r>
      <w:r w:rsidR="00171478" w:rsidRPr="002A5FE8">
        <w:rPr>
          <w:rFonts w:ascii="Arial" w:hAnsi="Arial" w:cs="Arial"/>
          <w:i/>
          <w:iCs/>
          <w:sz w:val="20"/>
          <w:szCs w:val="20"/>
        </w:rPr>
        <w:t>et al</w:t>
      </w:r>
      <w:r w:rsidRPr="0036639F">
        <w:rPr>
          <w:rFonts w:ascii="Arial" w:hAnsi="Arial" w:cs="Arial"/>
          <w:sz w:val="20"/>
          <w:szCs w:val="20"/>
        </w:rPr>
        <w:t xml:space="preserve">., </w:t>
      </w:r>
      <w:r w:rsidR="002A5FE8">
        <w:rPr>
          <w:rFonts w:ascii="Arial" w:hAnsi="Arial" w:cs="Arial"/>
          <w:sz w:val="20"/>
          <w:szCs w:val="20"/>
        </w:rPr>
        <w:t>2025</w:t>
      </w:r>
      <w:r w:rsidRPr="0036639F">
        <w:rPr>
          <w:rFonts w:ascii="Arial" w:hAnsi="Arial" w:cs="Arial"/>
          <w:sz w:val="20"/>
          <w:szCs w:val="20"/>
        </w:rPr>
        <w:t>). Mortality rates can range from 10% to over 80%, depending on factors such as the virulence of the strain, the age and breed of the birds, and the presence or absence of maternal or vaccine-derived antibodies (</w:t>
      </w:r>
      <w:proofErr w:type="spellStart"/>
      <w:r w:rsidRPr="0036639F">
        <w:rPr>
          <w:rFonts w:ascii="Arial" w:hAnsi="Arial" w:cs="Arial"/>
          <w:sz w:val="20"/>
          <w:szCs w:val="20"/>
        </w:rPr>
        <w:t>Skeeles</w:t>
      </w:r>
      <w:proofErr w:type="spellEnd"/>
      <w:r w:rsidRPr="0036639F">
        <w:rPr>
          <w:rFonts w:ascii="Arial" w:hAnsi="Arial" w:cs="Arial"/>
          <w:sz w:val="20"/>
          <w:szCs w:val="20"/>
        </w:rPr>
        <w:t xml:space="preserve"> </w:t>
      </w:r>
      <w:r w:rsidR="00171478" w:rsidRPr="0036639F">
        <w:rPr>
          <w:rFonts w:ascii="Arial" w:hAnsi="Arial" w:cs="Arial"/>
          <w:sz w:val="20"/>
          <w:szCs w:val="20"/>
        </w:rPr>
        <w:t>and</w:t>
      </w:r>
      <w:r w:rsidRPr="0036639F">
        <w:rPr>
          <w:rFonts w:ascii="Arial" w:hAnsi="Arial" w:cs="Arial"/>
          <w:sz w:val="20"/>
          <w:szCs w:val="20"/>
        </w:rPr>
        <w:t xml:space="preserve"> </w:t>
      </w:r>
      <w:proofErr w:type="spellStart"/>
      <w:r w:rsidRPr="0036639F">
        <w:rPr>
          <w:rFonts w:ascii="Arial" w:hAnsi="Arial" w:cs="Arial"/>
          <w:sz w:val="20"/>
          <w:szCs w:val="20"/>
        </w:rPr>
        <w:t>Lukert</w:t>
      </w:r>
      <w:proofErr w:type="spellEnd"/>
      <w:r w:rsidRPr="0036639F">
        <w:rPr>
          <w:rFonts w:ascii="Arial" w:hAnsi="Arial" w:cs="Arial"/>
          <w:sz w:val="20"/>
          <w:szCs w:val="20"/>
        </w:rPr>
        <w:t>, 1997).</w:t>
      </w:r>
    </w:p>
    <w:p w14:paraId="037177A8" w14:textId="3C534D22" w:rsidR="008E5AC6" w:rsidRPr="0036639F" w:rsidRDefault="008E5AC6"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Although commercial poultry operations have established vaccination protocols and biosecurity measures to control IBD, these are often lacking in backyard systems, especially among small-scale native poultry farmers. Native chicken breeds are often perceived as being more resistant to disease; however, recent reports indicate that without proper vaccination and hygiene, even these hardy breeds are susceptible to IBD outbreaks, resulting in significant economic losses and food insecurity at the household level (Sharma </w:t>
      </w:r>
      <w:r w:rsidR="00171478" w:rsidRPr="0036639F">
        <w:rPr>
          <w:rFonts w:ascii="Arial" w:hAnsi="Arial" w:cs="Arial"/>
          <w:i/>
          <w:iCs/>
          <w:sz w:val="20"/>
          <w:szCs w:val="20"/>
        </w:rPr>
        <w:t>et al</w:t>
      </w:r>
      <w:r w:rsidRPr="0036639F">
        <w:rPr>
          <w:rFonts w:ascii="Arial" w:hAnsi="Arial" w:cs="Arial"/>
          <w:sz w:val="20"/>
          <w:szCs w:val="20"/>
        </w:rPr>
        <w:t>., 2017).</w:t>
      </w:r>
    </w:p>
    <w:p w14:paraId="330825B3" w14:textId="7B8A5266" w:rsidR="008E5AC6" w:rsidRPr="0036639F" w:rsidRDefault="008E5AC6" w:rsidP="007952EF">
      <w:pPr>
        <w:spacing w:after="0" w:line="360" w:lineRule="auto"/>
        <w:ind w:firstLine="720"/>
        <w:jc w:val="both"/>
        <w:rPr>
          <w:rFonts w:ascii="Arial" w:hAnsi="Arial" w:cs="Arial"/>
          <w:sz w:val="20"/>
          <w:szCs w:val="20"/>
        </w:rPr>
      </w:pPr>
      <w:r w:rsidRPr="0036639F">
        <w:rPr>
          <w:rFonts w:ascii="Arial" w:hAnsi="Arial" w:cs="Arial"/>
          <w:sz w:val="20"/>
          <w:szCs w:val="20"/>
        </w:rPr>
        <w:t>The Aseel breed, in particular, while prized for its hardiness and performance under extensive systems, is not immune to IBD, especially when kept in larger numbers and under semi-</w:t>
      </w:r>
      <w:r w:rsidR="009B016F" w:rsidRPr="0036639F">
        <w:rPr>
          <w:rFonts w:ascii="Arial" w:hAnsi="Arial" w:cs="Arial"/>
          <w:sz w:val="20"/>
          <w:szCs w:val="20"/>
        </w:rPr>
        <w:t>intensive or</w:t>
      </w:r>
      <w:r w:rsidR="008303FE" w:rsidRPr="0036639F">
        <w:rPr>
          <w:rFonts w:ascii="Arial" w:hAnsi="Arial" w:cs="Arial"/>
          <w:sz w:val="20"/>
          <w:szCs w:val="20"/>
        </w:rPr>
        <w:t xml:space="preserve"> intensive </w:t>
      </w:r>
      <w:r w:rsidRPr="0036639F">
        <w:rPr>
          <w:rFonts w:ascii="Arial" w:hAnsi="Arial" w:cs="Arial"/>
          <w:sz w:val="20"/>
          <w:szCs w:val="20"/>
        </w:rPr>
        <w:t>conditions without proper health interventions. In this context, it becomes crucial to document disease outbreaks, diagnostic methods</w:t>
      </w:r>
      <w:r w:rsidR="00747EED" w:rsidRPr="0036639F">
        <w:rPr>
          <w:rFonts w:ascii="Arial" w:hAnsi="Arial" w:cs="Arial"/>
          <w:sz w:val="20"/>
          <w:szCs w:val="20"/>
        </w:rPr>
        <w:t xml:space="preserve"> </w:t>
      </w:r>
      <w:r w:rsidRPr="0036639F">
        <w:rPr>
          <w:rFonts w:ascii="Arial" w:hAnsi="Arial" w:cs="Arial"/>
          <w:sz w:val="20"/>
          <w:szCs w:val="20"/>
        </w:rPr>
        <w:t>and effective treatment and control strategies in native breeds under field conditions.</w:t>
      </w:r>
    </w:p>
    <w:p w14:paraId="5A9B0A4F" w14:textId="073A36F2" w:rsidR="008E5AC6" w:rsidRPr="0036639F" w:rsidRDefault="008E5AC6"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The present study reports a field outbreak of IBD in </w:t>
      </w:r>
      <w:proofErr w:type="gramStart"/>
      <w:r w:rsidRPr="0036639F">
        <w:rPr>
          <w:rFonts w:ascii="Arial" w:hAnsi="Arial" w:cs="Arial"/>
          <w:sz w:val="20"/>
          <w:szCs w:val="20"/>
        </w:rPr>
        <w:t>a</w:t>
      </w:r>
      <w:proofErr w:type="gramEnd"/>
      <w:r w:rsidRPr="0036639F">
        <w:rPr>
          <w:rFonts w:ascii="Arial" w:hAnsi="Arial" w:cs="Arial"/>
          <w:sz w:val="20"/>
          <w:szCs w:val="20"/>
        </w:rPr>
        <w:t xml:space="preserve"> Aseel chicken farm located in </w:t>
      </w:r>
      <w:proofErr w:type="spellStart"/>
      <w:r w:rsidRPr="0036639F">
        <w:rPr>
          <w:rFonts w:ascii="Arial" w:hAnsi="Arial" w:cs="Arial"/>
          <w:sz w:val="20"/>
          <w:szCs w:val="20"/>
        </w:rPr>
        <w:t>Periyakangangkuppam</w:t>
      </w:r>
      <w:proofErr w:type="spellEnd"/>
      <w:r w:rsidRPr="0036639F">
        <w:rPr>
          <w:rFonts w:ascii="Arial" w:hAnsi="Arial" w:cs="Arial"/>
          <w:sz w:val="20"/>
          <w:szCs w:val="20"/>
        </w:rPr>
        <w:t xml:space="preserve"> village, </w:t>
      </w:r>
      <w:proofErr w:type="spellStart"/>
      <w:r w:rsidRPr="0036639F">
        <w:rPr>
          <w:rFonts w:ascii="Arial" w:hAnsi="Arial" w:cs="Arial"/>
          <w:sz w:val="20"/>
          <w:szCs w:val="20"/>
        </w:rPr>
        <w:t>Cuddalore</w:t>
      </w:r>
      <w:proofErr w:type="spellEnd"/>
      <w:r w:rsidRPr="0036639F">
        <w:rPr>
          <w:rFonts w:ascii="Arial" w:hAnsi="Arial" w:cs="Arial"/>
          <w:sz w:val="20"/>
          <w:szCs w:val="20"/>
        </w:rPr>
        <w:t xml:space="preserve"> district, Tamil Nadu. The study provides insights into the epidemiological characteristics, clinical signs, gross</w:t>
      </w:r>
      <w:r w:rsidR="009758BB">
        <w:rPr>
          <w:rFonts w:ascii="Arial" w:hAnsi="Arial" w:cs="Arial"/>
          <w:sz w:val="20"/>
          <w:szCs w:val="20"/>
        </w:rPr>
        <w:t xml:space="preserve"> </w:t>
      </w:r>
      <w:r w:rsidRPr="0036639F">
        <w:rPr>
          <w:rFonts w:ascii="Arial" w:hAnsi="Arial" w:cs="Arial"/>
          <w:sz w:val="20"/>
          <w:szCs w:val="20"/>
        </w:rPr>
        <w:t>lesions, diagnostic confirmation</w:t>
      </w:r>
      <w:r w:rsidR="00747EED" w:rsidRPr="0036639F">
        <w:rPr>
          <w:rFonts w:ascii="Arial" w:hAnsi="Arial" w:cs="Arial"/>
          <w:sz w:val="20"/>
          <w:szCs w:val="20"/>
        </w:rPr>
        <w:t xml:space="preserve"> </w:t>
      </w:r>
      <w:r w:rsidRPr="0036639F">
        <w:rPr>
          <w:rFonts w:ascii="Arial" w:hAnsi="Arial" w:cs="Arial"/>
          <w:sz w:val="20"/>
          <w:szCs w:val="20"/>
        </w:rPr>
        <w:t>and treatment and disinfection strategies undertaken. This case study aims to underscore the need for improved disease surveillance, vaccination coverage and biosecurity practices in backyard poultry systems involving native breeds.</w:t>
      </w:r>
    </w:p>
    <w:p w14:paraId="7F52B6FC" w14:textId="14D22288" w:rsidR="005C3060" w:rsidRPr="0036639F" w:rsidRDefault="00D814B3" w:rsidP="007952EF">
      <w:pPr>
        <w:spacing w:after="0" w:line="360" w:lineRule="auto"/>
        <w:jc w:val="both"/>
        <w:rPr>
          <w:rFonts w:ascii="Arial" w:hAnsi="Arial" w:cs="Arial"/>
          <w:b/>
          <w:bCs/>
          <w:sz w:val="22"/>
          <w:szCs w:val="22"/>
        </w:rPr>
      </w:pPr>
      <w:r w:rsidRPr="0036639F">
        <w:rPr>
          <w:rFonts w:ascii="Arial" w:hAnsi="Arial" w:cs="Arial"/>
          <w:b/>
          <w:bCs/>
          <w:sz w:val="22"/>
          <w:szCs w:val="22"/>
        </w:rPr>
        <w:t>2.</w:t>
      </w:r>
      <w:r w:rsidR="005E6CBC" w:rsidRPr="0036639F">
        <w:rPr>
          <w:rFonts w:ascii="Arial" w:hAnsi="Arial" w:cs="Arial"/>
          <w:b/>
          <w:bCs/>
          <w:sz w:val="22"/>
          <w:szCs w:val="22"/>
        </w:rPr>
        <w:t xml:space="preserve">1 </w:t>
      </w:r>
      <w:r w:rsidR="005C3060" w:rsidRPr="0036639F">
        <w:rPr>
          <w:rFonts w:ascii="Arial" w:hAnsi="Arial" w:cs="Arial"/>
          <w:b/>
          <w:bCs/>
          <w:sz w:val="22"/>
          <w:szCs w:val="22"/>
        </w:rPr>
        <w:t>Farm Description and Data Collection</w:t>
      </w:r>
    </w:p>
    <w:p w14:paraId="5B8FFB73" w14:textId="149431D3" w:rsidR="00845D01" w:rsidRPr="0036639F" w:rsidRDefault="00845D01"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A field investigation was conducted at a poultry farm located in </w:t>
      </w:r>
      <w:proofErr w:type="spellStart"/>
      <w:r w:rsidRPr="0036639F">
        <w:rPr>
          <w:rFonts w:ascii="Arial" w:hAnsi="Arial" w:cs="Arial"/>
          <w:sz w:val="20"/>
          <w:szCs w:val="20"/>
        </w:rPr>
        <w:t>Periyakangangkuppam</w:t>
      </w:r>
      <w:proofErr w:type="spellEnd"/>
      <w:r w:rsidRPr="0036639F">
        <w:rPr>
          <w:rFonts w:ascii="Arial" w:hAnsi="Arial" w:cs="Arial"/>
          <w:sz w:val="20"/>
          <w:szCs w:val="20"/>
        </w:rPr>
        <w:t xml:space="preserve">, </w:t>
      </w:r>
      <w:proofErr w:type="spellStart"/>
      <w:r w:rsidRPr="0036639F">
        <w:rPr>
          <w:rFonts w:ascii="Arial" w:hAnsi="Arial" w:cs="Arial"/>
          <w:sz w:val="20"/>
          <w:szCs w:val="20"/>
        </w:rPr>
        <w:t>Cuddalore</w:t>
      </w:r>
      <w:proofErr w:type="spellEnd"/>
      <w:r w:rsidRPr="0036639F">
        <w:rPr>
          <w:rFonts w:ascii="Arial" w:hAnsi="Arial" w:cs="Arial"/>
          <w:sz w:val="20"/>
          <w:szCs w:val="20"/>
        </w:rPr>
        <w:t xml:space="preserve"> district, Tamil Nadu. The flock consisted of 800 Aseel chickens, eight weeks of age, managed under a system involving daytime scavenging and </w:t>
      </w:r>
      <w:proofErr w:type="spellStart"/>
      <w:r w:rsidRPr="0036639F">
        <w:rPr>
          <w:rFonts w:ascii="Arial" w:hAnsi="Arial" w:cs="Arial"/>
          <w:sz w:val="20"/>
          <w:szCs w:val="20"/>
        </w:rPr>
        <w:t>nighttime</w:t>
      </w:r>
      <w:proofErr w:type="spellEnd"/>
      <w:r w:rsidRPr="0036639F">
        <w:rPr>
          <w:rFonts w:ascii="Arial" w:hAnsi="Arial" w:cs="Arial"/>
          <w:sz w:val="20"/>
          <w:szCs w:val="20"/>
        </w:rPr>
        <w:t xml:space="preserve"> housing in shelters. Farm</w:t>
      </w:r>
      <w:r w:rsidR="00171478" w:rsidRPr="0036639F">
        <w:rPr>
          <w:rFonts w:ascii="Arial" w:hAnsi="Arial" w:cs="Arial"/>
          <w:sz w:val="20"/>
          <w:szCs w:val="20"/>
        </w:rPr>
        <w:t xml:space="preserve"> </w:t>
      </w:r>
      <w:r w:rsidRPr="0036639F">
        <w:rPr>
          <w:rFonts w:ascii="Arial" w:hAnsi="Arial" w:cs="Arial"/>
          <w:sz w:val="20"/>
          <w:szCs w:val="20"/>
        </w:rPr>
        <w:t xml:space="preserve">level data were collected through structured interviews with the owner and direct on-site observations. Parameters recorded included flock composition, source and age of chicks, feeding and watering practices, housing infrastructure, recent management changes, disease occurrence and vaccination history. The farm had no prior vaccination </w:t>
      </w:r>
      <w:r w:rsidRPr="0036639F">
        <w:rPr>
          <w:rFonts w:ascii="Arial" w:hAnsi="Arial" w:cs="Arial"/>
          <w:sz w:val="20"/>
          <w:szCs w:val="20"/>
        </w:rPr>
        <w:lastRenderedPageBreak/>
        <w:t>records, including against Infectious Bursal Disease and lacked implementation of standard biosecurity measures.</w:t>
      </w:r>
    </w:p>
    <w:p w14:paraId="2AA67A86" w14:textId="7280BFC3" w:rsidR="00EE4662" w:rsidRPr="0036639F" w:rsidRDefault="005E6CBC" w:rsidP="007952EF">
      <w:pPr>
        <w:spacing w:after="0" w:line="360" w:lineRule="auto"/>
        <w:jc w:val="both"/>
        <w:rPr>
          <w:rFonts w:ascii="Arial" w:hAnsi="Arial" w:cs="Arial"/>
          <w:b/>
          <w:bCs/>
          <w:sz w:val="22"/>
          <w:szCs w:val="22"/>
        </w:rPr>
      </w:pPr>
      <w:r w:rsidRPr="0036639F">
        <w:rPr>
          <w:rFonts w:ascii="Arial" w:hAnsi="Arial" w:cs="Arial"/>
          <w:b/>
          <w:bCs/>
          <w:sz w:val="22"/>
          <w:szCs w:val="22"/>
        </w:rPr>
        <w:t xml:space="preserve">2.2 </w:t>
      </w:r>
      <w:r w:rsidR="00EE4662" w:rsidRPr="0036639F">
        <w:rPr>
          <w:rFonts w:ascii="Arial" w:hAnsi="Arial" w:cs="Arial"/>
          <w:b/>
          <w:bCs/>
          <w:sz w:val="22"/>
          <w:szCs w:val="22"/>
        </w:rPr>
        <w:t>Clinical Examination and Mortality Assessment</w:t>
      </w:r>
    </w:p>
    <w:p w14:paraId="4FB738CD" w14:textId="299A0557" w:rsidR="00EE4662" w:rsidRPr="0036639F" w:rsidRDefault="00EE4662"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Affected birds were clinically evaluated to document the pattern and progression of disease manifestation. Assessments were carried out twice daily, with emphasis on </w:t>
      </w:r>
      <w:r w:rsidR="00171478" w:rsidRPr="0036639F">
        <w:rPr>
          <w:rFonts w:ascii="Arial" w:hAnsi="Arial" w:cs="Arial"/>
          <w:sz w:val="20"/>
          <w:szCs w:val="20"/>
        </w:rPr>
        <w:t>behavioural</w:t>
      </w:r>
      <w:r w:rsidRPr="0036639F">
        <w:rPr>
          <w:rFonts w:ascii="Arial" w:hAnsi="Arial" w:cs="Arial"/>
          <w:sz w:val="20"/>
          <w:szCs w:val="20"/>
        </w:rPr>
        <w:t xml:space="preserve"> changes, feed and water intake, droppings consistency, posture and locomotor activity. Prominent clinical signs included severe depression, anorexia, ruffled feathers, profuse watery diarrhoea and shivering. In most cases, clinical onset was acute, with birds deteriorating rapidly and dying within 24 to 72 hours of symptom onset. No external injuries or localized lesions were observed and supportive management had minimal effect on clinical outcomes.</w:t>
      </w:r>
    </w:p>
    <w:p w14:paraId="430AED4F" w14:textId="515EE7DE" w:rsidR="00EE4662" w:rsidRPr="0036639F" w:rsidRDefault="00EE4662" w:rsidP="007952EF">
      <w:pPr>
        <w:spacing w:after="0" w:line="360" w:lineRule="auto"/>
        <w:ind w:firstLine="720"/>
        <w:jc w:val="both"/>
        <w:rPr>
          <w:rFonts w:ascii="Arial" w:hAnsi="Arial" w:cs="Arial"/>
          <w:sz w:val="20"/>
          <w:szCs w:val="20"/>
        </w:rPr>
      </w:pPr>
      <w:r w:rsidRPr="0036639F">
        <w:rPr>
          <w:rFonts w:ascii="Arial" w:hAnsi="Arial" w:cs="Arial"/>
          <w:sz w:val="20"/>
          <w:szCs w:val="20"/>
        </w:rPr>
        <w:t>Mortality data were recorded daily to assess the outbreak dynamics. A sudden spike in mortality was observed, with 42 deaths reported on the first day of clinical detection and a cumulative total of 169 deaths by the third day. The rapid progression, high case fatality</w:t>
      </w:r>
      <w:r w:rsidR="00054881" w:rsidRPr="0036639F">
        <w:rPr>
          <w:rFonts w:ascii="Arial" w:hAnsi="Arial" w:cs="Arial"/>
          <w:sz w:val="20"/>
          <w:szCs w:val="20"/>
        </w:rPr>
        <w:t xml:space="preserve"> </w:t>
      </w:r>
      <w:r w:rsidRPr="0036639F">
        <w:rPr>
          <w:rFonts w:ascii="Arial" w:hAnsi="Arial" w:cs="Arial"/>
          <w:sz w:val="20"/>
          <w:szCs w:val="20"/>
        </w:rPr>
        <w:t>and uniformity of clinical signs were suggestive of an acute, highly contagious disease. Continuous monitoring of clinical signs and mortality patterns was undertaken to facilitate presumptive diagnosis and determine the need for confirmatory laboratory testing.</w:t>
      </w:r>
    </w:p>
    <w:p w14:paraId="0526161E" w14:textId="3C43A0F6" w:rsidR="00EE4662" w:rsidRPr="00F94982" w:rsidRDefault="005E6CBC" w:rsidP="007952EF">
      <w:pPr>
        <w:spacing w:after="0" w:line="360" w:lineRule="auto"/>
        <w:jc w:val="both"/>
        <w:rPr>
          <w:rFonts w:ascii="Arial" w:hAnsi="Arial" w:cs="Arial"/>
          <w:b/>
          <w:bCs/>
          <w:sz w:val="22"/>
          <w:szCs w:val="22"/>
        </w:rPr>
      </w:pPr>
      <w:r w:rsidRPr="00F94982">
        <w:rPr>
          <w:rFonts w:ascii="Arial" w:hAnsi="Arial" w:cs="Arial"/>
          <w:b/>
          <w:bCs/>
          <w:sz w:val="22"/>
          <w:szCs w:val="22"/>
        </w:rPr>
        <w:t xml:space="preserve">2.3 </w:t>
      </w:r>
      <w:proofErr w:type="spellStart"/>
      <w:r w:rsidR="00EE4662" w:rsidRPr="00F94982">
        <w:rPr>
          <w:rFonts w:ascii="Arial" w:hAnsi="Arial" w:cs="Arial"/>
          <w:b/>
          <w:bCs/>
          <w:sz w:val="22"/>
          <w:szCs w:val="22"/>
        </w:rPr>
        <w:t>Postmortem</w:t>
      </w:r>
      <w:proofErr w:type="spellEnd"/>
      <w:r w:rsidR="00EE4662" w:rsidRPr="00F94982">
        <w:rPr>
          <w:rFonts w:ascii="Arial" w:hAnsi="Arial" w:cs="Arial"/>
          <w:b/>
          <w:bCs/>
          <w:sz w:val="22"/>
          <w:szCs w:val="22"/>
        </w:rPr>
        <w:t xml:space="preserve"> Examination and Tissue Collection</w:t>
      </w:r>
    </w:p>
    <w:p w14:paraId="212B2A75" w14:textId="4F21BD64" w:rsidR="00EE4662" w:rsidRDefault="00EE4662"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Carcasses of representative birds were subjected to systematic gross pathological examination to assess disease-associated lesions. Particular attention was given to lymphoid and visceral organs, including the bursa of </w:t>
      </w:r>
      <w:proofErr w:type="spellStart"/>
      <w:r w:rsidRPr="0036639F">
        <w:rPr>
          <w:rFonts w:ascii="Arial" w:hAnsi="Arial" w:cs="Arial"/>
          <w:sz w:val="20"/>
          <w:szCs w:val="20"/>
        </w:rPr>
        <w:t>Fabricius</w:t>
      </w:r>
      <w:proofErr w:type="spellEnd"/>
      <w:r w:rsidRPr="0036639F">
        <w:rPr>
          <w:rFonts w:ascii="Arial" w:hAnsi="Arial" w:cs="Arial"/>
          <w:sz w:val="20"/>
          <w:szCs w:val="20"/>
        </w:rPr>
        <w:t xml:space="preserve">, spleen, kidneys and intestines, which were examined for gross abnormalities such as enlargement, congestion, haemorrhage or necrosis. Tissue specimens from these organs were maintained under refrigerated conditions and transported to the Central University Laboratory, Tamil Nadu Veterinary and Animal Sciences University for subsequent </w:t>
      </w:r>
      <w:proofErr w:type="spellStart"/>
      <w:r w:rsidRPr="0036639F">
        <w:rPr>
          <w:rFonts w:ascii="Arial" w:hAnsi="Arial" w:cs="Arial"/>
          <w:sz w:val="20"/>
          <w:szCs w:val="20"/>
        </w:rPr>
        <w:t>virological</w:t>
      </w:r>
      <w:proofErr w:type="spellEnd"/>
      <w:r w:rsidRPr="0036639F">
        <w:rPr>
          <w:rFonts w:ascii="Arial" w:hAnsi="Arial" w:cs="Arial"/>
          <w:sz w:val="20"/>
          <w:szCs w:val="20"/>
        </w:rPr>
        <w:t xml:space="preserve"> analyses.</w:t>
      </w:r>
    </w:p>
    <w:p w14:paraId="2DF325C2" w14:textId="77777777" w:rsidR="00374916" w:rsidRPr="0036639F" w:rsidRDefault="00374916" w:rsidP="007952EF">
      <w:pPr>
        <w:spacing w:after="0" w:line="360" w:lineRule="auto"/>
        <w:ind w:firstLine="720"/>
        <w:jc w:val="both"/>
        <w:rPr>
          <w:rFonts w:ascii="Arial" w:hAnsi="Arial" w:cs="Arial"/>
          <w:sz w:val="20"/>
          <w:szCs w:val="20"/>
        </w:rPr>
      </w:pPr>
    </w:p>
    <w:p w14:paraId="715CAEB0" w14:textId="1CE08C2B" w:rsidR="005C3060" w:rsidRPr="0036639F" w:rsidRDefault="005E6CBC" w:rsidP="007952EF">
      <w:pPr>
        <w:spacing w:after="0" w:line="360" w:lineRule="auto"/>
        <w:jc w:val="both"/>
        <w:rPr>
          <w:rFonts w:ascii="Arial" w:hAnsi="Arial" w:cs="Arial"/>
          <w:b/>
          <w:bCs/>
          <w:sz w:val="22"/>
          <w:szCs w:val="22"/>
        </w:rPr>
      </w:pPr>
      <w:r w:rsidRPr="0036639F">
        <w:rPr>
          <w:rFonts w:ascii="Arial" w:hAnsi="Arial" w:cs="Arial"/>
          <w:b/>
          <w:bCs/>
          <w:sz w:val="22"/>
          <w:szCs w:val="22"/>
        </w:rPr>
        <w:t xml:space="preserve">2.4 </w:t>
      </w:r>
      <w:r w:rsidR="005C3060" w:rsidRPr="0036639F">
        <w:rPr>
          <w:rFonts w:ascii="Arial" w:hAnsi="Arial" w:cs="Arial"/>
          <w:b/>
          <w:bCs/>
          <w:sz w:val="22"/>
          <w:szCs w:val="22"/>
        </w:rPr>
        <w:t>Laboratory Diagnosis</w:t>
      </w:r>
    </w:p>
    <w:p w14:paraId="6370D7AB" w14:textId="7336E69D" w:rsidR="005C3060" w:rsidRPr="0036639F" w:rsidRDefault="005C3060" w:rsidP="007952EF">
      <w:pPr>
        <w:spacing w:after="0" w:line="360" w:lineRule="auto"/>
        <w:ind w:firstLine="720"/>
        <w:jc w:val="both"/>
        <w:rPr>
          <w:rFonts w:ascii="Arial" w:hAnsi="Arial" w:cs="Arial"/>
          <w:sz w:val="20"/>
          <w:szCs w:val="20"/>
        </w:rPr>
      </w:pPr>
      <w:r w:rsidRPr="0036639F">
        <w:rPr>
          <w:rFonts w:ascii="Arial" w:hAnsi="Arial" w:cs="Arial"/>
          <w:sz w:val="20"/>
          <w:szCs w:val="20"/>
        </w:rPr>
        <w:t>Laboratory diagnosis was carried out at the Central University Laboratory, TANUVAS. Counter-</w:t>
      </w:r>
      <w:proofErr w:type="spellStart"/>
      <w:r w:rsidRPr="0036639F">
        <w:rPr>
          <w:rFonts w:ascii="Arial" w:hAnsi="Arial" w:cs="Arial"/>
          <w:sz w:val="20"/>
          <w:szCs w:val="20"/>
        </w:rPr>
        <w:t>immunoelectrophoresis</w:t>
      </w:r>
      <w:proofErr w:type="spellEnd"/>
      <w:r w:rsidRPr="0036639F">
        <w:rPr>
          <w:rFonts w:ascii="Arial" w:hAnsi="Arial" w:cs="Arial"/>
          <w:sz w:val="20"/>
          <w:szCs w:val="20"/>
        </w:rPr>
        <w:t xml:space="preserve"> (CIEP), as described by </w:t>
      </w:r>
      <w:proofErr w:type="spellStart"/>
      <w:r w:rsidR="00242C13" w:rsidRPr="00242C13">
        <w:rPr>
          <w:rFonts w:ascii="Arial" w:hAnsi="Arial" w:cs="Arial"/>
          <w:sz w:val="20"/>
          <w:szCs w:val="20"/>
        </w:rPr>
        <w:t>Truscot</w:t>
      </w:r>
      <w:proofErr w:type="spellEnd"/>
      <w:r w:rsidR="00242C13">
        <w:rPr>
          <w:rFonts w:ascii="Arial" w:hAnsi="Arial" w:cs="Arial"/>
          <w:sz w:val="20"/>
          <w:szCs w:val="20"/>
        </w:rPr>
        <w:t xml:space="preserve">, </w:t>
      </w:r>
      <w:r w:rsidRPr="0036639F">
        <w:rPr>
          <w:rFonts w:ascii="Arial" w:hAnsi="Arial" w:cs="Arial"/>
          <w:sz w:val="20"/>
          <w:szCs w:val="20"/>
        </w:rPr>
        <w:t>(1976), was employed as the serological technique to detect the presence of Infectious Bursal Disease Virus (IBDV) antigen in bursal tissue homogenates.</w:t>
      </w:r>
    </w:p>
    <w:p w14:paraId="73E0BA03" w14:textId="0B88D262" w:rsidR="006A726E" w:rsidRPr="0036639F" w:rsidRDefault="005E6CBC" w:rsidP="007952EF">
      <w:pPr>
        <w:spacing w:after="0" w:line="360" w:lineRule="auto"/>
        <w:jc w:val="both"/>
        <w:rPr>
          <w:rFonts w:ascii="Arial" w:hAnsi="Arial" w:cs="Arial"/>
          <w:b/>
          <w:bCs/>
          <w:sz w:val="22"/>
          <w:szCs w:val="22"/>
        </w:rPr>
      </w:pPr>
      <w:r w:rsidRPr="0036639F">
        <w:rPr>
          <w:rFonts w:ascii="Arial" w:hAnsi="Arial" w:cs="Arial"/>
          <w:b/>
          <w:bCs/>
          <w:sz w:val="22"/>
          <w:szCs w:val="22"/>
        </w:rPr>
        <w:t>3. RESULTS AND DISCUSSION</w:t>
      </w:r>
    </w:p>
    <w:p w14:paraId="0F4D05F8" w14:textId="280A1D74" w:rsidR="006A726E" w:rsidRPr="0036639F" w:rsidRDefault="005E6CBC" w:rsidP="007952EF">
      <w:pPr>
        <w:spacing w:after="0" w:line="360" w:lineRule="auto"/>
        <w:jc w:val="both"/>
        <w:rPr>
          <w:rFonts w:ascii="Arial" w:hAnsi="Arial" w:cs="Arial"/>
          <w:b/>
          <w:bCs/>
          <w:sz w:val="22"/>
          <w:szCs w:val="22"/>
        </w:rPr>
      </w:pPr>
      <w:r w:rsidRPr="0036639F">
        <w:rPr>
          <w:rFonts w:ascii="Arial" w:hAnsi="Arial" w:cs="Arial"/>
          <w:b/>
          <w:bCs/>
          <w:sz w:val="22"/>
          <w:szCs w:val="22"/>
        </w:rPr>
        <w:t xml:space="preserve">3.1 </w:t>
      </w:r>
      <w:r w:rsidR="006A726E" w:rsidRPr="0036639F">
        <w:rPr>
          <w:rFonts w:ascii="Arial" w:hAnsi="Arial" w:cs="Arial"/>
          <w:b/>
          <w:bCs/>
          <w:sz w:val="22"/>
          <w:szCs w:val="22"/>
        </w:rPr>
        <w:t>Clinical Signs and Mortality Pattern</w:t>
      </w:r>
    </w:p>
    <w:p w14:paraId="52DD0D99" w14:textId="3B9E464B" w:rsidR="00CC3A59" w:rsidRPr="0036639F" w:rsidRDefault="00CC3A59"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The outbreak was characterized by an acute onset of clinical disease affecting a large proportion of the flock within a short period. Initial clinical signs recorded in the affected Aseel chickens included dullness, inappetence, ruffled feathers, watery whitish </w:t>
      </w:r>
      <w:r w:rsidR="00520575" w:rsidRPr="0036639F">
        <w:rPr>
          <w:rFonts w:ascii="Arial" w:hAnsi="Arial" w:cs="Arial"/>
          <w:sz w:val="20"/>
          <w:szCs w:val="20"/>
        </w:rPr>
        <w:t>diarrhoea</w:t>
      </w:r>
      <w:r w:rsidRPr="0036639F">
        <w:rPr>
          <w:rFonts w:ascii="Arial" w:hAnsi="Arial" w:cs="Arial"/>
          <w:sz w:val="20"/>
          <w:szCs w:val="20"/>
        </w:rPr>
        <w:t>, vent pecking, reluctance to move</w:t>
      </w:r>
      <w:r w:rsidR="00520575" w:rsidRPr="0036639F">
        <w:rPr>
          <w:rFonts w:ascii="Arial" w:hAnsi="Arial" w:cs="Arial"/>
          <w:sz w:val="20"/>
          <w:szCs w:val="20"/>
        </w:rPr>
        <w:t xml:space="preserve"> </w:t>
      </w:r>
      <w:r w:rsidRPr="0036639F">
        <w:rPr>
          <w:rFonts w:ascii="Arial" w:hAnsi="Arial" w:cs="Arial"/>
          <w:sz w:val="20"/>
          <w:szCs w:val="20"/>
        </w:rPr>
        <w:t xml:space="preserve">and progressive weakness. Many birds exhibited huddling </w:t>
      </w:r>
      <w:r w:rsidR="00520575" w:rsidRPr="0036639F">
        <w:rPr>
          <w:rFonts w:ascii="Arial" w:hAnsi="Arial" w:cs="Arial"/>
          <w:sz w:val="20"/>
          <w:szCs w:val="20"/>
        </w:rPr>
        <w:t>behaviour</w:t>
      </w:r>
      <w:r w:rsidRPr="0036639F">
        <w:rPr>
          <w:rFonts w:ascii="Arial" w:hAnsi="Arial" w:cs="Arial"/>
          <w:sz w:val="20"/>
          <w:szCs w:val="20"/>
        </w:rPr>
        <w:t xml:space="preserve"> and appeared depressed, with some showing shivering or trembling movements, which are typical neurological manifestations occasionally </w:t>
      </w:r>
      <w:r w:rsidRPr="0036639F">
        <w:rPr>
          <w:rFonts w:ascii="Arial" w:hAnsi="Arial" w:cs="Arial"/>
          <w:sz w:val="20"/>
          <w:szCs w:val="20"/>
        </w:rPr>
        <w:lastRenderedPageBreak/>
        <w:t>associated with severe IBD infections. As the disease progressed, affected birds became recumbent and eventually succumbed within 24</w:t>
      </w:r>
      <w:r w:rsidR="00520575" w:rsidRPr="0036639F">
        <w:rPr>
          <w:rFonts w:ascii="Arial" w:hAnsi="Arial" w:cs="Arial"/>
          <w:sz w:val="20"/>
          <w:szCs w:val="20"/>
        </w:rPr>
        <w:t xml:space="preserve"> - </w:t>
      </w:r>
      <w:r w:rsidRPr="0036639F">
        <w:rPr>
          <w:rFonts w:ascii="Arial" w:hAnsi="Arial" w:cs="Arial"/>
          <w:sz w:val="20"/>
          <w:szCs w:val="20"/>
        </w:rPr>
        <w:t>72 hours of the onset of symptoms.</w:t>
      </w:r>
    </w:p>
    <w:p w14:paraId="12DC9644" w14:textId="357A9EEC" w:rsidR="002230B5" w:rsidRDefault="00CC3A59" w:rsidP="007952EF">
      <w:pPr>
        <w:spacing w:after="0" w:line="360" w:lineRule="auto"/>
        <w:ind w:firstLine="720"/>
        <w:jc w:val="both"/>
        <w:rPr>
          <w:rFonts w:ascii="Arial" w:hAnsi="Arial" w:cs="Arial"/>
          <w:sz w:val="20"/>
          <w:szCs w:val="20"/>
        </w:rPr>
      </w:pPr>
      <w:r w:rsidRPr="0036639F">
        <w:rPr>
          <w:rFonts w:ascii="Arial" w:hAnsi="Arial" w:cs="Arial"/>
          <w:sz w:val="20"/>
          <w:szCs w:val="20"/>
        </w:rPr>
        <w:t>The mortality pattern revealed the acute and highly contagious nature of the outbreak. On the first day of clinical observation, 42 birds (5.25%) died. Mortality rose sharply</w:t>
      </w:r>
      <w:r w:rsidR="00520575" w:rsidRPr="0036639F">
        <w:rPr>
          <w:rFonts w:ascii="Arial" w:hAnsi="Arial" w:cs="Arial"/>
          <w:sz w:val="20"/>
          <w:szCs w:val="20"/>
        </w:rPr>
        <w:t xml:space="preserve"> </w:t>
      </w:r>
      <w:r w:rsidRPr="0036639F">
        <w:rPr>
          <w:rFonts w:ascii="Arial" w:hAnsi="Arial" w:cs="Arial"/>
          <w:sz w:val="20"/>
          <w:szCs w:val="20"/>
        </w:rPr>
        <w:t xml:space="preserve">and by the third day, the cumulative deaths reached 169 birds (21.12%). Overall, approximately 640 birds (80%) showed clinical illness during the course of the outbreak, reflecting the high morbidity characteristic of </w:t>
      </w:r>
      <w:proofErr w:type="spellStart"/>
      <w:r w:rsidRPr="0036639F">
        <w:rPr>
          <w:rFonts w:ascii="Arial" w:hAnsi="Arial" w:cs="Arial"/>
          <w:sz w:val="20"/>
          <w:szCs w:val="20"/>
        </w:rPr>
        <w:t>Gumboro</w:t>
      </w:r>
      <w:proofErr w:type="spellEnd"/>
      <w:r w:rsidRPr="0036639F">
        <w:rPr>
          <w:rFonts w:ascii="Arial" w:hAnsi="Arial" w:cs="Arial"/>
          <w:sz w:val="20"/>
          <w:szCs w:val="20"/>
        </w:rPr>
        <w:t xml:space="preserve"> disease.</w:t>
      </w:r>
      <w:r w:rsidR="002230B5">
        <w:rPr>
          <w:rFonts w:ascii="Arial" w:hAnsi="Arial" w:cs="Arial"/>
          <w:sz w:val="20"/>
          <w:szCs w:val="20"/>
        </w:rPr>
        <w:t xml:space="preserve"> </w:t>
      </w:r>
      <w:r w:rsidR="002230B5" w:rsidRPr="002230B5">
        <w:rPr>
          <w:rFonts w:ascii="Arial" w:hAnsi="Arial" w:cs="Arial"/>
          <w:sz w:val="20"/>
          <w:szCs w:val="20"/>
        </w:rPr>
        <w:t xml:space="preserve">Such mortality dynamics are consistent with previous field reports in native chickens, where IBD outbreaks have been associated with mortality rates ranging from 25–40% in unvaccinated and fully susceptible flocks. </w:t>
      </w:r>
      <w:r w:rsidR="00751E64">
        <w:rPr>
          <w:rFonts w:ascii="Arial" w:hAnsi="Arial" w:cs="Arial"/>
          <w:sz w:val="20"/>
          <w:szCs w:val="20"/>
        </w:rPr>
        <w:t>Seger</w:t>
      </w:r>
      <w:r w:rsidR="002230B5" w:rsidRPr="002230B5">
        <w:rPr>
          <w:rFonts w:ascii="Arial" w:hAnsi="Arial" w:cs="Arial"/>
          <w:sz w:val="20"/>
          <w:szCs w:val="20"/>
        </w:rPr>
        <w:t xml:space="preserve"> </w:t>
      </w:r>
      <w:r w:rsidR="002230B5" w:rsidRPr="00751E64">
        <w:rPr>
          <w:rFonts w:ascii="Arial" w:hAnsi="Arial" w:cs="Arial"/>
          <w:i/>
          <w:iCs/>
          <w:sz w:val="20"/>
          <w:szCs w:val="20"/>
        </w:rPr>
        <w:t>et al</w:t>
      </w:r>
      <w:r w:rsidR="002230B5" w:rsidRPr="002230B5">
        <w:rPr>
          <w:rFonts w:ascii="Arial" w:hAnsi="Arial" w:cs="Arial"/>
          <w:sz w:val="20"/>
          <w:szCs w:val="20"/>
        </w:rPr>
        <w:t>.</w:t>
      </w:r>
      <w:r w:rsidR="00751E64">
        <w:rPr>
          <w:rFonts w:ascii="Arial" w:hAnsi="Arial" w:cs="Arial"/>
          <w:sz w:val="20"/>
          <w:szCs w:val="20"/>
        </w:rPr>
        <w:t>,</w:t>
      </w:r>
      <w:r w:rsidR="002230B5" w:rsidRPr="002230B5">
        <w:rPr>
          <w:rFonts w:ascii="Arial" w:hAnsi="Arial" w:cs="Arial"/>
          <w:sz w:val="20"/>
          <w:szCs w:val="20"/>
        </w:rPr>
        <w:t xml:space="preserve"> (2019) similarly documented mortality rates of 30% in Aseel and 25% in Brahma breeds in Iraq, attributing these losses to very virulent IBD virus (</w:t>
      </w:r>
      <w:proofErr w:type="spellStart"/>
      <w:r w:rsidR="002230B5" w:rsidRPr="002230B5">
        <w:rPr>
          <w:rFonts w:ascii="Arial" w:hAnsi="Arial" w:cs="Arial"/>
          <w:sz w:val="20"/>
          <w:szCs w:val="20"/>
        </w:rPr>
        <w:t>vvIBDV</w:t>
      </w:r>
      <w:proofErr w:type="spellEnd"/>
      <w:r w:rsidR="002230B5" w:rsidRPr="002230B5">
        <w:rPr>
          <w:rFonts w:ascii="Arial" w:hAnsi="Arial" w:cs="Arial"/>
          <w:sz w:val="20"/>
          <w:szCs w:val="20"/>
        </w:rPr>
        <w:t xml:space="preserve">) strains. </w:t>
      </w:r>
      <w:r w:rsidR="004E6ABB" w:rsidRPr="004E6ABB">
        <w:rPr>
          <w:rFonts w:ascii="Arial" w:hAnsi="Arial" w:cs="Arial"/>
          <w:sz w:val="20"/>
          <w:szCs w:val="20"/>
        </w:rPr>
        <w:t>Studies from Coimbatore and Tirupur districts of Tamil Nadu, although reporting relatively low overall prevalence of IBD (1.82–0.77%), confirmed that outbreaks are often acute and result in substantial mortality in 0–8-week-old desi chickens (</w:t>
      </w:r>
      <w:proofErr w:type="spellStart"/>
      <w:r w:rsidR="004E6ABB" w:rsidRPr="004E6ABB">
        <w:rPr>
          <w:rFonts w:ascii="Arial" w:hAnsi="Arial" w:cs="Arial"/>
          <w:sz w:val="20"/>
          <w:szCs w:val="20"/>
        </w:rPr>
        <w:t>Chitradevi</w:t>
      </w:r>
      <w:proofErr w:type="spellEnd"/>
      <w:r w:rsidR="00016996">
        <w:rPr>
          <w:rFonts w:ascii="Arial" w:hAnsi="Arial" w:cs="Arial"/>
          <w:sz w:val="20"/>
          <w:szCs w:val="20"/>
        </w:rPr>
        <w:t xml:space="preserve">, </w:t>
      </w:r>
      <w:r w:rsidR="004E6ABB" w:rsidRPr="004E6ABB">
        <w:rPr>
          <w:rFonts w:ascii="Arial" w:hAnsi="Arial" w:cs="Arial"/>
          <w:sz w:val="20"/>
          <w:szCs w:val="20"/>
        </w:rPr>
        <w:t xml:space="preserve">2022; </w:t>
      </w:r>
      <w:proofErr w:type="spellStart"/>
      <w:r w:rsidR="004E6ABB" w:rsidRPr="004E6ABB">
        <w:rPr>
          <w:rFonts w:ascii="Arial" w:hAnsi="Arial" w:cs="Arial"/>
          <w:sz w:val="20"/>
          <w:szCs w:val="20"/>
        </w:rPr>
        <w:t>Vadivoo</w:t>
      </w:r>
      <w:proofErr w:type="spellEnd"/>
      <w:r w:rsidR="004E6ABB" w:rsidRPr="004E6ABB">
        <w:rPr>
          <w:rFonts w:ascii="Arial" w:hAnsi="Arial" w:cs="Arial"/>
          <w:sz w:val="20"/>
          <w:szCs w:val="20"/>
        </w:rPr>
        <w:t xml:space="preserve"> et al., 2020). Reports from Ethiopia further corroborate these findings, with mortality reaching 45–68% in commercial flocks and approximately 32% in backyard chickens (</w:t>
      </w:r>
      <w:proofErr w:type="spellStart"/>
      <w:r w:rsidR="004E6ABB" w:rsidRPr="004E6ABB">
        <w:rPr>
          <w:rFonts w:ascii="Arial" w:hAnsi="Arial" w:cs="Arial"/>
          <w:sz w:val="20"/>
          <w:szCs w:val="20"/>
        </w:rPr>
        <w:t>Hailegebreal</w:t>
      </w:r>
      <w:proofErr w:type="spellEnd"/>
      <w:r w:rsidR="004E6ABB" w:rsidRPr="004E6ABB">
        <w:rPr>
          <w:rFonts w:ascii="Arial" w:hAnsi="Arial" w:cs="Arial"/>
          <w:sz w:val="20"/>
          <w:szCs w:val="20"/>
        </w:rPr>
        <w:t xml:space="preserve"> et al., 2022).</w:t>
      </w:r>
      <w:r w:rsidR="004E6ABB" w:rsidRPr="004E6ABB">
        <w:t xml:space="preserve"> </w:t>
      </w:r>
      <w:r w:rsidR="004E6ABB" w:rsidRPr="004E6ABB">
        <w:rPr>
          <w:rFonts w:ascii="Arial" w:hAnsi="Arial" w:cs="Arial"/>
          <w:sz w:val="20"/>
          <w:szCs w:val="20"/>
        </w:rPr>
        <w:t xml:space="preserve">The high attack rate (80% morbidity) recorded in the present outbreak parallels these findings and reflects the exceptional transmissibility of </w:t>
      </w:r>
      <w:proofErr w:type="spellStart"/>
      <w:r w:rsidR="004E6ABB" w:rsidRPr="004E6ABB">
        <w:rPr>
          <w:rFonts w:ascii="Arial" w:hAnsi="Arial" w:cs="Arial"/>
          <w:sz w:val="20"/>
          <w:szCs w:val="20"/>
        </w:rPr>
        <w:t>vvIBDV</w:t>
      </w:r>
      <w:proofErr w:type="spellEnd"/>
      <w:r w:rsidR="004E6ABB" w:rsidRPr="004E6ABB">
        <w:rPr>
          <w:rFonts w:ascii="Arial" w:hAnsi="Arial" w:cs="Arial"/>
          <w:sz w:val="20"/>
          <w:szCs w:val="20"/>
        </w:rPr>
        <w:t xml:space="preserve"> under field conditions, especially in the presence of biosecurity lapses that facilitate horizontal transmission.</w:t>
      </w:r>
    </w:p>
    <w:p w14:paraId="3C0ADE31" w14:textId="7E2219A7" w:rsidR="00CC3A59" w:rsidRPr="0036639F" w:rsidRDefault="00CC3A59"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The epidemiological profile observed in this outbreak is in close agreement with previous reports. </w:t>
      </w:r>
      <w:proofErr w:type="spellStart"/>
      <w:r w:rsidRPr="0036639F">
        <w:rPr>
          <w:rFonts w:ascii="Arial" w:hAnsi="Arial" w:cs="Arial"/>
          <w:sz w:val="20"/>
          <w:szCs w:val="20"/>
        </w:rPr>
        <w:t>Durairajan</w:t>
      </w:r>
      <w:proofErr w:type="spellEnd"/>
      <w:r w:rsidRPr="0036639F">
        <w:rPr>
          <w:rFonts w:ascii="Arial" w:hAnsi="Arial" w:cs="Arial"/>
          <w:sz w:val="20"/>
          <w:szCs w:val="20"/>
        </w:rPr>
        <w:t xml:space="preserve"> </w:t>
      </w:r>
      <w:r w:rsidR="00171478" w:rsidRPr="0036639F">
        <w:rPr>
          <w:rFonts w:ascii="Arial" w:hAnsi="Arial" w:cs="Arial"/>
          <w:i/>
          <w:iCs/>
          <w:sz w:val="20"/>
          <w:szCs w:val="20"/>
        </w:rPr>
        <w:t>et al</w:t>
      </w:r>
      <w:r w:rsidRPr="0036639F">
        <w:rPr>
          <w:rFonts w:ascii="Arial" w:hAnsi="Arial" w:cs="Arial"/>
          <w:sz w:val="20"/>
          <w:szCs w:val="20"/>
        </w:rPr>
        <w:t>.</w:t>
      </w:r>
      <w:r w:rsidR="00520575" w:rsidRPr="0036639F">
        <w:rPr>
          <w:rFonts w:ascii="Arial" w:hAnsi="Arial" w:cs="Arial"/>
          <w:sz w:val="20"/>
          <w:szCs w:val="20"/>
        </w:rPr>
        <w:t>,</w:t>
      </w:r>
      <w:r w:rsidRPr="0036639F">
        <w:rPr>
          <w:rFonts w:ascii="Arial" w:hAnsi="Arial" w:cs="Arial"/>
          <w:sz w:val="20"/>
          <w:szCs w:val="20"/>
        </w:rPr>
        <w:t xml:space="preserve"> (201</w:t>
      </w:r>
      <w:r w:rsidR="00E66AE2">
        <w:rPr>
          <w:rFonts w:ascii="Arial" w:hAnsi="Arial" w:cs="Arial"/>
          <w:sz w:val="20"/>
          <w:szCs w:val="20"/>
        </w:rPr>
        <w:t>9</w:t>
      </w:r>
      <w:r w:rsidRPr="0036639F">
        <w:rPr>
          <w:rFonts w:ascii="Arial" w:hAnsi="Arial" w:cs="Arial"/>
          <w:sz w:val="20"/>
          <w:szCs w:val="20"/>
        </w:rPr>
        <w:t>) documented comparably high morbidity and mortality in na</w:t>
      </w:r>
      <w:r w:rsidR="00520575" w:rsidRPr="0036639F">
        <w:rPr>
          <w:rFonts w:ascii="Arial" w:hAnsi="Arial" w:cs="Arial"/>
          <w:sz w:val="20"/>
          <w:szCs w:val="20"/>
        </w:rPr>
        <w:t>i</w:t>
      </w:r>
      <w:r w:rsidRPr="0036639F">
        <w:rPr>
          <w:rFonts w:ascii="Arial" w:hAnsi="Arial" w:cs="Arial"/>
          <w:sz w:val="20"/>
          <w:szCs w:val="20"/>
        </w:rPr>
        <w:t>ve or unvaccinated flocks, emphasizing the severe economic consequences of uncontrolled IBD outbreaks. Furthermore, the age of the affected flock (8 weeks) corresponded to the window of susceptibility (4</w:t>
      </w:r>
      <w:r w:rsidR="00520575" w:rsidRPr="0036639F">
        <w:rPr>
          <w:rFonts w:ascii="Arial" w:hAnsi="Arial" w:cs="Arial"/>
          <w:sz w:val="20"/>
          <w:szCs w:val="20"/>
        </w:rPr>
        <w:t xml:space="preserve"> - </w:t>
      </w:r>
      <w:r w:rsidRPr="0036639F">
        <w:rPr>
          <w:rFonts w:ascii="Arial" w:hAnsi="Arial" w:cs="Arial"/>
          <w:sz w:val="20"/>
          <w:szCs w:val="20"/>
        </w:rPr>
        <w:t xml:space="preserve">6 weeks, extending up to 12 weeks) reported </w:t>
      </w:r>
      <w:r w:rsidR="00520575" w:rsidRPr="0036639F">
        <w:rPr>
          <w:rFonts w:ascii="Arial" w:hAnsi="Arial" w:cs="Arial"/>
          <w:sz w:val="20"/>
          <w:szCs w:val="20"/>
        </w:rPr>
        <w:t xml:space="preserve">by </w:t>
      </w:r>
      <w:r w:rsidRPr="0036639F">
        <w:rPr>
          <w:rFonts w:ascii="Arial" w:hAnsi="Arial" w:cs="Arial"/>
          <w:sz w:val="20"/>
          <w:szCs w:val="20"/>
        </w:rPr>
        <w:t xml:space="preserve">Rajendran </w:t>
      </w:r>
      <w:r w:rsidR="00171478" w:rsidRPr="0036639F">
        <w:rPr>
          <w:rFonts w:ascii="Arial" w:hAnsi="Arial" w:cs="Arial"/>
          <w:i/>
          <w:iCs/>
          <w:sz w:val="20"/>
          <w:szCs w:val="20"/>
        </w:rPr>
        <w:t>et al</w:t>
      </w:r>
      <w:r w:rsidRPr="0036639F">
        <w:rPr>
          <w:rFonts w:ascii="Arial" w:hAnsi="Arial" w:cs="Arial"/>
          <w:sz w:val="20"/>
          <w:szCs w:val="20"/>
        </w:rPr>
        <w:t>., 2006</w:t>
      </w:r>
      <w:r w:rsidR="00520575" w:rsidRPr="0036639F">
        <w:rPr>
          <w:rFonts w:ascii="Arial" w:hAnsi="Arial" w:cs="Arial"/>
          <w:sz w:val="20"/>
          <w:szCs w:val="20"/>
        </w:rPr>
        <w:t xml:space="preserve"> and</w:t>
      </w:r>
      <w:r w:rsidRPr="0036639F">
        <w:rPr>
          <w:rFonts w:ascii="Arial" w:hAnsi="Arial" w:cs="Arial"/>
          <w:sz w:val="20"/>
          <w:szCs w:val="20"/>
        </w:rPr>
        <w:t xml:space="preserve"> Van den Berg, 2000. The absence of vaccination in the present flock and poor biosecurity practices likely compounded the severity of the outbreak, predisposing the birds to rapid viral spread and increased mortality.</w:t>
      </w:r>
    </w:p>
    <w:p w14:paraId="414DF2BD" w14:textId="77777777" w:rsidR="004F1D18" w:rsidRPr="0036639F" w:rsidRDefault="00CC3A59" w:rsidP="007952EF">
      <w:pPr>
        <w:spacing w:after="0" w:line="360" w:lineRule="auto"/>
        <w:ind w:firstLine="720"/>
        <w:jc w:val="both"/>
        <w:rPr>
          <w:rFonts w:ascii="Arial" w:hAnsi="Arial" w:cs="Arial"/>
          <w:sz w:val="20"/>
          <w:szCs w:val="20"/>
        </w:rPr>
      </w:pPr>
      <w:r w:rsidRPr="0036639F">
        <w:rPr>
          <w:rFonts w:ascii="Arial" w:hAnsi="Arial" w:cs="Arial"/>
          <w:sz w:val="20"/>
          <w:szCs w:val="20"/>
        </w:rPr>
        <w:t>These findings clearly demonstrate that IBD can cause devastating losses in unvaccinated native flocks, similar to those reported in commercial broilers, highlighting the urgent need for adopting preventive vaccination and biosecurity measures in native poultry farming systems.</w:t>
      </w:r>
    </w:p>
    <w:p w14:paraId="1486606C" w14:textId="0CA0FCAC" w:rsidR="00CC3A59" w:rsidRPr="0036639F" w:rsidRDefault="005E6CBC" w:rsidP="007952EF">
      <w:pPr>
        <w:spacing w:after="0" w:line="360" w:lineRule="auto"/>
        <w:jc w:val="both"/>
        <w:rPr>
          <w:rFonts w:ascii="Arial" w:hAnsi="Arial" w:cs="Arial"/>
          <w:b/>
          <w:bCs/>
          <w:sz w:val="22"/>
          <w:szCs w:val="22"/>
        </w:rPr>
      </w:pPr>
      <w:r w:rsidRPr="0036639F">
        <w:rPr>
          <w:rFonts w:ascii="Arial" w:hAnsi="Arial" w:cs="Arial"/>
          <w:b/>
          <w:bCs/>
          <w:sz w:val="22"/>
          <w:szCs w:val="22"/>
        </w:rPr>
        <w:t xml:space="preserve">3.2 </w:t>
      </w:r>
      <w:r w:rsidR="00CC3A59" w:rsidRPr="0036639F">
        <w:rPr>
          <w:rFonts w:ascii="Arial" w:hAnsi="Arial" w:cs="Arial"/>
          <w:b/>
          <w:bCs/>
          <w:sz w:val="22"/>
          <w:szCs w:val="22"/>
        </w:rPr>
        <w:t>Gross Lesions</w:t>
      </w:r>
    </w:p>
    <w:p w14:paraId="31348A8C" w14:textId="4F64A8EF" w:rsidR="00CC3A59" w:rsidRPr="0036639F" w:rsidRDefault="00CC3A59" w:rsidP="007952EF">
      <w:pPr>
        <w:spacing w:after="0" w:line="360" w:lineRule="auto"/>
        <w:ind w:firstLine="720"/>
        <w:jc w:val="both"/>
        <w:rPr>
          <w:rFonts w:ascii="Arial" w:hAnsi="Arial" w:cs="Arial"/>
          <w:sz w:val="20"/>
          <w:szCs w:val="20"/>
        </w:rPr>
      </w:pPr>
      <w:proofErr w:type="spellStart"/>
      <w:r w:rsidRPr="0036639F">
        <w:rPr>
          <w:rFonts w:ascii="Arial" w:hAnsi="Arial" w:cs="Arial"/>
          <w:sz w:val="20"/>
          <w:szCs w:val="20"/>
        </w:rPr>
        <w:t>Postmortem</w:t>
      </w:r>
      <w:proofErr w:type="spellEnd"/>
      <w:r w:rsidRPr="0036639F">
        <w:rPr>
          <w:rFonts w:ascii="Arial" w:hAnsi="Arial" w:cs="Arial"/>
          <w:sz w:val="20"/>
          <w:szCs w:val="20"/>
        </w:rPr>
        <w:t xml:space="preserve"> examinations of the affected Aseel chickens revealed a consistent set of gross pathological changes</w:t>
      </w:r>
      <w:r w:rsidR="004F1D18" w:rsidRPr="0036639F">
        <w:rPr>
          <w:rFonts w:ascii="Arial" w:hAnsi="Arial" w:cs="Arial"/>
          <w:sz w:val="20"/>
          <w:szCs w:val="20"/>
        </w:rPr>
        <w:t xml:space="preserve"> (Fig 1) </w:t>
      </w:r>
      <w:r w:rsidRPr="0036639F">
        <w:rPr>
          <w:rFonts w:ascii="Arial" w:hAnsi="Arial" w:cs="Arial"/>
          <w:sz w:val="20"/>
          <w:szCs w:val="20"/>
        </w:rPr>
        <w:t xml:space="preserve">that are considered pathognomonic for Infectious Bursal Disease. Prominent </w:t>
      </w:r>
      <w:r w:rsidR="009D7CE8" w:rsidRPr="0036639F">
        <w:rPr>
          <w:rFonts w:ascii="Arial" w:hAnsi="Arial" w:cs="Arial"/>
          <w:sz w:val="20"/>
          <w:szCs w:val="20"/>
        </w:rPr>
        <w:t>haemorrhages</w:t>
      </w:r>
      <w:r w:rsidRPr="0036639F">
        <w:rPr>
          <w:rFonts w:ascii="Arial" w:hAnsi="Arial" w:cs="Arial"/>
          <w:sz w:val="20"/>
          <w:szCs w:val="20"/>
        </w:rPr>
        <w:t xml:space="preserve"> were observed in the pectoral and thigh muscles, particularly under the shoulder region, a feature earlier documented as characteristic of acute IBD outbreaks. The bursa of </w:t>
      </w:r>
      <w:proofErr w:type="spellStart"/>
      <w:r w:rsidRPr="0036639F">
        <w:rPr>
          <w:rFonts w:ascii="Arial" w:hAnsi="Arial" w:cs="Arial"/>
          <w:sz w:val="20"/>
          <w:szCs w:val="20"/>
        </w:rPr>
        <w:t>Fabricius</w:t>
      </w:r>
      <w:proofErr w:type="spellEnd"/>
      <w:r w:rsidRPr="0036639F">
        <w:rPr>
          <w:rFonts w:ascii="Arial" w:hAnsi="Arial" w:cs="Arial"/>
          <w:sz w:val="20"/>
          <w:szCs w:val="20"/>
        </w:rPr>
        <w:t xml:space="preserve"> was markedly swollen, </w:t>
      </w:r>
      <w:r w:rsidR="00374916" w:rsidRPr="0036639F">
        <w:rPr>
          <w:rFonts w:ascii="Arial" w:hAnsi="Arial" w:cs="Arial"/>
          <w:sz w:val="20"/>
          <w:szCs w:val="20"/>
        </w:rPr>
        <w:t>oedematous</w:t>
      </w:r>
      <w:r w:rsidRPr="0036639F">
        <w:rPr>
          <w:rFonts w:ascii="Arial" w:hAnsi="Arial" w:cs="Arial"/>
          <w:sz w:val="20"/>
          <w:szCs w:val="20"/>
        </w:rPr>
        <w:t xml:space="preserve"> and often </w:t>
      </w:r>
      <w:r w:rsidR="00374916" w:rsidRPr="0036639F">
        <w:rPr>
          <w:rFonts w:ascii="Arial" w:hAnsi="Arial" w:cs="Arial"/>
          <w:sz w:val="20"/>
          <w:szCs w:val="20"/>
        </w:rPr>
        <w:t>haemorrhagic</w:t>
      </w:r>
      <w:r w:rsidRPr="0036639F">
        <w:rPr>
          <w:rFonts w:ascii="Arial" w:hAnsi="Arial" w:cs="Arial"/>
          <w:sz w:val="20"/>
          <w:szCs w:val="20"/>
        </w:rPr>
        <w:t xml:space="preserve">, which has been well recognized as the key diagnostic lesion of the disease. In addition, linear petechial </w:t>
      </w:r>
      <w:r w:rsidR="00374916" w:rsidRPr="0036639F">
        <w:rPr>
          <w:rFonts w:ascii="Arial" w:hAnsi="Arial" w:cs="Arial"/>
          <w:sz w:val="20"/>
          <w:szCs w:val="20"/>
        </w:rPr>
        <w:t>haemorrhages</w:t>
      </w:r>
      <w:r w:rsidRPr="0036639F">
        <w:rPr>
          <w:rFonts w:ascii="Arial" w:hAnsi="Arial" w:cs="Arial"/>
          <w:sz w:val="20"/>
          <w:szCs w:val="20"/>
        </w:rPr>
        <w:t xml:space="preserve"> at the junction of the proventriculus and gizzard and enlarged, pale kidneys with urate deposition were observed, indicating systemic involvement.</w:t>
      </w:r>
    </w:p>
    <w:p w14:paraId="5DE3DB83" w14:textId="5F47F4AE" w:rsidR="00CC3A59" w:rsidRDefault="00CC3A59"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These lesions are in close agreement with previous descriptions by </w:t>
      </w:r>
      <w:proofErr w:type="spellStart"/>
      <w:r w:rsidR="00CF4259" w:rsidRPr="00CF4259">
        <w:rPr>
          <w:rFonts w:ascii="Arial" w:hAnsi="Arial" w:cs="Arial"/>
          <w:sz w:val="20"/>
          <w:szCs w:val="20"/>
        </w:rPr>
        <w:t>Orakpoghenor</w:t>
      </w:r>
      <w:proofErr w:type="spellEnd"/>
      <w:r w:rsidR="00CF4259" w:rsidRPr="00CF4259">
        <w:rPr>
          <w:rFonts w:ascii="Arial" w:hAnsi="Arial" w:cs="Arial"/>
          <w:sz w:val="20"/>
          <w:szCs w:val="20"/>
        </w:rPr>
        <w:t xml:space="preserve"> </w:t>
      </w:r>
      <w:r w:rsidR="00171478" w:rsidRPr="0036639F">
        <w:rPr>
          <w:rFonts w:ascii="Arial" w:hAnsi="Arial" w:cs="Arial"/>
          <w:i/>
          <w:iCs/>
          <w:sz w:val="20"/>
          <w:szCs w:val="20"/>
        </w:rPr>
        <w:t>et al</w:t>
      </w:r>
      <w:r w:rsidRPr="0036639F">
        <w:rPr>
          <w:rFonts w:ascii="Arial" w:hAnsi="Arial" w:cs="Arial"/>
          <w:sz w:val="20"/>
          <w:szCs w:val="20"/>
        </w:rPr>
        <w:t>. (20</w:t>
      </w:r>
      <w:r w:rsidR="00CF4259">
        <w:rPr>
          <w:rFonts w:ascii="Arial" w:hAnsi="Arial" w:cs="Arial"/>
          <w:sz w:val="20"/>
          <w:szCs w:val="20"/>
        </w:rPr>
        <w:t>20</w:t>
      </w:r>
      <w:r w:rsidRPr="0036639F">
        <w:rPr>
          <w:rFonts w:ascii="Arial" w:hAnsi="Arial" w:cs="Arial"/>
          <w:sz w:val="20"/>
          <w:szCs w:val="20"/>
        </w:rPr>
        <w:t>)</w:t>
      </w:r>
      <w:r w:rsidR="006139B2" w:rsidRPr="0036639F">
        <w:rPr>
          <w:rFonts w:ascii="Arial" w:hAnsi="Arial" w:cs="Arial"/>
          <w:sz w:val="20"/>
          <w:szCs w:val="20"/>
        </w:rPr>
        <w:t xml:space="preserve"> and </w:t>
      </w:r>
      <w:r w:rsidRPr="0036639F">
        <w:rPr>
          <w:rFonts w:ascii="Arial" w:hAnsi="Arial" w:cs="Arial"/>
          <w:sz w:val="20"/>
          <w:szCs w:val="20"/>
        </w:rPr>
        <w:t>Miles</w:t>
      </w:r>
      <w:r w:rsidR="006139B2" w:rsidRPr="0036639F">
        <w:rPr>
          <w:rFonts w:ascii="Arial" w:hAnsi="Arial" w:cs="Arial"/>
          <w:sz w:val="20"/>
          <w:szCs w:val="20"/>
        </w:rPr>
        <w:t xml:space="preserve"> &amp; Butcher</w:t>
      </w:r>
      <w:r w:rsidRPr="0036639F">
        <w:rPr>
          <w:rFonts w:ascii="Arial" w:hAnsi="Arial" w:cs="Arial"/>
          <w:sz w:val="20"/>
          <w:szCs w:val="20"/>
        </w:rPr>
        <w:t xml:space="preserve"> (2004), who emphasized the diagnostic significance of bursal swelling and muscular </w:t>
      </w:r>
      <w:r w:rsidR="00F80BB5" w:rsidRPr="0036639F">
        <w:rPr>
          <w:rFonts w:ascii="Arial" w:hAnsi="Arial" w:cs="Arial"/>
          <w:sz w:val="20"/>
          <w:szCs w:val="20"/>
        </w:rPr>
        <w:lastRenderedPageBreak/>
        <w:t>haemorrhages</w:t>
      </w:r>
      <w:r w:rsidRPr="0036639F">
        <w:rPr>
          <w:rFonts w:ascii="Arial" w:hAnsi="Arial" w:cs="Arial"/>
          <w:sz w:val="20"/>
          <w:szCs w:val="20"/>
        </w:rPr>
        <w:t xml:space="preserve">. Similar patterns have also been reported in field outbreaks: </w:t>
      </w:r>
      <w:proofErr w:type="spellStart"/>
      <w:r w:rsidRPr="0036639F">
        <w:rPr>
          <w:rFonts w:ascii="Arial" w:hAnsi="Arial" w:cs="Arial"/>
          <w:sz w:val="20"/>
          <w:szCs w:val="20"/>
        </w:rPr>
        <w:t>Mazengia</w:t>
      </w:r>
      <w:proofErr w:type="spellEnd"/>
      <w:r w:rsidRPr="0036639F">
        <w:rPr>
          <w:rFonts w:ascii="Arial" w:hAnsi="Arial" w:cs="Arial"/>
          <w:sz w:val="20"/>
          <w:szCs w:val="20"/>
        </w:rPr>
        <w:t xml:space="preserve"> </w:t>
      </w:r>
      <w:r w:rsidR="00171478" w:rsidRPr="0036639F">
        <w:rPr>
          <w:rFonts w:ascii="Arial" w:hAnsi="Arial" w:cs="Arial"/>
          <w:i/>
          <w:iCs/>
          <w:sz w:val="20"/>
          <w:szCs w:val="20"/>
        </w:rPr>
        <w:t>et al</w:t>
      </w:r>
      <w:r w:rsidRPr="0036639F">
        <w:rPr>
          <w:rFonts w:ascii="Arial" w:hAnsi="Arial" w:cs="Arial"/>
          <w:sz w:val="20"/>
          <w:szCs w:val="20"/>
        </w:rPr>
        <w:t xml:space="preserve">. (2009) described gross and microscopic bursal lesions suggestive of IBD in village chickens in Ethiopia, while </w:t>
      </w:r>
      <w:proofErr w:type="spellStart"/>
      <w:r w:rsidRPr="0036639F">
        <w:rPr>
          <w:rFonts w:ascii="Arial" w:hAnsi="Arial" w:cs="Arial"/>
          <w:sz w:val="20"/>
          <w:szCs w:val="20"/>
        </w:rPr>
        <w:t>Badau</w:t>
      </w:r>
      <w:proofErr w:type="spellEnd"/>
      <w:r w:rsidRPr="0036639F">
        <w:rPr>
          <w:rFonts w:ascii="Arial" w:hAnsi="Arial" w:cs="Arial"/>
          <w:sz w:val="20"/>
          <w:szCs w:val="20"/>
        </w:rPr>
        <w:t xml:space="preserve"> </w:t>
      </w:r>
      <w:r w:rsidR="00171478" w:rsidRPr="0036639F">
        <w:rPr>
          <w:rFonts w:ascii="Arial" w:hAnsi="Arial" w:cs="Arial"/>
          <w:i/>
          <w:iCs/>
          <w:sz w:val="20"/>
          <w:szCs w:val="20"/>
        </w:rPr>
        <w:t>et al</w:t>
      </w:r>
      <w:r w:rsidRPr="0036639F">
        <w:rPr>
          <w:rFonts w:ascii="Arial" w:hAnsi="Arial" w:cs="Arial"/>
          <w:sz w:val="20"/>
          <w:szCs w:val="20"/>
        </w:rPr>
        <w:t xml:space="preserve">. (2023) reported acute inflammatory swelling of the bursa with </w:t>
      </w:r>
      <w:proofErr w:type="spellStart"/>
      <w:r w:rsidRPr="0036639F">
        <w:rPr>
          <w:rFonts w:ascii="Arial" w:hAnsi="Arial" w:cs="Arial"/>
          <w:sz w:val="20"/>
          <w:szCs w:val="20"/>
        </w:rPr>
        <w:t>hemorrhage</w:t>
      </w:r>
      <w:proofErr w:type="spellEnd"/>
      <w:r w:rsidRPr="0036639F">
        <w:rPr>
          <w:rFonts w:ascii="Arial" w:hAnsi="Arial" w:cs="Arial"/>
          <w:sz w:val="20"/>
          <w:szCs w:val="20"/>
        </w:rPr>
        <w:t xml:space="preserve"> in 90.9% of cases and </w:t>
      </w:r>
      <w:proofErr w:type="spellStart"/>
      <w:r w:rsidRPr="0036639F">
        <w:rPr>
          <w:rFonts w:ascii="Arial" w:hAnsi="Arial" w:cs="Arial"/>
          <w:sz w:val="20"/>
          <w:szCs w:val="20"/>
        </w:rPr>
        <w:t>hemorrhages</w:t>
      </w:r>
      <w:proofErr w:type="spellEnd"/>
      <w:r w:rsidRPr="0036639F">
        <w:rPr>
          <w:rFonts w:ascii="Arial" w:hAnsi="Arial" w:cs="Arial"/>
          <w:sz w:val="20"/>
          <w:szCs w:val="20"/>
        </w:rPr>
        <w:t xml:space="preserve"> in thigh and breast muscles in 72.2% of cases, highlighting these as specific diagnostic criteria for IBD. Likewise, </w:t>
      </w:r>
      <w:proofErr w:type="spellStart"/>
      <w:r w:rsidR="00140C6B">
        <w:rPr>
          <w:rFonts w:ascii="Arial" w:hAnsi="Arial" w:cs="Arial"/>
          <w:sz w:val="20"/>
          <w:szCs w:val="20"/>
        </w:rPr>
        <w:t>Setta</w:t>
      </w:r>
      <w:proofErr w:type="spellEnd"/>
      <w:r w:rsidRPr="0036639F">
        <w:rPr>
          <w:rFonts w:ascii="Arial" w:hAnsi="Arial" w:cs="Arial"/>
          <w:sz w:val="20"/>
          <w:szCs w:val="20"/>
        </w:rPr>
        <w:t xml:space="preserve"> </w:t>
      </w:r>
      <w:r w:rsidR="00171478" w:rsidRPr="0036639F">
        <w:rPr>
          <w:rFonts w:ascii="Arial" w:hAnsi="Arial" w:cs="Arial"/>
          <w:i/>
          <w:iCs/>
          <w:sz w:val="20"/>
          <w:szCs w:val="20"/>
        </w:rPr>
        <w:t>et al</w:t>
      </w:r>
      <w:r w:rsidRPr="0036639F">
        <w:rPr>
          <w:rFonts w:ascii="Arial" w:hAnsi="Arial" w:cs="Arial"/>
          <w:sz w:val="20"/>
          <w:szCs w:val="20"/>
        </w:rPr>
        <w:t>.</w:t>
      </w:r>
      <w:r w:rsidR="00C81645">
        <w:rPr>
          <w:rFonts w:ascii="Arial" w:hAnsi="Arial" w:cs="Arial"/>
          <w:sz w:val="20"/>
          <w:szCs w:val="20"/>
        </w:rPr>
        <w:t xml:space="preserve">, </w:t>
      </w:r>
      <w:r w:rsidRPr="0036639F">
        <w:rPr>
          <w:rFonts w:ascii="Arial" w:hAnsi="Arial" w:cs="Arial"/>
          <w:sz w:val="20"/>
          <w:szCs w:val="20"/>
        </w:rPr>
        <w:t>(202</w:t>
      </w:r>
      <w:r w:rsidR="00C81645">
        <w:rPr>
          <w:rFonts w:ascii="Arial" w:hAnsi="Arial" w:cs="Arial"/>
          <w:sz w:val="20"/>
          <w:szCs w:val="20"/>
        </w:rPr>
        <w:t>4</w:t>
      </w:r>
      <w:r w:rsidRPr="0036639F">
        <w:rPr>
          <w:rFonts w:ascii="Arial" w:hAnsi="Arial" w:cs="Arial"/>
          <w:sz w:val="20"/>
          <w:szCs w:val="20"/>
        </w:rPr>
        <w:t xml:space="preserve">) documented multiple </w:t>
      </w:r>
      <w:proofErr w:type="spellStart"/>
      <w:r w:rsidRPr="0036639F">
        <w:rPr>
          <w:rFonts w:ascii="Arial" w:hAnsi="Arial" w:cs="Arial"/>
          <w:sz w:val="20"/>
          <w:szCs w:val="20"/>
        </w:rPr>
        <w:t>hemorrhages</w:t>
      </w:r>
      <w:proofErr w:type="spellEnd"/>
      <w:r w:rsidRPr="0036639F">
        <w:rPr>
          <w:rFonts w:ascii="Arial" w:hAnsi="Arial" w:cs="Arial"/>
          <w:sz w:val="20"/>
          <w:szCs w:val="20"/>
        </w:rPr>
        <w:t xml:space="preserve"> in the bursa and thigh muscles, as well as lesions at the proventriculus–gizzard junction, reinforcing the classical pathology of IBD. Furthermore, </w:t>
      </w:r>
      <w:proofErr w:type="spellStart"/>
      <w:r w:rsidR="00552147" w:rsidRPr="00552147">
        <w:rPr>
          <w:rFonts w:ascii="Arial" w:hAnsi="Arial" w:cs="Arial"/>
          <w:sz w:val="20"/>
          <w:szCs w:val="20"/>
        </w:rPr>
        <w:t>Teshager</w:t>
      </w:r>
      <w:proofErr w:type="spellEnd"/>
      <w:r w:rsidR="00552147">
        <w:rPr>
          <w:rFonts w:ascii="Arial" w:hAnsi="Arial" w:cs="Arial"/>
          <w:sz w:val="20"/>
          <w:szCs w:val="20"/>
        </w:rPr>
        <w:t xml:space="preserve">, </w:t>
      </w:r>
      <w:r w:rsidRPr="0036639F">
        <w:rPr>
          <w:rFonts w:ascii="Arial" w:hAnsi="Arial" w:cs="Arial"/>
          <w:sz w:val="20"/>
          <w:szCs w:val="20"/>
        </w:rPr>
        <w:t>(201</w:t>
      </w:r>
      <w:r w:rsidR="00552147">
        <w:rPr>
          <w:rFonts w:ascii="Arial" w:hAnsi="Arial" w:cs="Arial"/>
          <w:sz w:val="20"/>
          <w:szCs w:val="20"/>
        </w:rPr>
        <w:t>5</w:t>
      </w:r>
      <w:r w:rsidRPr="0036639F">
        <w:rPr>
          <w:rFonts w:ascii="Arial" w:hAnsi="Arial" w:cs="Arial"/>
          <w:sz w:val="20"/>
          <w:szCs w:val="20"/>
        </w:rPr>
        <w:t xml:space="preserve">) demonstrated that the bursa was swollen and </w:t>
      </w:r>
      <w:proofErr w:type="spellStart"/>
      <w:r w:rsidRPr="0036639F">
        <w:rPr>
          <w:rFonts w:ascii="Arial" w:hAnsi="Arial" w:cs="Arial"/>
          <w:sz w:val="20"/>
          <w:szCs w:val="20"/>
        </w:rPr>
        <w:t>hyperemic</w:t>
      </w:r>
      <w:proofErr w:type="spellEnd"/>
      <w:r w:rsidRPr="0036639F">
        <w:rPr>
          <w:rFonts w:ascii="Arial" w:hAnsi="Arial" w:cs="Arial"/>
          <w:sz w:val="20"/>
          <w:szCs w:val="20"/>
        </w:rPr>
        <w:t xml:space="preserve"> in the acute stage, later progressing to severe atrophy, confirming its role as the central lesion in IBD pathogenesis.</w:t>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4319"/>
      </w:tblGrid>
      <w:tr w:rsidR="007952EF" w:rsidRPr="00661523" w14:paraId="49226E0A" w14:textId="77777777" w:rsidTr="000C347C">
        <w:tc>
          <w:tcPr>
            <w:tcW w:w="8792" w:type="dxa"/>
            <w:gridSpan w:val="2"/>
            <w:vAlign w:val="center"/>
          </w:tcPr>
          <w:p w14:paraId="7A510831" w14:textId="77777777" w:rsidR="007952EF" w:rsidRPr="00661523" w:rsidRDefault="007952EF" w:rsidP="000C347C">
            <w:pPr>
              <w:spacing w:line="360" w:lineRule="auto"/>
              <w:jc w:val="both"/>
              <w:rPr>
                <w:rFonts w:ascii="Arial" w:hAnsi="Arial" w:cs="Arial"/>
                <w:lang w:bidi="ta-IN"/>
              </w:rPr>
            </w:pPr>
          </w:p>
          <w:p w14:paraId="11B43358" w14:textId="77777777" w:rsidR="007952EF" w:rsidRPr="00661523" w:rsidRDefault="007952EF" w:rsidP="000C347C">
            <w:pPr>
              <w:spacing w:line="360" w:lineRule="auto"/>
              <w:jc w:val="center"/>
              <w:rPr>
                <w:rFonts w:ascii="Arial" w:hAnsi="Arial" w:cs="Arial"/>
                <w:lang w:bidi="ta-IN"/>
              </w:rPr>
            </w:pPr>
            <w:r w:rsidRPr="00661523">
              <w:rPr>
                <w:rFonts w:ascii="Arial" w:hAnsi="Arial" w:cs="Arial"/>
                <w:noProof/>
                <w:cs/>
              </w:rPr>
              <w:drawing>
                <wp:inline distT="0" distB="0" distL="0" distR="0" wp14:anchorId="56BC5529" wp14:editId="121BD9E4">
                  <wp:extent cx="2702885" cy="2190307"/>
                  <wp:effectExtent l="19050" t="0" r="2215" b="0"/>
                  <wp:docPr id="1" name="Picture 3" descr="IMG_20190723_095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723_095504.jpg"/>
                          <pic:cNvPicPr/>
                        </pic:nvPicPr>
                        <pic:blipFill>
                          <a:blip r:embed="rId7" cstate="print"/>
                          <a:stretch>
                            <a:fillRect/>
                          </a:stretch>
                        </pic:blipFill>
                        <pic:spPr>
                          <a:xfrm>
                            <a:off x="0" y="0"/>
                            <a:ext cx="2708133" cy="2194560"/>
                          </a:xfrm>
                          <a:prstGeom prst="rect">
                            <a:avLst/>
                          </a:prstGeom>
                        </pic:spPr>
                      </pic:pic>
                    </a:graphicData>
                  </a:graphic>
                </wp:inline>
              </w:drawing>
            </w:r>
          </w:p>
        </w:tc>
      </w:tr>
      <w:tr w:rsidR="007952EF" w:rsidRPr="00661523" w14:paraId="7CB22521" w14:textId="77777777" w:rsidTr="000C347C">
        <w:tc>
          <w:tcPr>
            <w:tcW w:w="8792" w:type="dxa"/>
            <w:gridSpan w:val="2"/>
          </w:tcPr>
          <w:p w14:paraId="48E462E1" w14:textId="77777777" w:rsidR="007952EF" w:rsidRPr="007A6274" w:rsidRDefault="007952EF" w:rsidP="000C347C">
            <w:pPr>
              <w:autoSpaceDE w:val="0"/>
              <w:autoSpaceDN w:val="0"/>
              <w:adjustRightInd w:val="0"/>
              <w:spacing w:line="360" w:lineRule="auto"/>
              <w:jc w:val="center"/>
              <w:rPr>
                <w:rFonts w:ascii="Arial" w:hAnsi="Arial" w:cs="Arial"/>
                <w:b/>
                <w:cs/>
              </w:rPr>
            </w:pPr>
            <w:r w:rsidRPr="0036639F">
              <w:rPr>
                <w:rFonts w:ascii="Arial" w:hAnsi="Arial" w:cs="Arial"/>
                <w:b/>
                <w:sz w:val="20"/>
                <w:szCs w:val="20"/>
              </w:rPr>
              <w:t xml:space="preserve"> Hemorrhages under abdomen and thigh regions </w:t>
            </w:r>
          </w:p>
        </w:tc>
      </w:tr>
      <w:tr w:rsidR="007952EF" w:rsidRPr="00661523" w14:paraId="370CC40E" w14:textId="77777777" w:rsidTr="000C347C">
        <w:tc>
          <w:tcPr>
            <w:tcW w:w="4473" w:type="dxa"/>
            <w:vAlign w:val="center"/>
          </w:tcPr>
          <w:p w14:paraId="5947698F" w14:textId="77777777" w:rsidR="007952EF" w:rsidRPr="00661523" w:rsidRDefault="007952EF" w:rsidP="000C347C">
            <w:pPr>
              <w:spacing w:line="360" w:lineRule="auto"/>
              <w:jc w:val="center"/>
              <w:rPr>
                <w:rFonts w:ascii="Arial" w:hAnsi="Arial" w:cs="Arial"/>
                <w:lang w:bidi="ta-IN"/>
              </w:rPr>
            </w:pPr>
            <w:r w:rsidRPr="00661523">
              <w:rPr>
                <w:rFonts w:ascii="Arial" w:hAnsi="Arial" w:cs="Arial"/>
                <w:noProof/>
                <w:cs/>
              </w:rPr>
              <w:drawing>
                <wp:inline distT="0" distB="0" distL="0" distR="0" wp14:anchorId="5182CB0E" wp14:editId="21B4C003">
                  <wp:extent cx="2394744" cy="1634490"/>
                  <wp:effectExtent l="0" t="0" r="5715" b="3810"/>
                  <wp:docPr id="2" name="Picture 4" descr="IMG_20190723_095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723_095645.jpg"/>
                          <pic:cNvPicPr/>
                        </pic:nvPicPr>
                        <pic:blipFill rotWithShape="1">
                          <a:blip r:embed="rId8" cstate="print"/>
                          <a:srcRect l="10603" b="27803"/>
                          <a:stretch>
                            <a:fillRect/>
                          </a:stretch>
                        </pic:blipFill>
                        <pic:spPr bwMode="auto">
                          <a:xfrm>
                            <a:off x="0" y="0"/>
                            <a:ext cx="2402480" cy="1639770"/>
                          </a:xfrm>
                          <a:prstGeom prst="rect">
                            <a:avLst/>
                          </a:prstGeom>
                          <a:ln>
                            <a:noFill/>
                          </a:ln>
                          <a:extLst>
                            <a:ext uri="{53640926-AAD7-44D8-BBD7-CCE9431645EC}">
                              <a14:shadowObscured xmlns:a14="http://schemas.microsoft.com/office/drawing/2010/main"/>
                            </a:ext>
                          </a:extLst>
                        </pic:spPr>
                      </pic:pic>
                    </a:graphicData>
                  </a:graphic>
                </wp:inline>
              </w:drawing>
            </w:r>
          </w:p>
        </w:tc>
        <w:tc>
          <w:tcPr>
            <w:tcW w:w="4319" w:type="dxa"/>
            <w:vAlign w:val="center"/>
          </w:tcPr>
          <w:p w14:paraId="23A9757B" w14:textId="77777777" w:rsidR="007952EF" w:rsidRPr="00661523" w:rsidRDefault="007952EF" w:rsidP="000C347C">
            <w:pPr>
              <w:spacing w:line="360" w:lineRule="auto"/>
              <w:jc w:val="center"/>
              <w:rPr>
                <w:rFonts w:ascii="Arial" w:hAnsi="Arial" w:cs="Arial"/>
                <w:lang w:bidi="ta-IN"/>
              </w:rPr>
            </w:pPr>
            <w:r w:rsidRPr="00661523">
              <w:rPr>
                <w:rFonts w:ascii="Arial" w:hAnsi="Arial" w:cs="Arial"/>
                <w:noProof/>
                <w:cs/>
              </w:rPr>
              <w:drawing>
                <wp:inline distT="0" distB="0" distL="0" distR="0" wp14:anchorId="2E370A75" wp14:editId="1098FC67">
                  <wp:extent cx="1627793" cy="2274917"/>
                  <wp:effectExtent l="318" t="0" r="0" b="0"/>
                  <wp:docPr id="3" name="Picture 5" descr="IMG_20190723_094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723_094809.jpg"/>
                          <pic:cNvPicPr/>
                        </pic:nvPicPr>
                        <pic:blipFill rotWithShape="1">
                          <a:blip r:embed="rId9" cstate="print"/>
                          <a:srcRect l="37553"/>
                          <a:stretch>
                            <a:fillRect/>
                          </a:stretch>
                        </pic:blipFill>
                        <pic:spPr bwMode="auto">
                          <a:xfrm rot="16200000" flipV="1">
                            <a:off x="0" y="0"/>
                            <a:ext cx="1628814" cy="2276344"/>
                          </a:xfrm>
                          <a:prstGeom prst="rect">
                            <a:avLst/>
                          </a:prstGeom>
                          <a:ln>
                            <a:noFill/>
                          </a:ln>
                          <a:extLst>
                            <a:ext uri="{53640926-AAD7-44D8-BBD7-CCE9431645EC}">
                              <a14:shadowObscured xmlns:a14="http://schemas.microsoft.com/office/drawing/2010/main"/>
                            </a:ext>
                          </a:extLst>
                        </pic:spPr>
                      </pic:pic>
                    </a:graphicData>
                  </a:graphic>
                </wp:inline>
              </w:drawing>
            </w:r>
          </w:p>
        </w:tc>
      </w:tr>
      <w:tr w:rsidR="007952EF" w:rsidRPr="00661523" w14:paraId="578CFC6A" w14:textId="77777777" w:rsidTr="000C347C">
        <w:tc>
          <w:tcPr>
            <w:tcW w:w="4473" w:type="dxa"/>
          </w:tcPr>
          <w:p w14:paraId="7FCA14CA" w14:textId="77777777" w:rsidR="007952EF" w:rsidRPr="0036639F" w:rsidRDefault="007952EF" w:rsidP="000C347C">
            <w:pPr>
              <w:autoSpaceDE w:val="0"/>
              <w:autoSpaceDN w:val="0"/>
              <w:adjustRightInd w:val="0"/>
              <w:spacing w:line="360" w:lineRule="auto"/>
              <w:jc w:val="center"/>
              <w:rPr>
                <w:rFonts w:ascii="Arial" w:hAnsi="Arial" w:cs="Arial"/>
                <w:b/>
                <w:sz w:val="20"/>
                <w:szCs w:val="20"/>
              </w:rPr>
            </w:pPr>
            <w:r w:rsidRPr="0036639F">
              <w:rPr>
                <w:rFonts w:ascii="Arial" w:hAnsi="Arial" w:cs="Arial"/>
                <w:b/>
                <w:sz w:val="20"/>
                <w:szCs w:val="20"/>
              </w:rPr>
              <w:t>Swelling of bursa</w:t>
            </w:r>
          </w:p>
        </w:tc>
        <w:tc>
          <w:tcPr>
            <w:tcW w:w="4319" w:type="dxa"/>
          </w:tcPr>
          <w:p w14:paraId="068C8312" w14:textId="77777777" w:rsidR="007952EF" w:rsidRPr="0036639F" w:rsidRDefault="007952EF" w:rsidP="000C347C">
            <w:pPr>
              <w:spacing w:line="360" w:lineRule="auto"/>
              <w:jc w:val="center"/>
              <w:rPr>
                <w:rFonts w:ascii="Arial" w:hAnsi="Arial" w:cs="Arial"/>
                <w:b/>
                <w:sz w:val="20"/>
                <w:szCs w:val="20"/>
                <w:lang w:bidi="ta-IN"/>
              </w:rPr>
            </w:pPr>
            <w:r w:rsidRPr="0036639F">
              <w:rPr>
                <w:rFonts w:ascii="Arial" w:hAnsi="Arial" w:cs="Arial"/>
                <w:b/>
                <w:sz w:val="20"/>
                <w:szCs w:val="20"/>
              </w:rPr>
              <w:t>Petechial hemorrhages in bursa</w:t>
            </w:r>
          </w:p>
        </w:tc>
      </w:tr>
    </w:tbl>
    <w:p w14:paraId="385D9DAE" w14:textId="77777777" w:rsidR="007952EF" w:rsidRPr="00F80BB5" w:rsidRDefault="007952EF" w:rsidP="007952EF">
      <w:pPr>
        <w:spacing w:after="0" w:line="360" w:lineRule="auto"/>
        <w:ind w:firstLine="720"/>
        <w:jc w:val="center"/>
        <w:rPr>
          <w:rFonts w:ascii="Arial" w:hAnsi="Arial" w:cs="Arial"/>
          <w:b/>
          <w:bCs/>
          <w:sz w:val="20"/>
          <w:szCs w:val="20"/>
        </w:rPr>
      </w:pPr>
      <w:r w:rsidRPr="00F80BB5">
        <w:rPr>
          <w:rFonts w:ascii="Arial" w:hAnsi="Arial" w:cs="Arial"/>
          <w:b/>
          <w:bCs/>
          <w:sz w:val="20"/>
          <w:szCs w:val="20"/>
        </w:rPr>
        <w:t>Fig 1. Gross lesions noticed in Aseel Chicken</w:t>
      </w:r>
    </w:p>
    <w:p w14:paraId="1E46C89B" w14:textId="31D9D769" w:rsidR="006A726E" w:rsidRDefault="00CC3A59"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Taken together, these findings indicate that the combination of muscle </w:t>
      </w:r>
      <w:proofErr w:type="spellStart"/>
      <w:r w:rsidRPr="0036639F">
        <w:rPr>
          <w:rFonts w:ascii="Arial" w:hAnsi="Arial" w:cs="Arial"/>
          <w:sz w:val="20"/>
          <w:szCs w:val="20"/>
        </w:rPr>
        <w:t>hemorrhages</w:t>
      </w:r>
      <w:proofErr w:type="spellEnd"/>
      <w:r w:rsidRPr="0036639F">
        <w:rPr>
          <w:rFonts w:ascii="Arial" w:hAnsi="Arial" w:cs="Arial"/>
          <w:sz w:val="20"/>
          <w:szCs w:val="20"/>
        </w:rPr>
        <w:t xml:space="preserve">, swollen and </w:t>
      </w:r>
      <w:proofErr w:type="spellStart"/>
      <w:r w:rsidRPr="0036639F">
        <w:rPr>
          <w:rFonts w:ascii="Arial" w:hAnsi="Arial" w:cs="Arial"/>
          <w:sz w:val="20"/>
          <w:szCs w:val="20"/>
        </w:rPr>
        <w:t>hemorrhagic</w:t>
      </w:r>
      <w:proofErr w:type="spellEnd"/>
      <w:r w:rsidRPr="0036639F">
        <w:rPr>
          <w:rFonts w:ascii="Arial" w:hAnsi="Arial" w:cs="Arial"/>
          <w:sz w:val="20"/>
          <w:szCs w:val="20"/>
        </w:rPr>
        <w:t xml:space="preserve"> bursa of </w:t>
      </w:r>
      <w:proofErr w:type="spellStart"/>
      <w:r w:rsidRPr="0036639F">
        <w:rPr>
          <w:rFonts w:ascii="Arial" w:hAnsi="Arial" w:cs="Arial"/>
          <w:sz w:val="20"/>
          <w:szCs w:val="20"/>
        </w:rPr>
        <w:t>Fabricius</w:t>
      </w:r>
      <w:proofErr w:type="spellEnd"/>
      <w:r w:rsidRPr="0036639F">
        <w:rPr>
          <w:rFonts w:ascii="Arial" w:hAnsi="Arial" w:cs="Arial"/>
          <w:sz w:val="20"/>
          <w:szCs w:val="20"/>
        </w:rPr>
        <w:t xml:space="preserve">, kidney enlargement with urate deposition and proventriculus–gizzard </w:t>
      </w:r>
      <w:proofErr w:type="spellStart"/>
      <w:r w:rsidRPr="0036639F">
        <w:rPr>
          <w:rFonts w:ascii="Arial" w:hAnsi="Arial" w:cs="Arial"/>
          <w:sz w:val="20"/>
          <w:szCs w:val="20"/>
        </w:rPr>
        <w:t>hemorrhages</w:t>
      </w:r>
      <w:proofErr w:type="spellEnd"/>
      <w:r w:rsidRPr="0036639F">
        <w:rPr>
          <w:rFonts w:ascii="Arial" w:hAnsi="Arial" w:cs="Arial"/>
          <w:sz w:val="20"/>
          <w:szCs w:val="20"/>
        </w:rPr>
        <w:t xml:space="preserve"> </w:t>
      </w:r>
      <w:r w:rsidR="00F80BB5" w:rsidRPr="0036639F">
        <w:rPr>
          <w:rFonts w:ascii="Arial" w:hAnsi="Arial" w:cs="Arial"/>
          <w:sz w:val="20"/>
          <w:szCs w:val="20"/>
        </w:rPr>
        <w:t>represent</w:t>
      </w:r>
      <w:r w:rsidRPr="0036639F">
        <w:rPr>
          <w:rFonts w:ascii="Arial" w:hAnsi="Arial" w:cs="Arial"/>
          <w:sz w:val="20"/>
          <w:szCs w:val="20"/>
        </w:rPr>
        <w:t xml:space="preserve"> the pathognomonic lesion complex of IBD, consistently described across different geographical regions and production systems.</w:t>
      </w:r>
    </w:p>
    <w:p w14:paraId="1CBFA997" w14:textId="5BA4BE11" w:rsidR="00D27D1E" w:rsidRPr="0036639F" w:rsidRDefault="005E6CBC" w:rsidP="007952EF">
      <w:pPr>
        <w:spacing w:after="0" w:line="360" w:lineRule="auto"/>
        <w:jc w:val="both"/>
        <w:rPr>
          <w:rFonts w:ascii="Arial" w:hAnsi="Arial" w:cs="Arial"/>
          <w:b/>
          <w:bCs/>
          <w:sz w:val="22"/>
          <w:szCs w:val="22"/>
        </w:rPr>
      </w:pPr>
      <w:r w:rsidRPr="0036639F">
        <w:rPr>
          <w:rFonts w:ascii="Arial" w:hAnsi="Arial" w:cs="Arial"/>
          <w:b/>
          <w:bCs/>
          <w:sz w:val="22"/>
          <w:szCs w:val="22"/>
        </w:rPr>
        <w:t xml:space="preserve">3.3 </w:t>
      </w:r>
      <w:r w:rsidR="00D27D1E" w:rsidRPr="0036639F">
        <w:rPr>
          <w:rFonts w:ascii="Arial" w:hAnsi="Arial" w:cs="Arial"/>
          <w:b/>
          <w:bCs/>
          <w:sz w:val="22"/>
          <w:szCs w:val="22"/>
        </w:rPr>
        <w:t xml:space="preserve">Laboratory Diagnosis </w:t>
      </w:r>
    </w:p>
    <w:p w14:paraId="7FD9CA56" w14:textId="05F5B6D6" w:rsidR="00D27D1E" w:rsidRPr="0036639F" w:rsidRDefault="00D27D1E" w:rsidP="007952EF">
      <w:pPr>
        <w:spacing w:after="0" w:line="360" w:lineRule="auto"/>
        <w:ind w:firstLine="720"/>
        <w:jc w:val="both"/>
        <w:rPr>
          <w:rFonts w:ascii="Arial" w:hAnsi="Arial" w:cs="Arial"/>
          <w:sz w:val="22"/>
          <w:szCs w:val="22"/>
        </w:rPr>
      </w:pPr>
      <w:r w:rsidRPr="00661523">
        <w:rPr>
          <w:rFonts w:ascii="Arial" w:hAnsi="Arial" w:cs="Arial"/>
        </w:rPr>
        <w:t>T</w:t>
      </w:r>
      <w:r w:rsidRPr="0036639F">
        <w:rPr>
          <w:rFonts w:ascii="Arial" w:hAnsi="Arial" w:cs="Arial"/>
          <w:sz w:val="22"/>
          <w:szCs w:val="22"/>
        </w:rPr>
        <w:t>he laboratory findings in this outbreak confirmed the presence of Infectious Bursal Disease Virus (IBDV). Counter-</w:t>
      </w:r>
      <w:proofErr w:type="spellStart"/>
      <w:r w:rsidRPr="0036639F">
        <w:rPr>
          <w:rFonts w:ascii="Arial" w:hAnsi="Arial" w:cs="Arial"/>
          <w:sz w:val="22"/>
          <w:szCs w:val="22"/>
        </w:rPr>
        <w:t>immunoelectrophoresis</w:t>
      </w:r>
      <w:proofErr w:type="spellEnd"/>
      <w:r w:rsidR="009D7CE8" w:rsidRPr="0036639F">
        <w:rPr>
          <w:rFonts w:ascii="Arial" w:hAnsi="Arial" w:cs="Arial"/>
          <w:sz w:val="22"/>
          <w:szCs w:val="22"/>
        </w:rPr>
        <w:t xml:space="preserve"> </w:t>
      </w:r>
      <w:r w:rsidRPr="0036639F">
        <w:rPr>
          <w:rFonts w:ascii="Arial" w:hAnsi="Arial" w:cs="Arial"/>
          <w:sz w:val="22"/>
          <w:szCs w:val="22"/>
        </w:rPr>
        <w:t xml:space="preserve">carried out at the Central University </w:t>
      </w:r>
      <w:r w:rsidRPr="0036639F">
        <w:rPr>
          <w:rFonts w:ascii="Arial" w:hAnsi="Arial" w:cs="Arial"/>
          <w:sz w:val="22"/>
          <w:szCs w:val="22"/>
        </w:rPr>
        <w:lastRenderedPageBreak/>
        <w:t>Laboratory, TANUVAS detected viral antigen in bursal tissue homogenates. This result provided conclusive confirmation of IBD in the affected flock.</w:t>
      </w:r>
    </w:p>
    <w:p w14:paraId="61344631" w14:textId="3E73E05F" w:rsidR="00D27D1E" w:rsidRPr="0036639F" w:rsidRDefault="00D27D1E" w:rsidP="007952EF">
      <w:pPr>
        <w:spacing w:after="0" w:line="360" w:lineRule="auto"/>
        <w:ind w:firstLine="720"/>
        <w:jc w:val="both"/>
        <w:rPr>
          <w:rFonts w:ascii="Arial" w:hAnsi="Arial" w:cs="Arial"/>
          <w:sz w:val="22"/>
          <w:szCs w:val="22"/>
        </w:rPr>
      </w:pPr>
      <w:r w:rsidRPr="0036639F">
        <w:rPr>
          <w:rFonts w:ascii="Arial" w:hAnsi="Arial" w:cs="Arial"/>
          <w:sz w:val="22"/>
          <w:szCs w:val="22"/>
        </w:rPr>
        <w:t xml:space="preserve">The present findings align with earlier reports where serological assays have been successfully employed for IBD diagnosis. For instance, </w:t>
      </w:r>
      <w:proofErr w:type="spellStart"/>
      <w:r w:rsidRPr="0036639F">
        <w:rPr>
          <w:rFonts w:ascii="Arial" w:hAnsi="Arial" w:cs="Arial"/>
          <w:sz w:val="22"/>
          <w:szCs w:val="22"/>
        </w:rPr>
        <w:t>Mazengia</w:t>
      </w:r>
      <w:proofErr w:type="spellEnd"/>
      <w:r w:rsidRPr="0036639F">
        <w:rPr>
          <w:rFonts w:ascii="Arial" w:hAnsi="Arial" w:cs="Arial"/>
          <w:sz w:val="22"/>
          <w:szCs w:val="22"/>
        </w:rPr>
        <w:t xml:space="preserve"> </w:t>
      </w:r>
      <w:r w:rsidR="00171478" w:rsidRPr="00A464DE">
        <w:rPr>
          <w:rFonts w:ascii="Arial" w:hAnsi="Arial" w:cs="Arial"/>
          <w:i/>
          <w:iCs/>
          <w:sz w:val="22"/>
          <w:szCs w:val="22"/>
        </w:rPr>
        <w:t>et al</w:t>
      </w:r>
      <w:r w:rsidRPr="0036639F">
        <w:rPr>
          <w:rFonts w:ascii="Arial" w:hAnsi="Arial" w:cs="Arial"/>
          <w:sz w:val="22"/>
          <w:szCs w:val="22"/>
        </w:rPr>
        <w:t>. (2009) confirmed IBD in Ethiopian village chickens through agar gel immunodiffusion, which detected IBDV-specific antibodies in recovered birds in addition to gross and microscopic bursal lesions</w:t>
      </w:r>
    </w:p>
    <w:p w14:paraId="60C698A9" w14:textId="62196AD9" w:rsidR="00D27D1E" w:rsidRPr="0036639F" w:rsidRDefault="00D27D1E" w:rsidP="007952EF">
      <w:pPr>
        <w:spacing w:after="0" w:line="360" w:lineRule="auto"/>
        <w:ind w:firstLine="720"/>
        <w:jc w:val="both"/>
        <w:rPr>
          <w:rFonts w:ascii="Arial" w:hAnsi="Arial" w:cs="Arial"/>
          <w:sz w:val="22"/>
          <w:szCs w:val="22"/>
        </w:rPr>
      </w:pPr>
      <w:r w:rsidRPr="0036639F">
        <w:rPr>
          <w:rFonts w:ascii="Arial" w:hAnsi="Arial" w:cs="Arial"/>
          <w:sz w:val="22"/>
          <w:szCs w:val="22"/>
        </w:rPr>
        <w:t xml:space="preserve">Similarly, </w:t>
      </w:r>
      <w:proofErr w:type="spellStart"/>
      <w:r w:rsidR="00552147" w:rsidRPr="00A464DE">
        <w:rPr>
          <w:rFonts w:ascii="Arial" w:hAnsi="Arial" w:cs="Arial"/>
          <w:sz w:val="20"/>
          <w:szCs w:val="20"/>
        </w:rPr>
        <w:t>Teshager</w:t>
      </w:r>
      <w:proofErr w:type="spellEnd"/>
      <w:r w:rsidR="00552147">
        <w:rPr>
          <w:rFonts w:ascii="Arial" w:hAnsi="Arial" w:cs="Arial"/>
          <w:sz w:val="22"/>
          <w:szCs w:val="22"/>
        </w:rPr>
        <w:t xml:space="preserve">, </w:t>
      </w:r>
      <w:r w:rsidRPr="0036639F">
        <w:rPr>
          <w:rFonts w:ascii="Arial" w:hAnsi="Arial" w:cs="Arial"/>
          <w:sz w:val="22"/>
          <w:szCs w:val="22"/>
        </w:rPr>
        <w:t>(201</w:t>
      </w:r>
      <w:r w:rsidR="00552147">
        <w:rPr>
          <w:rFonts w:ascii="Arial" w:hAnsi="Arial" w:cs="Arial"/>
          <w:sz w:val="22"/>
          <w:szCs w:val="22"/>
        </w:rPr>
        <w:t>5</w:t>
      </w:r>
      <w:r w:rsidRPr="0036639F">
        <w:rPr>
          <w:rFonts w:ascii="Arial" w:hAnsi="Arial" w:cs="Arial"/>
          <w:sz w:val="22"/>
          <w:szCs w:val="22"/>
        </w:rPr>
        <w:t xml:space="preserve">) reported that bursal tissue examination, both histologically and serologically, provided reliable confirmation of IBDV infection in backyard chickens. In acute outbreaks, </w:t>
      </w:r>
      <w:proofErr w:type="spellStart"/>
      <w:r w:rsidRPr="0036639F">
        <w:rPr>
          <w:rFonts w:ascii="Arial" w:hAnsi="Arial" w:cs="Arial"/>
          <w:sz w:val="22"/>
          <w:szCs w:val="22"/>
        </w:rPr>
        <w:t>Badau</w:t>
      </w:r>
      <w:proofErr w:type="spellEnd"/>
      <w:r w:rsidRPr="0036639F">
        <w:rPr>
          <w:rFonts w:ascii="Arial" w:hAnsi="Arial" w:cs="Arial"/>
          <w:sz w:val="22"/>
          <w:szCs w:val="22"/>
        </w:rPr>
        <w:t xml:space="preserve"> </w:t>
      </w:r>
      <w:r w:rsidR="00171478" w:rsidRPr="0036639F">
        <w:rPr>
          <w:rFonts w:ascii="Arial" w:hAnsi="Arial" w:cs="Arial"/>
          <w:sz w:val="22"/>
          <w:szCs w:val="22"/>
        </w:rPr>
        <w:t>et al</w:t>
      </w:r>
      <w:r w:rsidRPr="0036639F">
        <w:rPr>
          <w:rFonts w:ascii="Arial" w:hAnsi="Arial" w:cs="Arial"/>
          <w:sz w:val="22"/>
          <w:szCs w:val="22"/>
        </w:rPr>
        <w:t>. (2023) also highlighted the utility of immunological assays such as AGID and ELISA in confirming IBD alongside characteristic lesions</w:t>
      </w:r>
      <w:r w:rsidR="009D7CE8" w:rsidRPr="0036639F">
        <w:rPr>
          <w:rFonts w:ascii="Arial" w:hAnsi="Arial" w:cs="Arial"/>
          <w:sz w:val="22"/>
          <w:szCs w:val="22"/>
        </w:rPr>
        <w:t>.</w:t>
      </w:r>
    </w:p>
    <w:p w14:paraId="59598F24" w14:textId="2DE69400" w:rsidR="00D27D1E" w:rsidRPr="0036639F" w:rsidRDefault="00D27D1E" w:rsidP="007952EF">
      <w:pPr>
        <w:spacing w:after="0" w:line="360" w:lineRule="auto"/>
        <w:ind w:firstLine="720"/>
        <w:jc w:val="both"/>
        <w:rPr>
          <w:rFonts w:ascii="Arial" w:hAnsi="Arial" w:cs="Arial"/>
          <w:sz w:val="22"/>
          <w:szCs w:val="22"/>
        </w:rPr>
      </w:pPr>
      <w:r w:rsidRPr="0036639F">
        <w:rPr>
          <w:rFonts w:ascii="Arial" w:hAnsi="Arial" w:cs="Arial"/>
          <w:sz w:val="22"/>
          <w:szCs w:val="22"/>
        </w:rPr>
        <w:t xml:space="preserve">The agreement between our CIEP results and these earlier reports reinforces the reliability of immunological assays in diagnosing IBD under both commercial and backyard production conditions. Combined with the gross pathological features observed in the present study, the positive laboratory confirmation provides unequivocal evidence that the outbreak was due to </w:t>
      </w:r>
      <w:proofErr w:type="spellStart"/>
      <w:r w:rsidRPr="0036639F">
        <w:rPr>
          <w:rFonts w:ascii="Arial" w:hAnsi="Arial" w:cs="Arial"/>
          <w:sz w:val="22"/>
          <w:szCs w:val="22"/>
        </w:rPr>
        <w:t>Gumboro</w:t>
      </w:r>
      <w:proofErr w:type="spellEnd"/>
      <w:r w:rsidRPr="0036639F">
        <w:rPr>
          <w:rFonts w:ascii="Arial" w:hAnsi="Arial" w:cs="Arial"/>
          <w:sz w:val="22"/>
          <w:szCs w:val="22"/>
        </w:rPr>
        <w:t xml:space="preserve"> disease.</w:t>
      </w:r>
    </w:p>
    <w:p w14:paraId="56C8D2C6" w14:textId="784E6E04" w:rsidR="00D67627" w:rsidRPr="0036639F" w:rsidRDefault="005E6CBC" w:rsidP="007952EF">
      <w:pPr>
        <w:spacing w:after="0" w:line="360" w:lineRule="auto"/>
        <w:jc w:val="both"/>
        <w:rPr>
          <w:rFonts w:ascii="Arial" w:hAnsi="Arial" w:cs="Arial"/>
          <w:b/>
          <w:bCs/>
          <w:sz w:val="22"/>
          <w:szCs w:val="22"/>
        </w:rPr>
      </w:pPr>
      <w:r w:rsidRPr="0036639F">
        <w:rPr>
          <w:rFonts w:ascii="Arial" w:hAnsi="Arial" w:cs="Arial"/>
          <w:b/>
          <w:bCs/>
          <w:sz w:val="22"/>
          <w:szCs w:val="22"/>
        </w:rPr>
        <w:t xml:space="preserve">3.4 </w:t>
      </w:r>
      <w:r w:rsidR="00D67627" w:rsidRPr="0036639F">
        <w:rPr>
          <w:rFonts w:ascii="Arial" w:hAnsi="Arial" w:cs="Arial"/>
          <w:b/>
          <w:bCs/>
          <w:sz w:val="22"/>
          <w:szCs w:val="22"/>
        </w:rPr>
        <w:t>Treatment and Control</w:t>
      </w:r>
    </w:p>
    <w:p w14:paraId="714ADBD4" w14:textId="6D1C660A" w:rsidR="00D67627" w:rsidRPr="0036639F" w:rsidRDefault="00D67627" w:rsidP="007952EF">
      <w:pPr>
        <w:spacing w:after="0" w:line="360" w:lineRule="auto"/>
        <w:ind w:firstLine="720"/>
        <w:jc w:val="both"/>
        <w:rPr>
          <w:rFonts w:ascii="Arial" w:hAnsi="Arial" w:cs="Arial"/>
          <w:sz w:val="20"/>
          <w:szCs w:val="20"/>
        </w:rPr>
      </w:pPr>
      <w:r w:rsidRPr="0036639F">
        <w:rPr>
          <w:rFonts w:ascii="Arial" w:hAnsi="Arial" w:cs="Arial"/>
          <w:sz w:val="20"/>
          <w:szCs w:val="20"/>
        </w:rPr>
        <w:t>As no specific antiviral therapy is available for Infectious Bursal Disease (IBD), treatment during the outbreak was directed towards supportive care and prevention of secondary bacterial infections. Affected birds were administered cephalexin, a broad-spectrum antibiotic</w:t>
      </w:r>
      <w:r w:rsidR="00833AC3">
        <w:rPr>
          <w:rFonts w:ascii="Arial" w:hAnsi="Arial" w:cs="Arial"/>
          <w:sz w:val="20"/>
          <w:szCs w:val="20"/>
        </w:rPr>
        <w:t xml:space="preserve"> at the rate of 20 gm per 250 birds,</w:t>
      </w:r>
      <w:r w:rsidRPr="0036639F">
        <w:rPr>
          <w:rFonts w:ascii="Arial" w:hAnsi="Arial" w:cs="Arial"/>
          <w:sz w:val="20"/>
          <w:szCs w:val="20"/>
        </w:rPr>
        <w:t xml:space="preserve"> to reduce the risk of opportunistic bacterial complications, which often exacerbate morbidity in immunocompromised flocks. In addition, a liver tonic </w:t>
      </w:r>
      <w:r w:rsidR="00833AC3">
        <w:rPr>
          <w:rFonts w:ascii="Arial" w:hAnsi="Arial" w:cs="Arial"/>
          <w:sz w:val="20"/>
          <w:szCs w:val="20"/>
        </w:rPr>
        <w:t xml:space="preserve">at the rate of 10 ml per 100 birds </w:t>
      </w:r>
      <w:r w:rsidRPr="0036639F">
        <w:rPr>
          <w:rFonts w:ascii="Arial" w:hAnsi="Arial" w:cs="Arial"/>
          <w:sz w:val="20"/>
          <w:szCs w:val="20"/>
        </w:rPr>
        <w:t>was provided to improve hepatic function and aid in metabolic recovery, while multivitamin supplements, particularly vitamins A, D</w:t>
      </w:r>
      <w:r w:rsidRPr="0036639F">
        <w:rPr>
          <w:rFonts w:ascii="Cambria Math" w:hAnsi="Cambria Math" w:cs="Cambria Math"/>
          <w:sz w:val="20"/>
          <w:szCs w:val="20"/>
        </w:rPr>
        <w:t>₃</w:t>
      </w:r>
      <w:r w:rsidRPr="0036639F">
        <w:rPr>
          <w:rFonts w:ascii="Arial" w:hAnsi="Arial" w:cs="Arial"/>
          <w:sz w:val="20"/>
          <w:szCs w:val="20"/>
        </w:rPr>
        <w:t xml:space="preserve"> and E were included</w:t>
      </w:r>
      <w:r w:rsidR="00833AC3" w:rsidRPr="00833AC3">
        <w:rPr>
          <w:rFonts w:ascii="Arial" w:hAnsi="Arial" w:cs="Arial"/>
          <w:sz w:val="20"/>
          <w:szCs w:val="20"/>
        </w:rPr>
        <w:t xml:space="preserve"> </w:t>
      </w:r>
      <w:r w:rsidR="00833AC3">
        <w:rPr>
          <w:rFonts w:ascii="Arial" w:hAnsi="Arial" w:cs="Arial"/>
          <w:sz w:val="20"/>
          <w:szCs w:val="20"/>
        </w:rPr>
        <w:t xml:space="preserve">at the rate of 2 ml per litre of </w:t>
      </w:r>
      <w:r w:rsidRPr="0036639F">
        <w:rPr>
          <w:rFonts w:ascii="Arial" w:hAnsi="Arial" w:cs="Arial"/>
          <w:sz w:val="20"/>
          <w:szCs w:val="20"/>
        </w:rPr>
        <w:t>drinking water to enhance immune function and overall resilience of the birds.</w:t>
      </w:r>
    </w:p>
    <w:p w14:paraId="5FE0556A" w14:textId="589CBB7C" w:rsidR="00D67627" w:rsidRPr="00A464DE" w:rsidRDefault="00D67627"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Parallel to therapeutic measures, strict biosecurity and disinfection protocols were enforced across the farm. Disinfection of poultry houses and surrounding areas was carried out using 5% carbolic acid (phenol) solution, sprayed over three consecutive days to reduce environmental contamination and viral load. </w:t>
      </w:r>
      <w:r w:rsidR="00C53552" w:rsidRPr="00A464DE">
        <w:rPr>
          <w:rFonts w:ascii="Arial" w:hAnsi="Arial" w:cs="Arial"/>
          <w:sz w:val="20"/>
          <w:szCs w:val="20"/>
        </w:rPr>
        <w:t xml:space="preserve">Severely affected birds (n=105) were promptly segregated and managed in an isolation shed located approximately 100 feet away from the main housing unit to prevent cross-infection. </w:t>
      </w:r>
      <w:r w:rsidRPr="00A464DE">
        <w:rPr>
          <w:rFonts w:ascii="Arial" w:hAnsi="Arial" w:cs="Arial"/>
          <w:sz w:val="20"/>
          <w:szCs w:val="20"/>
        </w:rPr>
        <w:t>Bedding materials, litter and faecal waste were carefully collected and burned to eliminate possible reservoirs of infection. Furthermore, movement of personnel within and around the poultry unit was restricted and the sharing of utensils and feeding equipment between healthy and affected birds was strictly avoided to minimize the risk of further viral spread.</w:t>
      </w:r>
    </w:p>
    <w:p w14:paraId="64686DE4" w14:textId="154CAAC8" w:rsidR="00A623C4" w:rsidRDefault="00A623C4" w:rsidP="007952EF">
      <w:pPr>
        <w:spacing w:after="0" w:line="360" w:lineRule="auto"/>
        <w:ind w:firstLine="720"/>
        <w:jc w:val="both"/>
        <w:rPr>
          <w:rFonts w:ascii="Arial" w:hAnsi="Arial" w:cs="Arial"/>
          <w:sz w:val="20"/>
          <w:szCs w:val="20"/>
        </w:rPr>
      </w:pPr>
      <w:r w:rsidRPr="00A464DE">
        <w:rPr>
          <w:rFonts w:ascii="Arial" w:hAnsi="Arial" w:cs="Arial"/>
          <w:sz w:val="20"/>
          <w:szCs w:val="20"/>
        </w:rPr>
        <w:t xml:space="preserve">Following the implementation of therapeutic and biosecurity interventions, a marked improvement in flock health was observed. Clinical signs, including diarrhoea, depression, and anorexia, showed noticeable regression by the third day of treatment, accompanied by a substantial decline in daily mortality. </w:t>
      </w:r>
      <w:r w:rsidRPr="00A464DE">
        <w:rPr>
          <w:rFonts w:ascii="Arial" w:hAnsi="Arial" w:cs="Arial"/>
          <w:sz w:val="20"/>
          <w:szCs w:val="20"/>
        </w:rPr>
        <w:lastRenderedPageBreak/>
        <w:t xml:space="preserve">The mortality rates recorded during the first three days of intervention were 4%, 2%, and 0.5%, respectively. By the fifth day, the outbreak was effectively brought under control and the surviving birds had resumed normal activity levels, with restoration of appetite and feeding </w:t>
      </w:r>
      <w:r w:rsidRPr="00A623C4">
        <w:rPr>
          <w:rFonts w:ascii="Arial" w:hAnsi="Arial" w:cs="Arial"/>
          <w:sz w:val="20"/>
          <w:szCs w:val="20"/>
        </w:rPr>
        <w:t>behaviour.</w:t>
      </w:r>
    </w:p>
    <w:p w14:paraId="3166CCCC" w14:textId="1C683290" w:rsidR="00D67627" w:rsidRPr="0036639F" w:rsidRDefault="00D67627" w:rsidP="007952EF">
      <w:pPr>
        <w:spacing w:after="0" w:line="360" w:lineRule="auto"/>
        <w:ind w:firstLine="720"/>
        <w:jc w:val="both"/>
        <w:rPr>
          <w:rFonts w:ascii="Arial" w:hAnsi="Arial" w:cs="Arial"/>
          <w:sz w:val="20"/>
          <w:szCs w:val="20"/>
        </w:rPr>
      </w:pPr>
      <w:r w:rsidRPr="0036639F">
        <w:rPr>
          <w:rFonts w:ascii="Arial" w:hAnsi="Arial" w:cs="Arial"/>
          <w:sz w:val="20"/>
          <w:szCs w:val="20"/>
        </w:rPr>
        <w:t xml:space="preserve">These observations are consistent with earlier reports where supportive management and strict hygiene reduced the severity of IBD outbreaks. </w:t>
      </w:r>
      <w:proofErr w:type="spellStart"/>
      <w:r w:rsidRPr="0036639F">
        <w:rPr>
          <w:rFonts w:ascii="Arial" w:hAnsi="Arial" w:cs="Arial"/>
          <w:sz w:val="20"/>
          <w:szCs w:val="20"/>
        </w:rPr>
        <w:t>Mazengia</w:t>
      </w:r>
      <w:proofErr w:type="spellEnd"/>
      <w:r w:rsidRPr="0036639F">
        <w:rPr>
          <w:rFonts w:ascii="Arial" w:hAnsi="Arial" w:cs="Arial"/>
          <w:sz w:val="20"/>
          <w:szCs w:val="20"/>
        </w:rPr>
        <w:t xml:space="preserve"> </w:t>
      </w:r>
      <w:r w:rsidR="00171478" w:rsidRPr="00F80BB5">
        <w:rPr>
          <w:rFonts w:ascii="Arial" w:hAnsi="Arial" w:cs="Arial"/>
          <w:i/>
          <w:iCs/>
          <w:sz w:val="20"/>
          <w:szCs w:val="20"/>
        </w:rPr>
        <w:t>et al</w:t>
      </w:r>
      <w:r w:rsidRPr="0036639F">
        <w:rPr>
          <w:rFonts w:ascii="Arial" w:hAnsi="Arial" w:cs="Arial"/>
          <w:sz w:val="20"/>
          <w:szCs w:val="20"/>
        </w:rPr>
        <w:t>. (2009) also emphasized the importance of isolating affected birds, applying disinfectants</w:t>
      </w:r>
      <w:r w:rsidR="00A10DAB" w:rsidRPr="0036639F">
        <w:rPr>
          <w:rFonts w:ascii="Arial" w:hAnsi="Arial" w:cs="Arial"/>
          <w:sz w:val="20"/>
          <w:szCs w:val="20"/>
        </w:rPr>
        <w:t xml:space="preserve"> </w:t>
      </w:r>
      <w:r w:rsidRPr="0036639F">
        <w:rPr>
          <w:rFonts w:ascii="Arial" w:hAnsi="Arial" w:cs="Arial"/>
          <w:sz w:val="20"/>
          <w:szCs w:val="20"/>
        </w:rPr>
        <w:t xml:space="preserve">and enforcing biosecurity to contain village chicken outbreaks. Similarly, </w:t>
      </w:r>
      <w:proofErr w:type="spellStart"/>
      <w:r w:rsidRPr="0036639F">
        <w:rPr>
          <w:rFonts w:ascii="Arial" w:hAnsi="Arial" w:cs="Arial"/>
          <w:sz w:val="20"/>
          <w:szCs w:val="20"/>
        </w:rPr>
        <w:t>Badau</w:t>
      </w:r>
      <w:proofErr w:type="spellEnd"/>
      <w:r w:rsidRPr="0036639F">
        <w:rPr>
          <w:rFonts w:ascii="Arial" w:hAnsi="Arial" w:cs="Arial"/>
          <w:sz w:val="20"/>
          <w:szCs w:val="20"/>
        </w:rPr>
        <w:t xml:space="preserve"> </w:t>
      </w:r>
      <w:r w:rsidR="00171478" w:rsidRPr="0036639F">
        <w:rPr>
          <w:rFonts w:ascii="Arial" w:hAnsi="Arial" w:cs="Arial"/>
          <w:i/>
          <w:iCs/>
          <w:sz w:val="20"/>
          <w:szCs w:val="20"/>
        </w:rPr>
        <w:t>et al</w:t>
      </w:r>
      <w:r w:rsidRPr="0036639F">
        <w:rPr>
          <w:rFonts w:ascii="Arial" w:hAnsi="Arial" w:cs="Arial"/>
          <w:sz w:val="20"/>
          <w:szCs w:val="20"/>
        </w:rPr>
        <w:t>. (2023) highlighted that while therapeutic interventions cannot eliminate the virus, supportive care combined with sanitation and environmental disinfection significantly reduces mortality in acute IBD outbreaks. The present findings reaffirm that in the absence of curative treatment, early supportive therapy coupled with rigorous biosecurity and disinfection remains the most practical strategy to mitigate losses during IBD outbreaks in native chicken flocks. Furthermore, they underscore the importance of integrating preventive vaccination programs into backyard and semi-intensive poultry systems to avoid such costly outbreaks in the future.</w:t>
      </w:r>
    </w:p>
    <w:p w14:paraId="32EC97BC" w14:textId="6D127DD2" w:rsidR="0014607A" w:rsidRPr="0036639F" w:rsidRDefault="005E6CBC" w:rsidP="007952EF">
      <w:pPr>
        <w:spacing w:after="0" w:line="360" w:lineRule="auto"/>
        <w:jc w:val="both"/>
        <w:rPr>
          <w:rFonts w:ascii="Arial" w:hAnsi="Arial" w:cs="Arial"/>
          <w:b/>
          <w:bCs/>
          <w:sz w:val="22"/>
          <w:szCs w:val="22"/>
        </w:rPr>
      </w:pPr>
      <w:r w:rsidRPr="0036639F">
        <w:rPr>
          <w:rFonts w:ascii="Arial" w:hAnsi="Arial" w:cs="Arial"/>
          <w:b/>
          <w:bCs/>
          <w:sz w:val="22"/>
          <w:szCs w:val="22"/>
        </w:rPr>
        <w:t xml:space="preserve">4. </w:t>
      </w:r>
      <w:r w:rsidR="009A47B1" w:rsidRPr="0036639F">
        <w:rPr>
          <w:rFonts w:ascii="Arial" w:hAnsi="Arial" w:cs="Arial"/>
          <w:b/>
          <w:bCs/>
          <w:sz w:val="22"/>
          <w:szCs w:val="22"/>
        </w:rPr>
        <w:t>CONCLUSION</w:t>
      </w:r>
    </w:p>
    <w:p w14:paraId="3985D7B2" w14:textId="16DBBE65" w:rsidR="0014607A" w:rsidRDefault="0014607A" w:rsidP="007952EF">
      <w:pPr>
        <w:spacing w:after="0" w:line="360" w:lineRule="auto"/>
        <w:ind w:firstLine="720"/>
        <w:jc w:val="both"/>
        <w:rPr>
          <w:rFonts w:ascii="Arial" w:hAnsi="Arial" w:cs="Arial"/>
          <w:sz w:val="20"/>
          <w:szCs w:val="20"/>
        </w:rPr>
      </w:pPr>
      <w:r w:rsidRPr="0036639F">
        <w:rPr>
          <w:rFonts w:ascii="Arial" w:hAnsi="Arial" w:cs="Arial"/>
          <w:sz w:val="20"/>
          <w:szCs w:val="20"/>
        </w:rPr>
        <w:t>The present field investigation highlights the susceptibility of native chickens, particularly Aseel to Infectious Bursal Disease in the absence of vaccination and biosecurity measures. Although indigenous breeds are considered more resilient, this outbreak demonstrated that they are not immune to highly contagious viral infections. The high morbidity and mortality observed underline the urgent need for systematic vaccination programs, particularly at 14 - 18 days of age, along with strict farm hygiene, biosecurity and routine health monitoring. Supportive therapy and disinfection helped reduce losses in this case, but long-term prevention through vaccination and improved management remains the most effective strategy. Raising farmer awareness on the importance of preventive health care for diseases such as IBD, Newcastle Disease and Fowl Pox will be essential to safeguard productivity and ensure the sustainability and profitability of native poultry farming.</w:t>
      </w:r>
    </w:p>
    <w:p w14:paraId="0723F20D" w14:textId="77777777" w:rsidR="00732DA9" w:rsidRDefault="00732DA9" w:rsidP="007952EF">
      <w:pPr>
        <w:spacing w:after="0" w:line="360" w:lineRule="auto"/>
        <w:ind w:firstLine="720"/>
        <w:jc w:val="both"/>
        <w:rPr>
          <w:rFonts w:ascii="Arial" w:hAnsi="Arial" w:cs="Arial"/>
          <w:sz w:val="20"/>
          <w:szCs w:val="20"/>
        </w:rPr>
      </w:pPr>
    </w:p>
    <w:p w14:paraId="7BAA7D29" w14:textId="701B2EFF" w:rsidR="00196C41" w:rsidRDefault="00196C41" w:rsidP="00196C41">
      <w:pPr>
        <w:rPr>
          <w:rFonts w:ascii="Arial" w:eastAsia="Calibri" w:hAnsi="Arial" w:cs="Arial"/>
          <w:b/>
          <w:bCs/>
          <w:kern w:val="2"/>
          <w:sz w:val="20"/>
          <w:szCs w:val="20"/>
          <w:lang w:val="en-US"/>
        </w:rPr>
      </w:pPr>
      <w:bookmarkStart w:id="2" w:name="_Hlk198899984"/>
      <w:bookmarkStart w:id="3" w:name="_Hlk200024137"/>
      <w:bookmarkStart w:id="4" w:name="_Hlk201835975"/>
      <w:bookmarkStart w:id="5" w:name="_Hlk193540946"/>
      <w:bookmarkStart w:id="6" w:name="_Hlk180402183"/>
      <w:bookmarkStart w:id="7" w:name="_Hlk183680988"/>
      <w:bookmarkStart w:id="8" w:name="_Hlk197173371"/>
      <w:r w:rsidRPr="00A464DE">
        <w:rPr>
          <w:rFonts w:ascii="Arial" w:eastAsia="Calibri" w:hAnsi="Arial" w:cs="Arial"/>
          <w:b/>
          <w:bCs/>
          <w:kern w:val="2"/>
          <w:sz w:val="20"/>
          <w:szCs w:val="20"/>
          <w:lang w:val="en-US"/>
        </w:rPr>
        <w:t>Disclaimer (Artificial intelligence)</w:t>
      </w:r>
    </w:p>
    <w:p w14:paraId="5DE6EE09" w14:textId="77777777" w:rsidR="00732DA9" w:rsidRPr="00A464DE" w:rsidRDefault="00732DA9" w:rsidP="00196C41">
      <w:pPr>
        <w:rPr>
          <w:rFonts w:ascii="Arial" w:eastAsia="Calibri" w:hAnsi="Arial" w:cs="Arial"/>
          <w:b/>
          <w:bCs/>
          <w:kern w:val="2"/>
          <w:sz w:val="20"/>
          <w:szCs w:val="20"/>
          <w:lang w:val="en-US"/>
        </w:rPr>
      </w:pPr>
    </w:p>
    <w:bookmarkEnd w:id="2"/>
    <w:bookmarkEnd w:id="3"/>
    <w:bookmarkEnd w:id="4"/>
    <w:bookmarkEnd w:id="5"/>
    <w:bookmarkEnd w:id="6"/>
    <w:bookmarkEnd w:id="7"/>
    <w:bookmarkEnd w:id="8"/>
    <w:p w14:paraId="0D1924BE" w14:textId="77777777" w:rsidR="004E6ABB" w:rsidRPr="00491144" w:rsidRDefault="004E6ABB" w:rsidP="004E6ABB">
      <w:pPr>
        <w:jc w:val="both"/>
        <w:rPr>
          <w:rFonts w:ascii="Arial" w:eastAsia="Calibri" w:hAnsi="Arial" w:cs="Arial"/>
          <w:kern w:val="2"/>
          <w:sz w:val="20"/>
          <w:szCs w:val="20"/>
          <w:lang w:val="en-US"/>
        </w:rPr>
      </w:pPr>
      <w:r w:rsidRPr="00491144">
        <w:rPr>
          <w:rFonts w:ascii="Arial" w:eastAsia="Calibri" w:hAnsi="Arial" w:cs="Arial"/>
          <w:kern w:val="2"/>
          <w:sz w:val="20"/>
          <w:szCs w:val="20"/>
          <w:lang w:val="en-US"/>
        </w:rPr>
        <w:t xml:space="preserve">Author(s) hereby declare that generative AI technology has been used during the editing of manuscripts. </w:t>
      </w:r>
    </w:p>
    <w:p w14:paraId="18A35542" w14:textId="77777777" w:rsidR="004E6ABB" w:rsidRPr="00491144" w:rsidRDefault="004E6ABB" w:rsidP="004E6ABB">
      <w:pPr>
        <w:jc w:val="both"/>
        <w:rPr>
          <w:rFonts w:ascii="Arial" w:eastAsia="Calibri" w:hAnsi="Arial" w:cs="Arial"/>
          <w:kern w:val="2"/>
          <w:sz w:val="20"/>
          <w:szCs w:val="20"/>
          <w:lang w:val="en-US"/>
        </w:rPr>
      </w:pPr>
      <w:r w:rsidRPr="00491144">
        <w:rPr>
          <w:rFonts w:ascii="Arial" w:eastAsia="Calibri" w:hAnsi="Arial" w:cs="Arial"/>
          <w:kern w:val="2"/>
          <w:sz w:val="20"/>
          <w:szCs w:val="20"/>
          <w:lang w:val="en-US"/>
        </w:rPr>
        <w:t>Details of the AI usage are given below:</w:t>
      </w:r>
    </w:p>
    <w:p w14:paraId="4D0A7C59" w14:textId="5CC6F5B3" w:rsidR="004E6ABB" w:rsidRDefault="004E6ABB" w:rsidP="004E6ABB">
      <w:pPr>
        <w:jc w:val="both"/>
        <w:rPr>
          <w:rFonts w:ascii="Arial" w:eastAsia="Calibri" w:hAnsi="Arial" w:cs="Arial"/>
          <w:kern w:val="2"/>
          <w:sz w:val="20"/>
          <w:szCs w:val="20"/>
          <w:lang w:val="en-US"/>
        </w:rPr>
      </w:pPr>
      <w:r w:rsidRPr="00491144">
        <w:rPr>
          <w:rFonts w:ascii="Arial" w:eastAsia="Calibri" w:hAnsi="Arial" w:cs="Arial"/>
          <w:kern w:val="2"/>
          <w:sz w:val="20"/>
          <w:szCs w:val="20"/>
          <w:lang w:val="en-US"/>
        </w:rPr>
        <w:t xml:space="preserve">1.Chatgpt </w:t>
      </w:r>
    </w:p>
    <w:p w14:paraId="57CCCA7D" w14:textId="77777777" w:rsidR="00732DA9" w:rsidRPr="00491144" w:rsidRDefault="00732DA9" w:rsidP="004E6ABB">
      <w:pPr>
        <w:jc w:val="both"/>
        <w:rPr>
          <w:rFonts w:ascii="Arial" w:eastAsia="Calibri" w:hAnsi="Arial" w:cs="Arial"/>
          <w:kern w:val="2"/>
          <w:sz w:val="20"/>
          <w:szCs w:val="20"/>
          <w:lang w:val="en-US"/>
        </w:rPr>
      </w:pPr>
    </w:p>
    <w:p w14:paraId="5DE2DF3D" w14:textId="672A0272" w:rsidR="00C81645" w:rsidRPr="00F80BB5" w:rsidRDefault="00F80BB5" w:rsidP="002B54EB">
      <w:pPr>
        <w:spacing w:after="0" w:line="360" w:lineRule="auto"/>
        <w:jc w:val="both"/>
        <w:rPr>
          <w:rFonts w:ascii="Arial" w:hAnsi="Arial" w:cs="Arial"/>
          <w:sz w:val="20"/>
          <w:szCs w:val="20"/>
        </w:rPr>
      </w:pPr>
      <w:r w:rsidRPr="00F80BB5">
        <w:rPr>
          <w:rFonts w:ascii="Arial" w:hAnsi="Arial" w:cs="Arial"/>
          <w:b/>
          <w:bCs/>
          <w:sz w:val="22"/>
          <w:szCs w:val="22"/>
        </w:rPr>
        <w:t>REFERENCES</w:t>
      </w:r>
    </w:p>
    <w:p w14:paraId="2D0231BE" w14:textId="77777777" w:rsidR="00C81645" w:rsidRPr="00C23206" w:rsidRDefault="00C81645" w:rsidP="00805FAC">
      <w:pPr>
        <w:pStyle w:val="NormalWeb"/>
        <w:numPr>
          <w:ilvl w:val="0"/>
          <w:numId w:val="14"/>
        </w:numPr>
        <w:spacing w:before="0" w:beforeAutospacing="0" w:after="0" w:afterAutospacing="0" w:line="360" w:lineRule="auto"/>
        <w:jc w:val="both"/>
        <w:rPr>
          <w:rFonts w:ascii="Arial" w:eastAsiaTheme="minorHAnsi" w:hAnsi="Arial" w:cs="Arial"/>
          <w:sz w:val="20"/>
          <w:szCs w:val="20"/>
          <w:lang w:eastAsia="en-US"/>
        </w:rPr>
      </w:pPr>
      <w:proofErr w:type="spellStart"/>
      <w:r w:rsidRPr="00C23206">
        <w:rPr>
          <w:rFonts w:ascii="Arial" w:eastAsiaTheme="minorHAnsi" w:hAnsi="Arial" w:cs="Arial"/>
          <w:sz w:val="20"/>
          <w:szCs w:val="20"/>
          <w:lang w:eastAsia="en-US"/>
        </w:rPr>
        <w:t>Badau</w:t>
      </w:r>
      <w:proofErr w:type="spellEnd"/>
      <w:r w:rsidRPr="00C23206">
        <w:rPr>
          <w:rFonts w:ascii="Arial" w:eastAsiaTheme="minorHAnsi" w:hAnsi="Arial" w:cs="Arial"/>
          <w:sz w:val="20"/>
          <w:szCs w:val="20"/>
          <w:lang w:eastAsia="en-US"/>
        </w:rPr>
        <w:t>, S. J., Igbokwe, I. O., Hassan, S. U., &amp; El-</w:t>
      </w:r>
      <w:proofErr w:type="spellStart"/>
      <w:r w:rsidRPr="00C23206">
        <w:rPr>
          <w:rFonts w:ascii="Arial" w:eastAsiaTheme="minorHAnsi" w:hAnsi="Arial" w:cs="Arial"/>
          <w:sz w:val="20"/>
          <w:szCs w:val="20"/>
          <w:lang w:eastAsia="en-US"/>
        </w:rPr>
        <w:t>Yuguda</w:t>
      </w:r>
      <w:proofErr w:type="spellEnd"/>
      <w:r w:rsidRPr="00C23206">
        <w:rPr>
          <w:rFonts w:ascii="Arial" w:eastAsiaTheme="minorHAnsi" w:hAnsi="Arial" w:cs="Arial"/>
          <w:sz w:val="20"/>
          <w:szCs w:val="20"/>
          <w:lang w:eastAsia="en-US"/>
        </w:rPr>
        <w:t xml:space="preserve">, A.D. (2023). Outbreaks of acute infectious bursal disease of chickens in Maiduguri, Nigeria (2008–2018): Retrospective survey. </w:t>
      </w:r>
      <w:r w:rsidRPr="00C23206">
        <w:rPr>
          <w:rFonts w:ascii="Arial" w:eastAsiaTheme="minorHAnsi" w:hAnsi="Arial" w:cs="Arial"/>
          <w:i/>
          <w:iCs/>
          <w:sz w:val="20"/>
          <w:szCs w:val="20"/>
          <w:lang w:eastAsia="en-US"/>
        </w:rPr>
        <w:t>Research Square,</w:t>
      </w:r>
      <w:r w:rsidRPr="00C23206">
        <w:rPr>
          <w:rFonts w:ascii="Arial" w:eastAsiaTheme="minorHAnsi" w:hAnsi="Arial" w:cs="Arial"/>
          <w:sz w:val="20"/>
          <w:szCs w:val="20"/>
          <w:lang w:eastAsia="en-US"/>
        </w:rPr>
        <w:t xml:space="preserve"> 1 – 23. https://doi.org/10.21203/rs.3.rs-2305788/v1.</w:t>
      </w:r>
    </w:p>
    <w:p w14:paraId="483B2110" w14:textId="77777777" w:rsidR="00C81645" w:rsidRPr="00805FAC" w:rsidRDefault="00C81645" w:rsidP="00805FAC">
      <w:pPr>
        <w:pStyle w:val="ListParagraph"/>
        <w:numPr>
          <w:ilvl w:val="0"/>
          <w:numId w:val="14"/>
        </w:numPr>
        <w:spacing w:after="0" w:line="360" w:lineRule="auto"/>
        <w:jc w:val="both"/>
        <w:rPr>
          <w:rFonts w:ascii="Arial" w:eastAsiaTheme="majorEastAsia" w:hAnsi="Arial" w:cs="Arial"/>
          <w:sz w:val="20"/>
          <w:szCs w:val="20"/>
          <w:lang w:eastAsia="en-IN"/>
        </w:rPr>
      </w:pPr>
      <w:proofErr w:type="spellStart"/>
      <w:r w:rsidRPr="00805FAC">
        <w:rPr>
          <w:rFonts w:ascii="Arial" w:eastAsiaTheme="majorEastAsia" w:hAnsi="Arial" w:cs="Arial"/>
          <w:sz w:val="20"/>
          <w:szCs w:val="20"/>
          <w:lang w:eastAsia="en-IN"/>
        </w:rPr>
        <w:lastRenderedPageBreak/>
        <w:t>Chettle</w:t>
      </w:r>
      <w:proofErr w:type="spellEnd"/>
      <w:r w:rsidRPr="00805FAC">
        <w:rPr>
          <w:rFonts w:ascii="Arial" w:eastAsiaTheme="majorEastAsia" w:hAnsi="Arial" w:cs="Arial"/>
          <w:sz w:val="20"/>
          <w:szCs w:val="20"/>
          <w:lang w:eastAsia="en-IN"/>
        </w:rPr>
        <w:t xml:space="preserve">, N., Stuart, J. C., &amp; Wyeth, P. J. (1989). Outbreak of virulent infectious bursal disease in East Anglia. </w:t>
      </w:r>
      <w:r w:rsidRPr="00805FAC">
        <w:rPr>
          <w:rFonts w:ascii="Arial" w:eastAsiaTheme="majorEastAsia" w:hAnsi="Arial" w:cs="Arial"/>
          <w:i/>
          <w:iCs/>
          <w:sz w:val="20"/>
          <w:szCs w:val="20"/>
          <w:lang w:eastAsia="en-IN"/>
        </w:rPr>
        <w:t>The Veterinary Record, 125</w:t>
      </w:r>
      <w:r w:rsidRPr="00805FAC">
        <w:rPr>
          <w:rFonts w:ascii="Arial" w:eastAsiaTheme="majorEastAsia" w:hAnsi="Arial" w:cs="Arial"/>
          <w:sz w:val="20"/>
          <w:szCs w:val="20"/>
          <w:lang w:eastAsia="en-IN"/>
        </w:rPr>
        <w:t xml:space="preserve">(10), 271–272. https://doi.org/10.1136/vr.125.10.271 </w:t>
      </w:r>
    </w:p>
    <w:p w14:paraId="1F7030E4" w14:textId="77777777" w:rsidR="00C81645" w:rsidRPr="00805FAC" w:rsidRDefault="00C81645" w:rsidP="00805FAC">
      <w:pPr>
        <w:pStyle w:val="ListParagraph"/>
        <w:numPr>
          <w:ilvl w:val="0"/>
          <w:numId w:val="14"/>
        </w:numPr>
        <w:spacing w:after="0" w:line="360" w:lineRule="auto"/>
        <w:jc w:val="both"/>
        <w:rPr>
          <w:rFonts w:ascii="Arial" w:hAnsi="Arial" w:cs="Arial"/>
          <w:sz w:val="20"/>
          <w:szCs w:val="20"/>
        </w:rPr>
      </w:pPr>
      <w:proofErr w:type="spellStart"/>
      <w:r w:rsidRPr="00805FAC">
        <w:rPr>
          <w:rFonts w:ascii="Arial" w:hAnsi="Arial" w:cs="Arial"/>
          <w:sz w:val="20"/>
          <w:szCs w:val="20"/>
        </w:rPr>
        <w:t>Chitradevi</w:t>
      </w:r>
      <w:proofErr w:type="spellEnd"/>
      <w:r w:rsidRPr="00805FAC">
        <w:rPr>
          <w:rFonts w:ascii="Arial" w:hAnsi="Arial" w:cs="Arial"/>
          <w:sz w:val="20"/>
          <w:szCs w:val="20"/>
        </w:rPr>
        <w:t>, S. (2022). Disease occurrences in desi chicken in Coimbatore district of Tamil Nadu. The Pharma Innovation Journal, 11(12): 2149–2152. https://www.researchgate.net/profile/Chitradevi-Somasundaram/publication/366399847_Disease_occurrences_in_desi_chicken_in_Coimbatore_district_of_Tamil_Nadu/links/63a03cac024dc52c8a320be2/Disease-occurrences-in-desi-chicken-in-Coimbatore-district-of-Tamil-Nadu.pdf</w:t>
      </w:r>
    </w:p>
    <w:p w14:paraId="2E1058A5" w14:textId="77777777" w:rsidR="00C81645" w:rsidRPr="00C23206" w:rsidRDefault="00C81645" w:rsidP="00805FAC">
      <w:pPr>
        <w:pStyle w:val="NormalWeb"/>
        <w:numPr>
          <w:ilvl w:val="0"/>
          <w:numId w:val="14"/>
        </w:numPr>
        <w:spacing w:before="0" w:beforeAutospacing="0" w:after="0" w:afterAutospacing="0" w:line="360" w:lineRule="auto"/>
        <w:jc w:val="both"/>
        <w:rPr>
          <w:rFonts w:ascii="Arial" w:eastAsiaTheme="minorHAnsi" w:hAnsi="Arial" w:cs="Arial"/>
          <w:sz w:val="20"/>
          <w:szCs w:val="20"/>
          <w:lang w:eastAsia="en-US"/>
        </w:rPr>
      </w:pPr>
      <w:proofErr w:type="spellStart"/>
      <w:r w:rsidRPr="00C23206">
        <w:rPr>
          <w:rFonts w:ascii="Arial" w:eastAsiaTheme="minorHAnsi" w:hAnsi="Arial" w:cs="Arial"/>
          <w:sz w:val="20"/>
          <w:szCs w:val="20"/>
          <w:lang w:eastAsia="en-US"/>
        </w:rPr>
        <w:t>Durairajan</w:t>
      </w:r>
      <w:proofErr w:type="spellEnd"/>
      <w:r w:rsidRPr="00C23206">
        <w:rPr>
          <w:rFonts w:ascii="Arial" w:eastAsiaTheme="minorHAnsi" w:hAnsi="Arial" w:cs="Arial"/>
          <w:sz w:val="20"/>
          <w:szCs w:val="20"/>
          <w:lang w:eastAsia="en-US"/>
        </w:rPr>
        <w:t xml:space="preserve">, R., </w:t>
      </w:r>
      <w:proofErr w:type="spellStart"/>
      <w:r w:rsidRPr="00C23206">
        <w:rPr>
          <w:rFonts w:ascii="Arial" w:eastAsiaTheme="minorHAnsi" w:hAnsi="Arial" w:cs="Arial"/>
          <w:sz w:val="20"/>
          <w:szCs w:val="20"/>
          <w:lang w:eastAsia="en-US"/>
        </w:rPr>
        <w:t>Murugan</w:t>
      </w:r>
      <w:proofErr w:type="spellEnd"/>
      <w:r w:rsidRPr="00C23206">
        <w:rPr>
          <w:rFonts w:ascii="Arial" w:eastAsiaTheme="minorHAnsi" w:hAnsi="Arial" w:cs="Arial"/>
          <w:sz w:val="20"/>
          <w:szCs w:val="20"/>
          <w:lang w:eastAsia="en-US"/>
        </w:rPr>
        <w:t>, M., &amp; Bharathi, R. (2019). Incidence of infectious bursal disease (IBD) virus infection and its control in the desi chicken farm of Kanchipuram district. Indian Veterinary Journal, 96(01), 36 – 37.</w:t>
      </w:r>
      <w:r w:rsidRPr="00C23206">
        <w:t xml:space="preserve"> </w:t>
      </w:r>
      <w:r w:rsidRPr="00C23206">
        <w:rPr>
          <w:rFonts w:ascii="Arial" w:eastAsiaTheme="minorHAnsi" w:hAnsi="Arial" w:cs="Arial"/>
          <w:sz w:val="20"/>
          <w:szCs w:val="20"/>
          <w:lang w:eastAsia="en-US"/>
        </w:rPr>
        <w:t>http://krishikosh.egranth.ac.in/handle/1/5810097700</w:t>
      </w:r>
    </w:p>
    <w:p w14:paraId="44258629" w14:textId="77777777" w:rsidR="00C81645" w:rsidRPr="00C23206" w:rsidRDefault="00C81645" w:rsidP="00805FAC">
      <w:pPr>
        <w:pStyle w:val="NormalWeb"/>
        <w:numPr>
          <w:ilvl w:val="0"/>
          <w:numId w:val="14"/>
        </w:numPr>
        <w:spacing w:before="0" w:beforeAutospacing="0" w:after="0" w:afterAutospacing="0" w:line="360" w:lineRule="auto"/>
        <w:jc w:val="both"/>
        <w:rPr>
          <w:rFonts w:ascii="Arial" w:hAnsi="Arial" w:cs="Arial"/>
          <w:sz w:val="20"/>
          <w:szCs w:val="20"/>
        </w:rPr>
      </w:pPr>
      <w:proofErr w:type="spellStart"/>
      <w:r w:rsidRPr="00C23206">
        <w:rPr>
          <w:rFonts w:ascii="Arial" w:hAnsi="Arial" w:cs="Arial"/>
          <w:sz w:val="20"/>
          <w:szCs w:val="20"/>
        </w:rPr>
        <w:t>Eterradossi</w:t>
      </w:r>
      <w:proofErr w:type="spellEnd"/>
      <w:r w:rsidRPr="00C23206">
        <w:rPr>
          <w:rFonts w:ascii="Arial" w:hAnsi="Arial" w:cs="Arial"/>
          <w:sz w:val="20"/>
          <w:szCs w:val="20"/>
        </w:rPr>
        <w:t xml:space="preserve">, N., &amp; </w:t>
      </w:r>
      <w:proofErr w:type="spellStart"/>
      <w:r w:rsidRPr="00C23206">
        <w:rPr>
          <w:rFonts w:ascii="Arial" w:hAnsi="Arial" w:cs="Arial"/>
          <w:sz w:val="20"/>
          <w:szCs w:val="20"/>
        </w:rPr>
        <w:t>Saif</w:t>
      </w:r>
      <w:proofErr w:type="spellEnd"/>
      <w:r w:rsidRPr="00C23206">
        <w:rPr>
          <w:rFonts w:ascii="Arial" w:hAnsi="Arial" w:cs="Arial"/>
          <w:sz w:val="20"/>
          <w:szCs w:val="20"/>
        </w:rPr>
        <w:t xml:space="preserve">, Y. M. (2019). Infectious bursal disease. In D. E. Swayne, M. </w:t>
      </w:r>
      <w:proofErr w:type="spellStart"/>
      <w:r w:rsidRPr="00C23206">
        <w:rPr>
          <w:rFonts w:ascii="Arial" w:hAnsi="Arial" w:cs="Arial"/>
          <w:sz w:val="20"/>
          <w:szCs w:val="20"/>
        </w:rPr>
        <w:t>Boulianne</w:t>
      </w:r>
      <w:proofErr w:type="spellEnd"/>
      <w:r w:rsidRPr="00C23206">
        <w:rPr>
          <w:rFonts w:ascii="Arial" w:hAnsi="Arial" w:cs="Arial"/>
          <w:sz w:val="20"/>
          <w:szCs w:val="20"/>
        </w:rPr>
        <w:t xml:space="preserve">, C. M. Logue, L. R. McDougald, V. Nair, D. L. Suarez, S. de Wit, T. Grimes, D. Johnson, M. </w:t>
      </w:r>
      <w:proofErr w:type="spellStart"/>
      <w:r w:rsidRPr="00C23206">
        <w:rPr>
          <w:rFonts w:ascii="Arial" w:hAnsi="Arial" w:cs="Arial"/>
          <w:sz w:val="20"/>
          <w:szCs w:val="20"/>
        </w:rPr>
        <w:t>Kromm</w:t>
      </w:r>
      <w:proofErr w:type="spellEnd"/>
      <w:r w:rsidRPr="00C23206">
        <w:rPr>
          <w:rFonts w:ascii="Arial" w:hAnsi="Arial" w:cs="Arial"/>
          <w:sz w:val="20"/>
          <w:szCs w:val="20"/>
        </w:rPr>
        <w:t xml:space="preserve">, T. Y. </w:t>
      </w:r>
      <w:proofErr w:type="spellStart"/>
      <w:r w:rsidRPr="00C23206">
        <w:rPr>
          <w:rFonts w:ascii="Arial" w:hAnsi="Arial" w:cs="Arial"/>
          <w:sz w:val="20"/>
          <w:szCs w:val="20"/>
        </w:rPr>
        <w:t>Prajitno</w:t>
      </w:r>
      <w:proofErr w:type="spellEnd"/>
      <w:r w:rsidRPr="00C23206">
        <w:rPr>
          <w:rFonts w:ascii="Arial" w:hAnsi="Arial" w:cs="Arial"/>
          <w:sz w:val="20"/>
          <w:szCs w:val="20"/>
        </w:rPr>
        <w:t>, I. Rubinoff, &amp; G. Zavala (Eds.), Diseases of poultry (14th ed., pp. 257–283). Wiley-Blackwell. https://doi.org/10.1002/9781119371199.ch7</w:t>
      </w:r>
    </w:p>
    <w:p w14:paraId="6E98B306" w14:textId="77777777" w:rsidR="00C81645" w:rsidRPr="00805FAC" w:rsidRDefault="00C81645" w:rsidP="00805FAC">
      <w:pPr>
        <w:pStyle w:val="ListParagraph"/>
        <w:numPr>
          <w:ilvl w:val="0"/>
          <w:numId w:val="14"/>
        </w:numPr>
        <w:spacing w:after="0" w:line="360" w:lineRule="auto"/>
        <w:jc w:val="both"/>
        <w:rPr>
          <w:rFonts w:ascii="Arial" w:hAnsi="Arial" w:cs="Arial"/>
          <w:sz w:val="20"/>
          <w:szCs w:val="20"/>
        </w:rPr>
      </w:pPr>
      <w:r w:rsidRPr="00805FAC">
        <w:rPr>
          <w:rFonts w:ascii="Arial" w:hAnsi="Arial" w:cs="Arial"/>
          <w:sz w:val="20"/>
          <w:szCs w:val="20"/>
        </w:rPr>
        <w:t>Girish, S., Reddy, M. R., and Praveen, T. (2025). Pathological investigation of field outbreaks of infectious bursal disease in native chickens in India. Indian Veterinary Journal, 102(4), 45–49. https://www.researchgate.net/publication/390132002_Studies_on_the_pathomorphology_of_epidemics_of_Infectious_Bursal_Disease_IBD_in_chicken#fullTextFileContent</w:t>
      </w:r>
    </w:p>
    <w:p w14:paraId="7318EF1A" w14:textId="77777777" w:rsidR="00C81645" w:rsidRPr="00805FAC" w:rsidRDefault="00C81645" w:rsidP="00805FAC">
      <w:pPr>
        <w:pStyle w:val="ListParagraph"/>
        <w:numPr>
          <w:ilvl w:val="0"/>
          <w:numId w:val="14"/>
        </w:numPr>
        <w:spacing w:after="0" w:line="360" w:lineRule="auto"/>
        <w:jc w:val="both"/>
        <w:rPr>
          <w:rFonts w:ascii="Arial" w:hAnsi="Arial" w:cs="Arial"/>
          <w:sz w:val="20"/>
          <w:szCs w:val="20"/>
        </w:rPr>
      </w:pPr>
      <w:proofErr w:type="spellStart"/>
      <w:r w:rsidRPr="00805FAC">
        <w:rPr>
          <w:rFonts w:ascii="Arial" w:hAnsi="Arial" w:cs="Arial"/>
          <w:sz w:val="20"/>
          <w:szCs w:val="20"/>
        </w:rPr>
        <w:t>Hailegebreal</w:t>
      </w:r>
      <w:proofErr w:type="spellEnd"/>
      <w:r w:rsidRPr="00805FAC">
        <w:rPr>
          <w:rFonts w:ascii="Arial" w:hAnsi="Arial" w:cs="Arial"/>
          <w:sz w:val="20"/>
          <w:szCs w:val="20"/>
        </w:rPr>
        <w:t xml:space="preserve"> G., </w:t>
      </w:r>
      <w:proofErr w:type="spellStart"/>
      <w:r w:rsidRPr="00805FAC">
        <w:rPr>
          <w:rFonts w:ascii="Arial" w:hAnsi="Arial" w:cs="Arial"/>
          <w:sz w:val="20"/>
          <w:szCs w:val="20"/>
        </w:rPr>
        <w:t>Tanga</w:t>
      </w:r>
      <w:proofErr w:type="spellEnd"/>
      <w:r w:rsidRPr="00805FAC">
        <w:rPr>
          <w:rFonts w:ascii="Arial" w:hAnsi="Arial" w:cs="Arial"/>
          <w:sz w:val="20"/>
          <w:szCs w:val="20"/>
        </w:rPr>
        <w:t xml:space="preserve"> B.M., </w:t>
      </w:r>
      <w:proofErr w:type="spellStart"/>
      <w:r w:rsidRPr="00805FAC">
        <w:rPr>
          <w:rFonts w:ascii="Arial" w:hAnsi="Arial" w:cs="Arial"/>
          <w:sz w:val="20"/>
          <w:szCs w:val="20"/>
        </w:rPr>
        <w:t>Woldegiorgis</w:t>
      </w:r>
      <w:proofErr w:type="spellEnd"/>
      <w:r w:rsidRPr="00805FAC">
        <w:rPr>
          <w:rFonts w:ascii="Arial" w:hAnsi="Arial" w:cs="Arial"/>
          <w:sz w:val="20"/>
          <w:szCs w:val="20"/>
        </w:rPr>
        <w:t xml:space="preserve"> W., </w:t>
      </w:r>
      <w:proofErr w:type="spellStart"/>
      <w:r w:rsidRPr="00805FAC">
        <w:rPr>
          <w:rFonts w:ascii="Arial" w:hAnsi="Arial" w:cs="Arial"/>
          <w:sz w:val="20"/>
          <w:szCs w:val="20"/>
        </w:rPr>
        <w:t>Sulayeman</w:t>
      </w:r>
      <w:proofErr w:type="spellEnd"/>
      <w:r w:rsidRPr="00805FAC">
        <w:rPr>
          <w:rFonts w:ascii="Arial" w:hAnsi="Arial" w:cs="Arial"/>
          <w:sz w:val="20"/>
          <w:szCs w:val="20"/>
        </w:rPr>
        <w:t xml:space="preserve"> M., </w:t>
      </w:r>
      <w:proofErr w:type="spellStart"/>
      <w:r w:rsidRPr="00805FAC">
        <w:rPr>
          <w:rFonts w:ascii="Arial" w:hAnsi="Arial" w:cs="Arial"/>
          <w:sz w:val="20"/>
          <w:szCs w:val="20"/>
        </w:rPr>
        <w:t>Sori</w:t>
      </w:r>
      <w:proofErr w:type="spellEnd"/>
      <w:r w:rsidRPr="00805FAC">
        <w:rPr>
          <w:rFonts w:ascii="Arial" w:hAnsi="Arial" w:cs="Arial"/>
          <w:sz w:val="20"/>
          <w:szCs w:val="20"/>
        </w:rPr>
        <w:t xml:space="preserve"> T. (2022). Epidemiological investigation of morbidity and mortality of improved breeds of chickens in smallholder poultry farms in selected districts of </w:t>
      </w:r>
      <w:proofErr w:type="spellStart"/>
      <w:r w:rsidRPr="00805FAC">
        <w:rPr>
          <w:rFonts w:ascii="Arial" w:hAnsi="Arial" w:cs="Arial"/>
          <w:sz w:val="20"/>
          <w:szCs w:val="20"/>
        </w:rPr>
        <w:t>Sidama</w:t>
      </w:r>
      <w:proofErr w:type="spellEnd"/>
      <w:r w:rsidRPr="00805FAC">
        <w:rPr>
          <w:rFonts w:ascii="Arial" w:hAnsi="Arial" w:cs="Arial"/>
          <w:sz w:val="20"/>
          <w:szCs w:val="20"/>
        </w:rPr>
        <w:t xml:space="preserve"> Region, Ethiopia. </w:t>
      </w:r>
      <w:proofErr w:type="spellStart"/>
      <w:r w:rsidRPr="00805FAC">
        <w:rPr>
          <w:rFonts w:ascii="Arial" w:hAnsi="Arial" w:cs="Arial"/>
          <w:sz w:val="20"/>
          <w:szCs w:val="20"/>
        </w:rPr>
        <w:t>Heliyon</w:t>
      </w:r>
      <w:proofErr w:type="spellEnd"/>
      <w:r w:rsidRPr="00805FAC">
        <w:rPr>
          <w:rFonts w:ascii="Arial" w:hAnsi="Arial" w:cs="Arial"/>
          <w:sz w:val="20"/>
          <w:szCs w:val="20"/>
        </w:rPr>
        <w:t>, 8(7): e10074. https://doi.org/10.1016/j.heliyon.2022.e10074</w:t>
      </w:r>
    </w:p>
    <w:p w14:paraId="1E99B773" w14:textId="77777777" w:rsidR="00C81645" w:rsidRPr="00805FAC" w:rsidRDefault="00C81645" w:rsidP="00805FAC">
      <w:pPr>
        <w:pStyle w:val="ListParagraph"/>
        <w:numPr>
          <w:ilvl w:val="0"/>
          <w:numId w:val="14"/>
        </w:numPr>
        <w:spacing w:after="0" w:line="360" w:lineRule="auto"/>
        <w:jc w:val="both"/>
        <w:rPr>
          <w:rFonts w:ascii="Arial" w:hAnsi="Arial" w:cs="Arial"/>
          <w:sz w:val="20"/>
          <w:szCs w:val="20"/>
        </w:rPr>
      </w:pPr>
      <w:proofErr w:type="spellStart"/>
      <w:r w:rsidRPr="00805FAC">
        <w:rPr>
          <w:rFonts w:ascii="Arial" w:hAnsi="Arial" w:cs="Arial"/>
          <w:sz w:val="20"/>
          <w:szCs w:val="20"/>
        </w:rPr>
        <w:t>Mazengia</w:t>
      </w:r>
      <w:proofErr w:type="spellEnd"/>
      <w:r w:rsidRPr="00805FAC">
        <w:rPr>
          <w:rFonts w:ascii="Arial" w:hAnsi="Arial" w:cs="Arial"/>
          <w:sz w:val="20"/>
          <w:szCs w:val="20"/>
        </w:rPr>
        <w:t xml:space="preserve">, H., </w:t>
      </w:r>
      <w:proofErr w:type="spellStart"/>
      <w:r w:rsidRPr="00805FAC">
        <w:rPr>
          <w:rFonts w:ascii="Arial" w:hAnsi="Arial" w:cs="Arial"/>
          <w:sz w:val="20"/>
          <w:szCs w:val="20"/>
        </w:rPr>
        <w:t>Tilahun</w:t>
      </w:r>
      <w:proofErr w:type="spellEnd"/>
      <w:r w:rsidRPr="00805FAC">
        <w:rPr>
          <w:rFonts w:ascii="Arial" w:hAnsi="Arial" w:cs="Arial"/>
          <w:sz w:val="20"/>
          <w:szCs w:val="20"/>
        </w:rPr>
        <w:t xml:space="preserve">, S. B., and </w:t>
      </w:r>
      <w:proofErr w:type="spellStart"/>
      <w:r w:rsidRPr="00805FAC">
        <w:rPr>
          <w:rFonts w:ascii="Arial" w:hAnsi="Arial" w:cs="Arial"/>
          <w:sz w:val="20"/>
          <w:szCs w:val="20"/>
        </w:rPr>
        <w:t>Negash</w:t>
      </w:r>
      <w:proofErr w:type="spellEnd"/>
      <w:r w:rsidRPr="00805FAC">
        <w:rPr>
          <w:rFonts w:ascii="Arial" w:hAnsi="Arial" w:cs="Arial"/>
          <w:sz w:val="20"/>
          <w:szCs w:val="20"/>
        </w:rPr>
        <w:t xml:space="preserve">, T. (2009). Incidence of infectious bursal disease in village chickens in two districts of Amhara Region, Northwest Ethiopia. </w:t>
      </w:r>
      <w:r w:rsidRPr="00805FAC">
        <w:rPr>
          <w:rFonts w:ascii="Arial" w:hAnsi="Arial" w:cs="Arial"/>
          <w:i/>
          <w:iCs/>
          <w:sz w:val="20"/>
          <w:szCs w:val="20"/>
        </w:rPr>
        <w:t>Livestock Research for Rural Development, 21</w:t>
      </w:r>
      <w:r w:rsidRPr="00805FAC">
        <w:rPr>
          <w:rFonts w:ascii="Arial" w:hAnsi="Arial" w:cs="Arial"/>
          <w:sz w:val="20"/>
          <w:szCs w:val="20"/>
        </w:rPr>
        <w:t>(12). Retrieved from http://www.lrrd.org/lrrd21/12/maze21212.htm.</w:t>
      </w:r>
    </w:p>
    <w:p w14:paraId="0A1F8C20" w14:textId="77777777" w:rsidR="00C81645" w:rsidRPr="00805FAC" w:rsidRDefault="00C81645" w:rsidP="00805FAC">
      <w:pPr>
        <w:pStyle w:val="ListParagraph"/>
        <w:numPr>
          <w:ilvl w:val="0"/>
          <w:numId w:val="14"/>
        </w:numPr>
        <w:spacing w:after="0" w:line="360" w:lineRule="auto"/>
        <w:jc w:val="both"/>
        <w:rPr>
          <w:rFonts w:ascii="Arial" w:hAnsi="Arial" w:cs="Arial"/>
          <w:sz w:val="20"/>
          <w:szCs w:val="20"/>
        </w:rPr>
      </w:pPr>
      <w:r w:rsidRPr="00805FAC">
        <w:rPr>
          <w:rFonts w:ascii="Arial" w:hAnsi="Arial" w:cs="Arial"/>
          <w:sz w:val="20"/>
          <w:szCs w:val="20"/>
        </w:rPr>
        <w:t xml:space="preserve">Miles, R. D., and Butcher, G. D. (2004). Infectious bursal disease in poultry. </w:t>
      </w:r>
      <w:r w:rsidRPr="00805FAC">
        <w:rPr>
          <w:rFonts w:ascii="Arial" w:hAnsi="Arial" w:cs="Arial"/>
          <w:i/>
          <w:iCs/>
          <w:sz w:val="20"/>
          <w:szCs w:val="20"/>
        </w:rPr>
        <w:t>Veterinary Medicine Extension, University of Florida</w:t>
      </w:r>
      <w:r w:rsidRPr="00805FAC">
        <w:rPr>
          <w:rFonts w:ascii="Arial" w:hAnsi="Arial" w:cs="Arial"/>
          <w:sz w:val="20"/>
          <w:szCs w:val="20"/>
        </w:rPr>
        <w:t>. Fact Sheet VM-102. https://edis.ifas.ufl.edu/publication/VM024</w:t>
      </w:r>
    </w:p>
    <w:p w14:paraId="774F56D4" w14:textId="77777777" w:rsidR="00C81645" w:rsidRPr="00C23206" w:rsidRDefault="00C81645" w:rsidP="00805FAC">
      <w:pPr>
        <w:pStyle w:val="NormalWeb"/>
        <w:numPr>
          <w:ilvl w:val="0"/>
          <w:numId w:val="14"/>
        </w:numPr>
        <w:spacing w:before="0" w:beforeAutospacing="0" w:after="0" w:afterAutospacing="0" w:line="360" w:lineRule="auto"/>
        <w:jc w:val="both"/>
        <w:rPr>
          <w:rFonts w:ascii="Arial" w:hAnsi="Arial" w:cs="Arial"/>
          <w:sz w:val="20"/>
          <w:szCs w:val="20"/>
        </w:rPr>
      </w:pPr>
      <w:r w:rsidRPr="00C23206">
        <w:rPr>
          <w:rStyle w:val="Strong"/>
          <w:rFonts w:ascii="Arial" w:eastAsiaTheme="majorEastAsia" w:hAnsi="Arial" w:cs="Arial"/>
          <w:b w:val="0"/>
          <w:bCs w:val="0"/>
          <w:sz w:val="20"/>
          <w:szCs w:val="20"/>
        </w:rPr>
        <w:t xml:space="preserve">Muller, H., Islam, M. R., and </w:t>
      </w:r>
      <w:proofErr w:type="spellStart"/>
      <w:r w:rsidRPr="00C23206">
        <w:rPr>
          <w:rStyle w:val="Strong"/>
          <w:rFonts w:ascii="Arial" w:eastAsiaTheme="majorEastAsia" w:hAnsi="Arial" w:cs="Arial"/>
          <w:b w:val="0"/>
          <w:bCs w:val="0"/>
          <w:sz w:val="20"/>
          <w:szCs w:val="20"/>
        </w:rPr>
        <w:t>Raue</w:t>
      </w:r>
      <w:proofErr w:type="spellEnd"/>
      <w:r w:rsidRPr="00C23206">
        <w:rPr>
          <w:rStyle w:val="Strong"/>
          <w:rFonts w:ascii="Arial" w:eastAsiaTheme="majorEastAsia" w:hAnsi="Arial" w:cs="Arial"/>
          <w:b w:val="0"/>
          <w:bCs w:val="0"/>
          <w:sz w:val="20"/>
          <w:szCs w:val="20"/>
        </w:rPr>
        <w:t>, R. (2003).</w:t>
      </w:r>
      <w:r w:rsidRPr="00C23206">
        <w:rPr>
          <w:rFonts w:ascii="Arial" w:hAnsi="Arial" w:cs="Arial"/>
          <w:sz w:val="20"/>
          <w:szCs w:val="20"/>
        </w:rPr>
        <w:t xml:space="preserve"> Research on infectious bursal disease - the past, the present and the future. </w:t>
      </w:r>
      <w:r w:rsidRPr="00C23206">
        <w:rPr>
          <w:rStyle w:val="Emphasis"/>
          <w:rFonts w:ascii="Arial" w:eastAsiaTheme="majorEastAsia" w:hAnsi="Arial" w:cs="Arial"/>
          <w:sz w:val="20"/>
          <w:szCs w:val="20"/>
        </w:rPr>
        <w:t>Veterinary Microbiology</w:t>
      </w:r>
      <w:r w:rsidRPr="00C23206">
        <w:rPr>
          <w:rFonts w:ascii="Arial" w:hAnsi="Arial" w:cs="Arial"/>
          <w:sz w:val="20"/>
          <w:szCs w:val="20"/>
        </w:rPr>
        <w:t>, 97(1–2), 153–165. https://doi.org/10.1016/j.vetmic.2003.08.005</w:t>
      </w:r>
    </w:p>
    <w:p w14:paraId="39C2ED7D" w14:textId="77777777" w:rsidR="00C81645" w:rsidRPr="00805FAC" w:rsidRDefault="00C81645" w:rsidP="00805FAC">
      <w:pPr>
        <w:pStyle w:val="ListParagraph"/>
        <w:numPr>
          <w:ilvl w:val="0"/>
          <w:numId w:val="14"/>
        </w:numPr>
        <w:spacing w:after="0" w:line="360" w:lineRule="auto"/>
        <w:jc w:val="both"/>
        <w:rPr>
          <w:rFonts w:ascii="Arial" w:hAnsi="Arial" w:cs="Arial"/>
          <w:sz w:val="20"/>
          <w:szCs w:val="20"/>
        </w:rPr>
      </w:pPr>
      <w:r w:rsidRPr="00805FAC">
        <w:rPr>
          <w:rFonts w:ascii="Arial" w:hAnsi="Arial" w:cs="Arial"/>
          <w:sz w:val="20"/>
          <w:szCs w:val="20"/>
        </w:rPr>
        <w:t xml:space="preserve">Murali, P., and M. </w:t>
      </w:r>
      <w:proofErr w:type="spellStart"/>
      <w:r w:rsidRPr="00805FAC">
        <w:rPr>
          <w:rFonts w:ascii="Arial" w:hAnsi="Arial" w:cs="Arial"/>
          <w:sz w:val="20"/>
          <w:szCs w:val="20"/>
        </w:rPr>
        <w:t>Vimalarani</w:t>
      </w:r>
      <w:proofErr w:type="spellEnd"/>
      <w:r w:rsidRPr="00805FAC">
        <w:rPr>
          <w:rFonts w:ascii="Arial" w:hAnsi="Arial" w:cs="Arial"/>
          <w:sz w:val="20"/>
          <w:szCs w:val="20"/>
        </w:rPr>
        <w:t xml:space="preserve">. (2025). Performance of Genetically Improved </w:t>
      </w:r>
      <w:proofErr w:type="spellStart"/>
      <w:r w:rsidRPr="00805FAC">
        <w:rPr>
          <w:rFonts w:ascii="Arial" w:hAnsi="Arial" w:cs="Arial"/>
          <w:sz w:val="20"/>
          <w:szCs w:val="20"/>
        </w:rPr>
        <w:t>Janapriya</w:t>
      </w:r>
      <w:proofErr w:type="spellEnd"/>
      <w:r w:rsidRPr="00805FAC">
        <w:rPr>
          <w:rFonts w:ascii="Arial" w:hAnsi="Arial" w:cs="Arial"/>
          <w:sz w:val="20"/>
          <w:szCs w:val="20"/>
        </w:rPr>
        <w:t xml:space="preserve"> Chickens </w:t>
      </w:r>
      <w:proofErr w:type="gramStart"/>
      <w:r w:rsidRPr="00805FAC">
        <w:rPr>
          <w:rFonts w:ascii="Arial" w:hAnsi="Arial" w:cs="Arial"/>
          <w:sz w:val="20"/>
          <w:szCs w:val="20"/>
        </w:rPr>
        <w:t>As</w:t>
      </w:r>
      <w:proofErr w:type="gramEnd"/>
      <w:r w:rsidRPr="00805FAC">
        <w:rPr>
          <w:rFonts w:ascii="Arial" w:hAnsi="Arial" w:cs="Arial"/>
          <w:sz w:val="20"/>
          <w:szCs w:val="20"/>
        </w:rPr>
        <w:t xml:space="preserve"> an Alternative to Backyard Poultry in </w:t>
      </w:r>
      <w:proofErr w:type="spellStart"/>
      <w:r w:rsidRPr="00805FAC">
        <w:rPr>
          <w:rFonts w:ascii="Arial" w:hAnsi="Arial" w:cs="Arial"/>
          <w:sz w:val="20"/>
          <w:szCs w:val="20"/>
        </w:rPr>
        <w:t>Kallakurichi</w:t>
      </w:r>
      <w:proofErr w:type="spellEnd"/>
      <w:r w:rsidRPr="00805FAC">
        <w:rPr>
          <w:rFonts w:ascii="Arial" w:hAnsi="Arial" w:cs="Arial"/>
          <w:sz w:val="20"/>
          <w:szCs w:val="20"/>
        </w:rPr>
        <w:t xml:space="preserve"> District, Tamil Nadu, India: A Field Study. Journal of Biology and Nature, 17 (2): 215 - 222. https://doi.org/10.56557/joban/2025/v17i29537.</w:t>
      </w:r>
    </w:p>
    <w:p w14:paraId="061DB299" w14:textId="77777777" w:rsidR="00C81645" w:rsidRPr="00C23206" w:rsidRDefault="00C81645" w:rsidP="00805FAC">
      <w:pPr>
        <w:pStyle w:val="NormalWeb"/>
        <w:numPr>
          <w:ilvl w:val="0"/>
          <w:numId w:val="14"/>
        </w:numPr>
        <w:spacing w:before="0" w:beforeAutospacing="0" w:after="0" w:afterAutospacing="0" w:line="360" w:lineRule="auto"/>
        <w:jc w:val="both"/>
        <w:rPr>
          <w:rFonts w:ascii="Arial" w:eastAsiaTheme="minorHAnsi" w:hAnsi="Arial" w:cs="Arial"/>
          <w:sz w:val="20"/>
          <w:szCs w:val="20"/>
          <w:lang w:eastAsia="en-US"/>
        </w:rPr>
      </w:pPr>
      <w:proofErr w:type="spellStart"/>
      <w:r w:rsidRPr="00C23206">
        <w:rPr>
          <w:rFonts w:ascii="Arial" w:eastAsiaTheme="minorHAnsi" w:hAnsi="Arial" w:cs="Arial"/>
          <w:sz w:val="20"/>
          <w:szCs w:val="20"/>
          <w:lang w:eastAsia="en-US"/>
        </w:rPr>
        <w:t>Orakpoghenor</w:t>
      </w:r>
      <w:proofErr w:type="spellEnd"/>
      <w:r w:rsidRPr="00C23206">
        <w:rPr>
          <w:rFonts w:ascii="Arial" w:eastAsiaTheme="minorHAnsi" w:hAnsi="Arial" w:cs="Arial"/>
          <w:sz w:val="20"/>
          <w:szCs w:val="20"/>
          <w:lang w:eastAsia="en-US"/>
        </w:rPr>
        <w:t xml:space="preserve">, O., Oladele, S. B., &amp; Abdu, P. A. (2020). Infectious bursal disease: Transmission, pathogenesis, pathology and control – An overview. </w:t>
      </w:r>
      <w:r w:rsidRPr="00C23206">
        <w:rPr>
          <w:rFonts w:ascii="Arial" w:eastAsiaTheme="minorHAnsi" w:hAnsi="Arial" w:cs="Arial"/>
          <w:i/>
          <w:iCs/>
          <w:sz w:val="20"/>
          <w:szCs w:val="20"/>
          <w:lang w:eastAsia="en-US"/>
        </w:rPr>
        <w:t>World’s Poultry Science Journal, 76</w:t>
      </w:r>
      <w:r w:rsidRPr="00C23206">
        <w:rPr>
          <w:rFonts w:ascii="Arial" w:eastAsiaTheme="minorHAnsi" w:hAnsi="Arial" w:cs="Arial"/>
          <w:sz w:val="20"/>
          <w:szCs w:val="20"/>
          <w:lang w:eastAsia="en-US"/>
        </w:rPr>
        <w:t>(2), 268–281. https://doi.org/10.1080/00439339.2020.1716652</w:t>
      </w:r>
    </w:p>
    <w:p w14:paraId="3C59576C" w14:textId="77777777" w:rsidR="00C81645" w:rsidRPr="00805FAC" w:rsidRDefault="00C81645" w:rsidP="00805FAC">
      <w:pPr>
        <w:pStyle w:val="ListParagraph"/>
        <w:numPr>
          <w:ilvl w:val="0"/>
          <w:numId w:val="14"/>
        </w:numPr>
        <w:spacing w:after="0" w:line="360" w:lineRule="auto"/>
        <w:jc w:val="both"/>
        <w:rPr>
          <w:rFonts w:ascii="Arial" w:hAnsi="Arial" w:cs="Arial"/>
          <w:sz w:val="20"/>
          <w:szCs w:val="20"/>
          <w:lang w:val="da-DK"/>
        </w:rPr>
      </w:pPr>
      <w:r w:rsidRPr="00805FAC">
        <w:rPr>
          <w:rFonts w:ascii="Arial" w:hAnsi="Arial" w:cs="Arial"/>
          <w:sz w:val="20"/>
          <w:szCs w:val="20"/>
        </w:rPr>
        <w:lastRenderedPageBreak/>
        <w:t xml:space="preserve">Rajendran, K., Manoharan, K., and </w:t>
      </w:r>
      <w:proofErr w:type="spellStart"/>
      <w:r w:rsidRPr="00805FAC">
        <w:rPr>
          <w:rFonts w:ascii="Arial" w:hAnsi="Arial" w:cs="Arial"/>
          <w:sz w:val="20"/>
          <w:szCs w:val="20"/>
        </w:rPr>
        <w:t>Balasubramaniam</w:t>
      </w:r>
      <w:proofErr w:type="spellEnd"/>
      <w:r w:rsidRPr="00805FAC">
        <w:rPr>
          <w:rFonts w:ascii="Arial" w:hAnsi="Arial" w:cs="Arial"/>
          <w:sz w:val="20"/>
          <w:szCs w:val="20"/>
        </w:rPr>
        <w:t xml:space="preserve">, G. A. (2006). Mortality pattern in broiler chicken flocks affected with infectious bursal disease in Tamil Nadu. </w:t>
      </w:r>
      <w:r w:rsidRPr="00805FAC">
        <w:rPr>
          <w:rFonts w:ascii="Arial" w:hAnsi="Arial" w:cs="Arial"/>
          <w:i/>
          <w:iCs/>
          <w:sz w:val="20"/>
          <w:szCs w:val="20"/>
          <w:lang w:val="da-DK"/>
        </w:rPr>
        <w:t>Indian Veterinary Journal, 83</w:t>
      </w:r>
      <w:r w:rsidRPr="00805FAC">
        <w:rPr>
          <w:rFonts w:ascii="Arial" w:hAnsi="Arial" w:cs="Arial"/>
          <w:sz w:val="20"/>
          <w:szCs w:val="20"/>
          <w:lang w:val="da-DK"/>
        </w:rPr>
        <w:t>(8), 860–862.</w:t>
      </w:r>
    </w:p>
    <w:p w14:paraId="4A7B9AC8" w14:textId="77777777" w:rsidR="00C81645" w:rsidRPr="00805FAC" w:rsidRDefault="00C81645" w:rsidP="00805FAC">
      <w:pPr>
        <w:pStyle w:val="ListParagraph"/>
        <w:numPr>
          <w:ilvl w:val="0"/>
          <w:numId w:val="14"/>
        </w:numPr>
        <w:spacing w:after="0" w:line="360" w:lineRule="auto"/>
        <w:jc w:val="both"/>
        <w:rPr>
          <w:rFonts w:ascii="Arial" w:hAnsi="Arial" w:cs="Arial"/>
          <w:sz w:val="20"/>
          <w:szCs w:val="20"/>
        </w:rPr>
      </w:pPr>
      <w:r w:rsidRPr="00805FAC">
        <w:rPr>
          <w:rFonts w:ascii="Arial" w:hAnsi="Arial" w:cs="Arial"/>
          <w:sz w:val="20"/>
          <w:szCs w:val="20"/>
          <w:lang w:val="da-DK"/>
        </w:rPr>
        <w:t xml:space="preserve">Seger, W. M., Kraidi, Q. A., Hussien, T. J., &amp; Ramadhan, M. A. K. (2019). </w:t>
      </w:r>
      <w:r w:rsidRPr="00805FAC">
        <w:rPr>
          <w:rFonts w:ascii="Arial" w:hAnsi="Arial" w:cs="Arial"/>
          <w:sz w:val="20"/>
          <w:szCs w:val="20"/>
        </w:rPr>
        <w:t xml:space="preserve">Natural outbreaks of infectious bursal disease in Brahma and Aseel chicken in Iraq. </w:t>
      </w:r>
      <w:r w:rsidRPr="00805FAC">
        <w:rPr>
          <w:rFonts w:ascii="Arial" w:hAnsi="Arial" w:cs="Arial"/>
          <w:i/>
          <w:iCs/>
          <w:sz w:val="20"/>
          <w:szCs w:val="20"/>
        </w:rPr>
        <w:t>Journal of Global Pharma Technology</w:t>
      </w:r>
      <w:r w:rsidRPr="00805FAC">
        <w:rPr>
          <w:rFonts w:ascii="Arial" w:hAnsi="Arial" w:cs="Arial"/>
          <w:sz w:val="20"/>
          <w:szCs w:val="20"/>
        </w:rPr>
        <w:t>, 11(10), 504–512. https://un.uobasrah.edu.iq/papers/14636.pdf</w:t>
      </w:r>
    </w:p>
    <w:p w14:paraId="02EDCE9D" w14:textId="77777777" w:rsidR="00C81645" w:rsidRPr="00805FAC" w:rsidRDefault="00C81645" w:rsidP="00805FAC">
      <w:pPr>
        <w:pStyle w:val="ListParagraph"/>
        <w:numPr>
          <w:ilvl w:val="0"/>
          <w:numId w:val="14"/>
        </w:numPr>
        <w:spacing w:after="0" w:line="360" w:lineRule="auto"/>
        <w:jc w:val="both"/>
        <w:rPr>
          <w:rFonts w:ascii="Arial" w:hAnsi="Arial" w:cs="Arial"/>
          <w:sz w:val="20"/>
          <w:szCs w:val="20"/>
        </w:rPr>
      </w:pPr>
      <w:proofErr w:type="spellStart"/>
      <w:r w:rsidRPr="00805FAC">
        <w:rPr>
          <w:rFonts w:ascii="Arial" w:hAnsi="Arial" w:cs="Arial"/>
          <w:sz w:val="20"/>
          <w:szCs w:val="20"/>
        </w:rPr>
        <w:t>Setta</w:t>
      </w:r>
      <w:proofErr w:type="spellEnd"/>
      <w:r w:rsidRPr="00805FAC">
        <w:rPr>
          <w:rFonts w:ascii="Arial" w:hAnsi="Arial" w:cs="Arial"/>
          <w:sz w:val="20"/>
          <w:szCs w:val="20"/>
        </w:rPr>
        <w:t xml:space="preserve">, A., Yehia, N., </w:t>
      </w:r>
      <w:proofErr w:type="spellStart"/>
      <w:r w:rsidRPr="00805FAC">
        <w:rPr>
          <w:rFonts w:ascii="Arial" w:hAnsi="Arial" w:cs="Arial"/>
          <w:sz w:val="20"/>
          <w:szCs w:val="20"/>
        </w:rPr>
        <w:t>Shaheen</w:t>
      </w:r>
      <w:proofErr w:type="spellEnd"/>
      <w:r w:rsidRPr="00805FAC">
        <w:rPr>
          <w:rFonts w:ascii="Arial" w:hAnsi="Arial" w:cs="Arial"/>
          <w:sz w:val="20"/>
          <w:szCs w:val="20"/>
        </w:rPr>
        <w:t xml:space="preserve">, M., </w:t>
      </w:r>
      <w:proofErr w:type="spellStart"/>
      <w:r w:rsidRPr="00805FAC">
        <w:rPr>
          <w:rFonts w:ascii="Arial" w:hAnsi="Arial" w:cs="Arial"/>
          <w:sz w:val="20"/>
          <w:szCs w:val="20"/>
        </w:rPr>
        <w:t>Shami</w:t>
      </w:r>
      <w:proofErr w:type="spellEnd"/>
      <w:r w:rsidRPr="00805FAC">
        <w:rPr>
          <w:rFonts w:ascii="Arial" w:hAnsi="Arial" w:cs="Arial"/>
          <w:sz w:val="20"/>
          <w:szCs w:val="20"/>
        </w:rPr>
        <w:t xml:space="preserve">, A., Al-Saeed, F. A., </w:t>
      </w:r>
      <w:proofErr w:type="spellStart"/>
      <w:r w:rsidRPr="00805FAC">
        <w:rPr>
          <w:rFonts w:ascii="Arial" w:hAnsi="Arial" w:cs="Arial"/>
          <w:sz w:val="20"/>
          <w:szCs w:val="20"/>
        </w:rPr>
        <w:t>Alsamghan</w:t>
      </w:r>
      <w:proofErr w:type="spellEnd"/>
      <w:r w:rsidRPr="00805FAC">
        <w:rPr>
          <w:rFonts w:ascii="Arial" w:hAnsi="Arial" w:cs="Arial"/>
          <w:sz w:val="20"/>
          <w:szCs w:val="20"/>
        </w:rPr>
        <w:t>, A., Amin, R., El-</w:t>
      </w:r>
      <w:proofErr w:type="spellStart"/>
      <w:r w:rsidRPr="00805FAC">
        <w:rPr>
          <w:rFonts w:ascii="Arial" w:hAnsi="Arial" w:cs="Arial"/>
          <w:sz w:val="20"/>
          <w:szCs w:val="20"/>
        </w:rPr>
        <w:t>Saadony</w:t>
      </w:r>
      <w:proofErr w:type="spellEnd"/>
      <w:r w:rsidRPr="00805FAC">
        <w:rPr>
          <w:rFonts w:ascii="Arial" w:hAnsi="Arial" w:cs="Arial"/>
          <w:sz w:val="20"/>
          <w:szCs w:val="20"/>
        </w:rPr>
        <w:t>, M. T., El-</w:t>
      </w:r>
      <w:proofErr w:type="spellStart"/>
      <w:r w:rsidRPr="00805FAC">
        <w:rPr>
          <w:rFonts w:ascii="Arial" w:hAnsi="Arial" w:cs="Arial"/>
          <w:sz w:val="20"/>
          <w:szCs w:val="20"/>
        </w:rPr>
        <w:t>Tarabily</w:t>
      </w:r>
      <w:proofErr w:type="spellEnd"/>
      <w:r w:rsidRPr="00805FAC">
        <w:rPr>
          <w:rFonts w:ascii="Arial" w:hAnsi="Arial" w:cs="Arial"/>
          <w:sz w:val="20"/>
          <w:szCs w:val="20"/>
        </w:rPr>
        <w:t>, K. A., &amp; Salem, H. M. (2024). Continuous clinicopathological and molecular recognition of very virulent infectious bursal disease virus in commercial broiler chickens. Poultry Science, 103(2), 103306. https://doi.org/10.1016/j.psj.2023.103306</w:t>
      </w:r>
    </w:p>
    <w:p w14:paraId="781C1C59" w14:textId="77777777" w:rsidR="00C81645" w:rsidRPr="00805FAC" w:rsidRDefault="00C81645" w:rsidP="00805FAC">
      <w:pPr>
        <w:pStyle w:val="ListParagraph"/>
        <w:numPr>
          <w:ilvl w:val="0"/>
          <w:numId w:val="14"/>
        </w:numPr>
        <w:spacing w:after="0" w:line="360" w:lineRule="auto"/>
        <w:jc w:val="both"/>
        <w:rPr>
          <w:rFonts w:ascii="Arial" w:hAnsi="Arial" w:cs="Arial"/>
          <w:sz w:val="20"/>
          <w:szCs w:val="20"/>
        </w:rPr>
      </w:pPr>
      <w:r w:rsidRPr="00805FAC">
        <w:rPr>
          <w:rFonts w:ascii="Arial" w:hAnsi="Arial" w:cs="Arial"/>
          <w:sz w:val="20"/>
          <w:szCs w:val="20"/>
        </w:rPr>
        <w:t xml:space="preserve">Sharma, J. M., Kim, I. J., </w:t>
      </w:r>
      <w:proofErr w:type="spellStart"/>
      <w:r w:rsidRPr="00805FAC">
        <w:rPr>
          <w:rFonts w:ascii="Arial" w:hAnsi="Arial" w:cs="Arial"/>
          <w:sz w:val="20"/>
          <w:szCs w:val="20"/>
        </w:rPr>
        <w:t>Rautenschlein</w:t>
      </w:r>
      <w:proofErr w:type="spellEnd"/>
      <w:r w:rsidRPr="00805FAC">
        <w:rPr>
          <w:rFonts w:ascii="Arial" w:hAnsi="Arial" w:cs="Arial"/>
          <w:sz w:val="20"/>
          <w:szCs w:val="20"/>
        </w:rPr>
        <w:t xml:space="preserve">, S., and Yeh, H. Y. (2000). Infectious bursal disease virus of chickens: Pathogenesis and immunosuppression. </w:t>
      </w:r>
      <w:r w:rsidRPr="00805FAC">
        <w:rPr>
          <w:rFonts w:ascii="Arial" w:hAnsi="Arial" w:cs="Arial"/>
          <w:i/>
          <w:iCs/>
          <w:sz w:val="20"/>
          <w:szCs w:val="20"/>
        </w:rPr>
        <w:t>Developmental and Comparative Immunology, 24</w:t>
      </w:r>
      <w:r w:rsidRPr="00805FAC">
        <w:rPr>
          <w:rFonts w:ascii="Arial" w:hAnsi="Arial" w:cs="Arial"/>
          <w:sz w:val="20"/>
          <w:szCs w:val="20"/>
        </w:rPr>
        <w:t>(2–3), 223–235. https://doi.org/10.1016/S0145-305X(99)00078-4</w:t>
      </w:r>
    </w:p>
    <w:p w14:paraId="69786ED4" w14:textId="77777777" w:rsidR="00C81645" w:rsidRPr="00C23206" w:rsidRDefault="00C81645" w:rsidP="00805FAC">
      <w:pPr>
        <w:pStyle w:val="NormalWeb"/>
        <w:numPr>
          <w:ilvl w:val="0"/>
          <w:numId w:val="14"/>
        </w:numPr>
        <w:spacing w:before="0" w:beforeAutospacing="0" w:after="0" w:afterAutospacing="0" w:line="360" w:lineRule="auto"/>
        <w:jc w:val="both"/>
        <w:rPr>
          <w:rFonts w:ascii="Arial" w:hAnsi="Arial" w:cs="Arial"/>
          <w:sz w:val="20"/>
          <w:szCs w:val="20"/>
        </w:rPr>
      </w:pPr>
      <w:r w:rsidRPr="00C23206">
        <w:rPr>
          <w:rStyle w:val="Strong"/>
          <w:rFonts w:ascii="Arial" w:eastAsiaTheme="majorEastAsia" w:hAnsi="Arial" w:cs="Arial"/>
          <w:b w:val="0"/>
          <w:bCs w:val="0"/>
          <w:sz w:val="20"/>
          <w:szCs w:val="20"/>
        </w:rPr>
        <w:t xml:space="preserve">Sharma, R. N., </w:t>
      </w:r>
      <w:proofErr w:type="spellStart"/>
      <w:r w:rsidRPr="00C23206">
        <w:rPr>
          <w:rStyle w:val="Strong"/>
          <w:rFonts w:ascii="Arial" w:eastAsiaTheme="majorEastAsia" w:hAnsi="Arial" w:cs="Arial"/>
          <w:b w:val="0"/>
          <w:bCs w:val="0"/>
          <w:sz w:val="20"/>
          <w:szCs w:val="20"/>
        </w:rPr>
        <w:t>Kataria</w:t>
      </w:r>
      <w:proofErr w:type="spellEnd"/>
      <w:r w:rsidRPr="00C23206">
        <w:rPr>
          <w:rStyle w:val="Strong"/>
          <w:rFonts w:ascii="Arial" w:eastAsiaTheme="majorEastAsia" w:hAnsi="Arial" w:cs="Arial"/>
          <w:b w:val="0"/>
          <w:bCs w:val="0"/>
          <w:sz w:val="20"/>
          <w:szCs w:val="20"/>
        </w:rPr>
        <w:t xml:space="preserve">, J. M., and </w:t>
      </w:r>
      <w:proofErr w:type="spellStart"/>
      <w:r w:rsidRPr="00C23206">
        <w:rPr>
          <w:rStyle w:val="Strong"/>
          <w:rFonts w:ascii="Arial" w:eastAsiaTheme="majorEastAsia" w:hAnsi="Arial" w:cs="Arial"/>
          <w:b w:val="0"/>
          <w:bCs w:val="0"/>
          <w:sz w:val="20"/>
          <w:szCs w:val="20"/>
        </w:rPr>
        <w:t>Dhama</w:t>
      </w:r>
      <w:proofErr w:type="spellEnd"/>
      <w:r w:rsidRPr="00C23206">
        <w:rPr>
          <w:rStyle w:val="Strong"/>
          <w:rFonts w:ascii="Arial" w:eastAsiaTheme="majorEastAsia" w:hAnsi="Arial" w:cs="Arial"/>
          <w:b w:val="0"/>
          <w:bCs w:val="0"/>
          <w:sz w:val="20"/>
          <w:szCs w:val="20"/>
        </w:rPr>
        <w:t>, K. (2017).</w:t>
      </w:r>
      <w:r w:rsidRPr="00C23206">
        <w:rPr>
          <w:rFonts w:ascii="Arial" w:hAnsi="Arial" w:cs="Arial"/>
          <w:sz w:val="20"/>
          <w:szCs w:val="20"/>
        </w:rPr>
        <w:t xml:space="preserve"> Infectious bursal disease (</w:t>
      </w:r>
      <w:proofErr w:type="spellStart"/>
      <w:r w:rsidRPr="00C23206">
        <w:rPr>
          <w:rFonts w:ascii="Arial" w:hAnsi="Arial" w:cs="Arial"/>
          <w:sz w:val="20"/>
          <w:szCs w:val="20"/>
        </w:rPr>
        <w:t>Gumboro</w:t>
      </w:r>
      <w:proofErr w:type="spellEnd"/>
      <w:r w:rsidRPr="00C23206">
        <w:rPr>
          <w:rFonts w:ascii="Arial" w:hAnsi="Arial" w:cs="Arial"/>
          <w:sz w:val="20"/>
          <w:szCs w:val="20"/>
        </w:rPr>
        <w:t xml:space="preserve"> disease) in poultry: A review of recent developments with special reference to India. </w:t>
      </w:r>
      <w:r w:rsidRPr="00C23206">
        <w:rPr>
          <w:rStyle w:val="Emphasis"/>
          <w:rFonts w:ascii="Arial" w:eastAsiaTheme="majorEastAsia" w:hAnsi="Arial" w:cs="Arial"/>
          <w:sz w:val="20"/>
          <w:szCs w:val="20"/>
        </w:rPr>
        <w:t>Journal of Poultry Science and Technology</w:t>
      </w:r>
      <w:r w:rsidRPr="00C23206">
        <w:rPr>
          <w:rFonts w:ascii="Arial" w:hAnsi="Arial" w:cs="Arial"/>
          <w:sz w:val="20"/>
          <w:szCs w:val="20"/>
        </w:rPr>
        <w:t>, 5(1), 01–10.</w:t>
      </w:r>
    </w:p>
    <w:p w14:paraId="4C40AC88" w14:textId="77777777" w:rsidR="00C81645" w:rsidRPr="00C23206" w:rsidRDefault="00C81645" w:rsidP="00805FAC">
      <w:pPr>
        <w:pStyle w:val="NormalWeb"/>
        <w:numPr>
          <w:ilvl w:val="0"/>
          <w:numId w:val="14"/>
        </w:numPr>
        <w:spacing w:before="0" w:beforeAutospacing="0" w:after="0" w:afterAutospacing="0" w:line="360" w:lineRule="auto"/>
        <w:jc w:val="both"/>
        <w:rPr>
          <w:rFonts w:ascii="Arial" w:hAnsi="Arial" w:cs="Arial"/>
          <w:sz w:val="20"/>
          <w:szCs w:val="20"/>
        </w:rPr>
      </w:pPr>
      <w:proofErr w:type="spellStart"/>
      <w:r w:rsidRPr="00C23206">
        <w:rPr>
          <w:rStyle w:val="Strong"/>
          <w:rFonts w:ascii="Arial" w:eastAsiaTheme="majorEastAsia" w:hAnsi="Arial" w:cs="Arial"/>
          <w:b w:val="0"/>
          <w:bCs w:val="0"/>
          <w:sz w:val="20"/>
          <w:szCs w:val="20"/>
        </w:rPr>
        <w:t>Skeeles</w:t>
      </w:r>
      <w:proofErr w:type="spellEnd"/>
      <w:r w:rsidRPr="00C23206">
        <w:rPr>
          <w:rStyle w:val="Strong"/>
          <w:rFonts w:ascii="Arial" w:eastAsiaTheme="majorEastAsia" w:hAnsi="Arial" w:cs="Arial"/>
          <w:b w:val="0"/>
          <w:bCs w:val="0"/>
          <w:sz w:val="20"/>
          <w:szCs w:val="20"/>
        </w:rPr>
        <w:t xml:space="preserve">, J. K., and </w:t>
      </w:r>
      <w:proofErr w:type="spellStart"/>
      <w:r w:rsidRPr="00C23206">
        <w:rPr>
          <w:rStyle w:val="Strong"/>
          <w:rFonts w:ascii="Arial" w:eastAsiaTheme="majorEastAsia" w:hAnsi="Arial" w:cs="Arial"/>
          <w:b w:val="0"/>
          <w:bCs w:val="0"/>
          <w:sz w:val="20"/>
          <w:szCs w:val="20"/>
        </w:rPr>
        <w:t>Lukert</w:t>
      </w:r>
      <w:proofErr w:type="spellEnd"/>
      <w:r w:rsidRPr="00C23206">
        <w:rPr>
          <w:rStyle w:val="Strong"/>
          <w:rFonts w:ascii="Arial" w:eastAsiaTheme="majorEastAsia" w:hAnsi="Arial" w:cs="Arial"/>
          <w:b w:val="0"/>
          <w:bCs w:val="0"/>
          <w:sz w:val="20"/>
          <w:szCs w:val="20"/>
        </w:rPr>
        <w:t>, P. D. (1997).</w:t>
      </w:r>
      <w:r w:rsidRPr="00C23206">
        <w:rPr>
          <w:rFonts w:ascii="Arial" w:hAnsi="Arial" w:cs="Arial"/>
          <w:sz w:val="20"/>
          <w:szCs w:val="20"/>
        </w:rPr>
        <w:t xml:space="preserve"> Infectious bursal disease. In B. W. </w:t>
      </w:r>
      <w:proofErr w:type="spellStart"/>
      <w:r w:rsidRPr="00C23206">
        <w:rPr>
          <w:rFonts w:ascii="Arial" w:hAnsi="Arial" w:cs="Arial"/>
          <w:sz w:val="20"/>
          <w:szCs w:val="20"/>
        </w:rPr>
        <w:t>Calnek</w:t>
      </w:r>
      <w:proofErr w:type="spellEnd"/>
      <w:r w:rsidRPr="00C23206">
        <w:rPr>
          <w:rFonts w:ascii="Arial" w:hAnsi="Arial" w:cs="Arial"/>
          <w:sz w:val="20"/>
          <w:szCs w:val="20"/>
        </w:rPr>
        <w:t xml:space="preserve"> (Ed.), </w:t>
      </w:r>
      <w:r w:rsidRPr="00C23206">
        <w:rPr>
          <w:rStyle w:val="Emphasis"/>
          <w:rFonts w:ascii="Arial" w:eastAsiaTheme="majorEastAsia" w:hAnsi="Arial" w:cs="Arial"/>
          <w:sz w:val="20"/>
          <w:szCs w:val="20"/>
        </w:rPr>
        <w:t>Diseases of Poultry</w:t>
      </w:r>
      <w:r w:rsidRPr="00C23206">
        <w:rPr>
          <w:rFonts w:ascii="Arial" w:hAnsi="Arial" w:cs="Arial"/>
          <w:sz w:val="20"/>
          <w:szCs w:val="20"/>
        </w:rPr>
        <w:t xml:space="preserve"> (10th ed., pp. 721–738). Iowa State University Press.</w:t>
      </w:r>
      <w:r w:rsidRPr="00C23206">
        <w:t xml:space="preserve"> </w:t>
      </w:r>
      <w:r w:rsidRPr="00C23206">
        <w:rPr>
          <w:rFonts w:ascii="Arial" w:hAnsi="Arial" w:cs="Arial"/>
          <w:sz w:val="20"/>
          <w:szCs w:val="20"/>
        </w:rPr>
        <w:t>https://www.jstor.org/stable/1589676</w:t>
      </w:r>
    </w:p>
    <w:p w14:paraId="57BED145" w14:textId="77777777" w:rsidR="00C81645" w:rsidRPr="00805FAC" w:rsidRDefault="00C81645" w:rsidP="00805FAC">
      <w:pPr>
        <w:pStyle w:val="ListParagraph"/>
        <w:numPr>
          <w:ilvl w:val="0"/>
          <w:numId w:val="14"/>
        </w:numPr>
        <w:spacing w:after="0" w:line="360" w:lineRule="auto"/>
        <w:jc w:val="both"/>
        <w:rPr>
          <w:rFonts w:ascii="Arial" w:hAnsi="Arial" w:cs="Arial"/>
          <w:sz w:val="20"/>
          <w:szCs w:val="20"/>
        </w:rPr>
      </w:pPr>
      <w:proofErr w:type="spellStart"/>
      <w:r w:rsidRPr="00805FAC">
        <w:rPr>
          <w:rFonts w:ascii="Arial" w:hAnsi="Arial" w:cs="Arial"/>
          <w:sz w:val="20"/>
          <w:szCs w:val="20"/>
        </w:rPr>
        <w:t>Teshager</w:t>
      </w:r>
      <w:proofErr w:type="spellEnd"/>
      <w:r w:rsidRPr="00805FAC">
        <w:rPr>
          <w:rFonts w:ascii="Arial" w:hAnsi="Arial" w:cs="Arial"/>
          <w:sz w:val="20"/>
          <w:szCs w:val="20"/>
        </w:rPr>
        <w:t xml:space="preserve">, N. (2015). </w:t>
      </w:r>
      <w:r w:rsidRPr="00805FAC">
        <w:rPr>
          <w:rFonts w:ascii="Arial" w:hAnsi="Arial" w:cs="Arial"/>
          <w:i/>
          <w:iCs/>
          <w:sz w:val="20"/>
          <w:szCs w:val="20"/>
        </w:rPr>
        <w:t>Pathological and seroprevalence studies on infectious bursal disease in chickens in and around Bahir Dar, North West, Ethiopia</w:t>
      </w:r>
      <w:r w:rsidRPr="00805FAC">
        <w:rPr>
          <w:rFonts w:ascii="Arial" w:hAnsi="Arial" w:cs="Arial"/>
          <w:sz w:val="20"/>
          <w:szCs w:val="20"/>
        </w:rPr>
        <w:t xml:space="preserve"> (Master’s thesis, Addis Ababa University, College of Veterinary Medicine and Agriculture, Department of Pathology and Parasitology). Addis Ababa University.</w:t>
      </w:r>
    </w:p>
    <w:p w14:paraId="4E6F3BF3" w14:textId="77777777" w:rsidR="00C81645" w:rsidRPr="00C23206" w:rsidRDefault="00C81645" w:rsidP="00805FAC">
      <w:pPr>
        <w:pStyle w:val="NormalWeb"/>
        <w:numPr>
          <w:ilvl w:val="0"/>
          <w:numId w:val="14"/>
        </w:numPr>
        <w:spacing w:before="0" w:beforeAutospacing="0" w:after="0" w:afterAutospacing="0" w:line="360" w:lineRule="auto"/>
        <w:jc w:val="both"/>
        <w:rPr>
          <w:rFonts w:ascii="Arial" w:eastAsiaTheme="minorHAnsi" w:hAnsi="Arial" w:cs="Arial"/>
          <w:sz w:val="20"/>
          <w:szCs w:val="20"/>
          <w:lang w:eastAsia="en-US"/>
        </w:rPr>
      </w:pPr>
      <w:r w:rsidRPr="00C81645">
        <w:rPr>
          <w:rFonts w:ascii="Arial" w:eastAsiaTheme="minorHAnsi" w:hAnsi="Arial" w:cs="Arial"/>
          <w:sz w:val="20"/>
          <w:szCs w:val="20"/>
          <w:lang w:eastAsia="en-US"/>
        </w:rPr>
        <w:t xml:space="preserve">Truscott, R. B. (1976). </w:t>
      </w:r>
      <w:r w:rsidRPr="00C23206">
        <w:rPr>
          <w:rFonts w:ascii="Arial" w:eastAsiaTheme="minorHAnsi" w:hAnsi="Arial" w:cs="Arial"/>
          <w:sz w:val="20"/>
          <w:szCs w:val="20"/>
          <w:lang w:eastAsia="en-US"/>
        </w:rPr>
        <w:t xml:space="preserve">Isolation and identification of avian pathogens. </w:t>
      </w:r>
      <w:r w:rsidRPr="00C23206">
        <w:rPr>
          <w:rFonts w:ascii="Arial" w:eastAsiaTheme="minorHAnsi" w:hAnsi="Arial" w:cs="Arial"/>
          <w:i/>
          <w:iCs/>
          <w:sz w:val="20"/>
          <w:szCs w:val="20"/>
          <w:lang w:eastAsia="en-US"/>
        </w:rPr>
        <w:t>Poultry Science, 55</w:t>
      </w:r>
      <w:r w:rsidRPr="00C23206">
        <w:rPr>
          <w:rFonts w:ascii="Arial" w:eastAsiaTheme="minorHAnsi" w:hAnsi="Arial" w:cs="Arial"/>
          <w:sz w:val="20"/>
          <w:szCs w:val="20"/>
          <w:lang w:eastAsia="en-US"/>
        </w:rPr>
        <w:t xml:space="preserve">(5), 2112 – 2113. https://doi.org/10.3382/ps.0552112 </w:t>
      </w:r>
    </w:p>
    <w:p w14:paraId="1C5BCB19" w14:textId="77777777" w:rsidR="00C81645" w:rsidRPr="00805FAC" w:rsidRDefault="00C81645" w:rsidP="00805FAC">
      <w:pPr>
        <w:pStyle w:val="ListParagraph"/>
        <w:numPr>
          <w:ilvl w:val="0"/>
          <w:numId w:val="14"/>
        </w:numPr>
        <w:spacing w:after="0" w:line="360" w:lineRule="auto"/>
        <w:jc w:val="both"/>
        <w:rPr>
          <w:rFonts w:ascii="Arial" w:hAnsi="Arial" w:cs="Arial"/>
          <w:sz w:val="20"/>
          <w:szCs w:val="20"/>
        </w:rPr>
      </w:pPr>
      <w:proofErr w:type="spellStart"/>
      <w:r w:rsidRPr="00805FAC">
        <w:rPr>
          <w:rFonts w:ascii="Arial" w:hAnsi="Arial" w:cs="Arial"/>
          <w:sz w:val="20"/>
          <w:szCs w:val="20"/>
        </w:rPr>
        <w:t>Vadivoo</w:t>
      </w:r>
      <w:proofErr w:type="spellEnd"/>
      <w:r w:rsidRPr="00805FAC">
        <w:rPr>
          <w:rFonts w:ascii="Arial" w:hAnsi="Arial" w:cs="Arial"/>
          <w:sz w:val="20"/>
          <w:szCs w:val="20"/>
        </w:rPr>
        <w:t xml:space="preserve"> V.S., </w:t>
      </w:r>
      <w:proofErr w:type="spellStart"/>
      <w:r w:rsidRPr="00805FAC">
        <w:rPr>
          <w:rFonts w:ascii="Arial" w:hAnsi="Arial" w:cs="Arial"/>
          <w:sz w:val="20"/>
          <w:szCs w:val="20"/>
        </w:rPr>
        <w:t>Arthanarieswaran</w:t>
      </w:r>
      <w:proofErr w:type="spellEnd"/>
      <w:r w:rsidRPr="00805FAC">
        <w:rPr>
          <w:rFonts w:ascii="Arial" w:hAnsi="Arial" w:cs="Arial"/>
          <w:sz w:val="20"/>
          <w:szCs w:val="20"/>
        </w:rPr>
        <w:t xml:space="preserve"> M., </w:t>
      </w:r>
      <w:proofErr w:type="spellStart"/>
      <w:r w:rsidRPr="00805FAC">
        <w:rPr>
          <w:rFonts w:ascii="Arial" w:hAnsi="Arial" w:cs="Arial"/>
          <w:sz w:val="20"/>
          <w:szCs w:val="20"/>
        </w:rPr>
        <w:t>Lakshmikantan</w:t>
      </w:r>
      <w:proofErr w:type="spellEnd"/>
      <w:r w:rsidRPr="00805FAC">
        <w:rPr>
          <w:rFonts w:ascii="Arial" w:hAnsi="Arial" w:cs="Arial"/>
          <w:sz w:val="20"/>
          <w:szCs w:val="20"/>
        </w:rPr>
        <w:t xml:space="preserve"> U., Hariharan T., </w:t>
      </w:r>
      <w:proofErr w:type="spellStart"/>
      <w:r w:rsidRPr="00805FAC">
        <w:rPr>
          <w:rFonts w:ascii="Arial" w:hAnsi="Arial" w:cs="Arial"/>
          <w:sz w:val="20"/>
          <w:szCs w:val="20"/>
        </w:rPr>
        <w:t>Mathivananan</w:t>
      </w:r>
      <w:proofErr w:type="spellEnd"/>
      <w:r w:rsidRPr="00805FAC">
        <w:rPr>
          <w:rFonts w:ascii="Arial" w:hAnsi="Arial" w:cs="Arial"/>
          <w:sz w:val="20"/>
          <w:szCs w:val="20"/>
        </w:rPr>
        <w:t xml:space="preserve"> R. (2020). A retrospective study on the prevalence of infectious diseases in desi fowls of Tirupur district, India. International Journal of Current Microbiology and Applied Sciences, 9(6): 721–731. https://doi.org/10.20546/ijcmas.2020.906.092</w:t>
      </w:r>
    </w:p>
    <w:p w14:paraId="088B2E31" w14:textId="77777777" w:rsidR="00C81645" w:rsidRPr="00805FAC" w:rsidRDefault="00C81645" w:rsidP="00805FAC">
      <w:pPr>
        <w:pStyle w:val="ListParagraph"/>
        <w:numPr>
          <w:ilvl w:val="0"/>
          <w:numId w:val="14"/>
        </w:numPr>
        <w:spacing w:after="0" w:line="360" w:lineRule="auto"/>
        <w:jc w:val="both"/>
        <w:rPr>
          <w:rFonts w:ascii="Arial" w:hAnsi="Arial" w:cs="Arial"/>
          <w:sz w:val="20"/>
          <w:szCs w:val="20"/>
        </w:rPr>
      </w:pPr>
      <w:r w:rsidRPr="00805FAC">
        <w:rPr>
          <w:rFonts w:ascii="Arial" w:hAnsi="Arial" w:cs="Arial"/>
          <w:sz w:val="20"/>
          <w:szCs w:val="20"/>
        </w:rPr>
        <w:t xml:space="preserve">Van den Berg, T. P. (2000). Acute infectious bursal disease in poultry: A review. </w:t>
      </w:r>
      <w:r w:rsidRPr="00805FAC">
        <w:rPr>
          <w:rFonts w:ascii="Arial" w:hAnsi="Arial" w:cs="Arial"/>
          <w:i/>
          <w:iCs/>
          <w:sz w:val="20"/>
          <w:szCs w:val="20"/>
        </w:rPr>
        <w:t>Avian Pathology, 29</w:t>
      </w:r>
      <w:r w:rsidRPr="00805FAC">
        <w:rPr>
          <w:rFonts w:ascii="Arial" w:hAnsi="Arial" w:cs="Arial"/>
          <w:sz w:val="20"/>
          <w:szCs w:val="20"/>
        </w:rPr>
        <w:t>(3), 175–194. https://doi.org/10.1080/03079450050045431.</w:t>
      </w:r>
    </w:p>
    <w:sectPr w:rsidR="00C81645" w:rsidRPr="00805FAC" w:rsidSect="006A726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D2EE1" w14:textId="77777777" w:rsidR="00F57D69" w:rsidRDefault="00F57D69" w:rsidP="00634C03">
      <w:pPr>
        <w:spacing w:after="0" w:line="240" w:lineRule="auto"/>
      </w:pPr>
      <w:r>
        <w:separator/>
      </w:r>
    </w:p>
  </w:endnote>
  <w:endnote w:type="continuationSeparator" w:id="0">
    <w:p w14:paraId="36F05C8B" w14:textId="77777777" w:rsidR="00F57D69" w:rsidRDefault="00F57D69" w:rsidP="00634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9420B" w14:textId="77777777" w:rsidR="00185782" w:rsidRDefault="00185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C6228" w14:textId="43546217" w:rsidR="00634C03" w:rsidRPr="009216C8" w:rsidRDefault="00D814B3" w:rsidP="009216C8">
    <w:pPr>
      <w:pStyle w:val="Footer"/>
    </w:pPr>
    <w:r w:rsidRPr="009216C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48B23" w14:textId="77777777" w:rsidR="00185782" w:rsidRDefault="00185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24170" w14:textId="77777777" w:rsidR="00F57D69" w:rsidRDefault="00F57D69" w:rsidP="00634C03">
      <w:pPr>
        <w:spacing w:after="0" w:line="240" w:lineRule="auto"/>
      </w:pPr>
      <w:r>
        <w:separator/>
      </w:r>
    </w:p>
  </w:footnote>
  <w:footnote w:type="continuationSeparator" w:id="0">
    <w:p w14:paraId="0DACC867" w14:textId="77777777" w:rsidR="00F57D69" w:rsidRDefault="00F57D69" w:rsidP="00634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9600A" w14:textId="69BDFFD7" w:rsidR="00185782" w:rsidRDefault="001A7505">
    <w:pPr>
      <w:pStyle w:val="Header"/>
    </w:pPr>
    <w:r>
      <w:rPr>
        <w:noProof/>
      </w:rPr>
      <w:pict w14:anchorId="5F44B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9259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2E7CB" w14:textId="7420F6F5" w:rsidR="00185782" w:rsidRDefault="001A7505">
    <w:pPr>
      <w:pStyle w:val="Header"/>
    </w:pPr>
    <w:r>
      <w:rPr>
        <w:noProof/>
      </w:rPr>
      <w:pict w14:anchorId="58F61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9259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FC3AB" w14:textId="485E3D6A" w:rsidR="00185782" w:rsidRDefault="001A7505">
    <w:pPr>
      <w:pStyle w:val="Header"/>
    </w:pPr>
    <w:r>
      <w:rPr>
        <w:noProof/>
      </w:rPr>
      <w:pict w14:anchorId="4EAFC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9259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72980"/>
    <w:multiLevelType w:val="multilevel"/>
    <w:tmpl w:val="9A2C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E07F5"/>
    <w:multiLevelType w:val="multilevel"/>
    <w:tmpl w:val="D500E8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C55108"/>
    <w:multiLevelType w:val="hybridMultilevel"/>
    <w:tmpl w:val="AA1EF5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E54525"/>
    <w:multiLevelType w:val="hybridMultilevel"/>
    <w:tmpl w:val="A224EC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8F90BA4"/>
    <w:multiLevelType w:val="multilevel"/>
    <w:tmpl w:val="9D5C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036DD"/>
    <w:multiLevelType w:val="multilevel"/>
    <w:tmpl w:val="03AE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E633B"/>
    <w:multiLevelType w:val="multilevel"/>
    <w:tmpl w:val="1B3A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160F7B"/>
    <w:multiLevelType w:val="multilevel"/>
    <w:tmpl w:val="3E80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0B7D92"/>
    <w:multiLevelType w:val="multilevel"/>
    <w:tmpl w:val="24D0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D1516"/>
    <w:multiLevelType w:val="multilevel"/>
    <w:tmpl w:val="20A6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34152"/>
    <w:multiLevelType w:val="multilevel"/>
    <w:tmpl w:val="5588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D17551"/>
    <w:multiLevelType w:val="multilevel"/>
    <w:tmpl w:val="C832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663FA3"/>
    <w:multiLevelType w:val="multilevel"/>
    <w:tmpl w:val="043A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4D6DF6"/>
    <w:multiLevelType w:val="multilevel"/>
    <w:tmpl w:val="7970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7"/>
  </w:num>
  <w:num w:numId="4">
    <w:abstractNumId w:val="10"/>
  </w:num>
  <w:num w:numId="5">
    <w:abstractNumId w:val="0"/>
  </w:num>
  <w:num w:numId="6">
    <w:abstractNumId w:val="9"/>
  </w:num>
  <w:num w:numId="7">
    <w:abstractNumId w:val="13"/>
  </w:num>
  <w:num w:numId="8">
    <w:abstractNumId w:val="11"/>
  </w:num>
  <w:num w:numId="9">
    <w:abstractNumId w:val="8"/>
  </w:num>
  <w:num w:numId="10">
    <w:abstractNumId w:val="5"/>
  </w:num>
  <w:num w:numId="11">
    <w:abstractNumId w:val="6"/>
  </w:num>
  <w:num w:numId="12">
    <w:abstractNumId w:val="2"/>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6E"/>
    <w:rsid w:val="00012F21"/>
    <w:rsid w:val="00016996"/>
    <w:rsid w:val="00054881"/>
    <w:rsid w:val="00060B9F"/>
    <w:rsid w:val="000919D5"/>
    <w:rsid w:val="0009445B"/>
    <w:rsid w:val="000C3A41"/>
    <w:rsid w:val="000D72B6"/>
    <w:rsid w:val="00122E44"/>
    <w:rsid w:val="00140C6B"/>
    <w:rsid w:val="0014607A"/>
    <w:rsid w:val="00152C63"/>
    <w:rsid w:val="00171478"/>
    <w:rsid w:val="00182C39"/>
    <w:rsid w:val="00185782"/>
    <w:rsid w:val="00196C41"/>
    <w:rsid w:val="001A2EBC"/>
    <w:rsid w:val="001A7505"/>
    <w:rsid w:val="001B0B38"/>
    <w:rsid w:val="001B2244"/>
    <w:rsid w:val="001C7677"/>
    <w:rsid w:val="001D253F"/>
    <w:rsid w:val="00214FA5"/>
    <w:rsid w:val="002230B5"/>
    <w:rsid w:val="002347EB"/>
    <w:rsid w:val="00242C13"/>
    <w:rsid w:val="00273EED"/>
    <w:rsid w:val="00287DD9"/>
    <w:rsid w:val="00294C26"/>
    <w:rsid w:val="002A5FE8"/>
    <w:rsid w:val="002B54EB"/>
    <w:rsid w:val="002D2A8C"/>
    <w:rsid w:val="002E020F"/>
    <w:rsid w:val="002F007E"/>
    <w:rsid w:val="003447A2"/>
    <w:rsid w:val="003571E6"/>
    <w:rsid w:val="0036639F"/>
    <w:rsid w:val="00374916"/>
    <w:rsid w:val="00441668"/>
    <w:rsid w:val="00441EFF"/>
    <w:rsid w:val="00445669"/>
    <w:rsid w:val="00491F54"/>
    <w:rsid w:val="004A56D1"/>
    <w:rsid w:val="004E6287"/>
    <w:rsid w:val="004E6ABB"/>
    <w:rsid w:val="004E741F"/>
    <w:rsid w:val="004F1D18"/>
    <w:rsid w:val="00520575"/>
    <w:rsid w:val="00526157"/>
    <w:rsid w:val="005371A9"/>
    <w:rsid w:val="00545FA0"/>
    <w:rsid w:val="00552147"/>
    <w:rsid w:val="00580D50"/>
    <w:rsid w:val="00593077"/>
    <w:rsid w:val="005978C4"/>
    <w:rsid w:val="005A0F6E"/>
    <w:rsid w:val="005B3CFA"/>
    <w:rsid w:val="005C3060"/>
    <w:rsid w:val="005E6CBC"/>
    <w:rsid w:val="005F01C3"/>
    <w:rsid w:val="005F57D5"/>
    <w:rsid w:val="006008E4"/>
    <w:rsid w:val="006016F5"/>
    <w:rsid w:val="006139B2"/>
    <w:rsid w:val="00634C03"/>
    <w:rsid w:val="00636F2B"/>
    <w:rsid w:val="0065768E"/>
    <w:rsid w:val="00661523"/>
    <w:rsid w:val="006679F9"/>
    <w:rsid w:val="006A330C"/>
    <w:rsid w:val="006A726E"/>
    <w:rsid w:val="006D6829"/>
    <w:rsid w:val="006F20B0"/>
    <w:rsid w:val="00710E4B"/>
    <w:rsid w:val="00722885"/>
    <w:rsid w:val="00732DA9"/>
    <w:rsid w:val="00747EED"/>
    <w:rsid w:val="00751E64"/>
    <w:rsid w:val="0076556E"/>
    <w:rsid w:val="007952EF"/>
    <w:rsid w:val="007A6274"/>
    <w:rsid w:val="007B03A8"/>
    <w:rsid w:val="007C6D90"/>
    <w:rsid w:val="007D006C"/>
    <w:rsid w:val="008048D0"/>
    <w:rsid w:val="00805FAC"/>
    <w:rsid w:val="00806042"/>
    <w:rsid w:val="00820C88"/>
    <w:rsid w:val="008303FE"/>
    <w:rsid w:val="00833AC3"/>
    <w:rsid w:val="0084144F"/>
    <w:rsid w:val="00845D01"/>
    <w:rsid w:val="0084646C"/>
    <w:rsid w:val="008709E2"/>
    <w:rsid w:val="00871FC2"/>
    <w:rsid w:val="008E5AC6"/>
    <w:rsid w:val="00907819"/>
    <w:rsid w:val="009216C8"/>
    <w:rsid w:val="00964236"/>
    <w:rsid w:val="009758BB"/>
    <w:rsid w:val="009A47B1"/>
    <w:rsid w:val="009B016F"/>
    <w:rsid w:val="009C5BD9"/>
    <w:rsid w:val="009D7CE8"/>
    <w:rsid w:val="009F1DBA"/>
    <w:rsid w:val="00A034DC"/>
    <w:rsid w:val="00A10DAB"/>
    <w:rsid w:val="00A464DE"/>
    <w:rsid w:val="00A623C4"/>
    <w:rsid w:val="00A658C5"/>
    <w:rsid w:val="00A732F8"/>
    <w:rsid w:val="00A87287"/>
    <w:rsid w:val="00AA235B"/>
    <w:rsid w:val="00AB1669"/>
    <w:rsid w:val="00AC6D50"/>
    <w:rsid w:val="00B115A6"/>
    <w:rsid w:val="00B727FB"/>
    <w:rsid w:val="00B871CA"/>
    <w:rsid w:val="00BC7041"/>
    <w:rsid w:val="00BD77DC"/>
    <w:rsid w:val="00C23206"/>
    <w:rsid w:val="00C328E0"/>
    <w:rsid w:val="00C42DB7"/>
    <w:rsid w:val="00C46C53"/>
    <w:rsid w:val="00C53552"/>
    <w:rsid w:val="00C65733"/>
    <w:rsid w:val="00C81645"/>
    <w:rsid w:val="00CB6DB6"/>
    <w:rsid w:val="00CC3A59"/>
    <w:rsid w:val="00CE1B33"/>
    <w:rsid w:val="00CF4259"/>
    <w:rsid w:val="00D27D1E"/>
    <w:rsid w:val="00D43378"/>
    <w:rsid w:val="00D56919"/>
    <w:rsid w:val="00D67627"/>
    <w:rsid w:val="00D814B3"/>
    <w:rsid w:val="00D91CE1"/>
    <w:rsid w:val="00DC483B"/>
    <w:rsid w:val="00DC67A1"/>
    <w:rsid w:val="00DE45B8"/>
    <w:rsid w:val="00DF3421"/>
    <w:rsid w:val="00E1392B"/>
    <w:rsid w:val="00E31704"/>
    <w:rsid w:val="00E41648"/>
    <w:rsid w:val="00E5659A"/>
    <w:rsid w:val="00E66AE2"/>
    <w:rsid w:val="00E7444D"/>
    <w:rsid w:val="00EE3D6B"/>
    <w:rsid w:val="00EE4662"/>
    <w:rsid w:val="00F37C62"/>
    <w:rsid w:val="00F57D69"/>
    <w:rsid w:val="00F60383"/>
    <w:rsid w:val="00F63CC7"/>
    <w:rsid w:val="00F71774"/>
    <w:rsid w:val="00F80BB5"/>
    <w:rsid w:val="00F94982"/>
    <w:rsid w:val="00FC0BFC"/>
    <w:rsid w:val="00FD1353"/>
    <w:rsid w:val="00FE258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6B3F83"/>
  <w15:chartTrackingRefBased/>
  <w15:docId w15:val="{1DC836B5-BE04-4109-BF48-722D2620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IN" w:eastAsia="en-US" w:bidi="t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2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72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A726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72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A726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A72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A72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72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72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2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72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A726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72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A72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A72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72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72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72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7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26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2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726E"/>
    <w:pPr>
      <w:spacing w:before="160"/>
      <w:jc w:val="center"/>
    </w:pPr>
    <w:rPr>
      <w:i/>
      <w:iCs/>
      <w:color w:val="404040" w:themeColor="text1" w:themeTint="BF"/>
    </w:rPr>
  </w:style>
  <w:style w:type="character" w:customStyle="1" w:styleId="QuoteChar">
    <w:name w:val="Quote Char"/>
    <w:basedOn w:val="DefaultParagraphFont"/>
    <w:link w:val="Quote"/>
    <w:uiPriority w:val="29"/>
    <w:rsid w:val="006A726E"/>
    <w:rPr>
      <w:i/>
      <w:iCs/>
      <w:color w:val="404040" w:themeColor="text1" w:themeTint="BF"/>
    </w:rPr>
  </w:style>
  <w:style w:type="paragraph" w:styleId="ListParagraph">
    <w:name w:val="List Paragraph"/>
    <w:basedOn w:val="Normal"/>
    <w:uiPriority w:val="34"/>
    <w:qFormat/>
    <w:rsid w:val="006A726E"/>
    <w:pPr>
      <w:ind w:left="720"/>
      <w:contextualSpacing/>
    </w:pPr>
  </w:style>
  <w:style w:type="character" w:styleId="IntenseEmphasis">
    <w:name w:val="Intense Emphasis"/>
    <w:basedOn w:val="DefaultParagraphFont"/>
    <w:uiPriority w:val="21"/>
    <w:qFormat/>
    <w:rsid w:val="006A726E"/>
    <w:rPr>
      <w:i/>
      <w:iCs/>
      <w:color w:val="2F5496" w:themeColor="accent1" w:themeShade="BF"/>
    </w:rPr>
  </w:style>
  <w:style w:type="paragraph" w:styleId="IntenseQuote">
    <w:name w:val="Intense Quote"/>
    <w:basedOn w:val="Normal"/>
    <w:next w:val="Normal"/>
    <w:link w:val="IntenseQuoteChar"/>
    <w:uiPriority w:val="30"/>
    <w:qFormat/>
    <w:rsid w:val="006A72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726E"/>
    <w:rPr>
      <w:i/>
      <w:iCs/>
      <w:color w:val="2F5496" w:themeColor="accent1" w:themeShade="BF"/>
    </w:rPr>
  </w:style>
  <w:style w:type="character" w:styleId="IntenseReference">
    <w:name w:val="Intense Reference"/>
    <w:basedOn w:val="DefaultParagraphFont"/>
    <w:uiPriority w:val="32"/>
    <w:qFormat/>
    <w:rsid w:val="006A726E"/>
    <w:rPr>
      <w:b/>
      <w:bCs/>
      <w:smallCaps/>
      <w:color w:val="2F5496" w:themeColor="accent1" w:themeShade="BF"/>
      <w:spacing w:val="5"/>
    </w:rPr>
  </w:style>
  <w:style w:type="paragraph" w:styleId="NormalWeb">
    <w:name w:val="Normal (Web)"/>
    <w:basedOn w:val="Normal"/>
    <w:uiPriority w:val="99"/>
    <w:semiHidden/>
    <w:unhideWhenUsed/>
    <w:rsid w:val="00CC3A59"/>
    <w:pPr>
      <w:spacing w:before="100" w:beforeAutospacing="1" w:after="100" w:afterAutospacing="1" w:line="240" w:lineRule="auto"/>
    </w:pPr>
    <w:rPr>
      <w:rFonts w:eastAsia="Times New Roman"/>
      <w:lang w:eastAsia="en-IN"/>
    </w:rPr>
  </w:style>
  <w:style w:type="character" w:styleId="Emphasis">
    <w:name w:val="Emphasis"/>
    <w:basedOn w:val="DefaultParagraphFont"/>
    <w:uiPriority w:val="20"/>
    <w:qFormat/>
    <w:rsid w:val="00CC3A59"/>
    <w:rPr>
      <w:i/>
      <w:iCs/>
    </w:rPr>
  </w:style>
  <w:style w:type="character" w:styleId="Strong">
    <w:name w:val="Strong"/>
    <w:basedOn w:val="DefaultParagraphFont"/>
    <w:uiPriority w:val="22"/>
    <w:qFormat/>
    <w:rsid w:val="00CC3A59"/>
    <w:rPr>
      <w:b/>
      <w:bCs/>
    </w:rPr>
  </w:style>
  <w:style w:type="character" w:styleId="Hyperlink">
    <w:name w:val="Hyperlink"/>
    <w:basedOn w:val="DefaultParagraphFont"/>
    <w:uiPriority w:val="99"/>
    <w:unhideWhenUsed/>
    <w:rsid w:val="00820C88"/>
    <w:rPr>
      <w:color w:val="0563C1" w:themeColor="hyperlink"/>
      <w:u w:val="single"/>
    </w:rPr>
  </w:style>
  <w:style w:type="character" w:styleId="UnresolvedMention">
    <w:name w:val="Unresolved Mention"/>
    <w:basedOn w:val="DefaultParagraphFont"/>
    <w:uiPriority w:val="99"/>
    <w:semiHidden/>
    <w:unhideWhenUsed/>
    <w:rsid w:val="00820C88"/>
    <w:rPr>
      <w:color w:val="605E5C"/>
      <w:shd w:val="clear" w:color="auto" w:fill="E1DFDD"/>
    </w:rPr>
  </w:style>
  <w:style w:type="paragraph" w:styleId="NoSpacing">
    <w:name w:val="No Spacing"/>
    <w:uiPriority w:val="1"/>
    <w:qFormat/>
    <w:rsid w:val="000C3A41"/>
    <w:pPr>
      <w:spacing w:after="0" w:line="240" w:lineRule="auto"/>
    </w:pPr>
  </w:style>
  <w:style w:type="paragraph" w:styleId="Header">
    <w:name w:val="header"/>
    <w:basedOn w:val="Normal"/>
    <w:link w:val="HeaderChar"/>
    <w:uiPriority w:val="99"/>
    <w:unhideWhenUsed/>
    <w:rsid w:val="00634C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C03"/>
  </w:style>
  <w:style w:type="paragraph" w:styleId="Footer">
    <w:name w:val="footer"/>
    <w:basedOn w:val="Normal"/>
    <w:link w:val="FooterChar"/>
    <w:uiPriority w:val="99"/>
    <w:unhideWhenUsed/>
    <w:rsid w:val="00634C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C03"/>
  </w:style>
  <w:style w:type="table" w:styleId="TableGrid">
    <w:name w:val="Table Grid"/>
    <w:basedOn w:val="TableNormal"/>
    <w:uiPriority w:val="59"/>
    <w:rsid w:val="00C42DB7"/>
    <w:pPr>
      <w:spacing w:after="0" w:line="240" w:lineRule="auto"/>
    </w:pPr>
    <w:rPr>
      <w:rFonts w:asciiTheme="minorHAnsi" w:hAnsiTheme="minorHAnsi" w:cstheme="minorBidi"/>
      <w:sz w:val="22"/>
      <w:szCs w:val="22"/>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cknHead">
    <w:name w:val="Ackn Head"/>
    <w:basedOn w:val="Normal"/>
    <w:rsid w:val="00710E4B"/>
    <w:pPr>
      <w:keepNext/>
      <w:spacing w:after="240" w:line="240" w:lineRule="auto"/>
    </w:pPr>
    <w:rPr>
      <w:rFonts w:ascii="Helvetica" w:eastAsia="Times New Roman" w:hAnsi="Helvetica"/>
      <w:b/>
      <w:caps/>
      <w:sz w:val="22"/>
      <w:szCs w:val="20"/>
      <w:lang w:val="en-US" w:bidi="ar-SA"/>
    </w:rPr>
  </w:style>
  <w:style w:type="paragraph" w:customStyle="1" w:styleId="ReferHead">
    <w:name w:val="Refer Head"/>
    <w:basedOn w:val="Normal"/>
    <w:rsid w:val="00710E4B"/>
    <w:pPr>
      <w:keepNext/>
      <w:spacing w:after="240" w:line="240" w:lineRule="auto"/>
    </w:pPr>
    <w:rPr>
      <w:rFonts w:ascii="Helvetica" w:eastAsia="Times New Roman" w:hAnsi="Helvetica"/>
      <w:b/>
      <w:caps/>
      <w:sz w:val="22"/>
      <w:szCs w:val="20"/>
      <w:lang w:val="en-US" w:bidi="ar-SA"/>
    </w:rPr>
  </w:style>
  <w:style w:type="character" w:styleId="FollowedHyperlink">
    <w:name w:val="FollowedHyperlink"/>
    <w:basedOn w:val="DefaultParagraphFont"/>
    <w:uiPriority w:val="99"/>
    <w:semiHidden/>
    <w:unhideWhenUsed/>
    <w:rsid w:val="00751E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88095">
      <w:bodyDiv w:val="1"/>
      <w:marLeft w:val="0"/>
      <w:marRight w:val="0"/>
      <w:marTop w:val="0"/>
      <w:marBottom w:val="0"/>
      <w:divBdr>
        <w:top w:val="none" w:sz="0" w:space="0" w:color="auto"/>
        <w:left w:val="none" w:sz="0" w:space="0" w:color="auto"/>
        <w:bottom w:val="none" w:sz="0" w:space="0" w:color="auto"/>
        <w:right w:val="none" w:sz="0" w:space="0" w:color="auto"/>
      </w:divBdr>
    </w:div>
    <w:div w:id="166867644">
      <w:bodyDiv w:val="1"/>
      <w:marLeft w:val="0"/>
      <w:marRight w:val="0"/>
      <w:marTop w:val="0"/>
      <w:marBottom w:val="0"/>
      <w:divBdr>
        <w:top w:val="none" w:sz="0" w:space="0" w:color="auto"/>
        <w:left w:val="none" w:sz="0" w:space="0" w:color="auto"/>
        <w:bottom w:val="none" w:sz="0" w:space="0" w:color="auto"/>
        <w:right w:val="none" w:sz="0" w:space="0" w:color="auto"/>
      </w:divBdr>
    </w:div>
    <w:div w:id="240600507">
      <w:bodyDiv w:val="1"/>
      <w:marLeft w:val="0"/>
      <w:marRight w:val="0"/>
      <w:marTop w:val="0"/>
      <w:marBottom w:val="0"/>
      <w:divBdr>
        <w:top w:val="none" w:sz="0" w:space="0" w:color="auto"/>
        <w:left w:val="none" w:sz="0" w:space="0" w:color="auto"/>
        <w:bottom w:val="none" w:sz="0" w:space="0" w:color="auto"/>
        <w:right w:val="none" w:sz="0" w:space="0" w:color="auto"/>
      </w:divBdr>
    </w:div>
    <w:div w:id="241450476">
      <w:bodyDiv w:val="1"/>
      <w:marLeft w:val="0"/>
      <w:marRight w:val="0"/>
      <w:marTop w:val="0"/>
      <w:marBottom w:val="0"/>
      <w:divBdr>
        <w:top w:val="none" w:sz="0" w:space="0" w:color="auto"/>
        <w:left w:val="none" w:sz="0" w:space="0" w:color="auto"/>
        <w:bottom w:val="none" w:sz="0" w:space="0" w:color="auto"/>
        <w:right w:val="none" w:sz="0" w:space="0" w:color="auto"/>
      </w:divBdr>
    </w:div>
    <w:div w:id="410469295">
      <w:bodyDiv w:val="1"/>
      <w:marLeft w:val="0"/>
      <w:marRight w:val="0"/>
      <w:marTop w:val="0"/>
      <w:marBottom w:val="0"/>
      <w:divBdr>
        <w:top w:val="none" w:sz="0" w:space="0" w:color="auto"/>
        <w:left w:val="none" w:sz="0" w:space="0" w:color="auto"/>
        <w:bottom w:val="none" w:sz="0" w:space="0" w:color="auto"/>
        <w:right w:val="none" w:sz="0" w:space="0" w:color="auto"/>
      </w:divBdr>
    </w:div>
    <w:div w:id="436221738">
      <w:bodyDiv w:val="1"/>
      <w:marLeft w:val="0"/>
      <w:marRight w:val="0"/>
      <w:marTop w:val="0"/>
      <w:marBottom w:val="0"/>
      <w:divBdr>
        <w:top w:val="none" w:sz="0" w:space="0" w:color="auto"/>
        <w:left w:val="none" w:sz="0" w:space="0" w:color="auto"/>
        <w:bottom w:val="none" w:sz="0" w:space="0" w:color="auto"/>
        <w:right w:val="none" w:sz="0" w:space="0" w:color="auto"/>
      </w:divBdr>
    </w:div>
    <w:div w:id="545027712">
      <w:bodyDiv w:val="1"/>
      <w:marLeft w:val="0"/>
      <w:marRight w:val="0"/>
      <w:marTop w:val="0"/>
      <w:marBottom w:val="0"/>
      <w:divBdr>
        <w:top w:val="none" w:sz="0" w:space="0" w:color="auto"/>
        <w:left w:val="none" w:sz="0" w:space="0" w:color="auto"/>
        <w:bottom w:val="none" w:sz="0" w:space="0" w:color="auto"/>
        <w:right w:val="none" w:sz="0" w:space="0" w:color="auto"/>
      </w:divBdr>
    </w:div>
    <w:div w:id="549416237">
      <w:bodyDiv w:val="1"/>
      <w:marLeft w:val="0"/>
      <w:marRight w:val="0"/>
      <w:marTop w:val="0"/>
      <w:marBottom w:val="0"/>
      <w:divBdr>
        <w:top w:val="none" w:sz="0" w:space="0" w:color="auto"/>
        <w:left w:val="none" w:sz="0" w:space="0" w:color="auto"/>
        <w:bottom w:val="none" w:sz="0" w:space="0" w:color="auto"/>
        <w:right w:val="none" w:sz="0" w:space="0" w:color="auto"/>
      </w:divBdr>
    </w:div>
    <w:div w:id="553588930">
      <w:bodyDiv w:val="1"/>
      <w:marLeft w:val="0"/>
      <w:marRight w:val="0"/>
      <w:marTop w:val="0"/>
      <w:marBottom w:val="0"/>
      <w:divBdr>
        <w:top w:val="none" w:sz="0" w:space="0" w:color="auto"/>
        <w:left w:val="none" w:sz="0" w:space="0" w:color="auto"/>
        <w:bottom w:val="none" w:sz="0" w:space="0" w:color="auto"/>
        <w:right w:val="none" w:sz="0" w:space="0" w:color="auto"/>
      </w:divBdr>
    </w:div>
    <w:div w:id="761603978">
      <w:bodyDiv w:val="1"/>
      <w:marLeft w:val="0"/>
      <w:marRight w:val="0"/>
      <w:marTop w:val="0"/>
      <w:marBottom w:val="0"/>
      <w:divBdr>
        <w:top w:val="none" w:sz="0" w:space="0" w:color="auto"/>
        <w:left w:val="none" w:sz="0" w:space="0" w:color="auto"/>
        <w:bottom w:val="none" w:sz="0" w:space="0" w:color="auto"/>
        <w:right w:val="none" w:sz="0" w:space="0" w:color="auto"/>
      </w:divBdr>
    </w:div>
    <w:div w:id="1361780881">
      <w:bodyDiv w:val="1"/>
      <w:marLeft w:val="0"/>
      <w:marRight w:val="0"/>
      <w:marTop w:val="0"/>
      <w:marBottom w:val="0"/>
      <w:divBdr>
        <w:top w:val="none" w:sz="0" w:space="0" w:color="auto"/>
        <w:left w:val="none" w:sz="0" w:space="0" w:color="auto"/>
        <w:bottom w:val="none" w:sz="0" w:space="0" w:color="auto"/>
        <w:right w:val="none" w:sz="0" w:space="0" w:color="auto"/>
      </w:divBdr>
    </w:div>
    <w:div w:id="1383675877">
      <w:bodyDiv w:val="1"/>
      <w:marLeft w:val="0"/>
      <w:marRight w:val="0"/>
      <w:marTop w:val="0"/>
      <w:marBottom w:val="0"/>
      <w:divBdr>
        <w:top w:val="none" w:sz="0" w:space="0" w:color="auto"/>
        <w:left w:val="none" w:sz="0" w:space="0" w:color="auto"/>
        <w:bottom w:val="none" w:sz="0" w:space="0" w:color="auto"/>
        <w:right w:val="none" w:sz="0" w:space="0" w:color="auto"/>
      </w:divBdr>
    </w:div>
    <w:div w:id="1432167667">
      <w:bodyDiv w:val="1"/>
      <w:marLeft w:val="0"/>
      <w:marRight w:val="0"/>
      <w:marTop w:val="0"/>
      <w:marBottom w:val="0"/>
      <w:divBdr>
        <w:top w:val="none" w:sz="0" w:space="0" w:color="auto"/>
        <w:left w:val="none" w:sz="0" w:space="0" w:color="auto"/>
        <w:bottom w:val="none" w:sz="0" w:space="0" w:color="auto"/>
        <w:right w:val="none" w:sz="0" w:space="0" w:color="auto"/>
      </w:divBdr>
    </w:div>
    <w:div w:id="1539586519">
      <w:bodyDiv w:val="1"/>
      <w:marLeft w:val="0"/>
      <w:marRight w:val="0"/>
      <w:marTop w:val="0"/>
      <w:marBottom w:val="0"/>
      <w:divBdr>
        <w:top w:val="none" w:sz="0" w:space="0" w:color="auto"/>
        <w:left w:val="none" w:sz="0" w:space="0" w:color="auto"/>
        <w:bottom w:val="none" w:sz="0" w:space="0" w:color="auto"/>
        <w:right w:val="none" w:sz="0" w:space="0" w:color="auto"/>
      </w:divBdr>
    </w:div>
    <w:div w:id="1591889998">
      <w:bodyDiv w:val="1"/>
      <w:marLeft w:val="0"/>
      <w:marRight w:val="0"/>
      <w:marTop w:val="0"/>
      <w:marBottom w:val="0"/>
      <w:divBdr>
        <w:top w:val="none" w:sz="0" w:space="0" w:color="auto"/>
        <w:left w:val="none" w:sz="0" w:space="0" w:color="auto"/>
        <w:bottom w:val="none" w:sz="0" w:space="0" w:color="auto"/>
        <w:right w:val="none" w:sz="0" w:space="0" w:color="auto"/>
      </w:divBdr>
    </w:div>
    <w:div w:id="1645964816">
      <w:bodyDiv w:val="1"/>
      <w:marLeft w:val="0"/>
      <w:marRight w:val="0"/>
      <w:marTop w:val="0"/>
      <w:marBottom w:val="0"/>
      <w:divBdr>
        <w:top w:val="none" w:sz="0" w:space="0" w:color="auto"/>
        <w:left w:val="none" w:sz="0" w:space="0" w:color="auto"/>
        <w:bottom w:val="none" w:sz="0" w:space="0" w:color="auto"/>
        <w:right w:val="none" w:sz="0" w:space="0" w:color="auto"/>
      </w:divBdr>
    </w:div>
    <w:div w:id="1763261331">
      <w:bodyDiv w:val="1"/>
      <w:marLeft w:val="0"/>
      <w:marRight w:val="0"/>
      <w:marTop w:val="0"/>
      <w:marBottom w:val="0"/>
      <w:divBdr>
        <w:top w:val="none" w:sz="0" w:space="0" w:color="auto"/>
        <w:left w:val="none" w:sz="0" w:space="0" w:color="auto"/>
        <w:bottom w:val="none" w:sz="0" w:space="0" w:color="auto"/>
        <w:right w:val="none" w:sz="0" w:space="0" w:color="auto"/>
      </w:divBdr>
    </w:div>
    <w:div w:id="1764304864">
      <w:bodyDiv w:val="1"/>
      <w:marLeft w:val="0"/>
      <w:marRight w:val="0"/>
      <w:marTop w:val="0"/>
      <w:marBottom w:val="0"/>
      <w:divBdr>
        <w:top w:val="none" w:sz="0" w:space="0" w:color="auto"/>
        <w:left w:val="none" w:sz="0" w:space="0" w:color="auto"/>
        <w:bottom w:val="none" w:sz="0" w:space="0" w:color="auto"/>
        <w:right w:val="none" w:sz="0" w:space="0" w:color="auto"/>
      </w:divBdr>
    </w:div>
    <w:div w:id="1810396017">
      <w:bodyDiv w:val="1"/>
      <w:marLeft w:val="0"/>
      <w:marRight w:val="0"/>
      <w:marTop w:val="0"/>
      <w:marBottom w:val="0"/>
      <w:divBdr>
        <w:top w:val="none" w:sz="0" w:space="0" w:color="auto"/>
        <w:left w:val="none" w:sz="0" w:space="0" w:color="auto"/>
        <w:bottom w:val="none" w:sz="0" w:space="0" w:color="auto"/>
        <w:right w:val="none" w:sz="0" w:space="0" w:color="auto"/>
      </w:divBdr>
    </w:div>
    <w:div w:id="1962610481">
      <w:bodyDiv w:val="1"/>
      <w:marLeft w:val="0"/>
      <w:marRight w:val="0"/>
      <w:marTop w:val="0"/>
      <w:marBottom w:val="0"/>
      <w:divBdr>
        <w:top w:val="none" w:sz="0" w:space="0" w:color="auto"/>
        <w:left w:val="none" w:sz="0" w:space="0" w:color="auto"/>
        <w:bottom w:val="none" w:sz="0" w:space="0" w:color="auto"/>
        <w:right w:val="none" w:sz="0" w:space="0" w:color="auto"/>
      </w:divBdr>
    </w:div>
    <w:div w:id="2030598673">
      <w:bodyDiv w:val="1"/>
      <w:marLeft w:val="0"/>
      <w:marRight w:val="0"/>
      <w:marTop w:val="0"/>
      <w:marBottom w:val="0"/>
      <w:divBdr>
        <w:top w:val="none" w:sz="0" w:space="0" w:color="auto"/>
        <w:left w:val="none" w:sz="0" w:space="0" w:color="auto"/>
        <w:bottom w:val="none" w:sz="0" w:space="0" w:color="auto"/>
        <w:right w:val="none" w:sz="0" w:space="0" w:color="auto"/>
      </w:divBdr>
    </w:div>
    <w:div w:id="212704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1388</TotalTime>
  <Pages>9</Pages>
  <Words>3882</Words>
  <Characters>22134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Murali P</dc:creator>
  <cp:keywords/>
  <dc:description/>
  <cp:lastModifiedBy>SDI PC New 16</cp:lastModifiedBy>
  <cp:revision>111</cp:revision>
  <dcterms:created xsi:type="dcterms:W3CDTF">2025-07-15T09:01:00Z</dcterms:created>
  <dcterms:modified xsi:type="dcterms:W3CDTF">2025-09-17T12:51:00Z</dcterms:modified>
</cp:coreProperties>
</file>