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D30C" w14:textId="5AD01A97" w:rsidR="00985674" w:rsidRDefault="00230CC8" w:rsidP="00110EFB">
      <w:pPr>
        <w:spacing w:before="240" w:after="240" w:line="360" w:lineRule="auto"/>
        <w:jc w:val="both"/>
        <w:rPr>
          <w:rFonts w:ascii="Times New Roman" w:eastAsia="Times New Roman" w:hAnsi="Times New Roman" w:cs="Times New Roman"/>
          <w:sz w:val="24"/>
          <w:szCs w:val="24"/>
        </w:rPr>
      </w:pPr>
      <w:r w:rsidRPr="00230CC8">
        <w:rPr>
          <w:rFonts w:ascii="Times New Roman" w:eastAsia="Times New Roman" w:hAnsi="Times New Roman" w:cs="Times New Roman"/>
          <w:b/>
          <w:color w:val="000000" w:themeColor="text1"/>
          <w:sz w:val="24"/>
          <w:szCs w:val="24"/>
        </w:rPr>
        <w:t xml:space="preserve">Antioxidant Potential of </w:t>
      </w:r>
      <w:proofErr w:type="spellStart"/>
      <w:r w:rsidRPr="009E2BDF">
        <w:rPr>
          <w:rFonts w:ascii="Times New Roman" w:eastAsia="Times New Roman" w:hAnsi="Times New Roman" w:cs="Times New Roman"/>
          <w:b/>
          <w:i/>
          <w:color w:val="000000" w:themeColor="text1"/>
          <w:sz w:val="24"/>
          <w:szCs w:val="24"/>
        </w:rPr>
        <w:t>Heteropneustes</w:t>
      </w:r>
      <w:proofErr w:type="spellEnd"/>
      <w:r w:rsidRPr="009E2BDF">
        <w:rPr>
          <w:rFonts w:ascii="Times New Roman" w:eastAsia="Times New Roman" w:hAnsi="Times New Roman" w:cs="Times New Roman"/>
          <w:b/>
          <w:i/>
          <w:color w:val="000000" w:themeColor="text1"/>
          <w:sz w:val="24"/>
          <w:szCs w:val="24"/>
        </w:rPr>
        <w:t xml:space="preserve"> </w:t>
      </w:r>
      <w:proofErr w:type="spellStart"/>
      <w:r w:rsidRPr="009E2BDF">
        <w:rPr>
          <w:rFonts w:ascii="Times New Roman" w:eastAsia="Times New Roman" w:hAnsi="Times New Roman" w:cs="Times New Roman"/>
          <w:b/>
          <w:i/>
          <w:color w:val="000000" w:themeColor="text1"/>
          <w:sz w:val="24"/>
          <w:szCs w:val="24"/>
        </w:rPr>
        <w:t>fossilis</w:t>
      </w:r>
      <w:proofErr w:type="spellEnd"/>
      <w:r w:rsidRPr="00230CC8">
        <w:rPr>
          <w:rFonts w:ascii="Times New Roman" w:eastAsia="Times New Roman" w:hAnsi="Times New Roman" w:cs="Times New Roman"/>
          <w:b/>
          <w:color w:val="000000" w:themeColor="text1"/>
          <w:sz w:val="24"/>
          <w:szCs w:val="24"/>
        </w:rPr>
        <w:t>: Ethno-Medicinal Perspectives from Manipur, India</w:t>
      </w:r>
      <w:r w:rsidRPr="00230CC8" w:rsidDel="00230CC8">
        <w:rPr>
          <w:rFonts w:ascii="Times New Roman" w:eastAsia="Times New Roman" w:hAnsi="Times New Roman" w:cs="Times New Roman"/>
          <w:b/>
          <w:color w:val="000000" w:themeColor="text1"/>
          <w:sz w:val="24"/>
          <w:szCs w:val="24"/>
        </w:rPr>
        <w:t xml:space="preserve"> </w:t>
      </w:r>
    </w:p>
    <w:p w14:paraId="1E7A247C" w14:textId="77777777" w:rsidR="00985674" w:rsidRPr="00110EFB" w:rsidRDefault="00985674" w:rsidP="00110EFB">
      <w:pPr>
        <w:spacing w:before="240" w:after="240" w:line="360" w:lineRule="auto"/>
        <w:jc w:val="both"/>
        <w:rPr>
          <w:rFonts w:ascii="Times New Roman" w:eastAsia="Times New Roman" w:hAnsi="Times New Roman" w:cs="Times New Roman"/>
          <w:sz w:val="24"/>
          <w:szCs w:val="24"/>
        </w:rPr>
      </w:pPr>
    </w:p>
    <w:p w14:paraId="34B7AD80" w14:textId="2EDFB3D5" w:rsidR="00670DAB" w:rsidRPr="00110EFB" w:rsidRDefault="00670DAB" w:rsidP="00110EFB">
      <w:pPr>
        <w:spacing w:before="100" w:beforeAutospacing="1" w:after="100" w:afterAutospacing="1" w:line="360" w:lineRule="auto"/>
        <w:jc w:val="both"/>
        <w:outlineLvl w:val="2"/>
        <w:rPr>
          <w:rFonts w:ascii="Times New Roman" w:hAnsi="Times New Roman" w:cs="Times New Roman"/>
          <w:b/>
          <w:bCs/>
          <w:color w:val="000000" w:themeColor="text1"/>
          <w:sz w:val="24"/>
          <w:szCs w:val="24"/>
        </w:rPr>
      </w:pPr>
      <w:r w:rsidRPr="00110EFB">
        <w:rPr>
          <w:rStyle w:val="Strong"/>
          <w:rFonts w:ascii="Times New Roman" w:hAnsi="Times New Roman" w:cs="Times New Roman"/>
          <w:color w:val="000000" w:themeColor="text1"/>
          <w:sz w:val="24"/>
          <w:szCs w:val="24"/>
        </w:rPr>
        <w:t>Abstract</w:t>
      </w:r>
      <w:r w:rsidRPr="00110EFB">
        <w:rPr>
          <w:rFonts w:ascii="Times New Roman" w:hAnsi="Times New Roman" w:cs="Times New Roman"/>
          <w:color w:val="000000" w:themeColor="text1"/>
          <w:sz w:val="24"/>
          <w:szCs w:val="24"/>
        </w:rPr>
        <w:br/>
      </w:r>
      <w:proofErr w:type="spellStart"/>
      <w:r w:rsidRPr="00110EFB">
        <w:rPr>
          <w:rStyle w:val="Emphasis"/>
          <w:rFonts w:ascii="Times New Roman" w:hAnsi="Times New Roman" w:cs="Times New Roman"/>
          <w:color w:val="000000" w:themeColor="text1"/>
          <w:sz w:val="24"/>
          <w:szCs w:val="24"/>
        </w:rPr>
        <w:t>Heteropneustes</w:t>
      </w:r>
      <w:proofErr w:type="spellEnd"/>
      <w:r w:rsidR="00DE1D6C" w:rsidRPr="00110EFB">
        <w:rPr>
          <w:rStyle w:val="Emphasis"/>
          <w:rFonts w:ascii="Times New Roman" w:hAnsi="Times New Roman" w:cs="Times New Roman"/>
          <w:color w:val="000000" w:themeColor="text1"/>
          <w:sz w:val="24"/>
          <w:szCs w:val="24"/>
        </w:rPr>
        <w:t xml:space="preserve">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commonly known as stinging catfish</w:t>
      </w:r>
      <w:r w:rsidR="00DE1D6C" w:rsidRPr="00110EFB">
        <w:rPr>
          <w:rFonts w:ascii="Times New Roman" w:hAnsi="Times New Roman" w:cs="Times New Roman"/>
          <w:color w:val="000000" w:themeColor="text1"/>
          <w:sz w:val="24"/>
          <w:szCs w:val="24"/>
        </w:rPr>
        <w:t xml:space="preserve"> </w:t>
      </w:r>
      <w:r w:rsidRPr="00110EFB">
        <w:rPr>
          <w:rFonts w:ascii="Times New Roman" w:hAnsi="Times New Roman" w:cs="Times New Roman"/>
          <w:color w:val="000000" w:themeColor="text1"/>
          <w:sz w:val="24"/>
          <w:szCs w:val="24"/>
        </w:rPr>
        <w:t xml:space="preserve">is a freshwater fish of high nutritional and ethno-medicinal value, traditionally consumed in Manipur and across Northeast India for its health-promoting properties. Despite its importance, little is known about the antioxidant potential of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The present study, conducted in September 2024, aimed to evaluate the antioxidant activity of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collected from four locations in Manipur, India. Antioxidant activity was assessed using the 2,2-diphenyl-1-picrylhydrazyl (DPPH) radical scavenging assay, with ascorbic acid as the standard. This study showed a concentration-dependent scavenging activity, with ascorbic acid achieving 66.73% inhibition and an IC</w:t>
      </w:r>
      <w:r w:rsidRPr="00110EFB">
        <w:rPr>
          <w:rFonts w:ascii="Times New Roman" w:hAnsi="Times New Roman" w:cs="Times New Roman"/>
          <w:color w:val="000000" w:themeColor="text1"/>
          <w:sz w:val="24"/>
          <w:szCs w:val="24"/>
          <w:vertAlign w:val="subscript"/>
        </w:rPr>
        <w:t xml:space="preserve">50 </w:t>
      </w:r>
      <w:r w:rsidRPr="00110EFB">
        <w:rPr>
          <w:rFonts w:ascii="Times New Roman" w:hAnsi="Times New Roman" w:cs="Times New Roman"/>
          <w:color w:val="000000" w:themeColor="text1"/>
          <w:sz w:val="24"/>
          <w:szCs w:val="24"/>
        </w:rPr>
        <w:t>of 0.70 mg/</w:t>
      </w:r>
      <w:proofErr w:type="spellStart"/>
      <w:r w:rsidRPr="00110EFB">
        <w:rPr>
          <w:rFonts w:ascii="Times New Roman" w:hAnsi="Times New Roman" w:cs="Times New Roman"/>
          <w:color w:val="000000" w:themeColor="text1"/>
          <w:sz w:val="24"/>
          <w:szCs w:val="24"/>
        </w:rPr>
        <w:t>mL.</w:t>
      </w:r>
      <w:proofErr w:type="spellEnd"/>
      <w:r w:rsidR="00DE1D6C" w:rsidRPr="00110EFB">
        <w:rPr>
          <w:rFonts w:ascii="Times New Roman" w:hAnsi="Times New Roman" w:cs="Times New Roman"/>
          <w:color w:val="000000" w:themeColor="text1"/>
          <w:sz w:val="24"/>
          <w:szCs w:val="24"/>
        </w:rPr>
        <w:t xml:space="preserve"> </w:t>
      </w:r>
      <w:r w:rsidR="005D2CA5" w:rsidRPr="005D2CA5">
        <w:rPr>
          <w:rFonts w:ascii="Times New Roman" w:hAnsi="Times New Roman" w:cs="Times New Roman"/>
          <w:color w:val="000000" w:themeColor="text1"/>
          <w:sz w:val="24"/>
          <w:szCs w:val="24"/>
        </w:rPr>
        <w:t xml:space="preserve">The radical scavenging activity </w:t>
      </w:r>
      <w:r w:rsidR="005D2CA5">
        <w:rPr>
          <w:rFonts w:ascii="Times New Roman" w:hAnsi="Times New Roman" w:cs="Times New Roman"/>
          <w:color w:val="000000" w:themeColor="text1"/>
          <w:sz w:val="24"/>
          <w:szCs w:val="24"/>
        </w:rPr>
        <w:t xml:space="preserve">of </w:t>
      </w:r>
      <w:r w:rsidR="005D2CA5" w:rsidRPr="00110EFB">
        <w:rPr>
          <w:rStyle w:val="Emphasis"/>
          <w:rFonts w:ascii="Times New Roman" w:hAnsi="Times New Roman" w:cs="Times New Roman"/>
          <w:color w:val="000000" w:themeColor="text1"/>
          <w:sz w:val="24"/>
          <w:szCs w:val="24"/>
        </w:rPr>
        <w:t xml:space="preserve">H. </w:t>
      </w:r>
      <w:proofErr w:type="spellStart"/>
      <w:r w:rsidR="005D2CA5" w:rsidRPr="00110EFB">
        <w:rPr>
          <w:rStyle w:val="Emphasis"/>
          <w:rFonts w:ascii="Times New Roman" w:hAnsi="Times New Roman" w:cs="Times New Roman"/>
          <w:color w:val="000000" w:themeColor="text1"/>
          <w:sz w:val="24"/>
          <w:szCs w:val="24"/>
        </w:rPr>
        <w:t>fossilis</w:t>
      </w:r>
      <w:proofErr w:type="spellEnd"/>
      <w:r w:rsidR="005D2CA5" w:rsidRPr="00110EFB">
        <w:rPr>
          <w:rFonts w:ascii="Times New Roman" w:hAnsi="Times New Roman" w:cs="Times New Roman"/>
          <w:color w:val="000000" w:themeColor="text1"/>
          <w:sz w:val="24"/>
          <w:szCs w:val="24"/>
        </w:rPr>
        <w:t xml:space="preserve"> </w:t>
      </w:r>
      <w:r w:rsidR="005D2CA5" w:rsidRPr="005D2CA5">
        <w:rPr>
          <w:rFonts w:ascii="Times New Roman" w:hAnsi="Times New Roman" w:cs="Times New Roman"/>
          <w:color w:val="000000" w:themeColor="text1"/>
          <w:sz w:val="24"/>
          <w:szCs w:val="24"/>
        </w:rPr>
        <w:t>increased with concentr</w:t>
      </w:r>
      <w:r w:rsidR="005D2CA5">
        <w:rPr>
          <w:rFonts w:ascii="Times New Roman" w:hAnsi="Times New Roman" w:cs="Times New Roman"/>
          <w:color w:val="000000" w:themeColor="text1"/>
          <w:sz w:val="24"/>
          <w:szCs w:val="24"/>
        </w:rPr>
        <w:t xml:space="preserve">ation similarly to the ascorbic acid </w:t>
      </w:r>
      <w:r w:rsidR="005D2CA5" w:rsidRPr="005D2CA5">
        <w:rPr>
          <w:rFonts w:ascii="Times New Roman" w:hAnsi="Times New Roman" w:cs="Times New Roman"/>
          <w:color w:val="000000" w:themeColor="text1"/>
          <w:sz w:val="24"/>
          <w:szCs w:val="24"/>
        </w:rPr>
        <w:t>ranging from 22.50% at 400 µg/mL to a maximum of 35.40% at 2000 µg/</w:t>
      </w:r>
      <w:proofErr w:type="spellStart"/>
      <w:r w:rsidR="005D2CA5" w:rsidRPr="005D2CA5">
        <w:rPr>
          <w:rFonts w:ascii="Times New Roman" w:hAnsi="Times New Roman" w:cs="Times New Roman"/>
          <w:color w:val="000000" w:themeColor="text1"/>
          <w:sz w:val="24"/>
          <w:szCs w:val="24"/>
        </w:rPr>
        <w:t>mL.</w:t>
      </w:r>
      <w:proofErr w:type="spellEnd"/>
      <w:r w:rsidR="005D2CA5" w:rsidRPr="005D2CA5">
        <w:rPr>
          <w:rFonts w:ascii="Times New Roman" w:hAnsi="Times New Roman" w:cs="Times New Roman"/>
          <w:color w:val="000000" w:themeColor="text1"/>
          <w:sz w:val="24"/>
          <w:szCs w:val="24"/>
        </w:rPr>
        <w:t xml:space="preserve"> The IC50 value of the ethanolic extract was 1.90 mg/mL, which, although higher than that of ascorbic acid, indicates moderate antioxidant activity. </w:t>
      </w:r>
      <w:r w:rsidRPr="005D2CA5">
        <w:rPr>
          <w:rStyle w:val="Emphasis"/>
          <w:rFonts w:ascii="Times New Roman" w:hAnsi="Times New Roman" w:cs="Times New Roman"/>
          <w:i w:val="0"/>
          <w:iCs w:val="0"/>
          <w:color w:val="000000" w:themeColor="text1"/>
          <w:sz w:val="24"/>
          <w:szCs w:val="24"/>
        </w:rPr>
        <w:t>H</w:t>
      </w:r>
      <w:r w:rsidRPr="00110EFB">
        <w:rPr>
          <w:rStyle w:val="Emphasis"/>
          <w:rFonts w:ascii="Times New Roman" w:hAnsi="Times New Roman" w:cs="Times New Roman"/>
          <w:color w:val="000000" w:themeColor="text1"/>
          <w:sz w:val="24"/>
          <w:szCs w:val="24"/>
        </w:rPr>
        <w:t xml:space="preserve">. </w:t>
      </w:r>
      <w:proofErr w:type="spellStart"/>
      <w:r w:rsidRPr="00110EFB">
        <w:rPr>
          <w:rStyle w:val="Emphasis"/>
          <w:rFonts w:ascii="Times New Roman" w:hAnsi="Times New Roman" w:cs="Times New Roman"/>
          <w:color w:val="000000" w:themeColor="text1"/>
          <w:sz w:val="24"/>
          <w:szCs w:val="24"/>
        </w:rPr>
        <w:t>fossilis</w:t>
      </w:r>
      <w:proofErr w:type="spellEnd"/>
      <w:r w:rsidR="00DE1D6C" w:rsidRPr="00110EFB">
        <w:rPr>
          <w:rFonts w:ascii="Times New Roman" w:hAnsi="Times New Roman" w:cs="Times New Roman"/>
          <w:color w:val="000000" w:themeColor="text1"/>
          <w:sz w:val="24"/>
          <w:szCs w:val="24"/>
        </w:rPr>
        <w:t xml:space="preserve"> s</w:t>
      </w:r>
      <w:r w:rsidRPr="00110EFB">
        <w:rPr>
          <w:rFonts w:ascii="Times New Roman" w:hAnsi="Times New Roman" w:cs="Times New Roman"/>
          <w:color w:val="000000" w:themeColor="text1"/>
          <w:sz w:val="24"/>
          <w:szCs w:val="24"/>
        </w:rPr>
        <w:t>amples showed moderate antioxidant activity, 35.40% inhibition at 2000 µg/mL with an IC</w:t>
      </w:r>
      <w:r w:rsidRPr="00110EFB">
        <w:rPr>
          <w:rFonts w:ascii="Times New Roman" w:hAnsi="Times New Roman" w:cs="Times New Roman"/>
          <w:color w:val="000000" w:themeColor="text1"/>
          <w:sz w:val="24"/>
          <w:szCs w:val="24"/>
          <w:vertAlign w:val="subscript"/>
        </w:rPr>
        <w:t xml:space="preserve">50 </w:t>
      </w:r>
      <w:r w:rsidRPr="00110EFB">
        <w:rPr>
          <w:rFonts w:ascii="Times New Roman" w:hAnsi="Times New Roman" w:cs="Times New Roman"/>
          <w:color w:val="000000" w:themeColor="text1"/>
          <w:sz w:val="24"/>
          <w:szCs w:val="24"/>
        </w:rPr>
        <w:t>of 1.90 mg/</w:t>
      </w:r>
      <w:proofErr w:type="spellStart"/>
      <w:r w:rsidRPr="00110EFB">
        <w:rPr>
          <w:rFonts w:ascii="Times New Roman" w:hAnsi="Times New Roman" w:cs="Times New Roman"/>
          <w:color w:val="000000" w:themeColor="text1"/>
          <w:sz w:val="24"/>
          <w:szCs w:val="24"/>
        </w:rPr>
        <w:t>mL.</w:t>
      </w:r>
      <w:proofErr w:type="spellEnd"/>
      <w:r w:rsidRPr="00110EFB">
        <w:rPr>
          <w:rFonts w:ascii="Times New Roman" w:hAnsi="Times New Roman" w:cs="Times New Roman"/>
          <w:color w:val="000000" w:themeColor="text1"/>
          <w:sz w:val="24"/>
          <w:szCs w:val="24"/>
        </w:rPr>
        <w:t xml:space="preserve"> This study </w:t>
      </w:r>
      <w:proofErr w:type="gramStart"/>
      <w:r w:rsidRPr="00110EFB">
        <w:rPr>
          <w:rFonts w:ascii="Times New Roman" w:hAnsi="Times New Roman" w:cs="Times New Roman"/>
          <w:color w:val="000000" w:themeColor="text1"/>
          <w:sz w:val="24"/>
          <w:szCs w:val="24"/>
        </w:rPr>
        <w:t>provide</w:t>
      </w:r>
      <w:proofErr w:type="gramEnd"/>
      <w:r w:rsidRPr="00110EFB">
        <w:rPr>
          <w:rFonts w:ascii="Times New Roman" w:hAnsi="Times New Roman" w:cs="Times New Roman"/>
          <w:color w:val="000000" w:themeColor="text1"/>
          <w:sz w:val="24"/>
          <w:szCs w:val="24"/>
        </w:rPr>
        <w:t xml:space="preserve"> preliminary evidence that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contains bioactive compounds with antioxidant potential, </w:t>
      </w:r>
      <w:r w:rsidR="005D2CA5" w:rsidRPr="005D2CA5">
        <w:rPr>
          <w:rFonts w:ascii="Times New Roman" w:hAnsi="Times New Roman" w:cs="Times New Roman"/>
          <w:color w:val="000000" w:themeColor="text1"/>
          <w:sz w:val="24"/>
          <w:szCs w:val="24"/>
        </w:rPr>
        <w:t>supporting its traditional ethno-medicinal applications and highlighting its promise as a source of functional ingredients for nutraceutical and medicinal development</w:t>
      </w:r>
      <w:r w:rsidR="005D2CA5">
        <w:rPr>
          <w:rFonts w:ascii="Times New Roman" w:hAnsi="Times New Roman" w:cs="Times New Roman"/>
          <w:color w:val="000000" w:themeColor="text1"/>
          <w:sz w:val="24"/>
          <w:szCs w:val="24"/>
        </w:rPr>
        <w:t>.</w:t>
      </w:r>
    </w:p>
    <w:p w14:paraId="0587EA1C" w14:textId="77777777" w:rsidR="00670DAB" w:rsidRDefault="00670DAB" w:rsidP="00110EFB">
      <w:pPr>
        <w:pStyle w:val="NormalWeb"/>
        <w:spacing w:line="360" w:lineRule="auto"/>
        <w:jc w:val="both"/>
        <w:rPr>
          <w:color w:val="000000" w:themeColor="text1"/>
        </w:rPr>
      </w:pPr>
      <w:r w:rsidRPr="00110EFB">
        <w:rPr>
          <w:color w:val="000000" w:themeColor="text1"/>
        </w:rPr>
        <w:t>Keywords: Stinging catfish, Antioxidant activity, Radical scavenging, Ethno-medicine, Fish-derived peptides</w:t>
      </w:r>
    </w:p>
    <w:p w14:paraId="4A2CE925" w14:textId="77777777" w:rsidR="006E330A" w:rsidRPr="00110EFB" w:rsidRDefault="006E330A" w:rsidP="00110EFB">
      <w:pPr>
        <w:pStyle w:val="NormalWeb"/>
        <w:spacing w:line="360" w:lineRule="auto"/>
        <w:jc w:val="both"/>
        <w:rPr>
          <w:color w:val="000000" w:themeColor="text1"/>
        </w:rPr>
      </w:pPr>
    </w:p>
    <w:p w14:paraId="37F91A64" w14:textId="77777777" w:rsidR="00670DAB" w:rsidRPr="00110EFB" w:rsidRDefault="00670DAB" w:rsidP="00110EF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p>
    <w:p w14:paraId="6A764205" w14:textId="77777777" w:rsidR="002F64E5" w:rsidRPr="00110EFB" w:rsidRDefault="002F64E5" w:rsidP="00110EF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p>
    <w:p w14:paraId="55CFB5E6" w14:textId="77777777" w:rsidR="00C21CAF" w:rsidRPr="00110EFB" w:rsidRDefault="00C21CAF" w:rsidP="00110EF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110EFB">
        <w:rPr>
          <w:rFonts w:ascii="Times New Roman" w:eastAsia="Times New Roman" w:hAnsi="Times New Roman" w:cs="Times New Roman"/>
          <w:b/>
          <w:bCs/>
          <w:color w:val="000000" w:themeColor="text1"/>
          <w:sz w:val="24"/>
          <w:szCs w:val="24"/>
          <w:lang w:eastAsia="en-IN"/>
        </w:rPr>
        <w:t>Introduction</w:t>
      </w:r>
    </w:p>
    <w:p w14:paraId="1C820A9B" w14:textId="7E809E32"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roofErr w:type="spellStart"/>
      <w:r w:rsidRPr="00110EFB">
        <w:rPr>
          <w:rFonts w:ascii="Times New Roman" w:eastAsia="Times New Roman" w:hAnsi="Times New Roman" w:cs="Times New Roman"/>
          <w:i/>
          <w:iCs/>
          <w:color w:val="000000" w:themeColor="text1"/>
          <w:sz w:val="24"/>
          <w:szCs w:val="24"/>
          <w:lang w:eastAsia="en-IN"/>
        </w:rPr>
        <w:t>Heteropneustes</w:t>
      </w:r>
      <w:proofErr w:type="spellEnd"/>
      <w:r w:rsidR="00DE1D6C" w:rsidRPr="00110EFB">
        <w:rPr>
          <w:rFonts w:ascii="Times New Roman" w:eastAsia="Times New Roman" w:hAnsi="Times New Roman" w:cs="Times New Roman"/>
          <w:i/>
          <w:iCs/>
          <w:color w:val="000000" w:themeColor="text1"/>
          <w:sz w:val="24"/>
          <w:szCs w:val="24"/>
          <w:lang w:eastAsia="en-IN"/>
        </w:rPr>
        <w:t xml:space="preserve">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commonly known as the stinging catfish, is one of the most economically and therapeutically important freshwater fish species found across Asian </w:t>
      </w:r>
      <w:r w:rsidRPr="00110EFB">
        <w:rPr>
          <w:rFonts w:ascii="Times New Roman" w:eastAsia="Times New Roman" w:hAnsi="Times New Roman" w:cs="Times New Roman"/>
          <w:color w:val="000000" w:themeColor="text1"/>
          <w:sz w:val="24"/>
          <w:szCs w:val="24"/>
          <w:lang w:eastAsia="en-IN"/>
        </w:rPr>
        <w:lastRenderedPageBreak/>
        <w:t xml:space="preserve">countries including India, Thailand, Bangladesh, Myanmar, Indonesia, and Cambodia (Burgess, 1989; Akand et al., 1991). In India, it occurs widely in Manipur, Assam, Arunachal Pradesh, Meghalaya, Tripura, Nagaland, West Bengal, and several other states (Talwar and </w:t>
      </w:r>
      <w:proofErr w:type="spellStart"/>
      <w:r w:rsidRPr="00110EFB">
        <w:rPr>
          <w:rFonts w:ascii="Times New Roman" w:eastAsia="Times New Roman" w:hAnsi="Times New Roman" w:cs="Times New Roman"/>
          <w:color w:val="000000" w:themeColor="text1"/>
          <w:sz w:val="24"/>
          <w:szCs w:val="24"/>
          <w:lang w:eastAsia="en-IN"/>
        </w:rPr>
        <w:t>Jhingran</w:t>
      </w:r>
      <w:proofErr w:type="spellEnd"/>
      <w:r w:rsidRPr="00110EFB">
        <w:rPr>
          <w:rFonts w:ascii="Times New Roman" w:eastAsia="Times New Roman" w:hAnsi="Times New Roman" w:cs="Times New Roman"/>
          <w:color w:val="000000" w:themeColor="text1"/>
          <w:sz w:val="24"/>
          <w:szCs w:val="24"/>
          <w:lang w:eastAsia="en-IN"/>
        </w:rPr>
        <w:t>, 1991). This elongated, scaleless</w:t>
      </w:r>
      <w:r w:rsidR="00DE1D6C" w:rsidRPr="00110EFB">
        <w:rPr>
          <w:rFonts w:ascii="Times New Roman" w:eastAsia="Times New Roman" w:hAnsi="Times New Roman" w:cs="Times New Roman"/>
          <w:color w:val="000000" w:themeColor="text1"/>
          <w:sz w:val="24"/>
          <w:szCs w:val="24"/>
          <w:lang w:eastAsia="en-IN"/>
        </w:rPr>
        <w:t xml:space="preserve"> </w:t>
      </w:r>
      <w:r w:rsidRPr="00110EFB">
        <w:rPr>
          <w:rFonts w:ascii="Times New Roman" w:eastAsia="Times New Roman" w:hAnsi="Times New Roman" w:cs="Times New Roman"/>
          <w:color w:val="000000" w:themeColor="text1"/>
          <w:sz w:val="24"/>
          <w:szCs w:val="24"/>
          <w:lang w:eastAsia="en-IN"/>
        </w:rPr>
        <w:t>fish species is characterized by the presence of a poison gland on its pectoral fin, which, despite being capable of inflicting painful stings, contributes to its high market value</w:t>
      </w:r>
      <w:r w:rsidR="001824B0">
        <w:rPr>
          <w:rFonts w:ascii="Times New Roman" w:eastAsia="Times New Roman" w:hAnsi="Times New Roman" w:cs="Times New Roman"/>
          <w:color w:val="000000" w:themeColor="text1"/>
          <w:sz w:val="24"/>
          <w:szCs w:val="24"/>
          <w:lang w:eastAsia="en-IN"/>
        </w:rPr>
        <w:t xml:space="preserve"> (</w:t>
      </w:r>
      <w:proofErr w:type="spellStart"/>
      <w:r w:rsidR="001824B0">
        <w:rPr>
          <w:rFonts w:ascii="Times New Roman" w:eastAsia="Times New Roman" w:hAnsi="Times New Roman" w:cs="Times New Roman"/>
          <w:sz w:val="24"/>
          <w:szCs w:val="24"/>
        </w:rPr>
        <w:t>Bhimachar</w:t>
      </w:r>
      <w:proofErr w:type="spellEnd"/>
      <w:r w:rsidR="001824B0">
        <w:rPr>
          <w:rFonts w:ascii="Times New Roman" w:eastAsia="Times New Roman" w:hAnsi="Times New Roman" w:cs="Times New Roman"/>
          <w:sz w:val="24"/>
          <w:szCs w:val="24"/>
        </w:rPr>
        <w:t>, 1944)</w:t>
      </w:r>
      <w:r w:rsidRPr="00110EFB">
        <w:rPr>
          <w:rFonts w:ascii="Times New Roman" w:eastAsia="Times New Roman" w:hAnsi="Times New Roman" w:cs="Times New Roman"/>
          <w:color w:val="000000" w:themeColor="text1"/>
          <w:sz w:val="24"/>
          <w:szCs w:val="24"/>
          <w:lang w:eastAsia="en-IN"/>
        </w:rPr>
        <w:t xml:space="preserve">. It is commonly found in ponds, ditches, swamps, and marshes, and is occasionally found in muddy rivers.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is considered as an ideal candidate for aquaculture due to its rapid growth rate, tolerance to high stocking densities, and ability to survive in oxygen-depleted and harsh environmental conditions. </w:t>
      </w:r>
    </w:p>
    <w:p w14:paraId="43DD8BD0" w14:textId="1F84277C"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The demand and popularity of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extends beyond its palatability to its high nutritional and medicinal properties (Chakraborty and Nur, 2012). Its flesh tissue has been found to contain significantly higher levels of iron (226 mg/100 g) and calcium than many other freshwater fish species (Saha and Guha, 1939). Moreover, being a lean fish with a low fat content of around 2.57 ± 0.24% on a fresh weight basis, it is especially suitable for individuals who need to restrict animal fat intake (Rahman et al.</w:t>
      </w:r>
      <w:r w:rsidR="00110EFB" w:rsidRPr="00110EFB">
        <w:rPr>
          <w:rFonts w:ascii="Times New Roman" w:eastAsia="Times New Roman" w:hAnsi="Times New Roman" w:cs="Times New Roman"/>
          <w:color w:val="000000" w:themeColor="text1"/>
          <w:sz w:val="24"/>
          <w:szCs w:val="24"/>
          <w:lang w:eastAsia="en-IN"/>
        </w:rPr>
        <w:t>, 2013</w:t>
      </w:r>
      <w:r w:rsidRPr="00110EFB">
        <w:rPr>
          <w:rFonts w:ascii="Times New Roman" w:eastAsia="Times New Roman" w:hAnsi="Times New Roman" w:cs="Times New Roman"/>
          <w:color w:val="000000" w:themeColor="text1"/>
          <w:sz w:val="24"/>
          <w:szCs w:val="24"/>
          <w:lang w:eastAsia="en-IN"/>
        </w:rPr>
        <w:t xml:space="preserve">).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is valued as a good nutritional supplement for convalescing patients, owing to its unique taste, low fat, high iron, and medicinal properties (Araf</w:t>
      </w:r>
      <w:r w:rsidR="00DE1D6C" w:rsidRPr="00110EFB">
        <w:rPr>
          <w:rFonts w:ascii="Times New Roman" w:eastAsia="Times New Roman" w:hAnsi="Times New Roman" w:cs="Times New Roman"/>
          <w:color w:val="000000" w:themeColor="text1"/>
          <w:sz w:val="24"/>
          <w:szCs w:val="24"/>
          <w:lang w:eastAsia="en-IN"/>
        </w:rPr>
        <w:t xml:space="preserve"> et </w:t>
      </w:r>
      <w:r w:rsidRPr="00110EFB">
        <w:rPr>
          <w:rFonts w:ascii="Times New Roman" w:eastAsia="Times New Roman" w:hAnsi="Times New Roman" w:cs="Times New Roman"/>
          <w:color w:val="000000" w:themeColor="text1"/>
          <w:sz w:val="24"/>
          <w:szCs w:val="24"/>
          <w:lang w:eastAsia="en-IN"/>
        </w:rPr>
        <w:t>al., 2021). Ethno-medicinal practices also highlight its role in treating anaemia, for example, the Karbi tribe of Assam consume boiled stinging catfish as a tonic against anaemia (Gupta and Dey, 2017). Similarly, in Manipur, the fish is consumed in diverse forms such as sun-dried, smoked, or freshly cooked, particularly by children and pregnant women, as it is believed to prevent anaemia (</w:t>
      </w:r>
      <w:proofErr w:type="gramStart"/>
      <w:r w:rsidR="001824B0">
        <w:rPr>
          <w:rFonts w:ascii="Times New Roman" w:eastAsia="Times New Roman" w:hAnsi="Times New Roman" w:cs="Times New Roman"/>
          <w:color w:val="000000" w:themeColor="text1"/>
          <w:sz w:val="24"/>
          <w:szCs w:val="24"/>
          <w:lang w:eastAsia="en-IN"/>
        </w:rPr>
        <w:t>P</w:t>
      </w:r>
      <w:r w:rsidRPr="00110EFB">
        <w:rPr>
          <w:rFonts w:ascii="Times New Roman" w:eastAsia="Times New Roman" w:hAnsi="Times New Roman" w:cs="Times New Roman"/>
          <w:color w:val="000000" w:themeColor="text1"/>
          <w:sz w:val="24"/>
          <w:szCs w:val="24"/>
          <w:lang w:eastAsia="en-IN"/>
        </w:rPr>
        <w:t xml:space="preserve">ersonal  </w:t>
      </w:r>
      <w:r w:rsidR="001824B0">
        <w:rPr>
          <w:rFonts w:ascii="Times New Roman" w:eastAsia="Times New Roman" w:hAnsi="Times New Roman" w:cs="Times New Roman"/>
          <w:color w:val="000000" w:themeColor="text1"/>
          <w:sz w:val="24"/>
          <w:szCs w:val="24"/>
          <w:lang w:eastAsia="en-IN"/>
        </w:rPr>
        <w:t>C</w:t>
      </w:r>
      <w:r w:rsidRPr="00110EFB">
        <w:rPr>
          <w:rFonts w:ascii="Times New Roman" w:eastAsia="Times New Roman" w:hAnsi="Times New Roman" w:cs="Times New Roman"/>
          <w:color w:val="000000" w:themeColor="text1"/>
          <w:sz w:val="24"/>
          <w:szCs w:val="24"/>
          <w:lang w:eastAsia="en-IN"/>
        </w:rPr>
        <w:t>ommunication</w:t>
      </w:r>
      <w:proofErr w:type="gramEnd"/>
      <w:r w:rsidRPr="00110EFB">
        <w:rPr>
          <w:rFonts w:ascii="Times New Roman" w:eastAsia="Times New Roman" w:hAnsi="Times New Roman" w:cs="Times New Roman"/>
          <w:color w:val="000000" w:themeColor="text1"/>
          <w:sz w:val="24"/>
          <w:szCs w:val="24"/>
          <w:lang w:eastAsia="en-IN"/>
        </w:rPr>
        <w:t>).</w:t>
      </w:r>
    </w:p>
    <w:p w14:paraId="25498A8C" w14:textId="2BEB92FE"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Antioxidants are biologically important compounds that protect cells against oxidative stress induced by free radicals unstable molecules that can damage cellular structures and contribute to aging as well as several chronic diseases (</w:t>
      </w:r>
      <w:proofErr w:type="spellStart"/>
      <w:r w:rsidRPr="00110EFB">
        <w:rPr>
          <w:rFonts w:ascii="Times New Roman" w:eastAsia="Times New Roman" w:hAnsi="Times New Roman" w:cs="Times New Roman"/>
          <w:color w:val="000000" w:themeColor="text1"/>
          <w:sz w:val="24"/>
          <w:szCs w:val="24"/>
          <w:lang w:eastAsia="en-IN"/>
        </w:rPr>
        <w:t>Erhirhie</w:t>
      </w:r>
      <w:proofErr w:type="spellEnd"/>
      <w:r w:rsidRPr="00110EFB">
        <w:rPr>
          <w:rFonts w:ascii="Times New Roman" w:eastAsia="Times New Roman" w:hAnsi="Times New Roman" w:cs="Times New Roman"/>
          <w:color w:val="000000" w:themeColor="text1"/>
          <w:sz w:val="24"/>
          <w:szCs w:val="24"/>
          <w:lang w:eastAsia="en-IN"/>
        </w:rPr>
        <w:t xml:space="preserve"> and Paul, 2019). Since ancient times, fish have been regarded not only as a highly nutritious food source but also as a reservoir of bioactive components such as vitamins, proteins, fatty acids, omega-3s, antioxidant enzymes, peptides, and amino acids, all of which plays an essential roles in maintaining health (Alp-</w:t>
      </w:r>
      <w:proofErr w:type="spellStart"/>
      <w:r w:rsidRPr="00110EFB">
        <w:rPr>
          <w:rFonts w:ascii="Times New Roman" w:eastAsia="Times New Roman" w:hAnsi="Times New Roman" w:cs="Times New Roman"/>
          <w:color w:val="000000" w:themeColor="text1"/>
          <w:sz w:val="24"/>
          <w:szCs w:val="24"/>
          <w:lang w:eastAsia="en-IN"/>
        </w:rPr>
        <w:t>Erbay</w:t>
      </w:r>
      <w:proofErr w:type="spellEnd"/>
      <w:r w:rsidRPr="00110EFB">
        <w:rPr>
          <w:rFonts w:ascii="Times New Roman" w:eastAsia="Times New Roman" w:hAnsi="Times New Roman" w:cs="Times New Roman"/>
          <w:color w:val="000000" w:themeColor="text1"/>
          <w:sz w:val="24"/>
          <w:szCs w:val="24"/>
          <w:lang w:eastAsia="en-IN"/>
        </w:rPr>
        <w:t xml:space="preserve"> and </w:t>
      </w:r>
      <w:proofErr w:type="spellStart"/>
      <w:r w:rsidRPr="00110EFB">
        <w:rPr>
          <w:rFonts w:ascii="Times New Roman" w:eastAsia="Times New Roman" w:hAnsi="Times New Roman" w:cs="Times New Roman"/>
          <w:color w:val="000000" w:themeColor="text1"/>
          <w:sz w:val="24"/>
          <w:szCs w:val="24"/>
          <w:lang w:eastAsia="en-IN"/>
        </w:rPr>
        <w:t>Yeşilu</w:t>
      </w:r>
      <w:proofErr w:type="spellEnd"/>
      <w:r w:rsidRPr="00110EFB">
        <w:rPr>
          <w:rFonts w:ascii="Times New Roman" w:eastAsia="Times New Roman" w:hAnsi="Times New Roman" w:cs="Times New Roman"/>
          <w:color w:val="000000" w:themeColor="text1"/>
          <w:sz w:val="24"/>
          <w:szCs w:val="24"/>
          <w:lang w:eastAsia="en-IN"/>
        </w:rPr>
        <w:t>, 2021; Allam et al., 2020; Panda, 2016). In recent years, research attention has been directed towards the identification and characterization of bioactive peptides of medicinal importance, whose structural and functional properties make them promising candidates for use as nutraceuticals, functional food ingredients, and pharmaceutical agents to improve human health and prevent several diseases (</w:t>
      </w:r>
      <w:proofErr w:type="spellStart"/>
      <w:r w:rsidRPr="00110EFB">
        <w:rPr>
          <w:rFonts w:ascii="Times New Roman" w:eastAsia="Times New Roman" w:hAnsi="Times New Roman" w:cs="Times New Roman"/>
          <w:color w:val="000000" w:themeColor="text1"/>
          <w:sz w:val="24"/>
          <w:szCs w:val="24"/>
          <w:lang w:eastAsia="en-IN"/>
        </w:rPr>
        <w:t>Najafian</w:t>
      </w:r>
      <w:proofErr w:type="spellEnd"/>
      <w:r w:rsidRPr="00110EFB">
        <w:rPr>
          <w:rFonts w:ascii="Times New Roman" w:eastAsia="Times New Roman" w:hAnsi="Times New Roman" w:cs="Times New Roman"/>
          <w:color w:val="000000" w:themeColor="text1"/>
          <w:sz w:val="24"/>
          <w:szCs w:val="24"/>
          <w:lang w:eastAsia="en-IN"/>
        </w:rPr>
        <w:t xml:space="preserve"> and </w:t>
      </w:r>
      <w:proofErr w:type="spellStart"/>
      <w:r w:rsidRPr="00110EFB">
        <w:rPr>
          <w:rFonts w:ascii="Times New Roman" w:eastAsia="Times New Roman" w:hAnsi="Times New Roman" w:cs="Times New Roman"/>
          <w:color w:val="000000" w:themeColor="text1"/>
          <w:sz w:val="24"/>
          <w:szCs w:val="24"/>
          <w:lang w:eastAsia="en-IN"/>
        </w:rPr>
        <w:t>Babji</w:t>
      </w:r>
      <w:proofErr w:type="spellEnd"/>
      <w:r w:rsidRPr="00110EFB">
        <w:rPr>
          <w:rFonts w:ascii="Times New Roman" w:eastAsia="Times New Roman" w:hAnsi="Times New Roman" w:cs="Times New Roman"/>
          <w:color w:val="000000" w:themeColor="text1"/>
          <w:sz w:val="24"/>
          <w:szCs w:val="24"/>
          <w:lang w:eastAsia="en-IN"/>
        </w:rPr>
        <w:t>, 2012).</w:t>
      </w:r>
    </w:p>
    <w:p w14:paraId="1154EA7D" w14:textId="77777777"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lastRenderedPageBreak/>
        <w:t xml:space="preserve">Despite its rich ethno-medicinal and nutritional profile, relatively very few studies has been conducted on the antioxidant properties of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To address this gap, the present study was aimed at evaluating the antioxidant potential of stinging catfish collected from Manipur, India.</w:t>
      </w:r>
    </w:p>
    <w:p w14:paraId="01B477C9" w14:textId="77777777" w:rsidR="00C21CAF" w:rsidRPr="00110EFB" w:rsidRDefault="006E330A" w:rsidP="00110EFB">
      <w:pPr>
        <w:spacing w:before="240" w:after="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Materials and M</w:t>
      </w:r>
      <w:r w:rsidRPr="00110EFB">
        <w:rPr>
          <w:rFonts w:ascii="Times New Roman" w:eastAsia="Times New Roman" w:hAnsi="Times New Roman" w:cs="Times New Roman"/>
          <w:b/>
          <w:color w:val="000000" w:themeColor="text1"/>
          <w:sz w:val="24"/>
          <w:szCs w:val="24"/>
        </w:rPr>
        <w:t>ethods</w:t>
      </w:r>
    </w:p>
    <w:p w14:paraId="0363FA3E" w14:textId="77777777" w:rsidR="006638DF" w:rsidRPr="00110EFB" w:rsidRDefault="006638DF" w:rsidP="00110EFB">
      <w:pPr>
        <w:spacing w:before="240" w:after="240"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The present study was undertaken to evaluate the antioxidant properties of </w:t>
      </w:r>
      <w:proofErr w:type="spellStart"/>
      <w:r w:rsidRPr="00110EFB">
        <w:rPr>
          <w:rStyle w:val="Emphasis"/>
          <w:rFonts w:ascii="Times New Roman" w:hAnsi="Times New Roman" w:cs="Times New Roman"/>
          <w:color w:val="000000" w:themeColor="text1"/>
          <w:sz w:val="24"/>
          <w:szCs w:val="24"/>
        </w:rPr>
        <w:t>H.fossilis</w:t>
      </w:r>
      <w:proofErr w:type="spellEnd"/>
      <w:r w:rsidRPr="00110EFB">
        <w:rPr>
          <w:rFonts w:ascii="Times New Roman" w:hAnsi="Times New Roman" w:cs="Times New Roman"/>
          <w:color w:val="000000" w:themeColor="text1"/>
          <w:sz w:val="24"/>
          <w:szCs w:val="24"/>
        </w:rPr>
        <w:t xml:space="preserve"> collected during September 2024 from different locations in Manipur, namely </w:t>
      </w:r>
      <w:proofErr w:type="spellStart"/>
      <w:r w:rsidRPr="00110EFB">
        <w:rPr>
          <w:rFonts w:ascii="Times New Roman" w:hAnsi="Times New Roman" w:cs="Times New Roman"/>
          <w:color w:val="000000" w:themeColor="text1"/>
          <w:sz w:val="24"/>
          <w:szCs w:val="24"/>
        </w:rPr>
        <w:t>Keibul</w:t>
      </w:r>
      <w:proofErr w:type="spellEnd"/>
      <w:r w:rsidR="00DE1D6C" w:rsidRPr="00110EFB">
        <w:rPr>
          <w:rFonts w:ascii="Times New Roman" w:hAnsi="Times New Roman" w:cs="Times New Roman"/>
          <w:color w:val="000000" w:themeColor="text1"/>
          <w:sz w:val="24"/>
          <w:szCs w:val="24"/>
        </w:rPr>
        <w:t xml:space="preserve"> </w:t>
      </w:r>
      <w:proofErr w:type="spellStart"/>
      <w:r w:rsidRPr="00110EFB">
        <w:rPr>
          <w:rFonts w:ascii="Times New Roman" w:hAnsi="Times New Roman" w:cs="Times New Roman"/>
          <w:color w:val="000000" w:themeColor="text1"/>
          <w:sz w:val="24"/>
          <w:szCs w:val="24"/>
        </w:rPr>
        <w:t>Lamjao</w:t>
      </w:r>
      <w:proofErr w:type="spellEnd"/>
      <w:r w:rsidRPr="00110EFB">
        <w:rPr>
          <w:rFonts w:ascii="Times New Roman" w:hAnsi="Times New Roman" w:cs="Times New Roman"/>
          <w:color w:val="000000" w:themeColor="text1"/>
          <w:sz w:val="24"/>
          <w:szCs w:val="24"/>
        </w:rPr>
        <w:t xml:space="preserve"> Village (24°20′ N, 93°50′ E), </w:t>
      </w:r>
      <w:proofErr w:type="spellStart"/>
      <w:r w:rsidRPr="00110EFB">
        <w:rPr>
          <w:rFonts w:ascii="Times New Roman" w:hAnsi="Times New Roman" w:cs="Times New Roman"/>
          <w:color w:val="000000" w:themeColor="text1"/>
          <w:sz w:val="24"/>
          <w:szCs w:val="24"/>
        </w:rPr>
        <w:t>Thangal</w:t>
      </w:r>
      <w:proofErr w:type="spellEnd"/>
      <w:r w:rsidRPr="00110EFB">
        <w:rPr>
          <w:rFonts w:ascii="Times New Roman" w:hAnsi="Times New Roman" w:cs="Times New Roman"/>
          <w:color w:val="000000" w:themeColor="text1"/>
          <w:sz w:val="24"/>
          <w:szCs w:val="24"/>
        </w:rPr>
        <w:t xml:space="preserve"> Bazar (24°48′ N, 93°56′ E), Bishnupur Bazar (24°37′ N, 93°45′ E), and </w:t>
      </w:r>
      <w:proofErr w:type="spellStart"/>
      <w:r w:rsidRPr="00110EFB">
        <w:rPr>
          <w:rFonts w:ascii="Times New Roman" w:hAnsi="Times New Roman" w:cs="Times New Roman"/>
          <w:color w:val="000000" w:themeColor="text1"/>
          <w:sz w:val="24"/>
          <w:szCs w:val="24"/>
        </w:rPr>
        <w:t>Nambol</w:t>
      </w:r>
      <w:proofErr w:type="spellEnd"/>
      <w:r w:rsidRPr="00110EFB">
        <w:rPr>
          <w:rFonts w:ascii="Times New Roman" w:hAnsi="Times New Roman" w:cs="Times New Roman"/>
          <w:color w:val="000000" w:themeColor="text1"/>
          <w:sz w:val="24"/>
          <w:szCs w:val="24"/>
        </w:rPr>
        <w:t xml:space="preserve"> Bazar (24°43′ N, 93°50′ E). Immediately after collection, the fish samples were thoroughly washed with sterile distilled water and dried in a hot air oven at 100 °C for approximately for 190 minutes. The dried samples were then ground into fine powder using a high-speed blender and stored in airtight plastic containers until further analysis.</w:t>
      </w:r>
    </w:p>
    <w:p w14:paraId="2D83D40D" w14:textId="77777777" w:rsidR="006638DF" w:rsidRPr="00110EFB" w:rsidRDefault="006638D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The antioxidant activity of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00DE1D6C" w:rsidRPr="00110EFB">
        <w:rPr>
          <w:rStyle w:val="Emphasis"/>
          <w:rFonts w:ascii="Times New Roman" w:hAnsi="Times New Roman" w:cs="Times New Roman"/>
          <w:color w:val="000000" w:themeColor="text1"/>
          <w:sz w:val="24"/>
          <w:szCs w:val="24"/>
        </w:rPr>
        <w:t xml:space="preserve"> </w:t>
      </w:r>
      <w:r w:rsidRPr="00110EFB">
        <w:rPr>
          <w:rFonts w:ascii="Times New Roman" w:eastAsia="Times New Roman" w:hAnsi="Times New Roman" w:cs="Times New Roman"/>
          <w:color w:val="000000" w:themeColor="text1"/>
          <w:sz w:val="24"/>
          <w:szCs w:val="24"/>
          <w:lang w:eastAsia="en-IN"/>
        </w:rPr>
        <w:t>samples was evaluated using the 2,2-diphenyl-1-picrylhydrazyl (DPPH) radical scavenging assay, following the standard protocols. Ascorbic acid dissolved in methanol was used as the reference standard, prepared at concentrations of 200, 400, 600, 800, and 1000 µL. A DPPH working solution was obtained by dissolving 6 mg of DPPH in 100 mL of methanol. The standard solutions were mixed with the DPPH solution, incubated in the dark at room temperature for 30 minutes, and absorbance was recorded at 517 nm using a UV-Vis spectrophotometer.</w:t>
      </w:r>
    </w:p>
    <w:p w14:paraId="356AB1AF" w14:textId="77777777" w:rsidR="006638DF" w:rsidRPr="00110EFB" w:rsidRDefault="006638D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For the test samples, stock solutions were prepared at a concentration of 2 mg/ml. Aliquots </w:t>
      </w:r>
      <w:proofErr w:type="gramStart"/>
      <w:r w:rsidRPr="00110EFB">
        <w:rPr>
          <w:rFonts w:ascii="Times New Roman" w:eastAsia="Times New Roman" w:hAnsi="Times New Roman" w:cs="Times New Roman"/>
          <w:color w:val="000000" w:themeColor="text1"/>
          <w:sz w:val="24"/>
          <w:szCs w:val="24"/>
          <w:lang w:eastAsia="en-IN"/>
        </w:rPr>
        <w:t>of  200</w:t>
      </w:r>
      <w:proofErr w:type="gramEnd"/>
      <w:r w:rsidRPr="00110EFB">
        <w:rPr>
          <w:rFonts w:ascii="Times New Roman" w:eastAsia="Times New Roman" w:hAnsi="Times New Roman" w:cs="Times New Roman"/>
          <w:color w:val="000000" w:themeColor="text1"/>
          <w:sz w:val="24"/>
          <w:szCs w:val="24"/>
          <w:lang w:eastAsia="en-IN"/>
        </w:rPr>
        <w:t>, 500, and 1000 µL of each fish extract were combined with 3 mL of the DPPH solution, incubated at room temperature for 30 minutes, and the absorbance was measured at 517 nm. The radical scavenging activity (%) was calculated using the equation:</w:t>
      </w:r>
    </w:p>
    <w:p w14:paraId="592F4F4A" w14:textId="77777777" w:rsidR="00C21CAF" w:rsidRPr="00110EFB" w:rsidRDefault="00C21CAF"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Radical Scavenging Activity (%) = ((AB-AA)/AB) x 100</w:t>
      </w:r>
    </w:p>
    <w:p w14:paraId="0701C1C6" w14:textId="77777777" w:rsidR="006638DF" w:rsidRPr="00110EFB" w:rsidRDefault="00C21CAF"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 xml:space="preserve">Where, AB is the absorbance of the blank; AA is the absorbance of the sample. A calibration curve was plotted to determine the antioxidant activity based on </w:t>
      </w:r>
      <w:r w:rsidR="006638DF" w:rsidRPr="00110EFB">
        <w:rPr>
          <w:rFonts w:ascii="Times New Roman" w:eastAsia="Times New Roman" w:hAnsi="Times New Roman" w:cs="Times New Roman"/>
          <w:color w:val="000000" w:themeColor="text1"/>
          <w:sz w:val="24"/>
          <w:szCs w:val="24"/>
        </w:rPr>
        <w:t xml:space="preserve">the </w:t>
      </w:r>
      <w:r w:rsidR="006638DF" w:rsidRPr="00110EFB">
        <w:rPr>
          <w:rFonts w:ascii="Times New Roman" w:eastAsia="Times New Roman" w:hAnsi="Times New Roman" w:cs="Times New Roman"/>
          <w:color w:val="000000" w:themeColor="text1"/>
          <w:sz w:val="24"/>
          <w:szCs w:val="24"/>
          <w:lang w:eastAsia="en-IN"/>
        </w:rPr>
        <w:t>percentage of DPPH radicals scavenged</w:t>
      </w:r>
      <w:r w:rsidRPr="00110EFB">
        <w:rPr>
          <w:rFonts w:ascii="Times New Roman" w:eastAsia="Times New Roman" w:hAnsi="Times New Roman" w:cs="Times New Roman"/>
          <w:color w:val="000000" w:themeColor="text1"/>
          <w:sz w:val="24"/>
          <w:szCs w:val="24"/>
        </w:rPr>
        <w:t>.</w:t>
      </w:r>
    </w:p>
    <w:p w14:paraId="69736E04" w14:textId="77777777" w:rsidR="006638DF" w:rsidRPr="00110EFB" w:rsidRDefault="006638DF" w:rsidP="00110EFB">
      <w:pPr>
        <w:pStyle w:val="Heading3"/>
        <w:spacing w:line="360" w:lineRule="auto"/>
        <w:jc w:val="both"/>
        <w:rPr>
          <w:color w:val="000000" w:themeColor="text1"/>
          <w:sz w:val="24"/>
          <w:szCs w:val="24"/>
        </w:rPr>
      </w:pPr>
      <w:r w:rsidRPr="00110EFB">
        <w:rPr>
          <w:color w:val="000000" w:themeColor="text1"/>
          <w:sz w:val="24"/>
          <w:szCs w:val="24"/>
        </w:rPr>
        <w:t>Results and Discussion</w:t>
      </w:r>
    </w:p>
    <w:p w14:paraId="0C508C4A" w14:textId="0CACC262" w:rsidR="006638DF" w:rsidRPr="00110EFB" w:rsidRDefault="006638DF" w:rsidP="00110EFB">
      <w:pPr>
        <w:pStyle w:val="NormalWeb"/>
        <w:spacing w:line="360" w:lineRule="auto"/>
        <w:jc w:val="both"/>
        <w:rPr>
          <w:color w:val="000000" w:themeColor="text1"/>
        </w:rPr>
      </w:pPr>
      <w:r w:rsidRPr="00110EFB">
        <w:rPr>
          <w:color w:val="000000" w:themeColor="text1"/>
        </w:rPr>
        <w:lastRenderedPageBreak/>
        <w:t xml:space="preserve">This study investigate the antioxidant potential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00984E26" w:rsidRPr="00110EFB">
        <w:rPr>
          <w:rStyle w:val="Emphasis"/>
          <w:color w:val="000000" w:themeColor="text1"/>
        </w:rPr>
        <w:t xml:space="preserve"> </w:t>
      </w:r>
      <w:r w:rsidRPr="00110EFB">
        <w:rPr>
          <w:color w:val="000000" w:themeColor="text1"/>
        </w:rPr>
        <w:t xml:space="preserve">using the DPPH radical scavenging assay. The DPPH assay is a widely </w:t>
      </w:r>
      <w:r w:rsidR="00333433" w:rsidRPr="00110EFB">
        <w:rPr>
          <w:color w:val="000000" w:themeColor="text1"/>
        </w:rPr>
        <w:t>used</w:t>
      </w:r>
      <w:r w:rsidRPr="00110EFB">
        <w:rPr>
          <w:color w:val="000000" w:themeColor="text1"/>
        </w:rPr>
        <w:t xml:space="preserve"> method </w:t>
      </w:r>
      <w:r w:rsidR="00333433" w:rsidRPr="00110EFB">
        <w:rPr>
          <w:color w:val="000000" w:themeColor="text1"/>
        </w:rPr>
        <w:t xml:space="preserve">to assess antioxidant capacity </w:t>
      </w:r>
      <w:r w:rsidRPr="00110EFB">
        <w:rPr>
          <w:color w:val="000000" w:themeColor="text1"/>
        </w:rPr>
        <w:t>(</w:t>
      </w:r>
      <w:proofErr w:type="spellStart"/>
      <w:r w:rsidRPr="00110EFB">
        <w:rPr>
          <w:color w:val="000000" w:themeColor="text1"/>
        </w:rPr>
        <w:t>Erhirhie</w:t>
      </w:r>
      <w:proofErr w:type="spellEnd"/>
      <w:r w:rsidRPr="00110EFB">
        <w:rPr>
          <w:color w:val="000000" w:themeColor="text1"/>
        </w:rPr>
        <w:t xml:space="preserve"> and Paul, 2019</w:t>
      </w:r>
      <w:r w:rsidR="00B20B32">
        <w:rPr>
          <w:color w:val="000000" w:themeColor="text1"/>
        </w:rPr>
        <w:t>;</w:t>
      </w:r>
      <w:r w:rsidR="00B20B32" w:rsidRPr="00B20B32">
        <w:t xml:space="preserve"> </w:t>
      </w:r>
      <w:r w:rsidR="00B20B32">
        <w:rPr>
          <w:color w:val="000000" w:themeColor="text1"/>
        </w:rPr>
        <w:t xml:space="preserve">Diment et al., </w:t>
      </w:r>
      <w:r w:rsidR="00B20B32" w:rsidRPr="00B20B32">
        <w:rPr>
          <w:color w:val="000000" w:themeColor="text1"/>
        </w:rPr>
        <w:t>2025</w:t>
      </w:r>
      <w:r w:rsidR="00B20B32">
        <w:rPr>
          <w:color w:val="000000" w:themeColor="text1"/>
        </w:rPr>
        <w:t xml:space="preserve">; Yamauchi et al., </w:t>
      </w:r>
      <w:r w:rsidR="00B20B32" w:rsidRPr="00B20B32">
        <w:rPr>
          <w:color w:val="000000" w:themeColor="text1"/>
        </w:rPr>
        <w:t xml:space="preserve">2024). </w:t>
      </w:r>
      <w:r w:rsidRPr="00110EFB">
        <w:rPr>
          <w:color w:val="000000" w:themeColor="text1"/>
        </w:rPr>
        <w:t xml:space="preserve">Oxidative stress, caused by excess free radical generation, plays a central role in the development of </w:t>
      </w:r>
      <w:r w:rsidR="00333433" w:rsidRPr="00110EFB">
        <w:rPr>
          <w:color w:val="000000" w:themeColor="text1"/>
        </w:rPr>
        <w:t xml:space="preserve">several </w:t>
      </w:r>
      <w:r w:rsidRPr="00110EFB">
        <w:rPr>
          <w:color w:val="000000" w:themeColor="text1"/>
        </w:rPr>
        <w:t xml:space="preserve">chronic diseases such as cardiovascular disorders, </w:t>
      </w:r>
      <w:r w:rsidR="00333433" w:rsidRPr="00110EFB">
        <w:rPr>
          <w:color w:val="000000" w:themeColor="text1"/>
        </w:rPr>
        <w:t>and rheumatoid arthritis,</w:t>
      </w:r>
      <w:r w:rsidRPr="00110EFB">
        <w:rPr>
          <w:color w:val="000000" w:themeColor="text1"/>
        </w:rPr>
        <w:t xml:space="preserve"> however, dietary antioxidants can </w:t>
      </w:r>
      <w:r w:rsidR="00333433" w:rsidRPr="00110EFB">
        <w:rPr>
          <w:color w:val="000000" w:themeColor="text1"/>
        </w:rPr>
        <w:t>alleviate</w:t>
      </w:r>
      <w:r w:rsidR="006E330A">
        <w:rPr>
          <w:color w:val="000000" w:themeColor="text1"/>
        </w:rPr>
        <w:t xml:space="preserve"> these harmful effects. </w:t>
      </w:r>
      <w:r w:rsidRPr="00110EFB">
        <w:rPr>
          <w:color w:val="000000" w:themeColor="text1"/>
        </w:rPr>
        <w:t xml:space="preserve">Fish </w:t>
      </w:r>
      <w:r w:rsidR="00333433" w:rsidRPr="00110EFB">
        <w:rPr>
          <w:color w:val="000000" w:themeColor="text1"/>
        </w:rPr>
        <w:t xml:space="preserve">including </w:t>
      </w:r>
      <w:r w:rsidR="00333433" w:rsidRPr="00110EFB">
        <w:rPr>
          <w:rStyle w:val="Emphasis"/>
          <w:color w:val="000000" w:themeColor="text1"/>
        </w:rPr>
        <w:t xml:space="preserve">H. </w:t>
      </w:r>
      <w:proofErr w:type="spellStart"/>
      <w:r w:rsidR="00333433" w:rsidRPr="00110EFB">
        <w:rPr>
          <w:rStyle w:val="Emphasis"/>
          <w:color w:val="000000" w:themeColor="text1"/>
        </w:rPr>
        <w:t>fossilis</w:t>
      </w:r>
      <w:proofErr w:type="spellEnd"/>
      <w:r w:rsidR="00984E26" w:rsidRPr="00110EFB">
        <w:rPr>
          <w:rStyle w:val="Emphasis"/>
          <w:color w:val="000000" w:themeColor="text1"/>
        </w:rPr>
        <w:t xml:space="preserve"> </w:t>
      </w:r>
      <w:r w:rsidRPr="00110EFB">
        <w:rPr>
          <w:color w:val="000000" w:themeColor="text1"/>
        </w:rPr>
        <w:t xml:space="preserve">are increasingly recognized not only for their nutritional value but also as a source </w:t>
      </w:r>
      <w:r w:rsidR="00333433" w:rsidRPr="00110EFB">
        <w:rPr>
          <w:color w:val="000000" w:themeColor="text1"/>
        </w:rPr>
        <w:t xml:space="preserve">of natural antioxidants </w:t>
      </w:r>
      <w:r w:rsidRPr="00110EFB">
        <w:rPr>
          <w:color w:val="000000" w:themeColor="text1"/>
        </w:rPr>
        <w:t>(Chakraborty and Nur, 2012</w:t>
      </w:r>
      <w:r w:rsidR="0030012E">
        <w:rPr>
          <w:color w:val="000000" w:themeColor="text1"/>
        </w:rPr>
        <w:t xml:space="preserve">; Linda et al., </w:t>
      </w:r>
      <w:r w:rsidR="0030012E" w:rsidRPr="0030012E">
        <w:rPr>
          <w:color w:val="000000" w:themeColor="text1"/>
        </w:rPr>
        <w:t>2025</w:t>
      </w:r>
      <w:r w:rsidR="0030012E">
        <w:rPr>
          <w:color w:val="000000" w:themeColor="text1"/>
        </w:rPr>
        <w:t xml:space="preserve">; </w:t>
      </w:r>
      <w:proofErr w:type="spellStart"/>
      <w:r w:rsidR="0030012E">
        <w:rPr>
          <w:color w:val="000000" w:themeColor="text1"/>
        </w:rPr>
        <w:t>Najafian</w:t>
      </w:r>
      <w:proofErr w:type="spellEnd"/>
      <w:r w:rsidR="0030012E">
        <w:rPr>
          <w:color w:val="000000" w:themeColor="text1"/>
        </w:rPr>
        <w:t xml:space="preserve"> and </w:t>
      </w:r>
      <w:proofErr w:type="spellStart"/>
      <w:r w:rsidR="0030012E">
        <w:rPr>
          <w:color w:val="000000" w:themeColor="text1"/>
        </w:rPr>
        <w:t>Babji</w:t>
      </w:r>
      <w:proofErr w:type="spellEnd"/>
      <w:r w:rsidR="0030012E">
        <w:rPr>
          <w:color w:val="000000" w:themeColor="text1"/>
        </w:rPr>
        <w:t>, 2012)</w:t>
      </w:r>
      <w:r w:rsidR="0030012E" w:rsidRPr="0030012E">
        <w:rPr>
          <w:color w:val="000000" w:themeColor="text1"/>
        </w:rPr>
        <w:t xml:space="preserve">. </w:t>
      </w:r>
    </w:p>
    <w:p w14:paraId="09229787" w14:textId="77777777" w:rsidR="006638DF" w:rsidRPr="00110EFB" w:rsidRDefault="00333433" w:rsidP="00110EFB">
      <w:pPr>
        <w:pStyle w:val="NormalWeb"/>
        <w:spacing w:line="360" w:lineRule="auto"/>
        <w:jc w:val="both"/>
        <w:rPr>
          <w:color w:val="000000" w:themeColor="text1"/>
        </w:rPr>
      </w:pPr>
      <w:r w:rsidRPr="00110EFB">
        <w:rPr>
          <w:color w:val="000000" w:themeColor="text1"/>
        </w:rPr>
        <w:t>T</w:t>
      </w:r>
      <w:r w:rsidR="006638DF" w:rsidRPr="00110EFB">
        <w:rPr>
          <w:color w:val="000000" w:themeColor="text1"/>
        </w:rPr>
        <w:t xml:space="preserve">he antioxidant activity </w:t>
      </w:r>
      <w:r w:rsidRPr="00110EFB">
        <w:rPr>
          <w:color w:val="000000" w:themeColor="text1"/>
        </w:rPr>
        <w:t xml:space="preserve">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00984E26" w:rsidRPr="00110EFB">
        <w:rPr>
          <w:rStyle w:val="Emphasis"/>
          <w:color w:val="000000" w:themeColor="text1"/>
        </w:rPr>
        <w:t xml:space="preserve"> </w:t>
      </w:r>
      <w:r w:rsidRPr="00110EFB">
        <w:rPr>
          <w:color w:val="000000" w:themeColor="text1"/>
        </w:rPr>
        <w:t xml:space="preserve">flesh tissues </w:t>
      </w:r>
      <w:r w:rsidR="006638DF" w:rsidRPr="00110EFB">
        <w:rPr>
          <w:color w:val="000000" w:themeColor="text1"/>
        </w:rPr>
        <w:t>was quantified by evaluating the percentage of radical scavenging activity (% RSA) and the half-maximal inhibitory concentration (IC</w:t>
      </w:r>
      <w:r w:rsidR="006638DF" w:rsidRPr="00110EFB">
        <w:rPr>
          <w:color w:val="000000" w:themeColor="text1"/>
          <w:vertAlign w:val="subscript"/>
        </w:rPr>
        <w:t>50</w:t>
      </w:r>
      <w:r w:rsidR="006638DF" w:rsidRPr="00110EFB">
        <w:rPr>
          <w:color w:val="000000" w:themeColor="text1"/>
        </w:rPr>
        <w:t xml:space="preserve">) values, which represent the concentration of the sample required to inhibit 50% of the DPPH radicals. </w:t>
      </w:r>
      <w:r w:rsidR="006638DF" w:rsidRPr="00110EFB">
        <w:rPr>
          <w:rStyle w:val="Strong"/>
          <w:b w:val="0"/>
          <w:color w:val="000000" w:themeColor="text1"/>
        </w:rPr>
        <w:t>Table 1</w:t>
      </w:r>
      <w:r w:rsidR="00984E26" w:rsidRPr="00110EFB">
        <w:rPr>
          <w:rStyle w:val="Strong"/>
          <w:b w:val="0"/>
          <w:color w:val="000000" w:themeColor="text1"/>
        </w:rPr>
        <w:t xml:space="preserve"> </w:t>
      </w:r>
      <w:r w:rsidRPr="00110EFB">
        <w:rPr>
          <w:color w:val="000000" w:themeColor="text1"/>
        </w:rPr>
        <w:t>shows</w:t>
      </w:r>
      <w:r w:rsidR="006638DF" w:rsidRPr="00110EFB">
        <w:rPr>
          <w:color w:val="000000" w:themeColor="text1"/>
        </w:rPr>
        <w:t xml:space="preserve"> the DPPH radical scavenging activity of ascorbic acid, which served as the standard antioxidant. The RSA% increased in a dose-dependent manner, with maximum inhibition </w:t>
      </w:r>
      <w:r w:rsidR="002F64E5" w:rsidRPr="00110EFB">
        <w:rPr>
          <w:color w:val="000000" w:themeColor="text1"/>
        </w:rPr>
        <w:t>of 66.73% observed at 1000 µg/ml and an IC50 value of 0.70 mg/ml</w:t>
      </w:r>
      <w:r w:rsidR="006638DF" w:rsidRPr="00110EFB">
        <w:rPr>
          <w:color w:val="000000" w:themeColor="text1"/>
        </w:rPr>
        <w:t>.</w:t>
      </w:r>
    </w:p>
    <w:p w14:paraId="0F1BC2B4" w14:textId="77777777" w:rsidR="00333433" w:rsidRPr="00110EFB" w:rsidRDefault="00333433"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Table 1: DPPH radical scavenging activity of standard (Ascorbic Acid)</w:t>
      </w:r>
    </w:p>
    <w:tbl>
      <w:tblPr>
        <w:tblStyle w:val="3"/>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25"/>
        <w:gridCol w:w="1905"/>
        <w:gridCol w:w="1845"/>
        <w:gridCol w:w="1710"/>
        <w:gridCol w:w="1725"/>
      </w:tblGrid>
      <w:tr w:rsidR="00670DAB" w:rsidRPr="00110EFB" w14:paraId="1547C1F1" w14:textId="77777777" w:rsidTr="00333433">
        <w:trPr>
          <w:trHeight w:val="735"/>
        </w:trPr>
        <w:tc>
          <w:tcPr>
            <w:tcW w:w="1725" w:type="dxa"/>
            <w:tcMar>
              <w:top w:w="0" w:type="dxa"/>
              <w:left w:w="100" w:type="dxa"/>
              <w:bottom w:w="0" w:type="dxa"/>
              <w:right w:w="100" w:type="dxa"/>
            </w:tcMar>
          </w:tcPr>
          <w:p w14:paraId="370930C2"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Volume (µl)</w:t>
            </w:r>
          </w:p>
        </w:tc>
        <w:tc>
          <w:tcPr>
            <w:tcW w:w="1905" w:type="dxa"/>
            <w:tcMar>
              <w:top w:w="0" w:type="dxa"/>
              <w:left w:w="100" w:type="dxa"/>
              <w:bottom w:w="0" w:type="dxa"/>
              <w:right w:w="100" w:type="dxa"/>
            </w:tcMar>
          </w:tcPr>
          <w:p w14:paraId="76A0533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Concentration (µg/ml)</w:t>
            </w:r>
          </w:p>
        </w:tc>
        <w:tc>
          <w:tcPr>
            <w:tcW w:w="1845" w:type="dxa"/>
            <w:tcMar>
              <w:top w:w="0" w:type="dxa"/>
              <w:left w:w="100" w:type="dxa"/>
              <w:bottom w:w="0" w:type="dxa"/>
              <w:right w:w="100" w:type="dxa"/>
            </w:tcMar>
          </w:tcPr>
          <w:p w14:paraId="7FA690BE"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Absorbance (517nm)</w:t>
            </w:r>
          </w:p>
        </w:tc>
        <w:tc>
          <w:tcPr>
            <w:tcW w:w="1710" w:type="dxa"/>
            <w:tcMar>
              <w:top w:w="0" w:type="dxa"/>
              <w:left w:w="100" w:type="dxa"/>
              <w:bottom w:w="0" w:type="dxa"/>
              <w:right w:w="100" w:type="dxa"/>
            </w:tcMar>
          </w:tcPr>
          <w:p w14:paraId="340BC8C7"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RSA%</w:t>
            </w:r>
          </w:p>
        </w:tc>
        <w:tc>
          <w:tcPr>
            <w:tcW w:w="1725" w:type="dxa"/>
            <w:tcMar>
              <w:top w:w="0" w:type="dxa"/>
              <w:left w:w="100" w:type="dxa"/>
              <w:bottom w:w="0" w:type="dxa"/>
              <w:right w:w="100" w:type="dxa"/>
            </w:tcMar>
          </w:tcPr>
          <w:p w14:paraId="43224898"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IC</w:t>
            </w:r>
            <w:r w:rsidRPr="00110EFB">
              <w:rPr>
                <w:rFonts w:ascii="Times New Roman" w:eastAsia="Times New Roman" w:hAnsi="Times New Roman" w:cs="Times New Roman"/>
                <w:color w:val="000000" w:themeColor="text1"/>
                <w:sz w:val="24"/>
                <w:szCs w:val="24"/>
                <w:vertAlign w:val="subscript"/>
              </w:rPr>
              <w:t>50</w:t>
            </w:r>
            <w:r w:rsidRPr="00110EFB">
              <w:rPr>
                <w:rFonts w:ascii="Times New Roman" w:eastAsia="Times New Roman" w:hAnsi="Times New Roman" w:cs="Times New Roman"/>
                <w:color w:val="000000" w:themeColor="text1"/>
                <w:sz w:val="24"/>
                <w:szCs w:val="24"/>
              </w:rPr>
              <w:t xml:space="preserve"> (mg/ml)</w:t>
            </w:r>
          </w:p>
        </w:tc>
      </w:tr>
      <w:tr w:rsidR="00670DAB" w:rsidRPr="00110EFB" w14:paraId="4428967C" w14:textId="77777777" w:rsidTr="00333433">
        <w:trPr>
          <w:trHeight w:val="375"/>
        </w:trPr>
        <w:tc>
          <w:tcPr>
            <w:tcW w:w="1725" w:type="dxa"/>
            <w:tcMar>
              <w:top w:w="0" w:type="dxa"/>
              <w:left w:w="100" w:type="dxa"/>
              <w:bottom w:w="0" w:type="dxa"/>
              <w:right w:w="100" w:type="dxa"/>
            </w:tcMar>
          </w:tcPr>
          <w:p w14:paraId="7CE80267"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Solvent</w:t>
            </w:r>
          </w:p>
        </w:tc>
        <w:tc>
          <w:tcPr>
            <w:tcW w:w="1905" w:type="dxa"/>
            <w:tcMar>
              <w:top w:w="0" w:type="dxa"/>
              <w:left w:w="100" w:type="dxa"/>
              <w:bottom w:w="0" w:type="dxa"/>
              <w:right w:w="100" w:type="dxa"/>
            </w:tcMar>
          </w:tcPr>
          <w:p w14:paraId="6BB1310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DPPH Blank</w:t>
            </w:r>
          </w:p>
        </w:tc>
        <w:tc>
          <w:tcPr>
            <w:tcW w:w="1845" w:type="dxa"/>
            <w:tcMar>
              <w:top w:w="0" w:type="dxa"/>
              <w:left w:w="100" w:type="dxa"/>
              <w:bottom w:w="0" w:type="dxa"/>
              <w:right w:w="100" w:type="dxa"/>
            </w:tcMar>
          </w:tcPr>
          <w:p w14:paraId="07B31DC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0.493</w:t>
            </w:r>
          </w:p>
        </w:tc>
        <w:tc>
          <w:tcPr>
            <w:tcW w:w="1710" w:type="dxa"/>
            <w:tcMar>
              <w:top w:w="0" w:type="dxa"/>
              <w:left w:w="100" w:type="dxa"/>
              <w:bottom w:w="0" w:type="dxa"/>
              <w:right w:w="100" w:type="dxa"/>
            </w:tcMar>
          </w:tcPr>
          <w:p w14:paraId="7D8A50B4"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c>
          <w:tcPr>
            <w:tcW w:w="1725" w:type="dxa"/>
            <w:vMerge w:val="restart"/>
            <w:tcMar>
              <w:top w:w="0" w:type="dxa"/>
              <w:left w:w="100" w:type="dxa"/>
              <w:bottom w:w="0" w:type="dxa"/>
              <w:right w:w="100" w:type="dxa"/>
            </w:tcMar>
          </w:tcPr>
          <w:p w14:paraId="3E46FB6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0.70 mg/ml</w:t>
            </w:r>
          </w:p>
        </w:tc>
      </w:tr>
      <w:tr w:rsidR="00670DAB" w:rsidRPr="00110EFB" w14:paraId="14C32D04" w14:textId="77777777" w:rsidTr="00333433">
        <w:trPr>
          <w:trHeight w:val="375"/>
        </w:trPr>
        <w:tc>
          <w:tcPr>
            <w:tcW w:w="1725" w:type="dxa"/>
            <w:tcMar>
              <w:top w:w="0" w:type="dxa"/>
              <w:left w:w="100" w:type="dxa"/>
              <w:bottom w:w="0" w:type="dxa"/>
              <w:right w:w="100" w:type="dxa"/>
            </w:tcMar>
          </w:tcPr>
          <w:p w14:paraId="6421DF9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100</w:t>
            </w:r>
          </w:p>
        </w:tc>
        <w:tc>
          <w:tcPr>
            <w:tcW w:w="1905" w:type="dxa"/>
            <w:tcMar>
              <w:top w:w="0" w:type="dxa"/>
              <w:left w:w="100" w:type="dxa"/>
              <w:bottom w:w="0" w:type="dxa"/>
              <w:right w:w="100" w:type="dxa"/>
            </w:tcMar>
            <w:vAlign w:val="bottom"/>
          </w:tcPr>
          <w:p w14:paraId="028CC908"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200</w:t>
            </w:r>
          </w:p>
        </w:tc>
        <w:tc>
          <w:tcPr>
            <w:tcW w:w="1845" w:type="dxa"/>
            <w:tcMar>
              <w:top w:w="0" w:type="dxa"/>
              <w:left w:w="100" w:type="dxa"/>
              <w:bottom w:w="0" w:type="dxa"/>
              <w:right w:w="100" w:type="dxa"/>
            </w:tcMar>
            <w:vAlign w:val="bottom"/>
          </w:tcPr>
          <w:p w14:paraId="6E08EB74"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0.367</w:t>
            </w:r>
          </w:p>
        </w:tc>
        <w:tc>
          <w:tcPr>
            <w:tcW w:w="1710" w:type="dxa"/>
            <w:tcMar>
              <w:top w:w="0" w:type="dxa"/>
              <w:left w:w="100" w:type="dxa"/>
              <w:bottom w:w="0" w:type="dxa"/>
              <w:right w:w="100" w:type="dxa"/>
            </w:tcMar>
            <w:vAlign w:val="bottom"/>
          </w:tcPr>
          <w:p w14:paraId="673DC025"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25.64 ± 0.41</w:t>
            </w:r>
          </w:p>
        </w:tc>
        <w:tc>
          <w:tcPr>
            <w:tcW w:w="1725" w:type="dxa"/>
            <w:vMerge/>
            <w:tcMar>
              <w:top w:w="100" w:type="dxa"/>
              <w:left w:w="100" w:type="dxa"/>
              <w:bottom w:w="100" w:type="dxa"/>
              <w:right w:w="100" w:type="dxa"/>
            </w:tcMar>
          </w:tcPr>
          <w:p w14:paraId="470137B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54999F65" w14:textId="77777777" w:rsidTr="00333433">
        <w:trPr>
          <w:trHeight w:val="360"/>
        </w:trPr>
        <w:tc>
          <w:tcPr>
            <w:tcW w:w="1725" w:type="dxa"/>
            <w:tcMar>
              <w:top w:w="0" w:type="dxa"/>
              <w:left w:w="100" w:type="dxa"/>
              <w:bottom w:w="0" w:type="dxa"/>
              <w:right w:w="100" w:type="dxa"/>
            </w:tcMar>
          </w:tcPr>
          <w:p w14:paraId="1EA2BB83"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200</w:t>
            </w:r>
          </w:p>
        </w:tc>
        <w:tc>
          <w:tcPr>
            <w:tcW w:w="1905" w:type="dxa"/>
            <w:tcMar>
              <w:top w:w="0" w:type="dxa"/>
              <w:left w:w="100" w:type="dxa"/>
              <w:bottom w:w="0" w:type="dxa"/>
              <w:right w:w="100" w:type="dxa"/>
            </w:tcMar>
            <w:vAlign w:val="bottom"/>
          </w:tcPr>
          <w:p w14:paraId="640047E3"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400</w:t>
            </w:r>
          </w:p>
        </w:tc>
        <w:tc>
          <w:tcPr>
            <w:tcW w:w="1845" w:type="dxa"/>
            <w:tcMar>
              <w:top w:w="0" w:type="dxa"/>
              <w:left w:w="100" w:type="dxa"/>
              <w:bottom w:w="0" w:type="dxa"/>
              <w:right w:w="100" w:type="dxa"/>
            </w:tcMar>
            <w:vAlign w:val="bottom"/>
          </w:tcPr>
          <w:p w14:paraId="79D2AB40"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0.347</w:t>
            </w:r>
          </w:p>
        </w:tc>
        <w:tc>
          <w:tcPr>
            <w:tcW w:w="1710" w:type="dxa"/>
            <w:tcMar>
              <w:top w:w="0" w:type="dxa"/>
              <w:left w:w="100" w:type="dxa"/>
              <w:bottom w:w="0" w:type="dxa"/>
              <w:right w:w="100" w:type="dxa"/>
            </w:tcMar>
            <w:vAlign w:val="bottom"/>
          </w:tcPr>
          <w:p w14:paraId="2200A3A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29.76 ± 0.42</w:t>
            </w:r>
          </w:p>
        </w:tc>
        <w:tc>
          <w:tcPr>
            <w:tcW w:w="1725" w:type="dxa"/>
            <w:vMerge/>
            <w:tcMar>
              <w:top w:w="100" w:type="dxa"/>
              <w:left w:w="100" w:type="dxa"/>
              <w:bottom w:w="100" w:type="dxa"/>
              <w:right w:w="100" w:type="dxa"/>
            </w:tcMar>
          </w:tcPr>
          <w:p w14:paraId="0D92D247"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01AE1420" w14:textId="77777777" w:rsidTr="00333433">
        <w:trPr>
          <w:trHeight w:val="360"/>
        </w:trPr>
        <w:tc>
          <w:tcPr>
            <w:tcW w:w="1725" w:type="dxa"/>
            <w:tcMar>
              <w:top w:w="0" w:type="dxa"/>
              <w:left w:w="100" w:type="dxa"/>
              <w:bottom w:w="0" w:type="dxa"/>
              <w:right w:w="100" w:type="dxa"/>
            </w:tcMar>
          </w:tcPr>
          <w:p w14:paraId="2484C8F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300</w:t>
            </w:r>
          </w:p>
        </w:tc>
        <w:tc>
          <w:tcPr>
            <w:tcW w:w="1905" w:type="dxa"/>
            <w:tcMar>
              <w:top w:w="0" w:type="dxa"/>
              <w:left w:w="100" w:type="dxa"/>
              <w:bottom w:w="0" w:type="dxa"/>
              <w:right w:w="100" w:type="dxa"/>
            </w:tcMar>
            <w:vAlign w:val="bottom"/>
          </w:tcPr>
          <w:p w14:paraId="151EC5C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600</w:t>
            </w:r>
          </w:p>
        </w:tc>
        <w:tc>
          <w:tcPr>
            <w:tcW w:w="1845" w:type="dxa"/>
            <w:tcMar>
              <w:top w:w="0" w:type="dxa"/>
              <w:left w:w="100" w:type="dxa"/>
              <w:bottom w:w="0" w:type="dxa"/>
              <w:right w:w="100" w:type="dxa"/>
            </w:tcMar>
            <w:vAlign w:val="bottom"/>
          </w:tcPr>
          <w:p w14:paraId="589674E1"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0.268</w:t>
            </w:r>
          </w:p>
        </w:tc>
        <w:tc>
          <w:tcPr>
            <w:tcW w:w="1710" w:type="dxa"/>
            <w:tcMar>
              <w:top w:w="0" w:type="dxa"/>
              <w:left w:w="100" w:type="dxa"/>
              <w:bottom w:w="0" w:type="dxa"/>
              <w:right w:w="100" w:type="dxa"/>
            </w:tcMar>
            <w:vAlign w:val="bottom"/>
          </w:tcPr>
          <w:p w14:paraId="1F0EB2C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45.75 ± 0.20</w:t>
            </w:r>
          </w:p>
        </w:tc>
        <w:tc>
          <w:tcPr>
            <w:tcW w:w="1725" w:type="dxa"/>
            <w:vMerge/>
            <w:tcMar>
              <w:top w:w="100" w:type="dxa"/>
              <w:left w:w="100" w:type="dxa"/>
              <w:bottom w:w="100" w:type="dxa"/>
              <w:right w:w="100" w:type="dxa"/>
            </w:tcMar>
          </w:tcPr>
          <w:p w14:paraId="11EE653A"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5B0DAE1A" w14:textId="77777777" w:rsidTr="00333433">
        <w:trPr>
          <w:trHeight w:val="360"/>
        </w:trPr>
        <w:tc>
          <w:tcPr>
            <w:tcW w:w="1725" w:type="dxa"/>
            <w:tcMar>
              <w:top w:w="0" w:type="dxa"/>
              <w:left w:w="100" w:type="dxa"/>
              <w:bottom w:w="0" w:type="dxa"/>
              <w:right w:w="100" w:type="dxa"/>
            </w:tcMar>
          </w:tcPr>
          <w:p w14:paraId="0E46CFFE"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400</w:t>
            </w:r>
          </w:p>
        </w:tc>
        <w:tc>
          <w:tcPr>
            <w:tcW w:w="1905" w:type="dxa"/>
            <w:tcMar>
              <w:top w:w="0" w:type="dxa"/>
              <w:left w:w="100" w:type="dxa"/>
              <w:bottom w:w="0" w:type="dxa"/>
              <w:right w:w="100" w:type="dxa"/>
            </w:tcMar>
            <w:vAlign w:val="bottom"/>
          </w:tcPr>
          <w:p w14:paraId="4DA5F7E0"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800</w:t>
            </w:r>
          </w:p>
        </w:tc>
        <w:tc>
          <w:tcPr>
            <w:tcW w:w="1845" w:type="dxa"/>
            <w:tcMar>
              <w:top w:w="0" w:type="dxa"/>
              <w:left w:w="100" w:type="dxa"/>
              <w:bottom w:w="0" w:type="dxa"/>
              <w:right w:w="100" w:type="dxa"/>
            </w:tcMar>
            <w:vAlign w:val="bottom"/>
          </w:tcPr>
          <w:p w14:paraId="73232A7B"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0.227</w:t>
            </w:r>
          </w:p>
        </w:tc>
        <w:tc>
          <w:tcPr>
            <w:tcW w:w="1710" w:type="dxa"/>
            <w:tcMar>
              <w:top w:w="0" w:type="dxa"/>
              <w:left w:w="100" w:type="dxa"/>
              <w:bottom w:w="0" w:type="dxa"/>
              <w:right w:w="100" w:type="dxa"/>
            </w:tcMar>
            <w:vAlign w:val="bottom"/>
          </w:tcPr>
          <w:p w14:paraId="2721B648"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54.12 ± 0.17</w:t>
            </w:r>
          </w:p>
        </w:tc>
        <w:tc>
          <w:tcPr>
            <w:tcW w:w="1725" w:type="dxa"/>
            <w:vMerge/>
            <w:tcMar>
              <w:top w:w="100" w:type="dxa"/>
              <w:left w:w="100" w:type="dxa"/>
              <w:bottom w:w="100" w:type="dxa"/>
              <w:right w:w="100" w:type="dxa"/>
            </w:tcMar>
          </w:tcPr>
          <w:p w14:paraId="535ABCE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1895D98E" w14:textId="77777777" w:rsidTr="00333433">
        <w:trPr>
          <w:trHeight w:val="375"/>
        </w:trPr>
        <w:tc>
          <w:tcPr>
            <w:tcW w:w="1725" w:type="dxa"/>
            <w:tcMar>
              <w:top w:w="0" w:type="dxa"/>
              <w:left w:w="100" w:type="dxa"/>
              <w:bottom w:w="0" w:type="dxa"/>
              <w:right w:w="100" w:type="dxa"/>
            </w:tcMar>
          </w:tcPr>
          <w:p w14:paraId="36DD008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500</w:t>
            </w:r>
          </w:p>
        </w:tc>
        <w:tc>
          <w:tcPr>
            <w:tcW w:w="1905" w:type="dxa"/>
            <w:tcMar>
              <w:top w:w="0" w:type="dxa"/>
              <w:left w:w="100" w:type="dxa"/>
              <w:bottom w:w="0" w:type="dxa"/>
              <w:right w:w="100" w:type="dxa"/>
            </w:tcMar>
            <w:vAlign w:val="bottom"/>
          </w:tcPr>
          <w:p w14:paraId="5769EFCB"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1000</w:t>
            </w:r>
          </w:p>
        </w:tc>
        <w:tc>
          <w:tcPr>
            <w:tcW w:w="1845" w:type="dxa"/>
            <w:tcMar>
              <w:top w:w="0" w:type="dxa"/>
              <w:left w:w="100" w:type="dxa"/>
              <w:bottom w:w="0" w:type="dxa"/>
              <w:right w:w="100" w:type="dxa"/>
            </w:tcMar>
            <w:vAlign w:val="bottom"/>
          </w:tcPr>
          <w:p w14:paraId="162113CB"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0.164</w:t>
            </w:r>
          </w:p>
        </w:tc>
        <w:tc>
          <w:tcPr>
            <w:tcW w:w="1710" w:type="dxa"/>
            <w:tcMar>
              <w:top w:w="0" w:type="dxa"/>
              <w:left w:w="100" w:type="dxa"/>
              <w:bottom w:w="0" w:type="dxa"/>
              <w:right w:w="100" w:type="dxa"/>
            </w:tcMar>
            <w:vAlign w:val="bottom"/>
          </w:tcPr>
          <w:p w14:paraId="0E010C72"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66.73 ± 0.17</w:t>
            </w:r>
          </w:p>
        </w:tc>
        <w:tc>
          <w:tcPr>
            <w:tcW w:w="1725" w:type="dxa"/>
            <w:vMerge/>
            <w:tcMar>
              <w:top w:w="100" w:type="dxa"/>
              <w:left w:w="100" w:type="dxa"/>
              <w:bottom w:w="100" w:type="dxa"/>
              <w:right w:w="100" w:type="dxa"/>
            </w:tcMar>
          </w:tcPr>
          <w:p w14:paraId="59471FA5"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bl>
    <w:p w14:paraId="47C7E38B" w14:textId="77777777" w:rsidR="00333433" w:rsidRPr="00110EFB" w:rsidRDefault="006638DF" w:rsidP="00110EFB">
      <w:pPr>
        <w:pStyle w:val="NormalWeb"/>
        <w:spacing w:line="360" w:lineRule="auto"/>
        <w:jc w:val="both"/>
        <w:rPr>
          <w:color w:val="000000" w:themeColor="text1"/>
        </w:rPr>
      </w:pPr>
      <w:r w:rsidRPr="00110EFB">
        <w:rPr>
          <w:rStyle w:val="Strong"/>
          <w:b w:val="0"/>
          <w:color w:val="000000" w:themeColor="text1"/>
        </w:rPr>
        <w:t>Table 2</w:t>
      </w:r>
      <w:r w:rsidR="00333433" w:rsidRPr="00110EFB">
        <w:rPr>
          <w:color w:val="000000" w:themeColor="text1"/>
        </w:rPr>
        <w:t xml:space="preserve"> presents t</w:t>
      </w:r>
      <w:r w:rsidRPr="00110EFB">
        <w:rPr>
          <w:color w:val="000000" w:themeColor="text1"/>
        </w:rPr>
        <w:t xml:space="preserve">he antioxidant activity of the ethanolic extract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00333433" w:rsidRPr="00110EFB">
        <w:rPr>
          <w:color w:val="000000" w:themeColor="text1"/>
        </w:rPr>
        <w:t>. T</w:t>
      </w:r>
      <w:r w:rsidRPr="00110EFB">
        <w:rPr>
          <w:color w:val="000000" w:themeColor="text1"/>
        </w:rPr>
        <w:t>he radical scavenging activity increased with concentration</w:t>
      </w:r>
      <w:r w:rsidR="00333433" w:rsidRPr="00110EFB">
        <w:rPr>
          <w:color w:val="000000" w:themeColor="text1"/>
        </w:rPr>
        <w:t xml:space="preserve"> similarly to the </w:t>
      </w:r>
      <w:proofErr w:type="spellStart"/>
      <w:proofErr w:type="gramStart"/>
      <w:r w:rsidR="00333433" w:rsidRPr="00110EFB">
        <w:rPr>
          <w:color w:val="000000" w:themeColor="text1"/>
        </w:rPr>
        <w:t>standard,</w:t>
      </w:r>
      <w:r w:rsidRPr="00110EFB">
        <w:rPr>
          <w:color w:val="000000" w:themeColor="text1"/>
        </w:rPr>
        <w:t>ranging</w:t>
      </w:r>
      <w:proofErr w:type="spellEnd"/>
      <w:proofErr w:type="gramEnd"/>
      <w:r w:rsidRPr="00110EFB">
        <w:rPr>
          <w:color w:val="000000" w:themeColor="text1"/>
        </w:rPr>
        <w:t xml:space="preserve"> from 22.50% at 400 µg/mL to a maximum of 35.40% at 2000 µg/</w:t>
      </w:r>
      <w:proofErr w:type="spellStart"/>
      <w:r w:rsidRPr="00110EFB">
        <w:rPr>
          <w:color w:val="000000" w:themeColor="text1"/>
        </w:rPr>
        <w:t>mL.</w:t>
      </w:r>
      <w:proofErr w:type="spellEnd"/>
      <w:r w:rsidRPr="00110EFB">
        <w:rPr>
          <w:color w:val="000000" w:themeColor="text1"/>
        </w:rPr>
        <w:t xml:space="preserve"> The IC50 value of the ethanolic extract was 1.90 mg/mL, which, although higher than that of ascorbic acid, indicates moderate antioxidant activity. </w:t>
      </w:r>
    </w:p>
    <w:p w14:paraId="5A7125DC" w14:textId="77777777" w:rsidR="00333433" w:rsidRPr="00110EFB" w:rsidRDefault="00333433"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lastRenderedPageBreak/>
        <w:t xml:space="preserve">Table 2: DPPH radical scavenging activity of </w:t>
      </w:r>
      <w:r w:rsidR="006A74F2" w:rsidRPr="00110EFB">
        <w:rPr>
          <w:rStyle w:val="Emphasis"/>
          <w:rFonts w:ascii="Times New Roman" w:hAnsi="Times New Roman" w:cs="Times New Roman"/>
          <w:color w:val="000000" w:themeColor="text1"/>
          <w:sz w:val="24"/>
          <w:szCs w:val="24"/>
        </w:rPr>
        <w:t xml:space="preserve">H. </w:t>
      </w:r>
      <w:proofErr w:type="spellStart"/>
      <w:r w:rsidR="006A74F2" w:rsidRPr="00110EFB">
        <w:rPr>
          <w:rStyle w:val="Emphasis"/>
          <w:rFonts w:ascii="Times New Roman" w:hAnsi="Times New Roman" w:cs="Times New Roman"/>
          <w:color w:val="000000" w:themeColor="text1"/>
          <w:sz w:val="24"/>
          <w:szCs w:val="24"/>
        </w:rPr>
        <w:t>fossilis</w:t>
      </w:r>
      <w:proofErr w:type="spellEnd"/>
      <w:r w:rsidR="006A74F2" w:rsidRPr="00110EFB">
        <w:rPr>
          <w:rFonts w:ascii="Times New Roman" w:hAnsi="Times New Roman" w:cs="Times New Roman"/>
          <w:color w:val="000000" w:themeColor="text1"/>
          <w:sz w:val="24"/>
          <w:szCs w:val="24"/>
        </w:rPr>
        <w:t xml:space="preserve"> extracts in ethanol s</w:t>
      </w:r>
      <w:r w:rsidRPr="00110EFB">
        <w:rPr>
          <w:rFonts w:ascii="Times New Roman" w:hAnsi="Times New Roman" w:cs="Times New Roman"/>
          <w:color w:val="000000" w:themeColor="text1"/>
          <w:sz w:val="24"/>
          <w:szCs w:val="24"/>
        </w:rPr>
        <w:t>olvent</w:t>
      </w:r>
    </w:p>
    <w:tbl>
      <w:tblPr>
        <w:tblStyle w:val="TableGrid"/>
        <w:tblW w:w="9576" w:type="dxa"/>
        <w:tblLook w:val="04A0" w:firstRow="1" w:lastRow="0" w:firstColumn="1" w:lastColumn="0" w:noHBand="0" w:noVBand="1"/>
      </w:tblPr>
      <w:tblGrid>
        <w:gridCol w:w="1004"/>
        <w:gridCol w:w="1515"/>
        <w:gridCol w:w="1942"/>
        <w:gridCol w:w="1758"/>
        <w:gridCol w:w="1554"/>
        <w:gridCol w:w="1803"/>
      </w:tblGrid>
      <w:tr w:rsidR="00670DAB" w:rsidRPr="00110EFB" w14:paraId="0E086C50" w14:textId="77777777" w:rsidTr="001A6C90">
        <w:trPr>
          <w:trHeight w:val="473"/>
        </w:trPr>
        <w:tc>
          <w:tcPr>
            <w:tcW w:w="1004" w:type="dxa"/>
          </w:tcPr>
          <w:p w14:paraId="41C64502"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Sample</w:t>
            </w:r>
          </w:p>
        </w:tc>
        <w:tc>
          <w:tcPr>
            <w:tcW w:w="1515" w:type="dxa"/>
          </w:tcPr>
          <w:p w14:paraId="6E5240A1"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Volume of sample in µl</w:t>
            </w:r>
          </w:p>
        </w:tc>
        <w:tc>
          <w:tcPr>
            <w:tcW w:w="1942" w:type="dxa"/>
          </w:tcPr>
          <w:p w14:paraId="648657B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Concentration</w:t>
            </w:r>
          </w:p>
          <w:p w14:paraId="10DF4792"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(2000µg/ml)</w:t>
            </w:r>
          </w:p>
        </w:tc>
        <w:tc>
          <w:tcPr>
            <w:tcW w:w="1758" w:type="dxa"/>
          </w:tcPr>
          <w:p w14:paraId="60C961D6"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Absorbance</w:t>
            </w:r>
          </w:p>
          <w:p w14:paraId="28BB389E"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(517nm)</w:t>
            </w:r>
          </w:p>
        </w:tc>
        <w:tc>
          <w:tcPr>
            <w:tcW w:w="1554" w:type="dxa"/>
          </w:tcPr>
          <w:p w14:paraId="3177D220"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%Inhibition</w:t>
            </w:r>
          </w:p>
        </w:tc>
        <w:tc>
          <w:tcPr>
            <w:tcW w:w="1803" w:type="dxa"/>
          </w:tcPr>
          <w:p w14:paraId="5CC4EF76" w14:textId="77777777" w:rsidR="00333433" w:rsidRPr="00110EFB" w:rsidRDefault="00333433" w:rsidP="00110EFB">
            <w:pPr>
              <w:tabs>
                <w:tab w:val="left" w:pos="3675"/>
              </w:tabs>
              <w:spacing w:line="360" w:lineRule="auto"/>
              <w:jc w:val="both"/>
              <w:rPr>
                <w:color w:val="000000" w:themeColor="text1"/>
                <w:sz w:val="24"/>
                <w:szCs w:val="24"/>
                <w:vertAlign w:val="subscript"/>
              </w:rPr>
            </w:pPr>
            <w:r w:rsidRPr="00110EFB">
              <w:rPr>
                <w:color w:val="000000" w:themeColor="text1"/>
                <w:sz w:val="24"/>
                <w:szCs w:val="24"/>
              </w:rPr>
              <w:t>IC</w:t>
            </w:r>
            <w:r w:rsidR="006A74F2" w:rsidRPr="00110EFB">
              <w:rPr>
                <w:color w:val="000000" w:themeColor="text1"/>
                <w:sz w:val="24"/>
                <w:szCs w:val="24"/>
                <w:vertAlign w:val="subscript"/>
              </w:rPr>
              <w:t>50</w:t>
            </w:r>
          </w:p>
          <w:p w14:paraId="0A2379E8" w14:textId="77777777" w:rsidR="00333433" w:rsidRPr="00110EFB" w:rsidRDefault="00333433" w:rsidP="00110EFB">
            <w:pPr>
              <w:tabs>
                <w:tab w:val="left" w:pos="3675"/>
              </w:tabs>
              <w:spacing w:line="360" w:lineRule="auto"/>
              <w:jc w:val="both"/>
              <w:rPr>
                <w:color w:val="000000" w:themeColor="text1"/>
                <w:sz w:val="24"/>
                <w:szCs w:val="24"/>
              </w:rPr>
            </w:pPr>
          </w:p>
        </w:tc>
      </w:tr>
      <w:tr w:rsidR="00670DAB" w:rsidRPr="00110EFB" w14:paraId="59D7E1E8" w14:textId="77777777" w:rsidTr="001A6C90">
        <w:tc>
          <w:tcPr>
            <w:tcW w:w="1004" w:type="dxa"/>
            <w:vMerge w:val="restart"/>
          </w:tcPr>
          <w:p w14:paraId="742FE0EC" w14:textId="77777777" w:rsidR="00333433" w:rsidRPr="00110EFB" w:rsidRDefault="00333433" w:rsidP="00110EFB">
            <w:pPr>
              <w:tabs>
                <w:tab w:val="left" w:pos="3675"/>
              </w:tabs>
              <w:spacing w:line="360" w:lineRule="auto"/>
              <w:jc w:val="both"/>
              <w:rPr>
                <w:color w:val="000000" w:themeColor="text1"/>
                <w:sz w:val="24"/>
                <w:szCs w:val="24"/>
              </w:rPr>
            </w:pPr>
          </w:p>
          <w:p w14:paraId="6BD4AFD9" w14:textId="77777777" w:rsidR="00333433" w:rsidRPr="00110EFB" w:rsidRDefault="006A74F2" w:rsidP="00110EFB">
            <w:pPr>
              <w:tabs>
                <w:tab w:val="left" w:pos="3675"/>
              </w:tabs>
              <w:spacing w:line="360" w:lineRule="auto"/>
              <w:jc w:val="both"/>
              <w:rPr>
                <w:color w:val="000000" w:themeColor="text1"/>
                <w:sz w:val="24"/>
                <w:szCs w:val="24"/>
              </w:rPr>
            </w:pPr>
            <w:r w:rsidRPr="00110EFB">
              <w:rPr>
                <w:rStyle w:val="Emphasis"/>
                <w:color w:val="000000" w:themeColor="text1"/>
                <w:sz w:val="24"/>
                <w:szCs w:val="24"/>
              </w:rPr>
              <w:t xml:space="preserve">H. </w:t>
            </w:r>
            <w:proofErr w:type="spellStart"/>
            <w:r w:rsidRPr="00110EFB">
              <w:rPr>
                <w:rStyle w:val="Emphasis"/>
                <w:color w:val="000000" w:themeColor="text1"/>
                <w:sz w:val="24"/>
                <w:szCs w:val="24"/>
              </w:rPr>
              <w:t>fossilis</w:t>
            </w:r>
            <w:proofErr w:type="spellEnd"/>
            <w:r w:rsidRPr="00110EFB">
              <w:rPr>
                <w:color w:val="000000" w:themeColor="text1"/>
                <w:sz w:val="24"/>
                <w:szCs w:val="24"/>
              </w:rPr>
              <w:t xml:space="preserve"> extracts</w:t>
            </w:r>
          </w:p>
        </w:tc>
        <w:tc>
          <w:tcPr>
            <w:tcW w:w="1515" w:type="dxa"/>
          </w:tcPr>
          <w:p w14:paraId="596B0A3F" w14:textId="77777777" w:rsidR="00333433" w:rsidRPr="00110EFB" w:rsidRDefault="00333433" w:rsidP="00110EFB">
            <w:pPr>
              <w:tabs>
                <w:tab w:val="left" w:pos="3675"/>
              </w:tabs>
              <w:spacing w:line="360" w:lineRule="auto"/>
              <w:jc w:val="both"/>
              <w:rPr>
                <w:color w:val="000000" w:themeColor="text1"/>
                <w:sz w:val="24"/>
                <w:szCs w:val="24"/>
              </w:rPr>
            </w:pPr>
          </w:p>
        </w:tc>
        <w:tc>
          <w:tcPr>
            <w:tcW w:w="1942" w:type="dxa"/>
          </w:tcPr>
          <w:p w14:paraId="7A74FACF"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DPPH Blank</w:t>
            </w:r>
          </w:p>
        </w:tc>
        <w:tc>
          <w:tcPr>
            <w:tcW w:w="1758" w:type="dxa"/>
          </w:tcPr>
          <w:p w14:paraId="74C6D4ED"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0</w:t>
            </w:r>
          </w:p>
        </w:tc>
        <w:tc>
          <w:tcPr>
            <w:tcW w:w="1554" w:type="dxa"/>
          </w:tcPr>
          <w:p w14:paraId="0AE3808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0</w:t>
            </w:r>
          </w:p>
        </w:tc>
        <w:tc>
          <w:tcPr>
            <w:tcW w:w="1803" w:type="dxa"/>
            <w:vMerge w:val="restart"/>
          </w:tcPr>
          <w:p w14:paraId="54C5D12B" w14:textId="77777777" w:rsidR="00333433" w:rsidRPr="00110EFB" w:rsidRDefault="00333433" w:rsidP="00110EFB">
            <w:pPr>
              <w:spacing w:line="360" w:lineRule="auto"/>
              <w:jc w:val="both"/>
              <w:textAlignment w:val="bottom"/>
              <w:rPr>
                <w:color w:val="000000" w:themeColor="text1"/>
                <w:sz w:val="24"/>
                <w:szCs w:val="24"/>
              </w:rPr>
            </w:pPr>
          </w:p>
          <w:p w14:paraId="43F64593"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1.90mg/ml</w:t>
            </w:r>
          </w:p>
        </w:tc>
      </w:tr>
      <w:tr w:rsidR="00670DAB" w:rsidRPr="00110EFB" w14:paraId="7E0EED40" w14:textId="77777777" w:rsidTr="001A6C90">
        <w:tc>
          <w:tcPr>
            <w:tcW w:w="1004" w:type="dxa"/>
            <w:vMerge/>
          </w:tcPr>
          <w:p w14:paraId="4A026263" w14:textId="77777777" w:rsidR="00333433" w:rsidRPr="00110EFB" w:rsidRDefault="00333433" w:rsidP="00110EFB">
            <w:pPr>
              <w:tabs>
                <w:tab w:val="left" w:pos="3675"/>
              </w:tabs>
              <w:spacing w:line="360" w:lineRule="auto"/>
              <w:jc w:val="both"/>
              <w:rPr>
                <w:color w:val="000000" w:themeColor="text1"/>
                <w:sz w:val="24"/>
                <w:szCs w:val="24"/>
              </w:rPr>
            </w:pPr>
          </w:p>
        </w:tc>
        <w:tc>
          <w:tcPr>
            <w:tcW w:w="1515" w:type="dxa"/>
          </w:tcPr>
          <w:p w14:paraId="5885596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200</w:t>
            </w:r>
          </w:p>
        </w:tc>
        <w:tc>
          <w:tcPr>
            <w:tcW w:w="1942" w:type="dxa"/>
          </w:tcPr>
          <w:p w14:paraId="0EC31A9C"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400</w:t>
            </w:r>
          </w:p>
        </w:tc>
        <w:tc>
          <w:tcPr>
            <w:tcW w:w="1758" w:type="dxa"/>
          </w:tcPr>
          <w:p w14:paraId="6DE09EDF"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0.382</w:t>
            </w:r>
          </w:p>
        </w:tc>
        <w:tc>
          <w:tcPr>
            <w:tcW w:w="1554" w:type="dxa"/>
            <w:vAlign w:val="bottom"/>
          </w:tcPr>
          <w:p w14:paraId="5D3BC6CC"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lang w:eastAsia="zh-CN"/>
              </w:rPr>
              <w:t>22.50 ± 0.88</w:t>
            </w:r>
          </w:p>
        </w:tc>
        <w:tc>
          <w:tcPr>
            <w:tcW w:w="1803" w:type="dxa"/>
            <w:vMerge/>
            <w:vAlign w:val="bottom"/>
          </w:tcPr>
          <w:p w14:paraId="59466EA1" w14:textId="77777777" w:rsidR="00333433" w:rsidRPr="00110EFB" w:rsidRDefault="00333433" w:rsidP="00110EFB">
            <w:pPr>
              <w:spacing w:line="360" w:lineRule="auto"/>
              <w:jc w:val="both"/>
              <w:textAlignment w:val="bottom"/>
              <w:rPr>
                <w:color w:val="000000" w:themeColor="text1"/>
                <w:sz w:val="24"/>
                <w:szCs w:val="24"/>
              </w:rPr>
            </w:pPr>
          </w:p>
        </w:tc>
      </w:tr>
      <w:tr w:rsidR="00670DAB" w:rsidRPr="00110EFB" w14:paraId="1C7DD9A3" w14:textId="77777777" w:rsidTr="001A6C90">
        <w:tc>
          <w:tcPr>
            <w:tcW w:w="1004" w:type="dxa"/>
            <w:vMerge/>
          </w:tcPr>
          <w:p w14:paraId="1DB0BD7E" w14:textId="77777777" w:rsidR="00333433" w:rsidRPr="00110EFB" w:rsidRDefault="00333433" w:rsidP="00110EFB">
            <w:pPr>
              <w:tabs>
                <w:tab w:val="left" w:pos="3675"/>
              </w:tabs>
              <w:spacing w:line="360" w:lineRule="auto"/>
              <w:jc w:val="both"/>
              <w:rPr>
                <w:color w:val="000000" w:themeColor="text1"/>
                <w:sz w:val="24"/>
                <w:szCs w:val="24"/>
              </w:rPr>
            </w:pPr>
          </w:p>
        </w:tc>
        <w:tc>
          <w:tcPr>
            <w:tcW w:w="1515" w:type="dxa"/>
          </w:tcPr>
          <w:p w14:paraId="20624D6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500</w:t>
            </w:r>
          </w:p>
        </w:tc>
        <w:tc>
          <w:tcPr>
            <w:tcW w:w="1942" w:type="dxa"/>
          </w:tcPr>
          <w:p w14:paraId="763F94CC"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1000</w:t>
            </w:r>
          </w:p>
        </w:tc>
        <w:tc>
          <w:tcPr>
            <w:tcW w:w="1758" w:type="dxa"/>
          </w:tcPr>
          <w:p w14:paraId="003C3B0B"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0.354</w:t>
            </w:r>
          </w:p>
        </w:tc>
        <w:tc>
          <w:tcPr>
            <w:tcW w:w="1554" w:type="dxa"/>
            <w:vAlign w:val="bottom"/>
          </w:tcPr>
          <w:p w14:paraId="21B1BBE3"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lang w:eastAsia="zh-CN"/>
              </w:rPr>
              <w:t>28.17 ± 0.77</w:t>
            </w:r>
          </w:p>
        </w:tc>
        <w:tc>
          <w:tcPr>
            <w:tcW w:w="1803" w:type="dxa"/>
            <w:vMerge/>
          </w:tcPr>
          <w:p w14:paraId="3A81B15C" w14:textId="77777777" w:rsidR="00333433" w:rsidRPr="00110EFB" w:rsidRDefault="00333433" w:rsidP="00110EFB">
            <w:pPr>
              <w:tabs>
                <w:tab w:val="left" w:pos="3675"/>
              </w:tabs>
              <w:spacing w:line="360" w:lineRule="auto"/>
              <w:jc w:val="both"/>
              <w:rPr>
                <w:color w:val="000000" w:themeColor="text1"/>
                <w:sz w:val="24"/>
                <w:szCs w:val="24"/>
              </w:rPr>
            </w:pPr>
          </w:p>
        </w:tc>
      </w:tr>
      <w:tr w:rsidR="00670DAB" w:rsidRPr="00110EFB" w14:paraId="5D6B9120" w14:textId="77777777" w:rsidTr="001A6C90">
        <w:tc>
          <w:tcPr>
            <w:tcW w:w="1004" w:type="dxa"/>
            <w:vMerge/>
            <w:tcBorders>
              <w:bottom w:val="single" w:sz="4" w:space="0" w:color="auto"/>
            </w:tcBorders>
          </w:tcPr>
          <w:p w14:paraId="2312F312" w14:textId="77777777" w:rsidR="00333433" w:rsidRPr="00110EFB" w:rsidRDefault="00333433" w:rsidP="00110EFB">
            <w:pPr>
              <w:tabs>
                <w:tab w:val="left" w:pos="3675"/>
              </w:tabs>
              <w:spacing w:line="360" w:lineRule="auto"/>
              <w:jc w:val="both"/>
              <w:rPr>
                <w:color w:val="000000" w:themeColor="text1"/>
                <w:sz w:val="24"/>
                <w:szCs w:val="24"/>
              </w:rPr>
            </w:pPr>
          </w:p>
        </w:tc>
        <w:tc>
          <w:tcPr>
            <w:tcW w:w="1515" w:type="dxa"/>
          </w:tcPr>
          <w:p w14:paraId="2903BD80"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1000</w:t>
            </w:r>
          </w:p>
        </w:tc>
        <w:tc>
          <w:tcPr>
            <w:tcW w:w="1942" w:type="dxa"/>
          </w:tcPr>
          <w:p w14:paraId="0F89A7AD"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2000</w:t>
            </w:r>
          </w:p>
        </w:tc>
        <w:tc>
          <w:tcPr>
            <w:tcW w:w="1758" w:type="dxa"/>
          </w:tcPr>
          <w:p w14:paraId="2EF258F6"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0.319</w:t>
            </w:r>
          </w:p>
        </w:tc>
        <w:tc>
          <w:tcPr>
            <w:tcW w:w="1554" w:type="dxa"/>
            <w:vAlign w:val="bottom"/>
          </w:tcPr>
          <w:p w14:paraId="224BA94A"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lang w:eastAsia="zh-CN"/>
              </w:rPr>
              <w:t>35.40 ± 0.62</w:t>
            </w:r>
          </w:p>
        </w:tc>
        <w:tc>
          <w:tcPr>
            <w:tcW w:w="1803" w:type="dxa"/>
            <w:vMerge/>
            <w:tcBorders>
              <w:bottom w:val="single" w:sz="4" w:space="0" w:color="auto"/>
            </w:tcBorders>
          </w:tcPr>
          <w:p w14:paraId="4BAA4024" w14:textId="77777777" w:rsidR="00333433" w:rsidRPr="00110EFB" w:rsidRDefault="00333433" w:rsidP="00110EFB">
            <w:pPr>
              <w:tabs>
                <w:tab w:val="left" w:pos="3675"/>
              </w:tabs>
              <w:spacing w:line="360" w:lineRule="auto"/>
              <w:jc w:val="both"/>
              <w:rPr>
                <w:color w:val="000000" w:themeColor="text1"/>
                <w:sz w:val="24"/>
                <w:szCs w:val="24"/>
              </w:rPr>
            </w:pPr>
          </w:p>
        </w:tc>
      </w:tr>
    </w:tbl>
    <w:p w14:paraId="02AB4F9F" w14:textId="77777777" w:rsidR="00333433" w:rsidRPr="00110EFB" w:rsidRDefault="00333433" w:rsidP="00110EFB">
      <w:pPr>
        <w:tabs>
          <w:tab w:val="left" w:pos="3675"/>
        </w:tabs>
        <w:spacing w:line="360" w:lineRule="auto"/>
        <w:jc w:val="both"/>
        <w:rPr>
          <w:rFonts w:ascii="Times New Roman" w:hAnsi="Times New Roman" w:cs="Times New Roman"/>
          <w:noProof/>
          <w:color w:val="000000" w:themeColor="text1"/>
          <w:sz w:val="24"/>
          <w:szCs w:val="24"/>
        </w:rPr>
      </w:pPr>
    </w:p>
    <w:p w14:paraId="011A35D2" w14:textId="77777777" w:rsidR="006A74F2" w:rsidRPr="00110EFB" w:rsidRDefault="006A74F2" w:rsidP="00110EFB">
      <w:pPr>
        <w:pStyle w:val="NormalWeb"/>
        <w:spacing w:line="360" w:lineRule="auto"/>
        <w:jc w:val="both"/>
        <w:rPr>
          <w:color w:val="000000" w:themeColor="text1"/>
        </w:rPr>
      </w:pPr>
      <w:r w:rsidRPr="00110EFB">
        <w:rPr>
          <w:color w:val="000000" w:themeColor="text1"/>
        </w:rPr>
        <w:t>T</w:t>
      </w:r>
      <w:r w:rsidR="006638DF" w:rsidRPr="00110EFB">
        <w:rPr>
          <w:color w:val="000000" w:themeColor="text1"/>
        </w:rPr>
        <w:t>he standard curve, scavenging activity patterns, and comparative inhibition effects</w:t>
      </w:r>
      <w:r w:rsidRPr="00110EFB">
        <w:rPr>
          <w:color w:val="000000" w:themeColor="text1"/>
        </w:rPr>
        <w:t xml:space="preserve"> are shown in Figure 1-4</w:t>
      </w:r>
      <w:r w:rsidR="006638DF" w:rsidRPr="00110EFB">
        <w:rPr>
          <w:color w:val="000000" w:themeColor="text1"/>
        </w:rPr>
        <w:t>.</w:t>
      </w:r>
    </w:p>
    <w:p w14:paraId="658F6F76" w14:textId="77777777" w:rsidR="006A74F2" w:rsidRPr="00110EFB" w:rsidRDefault="006A74F2" w:rsidP="00110EFB">
      <w:pPr>
        <w:spacing w:before="240" w:after="240" w:line="360" w:lineRule="auto"/>
        <w:jc w:val="both"/>
        <w:rPr>
          <w:rFonts w:ascii="Times New Roman" w:eastAsia="Times New Roman" w:hAnsi="Times New Roman" w:cs="Times New Roman"/>
          <w:b/>
          <w:color w:val="000000" w:themeColor="text1"/>
          <w:sz w:val="24"/>
          <w:szCs w:val="24"/>
        </w:rPr>
      </w:pPr>
      <w:r w:rsidRPr="00110EFB">
        <w:rPr>
          <w:rFonts w:ascii="Times New Roman" w:eastAsia="Times New Roman" w:hAnsi="Times New Roman" w:cs="Times New Roman"/>
          <w:b/>
          <w:noProof/>
          <w:color w:val="000000" w:themeColor="text1"/>
          <w:sz w:val="24"/>
          <w:szCs w:val="24"/>
          <w:lang w:eastAsia="en-IN"/>
        </w:rPr>
        <w:drawing>
          <wp:inline distT="0" distB="0" distL="0" distR="0" wp14:anchorId="1DE7E581" wp14:editId="645C3E22">
            <wp:extent cx="5876925" cy="3168015"/>
            <wp:effectExtent l="19050" t="0" r="9525" b="0"/>
            <wp:docPr id="2" name="Picture 1" descr="Screenshot_20250505_004722_WPS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505_004722_WPS Office.jpg"/>
                    <pic:cNvPicPr/>
                  </pic:nvPicPr>
                  <pic:blipFill>
                    <a:blip r:embed="rId7"/>
                    <a:stretch>
                      <a:fillRect/>
                    </a:stretch>
                  </pic:blipFill>
                  <pic:spPr>
                    <a:xfrm>
                      <a:off x="0" y="0"/>
                      <a:ext cx="5876925" cy="3168015"/>
                    </a:xfrm>
                    <a:prstGeom prst="rect">
                      <a:avLst/>
                    </a:prstGeom>
                  </pic:spPr>
                </pic:pic>
              </a:graphicData>
            </a:graphic>
          </wp:inline>
        </w:drawing>
      </w:r>
    </w:p>
    <w:p w14:paraId="4AB3FF37" w14:textId="7E577133"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 xml:space="preserve"> </w:t>
      </w:r>
      <w:r w:rsidR="00984E26" w:rsidRPr="00110EFB">
        <w:rPr>
          <w:rFonts w:ascii="Times New Roman" w:eastAsia="Times New Roman" w:hAnsi="Times New Roman" w:cs="Times New Roman"/>
          <w:color w:val="000000" w:themeColor="text1"/>
          <w:sz w:val="24"/>
          <w:szCs w:val="24"/>
        </w:rPr>
        <w:t xml:space="preserve">    </w:t>
      </w:r>
      <w:r w:rsidRPr="00110EFB">
        <w:rPr>
          <w:rFonts w:ascii="Times New Roman" w:eastAsia="Times New Roman" w:hAnsi="Times New Roman" w:cs="Times New Roman"/>
          <w:color w:val="000000" w:themeColor="text1"/>
          <w:sz w:val="24"/>
          <w:szCs w:val="24"/>
        </w:rPr>
        <w:t xml:space="preserve">Figure 1: </w:t>
      </w:r>
      <w:r w:rsidR="00290A6F" w:rsidRPr="00290A6F">
        <w:rPr>
          <w:rFonts w:ascii="Times New Roman" w:eastAsia="Times New Roman" w:hAnsi="Times New Roman" w:cs="Times New Roman"/>
          <w:color w:val="000000" w:themeColor="text1"/>
          <w:sz w:val="24"/>
          <w:szCs w:val="24"/>
        </w:rPr>
        <w:t>Standard linearity curve of ascorbic acid in the DPPH assay</w:t>
      </w:r>
    </w:p>
    <w:p w14:paraId="7652C9A7" w14:textId="77777777"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noProof/>
          <w:color w:val="000000" w:themeColor="text1"/>
          <w:sz w:val="24"/>
          <w:szCs w:val="24"/>
          <w:lang w:eastAsia="en-IN"/>
        </w:rPr>
        <w:lastRenderedPageBreak/>
        <w:drawing>
          <wp:inline distT="0" distB="0" distL="0" distR="0" wp14:anchorId="41C88800" wp14:editId="4516462F">
            <wp:extent cx="5876925" cy="3360396"/>
            <wp:effectExtent l="19050" t="19050" r="9525" b="12065"/>
            <wp:docPr id="5" name="Picture 2" descr="Screenshot_20250505_004826_WPS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505_004826_WPS Office.jpg"/>
                    <pic:cNvPicPr/>
                  </pic:nvPicPr>
                  <pic:blipFill>
                    <a:blip r:embed="rId8"/>
                    <a:stretch>
                      <a:fillRect/>
                    </a:stretch>
                  </pic:blipFill>
                  <pic:spPr>
                    <a:xfrm>
                      <a:off x="0" y="0"/>
                      <a:ext cx="5885480" cy="3365288"/>
                    </a:xfrm>
                    <a:prstGeom prst="rect">
                      <a:avLst/>
                    </a:prstGeom>
                    <a:ln>
                      <a:solidFill>
                        <a:schemeClr val="tx1"/>
                      </a:solidFill>
                    </a:ln>
                  </pic:spPr>
                </pic:pic>
              </a:graphicData>
            </a:graphic>
          </wp:inline>
        </w:drawing>
      </w:r>
    </w:p>
    <w:p w14:paraId="610F025A" w14:textId="7B9EB519"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 xml:space="preserve">                       Figure 2: </w:t>
      </w:r>
      <w:r w:rsidR="00290A6F" w:rsidRPr="00290A6F">
        <w:rPr>
          <w:rFonts w:ascii="Times New Roman" w:eastAsia="Times New Roman" w:hAnsi="Times New Roman" w:cs="Times New Roman"/>
          <w:color w:val="000000" w:themeColor="text1"/>
          <w:sz w:val="24"/>
          <w:szCs w:val="24"/>
        </w:rPr>
        <w:t>Radical scavenging activity (%) of the standard control (ascorbic acid)</w:t>
      </w:r>
      <w:r w:rsidR="00290A6F" w:rsidRPr="00290A6F" w:rsidDel="00290A6F">
        <w:rPr>
          <w:rFonts w:ascii="Times New Roman" w:eastAsia="Times New Roman" w:hAnsi="Times New Roman" w:cs="Times New Roman"/>
          <w:color w:val="000000" w:themeColor="text1"/>
          <w:sz w:val="24"/>
          <w:szCs w:val="24"/>
        </w:rPr>
        <w:t xml:space="preserve"> </w:t>
      </w:r>
    </w:p>
    <w:p w14:paraId="17DA2C1C" w14:textId="77777777"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p>
    <w:p w14:paraId="27DAF9DA" w14:textId="77777777" w:rsidR="006A74F2" w:rsidRPr="00110EFB" w:rsidRDefault="006A74F2" w:rsidP="00110EFB">
      <w:pPr>
        <w:spacing w:before="240" w:after="240" w:line="360" w:lineRule="auto"/>
        <w:jc w:val="both"/>
        <w:rPr>
          <w:rFonts w:ascii="Times New Roman" w:eastAsia="Times New Roman" w:hAnsi="Times New Roman" w:cs="Times New Roman"/>
          <w:b/>
          <w:color w:val="000000" w:themeColor="text1"/>
          <w:sz w:val="24"/>
          <w:szCs w:val="24"/>
        </w:rPr>
      </w:pPr>
      <w:r w:rsidRPr="00110EFB">
        <w:rPr>
          <w:rFonts w:ascii="Times New Roman" w:eastAsia="Times New Roman" w:hAnsi="Times New Roman" w:cs="Times New Roman"/>
          <w:b/>
          <w:noProof/>
          <w:color w:val="000000" w:themeColor="text1"/>
          <w:sz w:val="24"/>
          <w:szCs w:val="24"/>
          <w:lang w:eastAsia="en-IN"/>
        </w:rPr>
        <w:drawing>
          <wp:inline distT="0" distB="0" distL="114300" distR="114300" wp14:anchorId="028F5F48" wp14:editId="5146F757">
            <wp:extent cx="4849495" cy="2804795"/>
            <wp:effectExtent l="19050" t="19050" r="27305" b="14605"/>
            <wp:docPr id="4" name="Picture 4" descr="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pic:cNvPicPr>
                      <a:picLocks noChangeAspect="1"/>
                    </pic:cNvPicPr>
                  </pic:nvPicPr>
                  <pic:blipFill>
                    <a:blip r:embed="rId9"/>
                    <a:stretch>
                      <a:fillRect/>
                    </a:stretch>
                  </pic:blipFill>
                  <pic:spPr>
                    <a:xfrm>
                      <a:off x="0" y="0"/>
                      <a:ext cx="4849495" cy="2804795"/>
                    </a:xfrm>
                    <a:prstGeom prst="rect">
                      <a:avLst/>
                    </a:prstGeom>
                    <a:ln>
                      <a:solidFill>
                        <a:schemeClr val="tx1"/>
                      </a:solidFill>
                    </a:ln>
                  </pic:spPr>
                </pic:pic>
              </a:graphicData>
            </a:graphic>
          </wp:inline>
        </w:drawing>
      </w:r>
    </w:p>
    <w:p w14:paraId="16AFE535" w14:textId="12967ECA" w:rsidR="006A74F2" w:rsidRPr="00110EFB" w:rsidRDefault="006A74F2"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Figure 3: a) </w:t>
      </w:r>
      <w:r w:rsidR="00290A6F" w:rsidRPr="00290A6F">
        <w:rPr>
          <w:rFonts w:ascii="Times New Roman" w:hAnsi="Times New Roman" w:cs="Times New Roman"/>
          <w:color w:val="000000" w:themeColor="text1"/>
          <w:sz w:val="24"/>
          <w:szCs w:val="24"/>
        </w:rPr>
        <w:t>Ascorbic acid (stand</w:t>
      </w:r>
      <w:r w:rsidR="00290A6F">
        <w:rPr>
          <w:rFonts w:ascii="Times New Roman" w:hAnsi="Times New Roman" w:cs="Times New Roman"/>
          <w:color w:val="000000" w:themeColor="text1"/>
          <w:sz w:val="24"/>
          <w:szCs w:val="24"/>
        </w:rPr>
        <w:t>ard) response in the DPPH assay</w:t>
      </w:r>
    </w:p>
    <w:p w14:paraId="74F8E0E4" w14:textId="77777777" w:rsidR="006A74F2" w:rsidRPr="00110EFB" w:rsidRDefault="006A74F2" w:rsidP="00110EFB">
      <w:pPr>
        <w:tabs>
          <w:tab w:val="left" w:pos="3675"/>
        </w:tabs>
        <w:spacing w:line="360" w:lineRule="auto"/>
        <w:jc w:val="both"/>
        <w:rPr>
          <w:rFonts w:ascii="Times New Roman" w:hAnsi="Times New Roman" w:cs="Times New Roman"/>
          <w:color w:val="000000" w:themeColor="text1"/>
          <w:sz w:val="24"/>
          <w:szCs w:val="24"/>
        </w:rPr>
      </w:pPr>
    </w:p>
    <w:p w14:paraId="0AD88557" w14:textId="77777777" w:rsidR="00984E26"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                                          </w:t>
      </w:r>
    </w:p>
    <w:p w14:paraId="2F800D7C" w14:textId="77777777" w:rsidR="00984E26"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p>
    <w:p w14:paraId="5E920E55" w14:textId="77777777" w:rsidR="00984E26"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p>
    <w:p w14:paraId="243CCD3D" w14:textId="2A7AB7A1" w:rsidR="006A74F2" w:rsidRPr="00110EFB" w:rsidRDefault="00230CC8" w:rsidP="00110EFB">
      <w:pPr>
        <w:tabs>
          <w:tab w:val="left" w:pos="3675"/>
        </w:tabs>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4384" behindDoc="0" locked="0" layoutInCell="1" allowOverlap="1" wp14:anchorId="2A8BA890" wp14:editId="2B244BBF">
                <wp:simplePos x="0" y="0"/>
                <wp:positionH relativeFrom="column">
                  <wp:posOffset>3098800</wp:posOffset>
                </wp:positionH>
                <wp:positionV relativeFrom="paragraph">
                  <wp:posOffset>899160</wp:posOffset>
                </wp:positionV>
                <wp:extent cx="336550" cy="215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215900"/>
                        </a:xfrm>
                        <a:prstGeom prst="rect">
                          <a:avLst/>
                        </a:prstGeom>
                        <a:solidFill>
                          <a:schemeClr val="bg1">
                            <a:lumMod val="65000"/>
                          </a:schemeClr>
                        </a:solidFill>
                        <a:ln w="6350">
                          <a:noFill/>
                        </a:ln>
                      </wps:spPr>
                      <wps:txbx>
                        <w:txbxContent>
                          <w:p w14:paraId="3EF08429" w14:textId="77777777" w:rsidR="002F64E5" w:rsidRDefault="002F64E5" w:rsidP="002F6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BA890" id="_x0000_t202" coordsize="21600,21600" o:spt="202" path="m,l,21600r21600,l21600,xe">
                <v:stroke joinstyle="miter"/>
                <v:path gradientshapeok="t" o:connecttype="rect"/>
              </v:shapetype>
              <v:shape id="Text Box 11" o:spid="_x0000_s1026" type="#_x0000_t202" style="position:absolute;left:0;text-align:left;margin-left:244pt;margin-top:70.8pt;width:2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" fillcolor="#a5a5a5 [2092]" stroked="f" strokeweight=".5pt">
                <v:textbox>
                  <w:txbxContent>
                    <w:p w14:paraId="3EF08429" w14:textId="77777777" w:rsidR="002F64E5" w:rsidRDefault="002F64E5" w:rsidP="002F64E5"/>
                  </w:txbxContent>
                </v:textbox>
              </v:shape>
            </w:pict>
          </mc:Fallback>
        </mc:AlternateContent>
      </w: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2336" behindDoc="0" locked="0" layoutInCell="1" allowOverlap="1" wp14:anchorId="4ACE72A1" wp14:editId="723EA8C7">
                <wp:simplePos x="0" y="0"/>
                <wp:positionH relativeFrom="column">
                  <wp:posOffset>2419350</wp:posOffset>
                </wp:positionH>
                <wp:positionV relativeFrom="paragraph">
                  <wp:posOffset>1057910</wp:posOffset>
                </wp:positionV>
                <wp:extent cx="336550" cy="215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215900"/>
                        </a:xfrm>
                        <a:prstGeom prst="rect">
                          <a:avLst/>
                        </a:prstGeom>
                        <a:solidFill>
                          <a:schemeClr val="bg1">
                            <a:lumMod val="65000"/>
                          </a:schemeClr>
                        </a:solidFill>
                        <a:ln w="6350">
                          <a:noFill/>
                        </a:ln>
                      </wps:spPr>
                      <wps:txbx>
                        <w:txbxContent>
                          <w:p w14:paraId="38EFA069" w14:textId="77777777" w:rsidR="002F64E5" w:rsidRDefault="002F64E5" w:rsidP="002F6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E72A1" id="Text Box 10" o:spid="_x0000_s1027" type="#_x0000_t202" style="position:absolute;left:0;text-align:left;margin-left:190.5pt;margin-top:83.3pt;width:26.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" fillcolor="#a5a5a5 [2092]" stroked="f" strokeweight=".5pt">
                <v:textbox>
                  <w:txbxContent>
                    <w:p w14:paraId="38EFA069" w14:textId="77777777" w:rsidR="002F64E5" w:rsidRDefault="002F64E5" w:rsidP="002F64E5"/>
                  </w:txbxContent>
                </v:textbox>
              </v:shape>
            </w:pict>
          </mc:Fallback>
        </mc:AlternateContent>
      </w: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6D106DEA" wp14:editId="0F025280">
                <wp:simplePos x="0" y="0"/>
                <wp:positionH relativeFrom="column">
                  <wp:posOffset>1758950</wp:posOffset>
                </wp:positionH>
                <wp:positionV relativeFrom="paragraph">
                  <wp:posOffset>963930</wp:posOffset>
                </wp:positionV>
                <wp:extent cx="336550" cy="215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215900"/>
                        </a:xfrm>
                        <a:prstGeom prst="rect">
                          <a:avLst/>
                        </a:prstGeom>
                        <a:solidFill>
                          <a:schemeClr val="bg1">
                            <a:lumMod val="65000"/>
                          </a:schemeClr>
                        </a:solidFill>
                        <a:ln w="6350">
                          <a:noFill/>
                        </a:ln>
                      </wps:spPr>
                      <wps:txbx>
                        <w:txbxContent>
                          <w:p w14:paraId="31A3A2F3" w14:textId="77777777" w:rsidR="002F64E5" w:rsidRDefault="002F6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06DEA" id="Text Box 6" o:spid="_x0000_s1028" type="#_x0000_t202" style="position:absolute;left:0;text-align:left;margin-left:138.5pt;margin-top:75.9pt;width:26.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" fillcolor="#a5a5a5 [2092]" stroked="f" strokeweight=".5pt">
                <v:textbox>
                  <w:txbxContent>
                    <w:p w14:paraId="31A3A2F3" w14:textId="77777777" w:rsidR="002F64E5" w:rsidRDefault="002F64E5"/>
                  </w:txbxContent>
                </v:textbox>
              </v:shape>
            </w:pict>
          </mc:Fallback>
        </mc:AlternateContent>
      </w:r>
      <w:r w:rsidR="00984E26" w:rsidRPr="00110EFB">
        <w:rPr>
          <w:rFonts w:ascii="Times New Roman" w:hAnsi="Times New Roman" w:cs="Times New Roman"/>
          <w:color w:val="000000" w:themeColor="text1"/>
          <w:sz w:val="24"/>
          <w:szCs w:val="24"/>
        </w:rPr>
        <w:t xml:space="preserve">                                       </w:t>
      </w:r>
      <w:r w:rsidR="006A74F2" w:rsidRPr="00110EFB">
        <w:rPr>
          <w:rFonts w:ascii="Times New Roman" w:hAnsi="Times New Roman" w:cs="Times New Roman"/>
          <w:noProof/>
          <w:color w:val="000000" w:themeColor="text1"/>
          <w:sz w:val="24"/>
          <w:szCs w:val="24"/>
          <w:lang w:eastAsia="en-IN"/>
        </w:rPr>
        <w:drawing>
          <wp:inline distT="0" distB="0" distL="114300" distR="114300" wp14:anchorId="2A55ABA3" wp14:editId="33A648FC">
            <wp:extent cx="2082800" cy="2730499"/>
            <wp:effectExtent l="19050" t="19050" r="12700" b="13335"/>
            <wp:docPr id="8" name="Picture 8" descr="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
                    <pic:cNvPicPr>
                      <a:picLocks noChangeAspect="1"/>
                    </pic:cNvPicPr>
                  </pic:nvPicPr>
                  <pic:blipFill>
                    <a:blip r:embed="rId10"/>
                    <a:stretch>
                      <a:fillRect/>
                    </a:stretch>
                  </pic:blipFill>
                  <pic:spPr>
                    <a:xfrm>
                      <a:off x="0" y="0"/>
                      <a:ext cx="2084182" cy="2732311"/>
                    </a:xfrm>
                    <a:prstGeom prst="rect">
                      <a:avLst/>
                    </a:prstGeom>
                    <a:ln>
                      <a:solidFill>
                        <a:schemeClr val="tx1"/>
                      </a:solidFill>
                    </a:ln>
                  </pic:spPr>
                </pic:pic>
              </a:graphicData>
            </a:graphic>
          </wp:inline>
        </w:drawing>
      </w:r>
    </w:p>
    <w:p w14:paraId="4B9A6863" w14:textId="5F2BE61E" w:rsidR="006A74F2"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          </w:t>
      </w:r>
      <w:r w:rsidR="006A74F2" w:rsidRPr="00110EFB">
        <w:rPr>
          <w:rFonts w:ascii="Times New Roman" w:hAnsi="Times New Roman" w:cs="Times New Roman"/>
          <w:color w:val="000000" w:themeColor="text1"/>
          <w:sz w:val="24"/>
          <w:szCs w:val="24"/>
        </w:rPr>
        <w:t xml:space="preserve"> </w:t>
      </w:r>
      <w:r w:rsidR="00BF0319">
        <w:rPr>
          <w:rFonts w:ascii="Times New Roman" w:hAnsi="Times New Roman" w:cs="Times New Roman"/>
          <w:color w:val="000000" w:themeColor="text1"/>
          <w:sz w:val="24"/>
          <w:szCs w:val="24"/>
        </w:rPr>
        <w:t xml:space="preserve">Figure </w:t>
      </w:r>
      <w:proofErr w:type="gramStart"/>
      <w:r w:rsidR="00BF0319">
        <w:rPr>
          <w:rFonts w:ascii="Times New Roman" w:hAnsi="Times New Roman" w:cs="Times New Roman"/>
          <w:color w:val="000000" w:themeColor="text1"/>
          <w:sz w:val="24"/>
          <w:szCs w:val="24"/>
        </w:rPr>
        <w:t>3</w:t>
      </w:r>
      <w:r w:rsidR="006A74F2" w:rsidRPr="00110EFB">
        <w:rPr>
          <w:rFonts w:ascii="Times New Roman" w:hAnsi="Times New Roman" w:cs="Times New Roman"/>
          <w:color w:val="000000" w:themeColor="text1"/>
          <w:sz w:val="24"/>
          <w:szCs w:val="24"/>
        </w:rPr>
        <w:t xml:space="preserve">  b</w:t>
      </w:r>
      <w:proofErr w:type="gramEnd"/>
      <w:r w:rsidR="00BF0319">
        <w:rPr>
          <w:rFonts w:ascii="Times New Roman" w:hAnsi="Times New Roman" w:cs="Times New Roman"/>
          <w:color w:val="000000" w:themeColor="text1"/>
          <w:sz w:val="24"/>
          <w:szCs w:val="24"/>
        </w:rPr>
        <w:t>:</w:t>
      </w:r>
      <w:r w:rsidR="006A74F2" w:rsidRPr="00110EFB">
        <w:rPr>
          <w:rFonts w:ascii="Times New Roman" w:hAnsi="Times New Roman" w:cs="Times New Roman"/>
          <w:color w:val="000000" w:themeColor="text1"/>
          <w:sz w:val="24"/>
          <w:szCs w:val="24"/>
        </w:rPr>
        <w:t xml:space="preserve"> </w:t>
      </w:r>
      <w:r w:rsidR="00290A6F" w:rsidRPr="00290A6F">
        <w:rPr>
          <w:rFonts w:ascii="Times New Roman" w:hAnsi="Times New Roman" w:cs="Times New Roman"/>
          <w:color w:val="000000" w:themeColor="text1"/>
          <w:sz w:val="24"/>
          <w:szCs w:val="24"/>
        </w:rPr>
        <w:t xml:space="preserve">DPPH radical scavenging activity of </w:t>
      </w:r>
      <w:r w:rsidR="00290A6F" w:rsidRPr="009E2BDF">
        <w:rPr>
          <w:rFonts w:ascii="Times New Roman" w:hAnsi="Times New Roman" w:cs="Times New Roman"/>
          <w:i/>
          <w:color w:val="000000" w:themeColor="text1"/>
          <w:sz w:val="24"/>
          <w:szCs w:val="24"/>
        </w:rPr>
        <w:t xml:space="preserve">H. </w:t>
      </w:r>
      <w:proofErr w:type="spellStart"/>
      <w:r w:rsidR="00290A6F" w:rsidRPr="009E2BDF">
        <w:rPr>
          <w:rFonts w:ascii="Times New Roman" w:hAnsi="Times New Roman" w:cs="Times New Roman"/>
          <w:i/>
          <w:color w:val="000000" w:themeColor="text1"/>
          <w:sz w:val="24"/>
          <w:szCs w:val="24"/>
        </w:rPr>
        <w:t>fossilis</w:t>
      </w:r>
      <w:proofErr w:type="spellEnd"/>
      <w:r w:rsidR="00290A6F" w:rsidRPr="00290A6F">
        <w:rPr>
          <w:rFonts w:ascii="Times New Roman" w:hAnsi="Times New Roman" w:cs="Times New Roman"/>
          <w:color w:val="000000" w:themeColor="text1"/>
          <w:sz w:val="24"/>
          <w:szCs w:val="24"/>
        </w:rPr>
        <w:t xml:space="preserve"> ethanolic extracts</w:t>
      </w:r>
      <w:r w:rsidR="00290A6F" w:rsidRPr="00290A6F" w:rsidDel="00290A6F">
        <w:rPr>
          <w:rFonts w:ascii="Times New Roman" w:hAnsi="Times New Roman" w:cs="Times New Roman"/>
          <w:color w:val="000000" w:themeColor="text1"/>
          <w:sz w:val="24"/>
          <w:szCs w:val="24"/>
        </w:rPr>
        <w:t xml:space="preserve"> </w:t>
      </w:r>
    </w:p>
    <w:p w14:paraId="7DA385E3" w14:textId="77777777" w:rsidR="006A74F2" w:rsidRPr="00110EFB" w:rsidRDefault="006A74F2" w:rsidP="00110EFB">
      <w:pPr>
        <w:tabs>
          <w:tab w:val="left" w:pos="3675"/>
        </w:tabs>
        <w:spacing w:line="360" w:lineRule="auto"/>
        <w:jc w:val="both"/>
        <w:rPr>
          <w:rFonts w:ascii="Times New Roman" w:hAnsi="Times New Roman" w:cs="Times New Roman"/>
          <w:noProof/>
          <w:color w:val="000000" w:themeColor="text1"/>
          <w:sz w:val="24"/>
          <w:szCs w:val="24"/>
        </w:rPr>
      </w:pPr>
    </w:p>
    <w:p w14:paraId="05545333" w14:textId="18BF139E" w:rsidR="00984E26" w:rsidRPr="00110EFB" w:rsidRDefault="00230CC8" w:rsidP="00110EFB">
      <w:pPr>
        <w:tabs>
          <w:tab w:val="left" w:pos="3675"/>
        </w:tabs>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0D4AAAF1" wp14:editId="1C378391">
                <wp:simplePos x="0" y="0"/>
                <wp:positionH relativeFrom="column">
                  <wp:posOffset>2755900</wp:posOffset>
                </wp:positionH>
                <wp:positionV relativeFrom="paragraph">
                  <wp:posOffset>101600</wp:posOffset>
                </wp:positionV>
                <wp:extent cx="425450" cy="215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215900"/>
                        </a:xfrm>
                        <a:prstGeom prst="rect">
                          <a:avLst/>
                        </a:prstGeom>
                        <a:solidFill>
                          <a:schemeClr val="lt1"/>
                        </a:solidFill>
                        <a:ln w="6350">
                          <a:solidFill>
                            <a:schemeClr val="bg1"/>
                          </a:solidFill>
                        </a:ln>
                      </wps:spPr>
                      <wps:txbx>
                        <w:txbxContent>
                          <w:p w14:paraId="720957BB" w14:textId="77777777" w:rsidR="006A74F2" w:rsidRDefault="006A74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AAAF1" id="Text Box 3" o:spid="_x0000_s1029" type="#_x0000_t202" style="position:absolute;left:0;text-align:left;margin-left:217pt;margin-top:8pt;width:33.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" fillcolor="white [3201]" strokecolor="white [3212]" strokeweight=".5pt">
                <v:path arrowok="t"/>
                <v:textbox>
                  <w:txbxContent>
                    <w:p w14:paraId="720957BB" w14:textId="77777777" w:rsidR="006A74F2" w:rsidRDefault="006A74F2"/>
                  </w:txbxContent>
                </v:textbox>
              </v:shape>
            </w:pict>
          </mc:Fallback>
        </mc:AlternateContent>
      </w:r>
      <w:r w:rsidR="006A74F2" w:rsidRPr="00110EFB">
        <w:rPr>
          <w:rFonts w:ascii="Times New Roman" w:hAnsi="Times New Roman" w:cs="Times New Roman"/>
          <w:noProof/>
          <w:color w:val="000000" w:themeColor="text1"/>
          <w:sz w:val="24"/>
          <w:szCs w:val="24"/>
          <w:lang w:eastAsia="en-IN"/>
        </w:rPr>
        <w:drawing>
          <wp:inline distT="0" distB="0" distL="0" distR="0" wp14:anchorId="048C864B" wp14:editId="1E089B34">
            <wp:extent cx="5204746" cy="2672543"/>
            <wp:effectExtent l="19050" t="19050" r="15240" b="13970"/>
            <wp:docPr id="1" name="Picture 5" descr="Screenshot_20250505_004849_WPS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505_004849_WPS Office.jpg"/>
                    <pic:cNvPicPr/>
                  </pic:nvPicPr>
                  <pic:blipFill>
                    <a:blip r:embed="rId11"/>
                    <a:stretch>
                      <a:fillRect/>
                    </a:stretch>
                  </pic:blipFill>
                  <pic:spPr>
                    <a:xfrm>
                      <a:off x="0" y="0"/>
                      <a:ext cx="5204746" cy="2672543"/>
                    </a:xfrm>
                    <a:prstGeom prst="rect">
                      <a:avLst/>
                    </a:prstGeom>
                    <a:ln w="6350">
                      <a:solidFill>
                        <a:schemeClr val="tx1"/>
                      </a:solidFill>
                    </a:ln>
                  </pic:spPr>
                </pic:pic>
              </a:graphicData>
            </a:graphic>
          </wp:inline>
        </w:drawing>
      </w:r>
    </w:p>
    <w:p w14:paraId="0F087737" w14:textId="6F1DC34C" w:rsidR="006A74F2"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            </w:t>
      </w:r>
      <w:r w:rsidR="002F64E5" w:rsidRPr="00110EFB">
        <w:rPr>
          <w:rFonts w:ascii="Times New Roman" w:hAnsi="Times New Roman" w:cs="Times New Roman"/>
          <w:color w:val="000000" w:themeColor="text1"/>
          <w:sz w:val="24"/>
          <w:szCs w:val="24"/>
        </w:rPr>
        <w:t>Figures 4</w:t>
      </w:r>
      <w:r w:rsidR="006A74F2" w:rsidRPr="00110EFB">
        <w:rPr>
          <w:rFonts w:ascii="Times New Roman" w:hAnsi="Times New Roman" w:cs="Times New Roman"/>
          <w:color w:val="000000" w:themeColor="text1"/>
          <w:sz w:val="24"/>
          <w:szCs w:val="24"/>
        </w:rPr>
        <w:t xml:space="preserve">: </w:t>
      </w:r>
      <w:r w:rsidR="00290A6F" w:rsidRPr="00290A6F">
        <w:rPr>
          <w:rFonts w:ascii="Times New Roman" w:hAnsi="Times New Roman" w:cs="Times New Roman"/>
          <w:color w:val="000000" w:themeColor="text1"/>
          <w:sz w:val="24"/>
          <w:szCs w:val="24"/>
        </w:rPr>
        <w:t xml:space="preserve">Radical scavenging activity (%) </w:t>
      </w:r>
      <w:r w:rsidR="00290A6F">
        <w:rPr>
          <w:rFonts w:ascii="Times New Roman" w:hAnsi="Times New Roman" w:cs="Times New Roman"/>
          <w:color w:val="000000" w:themeColor="text1"/>
          <w:sz w:val="24"/>
          <w:szCs w:val="24"/>
        </w:rPr>
        <w:t xml:space="preserve">of </w:t>
      </w:r>
      <w:r w:rsidR="00290A6F" w:rsidRPr="009E2BDF">
        <w:rPr>
          <w:rFonts w:ascii="Times New Roman" w:hAnsi="Times New Roman" w:cs="Times New Roman"/>
          <w:i/>
          <w:color w:val="000000" w:themeColor="text1"/>
          <w:sz w:val="24"/>
          <w:szCs w:val="24"/>
        </w:rPr>
        <w:t xml:space="preserve">H. </w:t>
      </w:r>
      <w:proofErr w:type="spellStart"/>
      <w:r w:rsidR="00290A6F" w:rsidRPr="009E2BDF">
        <w:rPr>
          <w:rFonts w:ascii="Times New Roman" w:hAnsi="Times New Roman" w:cs="Times New Roman"/>
          <w:i/>
          <w:color w:val="000000" w:themeColor="text1"/>
          <w:sz w:val="24"/>
          <w:szCs w:val="24"/>
        </w:rPr>
        <w:t>fossilis</w:t>
      </w:r>
      <w:proofErr w:type="spellEnd"/>
      <w:r w:rsidR="00290A6F">
        <w:rPr>
          <w:rFonts w:ascii="Times New Roman" w:hAnsi="Times New Roman" w:cs="Times New Roman"/>
          <w:color w:val="000000" w:themeColor="text1"/>
          <w:sz w:val="24"/>
          <w:szCs w:val="24"/>
        </w:rPr>
        <w:t xml:space="preserve"> ethanol extracts</w:t>
      </w:r>
    </w:p>
    <w:p w14:paraId="52D2287C" w14:textId="77777777" w:rsidR="006638DF" w:rsidRPr="00110EFB" w:rsidRDefault="006638DF" w:rsidP="00110EFB">
      <w:pPr>
        <w:pStyle w:val="NormalWeb"/>
        <w:spacing w:line="360" w:lineRule="auto"/>
        <w:jc w:val="both"/>
        <w:rPr>
          <w:color w:val="000000" w:themeColor="text1"/>
        </w:rPr>
      </w:pPr>
      <w:r w:rsidRPr="00110EFB">
        <w:rPr>
          <w:color w:val="000000" w:themeColor="text1"/>
        </w:rPr>
        <w:t xml:space="preserve">The results </w:t>
      </w:r>
      <w:r w:rsidR="006A74F2" w:rsidRPr="00110EFB">
        <w:rPr>
          <w:color w:val="000000" w:themeColor="text1"/>
        </w:rPr>
        <w:t>shows</w:t>
      </w:r>
      <w:r w:rsidRPr="00110EFB">
        <w:rPr>
          <w:color w:val="000000" w:themeColor="text1"/>
        </w:rPr>
        <w:t xml:space="preserve"> that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possesses concentration-dependent radical scavenging activity, supporting earlier </w:t>
      </w:r>
      <w:r w:rsidR="006A74F2" w:rsidRPr="00110EFB">
        <w:rPr>
          <w:color w:val="000000" w:themeColor="text1"/>
        </w:rPr>
        <w:t>studies</w:t>
      </w:r>
      <w:r w:rsidRPr="00110EFB">
        <w:rPr>
          <w:color w:val="000000" w:themeColor="text1"/>
        </w:rPr>
        <w:t xml:space="preserve"> that freshwater fish species </w:t>
      </w:r>
      <w:r w:rsidR="006A74F2" w:rsidRPr="00110EFB">
        <w:rPr>
          <w:color w:val="000000" w:themeColor="text1"/>
        </w:rPr>
        <w:t>could</w:t>
      </w:r>
      <w:r w:rsidRPr="00110EFB">
        <w:rPr>
          <w:color w:val="000000" w:themeColor="text1"/>
        </w:rPr>
        <w:t xml:space="preserve"> be an important source of antioxidant peptides and bioactive</w:t>
      </w:r>
      <w:r w:rsidR="00E11594">
        <w:rPr>
          <w:color w:val="000000" w:themeColor="text1"/>
        </w:rPr>
        <w:t xml:space="preserve"> compounds (Culbert et al., 2022</w:t>
      </w:r>
      <w:r w:rsidRPr="00110EFB">
        <w:rPr>
          <w:color w:val="000000" w:themeColor="text1"/>
        </w:rPr>
        <w:t xml:space="preserve">; </w:t>
      </w:r>
      <w:proofErr w:type="spellStart"/>
      <w:r w:rsidRPr="00110EFB">
        <w:rPr>
          <w:color w:val="000000" w:themeColor="text1"/>
        </w:rPr>
        <w:t>Garcí</w:t>
      </w:r>
      <w:proofErr w:type="spellEnd"/>
      <w:r w:rsidRPr="00110EFB">
        <w:rPr>
          <w:color w:val="000000" w:themeColor="text1"/>
        </w:rPr>
        <w:t>-Moreno et al., 2</w:t>
      </w:r>
      <w:r w:rsidR="006A74F2" w:rsidRPr="00110EFB">
        <w:rPr>
          <w:color w:val="000000" w:themeColor="text1"/>
        </w:rPr>
        <w:t xml:space="preserve">014). García-Moreno et al. (2014) </w:t>
      </w:r>
      <w:r w:rsidRPr="00110EFB">
        <w:rPr>
          <w:color w:val="000000" w:themeColor="text1"/>
        </w:rPr>
        <w:t>identified antioxidant peptides derived from actin and myosin proteins in sard</w:t>
      </w:r>
      <w:r w:rsidR="006A74F2" w:rsidRPr="00110EFB">
        <w:rPr>
          <w:color w:val="000000" w:themeColor="text1"/>
        </w:rPr>
        <w:t>ines and small-spotted catshark</w:t>
      </w:r>
      <w:r w:rsidRPr="00110EFB">
        <w:rPr>
          <w:color w:val="000000" w:themeColor="text1"/>
        </w:rPr>
        <w:t xml:space="preserve">. </w:t>
      </w:r>
      <w:r w:rsidR="0094245C" w:rsidRPr="00110EFB">
        <w:rPr>
          <w:color w:val="000000" w:themeColor="text1"/>
        </w:rPr>
        <w:t xml:space="preserve">It is also important to highlight that the </w:t>
      </w:r>
      <w:r w:rsidR="0094245C" w:rsidRPr="00110EFB">
        <w:rPr>
          <w:color w:val="000000" w:themeColor="text1"/>
        </w:rPr>
        <w:lastRenderedPageBreak/>
        <w:t xml:space="preserve">extraction solvents used in the assay can influence the antioxidant activity of samples. In this </w:t>
      </w:r>
      <w:r w:rsidRPr="00110EFB">
        <w:rPr>
          <w:color w:val="000000" w:themeColor="text1"/>
        </w:rPr>
        <w:t xml:space="preserve">study, ethanolic extracts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showed moderate </w:t>
      </w:r>
      <w:r w:rsidR="0094245C" w:rsidRPr="00110EFB">
        <w:rPr>
          <w:color w:val="000000" w:themeColor="text1"/>
        </w:rPr>
        <w:t xml:space="preserve">antioxidant </w:t>
      </w:r>
      <w:r w:rsidRPr="00110EFB">
        <w:rPr>
          <w:color w:val="000000" w:themeColor="text1"/>
        </w:rPr>
        <w:t xml:space="preserve">activity, consistent with previous </w:t>
      </w:r>
      <w:r w:rsidR="0094245C" w:rsidRPr="00110EFB">
        <w:rPr>
          <w:color w:val="000000" w:themeColor="text1"/>
        </w:rPr>
        <w:t>studies</w:t>
      </w:r>
      <w:r w:rsidRPr="00110EFB">
        <w:rPr>
          <w:color w:val="000000" w:themeColor="text1"/>
        </w:rPr>
        <w:t xml:space="preserve"> by Zhou and Yu (2004), who reported that antioxidant properties of wheat and wheat-based food products varied significantly depending on the solvent used for extraction. </w:t>
      </w:r>
      <w:r w:rsidR="0094245C" w:rsidRPr="00110EFB">
        <w:rPr>
          <w:color w:val="000000" w:themeColor="text1"/>
        </w:rPr>
        <w:t>Similar</w:t>
      </w:r>
      <w:r w:rsidR="00984E26" w:rsidRPr="00110EFB">
        <w:rPr>
          <w:color w:val="000000" w:themeColor="text1"/>
        </w:rPr>
        <w:t xml:space="preserve"> </w:t>
      </w:r>
      <w:r w:rsidR="0094245C" w:rsidRPr="00110EFB">
        <w:rPr>
          <w:color w:val="000000" w:themeColor="text1"/>
        </w:rPr>
        <w:t>results</w:t>
      </w:r>
      <w:r w:rsidRPr="00110EFB">
        <w:rPr>
          <w:color w:val="000000" w:themeColor="text1"/>
        </w:rPr>
        <w:t xml:space="preserve"> have also been reported in </w:t>
      </w:r>
      <w:r w:rsidR="0094245C" w:rsidRPr="00110EFB">
        <w:rPr>
          <w:color w:val="000000" w:themeColor="text1"/>
        </w:rPr>
        <w:t xml:space="preserve">other </w:t>
      </w:r>
      <w:r w:rsidRPr="00110EFB">
        <w:rPr>
          <w:color w:val="000000" w:themeColor="text1"/>
        </w:rPr>
        <w:t>marine and freshwater fish species, where polar solvents such as ethanol and methanol were found to extract peptides and phenolic compounds with moderate to high antioxidant activity (</w:t>
      </w:r>
      <w:proofErr w:type="spellStart"/>
      <w:r w:rsidR="0094245C" w:rsidRPr="00110EFB">
        <w:rPr>
          <w:color w:val="000000" w:themeColor="text1"/>
        </w:rPr>
        <w:t>Najafian</w:t>
      </w:r>
      <w:proofErr w:type="spellEnd"/>
      <w:r w:rsidR="0094245C" w:rsidRPr="00110EFB">
        <w:rPr>
          <w:color w:val="000000" w:themeColor="text1"/>
        </w:rPr>
        <w:t xml:space="preserve">, and </w:t>
      </w:r>
      <w:proofErr w:type="spellStart"/>
      <w:r w:rsidR="0094245C" w:rsidRPr="00110EFB">
        <w:rPr>
          <w:color w:val="000000" w:themeColor="text1"/>
        </w:rPr>
        <w:t>Babji</w:t>
      </w:r>
      <w:proofErr w:type="spellEnd"/>
      <w:r w:rsidR="0094245C" w:rsidRPr="00110EFB">
        <w:rPr>
          <w:color w:val="000000" w:themeColor="text1"/>
        </w:rPr>
        <w:t xml:space="preserve">, 2012). </w:t>
      </w:r>
    </w:p>
    <w:p w14:paraId="6367FD07" w14:textId="77777777" w:rsidR="0094245C" w:rsidRPr="00110EFB" w:rsidRDefault="006638DF" w:rsidP="00110EFB">
      <w:pPr>
        <w:pStyle w:val="NormalWeb"/>
        <w:spacing w:line="360" w:lineRule="auto"/>
        <w:jc w:val="both"/>
        <w:rPr>
          <w:color w:val="000000" w:themeColor="text1"/>
        </w:rPr>
      </w:pPr>
      <w:r w:rsidRPr="00110EFB">
        <w:rPr>
          <w:color w:val="000000" w:themeColor="text1"/>
        </w:rPr>
        <w:t>The</w:t>
      </w:r>
      <w:r w:rsidR="0094245C" w:rsidRPr="00110EFB">
        <w:rPr>
          <w:color w:val="000000" w:themeColor="text1"/>
        </w:rPr>
        <w:t xml:space="preserve"> moderate</w:t>
      </w:r>
      <w:r w:rsidRPr="00110EFB">
        <w:rPr>
          <w:color w:val="000000" w:themeColor="text1"/>
        </w:rPr>
        <w:t xml:space="preserve"> antioxidant potential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as </w:t>
      </w:r>
      <w:r w:rsidR="0094245C" w:rsidRPr="00110EFB">
        <w:rPr>
          <w:color w:val="000000" w:themeColor="text1"/>
        </w:rPr>
        <w:t>shown</w:t>
      </w:r>
      <w:r w:rsidRPr="00110EFB">
        <w:rPr>
          <w:color w:val="000000" w:themeColor="text1"/>
        </w:rPr>
        <w:t xml:space="preserve"> in this study, complements its ethno</w:t>
      </w:r>
      <w:r w:rsidR="0094245C" w:rsidRPr="00110EFB">
        <w:rPr>
          <w:color w:val="000000" w:themeColor="text1"/>
        </w:rPr>
        <w:t>-</w:t>
      </w:r>
      <w:r w:rsidRPr="00110EFB">
        <w:rPr>
          <w:color w:val="000000" w:themeColor="text1"/>
        </w:rPr>
        <w:t xml:space="preserve">medicinal applications where the fish is traditionally consumed by pregnant women, children, and anaemic patients to enhance immunity and overall health (Araf et al., 2021; Gupta and Dey, 2017). Although its antioxidant activity was lower compared to the ascorbic acid standard, the findings suggest that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contains bioactive compounds capable of scavenging free radicals. These results, together with previous research on antioxidant peptides in fish, highlight the potential of stinging catfish as a sustainable functional food with medicinal value.</w:t>
      </w:r>
    </w:p>
    <w:p w14:paraId="2762E989" w14:textId="77777777" w:rsidR="002F64E5" w:rsidRPr="00110EFB" w:rsidRDefault="0094245C" w:rsidP="00110EFB">
      <w:pPr>
        <w:spacing w:line="360" w:lineRule="auto"/>
        <w:jc w:val="both"/>
        <w:rPr>
          <w:rStyle w:val="Strong"/>
          <w:rFonts w:ascii="Times New Roman" w:hAnsi="Times New Roman" w:cs="Times New Roman"/>
          <w:color w:val="000000" w:themeColor="text1"/>
          <w:sz w:val="24"/>
          <w:szCs w:val="24"/>
        </w:rPr>
      </w:pPr>
      <w:r w:rsidRPr="00110EFB">
        <w:rPr>
          <w:rStyle w:val="Strong"/>
          <w:rFonts w:ascii="Times New Roman" w:hAnsi="Times New Roman" w:cs="Times New Roman"/>
          <w:color w:val="000000" w:themeColor="text1"/>
          <w:sz w:val="24"/>
          <w:szCs w:val="24"/>
        </w:rPr>
        <w:t>Conclusion</w:t>
      </w:r>
    </w:p>
    <w:p w14:paraId="18A5E724" w14:textId="77777777" w:rsidR="006638DF" w:rsidRPr="00110EFB" w:rsidRDefault="0094245C" w:rsidP="00110EFB">
      <w:pPr>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br/>
        <w:t xml:space="preserve">This study provides preliminary evidence of the antioxidant potential of </w:t>
      </w:r>
      <w:r w:rsidRPr="00110EFB">
        <w:rPr>
          <w:rStyle w:val="Emphasis"/>
          <w:rFonts w:ascii="Times New Roman" w:hAnsi="Times New Roman" w:cs="Times New Roman"/>
          <w:color w:val="000000" w:themeColor="text1"/>
          <w:sz w:val="24"/>
          <w:szCs w:val="24"/>
        </w:rPr>
        <w:t>H.</w:t>
      </w:r>
      <w:r w:rsidR="00604060" w:rsidRPr="00110EFB">
        <w:rPr>
          <w:rStyle w:val="Emphasis"/>
          <w:rFonts w:ascii="Times New Roman" w:hAnsi="Times New Roman" w:cs="Times New Roman"/>
          <w:color w:val="000000" w:themeColor="text1"/>
          <w:sz w:val="24"/>
          <w:szCs w:val="24"/>
        </w:rPr>
        <w:t xml:space="preserve">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extracts. These findings support the traditional ethno-medicinal use of this fish species and highlight its potential as a promising source of natural antioxidants. Based on this preliminary assessment, future work could focus </w:t>
      </w:r>
      <w:proofErr w:type="spellStart"/>
      <w:r w:rsidRPr="00110EFB">
        <w:rPr>
          <w:rFonts w:ascii="Times New Roman" w:hAnsi="Times New Roman" w:cs="Times New Roman"/>
          <w:color w:val="000000" w:themeColor="text1"/>
          <w:sz w:val="24"/>
          <w:szCs w:val="24"/>
        </w:rPr>
        <w:t>onisolation</w:t>
      </w:r>
      <w:proofErr w:type="spellEnd"/>
      <w:r w:rsidRPr="00110EFB">
        <w:rPr>
          <w:rFonts w:ascii="Times New Roman" w:hAnsi="Times New Roman" w:cs="Times New Roman"/>
          <w:color w:val="000000" w:themeColor="text1"/>
          <w:sz w:val="24"/>
          <w:szCs w:val="24"/>
        </w:rPr>
        <w:t xml:space="preserve"> and characterizing the specific antioxidant peptides and bioactive compounds, followed by in vivo and clinical studies to validate their therapeutic efficacy. </w:t>
      </w:r>
    </w:p>
    <w:p w14:paraId="1212820F" w14:textId="77777777" w:rsidR="00985674" w:rsidRDefault="00985674" w:rsidP="00110EFB">
      <w:pPr>
        <w:spacing w:line="360" w:lineRule="auto"/>
        <w:jc w:val="both"/>
        <w:rPr>
          <w:rFonts w:ascii="Times New Roman" w:hAnsi="Times New Roman" w:cs="Times New Roman"/>
          <w:b/>
          <w:color w:val="000000" w:themeColor="text1"/>
          <w:sz w:val="24"/>
          <w:szCs w:val="24"/>
        </w:rPr>
      </w:pPr>
    </w:p>
    <w:p w14:paraId="037BCE73" w14:textId="77777777" w:rsidR="00827443" w:rsidRPr="00FE7640" w:rsidRDefault="00827443" w:rsidP="00827443">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3FABB764" w14:textId="77777777" w:rsidR="00827443" w:rsidRPr="009C5487" w:rsidRDefault="00827443" w:rsidP="0082744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bookmarkEnd w:id="0"/>
    <w:bookmarkEnd w:id="1"/>
    <w:bookmarkEnd w:id="2"/>
    <w:bookmarkEnd w:id="3"/>
    <w:bookmarkEnd w:id="4"/>
    <w:p w14:paraId="626C16F6" w14:textId="67F25574" w:rsidR="001B35B8" w:rsidRDefault="006D4A6C" w:rsidP="00110EFB">
      <w:pPr>
        <w:spacing w:line="360" w:lineRule="auto"/>
        <w:jc w:val="both"/>
        <w:rPr>
          <w:rFonts w:ascii="Times New Roman" w:hAnsi="Times New Roman" w:cs="Times New Roman"/>
          <w:b/>
          <w:color w:val="000000" w:themeColor="text1"/>
          <w:sz w:val="24"/>
          <w:szCs w:val="24"/>
        </w:rPr>
      </w:pPr>
      <w:r w:rsidRPr="006D4A6C">
        <w:rPr>
          <w:rFonts w:ascii="Calibri" w:eastAsia="Calibri" w:hAnsi="Calibri" w:cs="Times New Roman"/>
          <w:kern w:val="2"/>
          <w:lang w:val="en-US"/>
        </w:rPr>
        <w:t>Author(s) hereby declare that NO generative AI technologies such as Large Language Models (</w:t>
      </w:r>
      <w:proofErr w:type="spellStart"/>
      <w:r w:rsidRPr="006D4A6C">
        <w:rPr>
          <w:rFonts w:ascii="Calibri" w:eastAsia="Calibri" w:hAnsi="Calibri" w:cs="Times New Roman"/>
          <w:kern w:val="2"/>
          <w:lang w:val="en-US"/>
        </w:rPr>
        <w:t>ChatGPT</w:t>
      </w:r>
      <w:proofErr w:type="spellEnd"/>
      <w:r w:rsidRPr="006D4A6C">
        <w:rPr>
          <w:rFonts w:ascii="Calibri" w:eastAsia="Calibri" w:hAnsi="Calibri" w:cs="Times New Roman"/>
          <w:kern w:val="2"/>
          <w:lang w:val="en-US"/>
        </w:rPr>
        <w:t>, COPILOT, etc.) and text-to-image generators have been used during the writing or editing of this manuscript.</w:t>
      </w:r>
      <w:bookmarkStart w:id="5" w:name="_GoBack"/>
      <w:bookmarkEnd w:id="5"/>
    </w:p>
    <w:p w14:paraId="5E8FA42D" w14:textId="77777777" w:rsidR="001B35B8" w:rsidRDefault="001B35B8" w:rsidP="00110EFB">
      <w:pPr>
        <w:spacing w:line="360" w:lineRule="auto"/>
        <w:jc w:val="both"/>
        <w:rPr>
          <w:rFonts w:ascii="Times New Roman" w:hAnsi="Times New Roman" w:cs="Times New Roman"/>
          <w:b/>
          <w:color w:val="000000" w:themeColor="text1"/>
          <w:sz w:val="24"/>
          <w:szCs w:val="24"/>
        </w:rPr>
      </w:pPr>
    </w:p>
    <w:p w14:paraId="51EF2F47" w14:textId="67B9D0E4" w:rsidR="00110EFB" w:rsidRPr="00110EFB" w:rsidRDefault="002F64E5" w:rsidP="00110EFB">
      <w:pPr>
        <w:spacing w:line="360" w:lineRule="auto"/>
        <w:jc w:val="both"/>
        <w:rPr>
          <w:rFonts w:ascii="Times New Roman" w:hAnsi="Times New Roman" w:cs="Times New Roman"/>
          <w:b/>
          <w:color w:val="000000" w:themeColor="text1"/>
          <w:sz w:val="24"/>
          <w:szCs w:val="24"/>
        </w:rPr>
      </w:pPr>
      <w:r w:rsidRPr="00110EFB">
        <w:rPr>
          <w:rFonts w:ascii="Times New Roman" w:hAnsi="Times New Roman" w:cs="Times New Roman"/>
          <w:b/>
          <w:color w:val="000000" w:themeColor="text1"/>
          <w:sz w:val="24"/>
          <w:szCs w:val="24"/>
        </w:rPr>
        <w:lastRenderedPageBreak/>
        <w:t>References</w:t>
      </w:r>
      <w:r w:rsidR="00604060" w:rsidRPr="00110EFB">
        <w:rPr>
          <w:rFonts w:ascii="Times New Roman" w:hAnsi="Times New Roman" w:cs="Times New Roman"/>
          <w:b/>
          <w:color w:val="000000" w:themeColor="text1"/>
          <w:sz w:val="24"/>
          <w:szCs w:val="24"/>
        </w:rPr>
        <w:t xml:space="preserve"> </w:t>
      </w:r>
    </w:p>
    <w:p w14:paraId="5FF5A77C" w14:textId="705B1E82" w:rsidR="00110EFB" w:rsidRPr="00110EFB" w:rsidRDefault="00110EFB" w:rsidP="001824B0">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Akand, A. M., Hasan, M. R. and Habib, M. A. B. (1991). Utilization of carbohydrate and lipids as dietary energy source by stinging catfish</w:t>
      </w:r>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sz w:val="24"/>
          <w:szCs w:val="24"/>
        </w:rPr>
        <w:t xml:space="preserve"> (Bloch). In S.S. De Silva (Ed), </w:t>
      </w:r>
      <w:r w:rsidRPr="00110EFB">
        <w:rPr>
          <w:rFonts w:ascii="Times New Roman" w:eastAsia="Times New Roman" w:hAnsi="Times New Roman" w:cs="Times New Roman"/>
          <w:i/>
          <w:sz w:val="24"/>
          <w:szCs w:val="24"/>
        </w:rPr>
        <w:t>Fish Nutrition Research in Asia</w:t>
      </w:r>
      <w:r w:rsidR="001824B0">
        <w:rPr>
          <w:rFonts w:ascii="Times New Roman" w:eastAsia="Times New Roman" w:hAnsi="Times New Roman" w:cs="Times New Roman"/>
          <w:sz w:val="24"/>
          <w:szCs w:val="24"/>
        </w:rPr>
        <w:t xml:space="preserve">. </w:t>
      </w:r>
      <w:r w:rsidRPr="00110EFB">
        <w:rPr>
          <w:rFonts w:ascii="Times New Roman" w:eastAsia="Times New Roman" w:hAnsi="Times New Roman" w:cs="Times New Roman"/>
          <w:sz w:val="24"/>
          <w:szCs w:val="24"/>
        </w:rPr>
        <w:t>Asian fisheries Society.</w:t>
      </w:r>
      <w:r w:rsidR="001824B0">
        <w:rPr>
          <w:rFonts w:ascii="Times New Roman" w:eastAsia="Times New Roman" w:hAnsi="Times New Roman" w:cs="Times New Roman"/>
          <w:sz w:val="24"/>
          <w:szCs w:val="24"/>
        </w:rPr>
        <w:t xml:space="preserve"> 93-100</w:t>
      </w:r>
      <w:r w:rsidR="001824B0" w:rsidRPr="00110EFB">
        <w:rPr>
          <w:rFonts w:ascii="Times New Roman" w:eastAsia="Times New Roman" w:hAnsi="Times New Roman" w:cs="Times New Roman"/>
          <w:sz w:val="24"/>
          <w:szCs w:val="24"/>
        </w:rPr>
        <w:t>.</w:t>
      </w:r>
    </w:p>
    <w:p w14:paraId="6E272114" w14:textId="72AE53F0"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Allam, B.W., Khali, H.S., Mansour, A.T., Srour, T.M., Omar, E.A.</w:t>
      </w:r>
      <w:r w:rsidR="001824B0">
        <w:rPr>
          <w:rFonts w:ascii="Times New Roman" w:eastAsia="Times New Roman" w:hAnsi="Times New Roman" w:cs="Times New Roman"/>
          <w:sz w:val="24"/>
          <w:szCs w:val="24"/>
        </w:rPr>
        <w:t xml:space="preserve"> and</w:t>
      </w:r>
      <w:r w:rsidRPr="00110EFB">
        <w:rPr>
          <w:rFonts w:ascii="Times New Roman" w:eastAsia="Times New Roman" w:hAnsi="Times New Roman" w:cs="Times New Roman"/>
          <w:sz w:val="24"/>
          <w:szCs w:val="24"/>
        </w:rPr>
        <w:t xml:space="preserve"> Nour, A.A.M. (2020). Impact of substitution of fish meal by high protein distillers dried grains on growth performance, plasma protein and economic benefit of striped catfish (</w:t>
      </w:r>
      <w:proofErr w:type="spellStart"/>
      <w:r w:rsidRPr="00110EFB">
        <w:rPr>
          <w:rFonts w:ascii="Times New Roman" w:eastAsia="Times New Roman" w:hAnsi="Times New Roman" w:cs="Times New Roman"/>
          <w:i/>
          <w:sz w:val="24"/>
          <w:szCs w:val="24"/>
        </w:rPr>
        <w:t>Pangasianodon</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hypophthalamus</w:t>
      </w:r>
      <w:proofErr w:type="spellEnd"/>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Aquaculture 517</w:t>
      </w:r>
      <w:r w:rsidRPr="00110EFB">
        <w:rPr>
          <w:rFonts w:ascii="Times New Roman" w:eastAsia="Times New Roman" w:hAnsi="Times New Roman" w:cs="Times New Roman"/>
          <w:sz w:val="24"/>
          <w:szCs w:val="24"/>
        </w:rPr>
        <w:t>, 734792.</w:t>
      </w:r>
    </w:p>
    <w:p w14:paraId="6E2CDEB8" w14:textId="24D721FD"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Alp –Erbay, E.</w:t>
      </w:r>
      <w:r w:rsidR="001824B0">
        <w:rPr>
          <w:rFonts w:ascii="Times New Roman" w:eastAsia="Times New Roman" w:hAnsi="Times New Roman" w:cs="Times New Roman"/>
          <w:sz w:val="24"/>
          <w:szCs w:val="24"/>
        </w:rPr>
        <w:t xml:space="preserve"> and </w:t>
      </w:r>
      <w:proofErr w:type="spellStart"/>
      <w:r w:rsidRPr="00110EFB">
        <w:rPr>
          <w:rFonts w:ascii="Times New Roman" w:eastAsia="Times New Roman" w:hAnsi="Times New Roman" w:cs="Times New Roman"/>
          <w:sz w:val="24"/>
          <w:szCs w:val="24"/>
        </w:rPr>
        <w:t>Yeşilsu</w:t>
      </w:r>
      <w:proofErr w:type="spellEnd"/>
      <w:r w:rsidRPr="00110EFB">
        <w:rPr>
          <w:rFonts w:ascii="Times New Roman" w:eastAsia="Times New Roman" w:hAnsi="Times New Roman" w:cs="Times New Roman"/>
          <w:sz w:val="24"/>
          <w:szCs w:val="24"/>
        </w:rPr>
        <w:t xml:space="preserve">, A.F., (2021). Fish Protein and Its Derivatives: Functionality, Biotechnology and Health Effects. </w:t>
      </w:r>
      <w:r w:rsidRPr="00110EFB">
        <w:rPr>
          <w:rFonts w:ascii="Times New Roman" w:eastAsia="Times New Roman" w:hAnsi="Times New Roman" w:cs="Times New Roman"/>
          <w:i/>
          <w:sz w:val="24"/>
          <w:szCs w:val="24"/>
        </w:rPr>
        <w:t>Aquatic Food Studies</w:t>
      </w:r>
      <w:r w:rsidRPr="00110EFB">
        <w:rPr>
          <w:rFonts w:ascii="Times New Roman" w:eastAsia="Times New Roman" w:hAnsi="Times New Roman" w:cs="Times New Roman"/>
          <w:sz w:val="24"/>
          <w:szCs w:val="24"/>
        </w:rPr>
        <w:t>, 1(1). https://doi.org/10.4194/AFS13</w:t>
      </w:r>
    </w:p>
    <w:p w14:paraId="4A692CC2" w14:textId="6C3FADDD" w:rsid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Araf, T., Hossain, M.A., Chowdhury, G., Hossain, M.A., Rahman, M.A.</w:t>
      </w:r>
      <w:r w:rsidR="001824B0">
        <w:rPr>
          <w:rFonts w:ascii="Times New Roman" w:eastAsia="Times New Roman" w:hAnsi="Times New Roman" w:cs="Times New Roman"/>
          <w:sz w:val="24"/>
          <w:szCs w:val="24"/>
        </w:rPr>
        <w:t xml:space="preserve"> and</w:t>
      </w:r>
      <w:r w:rsidRPr="00110EFB">
        <w:rPr>
          <w:rFonts w:ascii="Times New Roman" w:eastAsia="Times New Roman" w:hAnsi="Times New Roman" w:cs="Times New Roman"/>
          <w:sz w:val="24"/>
          <w:szCs w:val="24"/>
        </w:rPr>
        <w:t xml:space="preserve"> Iqbal, M.M. (2021). Artificial propagation and embryonic growth of stinging catfish,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i/>
          <w:sz w:val="24"/>
          <w:szCs w:val="24"/>
        </w:rPr>
        <w:t xml:space="preserve"> </w:t>
      </w:r>
      <w:r w:rsidRPr="00110EFB">
        <w:rPr>
          <w:rFonts w:ascii="Times New Roman" w:eastAsia="Times New Roman" w:hAnsi="Times New Roman" w:cs="Times New Roman"/>
          <w:sz w:val="24"/>
          <w:szCs w:val="24"/>
        </w:rPr>
        <w:t>(Bloch, 1794) using S-</w:t>
      </w:r>
      <w:proofErr w:type="spellStart"/>
      <w:r w:rsidRPr="00110EFB">
        <w:rPr>
          <w:rFonts w:ascii="Times New Roman" w:eastAsia="Times New Roman" w:hAnsi="Times New Roman" w:cs="Times New Roman"/>
          <w:sz w:val="24"/>
          <w:szCs w:val="24"/>
        </w:rPr>
        <w:t>GnRHa</w:t>
      </w:r>
      <w:proofErr w:type="spellEnd"/>
      <w:r w:rsidRPr="00110EFB">
        <w:rPr>
          <w:rFonts w:ascii="Times New Roman" w:eastAsia="Times New Roman" w:hAnsi="Times New Roman" w:cs="Times New Roman"/>
          <w:sz w:val="24"/>
          <w:szCs w:val="24"/>
        </w:rPr>
        <w:t xml:space="preserve"> (Salmon gonadotropin releasing hormone analogue). </w:t>
      </w:r>
      <w:r w:rsidRPr="00110EFB">
        <w:rPr>
          <w:rFonts w:ascii="Times New Roman" w:eastAsia="Times New Roman" w:hAnsi="Times New Roman" w:cs="Times New Roman"/>
          <w:i/>
          <w:sz w:val="24"/>
          <w:szCs w:val="24"/>
        </w:rPr>
        <w:t>Journal of Tropical Life Science. 11(2)</w:t>
      </w:r>
      <w:r w:rsidRPr="00110EFB">
        <w:rPr>
          <w:rFonts w:ascii="Times New Roman" w:eastAsia="Times New Roman" w:hAnsi="Times New Roman" w:cs="Times New Roman"/>
          <w:sz w:val="24"/>
          <w:szCs w:val="24"/>
        </w:rPr>
        <w:t>, 141-149. https//doi.org/10.11594/jtls.11.02.03</w:t>
      </w:r>
    </w:p>
    <w:p w14:paraId="612E83BB" w14:textId="12FB8E92" w:rsidR="001824B0" w:rsidRPr="00110EFB" w:rsidRDefault="001824B0" w:rsidP="001824B0">
      <w:pPr>
        <w:pStyle w:val="ListParagraph"/>
        <w:numPr>
          <w:ilvl w:val="0"/>
          <w:numId w:val="2"/>
        </w:num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Bhimachar</w:t>
      </w:r>
      <w:proofErr w:type="spellEnd"/>
      <w:r>
        <w:rPr>
          <w:rFonts w:ascii="Times New Roman" w:eastAsia="Times New Roman" w:hAnsi="Times New Roman" w:cs="Times New Roman"/>
          <w:sz w:val="24"/>
          <w:szCs w:val="24"/>
        </w:rPr>
        <w:t>, B. S. (1944</w:t>
      </w:r>
      <w:r w:rsidRPr="001824B0">
        <w:rPr>
          <w:rFonts w:ascii="Times New Roman" w:eastAsia="Times New Roman" w:hAnsi="Times New Roman" w:cs="Times New Roman"/>
          <w:sz w:val="24"/>
          <w:szCs w:val="24"/>
        </w:rPr>
        <w:t>). Poison glands in the pectoral spines of two catfishes—</w:t>
      </w:r>
      <w:proofErr w:type="spellStart"/>
      <w:r w:rsidRPr="009E2BDF">
        <w:rPr>
          <w:rFonts w:ascii="Times New Roman" w:eastAsia="Times New Roman" w:hAnsi="Times New Roman" w:cs="Times New Roman"/>
          <w:i/>
          <w:sz w:val="24"/>
          <w:szCs w:val="24"/>
        </w:rPr>
        <w:t>Heteropnuestes</w:t>
      </w:r>
      <w:proofErr w:type="spellEnd"/>
      <w:r w:rsidRPr="009E2BDF">
        <w:rPr>
          <w:rFonts w:ascii="Times New Roman" w:eastAsia="Times New Roman" w:hAnsi="Times New Roman" w:cs="Times New Roman"/>
          <w:i/>
          <w:sz w:val="24"/>
          <w:szCs w:val="24"/>
        </w:rPr>
        <w:t xml:space="preserve"> </w:t>
      </w:r>
      <w:proofErr w:type="spellStart"/>
      <w:r w:rsidRPr="009E2BDF">
        <w:rPr>
          <w:rFonts w:ascii="Times New Roman" w:eastAsia="Times New Roman" w:hAnsi="Times New Roman" w:cs="Times New Roman"/>
          <w:i/>
          <w:sz w:val="24"/>
          <w:szCs w:val="24"/>
        </w:rPr>
        <w:t>fossilis</w:t>
      </w:r>
      <w:proofErr w:type="spellEnd"/>
      <w:r w:rsidRPr="001824B0">
        <w:rPr>
          <w:rFonts w:ascii="Times New Roman" w:eastAsia="Times New Roman" w:hAnsi="Times New Roman" w:cs="Times New Roman"/>
          <w:sz w:val="24"/>
          <w:szCs w:val="24"/>
        </w:rPr>
        <w:t xml:space="preserve"> (Bloch) and </w:t>
      </w:r>
      <w:proofErr w:type="spellStart"/>
      <w:r w:rsidRPr="009E2BDF">
        <w:rPr>
          <w:rFonts w:ascii="Times New Roman" w:eastAsia="Times New Roman" w:hAnsi="Times New Roman" w:cs="Times New Roman"/>
          <w:i/>
          <w:sz w:val="24"/>
          <w:szCs w:val="24"/>
        </w:rPr>
        <w:t>Plotosus</w:t>
      </w:r>
      <w:proofErr w:type="spellEnd"/>
      <w:r w:rsidRPr="009E2BDF">
        <w:rPr>
          <w:rFonts w:ascii="Times New Roman" w:eastAsia="Times New Roman" w:hAnsi="Times New Roman" w:cs="Times New Roman"/>
          <w:i/>
          <w:sz w:val="24"/>
          <w:szCs w:val="24"/>
        </w:rPr>
        <w:t xml:space="preserve"> </w:t>
      </w:r>
      <w:proofErr w:type="spellStart"/>
      <w:r w:rsidRPr="009E2BDF">
        <w:rPr>
          <w:rFonts w:ascii="Times New Roman" w:eastAsia="Times New Roman" w:hAnsi="Times New Roman" w:cs="Times New Roman"/>
          <w:i/>
          <w:sz w:val="24"/>
          <w:szCs w:val="24"/>
        </w:rPr>
        <w:t>arab</w:t>
      </w:r>
      <w:proofErr w:type="spellEnd"/>
      <w:r w:rsidRPr="001824B0">
        <w:rPr>
          <w:rFonts w:ascii="Times New Roman" w:eastAsia="Times New Roman" w:hAnsi="Times New Roman" w:cs="Times New Roman"/>
          <w:sz w:val="24"/>
          <w:szCs w:val="24"/>
        </w:rPr>
        <w:t xml:space="preserve"> (</w:t>
      </w:r>
      <w:proofErr w:type="spellStart"/>
      <w:r w:rsidRPr="001824B0">
        <w:rPr>
          <w:rFonts w:ascii="Times New Roman" w:eastAsia="Times New Roman" w:hAnsi="Times New Roman" w:cs="Times New Roman"/>
          <w:sz w:val="24"/>
          <w:szCs w:val="24"/>
        </w:rPr>
        <w:t>Forsk</w:t>
      </w:r>
      <w:proofErr w:type="spellEnd"/>
      <w:r w:rsidRPr="001824B0">
        <w:rPr>
          <w:rFonts w:ascii="Times New Roman" w:eastAsia="Times New Roman" w:hAnsi="Times New Roman" w:cs="Times New Roman"/>
          <w:sz w:val="24"/>
          <w:szCs w:val="24"/>
        </w:rPr>
        <w:t xml:space="preserve">), with remarks on the nature of their venom. </w:t>
      </w:r>
      <w:r w:rsidRPr="009E2BDF">
        <w:rPr>
          <w:rFonts w:ascii="Times New Roman" w:eastAsia="Times New Roman" w:hAnsi="Times New Roman" w:cs="Times New Roman"/>
          <w:i/>
          <w:sz w:val="24"/>
          <w:szCs w:val="24"/>
        </w:rPr>
        <w:t>In</w:t>
      </w:r>
      <w:r w:rsidR="00B20B32">
        <w:rPr>
          <w:rFonts w:ascii="Times New Roman" w:eastAsia="Times New Roman" w:hAnsi="Times New Roman" w:cs="Times New Roman"/>
          <w:i/>
          <w:sz w:val="24"/>
          <w:szCs w:val="24"/>
        </w:rPr>
        <w:t xml:space="preserve"> Proceedings/Indian Academy of S</w:t>
      </w:r>
      <w:r w:rsidRPr="009E2BDF">
        <w:rPr>
          <w:rFonts w:ascii="Times New Roman" w:eastAsia="Times New Roman" w:hAnsi="Times New Roman" w:cs="Times New Roman"/>
          <w:i/>
          <w:sz w:val="24"/>
          <w:szCs w:val="24"/>
        </w:rPr>
        <w:t>ciences</w:t>
      </w:r>
      <w:r>
        <w:rPr>
          <w:rFonts w:ascii="Times New Roman" w:eastAsia="Times New Roman" w:hAnsi="Times New Roman" w:cs="Times New Roman"/>
          <w:sz w:val="24"/>
          <w:szCs w:val="24"/>
        </w:rPr>
        <w:t>. 19 (</w:t>
      </w:r>
      <w:r w:rsidRPr="001824B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1824B0">
        <w:rPr>
          <w:rFonts w:ascii="Times New Roman" w:eastAsia="Times New Roman" w:hAnsi="Times New Roman" w:cs="Times New Roman"/>
          <w:sz w:val="24"/>
          <w:szCs w:val="24"/>
        </w:rPr>
        <w:t>65-70</w:t>
      </w:r>
      <w:r>
        <w:rPr>
          <w:rFonts w:ascii="Times New Roman" w:eastAsia="Times New Roman" w:hAnsi="Times New Roman" w:cs="Times New Roman"/>
          <w:sz w:val="24"/>
          <w:szCs w:val="24"/>
        </w:rPr>
        <w:t>.</w:t>
      </w:r>
    </w:p>
    <w:p w14:paraId="3FE6E851" w14:textId="61FDF803" w:rsidR="00110EFB" w:rsidRPr="00110EFB" w:rsidRDefault="00110EFB" w:rsidP="001824B0">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Burgess, W.E. (1989). An atlas of freshwater and marine catfish-A preliminary survey of the </w:t>
      </w:r>
      <w:proofErr w:type="spellStart"/>
      <w:r w:rsidRPr="00110EFB">
        <w:rPr>
          <w:rFonts w:ascii="Times New Roman" w:eastAsia="Times New Roman" w:hAnsi="Times New Roman" w:cs="Times New Roman"/>
          <w:sz w:val="24"/>
          <w:szCs w:val="24"/>
        </w:rPr>
        <w:t>Siluriformes</w:t>
      </w:r>
      <w:proofErr w:type="spellEnd"/>
      <w:r w:rsidRPr="00110EFB">
        <w:rPr>
          <w:rFonts w:ascii="Times New Roman" w:eastAsia="Times New Roman" w:hAnsi="Times New Roman" w:cs="Times New Roman"/>
          <w:sz w:val="24"/>
          <w:szCs w:val="24"/>
        </w:rPr>
        <w:t>. Neptune City, NJ: T.F.H Publications.</w:t>
      </w:r>
      <w:r w:rsidR="001824B0">
        <w:rPr>
          <w:rFonts w:ascii="Times New Roman" w:eastAsia="Times New Roman" w:hAnsi="Times New Roman" w:cs="Times New Roman"/>
          <w:sz w:val="24"/>
          <w:szCs w:val="24"/>
        </w:rPr>
        <w:t xml:space="preserve"> </w:t>
      </w:r>
      <w:r w:rsidR="001824B0" w:rsidRPr="00110EFB">
        <w:rPr>
          <w:rFonts w:ascii="Times New Roman" w:eastAsia="Times New Roman" w:hAnsi="Times New Roman" w:cs="Times New Roman"/>
          <w:sz w:val="24"/>
          <w:szCs w:val="24"/>
        </w:rPr>
        <w:t>784</w:t>
      </w:r>
      <w:r w:rsidR="001824B0">
        <w:rPr>
          <w:rFonts w:ascii="Times New Roman" w:eastAsia="Times New Roman" w:hAnsi="Times New Roman" w:cs="Times New Roman"/>
          <w:sz w:val="24"/>
          <w:szCs w:val="24"/>
        </w:rPr>
        <w:t>.</w:t>
      </w:r>
    </w:p>
    <w:p w14:paraId="186B3D1A" w14:textId="6128CBFE"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Chakraborty, B. K.</w:t>
      </w:r>
      <w:r w:rsidR="00B20B32">
        <w:rPr>
          <w:rFonts w:ascii="Times New Roman" w:eastAsia="Times New Roman" w:hAnsi="Times New Roman" w:cs="Times New Roman"/>
          <w:sz w:val="24"/>
          <w:szCs w:val="24"/>
        </w:rPr>
        <w:t xml:space="preserve"> and </w:t>
      </w:r>
      <w:r w:rsidRPr="00110EFB">
        <w:rPr>
          <w:rFonts w:ascii="Times New Roman" w:eastAsia="Times New Roman" w:hAnsi="Times New Roman" w:cs="Times New Roman"/>
          <w:sz w:val="24"/>
          <w:szCs w:val="24"/>
        </w:rPr>
        <w:t xml:space="preserve">Nur, N. N. (2012). Growth and </w:t>
      </w:r>
      <w:r w:rsidR="00B20B32">
        <w:rPr>
          <w:rFonts w:ascii="Times New Roman" w:eastAsia="Times New Roman" w:hAnsi="Times New Roman" w:cs="Times New Roman"/>
          <w:sz w:val="24"/>
          <w:szCs w:val="24"/>
        </w:rPr>
        <w:t>y</w:t>
      </w:r>
      <w:r w:rsidRPr="00110EFB">
        <w:rPr>
          <w:rFonts w:ascii="Times New Roman" w:eastAsia="Times New Roman" w:hAnsi="Times New Roman" w:cs="Times New Roman"/>
          <w:sz w:val="24"/>
          <w:szCs w:val="24"/>
        </w:rPr>
        <w:t xml:space="preserve">ield performance of </w:t>
      </w:r>
      <w:proofErr w:type="spellStart"/>
      <w:r w:rsidRPr="00110EFB">
        <w:rPr>
          <w:rFonts w:ascii="Times New Roman" w:eastAsia="Times New Roman" w:hAnsi="Times New Roman" w:cs="Times New Roman"/>
          <w:sz w:val="24"/>
          <w:szCs w:val="24"/>
        </w:rPr>
        <w:t>shingi</w:t>
      </w:r>
      <w:proofErr w:type="spellEnd"/>
      <w:r w:rsidRPr="00110EFB">
        <w:rPr>
          <w:rFonts w:ascii="Times New Roman" w:eastAsia="Times New Roman" w:hAnsi="Times New Roman" w:cs="Times New Roman"/>
          <w:sz w:val="24"/>
          <w:szCs w:val="24"/>
        </w:rPr>
        <w:t xml:space="preserve">,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sz w:val="24"/>
          <w:szCs w:val="24"/>
        </w:rPr>
        <w:t xml:space="preserve"> and koi, </w:t>
      </w:r>
      <w:r w:rsidRPr="00110EFB">
        <w:rPr>
          <w:rFonts w:ascii="Times New Roman" w:eastAsia="Times New Roman" w:hAnsi="Times New Roman" w:cs="Times New Roman"/>
          <w:i/>
          <w:sz w:val="24"/>
          <w:szCs w:val="24"/>
        </w:rPr>
        <w:t xml:space="preserve">Anabas </w:t>
      </w:r>
      <w:proofErr w:type="spellStart"/>
      <w:r w:rsidRPr="00110EFB">
        <w:rPr>
          <w:rFonts w:ascii="Times New Roman" w:eastAsia="Times New Roman" w:hAnsi="Times New Roman" w:cs="Times New Roman"/>
          <w:i/>
          <w:sz w:val="24"/>
          <w:szCs w:val="24"/>
        </w:rPr>
        <w:t>testudineus</w:t>
      </w:r>
      <w:proofErr w:type="spellEnd"/>
      <w:r w:rsidRPr="00110EFB">
        <w:rPr>
          <w:rFonts w:ascii="Times New Roman" w:eastAsia="Times New Roman" w:hAnsi="Times New Roman" w:cs="Times New Roman"/>
          <w:sz w:val="24"/>
          <w:szCs w:val="24"/>
        </w:rPr>
        <w:t xml:space="preserve"> in Bangladesh under semi-intensive culture system. </w:t>
      </w:r>
      <w:r w:rsidRPr="00110EFB">
        <w:rPr>
          <w:rFonts w:ascii="Times New Roman" w:eastAsia="Times New Roman" w:hAnsi="Times New Roman" w:cs="Times New Roman"/>
          <w:i/>
          <w:sz w:val="24"/>
          <w:szCs w:val="24"/>
        </w:rPr>
        <w:t>International Journal of agricultural Research, Innovation and Technology, 2 (2)</w:t>
      </w:r>
      <w:r w:rsidRPr="00110EFB">
        <w:rPr>
          <w:rFonts w:ascii="Times New Roman" w:eastAsia="Times New Roman" w:hAnsi="Times New Roman" w:cs="Times New Roman"/>
          <w:sz w:val="24"/>
          <w:szCs w:val="24"/>
        </w:rPr>
        <w:t>, 15-24</w:t>
      </w:r>
    </w:p>
    <w:p w14:paraId="6513C178" w14:textId="68B11A48" w:rsid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Culbert, B.M., Dijkstra, P.D., Gilmour, K.M. and </w:t>
      </w:r>
      <w:proofErr w:type="spellStart"/>
      <w:r w:rsidRPr="00110EFB">
        <w:rPr>
          <w:rFonts w:ascii="Times New Roman" w:eastAsia="Times New Roman" w:hAnsi="Times New Roman" w:cs="Times New Roman"/>
          <w:sz w:val="24"/>
          <w:szCs w:val="24"/>
        </w:rPr>
        <w:t>Balshine</w:t>
      </w:r>
      <w:proofErr w:type="spellEnd"/>
      <w:r w:rsidRPr="00110EFB">
        <w:rPr>
          <w:rFonts w:ascii="Times New Roman" w:eastAsia="Times New Roman" w:hAnsi="Times New Roman" w:cs="Times New Roman"/>
          <w:sz w:val="24"/>
          <w:szCs w:val="24"/>
        </w:rPr>
        <w:t xml:space="preserve">, S. (2022). Antioxidant capacity differs across social ranks and with ascension in males of a group- living fish. </w:t>
      </w:r>
      <w:r w:rsidRPr="00110EFB">
        <w:rPr>
          <w:rFonts w:ascii="Times New Roman" w:eastAsia="Times New Roman" w:hAnsi="Times New Roman" w:cs="Times New Roman"/>
          <w:i/>
          <w:sz w:val="24"/>
          <w:szCs w:val="24"/>
        </w:rPr>
        <w:t>Comparative Biochemistry and Physiology Part A: Molecular &amp; Integrative Physiology, 265,</w:t>
      </w:r>
      <w:r w:rsidRPr="00110EFB">
        <w:rPr>
          <w:rFonts w:ascii="Times New Roman" w:eastAsia="Times New Roman" w:hAnsi="Times New Roman" w:cs="Times New Roman"/>
          <w:sz w:val="24"/>
          <w:szCs w:val="24"/>
        </w:rPr>
        <w:t xml:space="preserve"> 111126.</w:t>
      </w:r>
    </w:p>
    <w:p w14:paraId="6D4A3769" w14:textId="38655B89" w:rsidR="00B20B32" w:rsidRPr="00110EFB" w:rsidRDefault="00B20B32" w:rsidP="00B20B32">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B20B32">
        <w:rPr>
          <w:rFonts w:ascii="Times New Roman" w:eastAsia="Times New Roman" w:hAnsi="Times New Roman" w:cs="Times New Roman"/>
          <w:sz w:val="24"/>
          <w:szCs w:val="24"/>
        </w:rPr>
        <w:t>Diment</w:t>
      </w:r>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Musl</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Balakshin</w:t>
      </w:r>
      <w:proofErr w:type="spellEnd"/>
      <w:r>
        <w:rPr>
          <w:rFonts w:ascii="Times New Roman" w:eastAsia="Times New Roman" w:hAnsi="Times New Roman" w:cs="Times New Roman"/>
          <w:sz w:val="24"/>
          <w:szCs w:val="24"/>
        </w:rPr>
        <w:t>, M. and</w:t>
      </w:r>
      <w:r w:rsidRPr="00B20B32">
        <w:rPr>
          <w:rFonts w:ascii="Times New Roman" w:eastAsia="Times New Roman" w:hAnsi="Times New Roman" w:cs="Times New Roman"/>
          <w:sz w:val="24"/>
          <w:szCs w:val="24"/>
        </w:rPr>
        <w:t xml:space="preserve"> Rigo, D. (2025). Guidelines for Evaluating the Antioxidant Activity of Lignin via the 2, 2‐diphenyl‐1‐picrylhydrazyl (DPPH) Assay. </w:t>
      </w:r>
      <w:r w:rsidRPr="009E2BDF">
        <w:rPr>
          <w:rFonts w:ascii="Times New Roman" w:eastAsia="Times New Roman" w:hAnsi="Times New Roman" w:cs="Times New Roman"/>
          <w:i/>
          <w:sz w:val="24"/>
          <w:szCs w:val="24"/>
        </w:rPr>
        <w:t>Chem</w:t>
      </w:r>
      <w:r>
        <w:rPr>
          <w:rFonts w:ascii="Times New Roman" w:eastAsia="Times New Roman" w:hAnsi="Times New Roman" w:cs="Times New Roman"/>
          <w:i/>
          <w:sz w:val="24"/>
          <w:szCs w:val="24"/>
        </w:rPr>
        <w:t xml:space="preserve"> </w:t>
      </w:r>
      <w:r w:rsidRPr="009E2BDF">
        <w:rPr>
          <w:rFonts w:ascii="Times New Roman" w:eastAsia="Times New Roman" w:hAnsi="Times New Roman" w:cs="Times New Roman"/>
          <w:i/>
          <w:sz w:val="24"/>
          <w:szCs w:val="24"/>
        </w:rPr>
        <w:t>Sus</w:t>
      </w:r>
      <w:r>
        <w:rPr>
          <w:rFonts w:ascii="Times New Roman" w:eastAsia="Times New Roman" w:hAnsi="Times New Roman" w:cs="Times New Roman"/>
          <w:i/>
          <w:sz w:val="24"/>
          <w:szCs w:val="24"/>
        </w:rPr>
        <w:t xml:space="preserve"> </w:t>
      </w:r>
      <w:r w:rsidRPr="009E2BDF">
        <w:rPr>
          <w:rFonts w:ascii="Times New Roman" w:eastAsia="Times New Roman" w:hAnsi="Times New Roman" w:cs="Times New Roman"/>
          <w:i/>
          <w:sz w:val="24"/>
          <w:szCs w:val="24"/>
        </w:rPr>
        <w:t>Chem</w:t>
      </w:r>
      <w:r w:rsidRPr="00B20B32">
        <w:rPr>
          <w:rFonts w:ascii="Times New Roman" w:eastAsia="Times New Roman" w:hAnsi="Times New Roman" w:cs="Times New Roman"/>
          <w:sz w:val="24"/>
          <w:szCs w:val="24"/>
        </w:rPr>
        <w:t>, 18(10), e202402383.</w:t>
      </w:r>
    </w:p>
    <w:p w14:paraId="41F20D2F" w14:textId="7526BE3D"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lastRenderedPageBreak/>
        <w:t>Erhirhie, E.</w:t>
      </w:r>
      <w:r w:rsidR="00B20B32">
        <w:rPr>
          <w:rFonts w:ascii="Times New Roman" w:eastAsia="Times New Roman" w:hAnsi="Times New Roman" w:cs="Times New Roman"/>
          <w:sz w:val="24"/>
          <w:szCs w:val="24"/>
        </w:rPr>
        <w:t xml:space="preserve"> and</w:t>
      </w:r>
      <w:r w:rsidRPr="00110EFB">
        <w:rPr>
          <w:rFonts w:ascii="Times New Roman" w:eastAsia="Times New Roman" w:hAnsi="Times New Roman" w:cs="Times New Roman"/>
          <w:sz w:val="24"/>
          <w:szCs w:val="24"/>
        </w:rPr>
        <w:t xml:space="preserve"> Paul, C. (2019). Edible Insects bio-actives as anti-oxidants: Current status and perspectives. </w:t>
      </w:r>
      <w:r w:rsidRPr="00110EFB">
        <w:rPr>
          <w:rFonts w:ascii="Times New Roman" w:eastAsia="Times New Roman" w:hAnsi="Times New Roman" w:cs="Times New Roman"/>
          <w:i/>
          <w:sz w:val="24"/>
          <w:szCs w:val="24"/>
        </w:rPr>
        <w:t>Journal of Complementary Medicine Research</w:t>
      </w:r>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10</w:t>
      </w:r>
      <w:r w:rsidRPr="00110EFB">
        <w:rPr>
          <w:rFonts w:ascii="Times New Roman" w:eastAsia="Times New Roman" w:hAnsi="Times New Roman" w:cs="Times New Roman"/>
          <w:sz w:val="24"/>
          <w:szCs w:val="24"/>
        </w:rPr>
        <w:t xml:space="preserve">(2), 89-102 </w:t>
      </w:r>
      <w:hyperlink r:id="rId12" w:history="1">
        <w:r w:rsidRPr="00110EFB">
          <w:rPr>
            <w:rStyle w:val="Hyperlink"/>
            <w:rFonts w:ascii="Times New Roman" w:eastAsia="Times New Roman" w:hAnsi="Times New Roman" w:cs="Times New Roman"/>
            <w:sz w:val="24"/>
            <w:szCs w:val="24"/>
          </w:rPr>
          <w:t>https://doi.org/10.5455/jcmr.20190130100319</w:t>
        </w:r>
      </w:hyperlink>
      <w:r w:rsidRPr="00110EFB">
        <w:rPr>
          <w:rFonts w:ascii="Times New Roman" w:eastAsia="Times New Roman" w:hAnsi="Times New Roman" w:cs="Times New Roman"/>
          <w:sz w:val="24"/>
          <w:szCs w:val="24"/>
        </w:rPr>
        <w:t xml:space="preserve"> </w:t>
      </w:r>
    </w:p>
    <w:p w14:paraId="7DF08FD3" w14:textId="6A5D2ABC" w:rsidR="00110EFB" w:rsidRPr="00110EFB" w:rsidRDefault="00110EFB" w:rsidP="00110EFB">
      <w:pPr>
        <w:pStyle w:val="ListParagraph"/>
        <w:numPr>
          <w:ilvl w:val="0"/>
          <w:numId w:val="2"/>
        </w:numPr>
        <w:spacing w:after="240" w:line="360" w:lineRule="auto"/>
        <w:jc w:val="both"/>
        <w:rPr>
          <w:rFonts w:ascii="Times New Roman" w:eastAsia="Times New Roman" w:hAnsi="Times New Roman" w:cs="Times New Roman"/>
          <w:sz w:val="24"/>
          <w:szCs w:val="24"/>
        </w:rPr>
      </w:pPr>
      <w:proofErr w:type="spellStart"/>
      <w:r w:rsidRPr="00110EFB">
        <w:rPr>
          <w:rFonts w:ascii="Times New Roman" w:eastAsia="Times New Roman" w:hAnsi="Times New Roman" w:cs="Times New Roman"/>
          <w:sz w:val="24"/>
          <w:szCs w:val="24"/>
        </w:rPr>
        <w:t>Garcí</w:t>
      </w:r>
      <w:proofErr w:type="spellEnd"/>
      <w:r w:rsidRPr="00110EFB">
        <w:rPr>
          <w:rFonts w:ascii="Times New Roman" w:eastAsia="Times New Roman" w:hAnsi="Times New Roman" w:cs="Times New Roman"/>
          <w:sz w:val="24"/>
          <w:szCs w:val="24"/>
        </w:rPr>
        <w:t xml:space="preserve">-Moreno, P.J., </w:t>
      </w:r>
      <w:proofErr w:type="spellStart"/>
      <w:r w:rsidRPr="00110EFB">
        <w:rPr>
          <w:rFonts w:ascii="Times New Roman" w:eastAsia="Times New Roman" w:hAnsi="Times New Roman" w:cs="Times New Roman"/>
          <w:sz w:val="24"/>
          <w:szCs w:val="24"/>
        </w:rPr>
        <w:t>Bastista</w:t>
      </w:r>
      <w:proofErr w:type="spellEnd"/>
      <w:r w:rsidRPr="00110EFB">
        <w:rPr>
          <w:rFonts w:ascii="Times New Roman" w:eastAsia="Times New Roman" w:hAnsi="Times New Roman" w:cs="Times New Roman"/>
          <w:sz w:val="24"/>
          <w:szCs w:val="24"/>
        </w:rPr>
        <w:t>, I., Pires, C., Bandara, N.M., Espejo-</w:t>
      </w:r>
      <w:proofErr w:type="spellStart"/>
      <w:r w:rsidRPr="00110EFB">
        <w:rPr>
          <w:rFonts w:ascii="Times New Roman" w:eastAsia="Times New Roman" w:hAnsi="Times New Roman" w:cs="Times New Roman"/>
          <w:sz w:val="24"/>
          <w:szCs w:val="24"/>
        </w:rPr>
        <w:t>carpio</w:t>
      </w:r>
      <w:proofErr w:type="spellEnd"/>
      <w:r w:rsidRPr="00110EFB">
        <w:rPr>
          <w:rFonts w:ascii="Times New Roman" w:eastAsia="Times New Roman" w:hAnsi="Times New Roman" w:cs="Times New Roman"/>
          <w:sz w:val="24"/>
          <w:szCs w:val="24"/>
        </w:rPr>
        <w:t xml:space="preserve">, F.J., and </w:t>
      </w:r>
      <w:proofErr w:type="spellStart"/>
      <w:r w:rsidRPr="00110EFB">
        <w:rPr>
          <w:rFonts w:ascii="Times New Roman" w:eastAsia="Times New Roman" w:hAnsi="Times New Roman" w:cs="Times New Roman"/>
          <w:sz w:val="24"/>
          <w:szCs w:val="24"/>
        </w:rPr>
        <w:t>Guadix</w:t>
      </w:r>
      <w:proofErr w:type="spellEnd"/>
      <w:r w:rsidRPr="00110EFB">
        <w:rPr>
          <w:rFonts w:ascii="Times New Roman" w:eastAsia="Times New Roman" w:hAnsi="Times New Roman" w:cs="Times New Roman"/>
          <w:sz w:val="24"/>
          <w:szCs w:val="24"/>
        </w:rPr>
        <w:t xml:space="preserve">, E.M. (2014). Antioxidant activity of protein hydrolysates obtained from discarded Mediterranean fish species. </w:t>
      </w:r>
      <w:r w:rsidRPr="00110EFB">
        <w:rPr>
          <w:rFonts w:ascii="Times New Roman" w:eastAsia="Times New Roman" w:hAnsi="Times New Roman" w:cs="Times New Roman"/>
          <w:i/>
          <w:sz w:val="24"/>
          <w:szCs w:val="24"/>
        </w:rPr>
        <w:t>Food Research International. 65</w:t>
      </w:r>
      <w:r w:rsidRPr="00110EFB">
        <w:rPr>
          <w:rFonts w:ascii="Times New Roman" w:eastAsia="Times New Roman" w:hAnsi="Times New Roman" w:cs="Times New Roman"/>
          <w:sz w:val="24"/>
          <w:szCs w:val="24"/>
        </w:rPr>
        <w:t xml:space="preserve">. 469-476. </w:t>
      </w:r>
    </w:p>
    <w:p w14:paraId="10CA83FF" w14:textId="35048A59" w:rsid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Gupta, T.</w:t>
      </w:r>
      <w:r w:rsidR="00B20B32">
        <w:rPr>
          <w:rFonts w:ascii="Times New Roman" w:eastAsia="Times New Roman" w:hAnsi="Times New Roman" w:cs="Times New Roman"/>
          <w:sz w:val="24"/>
          <w:szCs w:val="24"/>
        </w:rPr>
        <w:t xml:space="preserve"> and</w:t>
      </w:r>
      <w:r w:rsidRPr="00110EFB">
        <w:rPr>
          <w:rFonts w:ascii="Times New Roman" w:eastAsia="Times New Roman" w:hAnsi="Times New Roman" w:cs="Times New Roman"/>
          <w:sz w:val="24"/>
          <w:szCs w:val="24"/>
        </w:rPr>
        <w:t xml:space="preserve"> Dey, M., (2017).  Ichthyotherapy among </w:t>
      </w:r>
      <w:proofErr w:type="spellStart"/>
      <w:r w:rsidRPr="00110EFB">
        <w:rPr>
          <w:rFonts w:ascii="Times New Roman" w:eastAsia="Times New Roman" w:hAnsi="Times New Roman" w:cs="Times New Roman"/>
          <w:sz w:val="24"/>
          <w:szCs w:val="24"/>
        </w:rPr>
        <w:t>karbi</w:t>
      </w:r>
      <w:proofErr w:type="spellEnd"/>
      <w:r w:rsidRPr="00110EFB">
        <w:rPr>
          <w:rFonts w:ascii="Times New Roman" w:eastAsia="Times New Roman" w:hAnsi="Times New Roman" w:cs="Times New Roman"/>
          <w:sz w:val="24"/>
          <w:szCs w:val="24"/>
        </w:rPr>
        <w:t xml:space="preserve"> people. </w:t>
      </w:r>
      <w:r w:rsidRPr="00110EFB">
        <w:rPr>
          <w:rFonts w:ascii="Times New Roman" w:eastAsia="Times New Roman" w:hAnsi="Times New Roman" w:cs="Times New Roman"/>
          <w:i/>
          <w:sz w:val="24"/>
          <w:szCs w:val="24"/>
        </w:rPr>
        <w:t xml:space="preserve">European Journal of </w:t>
      </w:r>
      <w:r w:rsidR="00B20B32">
        <w:rPr>
          <w:rFonts w:ascii="Times New Roman" w:eastAsia="Times New Roman" w:hAnsi="Times New Roman" w:cs="Times New Roman"/>
          <w:i/>
          <w:sz w:val="24"/>
          <w:szCs w:val="24"/>
        </w:rPr>
        <w:t>P</w:t>
      </w:r>
      <w:r w:rsidRPr="00110EFB">
        <w:rPr>
          <w:rFonts w:ascii="Times New Roman" w:eastAsia="Times New Roman" w:hAnsi="Times New Roman" w:cs="Times New Roman"/>
          <w:i/>
          <w:sz w:val="24"/>
          <w:szCs w:val="24"/>
        </w:rPr>
        <w:t>harmaceutical Research, 4</w:t>
      </w:r>
      <w:r w:rsidRPr="00110EFB">
        <w:rPr>
          <w:rFonts w:ascii="Times New Roman" w:eastAsia="Times New Roman" w:hAnsi="Times New Roman" w:cs="Times New Roman"/>
          <w:sz w:val="24"/>
          <w:szCs w:val="24"/>
        </w:rPr>
        <w:t>, 341-343.</w:t>
      </w:r>
    </w:p>
    <w:p w14:paraId="2403D119" w14:textId="44184133" w:rsidR="00F35704" w:rsidRPr="00110EFB" w:rsidRDefault="00F35704" w:rsidP="00F35704">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F35704">
        <w:rPr>
          <w:rFonts w:ascii="Times New Roman" w:eastAsia="Times New Roman" w:hAnsi="Times New Roman" w:cs="Times New Roman"/>
          <w:sz w:val="24"/>
          <w:szCs w:val="24"/>
        </w:rPr>
        <w:t>Linda, S. S., Islam, M. J., Mou, S. A.</w:t>
      </w:r>
      <w:r>
        <w:rPr>
          <w:rFonts w:ascii="Times New Roman" w:eastAsia="Times New Roman" w:hAnsi="Times New Roman" w:cs="Times New Roman"/>
          <w:sz w:val="24"/>
          <w:szCs w:val="24"/>
        </w:rPr>
        <w:t xml:space="preserve">, Islam, M. H., Shahjahan, M. and </w:t>
      </w:r>
      <w:r w:rsidRPr="00F35704">
        <w:rPr>
          <w:rFonts w:ascii="Times New Roman" w:eastAsia="Times New Roman" w:hAnsi="Times New Roman" w:cs="Times New Roman"/>
          <w:sz w:val="24"/>
          <w:szCs w:val="24"/>
        </w:rPr>
        <w:t xml:space="preserve">Islam, M. S. (2025). </w:t>
      </w:r>
      <w:proofErr w:type="spellStart"/>
      <w:r w:rsidRPr="00F35704">
        <w:rPr>
          <w:rFonts w:ascii="Times New Roman" w:eastAsia="Times New Roman" w:hAnsi="Times New Roman" w:cs="Times New Roman"/>
          <w:sz w:val="24"/>
          <w:szCs w:val="24"/>
        </w:rPr>
        <w:t>Synbiotic</w:t>
      </w:r>
      <w:proofErr w:type="spellEnd"/>
      <w:r w:rsidRPr="00F35704">
        <w:rPr>
          <w:rFonts w:ascii="Times New Roman" w:eastAsia="Times New Roman" w:hAnsi="Times New Roman" w:cs="Times New Roman"/>
          <w:sz w:val="24"/>
          <w:szCs w:val="24"/>
        </w:rPr>
        <w:t xml:space="preserve"> Supplementation Boosts Growth, Gut Health, and Immunity in Asian Fossil Catfish (</w:t>
      </w:r>
      <w:proofErr w:type="spellStart"/>
      <w:r w:rsidRPr="009E2BDF">
        <w:rPr>
          <w:rFonts w:ascii="Times New Roman" w:eastAsia="Times New Roman" w:hAnsi="Times New Roman" w:cs="Times New Roman"/>
          <w:i/>
          <w:sz w:val="24"/>
          <w:szCs w:val="24"/>
        </w:rPr>
        <w:t>Heteropneustes</w:t>
      </w:r>
      <w:proofErr w:type="spellEnd"/>
      <w:r w:rsidRPr="009E2BDF">
        <w:rPr>
          <w:rFonts w:ascii="Times New Roman" w:eastAsia="Times New Roman" w:hAnsi="Times New Roman" w:cs="Times New Roman"/>
          <w:i/>
          <w:sz w:val="24"/>
          <w:szCs w:val="24"/>
        </w:rPr>
        <w:t xml:space="preserve"> </w:t>
      </w:r>
      <w:proofErr w:type="spellStart"/>
      <w:r w:rsidRPr="009E2BDF">
        <w:rPr>
          <w:rFonts w:ascii="Times New Roman" w:eastAsia="Times New Roman" w:hAnsi="Times New Roman" w:cs="Times New Roman"/>
          <w:i/>
          <w:sz w:val="24"/>
          <w:szCs w:val="24"/>
        </w:rPr>
        <w:t>fossilis</w:t>
      </w:r>
      <w:proofErr w:type="spellEnd"/>
      <w:r w:rsidRPr="00F35704">
        <w:rPr>
          <w:rFonts w:ascii="Times New Roman" w:eastAsia="Times New Roman" w:hAnsi="Times New Roman" w:cs="Times New Roman"/>
          <w:sz w:val="24"/>
          <w:szCs w:val="24"/>
        </w:rPr>
        <w:t xml:space="preserve">). </w:t>
      </w:r>
      <w:r w:rsidRPr="009E2BDF">
        <w:rPr>
          <w:rFonts w:ascii="Times New Roman" w:eastAsia="Times New Roman" w:hAnsi="Times New Roman" w:cs="Times New Roman"/>
          <w:i/>
          <w:sz w:val="24"/>
          <w:szCs w:val="24"/>
        </w:rPr>
        <w:t>Aquaculture Research</w:t>
      </w:r>
      <w:r w:rsidRPr="00F35704">
        <w:rPr>
          <w:rFonts w:ascii="Times New Roman" w:eastAsia="Times New Roman" w:hAnsi="Times New Roman" w:cs="Times New Roman"/>
          <w:sz w:val="24"/>
          <w:szCs w:val="24"/>
        </w:rPr>
        <w:t>, 2025(1), 4542077.</w:t>
      </w:r>
    </w:p>
    <w:p w14:paraId="4436884E" w14:textId="0A3C486F"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4"/>
          <w:szCs w:val="24"/>
        </w:rPr>
      </w:pPr>
      <w:proofErr w:type="spellStart"/>
      <w:r w:rsidRPr="00110EFB">
        <w:rPr>
          <w:rFonts w:ascii="Times New Roman" w:hAnsi="Times New Roman" w:cs="Times New Roman"/>
          <w:color w:val="000000" w:themeColor="text1"/>
          <w:sz w:val="24"/>
          <w:szCs w:val="24"/>
          <w:shd w:val="clear" w:color="auto" w:fill="FFFFFF"/>
        </w:rPr>
        <w:t>Najafian</w:t>
      </w:r>
      <w:proofErr w:type="spellEnd"/>
      <w:r w:rsidRPr="00110EFB">
        <w:rPr>
          <w:rFonts w:ascii="Times New Roman" w:hAnsi="Times New Roman" w:cs="Times New Roman"/>
          <w:color w:val="000000" w:themeColor="text1"/>
          <w:sz w:val="24"/>
          <w:szCs w:val="24"/>
          <w:shd w:val="clear" w:color="auto" w:fill="FFFFFF"/>
        </w:rPr>
        <w:t>, L.</w:t>
      </w:r>
      <w:r w:rsidR="00B20B32">
        <w:rPr>
          <w:rFonts w:ascii="Times New Roman" w:hAnsi="Times New Roman" w:cs="Times New Roman"/>
          <w:color w:val="000000" w:themeColor="text1"/>
          <w:sz w:val="24"/>
          <w:szCs w:val="24"/>
          <w:shd w:val="clear" w:color="auto" w:fill="FFFFFF"/>
        </w:rPr>
        <w:t xml:space="preserve"> and</w:t>
      </w:r>
      <w:r w:rsidRPr="00110EFB">
        <w:rPr>
          <w:rFonts w:ascii="Times New Roman" w:hAnsi="Times New Roman" w:cs="Times New Roman"/>
          <w:color w:val="000000" w:themeColor="text1"/>
          <w:sz w:val="24"/>
          <w:szCs w:val="24"/>
          <w:shd w:val="clear" w:color="auto" w:fill="FFFFFF"/>
        </w:rPr>
        <w:t xml:space="preserve"> </w:t>
      </w:r>
      <w:proofErr w:type="spellStart"/>
      <w:r w:rsidRPr="00110EFB">
        <w:rPr>
          <w:rFonts w:ascii="Times New Roman" w:hAnsi="Times New Roman" w:cs="Times New Roman"/>
          <w:color w:val="000000" w:themeColor="text1"/>
          <w:sz w:val="24"/>
          <w:szCs w:val="24"/>
          <w:shd w:val="clear" w:color="auto" w:fill="FFFFFF"/>
        </w:rPr>
        <w:t>Babji</w:t>
      </w:r>
      <w:proofErr w:type="spellEnd"/>
      <w:r w:rsidRPr="00110EFB">
        <w:rPr>
          <w:rFonts w:ascii="Times New Roman" w:hAnsi="Times New Roman" w:cs="Times New Roman"/>
          <w:color w:val="000000" w:themeColor="text1"/>
          <w:sz w:val="24"/>
          <w:szCs w:val="24"/>
          <w:shd w:val="clear" w:color="auto" w:fill="FFFFFF"/>
        </w:rPr>
        <w:t>, A. S. (2012). A review of fish-derived antioxidant and antimicrobial peptides: Their production, assessment, and applications. </w:t>
      </w:r>
      <w:r w:rsidRPr="00110EFB">
        <w:rPr>
          <w:rFonts w:ascii="Times New Roman" w:hAnsi="Times New Roman" w:cs="Times New Roman"/>
          <w:i/>
          <w:iCs/>
          <w:color w:val="000000" w:themeColor="text1"/>
          <w:sz w:val="24"/>
          <w:szCs w:val="24"/>
          <w:shd w:val="clear" w:color="auto" w:fill="FFFFFF"/>
        </w:rPr>
        <w:t>Peptides</w:t>
      </w:r>
      <w:r w:rsidRPr="00110EFB">
        <w:rPr>
          <w:rFonts w:ascii="Times New Roman" w:hAnsi="Times New Roman" w:cs="Times New Roman"/>
          <w:color w:val="000000" w:themeColor="text1"/>
          <w:sz w:val="24"/>
          <w:szCs w:val="24"/>
          <w:shd w:val="clear" w:color="auto" w:fill="FFFFFF"/>
        </w:rPr>
        <w:t>, </w:t>
      </w:r>
      <w:r w:rsidRPr="00110EFB">
        <w:rPr>
          <w:rFonts w:ascii="Times New Roman" w:hAnsi="Times New Roman" w:cs="Times New Roman"/>
          <w:i/>
          <w:iCs/>
          <w:color w:val="000000" w:themeColor="text1"/>
          <w:sz w:val="24"/>
          <w:szCs w:val="24"/>
          <w:shd w:val="clear" w:color="auto" w:fill="FFFFFF"/>
        </w:rPr>
        <w:t>33</w:t>
      </w:r>
      <w:r w:rsidRPr="00110EFB">
        <w:rPr>
          <w:rFonts w:ascii="Times New Roman" w:hAnsi="Times New Roman" w:cs="Times New Roman"/>
          <w:i/>
          <w:color w:val="000000" w:themeColor="text1"/>
          <w:sz w:val="24"/>
          <w:szCs w:val="24"/>
          <w:shd w:val="clear" w:color="auto" w:fill="FFFFFF"/>
        </w:rPr>
        <w:t>(1</w:t>
      </w:r>
      <w:r w:rsidRPr="00110EFB">
        <w:rPr>
          <w:rFonts w:ascii="Times New Roman" w:hAnsi="Times New Roman" w:cs="Times New Roman"/>
          <w:color w:val="000000" w:themeColor="text1"/>
          <w:sz w:val="24"/>
          <w:szCs w:val="24"/>
          <w:shd w:val="clear" w:color="auto" w:fill="FFFFFF"/>
        </w:rPr>
        <w:t>), 178-185.</w:t>
      </w:r>
    </w:p>
    <w:p w14:paraId="7B17FACA"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Panda, S. (2016). A review on induced breeding in fishes. </w:t>
      </w:r>
      <w:r w:rsidRPr="00110EFB">
        <w:rPr>
          <w:rFonts w:ascii="Times New Roman" w:eastAsia="Times New Roman" w:hAnsi="Times New Roman" w:cs="Times New Roman"/>
          <w:i/>
          <w:sz w:val="24"/>
          <w:szCs w:val="24"/>
        </w:rPr>
        <w:t>International Journal of Bioassays, 5(05)</w:t>
      </w:r>
      <w:r w:rsidRPr="00110EFB">
        <w:rPr>
          <w:rFonts w:ascii="Times New Roman" w:eastAsia="Times New Roman" w:hAnsi="Times New Roman" w:cs="Times New Roman"/>
          <w:sz w:val="24"/>
          <w:szCs w:val="24"/>
        </w:rPr>
        <w:t>. 4579.</w:t>
      </w:r>
    </w:p>
    <w:p w14:paraId="61FD0B25" w14:textId="65865DE6" w:rsidR="00110EFB" w:rsidRPr="00110EFB" w:rsidRDefault="00110EFB" w:rsidP="00110EFB">
      <w:pPr>
        <w:pStyle w:val="ListParagraph"/>
        <w:numPr>
          <w:ilvl w:val="0"/>
          <w:numId w:val="2"/>
        </w:numPr>
        <w:spacing w:before="240" w:after="240" w:line="360" w:lineRule="auto"/>
        <w:jc w:val="both"/>
        <w:rPr>
          <w:rFonts w:ascii="Times New Roman" w:hAnsi="Times New Roman" w:cs="Times New Roman"/>
          <w:sz w:val="24"/>
          <w:szCs w:val="24"/>
        </w:rPr>
      </w:pPr>
      <w:r w:rsidRPr="00110EFB">
        <w:rPr>
          <w:rFonts w:ascii="Times New Roman" w:eastAsia="Times New Roman" w:hAnsi="Times New Roman" w:cs="Times New Roman"/>
          <w:sz w:val="24"/>
          <w:szCs w:val="24"/>
        </w:rPr>
        <w:t>Rahman, M. M.</w:t>
      </w:r>
      <w:r w:rsidR="00B20B32">
        <w:rPr>
          <w:rFonts w:ascii="Times New Roman" w:eastAsia="Times New Roman" w:hAnsi="Times New Roman" w:cs="Times New Roman"/>
          <w:sz w:val="24"/>
          <w:szCs w:val="24"/>
        </w:rPr>
        <w:t>,</w:t>
      </w:r>
      <w:r w:rsidRPr="00110EFB">
        <w:rPr>
          <w:rFonts w:ascii="Times New Roman" w:eastAsia="Times New Roman" w:hAnsi="Times New Roman" w:cs="Times New Roman"/>
          <w:sz w:val="24"/>
          <w:szCs w:val="24"/>
        </w:rPr>
        <w:t xml:space="preserve"> Hossain, M. Y.</w:t>
      </w:r>
      <w:r w:rsidR="00B20B32">
        <w:rPr>
          <w:rFonts w:ascii="Times New Roman" w:eastAsia="Times New Roman" w:hAnsi="Times New Roman" w:cs="Times New Roman"/>
          <w:sz w:val="24"/>
          <w:szCs w:val="24"/>
        </w:rPr>
        <w:t xml:space="preserve">, </w:t>
      </w:r>
      <w:r w:rsidRPr="00110EFB">
        <w:rPr>
          <w:rFonts w:ascii="Times New Roman" w:eastAsia="Times New Roman" w:hAnsi="Times New Roman" w:cs="Times New Roman"/>
          <w:sz w:val="24"/>
          <w:szCs w:val="24"/>
        </w:rPr>
        <w:t>Hossain, M. I.</w:t>
      </w:r>
      <w:r w:rsidR="00B20B32">
        <w:rPr>
          <w:rFonts w:ascii="Times New Roman" w:eastAsia="Times New Roman" w:hAnsi="Times New Roman" w:cs="Times New Roman"/>
          <w:sz w:val="24"/>
          <w:szCs w:val="24"/>
        </w:rPr>
        <w:t>,</w:t>
      </w:r>
      <w:r w:rsidRPr="00110EFB">
        <w:rPr>
          <w:rFonts w:ascii="Times New Roman" w:eastAsia="Times New Roman" w:hAnsi="Times New Roman" w:cs="Times New Roman"/>
          <w:sz w:val="24"/>
          <w:szCs w:val="24"/>
        </w:rPr>
        <w:t xml:space="preserve"> </w:t>
      </w:r>
      <w:proofErr w:type="spellStart"/>
      <w:r w:rsidRPr="00110EFB">
        <w:rPr>
          <w:rFonts w:ascii="Times New Roman" w:eastAsia="Times New Roman" w:hAnsi="Times New Roman" w:cs="Times New Roman"/>
          <w:sz w:val="24"/>
          <w:szCs w:val="24"/>
        </w:rPr>
        <w:t>Provhat</w:t>
      </w:r>
      <w:proofErr w:type="spellEnd"/>
      <w:r w:rsidRPr="00110EFB">
        <w:rPr>
          <w:rFonts w:ascii="Times New Roman" w:eastAsia="Times New Roman" w:hAnsi="Times New Roman" w:cs="Times New Roman"/>
          <w:sz w:val="24"/>
          <w:szCs w:val="24"/>
        </w:rPr>
        <w:t>, S. J.</w:t>
      </w:r>
      <w:r w:rsidR="00B20B32">
        <w:rPr>
          <w:rFonts w:ascii="Times New Roman" w:eastAsia="Times New Roman" w:hAnsi="Times New Roman" w:cs="Times New Roman"/>
          <w:sz w:val="24"/>
          <w:szCs w:val="24"/>
        </w:rPr>
        <w:t xml:space="preserve">, </w:t>
      </w:r>
      <w:r w:rsidRPr="00110EFB">
        <w:rPr>
          <w:rFonts w:ascii="Times New Roman" w:eastAsia="Times New Roman" w:hAnsi="Times New Roman" w:cs="Times New Roman"/>
          <w:sz w:val="24"/>
          <w:szCs w:val="24"/>
        </w:rPr>
        <w:t xml:space="preserve">Islam, M. S. and Hossain, </w:t>
      </w:r>
      <w:proofErr w:type="gramStart"/>
      <w:r w:rsidRPr="00110EFB">
        <w:rPr>
          <w:rFonts w:ascii="Times New Roman" w:eastAsia="Times New Roman" w:hAnsi="Times New Roman" w:cs="Times New Roman"/>
          <w:sz w:val="24"/>
          <w:szCs w:val="24"/>
        </w:rPr>
        <w:t>M .</w:t>
      </w:r>
      <w:proofErr w:type="gramEnd"/>
      <w:r w:rsidRPr="00110EFB">
        <w:rPr>
          <w:rFonts w:ascii="Times New Roman" w:eastAsia="Times New Roman" w:hAnsi="Times New Roman" w:cs="Times New Roman"/>
          <w:sz w:val="24"/>
          <w:szCs w:val="24"/>
        </w:rPr>
        <w:t xml:space="preserve"> B. (2013). Induced breeding of the stinging catfish,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sz w:val="24"/>
          <w:szCs w:val="24"/>
        </w:rPr>
        <w:t xml:space="preserve">: </w:t>
      </w:r>
      <w:proofErr w:type="spellStart"/>
      <w:r w:rsidRPr="00110EFB">
        <w:rPr>
          <w:rFonts w:ascii="Times New Roman" w:eastAsia="Times New Roman" w:hAnsi="Times New Roman" w:cs="Times New Roman"/>
          <w:sz w:val="24"/>
          <w:szCs w:val="24"/>
        </w:rPr>
        <w:t>comparision</w:t>
      </w:r>
      <w:proofErr w:type="spellEnd"/>
      <w:r w:rsidRPr="00110EFB">
        <w:rPr>
          <w:rFonts w:ascii="Times New Roman" w:eastAsia="Times New Roman" w:hAnsi="Times New Roman" w:cs="Times New Roman"/>
          <w:sz w:val="24"/>
          <w:szCs w:val="24"/>
        </w:rPr>
        <w:t xml:space="preserve"> among different inducing agents. </w:t>
      </w:r>
      <w:r w:rsidRPr="00110EFB">
        <w:rPr>
          <w:rFonts w:ascii="Times New Roman" w:eastAsia="Times New Roman" w:hAnsi="Times New Roman" w:cs="Times New Roman"/>
          <w:i/>
          <w:sz w:val="24"/>
          <w:szCs w:val="24"/>
        </w:rPr>
        <w:t xml:space="preserve">Turkish Journal of Fisheries </w:t>
      </w:r>
      <w:proofErr w:type="gramStart"/>
      <w:r w:rsidRPr="00110EFB">
        <w:rPr>
          <w:rFonts w:ascii="Times New Roman" w:eastAsia="Times New Roman" w:hAnsi="Times New Roman" w:cs="Times New Roman"/>
          <w:i/>
          <w:sz w:val="24"/>
          <w:szCs w:val="24"/>
        </w:rPr>
        <w:t>and  Aquatic</w:t>
      </w:r>
      <w:proofErr w:type="gramEnd"/>
      <w:r w:rsidRPr="00110EFB">
        <w:rPr>
          <w:rFonts w:ascii="Times New Roman" w:eastAsia="Times New Roman" w:hAnsi="Times New Roman" w:cs="Times New Roman"/>
          <w:i/>
          <w:sz w:val="24"/>
          <w:szCs w:val="24"/>
        </w:rPr>
        <w:t xml:space="preserve">  Science, 13(3)</w:t>
      </w:r>
      <w:r w:rsidRPr="00110EFB">
        <w:rPr>
          <w:rFonts w:ascii="Times New Roman" w:eastAsia="Times New Roman" w:hAnsi="Times New Roman" w:cs="Times New Roman"/>
          <w:sz w:val="24"/>
          <w:szCs w:val="24"/>
        </w:rPr>
        <w:t xml:space="preserve">: 532-537. </w:t>
      </w:r>
      <w:hyperlink r:id="rId13" w:history="1">
        <w:r w:rsidRPr="00110EFB">
          <w:rPr>
            <w:rStyle w:val="Hyperlink"/>
            <w:rFonts w:ascii="Times New Roman" w:eastAsia="Times New Roman" w:hAnsi="Times New Roman" w:cs="Times New Roman"/>
            <w:sz w:val="24"/>
            <w:szCs w:val="24"/>
          </w:rPr>
          <w:t>https://doi.org/10.4194/1303-2712-v13_3_17</w:t>
        </w:r>
      </w:hyperlink>
    </w:p>
    <w:p w14:paraId="43A17CB5" w14:textId="5248AF03"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Saha, K. C.</w:t>
      </w:r>
      <w:r w:rsidR="00B20B32">
        <w:rPr>
          <w:rFonts w:ascii="Times New Roman" w:eastAsia="Times New Roman" w:hAnsi="Times New Roman" w:cs="Times New Roman"/>
          <w:sz w:val="24"/>
          <w:szCs w:val="24"/>
        </w:rPr>
        <w:t xml:space="preserve"> and</w:t>
      </w:r>
      <w:r w:rsidRPr="00110EFB">
        <w:rPr>
          <w:rFonts w:ascii="Times New Roman" w:eastAsia="Times New Roman" w:hAnsi="Times New Roman" w:cs="Times New Roman"/>
          <w:sz w:val="24"/>
          <w:szCs w:val="24"/>
        </w:rPr>
        <w:t xml:space="preserve"> Guha, B. C. (1939)</w:t>
      </w:r>
      <w:r w:rsidR="00B20B32">
        <w:rPr>
          <w:rFonts w:ascii="Times New Roman" w:eastAsia="Times New Roman" w:hAnsi="Times New Roman" w:cs="Times New Roman"/>
          <w:sz w:val="24"/>
          <w:szCs w:val="24"/>
        </w:rPr>
        <w:t>.</w:t>
      </w:r>
      <w:r w:rsidRPr="00110EFB">
        <w:rPr>
          <w:rFonts w:ascii="Times New Roman" w:eastAsia="Times New Roman" w:hAnsi="Times New Roman" w:cs="Times New Roman"/>
          <w:sz w:val="24"/>
          <w:szCs w:val="24"/>
        </w:rPr>
        <w:t xml:space="preserve"> Nutritional investigation of Bengal fish</w:t>
      </w:r>
      <w:r w:rsidR="00B20B32">
        <w:rPr>
          <w:rFonts w:ascii="Times New Roman" w:eastAsia="Times New Roman" w:hAnsi="Times New Roman" w:cs="Times New Roman"/>
          <w:sz w:val="24"/>
          <w:szCs w:val="24"/>
        </w:rPr>
        <w:t>.</w:t>
      </w:r>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Indian Journal of Medical Research,</w:t>
      </w:r>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26</w:t>
      </w:r>
      <w:r w:rsidRPr="00110EFB">
        <w:rPr>
          <w:rFonts w:ascii="Times New Roman" w:eastAsia="Times New Roman" w:hAnsi="Times New Roman" w:cs="Times New Roman"/>
          <w:sz w:val="24"/>
          <w:szCs w:val="24"/>
        </w:rPr>
        <w:t>, 921-927.</w:t>
      </w:r>
    </w:p>
    <w:p w14:paraId="253A05AB" w14:textId="496EE087" w:rsidR="00110EFB" w:rsidRDefault="00110EFB" w:rsidP="00B20B32">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Talwar, P. K. and </w:t>
      </w:r>
      <w:proofErr w:type="spellStart"/>
      <w:r w:rsidRPr="00110EFB">
        <w:rPr>
          <w:rFonts w:ascii="Times New Roman" w:eastAsia="Times New Roman" w:hAnsi="Times New Roman" w:cs="Times New Roman"/>
          <w:sz w:val="24"/>
          <w:szCs w:val="24"/>
        </w:rPr>
        <w:t>Jhingran</w:t>
      </w:r>
      <w:proofErr w:type="spellEnd"/>
      <w:r w:rsidRPr="00110EFB">
        <w:rPr>
          <w:rFonts w:ascii="Times New Roman" w:eastAsia="Times New Roman" w:hAnsi="Times New Roman" w:cs="Times New Roman"/>
          <w:sz w:val="24"/>
          <w:szCs w:val="24"/>
        </w:rPr>
        <w:t>, A. G. (1991</w:t>
      </w:r>
      <w:r w:rsidRPr="00110EFB">
        <w:rPr>
          <w:rFonts w:ascii="Times New Roman" w:eastAsia="Times New Roman" w:hAnsi="Times New Roman" w:cs="Times New Roman"/>
          <w:i/>
          <w:sz w:val="24"/>
          <w:szCs w:val="24"/>
        </w:rPr>
        <w:t xml:space="preserve">). Inland Fishes of India and Adjacent Countries. </w:t>
      </w:r>
      <w:r w:rsidRPr="00110EFB">
        <w:rPr>
          <w:rFonts w:ascii="Times New Roman" w:eastAsia="Times New Roman" w:hAnsi="Times New Roman" w:cs="Times New Roman"/>
          <w:sz w:val="24"/>
          <w:szCs w:val="24"/>
        </w:rPr>
        <w:t>New Delhi: Oxford &amp; IBH publishing Co.</w:t>
      </w:r>
      <w:r w:rsidR="00B20B32">
        <w:rPr>
          <w:rFonts w:ascii="Times New Roman" w:eastAsia="Times New Roman" w:hAnsi="Times New Roman" w:cs="Times New Roman"/>
          <w:sz w:val="24"/>
          <w:szCs w:val="24"/>
        </w:rPr>
        <w:t xml:space="preserve"> 1(</w:t>
      </w:r>
      <w:r w:rsidR="00B20B32" w:rsidRPr="00110EFB">
        <w:rPr>
          <w:rFonts w:ascii="Times New Roman" w:eastAsia="Times New Roman" w:hAnsi="Times New Roman" w:cs="Times New Roman"/>
          <w:sz w:val="24"/>
          <w:szCs w:val="24"/>
        </w:rPr>
        <w:t>2</w:t>
      </w:r>
      <w:r w:rsidR="00B20B32">
        <w:rPr>
          <w:rFonts w:ascii="Times New Roman" w:eastAsia="Times New Roman" w:hAnsi="Times New Roman" w:cs="Times New Roman"/>
          <w:sz w:val="24"/>
          <w:szCs w:val="24"/>
        </w:rPr>
        <w:t>)</w:t>
      </w:r>
      <w:r w:rsidR="00B20B32" w:rsidRPr="00110EFB">
        <w:rPr>
          <w:rFonts w:ascii="Times New Roman" w:eastAsia="Times New Roman" w:hAnsi="Times New Roman" w:cs="Times New Roman"/>
          <w:sz w:val="24"/>
          <w:szCs w:val="24"/>
        </w:rPr>
        <w:t>, 1158</w:t>
      </w:r>
      <w:r w:rsidR="00B20B32">
        <w:rPr>
          <w:rFonts w:ascii="Times New Roman" w:eastAsia="Times New Roman" w:hAnsi="Times New Roman" w:cs="Times New Roman"/>
          <w:sz w:val="24"/>
          <w:szCs w:val="24"/>
        </w:rPr>
        <w:t>.</w:t>
      </w:r>
    </w:p>
    <w:p w14:paraId="3DDA377C" w14:textId="78E79E4E" w:rsidR="00B20B32" w:rsidRPr="00110EFB" w:rsidRDefault="00B20B32" w:rsidP="00B20B32">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B20B32">
        <w:rPr>
          <w:rFonts w:ascii="Times New Roman" w:eastAsia="Times New Roman" w:hAnsi="Times New Roman" w:cs="Times New Roman"/>
          <w:sz w:val="24"/>
          <w:szCs w:val="24"/>
        </w:rPr>
        <w:t>Yamauchi, M., Kitamura</w:t>
      </w:r>
      <w:r>
        <w:rPr>
          <w:rFonts w:ascii="Times New Roman" w:eastAsia="Times New Roman" w:hAnsi="Times New Roman" w:cs="Times New Roman"/>
          <w:sz w:val="24"/>
          <w:szCs w:val="24"/>
        </w:rPr>
        <w:t xml:space="preserve">, Y., Nagano, H., </w:t>
      </w:r>
      <w:proofErr w:type="spellStart"/>
      <w:r>
        <w:rPr>
          <w:rFonts w:ascii="Times New Roman" w:eastAsia="Times New Roman" w:hAnsi="Times New Roman" w:cs="Times New Roman"/>
          <w:sz w:val="24"/>
          <w:szCs w:val="24"/>
        </w:rPr>
        <w:t>Kawatsu</w:t>
      </w:r>
      <w:proofErr w:type="spellEnd"/>
      <w:r>
        <w:rPr>
          <w:rFonts w:ascii="Times New Roman" w:eastAsia="Times New Roman" w:hAnsi="Times New Roman" w:cs="Times New Roman"/>
          <w:sz w:val="24"/>
          <w:szCs w:val="24"/>
        </w:rPr>
        <w:t>, J. and</w:t>
      </w:r>
      <w:r w:rsidRPr="00B20B32">
        <w:rPr>
          <w:rFonts w:ascii="Times New Roman" w:eastAsia="Times New Roman" w:hAnsi="Times New Roman" w:cs="Times New Roman"/>
          <w:sz w:val="24"/>
          <w:szCs w:val="24"/>
        </w:rPr>
        <w:t xml:space="preserve"> Gotoh, H. (2024). DPPH measurements and structure—Activity relationship studies on the antioxidant capacity of phenols. </w:t>
      </w:r>
      <w:r w:rsidRPr="009E2BDF">
        <w:rPr>
          <w:rFonts w:ascii="Times New Roman" w:eastAsia="Times New Roman" w:hAnsi="Times New Roman" w:cs="Times New Roman"/>
          <w:i/>
          <w:sz w:val="24"/>
          <w:szCs w:val="24"/>
        </w:rPr>
        <w:t>Antioxidants</w:t>
      </w:r>
      <w:r w:rsidRPr="00B20B32">
        <w:rPr>
          <w:rFonts w:ascii="Times New Roman" w:eastAsia="Times New Roman" w:hAnsi="Times New Roman" w:cs="Times New Roman"/>
          <w:sz w:val="24"/>
          <w:szCs w:val="24"/>
        </w:rPr>
        <w:t>, 13(3), 309.</w:t>
      </w:r>
    </w:p>
    <w:p w14:paraId="3DF849C3" w14:textId="3DA87E19"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Zhou, K.</w:t>
      </w:r>
      <w:r w:rsidR="00B20B32">
        <w:rPr>
          <w:rFonts w:ascii="Times New Roman" w:eastAsia="Times New Roman" w:hAnsi="Times New Roman" w:cs="Times New Roman"/>
          <w:sz w:val="24"/>
          <w:szCs w:val="24"/>
        </w:rPr>
        <w:t xml:space="preserve"> and</w:t>
      </w:r>
      <w:r w:rsidRPr="00110EFB">
        <w:rPr>
          <w:rFonts w:ascii="Times New Roman" w:eastAsia="Times New Roman" w:hAnsi="Times New Roman" w:cs="Times New Roman"/>
          <w:sz w:val="24"/>
          <w:szCs w:val="24"/>
        </w:rPr>
        <w:t xml:space="preserve"> Yu, L. (2004). Effects of extraction solvent on wheat bran antioxidant activity estimation. </w:t>
      </w:r>
      <w:r w:rsidRPr="00110EFB">
        <w:rPr>
          <w:rFonts w:ascii="Times New Roman" w:eastAsia="Times New Roman" w:hAnsi="Times New Roman" w:cs="Times New Roman"/>
          <w:i/>
          <w:sz w:val="24"/>
          <w:szCs w:val="24"/>
        </w:rPr>
        <w:t>LWT - Food Science and Technology</w:t>
      </w:r>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37</w:t>
      </w:r>
      <w:r w:rsidRPr="00110EFB">
        <w:rPr>
          <w:rFonts w:ascii="Times New Roman" w:eastAsia="Times New Roman" w:hAnsi="Times New Roman" w:cs="Times New Roman"/>
          <w:sz w:val="24"/>
          <w:szCs w:val="24"/>
        </w:rPr>
        <w:t>(7), 717–721. https://doi.org/10.1016/j.lwt.2004.02.008</w:t>
      </w:r>
    </w:p>
    <w:p w14:paraId="7932931B" w14:textId="77777777" w:rsidR="00AC5A86" w:rsidRPr="00110EFB" w:rsidRDefault="00AC5A86" w:rsidP="00110EFB">
      <w:pPr>
        <w:spacing w:before="240" w:after="240" w:line="360" w:lineRule="auto"/>
        <w:jc w:val="both"/>
        <w:rPr>
          <w:rFonts w:ascii="Times New Roman" w:eastAsia="Times New Roman" w:hAnsi="Times New Roman" w:cs="Times New Roman"/>
          <w:sz w:val="24"/>
          <w:szCs w:val="24"/>
        </w:rPr>
      </w:pPr>
    </w:p>
    <w:p w14:paraId="2293DF3D" w14:textId="77777777" w:rsidR="00613CB5" w:rsidRPr="00110EFB" w:rsidRDefault="00613CB5">
      <w:pPr>
        <w:spacing w:line="360" w:lineRule="auto"/>
        <w:jc w:val="both"/>
        <w:rPr>
          <w:rFonts w:ascii="Times New Roman" w:hAnsi="Times New Roman" w:cs="Times New Roman"/>
          <w:color w:val="000000" w:themeColor="text1"/>
          <w:sz w:val="24"/>
          <w:szCs w:val="24"/>
        </w:rPr>
      </w:pPr>
    </w:p>
    <w:sectPr w:rsidR="00613CB5" w:rsidRPr="00110EFB" w:rsidSect="009857E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8CB14" w14:textId="77777777" w:rsidR="005A0D03" w:rsidRDefault="005A0D03" w:rsidP="00670DAB">
      <w:pPr>
        <w:spacing w:after="0" w:line="240" w:lineRule="auto"/>
      </w:pPr>
      <w:r>
        <w:separator/>
      </w:r>
    </w:p>
  </w:endnote>
  <w:endnote w:type="continuationSeparator" w:id="0">
    <w:p w14:paraId="4EC970FE" w14:textId="77777777" w:rsidR="005A0D03" w:rsidRDefault="005A0D03" w:rsidP="0067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5B50" w14:textId="77777777" w:rsidR="00985674" w:rsidRDefault="00985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34D3" w14:textId="77777777" w:rsidR="00985674" w:rsidRDefault="0098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3859" w14:textId="77777777" w:rsidR="00985674" w:rsidRDefault="00985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02D59" w14:textId="77777777" w:rsidR="005A0D03" w:rsidRDefault="005A0D03" w:rsidP="00670DAB">
      <w:pPr>
        <w:spacing w:after="0" w:line="240" w:lineRule="auto"/>
      </w:pPr>
      <w:r>
        <w:separator/>
      </w:r>
    </w:p>
  </w:footnote>
  <w:footnote w:type="continuationSeparator" w:id="0">
    <w:p w14:paraId="5D4A2D9F" w14:textId="77777777" w:rsidR="005A0D03" w:rsidRDefault="005A0D03" w:rsidP="0067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E0D1" w14:textId="09CB6D04" w:rsidR="00985674" w:rsidRDefault="005A0D03">
    <w:pPr>
      <w:pStyle w:val="Header"/>
    </w:pPr>
    <w:r>
      <w:rPr>
        <w:noProof/>
      </w:rPr>
      <w:pict w14:anchorId="169C6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77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C28E" w14:textId="02D9590F" w:rsidR="00985674" w:rsidRDefault="005A0D03">
    <w:pPr>
      <w:pStyle w:val="Header"/>
    </w:pPr>
    <w:r>
      <w:rPr>
        <w:noProof/>
      </w:rPr>
      <w:pict w14:anchorId="3BBDF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77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B391" w14:textId="360A38E8" w:rsidR="00985674" w:rsidRDefault="005A0D03">
    <w:pPr>
      <w:pStyle w:val="Header"/>
    </w:pPr>
    <w:r>
      <w:rPr>
        <w:noProof/>
      </w:rPr>
      <w:pict w14:anchorId="31662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77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653D6"/>
    <w:multiLevelType w:val="multilevel"/>
    <w:tmpl w:val="190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23A24"/>
    <w:multiLevelType w:val="hybridMultilevel"/>
    <w:tmpl w:val="50E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AF"/>
    <w:rsid w:val="00110EFB"/>
    <w:rsid w:val="001140FB"/>
    <w:rsid w:val="001329EB"/>
    <w:rsid w:val="001707C9"/>
    <w:rsid w:val="001824B0"/>
    <w:rsid w:val="001B35B8"/>
    <w:rsid w:val="00230CC8"/>
    <w:rsid w:val="0025600E"/>
    <w:rsid w:val="00274057"/>
    <w:rsid w:val="00290A6F"/>
    <w:rsid w:val="002F64E5"/>
    <w:rsid w:val="0030012E"/>
    <w:rsid w:val="00333433"/>
    <w:rsid w:val="003338D8"/>
    <w:rsid w:val="00352DF2"/>
    <w:rsid w:val="003B6C28"/>
    <w:rsid w:val="003F2DA5"/>
    <w:rsid w:val="005A0D03"/>
    <w:rsid w:val="005D2CA5"/>
    <w:rsid w:val="00604060"/>
    <w:rsid w:val="00613CB5"/>
    <w:rsid w:val="00653740"/>
    <w:rsid w:val="006638DF"/>
    <w:rsid w:val="00670DAB"/>
    <w:rsid w:val="006A74F2"/>
    <w:rsid w:val="006D21F3"/>
    <w:rsid w:val="006D4A6C"/>
    <w:rsid w:val="006E330A"/>
    <w:rsid w:val="00827443"/>
    <w:rsid w:val="0089541A"/>
    <w:rsid w:val="0091647C"/>
    <w:rsid w:val="0094245C"/>
    <w:rsid w:val="00957BEC"/>
    <w:rsid w:val="00984E26"/>
    <w:rsid w:val="00985674"/>
    <w:rsid w:val="009857EB"/>
    <w:rsid w:val="009E2BDF"/>
    <w:rsid w:val="00A25426"/>
    <w:rsid w:val="00A34B10"/>
    <w:rsid w:val="00AA73C2"/>
    <w:rsid w:val="00AC23F3"/>
    <w:rsid w:val="00AC5A86"/>
    <w:rsid w:val="00B01C25"/>
    <w:rsid w:val="00B20B32"/>
    <w:rsid w:val="00BF0319"/>
    <w:rsid w:val="00C21CAF"/>
    <w:rsid w:val="00C30B1B"/>
    <w:rsid w:val="00C33F00"/>
    <w:rsid w:val="00D636F7"/>
    <w:rsid w:val="00DD70C9"/>
    <w:rsid w:val="00DE1D6C"/>
    <w:rsid w:val="00E11594"/>
    <w:rsid w:val="00EB23E2"/>
    <w:rsid w:val="00EF27A1"/>
    <w:rsid w:val="00F35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A1E95"/>
  <w15:docId w15:val="{D95F9FF7-F15E-430E-AE6B-E199526B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7EB"/>
  </w:style>
  <w:style w:type="paragraph" w:styleId="Heading3">
    <w:name w:val="heading 3"/>
    <w:basedOn w:val="Normal"/>
    <w:link w:val="Heading3Char"/>
    <w:uiPriority w:val="9"/>
    <w:qFormat/>
    <w:rsid w:val="00C21C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1CAF"/>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21C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21CAF"/>
    <w:rPr>
      <w:b/>
      <w:bCs/>
    </w:rPr>
  </w:style>
  <w:style w:type="character" w:styleId="Emphasis">
    <w:name w:val="Emphasis"/>
    <w:basedOn w:val="DefaultParagraphFont"/>
    <w:uiPriority w:val="20"/>
    <w:qFormat/>
    <w:rsid w:val="00C21CAF"/>
    <w:rPr>
      <w:i/>
      <w:iCs/>
    </w:rPr>
  </w:style>
  <w:style w:type="character" w:customStyle="1" w:styleId="katex-mathml">
    <w:name w:val="katex-mathml"/>
    <w:basedOn w:val="DefaultParagraphFont"/>
    <w:rsid w:val="006638DF"/>
  </w:style>
  <w:style w:type="character" w:customStyle="1" w:styleId="mord">
    <w:name w:val="mord"/>
    <w:basedOn w:val="DefaultParagraphFont"/>
    <w:rsid w:val="006638DF"/>
  </w:style>
  <w:style w:type="character" w:customStyle="1" w:styleId="mrel">
    <w:name w:val="mrel"/>
    <w:basedOn w:val="DefaultParagraphFont"/>
    <w:rsid w:val="006638DF"/>
  </w:style>
  <w:style w:type="character" w:customStyle="1" w:styleId="vlist-s">
    <w:name w:val="vlist-s"/>
    <w:basedOn w:val="DefaultParagraphFont"/>
    <w:rsid w:val="006638DF"/>
  </w:style>
  <w:style w:type="character" w:customStyle="1" w:styleId="mbin">
    <w:name w:val="mbin"/>
    <w:basedOn w:val="DefaultParagraphFont"/>
    <w:rsid w:val="006638DF"/>
  </w:style>
  <w:style w:type="table" w:customStyle="1" w:styleId="3">
    <w:name w:val="3"/>
    <w:basedOn w:val="TableNormal"/>
    <w:rsid w:val="00333433"/>
    <w:pPr>
      <w:spacing w:after="0" w:line="276" w:lineRule="auto"/>
    </w:pPr>
    <w:rPr>
      <w:rFonts w:ascii="Arial" w:eastAsia="Arial" w:hAnsi="Arial" w:cs="Arial"/>
      <w:lang w:val="en-US" w:eastAsia="en-IN"/>
    </w:r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333433"/>
    <w:pPr>
      <w:spacing w:after="0" w:line="240" w:lineRule="auto"/>
    </w:pPr>
    <w:rPr>
      <w:rFonts w:ascii="Times New Roman" w:eastAsia="SimSun" w:hAnsi="Times New Roman" w:cs="Times New Roman"/>
      <w:sz w:val="20"/>
      <w:szCs w:val="20"/>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70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DAB"/>
  </w:style>
  <w:style w:type="paragraph" w:styleId="Footer">
    <w:name w:val="footer"/>
    <w:basedOn w:val="Normal"/>
    <w:link w:val="FooterChar"/>
    <w:uiPriority w:val="99"/>
    <w:unhideWhenUsed/>
    <w:rsid w:val="00670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DAB"/>
  </w:style>
  <w:style w:type="character" w:styleId="Hyperlink">
    <w:name w:val="Hyperlink"/>
    <w:basedOn w:val="DefaultParagraphFont"/>
    <w:uiPriority w:val="99"/>
    <w:unhideWhenUsed/>
    <w:rsid w:val="002F64E5"/>
    <w:rPr>
      <w:color w:val="0563C1" w:themeColor="hyperlink"/>
      <w:u w:val="single"/>
    </w:rPr>
  </w:style>
  <w:style w:type="paragraph" w:styleId="BalloonText">
    <w:name w:val="Balloon Text"/>
    <w:basedOn w:val="Normal"/>
    <w:link w:val="BalloonTextChar"/>
    <w:uiPriority w:val="99"/>
    <w:semiHidden/>
    <w:unhideWhenUsed/>
    <w:rsid w:val="0098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26"/>
    <w:rPr>
      <w:rFonts w:ascii="Tahoma" w:hAnsi="Tahoma" w:cs="Tahoma"/>
      <w:sz w:val="16"/>
      <w:szCs w:val="16"/>
    </w:rPr>
  </w:style>
  <w:style w:type="paragraph" w:styleId="ListParagraph">
    <w:name w:val="List Paragraph"/>
    <w:basedOn w:val="Normal"/>
    <w:uiPriority w:val="34"/>
    <w:qFormat/>
    <w:rsid w:val="00110EFB"/>
    <w:pPr>
      <w:ind w:left="720"/>
      <w:contextualSpacing/>
    </w:pPr>
  </w:style>
  <w:style w:type="paragraph" w:styleId="Revision">
    <w:name w:val="Revision"/>
    <w:hidden/>
    <w:uiPriority w:val="99"/>
    <w:semiHidden/>
    <w:rsid w:val="009E2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5695">
      <w:bodyDiv w:val="1"/>
      <w:marLeft w:val="0"/>
      <w:marRight w:val="0"/>
      <w:marTop w:val="0"/>
      <w:marBottom w:val="0"/>
      <w:divBdr>
        <w:top w:val="none" w:sz="0" w:space="0" w:color="auto"/>
        <w:left w:val="none" w:sz="0" w:space="0" w:color="auto"/>
        <w:bottom w:val="none" w:sz="0" w:space="0" w:color="auto"/>
        <w:right w:val="none" w:sz="0" w:space="0" w:color="auto"/>
      </w:divBdr>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1202979910">
      <w:bodyDiv w:val="1"/>
      <w:marLeft w:val="0"/>
      <w:marRight w:val="0"/>
      <w:marTop w:val="0"/>
      <w:marBottom w:val="0"/>
      <w:divBdr>
        <w:top w:val="none" w:sz="0" w:space="0" w:color="auto"/>
        <w:left w:val="none" w:sz="0" w:space="0" w:color="auto"/>
        <w:bottom w:val="none" w:sz="0" w:space="0" w:color="auto"/>
        <w:right w:val="none" w:sz="0" w:space="0" w:color="auto"/>
      </w:divBdr>
    </w:div>
    <w:div w:id="16789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4194/1303-2712-v13_3_1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5455/jcmr.201901301003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SDI 1089</cp:lastModifiedBy>
  <cp:revision>12</cp:revision>
  <dcterms:created xsi:type="dcterms:W3CDTF">2025-09-12T13:15:00Z</dcterms:created>
  <dcterms:modified xsi:type="dcterms:W3CDTF">2025-09-16T06:19:00Z</dcterms:modified>
</cp:coreProperties>
</file>