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715" w:rsidRDefault="00FD0715">
      <w:pPr>
        <w:spacing w:after="240" w:line="240" w:lineRule="auto"/>
        <w:jc w:val="both"/>
        <w:rPr>
          <w:rFonts w:ascii="Times New Roman" w:eastAsia="Times New Roman" w:hAnsi="Times New Roman" w:cs="Times New Roman"/>
          <w:b/>
          <w:sz w:val="28"/>
          <w:szCs w:val="28"/>
        </w:rPr>
      </w:pPr>
      <w:r w:rsidRPr="00FD0715">
        <w:rPr>
          <w:rFonts w:ascii="Times New Roman" w:eastAsia="Times New Roman" w:hAnsi="Times New Roman" w:cs="Times New Roman"/>
          <w:b/>
          <w:bCs/>
          <w:i/>
          <w:iCs/>
          <w:sz w:val="28"/>
          <w:szCs w:val="28"/>
          <w:u w:val="single"/>
          <w:lang w:val="en-US"/>
        </w:rPr>
        <w:t>Original Research Article</w:t>
      </w:r>
    </w:p>
    <w:p w:rsidR="004E0D8A" w:rsidRDefault="003D155A">
      <w:pPr>
        <w:spacing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Comparative d</w:t>
      </w:r>
      <w:r w:rsidR="009C0D87">
        <w:rPr>
          <w:rFonts w:ascii="Times New Roman" w:eastAsia="Times New Roman" w:hAnsi="Times New Roman" w:cs="Times New Roman"/>
          <w:b/>
          <w:sz w:val="28"/>
          <w:szCs w:val="28"/>
        </w:rPr>
        <w:t>iversity and seasonal occurrence of insect pest complex in litchi ecosystem from two different agro-climatic sub-regions of Eastern Himalayan Zone of India</w:t>
      </w:r>
    </w:p>
    <w:p w:rsidR="002F1F3D" w:rsidRDefault="002F1F3D">
      <w:pPr>
        <w:spacing w:line="240" w:lineRule="auto"/>
        <w:jc w:val="both"/>
        <w:rPr>
          <w:rFonts w:ascii="Times New Roman" w:eastAsia="Times New Roman" w:hAnsi="Times New Roman" w:cs="Times New Roman"/>
          <w:sz w:val="24"/>
          <w:szCs w:val="24"/>
        </w:rPr>
      </w:pP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was conducted to find out the diversity and seasonal occurrence of different insect pests in litchi orchards of two different agro-climatic sub-regions,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sub-region II and sub-region V of Agro-Climatic Zone II (Eastern Himalayan Region) of the country during March, 2022 to February 2024. The study has documented a total of 16 species of insect pests under 16 different families infesting litchi plants from these two sub-regions of Zone II. Among them, six were Coleopteran pests, two were Hemipteran, and six were Lepidopteran pests, and one pest from each of the Diptera and Sarcoptiformes orders was in the species assemblage. The cumulative population of different leaf- and stem-infesting insect pests was 1763 individuals/120 sweeps in sub-region II, which was drastically higher than that of sub-region V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total population of 581 individuals/120 sweeps). However, the sub-region V was characterized by a greater diversity and richness in the species community than the sub-region II. Furthermore, in sub-region V, the species are more evenly distributed in the community, with less dominance by a single or few species as compared to sub-region II. The incidence pattern of different insect pests suggested higher insect pest incidence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in sub-region V and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in sub-region II. These outcomes provide valuable insights in order to adopt appropriate pest management schedules, typically during the most critical period of pest incidence.</w:t>
      </w:r>
    </w:p>
    <w:p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Diversity, incidence, </w:t>
      </w:r>
      <w:r>
        <w:rPr>
          <w:rFonts w:ascii="Times New Roman" w:eastAsia="Times New Roman" w:hAnsi="Times New Roman" w:cs="Times New Roman"/>
          <w:i/>
          <w:sz w:val="24"/>
          <w:szCs w:val="24"/>
        </w:rPr>
        <w:t>Litchi chinensis</w:t>
      </w:r>
      <w:r>
        <w:rPr>
          <w:rFonts w:ascii="Times New Roman" w:eastAsia="Times New Roman" w:hAnsi="Times New Roman" w:cs="Times New Roman"/>
          <w:sz w:val="24"/>
          <w:szCs w:val="24"/>
        </w:rPr>
        <w:t>, population</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Originating in the mountainous areas of central and western China, litchi (</w:t>
      </w:r>
      <w:r>
        <w:rPr>
          <w:rFonts w:ascii="Times New Roman" w:eastAsia="Times New Roman" w:hAnsi="Times New Roman" w:cs="Times New Roman"/>
          <w:i/>
          <w:sz w:val="24"/>
          <w:szCs w:val="24"/>
        </w:rPr>
        <w:t>Litchi chinensis</w:t>
      </w:r>
      <w:r w:rsidR="00126BAE">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Sonn.), a perennial fruit crop belonging to the Sapindaceae family, was brought to India by the end of the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(Dalui and Sarkar, 2021). From an Indian perspective, this crop is of enormous importance, as the country holds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position in litchi production after China (Rangare et al., 2022). Although India and China contribute 91% of the world’s litchi production (Rangare et al., 2022), this crop is also grown in countries like Australia, Hong Kong, Indonesia, Mauritius,</w:t>
      </w:r>
      <w:r w:rsidR="00126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Malaysia, South Africa, Thailand, and Taiwan (Kumar et al., 2014a; Dalui and Sarkar, 2021).In India, litchi is the sixth most valuable fruit crop, yet it ranks seventh in terms of area and ninth in terms of production (Rangare et al., 2022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t xml:space="preserve"> Litchi</w:t>
      </w:r>
      <w:r>
        <w:rPr>
          <w:rFonts w:ascii="Times New Roman" w:eastAsia="Times New Roman" w:hAnsi="Times New Roman" w:cs="Times New Roman"/>
          <w:sz w:val="24"/>
          <w:szCs w:val="24"/>
        </w:rPr>
        <w:t xml:space="preserve"> has a growing popularity because of its unique flavo</w:t>
      </w:r>
      <w:r w:rsidR="00126BAE">
        <w:rPr>
          <w:rFonts w:ascii="Times New Roman" w:eastAsia="Times New Roman" w:hAnsi="Times New Roman" w:cs="Times New Roman"/>
          <w:sz w:val="24"/>
          <w:szCs w:val="24"/>
        </w:rPr>
        <w:t>u</w:t>
      </w:r>
      <w:r>
        <w:rPr>
          <w:rFonts w:ascii="Times New Roman" w:eastAsia="Times New Roman" w:hAnsi="Times New Roman" w:cs="Times New Roman"/>
          <w:sz w:val="24"/>
          <w:szCs w:val="24"/>
        </w:rPr>
        <w:t>r, deliciousness, higher nutritional content, and juicy aril that provides a cooling effect in the sweltering summer months (Chauhan et al., 2008) and hence is considered as the 'Queen of the Fruits' (Regmi, 2022). Such growing demand, high economic return, and export potential make the cultivation of litchi a gaining traction (Regmi, 2022).</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enormous contribution of litchi towards the horticultural sector of the country is highly threatened due to a number of biotic and abiotic stressors that affect its production (</w:t>
      </w:r>
      <w:r>
        <w:rPr>
          <w:rFonts w:ascii="Times New Roman" w:eastAsia="Times New Roman" w:hAnsi="Times New Roman" w:cs="Times New Roman"/>
          <w:sz w:val="24"/>
          <w:szCs w:val="24"/>
          <w:highlight w:val="white"/>
        </w:rPr>
        <w:t>Srivastava et al., 2015;</w:t>
      </w:r>
      <w:r>
        <w:rPr>
          <w:rFonts w:ascii="Times New Roman" w:eastAsia="Times New Roman" w:hAnsi="Times New Roman" w:cs="Times New Roman"/>
          <w:sz w:val="24"/>
          <w:szCs w:val="24"/>
        </w:rPr>
        <w:t xml:space="preserve">Malik and Deveshwar, </w:t>
      </w:r>
      <w:r w:rsidR="00BA780E">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Among them, the occurrence of different insect pests can cause significant yield loss in litchi orchards. Litchi plants used to face a variety of insect attacks throughout their growth period. Usually, the plant starts </w:t>
      </w:r>
      <w:r>
        <w:rPr>
          <w:rFonts w:ascii="Times New Roman" w:eastAsia="Times New Roman" w:hAnsi="Times New Roman" w:cs="Times New Roman"/>
          <w:sz w:val="24"/>
          <w:szCs w:val="24"/>
        </w:rPr>
        <w:lastRenderedPageBreak/>
        <w:t>blooming in February, and fruits get mature during April-May (Yadav et al., 2011). At that time, the crop becomes more susceptible to the attack of different fruit-feeding insects, including fruit borer, fruit fly, nut borer, etc. (</w:t>
      </w:r>
      <w:r w:rsidRPr="003D155A">
        <w:rPr>
          <w:rFonts w:ascii="Times New Roman" w:eastAsia="Times New Roman" w:hAnsi="Times New Roman" w:cs="Times New Roman"/>
          <w:sz w:val="24"/>
          <w:szCs w:val="24"/>
        </w:rPr>
        <w:t>Kumar et al., 2024</w:t>
      </w:r>
      <w:r>
        <w:rPr>
          <w:rFonts w:ascii="Times New Roman" w:eastAsia="Times New Roman" w:hAnsi="Times New Roman" w:cs="Times New Roman"/>
          <w:sz w:val="24"/>
          <w:szCs w:val="24"/>
        </w:rPr>
        <w:t>). In addition to that, litchi plants used to face infestation by a wide range of leaf- and stem-feeding insects, including stem borer, leaf folder, bark eating caterpillar, grey weevil, red weevil, litchi mite, phytophagous beetles, bagworm, etc., almost throughout the season (Srivastava et al., 2016). Infestation by these insect pests can cause severe yield loss and also reduce the quality and marketability of the fruits.</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Litchi is also considered an important fruit crop in eastern and northeastern parts of the country, including states like Bihar, West Bengal, Assam, Arunachal Pradesh, Tripura, Meghalaya, etc. In these states, this crop plays a very crucial role for the socio-economic upliftment of the rural people. Despite the importance of litchi in the country's economic growth and the fact that a large area of litchi is under cultivation in India, research literature on insect pest complexes on litchi plants from the country is limited. That’s why the present study was conducted in order to determine the diversity and seasonal occurrence of different insect pests of litchi in two different agro-climatic sub-regions of Agro-Climatic Zone II (Eastern Himalayan Region) of the country.</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MATERIALS AND METHODS</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Study area</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sub-region II and sub-region V of the Agro-Climatic Zone II (Eastern Himalayan Region) of India. Sub-region II includes parts of the Arunachal Pradesh and Bhutan Himalayas, which are distinguished by their rich biodiversity, deep forests, and abundant rainfall.</w:t>
      </w:r>
      <w:r w:rsidR="00126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sub-region has an annual temperature of 25.5ºC and receives about </w:t>
      </w:r>
      <w:r w:rsidR="00B43B52">
        <w:rPr>
          <w:rFonts w:ascii="Times New Roman" w:eastAsia="Times New Roman" w:hAnsi="Times New Roman" w:cs="Times New Roman"/>
          <w:sz w:val="24"/>
          <w:szCs w:val="24"/>
        </w:rPr>
        <w:t>4000</w:t>
      </w:r>
      <w:r>
        <w:rPr>
          <w:rFonts w:ascii="Times New Roman" w:eastAsia="Times New Roman" w:hAnsi="Times New Roman" w:cs="Times New Roman"/>
          <w:sz w:val="24"/>
          <w:szCs w:val="24"/>
        </w:rPr>
        <w:t xml:space="preserve"> </w:t>
      </w:r>
      <w:r w:rsidR="00B43B52">
        <w:rPr>
          <w:rFonts w:ascii="Times New Roman" w:eastAsia="Times New Roman" w:hAnsi="Times New Roman" w:cs="Times New Roman"/>
          <w:sz w:val="24"/>
          <w:szCs w:val="24"/>
        </w:rPr>
        <w:t>mm</w:t>
      </w:r>
      <w:r>
        <w:rPr>
          <w:rFonts w:ascii="Times New Roman" w:eastAsia="Times New Roman" w:hAnsi="Times New Roman" w:cs="Times New Roman"/>
          <w:sz w:val="24"/>
          <w:szCs w:val="24"/>
        </w:rPr>
        <w:t xml:space="preserve"> of precipitation annually. In sub-region II, the study was conducted at the Instructional Farm of the College of Horticulture and Forestry, Central Agricultural University (CAU), Pasighat, Arunachal Pradesh.</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the sub-Himalayan tract of West Bengal, which comes under sub-region V, has a perhumid climate with temperatures ranging between 10°C and 38°C with an average of around 3000 mm of rainfall annually, which usually falls between June and September as a result of the southwest monsoon. After that, there is a brief winter with little to no rainfall and reduced sunlight from December to February. In the sub-region V, the study was conducted at the Horticultural Instructional Farm of Uttar Banga</w:t>
      </w:r>
      <w:r w:rsidR="00126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Krishi</w:t>
      </w:r>
      <w:r w:rsidR="00126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Viswavidyalaya (UBKV), Pundibari, West Bengal, India.</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Collection, preservation and identification of insect pests</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adults of different insect pests were collected through aerial sweeping. The captured insects were collected in vials and brought back to the laboratory for identification. The larvae of different internal feeders, like stem borers, fruit borers, nut borers, fruit fly, bark eating caterpillar, etc., were collected and reared in the laboratory for adult emergence. In the laboratory, the specimens were pinned, dried, and identified under a stereo-zoom microscope by using proper taxonomic literatures. The specimens were also sent to the Zoological Survey of India, Kolkata, for confirmation of their identity. </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Field study and observation recording</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 was conducted in a fixed plot during March, 2022 to February, 2024 with a randomly selected 10 number of litchi trees of 8–12 years old. The experimental trees were maintained completely under natural conditions and kept free from insecticidal applications. Four twigs (from 30 to 50 cm from the shoot tip) from each direction in an individual tree at a height of 1.5 to 2 m above ground level were tagged for observation. The observations were </w:t>
      </w:r>
      <w:r>
        <w:rPr>
          <w:rFonts w:ascii="Times New Roman" w:eastAsia="Times New Roman" w:hAnsi="Times New Roman" w:cs="Times New Roman"/>
          <w:sz w:val="24"/>
          <w:szCs w:val="24"/>
        </w:rPr>
        <w:lastRenderedPageBreak/>
        <w:t xml:space="preserve">taken at fortnightly intervals for major pests on each tree’s leaf, stem, and fruit during the period of investigation. </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record the leaf infestation, sampling was done in the</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morning or evening with a sweep net depending on the activity of the pests by sweeping and hand picking. Ten sweeps were randomly made from all four directions of the tree, and their population was recorded as the number of individuals/10 sweeps. For fruit-infesting insects, 100 fruits from each tree were randomly collected at the time of harvest from all directions (East, West, North, and South) and different elevations of the tree. Each fruit was cut open to check for the presence of larvae, and their population was recorded as the number of individuals/100 fruits.</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Diversity indices</w:t>
      </w:r>
    </w:p>
    <w:p w:rsidR="004E0D8A" w:rsidRDefault="009C0D8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cumulative population of different insect pests in litchi, the following ecological indices (Table 1) for species diversity, evenness, richness, and dominance were computed for each sub-region</w:t>
      </w:r>
      <w:r w:rsidR="00067C3B">
        <w:rPr>
          <w:rFonts w:ascii="Times New Roman" w:eastAsia="Times New Roman" w:hAnsi="Times New Roman" w:cs="Times New Roman"/>
          <w:sz w:val="24"/>
          <w:szCs w:val="24"/>
        </w:rPr>
        <w:t xml:space="preserve"> by using the following formulas</w:t>
      </w:r>
      <w:bookmarkStart w:id="0" w:name="_GoBack"/>
      <w:bookmarkEnd w:id="0"/>
      <w:r>
        <w:rPr>
          <w:rFonts w:ascii="Times New Roman" w:eastAsia="Times New Roman" w:hAnsi="Times New Roman" w:cs="Times New Roman"/>
          <w:sz w:val="24"/>
          <w:szCs w:val="24"/>
        </w:rPr>
        <w:t>.</w:t>
      </w:r>
    </w:p>
    <w:p w:rsidR="004E0D8A" w:rsidRDefault="009C0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sz w:val="24"/>
          <w:szCs w:val="24"/>
        </w:rPr>
        <w:t>Different ecological indices for species diversity, richness, evenness, and dominance</w:t>
      </w:r>
      <w:r w:rsidR="00AF6F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in the study</w:t>
      </w:r>
    </w:p>
    <w:tbl>
      <w:tblPr>
        <w:tblStyle w:val="a"/>
        <w:tblW w:w="9242" w:type="dxa"/>
        <w:tblInd w:w="-108" w:type="dxa"/>
        <w:tblBorders>
          <w:top w:val="nil"/>
          <w:left w:val="nil"/>
          <w:bottom w:val="nil"/>
          <w:right w:val="nil"/>
          <w:insideH w:val="nil"/>
          <w:insideV w:val="nil"/>
        </w:tblBorders>
        <w:tblLayout w:type="fixed"/>
        <w:tblLook w:val="0400"/>
      </w:tblPr>
      <w:tblGrid>
        <w:gridCol w:w="1638"/>
        <w:gridCol w:w="2275"/>
        <w:gridCol w:w="2845"/>
        <w:gridCol w:w="2484"/>
      </w:tblGrid>
      <w:tr w:rsidR="004E0D8A">
        <w:trPr>
          <w:trHeight w:val="20"/>
        </w:trPr>
        <w:tc>
          <w:tcPr>
            <w:tcW w:w="3913" w:type="dxa"/>
            <w:gridSpan w:val="2"/>
            <w:tcBorders>
              <w:top w:val="single" w:sz="4" w:space="0" w:color="000000"/>
              <w:bottom w:val="single" w:sz="4" w:space="0" w:color="000000"/>
            </w:tcBorders>
          </w:tcPr>
          <w:p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Indices</w:t>
            </w:r>
          </w:p>
        </w:tc>
        <w:tc>
          <w:tcPr>
            <w:tcW w:w="2845" w:type="dxa"/>
            <w:tcBorders>
              <w:top w:val="single" w:sz="4" w:space="0" w:color="000000"/>
              <w:bottom w:val="single" w:sz="4" w:space="0" w:color="000000"/>
            </w:tcBorders>
          </w:tcPr>
          <w:p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Equation</w:t>
            </w:r>
          </w:p>
        </w:tc>
        <w:tc>
          <w:tcPr>
            <w:tcW w:w="2484" w:type="dxa"/>
            <w:tcBorders>
              <w:top w:val="single" w:sz="4" w:space="0" w:color="000000"/>
              <w:bottom w:val="single" w:sz="4" w:space="0" w:color="000000"/>
            </w:tcBorders>
          </w:tcPr>
          <w:p w:rsidR="004E0D8A" w:rsidRDefault="009C0D87">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Reference</w:t>
            </w:r>
          </w:p>
        </w:tc>
      </w:tr>
      <w:tr w:rsidR="004E0D8A">
        <w:trPr>
          <w:trHeight w:val="20"/>
        </w:trPr>
        <w:tc>
          <w:tcPr>
            <w:tcW w:w="1638" w:type="dxa"/>
            <w:vMerge w:val="restart"/>
            <w:tcBorders>
              <w:top w:val="single" w:sz="4" w:space="0" w:color="000000"/>
            </w:tcBorders>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Diversity indices</w:t>
            </w:r>
          </w:p>
        </w:tc>
        <w:tc>
          <w:tcPr>
            <w:tcW w:w="2275" w:type="dxa"/>
            <w:tcBorders>
              <w:top w:val="single" w:sz="4" w:space="0" w:color="000000"/>
            </w:tcBorders>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Shannon index </w:t>
            </w:r>
          </w:p>
        </w:tc>
        <w:tc>
          <w:tcPr>
            <w:tcW w:w="2845" w:type="dxa"/>
            <w:tcBorders>
              <w:top w:val="single" w:sz="4" w:space="0" w:color="000000"/>
            </w:tcBorders>
          </w:tcPr>
          <w:p w:rsidR="004E0D8A" w:rsidRDefault="009C0D87">
            <m:oMathPara>
              <m:oMath>
                <m:r>
                  <w:rPr>
                    <w:rFonts w:ascii="Cambria Math" w:eastAsia="Cambria Math" w:hAnsi="Cambria Math" w:cs="Cambria Math"/>
                    <w:color w:val="000000"/>
                  </w:rPr>
                  <m:t>-</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sub>
                  <m:sup>
                    <m:r>
                      <w:rPr>
                        <w:rFonts w:ascii="Cambria Math" w:eastAsia="Cambria Math" w:hAnsi="Cambria Math" w:cs="Cambria Math"/>
                        <w:color w:val="000000"/>
                      </w:rPr>
                      <m:t>n</m:t>
                    </m:r>
                  </m:sup>
                  <m:e>
                    <m:r>
                      <m:rPr>
                        <m:sty m:val="p"/>
                      </m:rPr>
                      <w:rPr>
                        <w:rFonts w:ascii="Cambria Math" w:eastAsia="Cambria Math" w:hAnsi="Cambria Math" w:cs="Cambria Math"/>
                        <w:color w:val="000000"/>
                      </w:rPr>
                      <m:t xml:space="preserve"> </m:t>
                    </m:r>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m:t>
                    </m:r>
                  </m:sub>
                </m:sSub>
                <m:box>
                  <m:boxPr>
                    <m:opEmu m:val="on"/>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m:t>
                    </m:r>
                  </m:sub>
                </m:sSub>
              </m:oMath>
            </m:oMathPara>
          </w:p>
        </w:tc>
        <w:tc>
          <w:tcPr>
            <w:tcW w:w="2484" w:type="dxa"/>
            <w:tcBorders>
              <w:top w:val="single" w:sz="4" w:space="0" w:color="000000"/>
            </w:tcBorders>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000000"/>
              </w:rPr>
              <w:t>Shannon, 1948</w:t>
            </w:r>
          </w:p>
        </w:tc>
      </w:tr>
      <w:tr w:rsidR="004E0D8A">
        <w:trPr>
          <w:trHeight w:val="20"/>
        </w:trPr>
        <w:tc>
          <w:tcPr>
            <w:tcW w:w="1638" w:type="dxa"/>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Brillouin index</w:t>
            </w:r>
          </w:p>
        </w:tc>
        <w:tc>
          <w:tcPr>
            <w:tcW w:w="2845" w:type="dxa"/>
          </w:tcPr>
          <w:p w:rsidR="004E0D8A" w:rsidRDefault="005F201F">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box>
                      <m:boxPr>
                        <m:opEmu m:val="on"/>
                        <m:ctrlPr>
                          <w:rPr>
                            <w:rFonts w:ascii="Cambria Math" w:hAnsi="Cambria Math"/>
                          </w:rPr>
                        </m:ctrlPr>
                      </m:boxPr>
                      <m:e>
                        <m:r>
                          <w:rPr>
                            <w:rFonts w:ascii="Cambria Math" w:hAnsi="Cambria Math"/>
                          </w:rPr>
                          <m:t>ln</m:t>
                        </m:r>
                      </m:e>
                    </m:box>
                    <m:r>
                      <w:rPr>
                        <w:rFonts w:ascii="Cambria Math" w:eastAsia="Cambria Math" w:hAnsi="Cambria Math" w:cs="Cambria Math"/>
                        <w:color w:val="000000"/>
                      </w:rPr>
                      <m:t>lnN</m:t>
                    </m:r>
                    <m:r>
                      <w:rPr>
                        <w:rFonts w:ascii="Cambria Math" w:eastAsia="Cambria Math" w:hAnsi="Cambria Math" w:cs="Cambria Math"/>
                        <w:color w:val="040C28"/>
                      </w:rPr>
                      <m:t>!-</m:t>
                    </m:r>
                    <m:nary>
                      <m:naryPr>
                        <m:chr m:val="∑"/>
                        <m:ctrlPr>
                          <w:rPr>
                            <w:rFonts w:ascii="Cambria Math" w:eastAsia="Cambria Math" w:hAnsi="Cambria Math" w:cs="Cambria Math"/>
                            <w:color w:val="040C28"/>
                          </w:rPr>
                        </m:ctrlPr>
                      </m:naryPr>
                      <m:sub>
                        <m:r>
                          <w:rPr>
                            <w:rFonts w:ascii="Cambria Math" w:eastAsia="Cambria Math" w:hAnsi="Cambria Math" w:cs="Cambria Math"/>
                            <w:color w:val="040C28"/>
                          </w:rPr>
                          <m:t>i=1</m:t>
                        </m:r>
                      </m:sub>
                      <m:sup>
                        <m:r>
                          <w:rPr>
                            <w:rFonts w:ascii="Cambria Math" w:eastAsia="Cambria Math" w:hAnsi="Cambria Math" w:cs="Cambria Math"/>
                            <w:color w:val="040C28"/>
                          </w:rPr>
                          <m:t>s</m:t>
                        </m:r>
                      </m:sup>
                      <m:e>
                        <m:r>
                          <m:rPr>
                            <m:sty m:val="p"/>
                          </m:rPr>
                          <w:rPr>
                            <w:rFonts w:ascii="Cambria Math" w:eastAsia="Cambria Math" w:hAnsi="Cambria Math" w:cs="Cambria Math"/>
                            <w:color w:val="040C28"/>
                          </w:rPr>
                          <m:t xml:space="preserve"> </m:t>
                        </m:r>
                      </m:e>
                    </m:nary>
                    <m:box>
                      <m:boxPr>
                        <m:opEmu m:val="on"/>
                        <m:ctrlPr>
                          <w:rPr>
                            <w:rFonts w:ascii="Cambria Math" w:eastAsia="Cambria Math" w:hAnsi="Cambria Math" w:cs="Cambria Math"/>
                            <w:color w:val="040C28"/>
                          </w:rPr>
                        </m:ctrlPr>
                      </m:boxPr>
                      <m:e>
                        <m:r>
                          <w:rPr>
                            <w:rFonts w:ascii="Cambria Math" w:eastAsia="Cambria Math" w:hAnsi="Cambria Math" w:cs="Cambria Math"/>
                            <w:color w:val="040C28"/>
                          </w:rPr>
                          <m:t>ln</m:t>
                        </m:r>
                      </m:e>
                    </m:box>
                    <m:r>
                      <w:rPr>
                        <w:rFonts w:ascii="Cambria Math" w:eastAsia="Cambria Math" w:hAnsi="Cambria Math" w:cs="Cambria Math"/>
                        <w:color w:val="040C28"/>
                      </w:rPr>
                      <m:t>ln</m:t>
                    </m:r>
                    <m:sSub>
                      <m:sSubPr>
                        <m:ctrlPr>
                          <w:rPr>
                            <w:rFonts w:ascii="Cambria Math" w:eastAsia="Cambria Math" w:hAnsi="Cambria Math" w:cs="Cambria Math"/>
                            <w:color w:val="040C28"/>
                          </w:rPr>
                        </m:ctrlPr>
                      </m:sSubPr>
                      <m:e>
                        <m:r>
                          <w:rPr>
                            <w:rFonts w:ascii="Cambria Math" w:eastAsia="Cambria Math" w:hAnsi="Cambria Math" w:cs="Cambria Math"/>
                            <w:color w:val="040C28"/>
                          </w:rPr>
                          <m:t>n</m:t>
                        </m:r>
                      </m:e>
                      <m:sub>
                        <m:r>
                          <w:rPr>
                            <w:rFonts w:ascii="Cambria Math" w:eastAsia="Cambria Math" w:hAnsi="Cambria Math" w:cs="Cambria Math"/>
                            <w:color w:val="040C28"/>
                          </w:rPr>
                          <m:t>i</m:t>
                        </m:r>
                      </m:sub>
                    </m:sSub>
                    <m:r>
                      <w:rPr>
                        <w:rFonts w:ascii="Cambria Math" w:eastAsia="Cambria Math" w:hAnsi="Cambria Math" w:cs="Cambria Math"/>
                        <w:color w:val="040C28"/>
                      </w:rPr>
                      <m:t>!</m:t>
                    </m:r>
                  </m:num>
                  <m:den>
                    <m:r>
                      <w:rPr>
                        <w:rFonts w:ascii="Cambria Math" w:eastAsia="Cambria Math" w:hAnsi="Cambria Math" w:cs="Cambria Math"/>
                        <w:color w:val="000000"/>
                      </w:rPr>
                      <m:t>N</m:t>
                    </m:r>
                  </m:den>
                </m:f>
              </m:oMath>
            </m:oMathPara>
          </w:p>
        </w:tc>
        <w:tc>
          <w:tcPr>
            <w:tcW w:w="2484" w:type="dxa"/>
          </w:tcPr>
          <w:p w:rsidR="004E0D8A" w:rsidRDefault="009C0D87">
            <w:pPr>
              <w:jc w:val="both"/>
              <w:rPr>
                <w:rFonts w:ascii="Times New Roman" w:eastAsia="Times New Roman" w:hAnsi="Times New Roman" w:cs="Times New Roman"/>
                <w:color w:val="010100"/>
              </w:rPr>
            </w:pPr>
            <w:r>
              <w:rPr>
                <w:rFonts w:ascii="Times New Roman" w:eastAsia="Times New Roman" w:hAnsi="Times New Roman" w:cs="Times New Roman"/>
                <w:color w:val="010100"/>
              </w:rPr>
              <w:t>Peet, 1975</w:t>
            </w:r>
          </w:p>
        </w:tc>
      </w:tr>
      <w:tr w:rsidR="004E0D8A">
        <w:trPr>
          <w:trHeight w:val="20"/>
        </w:trPr>
        <w:tc>
          <w:tcPr>
            <w:tcW w:w="1638" w:type="dxa"/>
            <w:vMerge w:val="restart"/>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Richness indices</w:t>
            </w: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Margalef index</w:t>
            </w:r>
          </w:p>
        </w:tc>
        <w:tc>
          <w:tcPr>
            <w:tcW w:w="2845" w:type="dxa"/>
          </w:tcPr>
          <w:p w:rsidR="004E0D8A" w:rsidRDefault="005F201F">
            <m:oMathPara>
              <m:oMath>
                <m:f>
                  <m:fPr>
                    <m:ctrlPr>
                      <w:rPr>
                        <w:rFonts w:ascii="Cambria Math" w:hAnsi="Cambria Math"/>
                      </w:rPr>
                    </m:ctrlPr>
                  </m:fPr>
                  <m:num>
                    <m:r>
                      <w:rPr>
                        <w:rFonts w:ascii="Cambria Math" w:eastAsia="Cambria Math" w:hAnsi="Cambria Math" w:cs="Cambria Math"/>
                        <w:color w:val="000000"/>
                      </w:rPr>
                      <m:t>S-1</m:t>
                    </m:r>
                  </m:num>
                  <m:den>
                    <m:box>
                      <m:boxPr>
                        <m:opEmu m:val="on"/>
                        <m:ctrlPr>
                          <w:rPr>
                            <w:rFonts w:ascii="Cambria Math" w:eastAsia="Cambria Math" w:hAnsi="Cambria Math" w:cs="Cambria Math"/>
                            <w:color w:val="000000"/>
                          </w:rPr>
                        </m:ctrlPr>
                      </m:boxPr>
                      <m:e>
                        <m:r>
                          <w:rPr>
                            <w:rFonts w:ascii="Cambria Math" w:eastAsia="Cambria Math" w:hAnsi="Cambria Math" w:cs="Cambria Math"/>
                            <w:color w:val="000000"/>
                          </w:rPr>
                          <m:t>ln</m:t>
                        </m:r>
                      </m:e>
                    </m:box>
                    <m:r>
                      <w:rPr>
                        <w:rFonts w:ascii="Cambria Math" w:eastAsia="Cambria Math" w:hAnsi="Cambria Math" w:cs="Cambria Math"/>
                        <w:color w:val="000000"/>
                      </w:rPr>
                      <m:t>lnN</m:t>
                    </m:r>
                  </m:den>
                </m:f>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222222"/>
                <w:highlight w:val="white"/>
              </w:rPr>
              <w:t>Margalef, 1958</w:t>
            </w:r>
          </w:p>
        </w:tc>
      </w:tr>
      <w:tr w:rsidR="004E0D8A">
        <w:trPr>
          <w:trHeight w:val="20"/>
        </w:trPr>
        <w:tc>
          <w:tcPr>
            <w:tcW w:w="1638" w:type="dxa"/>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Menhinick index </w:t>
            </w:r>
          </w:p>
        </w:tc>
        <w:tc>
          <w:tcPr>
            <w:tcW w:w="2845" w:type="dxa"/>
          </w:tcPr>
          <w:p w:rsidR="004E0D8A" w:rsidRDefault="005F201F">
            <w:pP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S</m:t>
                    </m:r>
                  </m:num>
                  <m:den>
                    <m:rad>
                      <m:radPr>
                        <m:degHide m:val="on"/>
                        <m:ctrlPr>
                          <w:rPr>
                            <w:rFonts w:ascii="Cambria Math" w:eastAsia="Cambria Math" w:hAnsi="Cambria Math" w:cs="Cambria Math"/>
                          </w:rPr>
                        </m:ctrlPr>
                      </m:radPr>
                      <m:deg/>
                      <m:e>
                        <m:r>
                          <w:rPr>
                            <w:rFonts w:ascii="Cambria Math" w:eastAsia="Cambria Math" w:hAnsi="Cambria Math" w:cs="Cambria Math"/>
                          </w:rPr>
                          <m:t>N</m:t>
                        </m:r>
                      </m:e>
                    </m:rad>
                  </m:den>
                </m:f>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222222"/>
                <w:highlight w:val="white"/>
              </w:rPr>
              <w:t>Menhinick, 1964</w:t>
            </w:r>
          </w:p>
        </w:tc>
      </w:tr>
      <w:tr w:rsidR="004E0D8A">
        <w:trPr>
          <w:trHeight w:val="20"/>
        </w:trPr>
        <w:tc>
          <w:tcPr>
            <w:tcW w:w="1638" w:type="dxa"/>
            <w:vMerge w:val="restart"/>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Evenness indices</w:t>
            </w: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Sheldon index </w:t>
            </w:r>
          </w:p>
        </w:tc>
        <w:tc>
          <w:tcPr>
            <w:tcW w:w="2845" w:type="dxa"/>
          </w:tcPr>
          <w:p w:rsidR="004E0D8A" w:rsidRDefault="005F201F">
            <w:pPr>
              <w:rPr>
                <w:rFonts w:ascii="Cambria Math" w:eastAsia="Cambria Math" w:hAnsi="Cambria Math" w:cs="Cambria Math"/>
              </w:rPr>
            </w:pPr>
            <m:oMathPara>
              <m:oMath>
                <m:f>
                  <m:fPr>
                    <m:ctrlPr>
                      <w:rPr>
                        <w:rFonts w:ascii="Cambria Math" w:eastAsia="Cambria Math" w:hAnsi="Cambria Math" w:cs="Cambria Math"/>
                      </w:rPr>
                    </m:ctrlPr>
                  </m:fPr>
                  <m:num>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H</m:t>
                            </m:r>
                          </m:sup>
                        </m:sSup>
                      </m:e>
                      <m:sup>
                        <m:r>
                          <w:rPr>
                            <w:rFonts w:ascii="Cambria Math" w:eastAsia="Cambria Math" w:hAnsi="Cambria Math" w:cs="Cambria Math"/>
                          </w:rPr>
                          <m:t>'</m:t>
                        </m:r>
                      </m:sup>
                    </m:sSup>
                  </m:num>
                  <m:den>
                    <m:r>
                      <w:rPr>
                        <w:rFonts w:ascii="Cambria Math" w:eastAsia="Cambria Math" w:hAnsi="Cambria Math" w:cs="Cambria Math"/>
                      </w:rPr>
                      <m:t>S</m:t>
                    </m:r>
                  </m:den>
                </m:f>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000000"/>
              </w:rPr>
              <w:t>Sheldon, 1969</w:t>
            </w:r>
          </w:p>
        </w:tc>
      </w:tr>
      <w:tr w:rsidR="004E0D8A">
        <w:trPr>
          <w:trHeight w:val="20"/>
        </w:trPr>
        <w:tc>
          <w:tcPr>
            <w:tcW w:w="1638" w:type="dxa"/>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Heip index </w:t>
            </w:r>
          </w:p>
        </w:tc>
        <w:tc>
          <w:tcPr>
            <w:tcW w:w="2845" w:type="dxa"/>
          </w:tcPr>
          <w:p w:rsidR="004E0D8A" w:rsidRDefault="005F201F">
            <w:pPr>
              <w:rPr>
                <w:rFonts w:ascii="Cambria Math" w:eastAsia="Cambria Math" w:hAnsi="Cambria Math" w:cs="Cambria Math"/>
              </w:rPr>
            </w:pPr>
            <m:oMathPara>
              <m:oMath>
                <m:f>
                  <m:fPr>
                    <m:ctrlPr>
                      <w:rPr>
                        <w:rFonts w:ascii="Cambria Math" w:eastAsia="Cambria Math" w:hAnsi="Cambria Math" w:cs="Cambria Math"/>
                      </w:rPr>
                    </m:ctrlPr>
                  </m:fPr>
                  <m:num>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H</m:t>
                            </m:r>
                          </m:sup>
                        </m:sSup>
                      </m:e>
                      <m:sup>
                        <m:r>
                          <w:rPr>
                            <w:rFonts w:ascii="Cambria Math" w:eastAsia="Cambria Math" w:hAnsi="Cambria Math" w:cs="Cambria Math"/>
                          </w:rPr>
                          <m:t>'</m:t>
                        </m:r>
                      </m:sup>
                    </m:sSup>
                    <m:r>
                      <w:rPr>
                        <w:rFonts w:ascii="Cambria Math" w:eastAsia="Cambria Math" w:hAnsi="Cambria Math" w:cs="Cambria Math"/>
                      </w:rPr>
                      <m:t>-1</m:t>
                    </m:r>
                  </m:num>
                  <m:den>
                    <m:r>
                      <w:rPr>
                        <w:rFonts w:ascii="Cambria Math" w:eastAsia="Cambria Math" w:hAnsi="Cambria Math" w:cs="Cambria Math"/>
                      </w:rPr>
                      <m:t>S-1</m:t>
                    </m:r>
                  </m:den>
                </m:f>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rPr>
              <w:t>Heip, 1974</w:t>
            </w:r>
          </w:p>
        </w:tc>
      </w:tr>
      <w:tr w:rsidR="004E0D8A">
        <w:trPr>
          <w:trHeight w:val="20"/>
        </w:trPr>
        <w:tc>
          <w:tcPr>
            <w:tcW w:w="1638" w:type="dxa"/>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Pielou index </w:t>
            </w:r>
          </w:p>
        </w:tc>
        <w:tc>
          <w:tcPr>
            <w:tcW w:w="2845" w:type="dxa"/>
          </w:tcPr>
          <w:p w:rsidR="004E0D8A" w:rsidRDefault="005F201F">
            <m:oMathPara>
              <m:oMath>
                <m:f>
                  <m:fPr>
                    <m:ctrlPr>
                      <w:rPr>
                        <w:rFonts w:ascii="Cambria Math" w:hAnsi="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m:t>
                        </m:r>
                      </m:sup>
                    </m:sSup>
                  </m:num>
                  <m:den>
                    <m:box>
                      <m:boxPr>
                        <m:opEmu m:val="on"/>
                        <m:ctrlPr>
                          <w:rPr>
                            <w:rFonts w:ascii="Cambria Math" w:eastAsia="Cambria Math" w:hAnsi="Cambria Math" w:cs="Cambria Math"/>
                          </w:rPr>
                        </m:ctrlPr>
                      </m:boxPr>
                      <m:e>
                        <m:r>
                          <w:rPr>
                            <w:rFonts w:ascii="Cambria Math" w:eastAsia="Cambria Math" w:hAnsi="Cambria Math" w:cs="Cambria Math"/>
                          </w:rPr>
                          <m:t>ln</m:t>
                        </m:r>
                      </m:e>
                    </m:box>
                    <m:r>
                      <w:rPr>
                        <w:rFonts w:ascii="Cambria Math" w:eastAsia="Cambria Math" w:hAnsi="Cambria Math" w:cs="Cambria Math"/>
                      </w:rPr>
                      <m:t>lnS</m:t>
                    </m:r>
                  </m:den>
                </m:f>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highlight w:val="white"/>
              </w:rPr>
              <w:t>Pielou, 1966</w:t>
            </w:r>
          </w:p>
        </w:tc>
      </w:tr>
      <w:tr w:rsidR="004E0D8A">
        <w:trPr>
          <w:trHeight w:val="20"/>
        </w:trPr>
        <w:tc>
          <w:tcPr>
            <w:tcW w:w="1638" w:type="dxa"/>
            <w:vMerge w:val="restart"/>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Dominance Indices</w:t>
            </w: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Berger-Parker index</w:t>
            </w:r>
          </w:p>
        </w:tc>
        <w:tc>
          <w:tcPr>
            <w:tcW w:w="2845" w:type="dxa"/>
          </w:tcPr>
          <w:p w:rsidR="004E0D8A" w:rsidRDefault="005F201F">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max</m:t>
                        </m:r>
                      </m:sub>
                    </m:sSub>
                  </m:num>
                  <m:den>
                    <m:r>
                      <w:rPr>
                        <w:rFonts w:ascii="Cambria Math" w:eastAsia="Cambria Math" w:hAnsi="Cambria Math" w:cs="Cambria Math"/>
                        <w:color w:val="000000"/>
                      </w:rPr>
                      <m:t>N</m:t>
                    </m:r>
                  </m:den>
                </m:f>
              </m:oMath>
            </m:oMathPara>
          </w:p>
        </w:tc>
        <w:tc>
          <w:tcPr>
            <w:tcW w:w="2484"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Berger and Parker, 1970</w:t>
            </w:r>
          </w:p>
        </w:tc>
      </w:tr>
      <w:tr w:rsidR="004E0D8A">
        <w:trPr>
          <w:trHeight w:val="20"/>
        </w:trPr>
        <w:tc>
          <w:tcPr>
            <w:tcW w:w="1638" w:type="dxa"/>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75" w:type="dxa"/>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Simpson index</w:t>
            </w:r>
          </w:p>
        </w:tc>
        <w:tc>
          <w:tcPr>
            <w:tcW w:w="2845" w:type="dxa"/>
          </w:tcPr>
          <w:p w:rsidR="004E0D8A" w:rsidRDefault="005F201F">
            <w:pPr>
              <w:rPr>
                <w:rFonts w:ascii="Cambria Math" w:eastAsia="Cambria Math" w:hAnsi="Cambria Math" w:cs="Cambria Math"/>
              </w:rPr>
            </w:pPr>
            <m:oMathPara>
              <m:oMath>
                <m:nary>
                  <m:naryPr>
                    <m:chr m:val="∑"/>
                    <m:ctrlPr>
                      <w:rPr>
                        <w:rFonts w:ascii="Cambria Math" w:hAnsi="Cambria Math"/>
                      </w:rPr>
                    </m:ctrlPr>
                  </m:naryPr>
                  <m:sub>
                    <m:r>
                      <m:rPr>
                        <m:sty m:val="p"/>
                      </m:rPr>
                      <w:rPr>
                        <w:rFonts w:ascii="Cambria Math" w:hAnsi="Cambria Math"/>
                      </w:rPr>
                      <m:t xml:space="preserve"> </m:t>
                    </m:r>
                  </m:sub>
                  <m:sup>
                    <m:r>
                      <m:rPr>
                        <m:sty m:val="p"/>
                      </m:rPr>
                      <w:rPr>
                        <w:rFonts w:ascii="Cambria Math" w:hAnsi="Cambria Math"/>
                      </w:rPr>
                      <m:t xml:space="preserve"> </m:t>
                    </m:r>
                  </m:sup>
                  <m:e>
                    <m:r>
                      <m:rPr>
                        <m:sty m:val="p"/>
                      </m:rPr>
                      <w:rPr>
                        <w:rFonts w:ascii="Cambria Math" w:hAnsi="Cambria Math"/>
                      </w:rPr>
                      <m:t xml:space="preserve"> </m:t>
                    </m:r>
                  </m:e>
                </m:nary>
                <m:sSup>
                  <m:sSupPr>
                    <m:ctrlPr>
                      <w:rPr>
                        <w:rFonts w:ascii="Cambria Math" w:eastAsia="Cambria Math" w:hAnsi="Cambria Math" w:cs="Cambria Math"/>
                      </w:rPr>
                    </m:ctrlPr>
                  </m:sSupPr>
                  <m:e>
                    <m:sSub>
                      <m:sSubPr>
                        <m:ctrlPr>
                          <w:rPr>
                            <w:rFonts w:ascii="Cambria Math" w:eastAsia="Cambria Math" w:hAnsi="Cambria Math" w:cs="Cambria Math"/>
                            <w:vertAlign w:val="subscript"/>
                          </w:rPr>
                        </m:ctrlPr>
                      </m:sSubPr>
                      <m:e>
                        <m:r>
                          <w:rPr>
                            <w:rFonts w:ascii="Cambria Math" w:eastAsia="Cambria Math" w:hAnsi="Cambria Math" w:cs="Cambria Math"/>
                            <w:vertAlign w:val="subscript"/>
                          </w:rPr>
                          <m:t>p</m:t>
                        </m:r>
                      </m:e>
                      <m:sub>
                        <m:r>
                          <w:rPr>
                            <w:rFonts w:ascii="Cambria Math" w:eastAsia="Cambria Math" w:hAnsi="Cambria Math" w:cs="Cambria Math"/>
                            <w:vertAlign w:val="subscript"/>
                          </w:rPr>
                          <m:t>i</m:t>
                        </m:r>
                      </m:sub>
                    </m:sSub>
                  </m:e>
                  <m:sup>
                    <m:r>
                      <w:rPr>
                        <w:rFonts w:ascii="Cambria Math" w:eastAsia="Cambria Math" w:hAnsi="Cambria Math" w:cs="Cambria Math"/>
                      </w:rPr>
                      <m:t>2</m:t>
                    </m:r>
                  </m:sup>
                </m:sSup>
              </m:oMath>
            </m:oMathPara>
          </w:p>
        </w:tc>
        <w:tc>
          <w:tcPr>
            <w:tcW w:w="2484" w:type="dxa"/>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rPr>
              <w:t>Simpson, 1949</w:t>
            </w:r>
          </w:p>
        </w:tc>
      </w:tr>
      <w:tr w:rsidR="004E0D8A">
        <w:trPr>
          <w:trHeight w:val="20"/>
        </w:trPr>
        <w:tc>
          <w:tcPr>
            <w:tcW w:w="1638" w:type="dxa"/>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75" w:type="dxa"/>
            <w:tcBorders>
              <w:bottom w:val="single" w:sz="4" w:space="0" w:color="000000"/>
            </w:tcBorders>
          </w:tcPr>
          <w:p w:rsidR="004E0D8A" w:rsidRDefault="009C0D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McIntosh index </w:t>
            </w:r>
          </w:p>
        </w:tc>
        <w:tc>
          <w:tcPr>
            <w:tcW w:w="2845" w:type="dxa"/>
            <w:tcBorders>
              <w:bottom w:val="single" w:sz="4" w:space="0" w:color="000000"/>
            </w:tcBorders>
          </w:tcPr>
          <w:p w:rsidR="004E0D8A" w:rsidRDefault="005F201F">
            <w:pP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N-√</m:t>
                    </m:r>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S</m:t>
                        </m:r>
                      </m:sup>
                      <m:e>
                        <m:r>
                          <m:rPr>
                            <m:sty m:val="p"/>
                          </m:rPr>
                          <w:rPr>
                            <w:rFonts w:ascii="Cambria Math" w:eastAsia="Cambria Math" w:hAnsi="Cambria Math" w:cs="Cambria Math"/>
                            <w:color w:val="000000"/>
                          </w:rPr>
                          <m:t xml:space="preserve"> </m:t>
                        </m:r>
                      </m:e>
                    </m:nary>
                    <m:sSup>
                      <m:sSupPr>
                        <m:ctrlPr>
                          <w:rPr>
                            <w:rFonts w:ascii="Cambria Math" w:eastAsia="Cambria Math" w:hAnsi="Cambria Math" w:cs="Cambria Math"/>
                            <w:color w:val="000000"/>
                          </w:rPr>
                        </m:ctrlPr>
                      </m:sSupPr>
                      <m:e>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i</m:t>
                            </m:r>
                          </m:sub>
                        </m:sSub>
                      </m:e>
                      <m:sup>
                        <m:r>
                          <w:rPr>
                            <w:rFonts w:ascii="Cambria Math" w:eastAsia="Cambria Math" w:hAnsi="Cambria Math" w:cs="Cambria Math"/>
                            <w:color w:val="000000"/>
                          </w:rPr>
                          <m:t>2</m:t>
                        </m:r>
                      </m:sup>
                    </m:sSup>
                  </m:num>
                  <m:den>
                    <m:r>
                      <w:rPr>
                        <w:rFonts w:ascii="Cambria Math" w:eastAsia="Cambria Math" w:hAnsi="Cambria Math" w:cs="Cambria Math"/>
                        <w:color w:val="000000"/>
                      </w:rPr>
                      <m:t>(N-</m:t>
                    </m:r>
                    <m:rad>
                      <m:radPr>
                        <m:degHide m:val="on"/>
                        <m:ctrlPr>
                          <w:rPr>
                            <w:rFonts w:ascii="Cambria Math" w:eastAsia="Cambria Math" w:hAnsi="Cambria Math" w:cs="Cambria Math"/>
                            <w:color w:val="000000"/>
                          </w:rPr>
                        </m:ctrlPr>
                      </m:radPr>
                      <m:deg/>
                      <m:e>
                        <m:r>
                          <w:rPr>
                            <w:rFonts w:ascii="Cambria Math" w:eastAsia="Cambria Math" w:hAnsi="Cambria Math" w:cs="Cambria Math"/>
                            <w:color w:val="000000"/>
                          </w:rPr>
                          <m:t>N</m:t>
                        </m:r>
                      </m:e>
                    </m:rad>
                    <m:r>
                      <w:rPr>
                        <w:rFonts w:ascii="Cambria Math" w:eastAsia="Cambria Math" w:hAnsi="Cambria Math" w:cs="Cambria Math"/>
                        <w:color w:val="000000"/>
                      </w:rPr>
                      <m:t>)</m:t>
                    </m:r>
                  </m:den>
                </m:f>
              </m:oMath>
            </m:oMathPara>
          </w:p>
        </w:tc>
        <w:tc>
          <w:tcPr>
            <w:tcW w:w="2484" w:type="dxa"/>
            <w:tcBorders>
              <w:bottom w:val="single" w:sz="4" w:space="0" w:color="000000"/>
            </w:tcBorders>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color w:val="222222"/>
                <w:highlight w:val="white"/>
              </w:rPr>
              <w:t>McIntosh, 1967</w:t>
            </w:r>
          </w:p>
        </w:tc>
      </w:tr>
    </w:tbl>
    <w:p w:rsidR="004E0D8A" w:rsidRDefault="009C0D87">
      <w:pPr>
        <w:spacing w:line="240" w:lineRule="auto"/>
        <w:jc w:val="both"/>
        <w:rPr>
          <w:rFonts w:ascii="Times New Roman" w:eastAsia="Times New Roman" w:hAnsi="Times New Roman" w:cs="Times New Roman"/>
          <w:sz w:val="32"/>
          <w:szCs w:val="32"/>
        </w:rPr>
      </w:pPr>
      <w:r>
        <w:rPr>
          <w:rFonts w:ascii="Times New Roman" w:eastAsia="Times New Roman" w:hAnsi="Times New Roman" w:cs="Times New Roman"/>
          <w:color w:val="010100"/>
          <w:sz w:val="24"/>
          <w:szCs w:val="24"/>
        </w:rPr>
        <w:t>Note: N = total no. of individuals; n</w:t>
      </w:r>
      <w:r>
        <w:rPr>
          <w:rFonts w:ascii="Times New Roman" w:eastAsia="Times New Roman" w:hAnsi="Times New Roman" w:cs="Times New Roman"/>
          <w:color w:val="010100"/>
          <w:sz w:val="24"/>
          <w:szCs w:val="24"/>
          <w:vertAlign w:val="subscript"/>
        </w:rPr>
        <w:t>i</w:t>
      </w:r>
      <w:r>
        <w:rPr>
          <w:rFonts w:ascii="Times New Roman" w:eastAsia="Times New Roman" w:hAnsi="Times New Roman" w:cs="Times New Roman"/>
          <w:color w:val="010100"/>
          <w:sz w:val="24"/>
          <w:szCs w:val="24"/>
        </w:rPr>
        <w:t xml:space="preserve"> = no. of individuals of i</w:t>
      </w:r>
      <w:r>
        <w:rPr>
          <w:rFonts w:ascii="Times New Roman" w:eastAsia="Times New Roman" w:hAnsi="Times New Roman" w:cs="Times New Roman"/>
          <w:color w:val="010100"/>
          <w:sz w:val="24"/>
          <w:szCs w:val="24"/>
          <w:vertAlign w:val="superscript"/>
        </w:rPr>
        <w:t>th</w:t>
      </w:r>
      <w:r>
        <w:rPr>
          <w:rFonts w:ascii="Times New Roman" w:eastAsia="Times New Roman" w:hAnsi="Times New Roman" w:cs="Times New Roman"/>
          <w:color w:val="010100"/>
          <w:sz w:val="24"/>
          <w:szCs w:val="24"/>
        </w:rPr>
        <w:t xml:space="preserve"> species; S = </w:t>
      </w:r>
      <w:r>
        <w:rPr>
          <w:rFonts w:ascii="Times New Roman" w:eastAsia="Times New Roman" w:hAnsi="Times New Roman" w:cs="Times New Roman"/>
          <w:sz w:val="24"/>
          <w:szCs w:val="24"/>
        </w:rPr>
        <w:t xml:space="preserve">total no. of species; </w:t>
      </w:r>
      <w:r>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vertAlign w:val="subscript"/>
        </w:rPr>
        <w:t>max</w:t>
      </w:r>
      <w:r>
        <w:rPr>
          <w:rFonts w:ascii="Times New Roman" w:eastAsia="Times New Roman" w:hAnsi="Times New Roman" w:cs="Times New Roman"/>
          <w:sz w:val="24"/>
          <w:szCs w:val="24"/>
          <w:highlight w:val="white"/>
        </w:rPr>
        <w:t xml:space="preserve"> = no. of individuals of most abundant species;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 proportion of species in a community (n</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/N)</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 AND DISCUSSION</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Diversity of insect pest complex</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has documented a total of 16 species of insect pests under 16 different families infesting litchi plants from these two sub-regions of Zone II. This insect pest complex included six Coleopteran, two Hemipteran, and six Lepidopteran pests, and one pest from each of the Diptera and Sarcoptiformes (Acari) orders (Table 2). Furthermore, there was also little variation in qualitative species composition between sub-region II and sub-region V. The occurrence of these insect pests in litchi orchards has also been reported from different </w:t>
      </w:r>
      <w:r>
        <w:rPr>
          <w:rFonts w:ascii="Times New Roman" w:eastAsia="Times New Roman" w:hAnsi="Times New Roman" w:cs="Times New Roman"/>
          <w:sz w:val="24"/>
          <w:szCs w:val="24"/>
        </w:rPr>
        <w:lastRenderedPageBreak/>
        <w:t xml:space="preserve">parts of India, causing mild to serious damage to the plants (Hameed et al., 1992, 2001; Singh et al., 2001; Kumar et al., 2011; Choudhary et al., 2013; Kumar et al., 2013; </w:t>
      </w:r>
      <w:r>
        <w:rPr>
          <w:rFonts w:ascii="Times New Roman" w:eastAsia="Times New Roman" w:hAnsi="Times New Roman" w:cs="Times New Roman"/>
          <w:color w:val="000000"/>
          <w:sz w:val="24"/>
          <w:szCs w:val="24"/>
        </w:rPr>
        <w:t>Kar et al., 2023</w:t>
      </w:r>
      <w:r>
        <w:rPr>
          <w:rFonts w:ascii="Times New Roman" w:eastAsia="Times New Roman" w:hAnsi="Times New Roman" w:cs="Times New Roman"/>
          <w:sz w:val="24"/>
          <w:szCs w:val="24"/>
        </w:rPr>
        <w:t>).</w:t>
      </w:r>
    </w:p>
    <w:p w:rsidR="004E0D8A" w:rsidRDefault="009C0D8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Diversity of insect pests observed during the period of study (2022-24) </w:t>
      </w:r>
    </w:p>
    <w:tbl>
      <w:tblPr>
        <w:tblStyle w:val="a0"/>
        <w:tblW w:w="5000" w:type="pct"/>
        <w:tblInd w:w="0" w:type="dxa"/>
        <w:tblBorders>
          <w:top w:val="nil"/>
          <w:left w:val="nil"/>
          <w:bottom w:val="nil"/>
          <w:right w:val="nil"/>
          <w:insideH w:val="nil"/>
          <w:insideV w:val="nil"/>
        </w:tblBorders>
        <w:tblLook w:val="0400"/>
      </w:tblPr>
      <w:tblGrid>
        <w:gridCol w:w="1746"/>
        <w:gridCol w:w="1737"/>
        <w:gridCol w:w="2410"/>
        <w:gridCol w:w="3349"/>
      </w:tblGrid>
      <w:tr w:rsidR="004E0D8A" w:rsidTr="003D155A">
        <w:tc>
          <w:tcPr>
            <w:tcW w:w="944" w:type="pct"/>
            <w:tcBorders>
              <w:top w:val="single" w:sz="4" w:space="0" w:color="000000"/>
              <w:bottom w:val="single" w:sz="4" w:space="0" w:color="000000"/>
            </w:tcBorders>
          </w:tcPr>
          <w:p w:rsidR="004E0D8A" w:rsidRDefault="009C0D87">
            <w:pPr>
              <w:rPr>
                <w:rFonts w:ascii="Times New Roman" w:eastAsia="Times New Roman" w:hAnsi="Times New Roman" w:cs="Times New Roman"/>
                <w:b/>
              </w:rPr>
            </w:pPr>
            <w:r>
              <w:rPr>
                <w:rFonts w:ascii="Times New Roman" w:eastAsia="Times New Roman" w:hAnsi="Times New Roman" w:cs="Times New Roman"/>
                <w:b/>
              </w:rPr>
              <w:t>Order</w:t>
            </w:r>
          </w:p>
        </w:tc>
        <w:tc>
          <w:tcPr>
            <w:tcW w:w="940" w:type="pct"/>
            <w:tcBorders>
              <w:top w:val="single" w:sz="4" w:space="0" w:color="000000"/>
              <w:bottom w:val="single" w:sz="4" w:space="0" w:color="000000"/>
            </w:tcBorders>
          </w:tcPr>
          <w:p w:rsidR="004E0D8A" w:rsidRDefault="009C0D87">
            <w:pPr>
              <w:rPr>
                <w:rFonts w:ascii="Times New Roman" w:eastAsia="Times New Roman" w:hAnsi="Times New Roman" w:cs="Times New Roman"/>
                <w:b/>
              </w:rPr>
            </w:pPr>
            <w:r>
              <w:rPr>
                <w:rFonts w:ascii="Times New Roman" w:eastAsia="Times New Roman" w:hAnsi="Times New Roman" w:cs="Times New Roman"/>
                <w:b/>
              </w:rPr>
              <w:t>Family</w:t>
            </w:r>
          </w:p>
        </w:tc>
        <w:tc>
          <w:tcPr>
            <w:tcW w:w="1304" w:type="pct"/>
            <w:tcBorders>
              <w:top w:val="single" w:sz="4" w:space="0" w:color="000000"/>
              <w:bottom w:val="single" w:sz="4" w:space="0" w:color="000000"/>
            </w:tcBorders>
          </w:tcPr>
          <w:p w:rsidR="004E0D8A" w:rsidRDefault="009C0D87">
            <w:pPr>
              <w:rPr>
                <w:rFonts w:ascii="Times New Roman" w:eastAsia="Times New Roman" w:hAnsi="Times New Roman" w:cs="Times New Roman"/>
                <w:b/>
              </w:rPr>
            </w:pPr>
            <w:r>
              <w:rPr>
                <w:rFonts w:ascii="Times New Roman" w:eastAsia="Times New Roman" w:hAnsi="Times New Roman" w:cs="Times New Roman"/>
                <w:b/>
              </w:rPr>
              <w:t>Common name</w:t>
            </w:r>
          </w:p>
        </w:tc>
        <w:tc>
          <w:tcPr>
            <w:tcW w:w="1813" w:type="pct"/>
            <w:tcBorders>
              <w:top w:val="single" w:sz="4" w:space="0" w:color="000000"/>
              <w:bottom w:val="single" w:sz="4" w:space="0" w:color="000000"/>
            </w:tcBorders>
          </w:tcPr>
          <w:p w:rsidR="004E0D8A" w:rsidRDefault="009C0D87">
            <w:pPr>
              <w:rPr>
                <w:rFonts w:ascii="Times New Roman" w:eastAsia="Times New Roman" w:hAnsi="Times New Roman" w:cs="Times New Roman"/>
                <w:b/>
              </w:rPr>
            </w:pPr>
            <w:r>
              <w:rPr>
                <w:rFonts w:ascii="Times New Roman" w:eastAsia="Times New Roman" w:hAnsi="Times New Roman" w:cs="Times New Roman"/>
                <w:b/>
              </w:rPr>
              <w:t>Scientific name</w:t>
            </w:r>
          </w:p>
        </w:tc>
      </w:tr>
      <w:tr w:rsidR="004E0D8A" w:rsidTr="003D155A">
        <w:tc>
          <w:tcPr>
            <w:tcW w:w="944" w:type="pct"/>
            <w:vMerge w:val="restart"/>
            <w:tcBorders>
              <w:top w:val="single" w:sz="4" w:space="0" w:color="000000"/>
            </w:tcBorders>
          </w:tcPr>
          <w:p w:rsidR="004E0D8A" w:rsidRDefault="009C0D87">
            <w:r>
              <w:rPr>
                <w:rFonts w:ascii="Times New Roman" w:eastAsia="Times New Roman" w:hAnsi="Times New Roman" w:cs="Times New Roman"/>
              </w:rPr>
              <w:t>Coleoptera</w:t>
            </w:r>
          </w:p>
          <w:p w:rsidR="004E0D8A" w:rsidRDefault="004E0D8A"/>
        </w:tc>
        <w:tc>
          <w:tcPr>
            <w:tcW w:w="940" w:type="pct"/>
            <w:tcBorders>
              <w:top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Curculionidae</w:t>
            </w:r>
          </w:p>
        </w:tc>
        <w:tc>
          <w:tcPr>
            <w:tcW w:w="1304" w:type="pct"/>
            <w:tcBorders>
              <w:top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Grey weevil</w:t>
            </w:r>
          </w:p>
        </w:tc>
        <w:tc>
          <w:tcPr>
            <w:tcW w:w="1813" w:type="pct"/>
            <w:tcBorders>
              <w:top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i/>
              </w:rPr>
              <w:t>Myllocerus</w:t>
            </w:r>
            <w:r>
              <w:rPr>
                <w:rFonts w:ascii="Times New Roman" w:eastAsia="Times New Roman" w:hAnsi="Times New Roman" w:cs="Times New Roman"/>
              </w:rPr>
              <w:t xml:space="preserve"> sp.</w:t>
            </w:r>
          </w:p>
        </w:tc>
      </w:tr>
      <w:tr w:rsidR="004E0D8A" w:rsidTr="003D155A">
        <w:tc>
          <w:tcPr>
            <w:tcW w:w="944"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Attelabidae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Red weevil</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Apoderus</w:t>
            </w:r>
            <w:r>
              <w:rPr>
                <w:rFonts w:ascii="Times New Roman" w:eastAsia="Times New Roman" w:hAnsi="Times New Roman" w:cs="Times New Roman"/>
              </w:rPr>
              <w:t xml:space="preserve"> sp.</w:t>
            </w:r>
          </w:p>
        </w:tc>
      </w:tr>
      <w:tr w:rsidR="004E0D8A" w:rsidTr="003D155A">
        <w:tc>
          <w:tcPr>
            <w:tcW w:w="944"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Chrysomelidae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Flea beetles</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Altica</w:t>
            </w:r>
            <w:r>
              <w:rPr>
                <w:rFonts w:ascii="Times New Roman" w:eastAsia="Times New Roman" w:hAnsi="Times New Roman" w:cs="Times New Roman"/>
              </w:rPr>
              <w:t xml:space="preserve"> sp.</w:t>
            </w:r>
          </w:p>
        </w:tc>
      </w:tr>
      <w:tr w:rsidR="004E0D8A" w:rsidTr="003D155A">
        <w:tc>
          <w:tcPr>
            <w:tcW w:w="944"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Scarabaeidae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Metallic Beetle</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Popillia</w:t>
            </w:r>
            <w:r>
              <w:rPr>
                <w:rFonts w:ascii="Times New Roman" w:eastAsia="Times New Roman" w:hAnsi="Times New Roman" w:cs="Times New Roman"/>
              </w:rPr>
              <w:t xml:space="preserve"> sp.</w:t>
            </w:r>
          </w:p>
        </w:tc>
      </w:tr>
      <w:tr w:rsidR="004E0D8A" w:rsidTr="003D155A">
        <w:tc>
          <w:tcPr>
            <w:tcW w:w="944"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Tenebrionidae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Shoulder beetle</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Lagria</w:t>
            </w:r>
            <w:r>
              <w:rPr>
                <w:rFonts w:ascii="Times New Roman" w:eastAsia="Times New Roman" w:hAnsi="Times New Roman" w:cs="Times New Roman"/>
              </w:rPr>
              <w:t xml:space="preserve"> sp.</w:t>
            </w:r>
          </w:p>
        </w:tc>
      </w:tr>
      <w:tr w:rsidR="004E0D8A" w:rsidTr="003D155A">
        <w:tc>
          <w:tcPr>
            <w:tcW w:w="944"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Cerambycidae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Litchi stem borer</w:t>
            </w:r>
          </w:p>
        </w:tc>
        <w:tc>
          <w:tcPr>
            <w:tcW w:w="1813" w:type="pct"/>
          </w:tcPr>
          <w:p w:rsidR="004E0D8A" w:rsidRDefault="009C0D87">
            <w:pPr>
              <w:rPr>
                <w:rFonts w:ascii="Times New Roman" w:eastAsia="Times New Roman" w:hAnsi="Times New Roman" w:cs="Times New Roman"/>
                <w:i/>
              </w:rPr>
            </w:pPr>
            <w:r>
              <w:rPr>
                <w:rFonts w:ascii="Times New Roman" w:eastAsia="Times New Roman" w:hAnsi="Times New Roman" w:cs="Times New Roman"/>
                <w:i/>
              </w:rPr>
              <w:t>Aristobia</w:t>
            </w:r>
            <w:r w:rsidR="00AF6FA3">
              <w:rPr>
                <w:rFonts w:ascii="Times New Roman" w:eastAsia="Times New Roman" w:hAnsi="Times New Roman" w:cs="Times New Roman"/>
                <w:i/>
              </w:rPr>
              <w:t xml:space="preserve"> </w:t>
            </w:r>
            <w:r>
              <w:rPr>
                <w:rFonts w:ascii="Times New Roman" w:eastAsia="Times New Roman" w:hAnsi="Times New Roman" w:cs="Times New Roman"/>
                <w:i/>
              </w:rPr>
              <w:t>reticulator</w:t>
            </w:r>
            <w:r w:rsidR="00AF6FA3">
              <w:rPr>
                <w:rFonts w:ascii="Times New Roman" w:eastAsia="Times New Roman" w:hAnsi="Times New Roman" w:cs="Times New Roman"/>
                <w:i/>
              </w:rPr>
              <w:t xml:space="preserve"> </w:t>
            </w:r>
            <w:r>
              <w:rPr>
                <w:rFonts w:ascii="Times New Roman" w:eastAsia="Times New Roman" w:hAnsi="Times New Roman" w:cs="Times New Roman"/>
              </w:rPr>
              <w:t>(Fabricius)</w:t>
            </w:r>
          </w:p>
        </w:tc>
      </w:tr>
      <w:tr w:rsidR="004E0D8A" w:rsidTr="003D155A">
        <w:tc>
          <w:tcPr>
            <w:tcW w:w="944" w:type="pct"/>
            <w:vMerge w:val="restart"/>
          </w:tcPr>
          <w:p w:rsidR="004E0D8A" w:rsidRDefault="009C0D87">
            <w:pPr>
              <w:rPr>
                <w:rFonts w:ascii="Times New Roman" w:eastAsia="Times New Roman" w:hAnsi="Times New Roman" w:cs="Times New Roman"/>
              </w:rPr>
            </w:pPr>
            <w:r>
              <w:rPr>
                <w:rFonts w:ascii="Times New Roman" w:eastAsia="Times New Roman" w:hAnsi="Times New Roman" w:cs="Times New Roman"/>
              </w:rPr>
              <w:t>Hemiptera</w:t>
            </w: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Alydidae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Gundhi bug</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Leptocorisa</w:t>
            </w:r>
            <w:r w:rsidR="00AF6FA3">
              <w:rPr>
                <w:rFonts w:ascii="Times New Roman" w:eastAsia="Times New Roman" w:hAnsi="Times New Roman" w:cs="Times New Roman"/>
                <w:i/>
              </w:rPr>
              <w:t xml:space="preserve"> </w:t>
            </w:r>
            <w:r>
              <w:rPr>
                <w:rFonts w:ascii="Times New Roman" w:eastAsia="Times New Roman" w:hAnsi="Times New Roman" w:cs="Times New Roman"/>
                <w:i/>
              </w:rPr>
              <w:t>oratoria</w:t>
            </w:r>
            <w:r w:rsidR="00AF6FA3">
              <w:rPr>
                <w:rFonts w:ascii="Times New Roman" w:eastAsia="Times New Roman" w:hAnsi="Times New Roman" w:cs="Times New Roman"/>
                <w:i/>
              </w:rPr>
              <w:t xml:space="preserve"> </w:t>
            </w:r>
            <w:r>
              <w:rPr>
                <w:rFonts w:ascii="Times New Roman" w:eastAsia="Times New Roman" w:hAnsi="Times New Roman" w:cs="Times New Roman"/>
              </w:rPr>
              <w:t>(Fabricius)</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Tessaratomidae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Litchi stink bug</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Tessaratoma</w:t>
            </w:r>
            <w:r w:rsidR="00AF6FA3">
              <w:rPr>
                <w:rFonts w:ascii="Times New Roman" w:eastAsia="Times New Roman" w:hAnsi="Times New Roman" w:cs="Times New Roman"/>
                <w:i/>
              </w:rPr>
              <w:t xml:space="preserve"> </w:t>
            </w:r>
            <w:r>
              <w:rPr>
                <w:rFonts w:ascii="Times New Roman" w:eastAsia="Times New Roman" w:hAnsi="Times New Roman" w:cs="Times New Roman"/>
                <w:i/>
              </w:rPr>
              <w:t>papillosa</w:t>
            </w:r>
            <w:r w:rsidR="00AF6FA3">
              <w:rPr>
                <w:rFonts w:ascii="Times New Roman" w:eastAsia="Times New Roman" w:hAnsi="Times New Roman" w:cs="Times New Roman"/>
                <w:i/>
              </w:rPr>
              <w:t xml:space="preserve"> </w:t>
            </w:r>
            <w:r>
              <w:rPr>
                <w:rFonts w:ascii="Times New Roman" w:eastAsia="Times New Roman" w:hAnsi="Times New Roman" w:cs="Times New Roman"/>
              </w:rPr>
              <w:t>(Drury)</w:t>
            </w:r>
          </w:p>
        </w:tc>
      </w:tr>
      <w:tr w:rsidR="004E0D8A" w:rsidTr="003D155A">
        <w:tc>
          <w:tcPr>
            <w:tcW w:w="944" w:type="pct"/>
            <w:vMerge w:val="restart"/>
          </w:tcPr>
          <w:p w:rsidR="004E0D8A" w:rsidRDefault="009C0D87">
            <w:pPr>
              <w:rPr>
                <w:rFonts w:ascii="Times New Roman" w:eastAsia="Times New Roman" w:hAnsi="Times New Roman" w:cs="Times New Roman"/>
              </w:rPr>
            </w:pPr>
            <w:r>
              <w:rPr>
                <w:rFonts w:ascii="Times New Roman" w:eastAsia="Times New Roman" w:hAnsi="Times New Roman" w:cs="Times New Roman"/>
              </w:rPr>
              <w:t>Lepidoptera</w:t>
            </w: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Tortricidae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Leaf folder/ roller</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Dudua</w:t>
            </w:r>
            <w:r w:rsidR="00AF6FA3">
              <w:rPr>
                <w:rFonts w:ascii="Times New Roman" w:eastAsia="Times New Roman" w:hAnsi="Times New Roman" w:cs="Times New Roman"/>
                <w:i/>
              </w:rPr>
              <w:t xml:space="preserve"> </w:t>
            </w:r>
            <w:r>
              <w:rPr>
                <w:rFonts w:ascii="Times New Roman" w:eastAsia="Times New Roman" w:hAnsi="Times New Roman" w:cs="Times New Roman"/>
                <w:i/>
              </w:rPr>
              <w:t>aprobola</w:t>
            </w:r>
            <w:r w:rsidR="00AF6FA3">
              <w:rPr>
                <w:rFonts w:ascii="Times New Roman" w:eastAsia="Times New Roman" w:hAnsi="Times New Roman" w:cs="Times New Roman"/>
                <w:i/>
              </w:rPr>
              <w:t xml:space="preserve"> </w:t>
            </w:r>
            <w:r>
              <w:rPr>
                <w:rFonts w:ascii="Times New Roman" w:eastAsia="Times New Roman" w:hAnsi="Times New Roman" w:cs="Times New Roman"/>
              </w:rPr>
              <w:t>Meyrick</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Cossidae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Bark-eating caterpillar</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Indarbela</w:t>
            </w:r>
            <w:r>
              <w:rPr>
                <w:rFonts w:ascii="Times New Roman" w:eastAsia="Times New Roman" w:hAnsi="Times New Roman" w:cs="Times New Roman"/>
              </w:rPr>
              <w:t xml:space="preserve"> sp.</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Psychidae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Bagworm</w:t>
            </w:r>
          </w:p>
        </w:tc>
        <w:tc>
          <w:tcPr>
            <w:tcW w:w="1813" w:type="pct"/>
          </w:tcPr>
          <w:p w:rsidR="004E0D8A" w:rsidRDefault="009C0D87">
            <w:pPr>
              <w:rPr>
                <w:rFonts w:ascii="Times New Roman" w:eastAsia="Times New Roman" w:hAnsi="Times New Roman" w:cs="Times New Roman"/>
              </w:rPr>
            </w:pPr>
            <w:r>
              <w:rPr>
                <w:rFonts w:ascii="Times New Roman" w:eastAsia="Times New Roman" w:hAnsi="Times New Roman" w:cs="Times New Roman"/>
                <w:i/>
              </w:rPr>
              <w:t>Eumetacrameri</w:t>
            </w:r>
            <w:r w:rsidR="00AF6FA3">
              <w:rPr>
                <w:rFonts w:ascii="Times New Roman" w:eastAsia="Times New Roman" w:hAnsi="Times New Roman" w:cs="Times New Roman"/>
                <w:i/>
              </w:rPr>
              <w:t xml:space="preserve"> </w:t>
            </w:r>
            <w:r>
              <w:rPr>
                <w:rFonts w:ascii="Times New Roman" w:eastAsia="Times New Roman" w:hAnsi="Times New Roman" w:cs="Times New Roman"/>
              </w:rPr>
              <w:t>Westwood</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Geometridae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Semilooper</w:t>
            </w:r>
          </w:p>
        </w:tc>
        <w:tc>
          <w:tcPr>
            <w:tcW w:w="1813" w:type="pct"/>
          </w:tcPr>
          <w:p w:rsidR="004E0D8A" w:rsidRDefault="009C0D87">
            <w:pPr>
              <w:rPr>
                <w:rFonts w:ascii="Times New Roman" w:eastAsia="Times New Roman" w:hAnsi="Times New Roman" w:cs="Times New Roman"/>
                <w:i/>
              </w:rPr>
            </w:pPr>
            <w:r>
              <w:rPr>
                <w:rFonts w:ascii="Times New Roman" w:eastAsia="Times New Roman" w:hAnsi="Times New Roman" w:cs="Times New Roman"/>
                <w:i/>
              </w:rPr>
              <w:t>Perixera</w:t>
            </w:r>
            <w:r w:rsidR="00AF6FA3">
              <w:rPr>
                <w:rFonts w:ascii="Times New Roman" w:eastAsia="Times New Roman" w:hAnsi="Times New Roman" w:cs="Times New Roman"/>
                <w:i/>
              </w:rPr>
              <w:t xml:space="preserve"> </w:t>
            </w:r>
            <w:r>
              <w:rPr>
                <w:rFonts w:ascii="Times New Roman" w:eastAsia="Times New Roman" w:hAnsi="Times New Roman" w:cs="Times New Roman"/>
                <w:i/>
              </w:rPr>
              <w:t>illepidaria</w:t>
            </w:r>
            <w:r w:rsidR="00AF6FA3">
              <w:rPr>
                <w:rFonts w:ascii="Times New Roman" w:eastAsia="Times New Roman" w:hAnsi="Times New Roman" w:cs="Times New Roman"/>
                <w:i/>
              </w:rPr>
              <w:t xml:space="preserve"> </w:t>
            </w:r>
            <w:r>
              <w:rPr>
                <w:rFonts w:ascii="Times New Roman" w:eastAsia="Times New Roman" w:hAnsi="Times New Roman" w:cs="Times New Roman"/>
              </w:rPr>
              <w:t>(Guenee)</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i/>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Gracillariidae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Fruit borer</w:t>
            </w:r>
          </w:p>
        </w:tc>
        <w:tc>
          <w:tcPr>
            <w:tcW w:w="1813" w:type="pct"/>
          </w:tcPr>
          <w:p w:rsidR="004E0D8A" w:rsidRDefault="009C0D87">
            <w:pPr>
              <w:rPr>
                <w:rFonts w:ascii="Times New Roman" w:eastAsia="Times New Roman" w:hAnsi="Times New Roman" w:cs="Times New Roman"/>
                <w:i/>
              </w:rPr>
            </w:pPr>
            <w:r>
              <w:rPr>
                <w:rFonts w:ascii="Times New Roman" w:eastAsia="Times New Roman" w:hAnsi="Times New Roman" w:cs="Times New Roman"/>
                <w:i/>
              </w:rPr>
              <w:t>Conopomorpha</w:t>
            </w:r>
            <w:r w:rsidR="00AF6FA3">
              <w:rPr>
                <w:rFonts w:ascii="Times New Roman" w:eastAsia="Times New Roman" w:hAnsi="Times New Roman" w:cs="Times New Roman"/>
                <w:i/>
              </w:rPr>
              <w:t xml:space="preserve"> </w:t>
            </w:r>
            <w:r>
              <w:rPr>
                <w:rFonts w:ascii="Times New Roman" w:eastAsia="Times New Roman" w:hAnsi="Times New Roman" w:cs="Times New Roman"/>
                <w:i/>
              </w:rPr>
              <w:t>sinensis</w:t>
            </w:r>
            <w:r>
              <w:rPr>
                <w:rFonts w:ascii="Times New Roman" w:eastAsia="Times New Roman" w:hAnsi="Times New Roman" w:cs="Times New Roman"/>
              </w:rPr>
              <w:t xml:space="preserve"> Bradley  </w:t>
            </w:r>
          </w:p>
        </w:tc>
      </w:tr>
      <w:tr w:rsidR="004E0D8A" w:rsidTr="003D155A">
        <w:tc>
          <w:tcPr>
            <w:tcW w:w="944"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i/>
              </w:rPr>
            </w:pP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Blastobasidae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Litchi nut borer</w:t>
            </w:r>
          </w:p>
        </w:tc>
        <w:tc>
          <w:tcPr>
            <w:tcW w:w="1813" w:type="pct"/>
          </w:tcPr>
          <w:p w:rsidR="004E0D8A" w:rsidRDefault="009C0D87">
            <w:pPr>
              <w:rPr>
                <w:rFonts w:ascii="Times New Roman" w:eastAsia="Times New Roman" w:hAnsi="Times New Roman" w:cs="Times New Roman"/>
                <w:i/>
              </w:rPr>
            </w:pPr>
            <w:r>
              <w:rPr>
                <w:rFonts w:ascii="Times New Roman" w:eastAsia="Times New Roman" w:hAnsi="Times New Roman" w:cs="Times New Roman"/>
                <w:i/>
              </w:rPr>
              <w:t>Blastobasis</w:t>
            </w:r>
            <w:r w:rsidR="00AF6FA3">
              <w:rPr>
                <w:rFonts w:ascii="Times New Roman" w:eastAsia="Times New Roman" w:hAnsi="Times New Roman" w:cs="Times New Roman"/>
                <w:i/>
              </w:rPr>
              <w:t xml:space="preserve"> </w:t>
            </w:r>
            <w:r>
              <w:rPr>
                <w:rFonts w:ascii="Times New Roman" w:eastAsia="Times New Roman" w:hAnsi="Times New Roman" w:cs="Times New Roman"/>
              </w:rPr>
              <w:t>sp.</w:t>
            </w:r>
          </w:p>
        </w:tc>
      </w:tr>
      <w:tr w:rsidR="004E0D8A" w:rsidTr="003D155A">
        <w:tc>
          <w:tcPr>
            <w:tcW w:w="94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Diptera</w:t>
            </w:r>
          </w:p>
        </w:tc>
        <w:tc>
          <w:tcPr>
            <w:tcW w:w="940"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Tephritidae</w:t>
            </w:r>
          </w:p>
        </w:tc>
        <w:tc>
          <w:tcPr>
            <w:tcW w:w="1304" w:type="pct"/>
          </w:tcPr>
          <w:p w:rsidR="004E0D8A" w:rsidRDefault="009C0D87">
            <w:pPr>
              <w:rPr>
                <w:rFonts w:ascii="Times New Roman" w:eastAsia="Times New Roman" w:hAnsi="Times New Roman" w:cs="Times New Roman"/>
              </w:rPr>
            </w:pPr>
            <w:r>
              <w:rPr>
                <w:rFonts w:ascii="Times New Roman" w:eastAsia="Times New Roman" w:hAnsi="Times New Roman" w:cs="Times New Roman"/>
              </w:rPr>
              <w:t>Fruit fly</w:t>
            </w:r>
          </w:p>
        </w:tc>
        <w:tc>
          <w:tcPr>
            <w:tcW w:w="1813" w:type="pct"/>
          </w:tcPr>
          <w:p w:rsidR="004E0D8A" w:rsidRDefault="009C0D87">
            <w:pPr>
              <w:jc w:val="both"/>
              <w:rPr>
                <w:rFonts w:ascii="Times New Roman" w:eastAsia="Times New Roman" w:hAnsi="Times New Roman" w:cs="Times New Roman"/>
              </w:rPr>
            </w:pPr>
            <w:r>
              <w:rPr>
                <w:rFonts w:ascii="Times New Roman" w:eastAsia="Times New Roman" w:hAnsi="Times New Roman" w:cs="Times New Roman"/>
                <w:i/>
              </w:rPr>
              <w:t>Bactrocera</w:t>
            </w:r>
            <w:r w:rsidR="00AF6FA3">
              <w:rPr>
                <w:rFonts w:ascii="Times New Roman" w:eastAsia="Times New Roman" w:hAnsi="Times New Roman" w:cs="Times New Roman"/>
                <w:i/>
              </w:rPr>
              <w:t xml:space="preserve"> </w:t>
            </w:r>
            <w:r>
              <w:rPr>
                <w:rFonts w:ascii="Times New Roman" w:eastAsia="Times New Roman" w:hAnsi="Times New Roman" w:cs="Times New Roman"/>
                <w:i/>
              </w:rPr>
              <w:t>tau</w:t>
            </w:r>
            <w:r>
              <w:rPr>
                <w:rFonts w:ascii="Times New Roman" w:eastAsia="Times New Roman" w:hAnsi="Times New Roman" w:cs="Times New Roman"/>
              </w:rPr>
              <w:t xml:space="preserve"> Walker </w:t>
            </w:r>
          </w:p>
        </w:tc>
      </w:tr>
      <w:tr w:rsidR="004E0D8A" w:rsidTr="003D155A">
        <w:tc>
          <w:tcPr>
            <w:tcW w:w="944" w:type="pct"/>
            <w:tcBorders>
              <w:bottom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Sarcoptiformes</w:t>
            </w:r>
          </w:p>
        </w:tc>
        <w:tc>
          <w:tcPr>
            <w:tcW w:w="940" w:type="pct"/>
            <w:tcBorders>
              <w:bottom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Eriophyidae</w:t>
            </w:r>
          </w:p>
        </w:tc>
        <w:tc>
          <w:tcPr>
            <w:tcW w:w="1304" w:type="pct"/>
            <w:tcBorders>
              <w:bottom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Mite</w:t>
            </w:r>
          </w:p>
        </w:tc>
        <w:tc>
          <w:tcPr>
            <w:tcW w:w="1813" w:type="pct"/>
            <w:tcBorders>
              <w:bottom w:val="single" w:sz="4" w:space="0" w:color="000000"/>
            </w:tcBorders>
          </w:tcPr>
          <w:p w:rsidR="004E0D8A" w:rsidRDefault="009C0D87">
            <w:pPr>
              <w:jc w:val="both"/>
              <w:rPr>
                <w:rFonts w:ascii="Times New Roman" w:eastAsia="Times New Roman" w:hAnsi="Times New Roman" w:cs="Times New Roman"/>
                <w:i/>
              </w:rPr>
            </w:pPr>
            <w:r>
              <w:rPr>
                <w:rFonts w:ascii="Times New Roman" w:eastAsia="Times New Roman" w:hAnsi="Times New Roman" w:cs="Times New Roman"/>
                <w:i/>
              </w:rPr>
              <w:t>Aceria litchi</w:t>
            </w:r>
            <w:r w:rsidR="00AF6FA3">
              <w:rPr>
                <w:rFonts w:ascii="Times New Roman" w:eastAsia="Times New Roman" w:hAnsi="Times New Roman" w:cs="Times New Roman"/>
                <w:i/>
              </w:rPr>
              <w:t xml:space="preserve"> </w:t>
            </w:r>
            <w:r>
              <w:rPr>
                <w:rFonts w:ascii="Times New Roman" w:eastAsia="Times New Roman" w:hAnsi="Times New Roman" w:cs="Times New Roman"/>
              </w:rPr>
              <w:t>(Keifer)</w:t>
            </w:r>
          </w:p>
        </w:tc>
      </w:tr>
    </w:tbl>
    <w:p w:rsidR="004E0D8A" w:rsidRDefault="004E0D8A">
      <w:pPr>
        <w:spacing w:after="0" w:line="240" w:lineRule="auto"/>
        <w:jc w:val="both"/>
        <w:rPr>
          <w:rFonts w:ascii="Times New Roman" w:eastAsia="Times New Roman" w:hAnsi="Times New Roman" w:cs="Times New Roman"/>
          <w:b/>
          <w:sz w:val="12"/>
          <w:szCs w:val="12"/>
        </w:rPr>
      </w:pP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Seasonal occurrence of leaf- and stem-infesting insect pests in litchi </w:t>
      </w:r>
    </w:p>
    <w:p w:rsidR="004E0D8A" w:rsidRDefault="009C0D8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suggests a great variation in the occurrence of different insect pests in two sub-regions. Sub-region II was characterized by a very high incidence of different leaf- and stem-infesting insect pests, with a total population of 1763 individuals/120 sweeps, which was drastically higher than that of sub-region V (i.e., total population of 581 individuals/120 sweeps). </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 Seasonal occurrence of leaf- and stem-infesting insect pests in sub-region V</w:t>
      </w:r>
    </w:p>
    <w:p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sub-region V, the incidence of different leaf- and stem-infesting insect pests was much higher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with the population peaking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This period is characterized by the flowering and fruiting season of litchi in this region, making these crop growth stages highly susceptible to the insect pest attack in this sub-region. Thereafter, there was a steady decline, as a very small population of insect pests was noted from the in-between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July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February. Furthermore, the occurrence of different insect pests also greatly varies throughout the season. During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the flea beetle used to dominate the insect pest complex (with a population of 33 individuals/10 sweeps), and its population started declining with the passing date, with no individuals recorded from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June onwards. In contrast, the population of grey weevil followed an opposite trend, as its population was very low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March (with a population of 4 individuals/10 sweeps) but gradually increased with time and peaked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(with a population of 55 individuals/10 sweeps), and again the population declined thereafter. Considering the other insect pests of sub-region V, their population used to follow a declining trend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fortnight of March onwards, whereas the occurrence of leaf rollers followed a trend similar to the grey weevil, with a peak population in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April (with a population of 22 individuals/10 sweeps) (Fig.1).</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extent cx="5731510" cy="30901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510" cy="3090182"/>
                    </a:xfrm>
                    <a:prstGeom prst="rect">
                      <a:avLst/>
                    </a:prstGeom>
                    <a:ln/>
                  </pic:spPr>
                </pic:pic>
              </a:graphicData>
            </a:graphic>
          </wp:inline>
        </w:drawing>
      </w:r>
    </w:p>
    <w:p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Insect-pest populations of litchi leaf and stem in sub-region V 2022-24</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 Seasonal occurrence of leaf- and stem-infesting insect pests in sub-region II</w:t>
      </w:r>
    </w:p>
    <w:p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Unlike sub-region V, in sub-region II, the highest population of different insect pests was recorded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to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June. Thereafter, the population started declining and became almost negligible in winter months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during January-February). However, there was a small peak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October, which was due to a sudden increase in the grey weevil population. Like sub-region V, in sub-region II, the grey weevil was also the most dominant pest in the species assemblage. The grey weevil population was highest in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(with a population of 382 individuals/10 sweeps) and declined thereafter. In contrast, the second most abundant insect of this sub-region,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the litchi bug, had an increment in population from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fortnight of May onwards and had the peak population in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June (with a population of 97 individuals/10 sweeps). Furthermore, the litchi stem borer was found to be present in the field for a very short period, from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July to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fortnight of September. In sub-region II, two pests, i.e., leaf roller and litchi bug, were found in litchi plants almost throughout the season (Figure 2).</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extent cx="5731510" cy="31216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510" cy="3121660"/>
                    </a:xfrm>
                    <a:prstGeom prst="rect">
                      <a:avLst/>
                    </a:prstGeom>
                    <a:ln/>
                  </pic:spPr>
                </pic:pic>
              </a:graphicData>
            </a:graphic>
          </wp:inline>
        </w:drawing>
      </w:r>
    </w:p>
    <w:p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Insect-pest populations of Litchi leaf and stem in Sub-region II 2022-24</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Seasonal occurrence of fruit-infesting insect pests in litchi</w:t>
      </w:r>
    </w:p>
    <w:p w:rsidR="004E0D8A" w:rsidRDefault="009C0D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has documented only three insect pests that used to infest litchi fruits. These fruit-infesting pest complexes were first observed during March, with fruit initiation. Unlike the population of leaf- and stem-infesting insects, the cumulative population of fruit-infesting insects was a bit higher in sub-region V than sub-region II. Among them, the population was highest for the litchi fruit borer in both sub-regions. Furthermore, its population was quite higher in sub-region II than sub-region V, whereas fruit fly and nut borer had a greater population in sub-region V than sub-region II (Fig.3).</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extent cx="5731510" cy="23651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2365111"/>
                    </a:xfrm>
                    <a:prstGeom prst="rect">
                      <a:avLst/>
                    </a:prstGeom>
                    <a:ln/>
                  </pic:spPr>
                </pic:pic>
              </a:graphicData>
            </a:graphic>
          </wp:inline>
        </w:drawing>
      </w:r>
    </w:p>
    <w:p w:rsidR="004E0D8A" w:rsidRDefault="009C0D8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 Insect-pest populations of Litchi fruit </w:t>
      </w:r>
    </w:p>
    <w:p w:rsidR="004E0D8A" w:rsidRDefault="009C0D87">
      <w:pPr>
        <w:spacing w:line="240" w:lineRule="auto"/>
        <w:ind w:firstLine="720"/>
        <w:jc w:val="both"/>
        <w:rPr>
          <w:rFonts w:ascii="Times New Roman" w:eastAsia="Times New Roman" w:hAnsi="Times New Roman" w:cs="Times New Roman"/>
          <w:sz w:val="24"/>
          <w:szCs w:val="24"/>
        </w:rPr>
      </w:pPr>
      <w:bookmarkStart w:id="1" w:name="_pzrmrfkksh1" w:colFirst="0" w:colLast="0"/>
      <w:bookmarkEnd w:id="1"/>
      <w:r>
        <w:rPr>
          <w:rFonts w:ascii="Times New Roman" w:eastAsia="Times New Roman" w:hAnsi="Times New Roman" w:cs="Times New Roman"/>
          <w:sz w:val="24"/>
          <w:szCs w:val="24"/>
        </w:rPr>
        <w:t xml:space="preserve">From flowering to fruiting, this is the typical time period when the crop is highly vulnerable to different insect pest attacks. Our study showed variation in the seasonal occurrence of different insect pests, which was sometimes in corroboration with or sometimes a bit different from previously published literatures. The pattern of grey weevil population fluctuation, with a greater population from April‒July, was also reported by other researchers (Atwal, 1976; Mazumder et al., 2014). Furthermore the complete absence of this weevil during December‒January was also recorded by Srivastava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Kumar et al. (2014b) have noticed a low red weevil population during December-January, when the </w:t>
      </w:r>
      <w:r>
        <w:rPr>
          <w:rFonts w:ascii="Times New Roman" w:eastAsia="Times New Roman" w:hAnsi="Times New Roman" w:cs="Times New Roman"/>
          <w:sz w:val="24"/>
          <w:szCs w:val="24"/>
        </w:rPr>
        <w:lastRenderedPageBreak/>
        <w:t xml:space="preserve">temperature was low, and a high population during May-June, when the temperature was high enough in Bihar, which was pretty similar to our outcomes. Although three species of litchi leaf roller have been reported from West Bengal, among them, </w:t>
      </w:r>
      <w:r>
        <w:rPr>
          <w:rFonts w:ascii="Times New Roman" w:eastAsia="Times New Roman" w:hAnsi="Times New Roman" w:cs="Times New Roman"/>
          <w:i/>
          <w:sz w:val="24"/>
          <w:szCs w:val="24"/>
        </w:rPr>
        <w:t>Dudua</w:t>
      </w:r>
      <w:r w:rsidR="00AF6FA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aprobola</w:t>
      </w:r>
      <w:r>
        <w:rPr>
          <w:rFonts w:ascii="Times New Roman" w:eastAsia="Times New Roman" w:hAnsi="Times New Roman" w:cs="Times New Roman"/>
          <w:sz w:val="24"/>
          <w:szCs w:val="24"/>
        </w:rPr>
        <w:t xml:space="preserve"> was the predominant one (Kar et al., 2023). According to Kar et al. (2023), this pest started infesting the plant from the </w:t>
      </w:r>
      <w:r>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standard week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xml:space="preserve"> the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week of July) and </w:t>
      </w:r>
      <w:r>
        <w:rPr>
          <w:rFonts w:ascii="Times New Roman" w:eastAsia="Times New Roman" w:hAnsi="Times New Roman" w:cs="Times New Roman"/>
          <w:sz w:val="24"/>
          <w:szCs w:val="24"/>
        </w:rPr>
        <w:t>remained</w:t>
      </w:r>
      <w:r>
        <w:rPr>
          <w:rFonts w:ascii="Times New Roman" w:eastAsia="Times New Roman" w:hAnsi="Times New Roman" w:cs="Times New Roman"/>
          <w:color w:val="000000"/>
          <w:sz w:val="24"/>
          <w:szCs w:val="24"/>
        </w:rPr>
        <w:t xml:space="preserve"> active up to the 41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standard week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the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week of October), which was almost similar to its seasonal incidence pattern in our sub-region II. </w:t>
      </w:r>
      <w:r>
        <w:rPr>
          <w:rFonts w:ascii="Times New Roman" w:eastAsia="Times New Roman" w:hAnsi="Times New Roman" w:cs="Times New Roman"/>
          <w:sz w:val="24"/>
          <w:szCs w:val="24"/>
        </w:rPr>
        <w:t>Further,</w:t>
      </w:r>
      <w:r>
        <w:rPr>
          <w:rFonts w:ascii="Times New Roman" w:eastAsia="Times New Roman" w:hAnsi="Times New Roman" w:cs="Times New Roman"/>
          <w:color w:val="000000"/>
          <w:sz w:val="24"/>
          <w:szCs w:val="24"/>
        </w:rPr>
        <w:t xml:space="preserve"> our finding on litchi leaf roller incidence is also in line with the findings of </w:t>
      </w:r>
      <w:r>
        <w:rPr>
          <w:rFonts w:ascii="Times New Roman" w:eastAsia="Times New Roman" w:hAnsi="Times New Roman" w:cs="Times New Roman"/>
          <w:sz w:val="24"/>
          <w:szCs w:val="24"/>
        </w:rPr>
        <w:t>Chakraborty and Samanta (2005).</w:t>
      </w:r>
    </w:p>
    <w:p w:rsidR="004E0D8A" w:rsidRDefault="009C0D8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litchi stem borer, </w:t>
      </w:r>
      <w:r>
        <w:rPr>
          <w:rFonts w:ascii="Times New Roman" w:eastAsia="Times New Roman" w:hAnsi="Times New Roman" w:cs="Times New Roman"/>
          <w:i/>
          <w:sz w:val="24"/>
          <w:szCs w:val="24"/>
        </w:rPr>
        <w:t>Aristobia</w:t>
      </w:r>
      <w:r w:rsidR="002D59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reticulator,</w:t>
      </w:r>
      <w:r>
        <w:rPr>
          <w:rFonts w:ascii="Times New Roman" w:eastAsia="Times New Roman" w:hAnsi="Times New Roman" w:cs="Times New Roman"/>
          <w:sz w:val="24"/>
          <w:szCs w:val="24"/>
        </w:rPr>
        <w:t xml:space="preserve"> is an invasive pest of litchi</w:t>
      </w:r>
      <w:r>
        <w:rPr>
          <w:rFonts w:ascii="Times New Roman" w:eastAsia="Times New Roman" w:hAnsi="Times New Roman" w:cs="Times New Roman"/>
          <w:sz w:val="20"/>
          <w:szCs w:val="20"/>
        </w:rPr>
        <w:t xml:space="preserve"> and </w:t>
      </w:r>
      <w:r>
        <w:rPr>
          <w:rFonts w:ascii="Times New Roman" w:eastAsia="Times New Roman" w:hAnsi="Times New Roman" w:cs="Times New Roman"/>
          <w:sz w:val="24"/>
          <w:szCs w:val="24"/>
        </w:rPr>
        <w:t>usually found in the north-eastern part of India, including Assam, Manipur, Meghalaya, Sikkim, Tripura (Firake et al., 2013; Agarwala and Bhattacharjee, 2015), Arunachal Pradesh (Kumawat et al., 2017; Kumawat and Wangchu, 2021), Mizoram, and Nagaland (Mozhui et al., 2020) and Nagaland (Reddy et al., 2025). In our study also, this pest was found only in sub-region II of Zone II at the north-eastern part of the country. According to different studies, this pest used to attack the plants from mid-June to August, causing damage to young as well as old litchi trees (Kumawat et al., 2017; Reddy et al., 2025), which was also observed in the pest population pattern of sub-region II. In the case of the litchi bug, the adults used to hibernate during extreme winter (Kumar et al., 2008), which might be the reason for the low population of this pest during October‒February in our sub-region II. Then a greater population was noticed during March‒September, which was in agreement with the findings of Deng et al.</w:t>
      </w:r>
      <w:r w:rsidR="002D59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(1999) and Kumar et al. (2008).</w:t>
      </w:r>
    </w:p>
    <w:p w:rsidR="004E0D8A" w:rsidRDefault="009C0D8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Usually, three species of litchi fruit borers, </w:t>
      </w:r>
      <w:r>
        <w:rPr>
          <w:rFonts w:ascii="Times New Roman" w:eastAsia="Times New Roman" w:hAnsi="Times New Roman" w:cs="Times New Roman"/>
          <w:i/>
          <w:sz w:val="24"/>
          <w:szCs w:val="24"/>
        </w:rPr>
        <w:t>viz</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Conopomorpha</w:t>
      </w:r>
      <w:r w:rsidR="002D59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sinensis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cramerella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 litchiensis,</w:t>
      </w:r>
      <w:r>
        <w:rPr>
          <w:rFonts w:ascii="Times New Roman" w:eastAsia="Times New Roman" w:hAnsi="Times New Roman" w:cs="Times New Roman"/>
          <w:sz w:val="24"/>
          <w:szCs w:val="24"/>
        </w:rPr>
        <w:t xml:space="preserve"> are found in India (Reddy et al., 2016). However, we have found only one of them from our studied regions. According to a previous study from West Bengal (Dalui and Sarkar, 2021),</w:t>
      </w:r>
      <w:r w:rsidR="002D59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infestation of </w:t>
      </w:r>
      <w:r>
        <w:rPr>
          <w:rFonts w:ascii="Times New Roman" w:eastAsia="Times New Roman" w:hAnsi="Times New Roman" w:cs="Times New Roman"/>
          <w:i/>
          <w:sz w:val="24"/>
          <w:szCs w:val="24"/>
        </w:rPr>
        <w:t>C. sinensis</w:t>
      </w:r>
      <w:r>
        <w:rPr>
          <w:rFonts w:ascii="Times New Roman" w:eastAsia="Times New Roman" w:hAnsi="Times New Roman" w:cs="Times New Roman"/>
          <w:sz w:val="24"/>
          <w:szCs w:val="24"/>
        </w:rPr>
        <w:t xml:space="preserve"> used to begin at the last week of March, and infestation gradually increased and reached its peak during the first week of May, which was in line with our outcomes.</w:t>
      </w:r>
      <w:r w:rsidR="002D59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higher incidence of litchi fruit and shoot borer from the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standard week (i.e., March‒June) was also reported by Kumar et al. (2024).</w:t>
      </w:r>
      <w:r w:rsidR="002D59DD">
        <w:rPr>
          <w:rFonts w:ascii="Times New Roman" w:eastAsia="Times New Roman" w:hAnsi="Times New Roman" w:cs="Times New Roman"/>
          <w:sz w:val="24"/>
          <w:szCs w:val="24"/>
        </w:rPr>
        <w:t xml:space="preserve"> Furthermore, the variation in the occurrence pattern of different insect pests in sub-region II and V might be due to the variation in the weather parameters and topographic condition among these two regions.</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Comparative ecological indices of insect pests in sub-region II and sub-region V</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(Table 3), we have observed greater values for </w:t>
      </w:r>
      <w:r>
        <w:rPr>
          <w:rFonts w:ascii="Times New Roman" w:eastAsia="Times New Roman" w:hAnsi="Times New Roman" w:cs="Times New Roman"/>
          <w:color w:val="000000"/>
          <w:sz w:val="24"/>
          <w:szCs w:val="24"/>
        </w:rPr>
        <w:t xml:space="preserve">Shannon and Brillouin diversity indices in sub-region V (i.e., 2.139 and 1.835, respectively) than sub-region II (i.e., 1.348 and 1.525, respectively), indicating a greater species diversity in sub-region V. Likewise, </w:t>
      </w:r>
      <w:r>
        <w:rPr>
          <w:rFonts w:ascii="Times New Roman" w:eastAsia="Times New Roman" w:hAnsi="Times New Roman" w:cs="Times New Roman"/>
          <w:sz w:val="24"/>
          <w:szCs w:val="24"/>
        </w:rPr>
        <w:t>the Margalef</w:t>
      </w:r>
      <w:r>
        <w:rPr>
          <w:rFonts w:ascii="Times New Roman" w:eastAsia="Times New Roman" w:hAnsi="Times New Roman" w:cs="Times New Roman"/>
          <w:color w:val="000000"/>
          <w:sz w:val="24"/>
          <w:szCs w:val="24"/>
        </w:rPr>
        <w:t xml:space="preserve"> and Menhinick richness indices were also </w:t>
      </w:r>
      <w:r>
        <w:rPr>
          <w:rFonts w:ascii="Times New Roman" w:eastAsia="Times New Roman" w:hAnsi="Times New Roman" w:cs="Times New Roman"/>
          <w:sz w:val="24"/>
          <w:szCs w:val="24"/>
        </w:rPr>
        <w:t>depicted as</w:t>
      </w:r>
      <w:r>
        <w:rPr>
          <w:rFonts w:ascii="Times New Roman" w:eastAsia="Times New Roman" w:hAnsi="Times New Roman" w:cs="Times New Roman"/>
          <w:color w:val="000000"/>
          <w:sz w:val="24"/>
          <w:szCs w:val="24"/>
        </w:rPr>
        <w:t xml:space="preserve"> greater values in sub-region V (1.532 and 0.421, respectively) than sub-region II (i.e., 1.329 and 0.255, respectively), suggesting a rich insect pest composition in </w:t>
      </w:r>
      <w:r>
        <w:rPr>
          <w:rFonts w:ascii="Times New Roman" w:eastAsia="Times New Roman" w:hAnsi="Times New Roman" w:cs="Times New Roman"/>
          <w:sz w:val="24"/>
          <w:szCs w:val="24"/>
        </w:rPr>
        <w:t>the litchi</w:t>
      </w:r>
      <w:r>
        <w:rPr>
          <w:rFonts w:ascii="Times New Roman" w:eastAsia="Times New Roman" w:hAnsi="Times New Roman" w:cs="Times New Roman"/>
          <w:color w:val="000000"/>
          <w:sz w:val="24"/>
          <w:szCs w:val="24"/>
        </w:rPr>
        <w:t xml:space="preserve"> ecosystem in sub-region V.</w:t>
      </w:r>
      <w:r>
        <w:rPr>
          <w:rFonts w:ascii="Times New Roman" w:eastAsia="Times New Roman" w:hAnsi="Times New Roman" w:cs="Times New Roman"/>
          <w:sz w:val="24"/>
          <w:szCs w:val="24"/>
        </w:rPr>
        <w:t xml:space="preserve"> In addition to that, the insect pest assemblage of sub-region V is not only diverse and rich, but the higher values (tending to 1) of different evenness indices (Sheldon, Heip, and Pielou index) suggested an evenly distributed species composition in sub-region V. Whereas, in the sub-region II, the values are tending towards 0, suggesting a less evenly distributed species composition</w:t>
      </w:r>
      <w:r>
        <w:rPr>
          <w:rFonts w:ascii="Times New Roman" w:eastAsia="Times New Roman" w:hAnsi="Times New Roman" w:cs="Times New Roman"/>
          <w:color w:val="222222"/>
          <w:sz w:val="24"/>
          <w:szCs w:val="24"/>
          <w:highlight w:val="white"/>
        </w:rPr>
        <w:t xml:space="preserve">. This is also justified by the dominance indices (Simpson, </w:t>
      </w:r>
      <w:r>
        <w:rPr>
          <w:rFonts w:ascii="Times New Roman" w:eastAsia="Times New Roman" w:hAnsi="Times New Roman" w:cs="Times New Roman"/>
          <w:color w:val="000000"/>
          <w:sz w:val="24"/>
          <w:szCs w:val="24"/>
        </w:rPr>
        <w:t xml:space="preserve">Berger-Parker, and </w:t>
      </w:r>
      <w:r>
        <w:rPr>
          <w:rFonts w:ascii="Times New Roman" w:eastAsia="Times New Roman" w:hAnsi="Times New Roman" w:cs="Times New Roman"/>
          <w:color w:val="222222"/>
          <w:sz w:val="24"/>
          <w:szCs w:val="24"/>
          <w:highlight w:val="white"/>
        </w:rPr>
        <w:t xml:space="preserve">McIntosh index). The greater values of the Simpson and </w:t>
      </w:r>
      <w:r>
        <w:rPr>
          <w:rFonts w:ascii="Times New Roman" w:eastAsia="Times New Roman" w:hAnsi="Times New Roman" w:cs="Times New Roman"/>
          <w:color w:val="000000"/>
          <w:sz w:val="24"/>
          <w:szCs w:val="24"/>
        </w:rPr>
        <w:t xml:space="preserve">Berger-Parker dominance indices and lower value of </w:t>
      </w:r>
      <w:r>
        <w:rPr>
          <w:rFonts w:ascii="Times New Roman" w:eastAsia="Times New Roman" w:hAnsi="Times New Roman" w:cs="Times New Roman"/>
          <w:sz w:val="24"/>
          <w:szCs w:val="24"/>
        </w:rPr>
        <w:t>the McIntosh</w:t>
      </w:r>
      <w:r>
        <w:rPr>
          <w:rFonts w:ascii="Times New Roman" w:eastAsia="Times New Roman" w:hAnsi="Times New Roman" w:cs="Times New Roman"/>
          <w:color w:val="000000"/>
          <w:sz w:val="24"/>
          <w:szCs w:val="24"/>
        </w:rPr>
        <w:t xml:space="preserve"> index in sub-region II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a clear indication that the region had a greater dominance by a single or few species in the species assemblage (Heip, 1974; </w:t>
      </w:r>
      <w:r>
        <w:rPr>
          <w:rFonts w:ascii="Times New Roman" w:eastAsia="Times New Roman" w:hAnsi="Times New Roman" w:cs="Times New Roman"/>
          <w:color w:val="222222"/>
          <w:sz w:val="24"/>
          <w:szCs w:val="24"/>
          <w:highlight w:val="white"/>
        </w:rPr>
        <w:t>Kanieski et al., 2018</w:t>
      </w:r>
      <w:r>
        <w:rPr>
          <w:rFonts w:ascii="Times New Roman" w:eastAsia="Times New Roman" w:hAnsi="Times New Roman" w:cs="Times New Roman"/>
          <w:color w:val="000000"/>
          <w:sz w:val="24"/>
          <w:szCs w:val="24"/>
        </w:rPr>
        <w:t xml:space="preserve">). This </w:t>
      </w:r>
      <w:r>
        <w:rPr>
          <w:rFonts w:ascii="Times New Roman" w:eastAsia="Times New Roman" w:hAnsi="Times New Roman" w:cs="Times New Roman"/>
          <w:sz w:val="24"/>
          <w:szCs w:val="24"/>
        </w:rPr>
        <w:t>can be</w:t>
      </w:r>
      <w:r>
        <w:rPr>
          <w:rFonts w:ascii="Times New Roman" w:eastAsia="Times New Roman" w:hAnsi="Times New Roman" w:cs="Times New Roman"/>
          <w:color w:val="000000"/>
          <w:sz w:val="24"/>
          <w:szCs w:val="24"/>
        </w:rPr>
        <w:t xml:space="preserve"> further justified by the individual population of different insect pests in both sub-regions, as stated above. </w:t>
      </w:r>
      <w:r>
        <w:rPr>
          <w:rFonts w:ascii="Times New Roman" w:eastAsia="Times New Roman" w:hAnsi="Times New Roman" w:cs="Times New Roman"/>
          <w:sz w:val="24"/>
          <w:szCs w:val="24"/>
        </w:rPr>
        <w:t xml:space="preserve">Although, the species composition of the </w:t>
      </w:r>
      <w:r>
        <w:rPr>
          <w:rFonts w:ascii="Times New Roman" w:eastAsia="Times New Roman" w:hAnsi="Times New Roman" w:cs="Times New Roman"/>
          <w:sz w:val="24"/>
          <w:szCs w:val="24"/>
        </w:rPr>
        <w:lastRenderedPageBreak/>
        <w:t>sub-region V has a bit greater population of grey weevils, but in comparison to sub-region II, this variation is low enough. Moreover, in sub-region II, the greater dominance by the grey weevil and litchi bug in the species composition is mainly responsible for obtaining lower evenness and higher dominance in its species composition.</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Different indices of insect-pests of the Litchi ecosystem in 2022-24</w:t>
      </w:r>
    </w:p>
    <w:tbl>
      <w:tblPr>
        <w:tblStyle w:val="a1"/>
        <w:tblW w:w="5000" w:type="pct"/>
        <w:tblInd w:w="0" w:type="dxa"/>
        <w:tblBorders>
          <w:top w:val="nil"/>
          <w:left w:val="nil"/>
          <w:bottom w:val="nil"/>
          <w:right w:val="nil"/>
          <w:insideH w:val="nil"/>
          <w:insideV w:val="nil"/>
        </w:tblBorders>
        <w:tblLook w:val="0400"/>
      </w:tblPr>
      <w:tblGrid>
        <w:gridCol w:w="1270"/>
        <w:gridCol w:w="2076"/>
        <w:gridCol w:w="730"/>
        <w:gridCol w:w="787"/>
        <w:gridCol w:w="1102"/>
        <w:gridCol w:w="1804"/>
        <w:gridCol w:w="730"/>
        <w:gridCol w:w="743"/>
      </w:tblGrid>
      <w:tr w:rsidR="004E0D8A" w:rsidTr="00AF6FA3">
        <w:trPr>
          <w:trHeight w:val="374"/>
        </w:trPr>
        <w:tc>
          <w:tcPr>
            <w:tcW w:w="1810" w:type="pct"/>
            <w:gridSpan w:val="2"/>
            <w:vMerge w:val="restart"/>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rPr>
            </w:pPr>
            <w:r>
              <w:rPr>
                <w:rFonts w:ascii="Times New Roman" w:eastAsia="Times New Roman" w:hAnsi="Times New Roman" w:cs="Times New Roman"/>
                <w:b/>
              </w:rPr>
              <w:t>Indices</w:t>
            </w:r>
          </w:p>
        </w:tc>
        <w:tc>
          <w:tcPr>
            <w:tcW w:w="821" w:type="pct"/>
            <w:gridSpan w:val="2"/>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 xml:space="preserve">Sub-region </w:t>
            </w:r>
          </w:p>
        </w:tc>
        <w:tc>
          <w:tcPr>
            <w:tcW w:w="1572" w:type="pct"/>
            <w:gridSpan w:val="2"/>
            <w:vMerge w:val="restart"/>
            <w:tcBorders>
              <w:top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Indices</w:t>
            </w:r>
          </w:p>
        </w:tc>
        <w:tc>
          <w:tcPr>
            <w:tcW w:w="798" w:type="pct"/>
            <w:gridSpan w:val="2"/>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 xml:space="preserve">Sub-region </w:t>
            </w:r>
          </w:p>
        </w:tc>
      </w:tr>
      <w:tr w:rsidR="004E0D8A" w:rsidTr="00AF6FA3">
        <w:trPr>
          <w:trHeight w:val="373"/>
        </w:trPr>
        <w:tc>
          <w:tcPr>
            <w:tcW w:w="1810" w:type="pct"/>
            <w:gridSpan w:val="2"/>
            <w:vMerge/>
            <w:tcBorders>
              <w:top w:val="single" w:sz="4" w:space="0" w:color="000000"/>
              <w:bottom w:val="single" w:sz="4" w:space="0" w:color="000000"/>
            </w:tcBorders>
            <w:vAlign w:val="center"/>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95" w:type="pct"/>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426" w:type="pct"/>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1572" w:type="pct"/>
            <w:gridSpan w:val="2"/>
            <w:vMerge/>
            <w:tcBorders>
              <w:top w:val="single" w:sz="4" w:space="0" w:color="000000"/>
            </w:tcBorders>
            <w:vAlign w:val="center"/>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95" w:type="pct"/>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403" w:type="pct"/>
            <w:tcBorders>
              <w:top w:val="single" w:sz="4" w:space="0" w:color="000000"/>
              <w:bottom w:val="single" w:sz="4" w:space="0" w:color="000000"/>
            </w:tcBorders>
            <w:vAlign w:val="center"/>
          </w:tcPr>
          <w:p w:rsidR="004E0D8A" w:rsidRDefault="009C0D87">
            <w:pPr>
              <w:jc w:val="center"/>
              <w:rPr>
                <w:rFonts w:ascii="Times New Roman" w:eastAsia="Times New Roman" w:hAnsi="Times New Roman" w:cs="Times New Roman"/>
                <w:b/>
              </w:rPr>
            </w:pPr>
            <w:r>
              <w:rPr>
                <w:rFonts w:ascii="Times New Roman" w:eastAsia="Times New Roman" w:hAnsi="Times New Roman" w:cs="Times New Roman"/>
                <w:b/>
              </w:rPr>
              <w:t>V</w:t>
            </w:r>
          </w:p>
        </w:tc>
      </w:tr>
      <w:tr w:rsidR="004E0D8A" w:rsidTr="00AF6FA3">
        <w:tc>
          <w:tcPr>
            <w:tcW w:w="687" w:type="pct"/>
            <w:vMerge w:val="restart"/>
            <w:tcBorders>
              <w:top w:val="single" w:sz="4" w:space="0" w:color="000000"/>
            </w:tcBorders>
          </w:tcPr>
          <w:p w:rsidR="004E0D8A" w:rsidRDefault="009C0D87">
            <w:pPr>
              <w:rPr>
                <w:rFonts w:ascii="Times New Roman" w:eastAsia="Times New Roman" w:hAnsi="Times New Roman" w:cs="Times New Roman"/>
              </w:rPr>
            </w:pPr>
            <w:r>
              <w:rPr>
                <w:rFonts w:ascii="Times New Roman" w:eastAsia="Times New Roman" w:hAnsi="Times New Roman" w:cs="Times New Roman"/>
              </w:rPr>
              <w:t xml:space="preserve">Diversity </w:t>
            </w:r>
          </w:p>
        </w:tc>
        <w:tc>
          <w:tcPr>
            <w:tcW w:w="1123" w:type="pct"/>
            <w:tcBorders>
              <w:top w:val="single" w:sz="4" w:space="0" w:color="000000"/>
            </w:tcBorders>
            <w:vAlign w:val="center"/>
          </w:tcPr>
          <w:p w:rsidR="004E0D8A" w:rsidRDefault="009C0D87">
            <w:pPr>
              <w:pBdr>
                <w:top w:val="nil"/>
                <w:left w:val="nil"/>
                <w:bottom w:val="nil"/>
                <w:right w:val="nil"/>
                <w:between w:val="nil"/>
              </w:pBdr>
              <w:rPr>
                <w:rFonts w:ascii="Times New Roman" w:eastAsia="Times New Roman" w:hAnsi="Times New Roman" w:cs="Times New Roman"/>
                <w:color w:val="943734"/>
              </w:rPr>
            </w:pPr>
            <w:r>
              <w:rPr>
                <w:rFonts w:ascii="Times New Roman" w:eastAsia="Times New Roman" w:hAnsi="Times New Roman" w:cs="Times New Roman"/>
                <w:color w:val="000000"/>
              </w:rPr>
              <w:t>Shannon index</w:t>
            </w:r>
          </w:p>
        </w:tc>
        <w:tc>
          <w:tcPr>
            <w:tcW w:w="395" w:type="pct"/>
            <w:tcBorders>
              <w:top w:val="single" w:sz="4" w:space="0" w:color="000000"/>
            </w:tcBorders>
            <w:vAlign w:val="center"/>
          </w:tcPr>
          <w:p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1.348</w:t>
            </w:r>
          </w:p>
        </w:tc>
        <w:tc>
          <w:tcPr>
            <w:tcW w:w="426" w:type="pct"/>
            <w:tcBorders>
              <w:top w:val="single" w:sz="4" w:space="0" w:color="000000"/>
            </w:tcBorders>
            <w:vAlign w:val="center"/>
          </w:tcPr>
          <w:p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2.139</w:t>
            </w:r>
          </w:p>
        </w:tc>
        <w:tc>
          <w:tcPr>
            <w:tcW w:w="596" w:type="pct"/>
            <w:vMerge w:val="restart"/>
            <w:tcBorders>
              <w:top w:val="single" w:sz="4" w:space="0" w:color="000000"/>
            </w:tcBorders>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Richness </w:t>
            </w:r>
          </w:p>
        </w:tc>
        <w:tc>
          <w:tcPr>
            <w:tcW w:w="976" w:type="pct"/>
            <w:tcBorders>
              <w:top w:val="single" w:sz="4" w:space="0" w:color="000000"/>
            </w:tcBorders>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Margalef index</w:t>
            </w:r>
          </w:p>
        </w:tc>
        <w:tc>
          <w:tcPr>
            <w:tcW w:w="395" w:type="pct"/>
            <w:tcBorders>
              <w:top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1.329</w:t>
            </w:r>
          </w:p>
        </w:tc>
        <w:tc>
          <w:tcPr>
            <w:tcW w:w="403" w:type="pct"/>
            <w:tcBorders>
              <w:top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1.532</w:t>
            </w:r>
          </w:p>
        </w:tc>
      </w:tr>
      <w:tr w:rsidR="004E0D8A" w:rsidTr="00AF6FA3">
        <w:tc>
          <w:tcPr>
            <w:tcW w:w="687"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23"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Brillouin index</w:t>
            </w:r>
          </w:p>
        </w:tc>
        <w:tc>
          <w:tcPr>
            <w:tcW w:w="395" w:type="pct"/>
            <w:vAlign w:val="center"/>
          </w:tcPr>
          <w:p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1.525</w:t>
            </w:r>
          </w:p>
        </w:tc>
        <w:tc>
          <w:tcPr>
            <w:tcW w:w="426" w:type="pct"/>
            <w:vAlign w:val="center"/>
          </w:tcPr>
          <w:p w:rsidR="004E0D8A" w:rsidRDefault="009C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1.835</w:t>
            </w:r>
          </w:p>
        </w:tc>
        <w:tc>
          <w:tcPr>
            <w:tcW w:w="596" w:type="pct"/>
            <w:vMerge/>
            <w:tcBorders>
              <w:top w:val="single" w:sz="4" w:space="0" w:color="000000"/>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76"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Menhinick index</w:t>
            </w:r>
          </w:p>
        </w:tc>
        <w:tc>
          <w:tcPr>
            <w:tcW w:w="395"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0.255</w:t>
            </w:r>
          </w:p>
        </w:tc>
        <w:tc>
          <w:tcPr>
            <w:tcW w:w="403"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0.421</w:t>
            </w:r>
          </w:p>
        </w:tc>
      </w:tr>
      <w:tr w:rsidR="004E0D8A" w:rsidTr="00AF6FA3">
        <w:tc>
          <w:tcPr>
            <w:tcW w:w="687" w:type="pct"/>
            <w:vMerge w:val="restart"/>
          </w:tcPr>
          <w:p w:rsidR="004E0D8A" w:rsidRDefault="009C0D87">
            <w:pPr>
              <w:rPr>
                <w:rFonts w:ascii="Times New Roman" w:eastAsia="Times New Roman" w:hAnsi="Times New Roman" w:cs="Times New Roman"/>
              </w:rPr>
            </w:pPr>
            <w:r>
              <w:rPr>
                <w:rFonts w:ascii="Times New Roman" w:eastAsia="Times New Roman" w:hAnsi="Times New Roman" w:cs="Times New Roman"/>
              </w:rPr>
              <w:t xml:space="preserve">Dominance </w:t>
            </w:r>
          </w:p>
        </w:tc>
        <w:tc>
          <w:tcPr>
            <w:tcW w:w="1123"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Berger-Parker index</w:t>
            </w:r>
          </w:p>
        </w:tc>
        <w:tc>
          <w:tcPr>
            <w:tcW w:w="395"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0.515</w:t>
            </w:r>
          </w:p>
        </w:tc>
        <w:tc>
          <w:tcPr>
            <w:tcW w:w="426"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0.301</w:t>
            </w:r>
          </w:p>
        </w:tc>
        <w:tc>
          <w:tcPr>
            <w:tcW w:w="596" w:type="pct"/>
            <w:vMerge w:val="restart"/>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Evenness </w:t>
            </w:r>
          </w:p>
        </w:tc>
        <w:tc>
          <w:tcPr>
            <w:tcW w:w="976"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Sheldon index</w:t>
            </w:r>
          </w:p>
        </w:tc>
        <w:tc>
          <w:tcPr>
            <w:tcW w:w="395"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0.350</w:t>
            </w:r>
          </w:p>
        </w:tc>
        <w:tc>
          <w:tcPr>
            <w:tcW w:w="403"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0.772</w:t>
            </w:r>
          </w:p>
        </w:tc>
      </w:tr>
      <w:tr w:rsidR="004E0D8A" w:rsidTr="00AF6FA3">
        <w:tc>
          <w:tcPr>
            <w:tcW w:w="687"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23"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Simpson index</w:t>
            </w:r>
          </w:p>
        </w:tc>
        <w:tc>
          <w:tcPr>
            <w:tcW w:w="395"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0.355</w:t>
            </w:r>
          </w:p>
        </w:tc>
        <w:tc>
          <w:tcPr>
            <w:tcW w:w="426"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0.150</w:t>
            </w:r>
          </w:p>
        </w:tc>
        <w:tc>
          <w:tcPr>
            <w:tcW w:w="596" w:type="pct"/>
            <w:vMerge/>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76" w:type="pct"/>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Heip index</w:t>
            </w:r>
          </w:p>
        </w:tc>
        <w:tc>
          <w:tcPr>
            <w:tcW w:w="395"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0.285</w:t>
            </w:r>
          </w:p>
        </w:tc>
        <w:tc>
          <w:tcPr>
            <w:tcW w:w="403" w:type="pct"/>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0.749</w:t>
            </w:r>
          </w:p>
        </w:tc>
      </w:tr>
      <w:tr w:rsidR="004E0D8A" w:rsidTr="00AF6FA3">
        <w:tc>
          <w:tcPr>
            <w:tcW w:w="687" w:type="pct"/>
            <w:vMerge/>
            <w:tcBorders>
              <w:bottom w:val="single" w:sz="4" w:space="0" w:color="auto"/>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23" w:type="pct"/>
            <w:tcBorders>
              <w:bottom w:val="single" w:sz="4" w:space="0" w:color="auto"/>
            </w:tcBorders>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McIntosh index</w:t>
            </w:r>
          </w:p>
        </w:tc>
        <w:tc>
          <w:tcPr>
            <w:tcW w:w="395" w:type="pct"/>
            <w:tcBorders>
              <w:bottom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0.414</w:t>
            </w:r>
          </w:p>
        </w:tc>
        <w:tc>
          <w:tcPr>
            <w:tcW w:w="426" w:type="pct"/>
            <w:tcBorders>
              <w:bottom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0.637</w:t>
            </w:r>
          </w:p>
        </w:tc>
        <w:tc>
          <w:tcPr>
            <w:tcW w:w="596" w:type="pct"/>
            <w:vMerge/>
            <w:tcBorders>
              <w:bottom w:val="single" w:sz="4" w:space="0" w:color="auto"/>
            </w:tcBorders>
          </w:tcPr>
          <w:p w:rsidR="004E0D8A" w:rsidRDefault="004E0D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76" w:type="pct"/>
            <w:tcBorders>
              <w:bottom w:val="single" w:sz="4" w:space="0" w:color="auto"/>
            </w:tcBorders>
            <w:vAlign w:val="center"/>
          </w:tcPr>
          <w:p w:rsidR="004E0D8A" w:rsidRDefault="009C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Pielou index</w:t>
            </w:r>
          </w:p>
        </w:tc>
        <w:tc>
          <w:tcPr>
            <w:tcW w:w="395" w:type="pct"/>
            <w:tcBorders>
              <w:bottom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0.562</w:t>
            </w:r>
          </w:p>
        </w:tc>
        <w:tc>
          <w:tcPr>
            <w:tcW w:w="403" w:type="pct"/>
            <w:tcBorders>
              <w:bottom w:val="single" w:sz="4" w:space="0" w:color="000000"/>
            </w:tcBorders>
            <w:vAlign w:val="center"/>
          </w:tcPr>
          <w:p w:rsidR="004E0D8A" w:rsidRDefault="009C0D8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0.892</w:t>
            </w:r>
          </w:p>
        </w:tc>
      </w:tr>
    </w:tbl>
    <w:p w:rsidR="004E0D8A" w:rsidRDefault="009C0D87">
      <w:p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CONCLUSION</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on the diversity and seasonal occurrence of different insect pests in the litchi ecosystem has provided valuable insights, particularly with regard to the implementation of incidence-based management strategies. As per our study, a wide range of insect pests are available in these regions that can cause serious damage to the litchi production. Furthermore, the insect pest population was drastically higher in sub-region II, requiring a comparatively greater management effort in the litchi orchards of this sub-region than sub-region V. The higher population of different insect pests at the flowering-to-fruiting stage of the crop makes the crop more vulnerable during these particular growth stages. This suggests that appropriate and judicious insect pest management strategies need to be implemented at this typical timeframe in order to safeguard the orchards from facing a heavy yield loss.</w:t>
      </w:r>
    </w:p>
    <w:p w:rsidR="004E0D8A" w:rsidRDefault="009C0D8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 (ARTIFICIAL INTELLIGENCE)</w:t>
      </w:r>
    </w:p>
    <w:p w:rsidR="004E0D8A" w:rsidRDefault="009C0D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rsidR="002817D9" w:rsidRDefault="002817D9">
      <w:pPr>
        <w:spacing w:after="0" w:line="240" w:lineRule="auto"/>
        <w:rPr>
          <w:rFonts w:ascii="Times New Roman" w:eastAsia="Times New Roman" w:hAnsi="Times New Roman" w:cs="Times New Roman"/>
          <w:b/>
          <w:sz w:val="24"/>
          <w:szCs w:val="24"/>
        </w:rPr>
      </w:pPr>
    </w:p>
    <w:p w:rsidR="004E0D8A" w:rsidRDefault="009C0D87">
      <w:pPr>
        <w:spacing w:after="0" w:line="240" w:lineRule="auto"/>
        <w:rPr>
          <w:rFonts w:ascii="Times New Roman" w:eastAsia="Times New Roman" w:hAnsi="Times New Roman" w:cs="Times New Roman"/>
          <w:b/>
        </w:rPr>
      </w:pPr>
      <w:r>
        <w:rPr>
          <w:rFonts w:ascii="Times New Roman" w:eastAsia="Times New Roman" w:hAnsi="Times New Roman" w:cs="Times New Roman"/>
          <w:b/>
          <w:sz w:val="24"/>
          <w:szCs w:val="24"/>
        </w:rPr>
        <w:t>REFERENCES</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Agarwala B K, Bhattacharjee P P. 2015. Redescription of Aristobiareticulator (F., 1781) (Coleoptera: Cerambycidae: Lamiinae), with a taxonomic note and record of a new food plant for adults in Northeastern India. </w:t>
      </w:r>
      <w:r>
        <w:rPr>
          <w:rFonts w:ascii="Times New Roman" w:eastAsia="Times New Roman" w:hAnsi="Times New Roman" w:cs="Times New Roman"/>
          <w:i/>
          <w:sz w:val="24"/>
          <w:szCs w:val="24"/>
        </w:rPr>
        <w:t>The Coleopterists Bulletin</w:t>
      </w:r>
      <w:r>
        <w:rPr>
          <w:rFonts w:ascii="Times New Roman" w:eastAsia="Times New Roman" w:hAnsi="Times New Roman" w:cs="Times New Roman"/>
          <w:sz w:val="24"/>
          <w:szCs w:val="24"/>
        </w:rPr>
        <w:t>, 69(2), 205-212.</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Atwal, A. S. (1976). </w:t>
      </w:r>
      <w:r>
        <w:rPr>
          <w:rFonts w:ascii="Times New Roman" w:eastAsia="Times New Roman" w:hAnsi="Times New Roman" w:cs="Times New Roman"/>
          <w:i/>
          <w:sz w:val="24"/>
          <w:szCs w:val="24"/>
        </w:rPr>
        <w:t>Agricultural Pests of India and Southeast Asia</w:t>
      </w:r>
      <w:r>
        <w:rPr>
          <w:rFonts w:ascii="Times New Roman" w:eastAsia="Times New Roman" w:hAnsi="Times New Roman" w:cs="Times New Roman"/>
          <w:sz w:val="24"/>
          <w:szCs w:val="24"/>
        </w:rPr>
        <w:t>. Delhi:Kalyani Publishers.</w:t>
      </w:r>
    </w:p>
    <w:p w:rsidR="004E0D8A" w:rsidRDefault="009C0D87">
      <w:pPr>
        <w:spacing w:after="0" w:line="240" w:lineRule="auto"/>
        <w:ind w:left="720" w:hanging="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Berger, W. H., &amp; Parker, F. L. (1970). Diversity of planktonic foraminifera in deep-sea sediments. </w:t>
      </w:r>
      <w:r>
        <w:rPr>
          <w:rFonts w:ascii="Times New Roman" w:eastAsia="Times New Roman" w:hAnsi="Times New Roman" w:cs="Times New Roman"/>
          <w:i/>
          <w:sz w:val="24"/>
          <w:szCs w:val="24"/>
          <w:highlight w:val="white"/>
        </w:rPr>
        <w:t>Science</w:t>
      </w:r>
      <w:r>
        <w:rPr>
          <w:rFonts w:ascii="Times New Roman" w:eastAsia="Times New Roman" w:hAnsi="Times New Roman" w:cs="Times New Roman"/>
          <w:sz w:val="24"/>
          <w:szCs w:val="24"/>
          <w:highlight w:val="white"/>
        </w:rPr>
        <w:t xml:space="preserve">, 168(3937), 1345-1347. </w:t>
      </w:r>
      <w:hyperlink r:id="rId9">
        <w:r>
          <w:rPr>
            <w:rFonts w:ascii="Times New Roman" w:eastAsia="Times New Roman" w:hAnsi="Times New Roman" w:cs="Times New Roman"/>
            <w:color w:val="0000FF"/>
            <w:sz w:val="24"/>
            <w:szCs w:val="24"/>
            <w:highlight w:val="white"/>
            <w:u w:val="single"/>
          </w:rPr>
          <w:t>https://10.1126/science.168.3937.134</w:t>
        </w:r>
      </w:hyperlink>
    </w:p>
    <w:p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Chauhan, V. S., Ahlawat, V. P., &amp;Joon, M. S. (2008). Evaluation of different cultivars of litchi (</w:t>
      </w:r>
      <w:r>
        <w:rPr>
          <w:rFonts w:ascii="Times New Roman" w:eastAsia="Times New Roman" w:hAnsi="Times New Roman" w:cs="Times New Roman"/>
          <w:i/>
          <w:sz w:val="24"/>
          <w:szCs w:val="24"/>
          <w:highlight w:val="white"/>
        </w:rPr>
        <w:t>Litchi chinesis</w:t>
      </w:r>
      <w:r>
        <w:rPr>
          <w:rFonts w:ascii="Times New Roman" w:eastAsia="Times New Roman" w:hAnsi="Times New Roman" w:cs="Times New Roman"/>
          <w:sz w:val="24"/>
          <w:szCs w:val="24"/>
          <w:highlight w:val="white"/>
        </w:rPr>
        <w:t>sonn.) under northern region of Haryana state of India. </w:t>
      </w:r>
      <w:r>
        <w:rPr>
          <w:rFonts w:ascii="Times New Roman" w:eastAsia="Times New Roman" w:hAnsi="Times New Roman" w:cs="Times New Roman"/>
          <w:i/>
          <w:sz w:val="24"/>
          <w:szCs w:val="24"/>
          <w:highlight w:val="white"/>
        </w:rPr>
        <w:t>Agricultural Science Digest</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28</w:t>
      </w:r>
      <w:r>
        <w:rPr>
          <w:rFonts w:ascii="Times New Roman" w:eastAsia="Times New Roman" w:hAnsi="Times New Roman" w:cs="Times New Roman"/>
          <w:sz w:val="24"/>
          <w:szCs w:val="24"/>
          <w:highlight w:val="white"/>
        </w:rPr>
        <w:t>(2), 155-156.</w:t>
      </w:r>
    </w:p>
    <w:p w:rsidR="004E0D8A" w:rsidRDefault="004E0D8A">
      <w:pPr>
        <w:spacing w:after="0" w:line="240" w:lineRule="auto"/>
        <w:ind w:left="720" w:hanging="720"/>
        <w:jc w:val="both"/>
        <w:rPr>
          <w:rFonts w:ascii="Times New Roman" w:eastAsia="Times New Roman" w:hAnsi="Times New Roman" w:cs="Times New Roman"/>
          <w:sz w:val="24"/>
          <w:szCs w:val="24"/>
          <w:highlight w:val="white"/>
        </w:rPr>
      </w:pPr>
    </w:p>
    <w:p w:rsidR="004E0D8A" w:rsidRDefault="009C0D87">
      <w:pPr>
        <w:ind w:left="720" w:hanging="630"/>
        <w:jc w:val="both"/>
        <w:rPr>
          <w:rFonts w:ascii="Times New Roman" w:eastAsia="Times New Roman" w:hAnsi="Times New Roman" w:cs="Times New Roman"/>
        </w:rPr>
      </w:pPr>
      <w:r>
        <w:rPr>
          <w:rFonts w:ascii="Times New Roman" w:eastAsia="Times New Roman" w:hAnsi="Times New Roman" w:cs="Times New Roman"/>
        </w:rPr>
        <w:t>Chakraborty, K., &amp; Samanta, A. (2005). Evaluation of litchi germplasms based on biochemical parameters along with incidence of leaf roller (</w:t>
      </w:r>
      <w:r>
        <w:rPr>
          <w:rFonts w:ascii="Times New Roman" w:eastAsia="Times New Roman" w:hAnsi="Times New Roman" w:cs="Times New Roman"/>
          <w:i/>
        </w:rPr>
        <w:t>Platypepla</w:t>
      </w:r>
      <w:r w:rsidR="004323D3">
        <w:rPr>
          <w:rFonts w:ascii="Times New Roman" w:eastAsia="Times New Roman" w:hAnsi="Times New Roman" w:cs="Times New Roman"/>
          <w:i/>
        </w:rPr>
        <w:t xml:space="preserve"> </w:t>
      </w:r>
      <w:r>
        <w:rPr>
          <w:rFonts w:ascii="Times New Roman" w:eastAsia="Times New Roman" w:hAnsi="Times New Roman" w:cs="Times New Roman"/>
          <w:i/>
        </w:rPr>
        <w:t>aprobola</w:t>
      </w:r>
      <w:r>
        <w:rPr>
          <w:rFonts w:ascii="Times New Roman" w:eastAsia="Times New Roman" w:hAnsi="Times New Roman" w:cs="Times New Roman"/>
        </w:rPr>
        <w:t xml:space="preserve"> Meyer.) and fruit borer (</w:t>
      </w:r>
      <w:r>
        <w:rPr>
          <w:rFonts w:ascii="Times New Roman" w:eastAsia="Times New Roman" w:hAnsi="Times New Roman" w:cs="Times New Roman"/>
          <w:i/>
        </w:rPr>
        <w:t>Conopomorpha</w:t>
      </w:r>
      <w:r w:rsidR="004323D3">
        <w:rPr>
          <w:rFonts w:ascii="Times New Roman" w:eastAsia="Times New Roman" w:hAnsi="Times New Roman" w:cs="Times New Roman"/>
          <w:i/>
        </w:rPr>
        <w:t xml:space="preserve"> </w:t>
      </w:r>
      <w:r>
        <w:rPr>
          <w:rFonts w:ascii="Times New Roman" w:eastAsia="Times New Roman" w:hAnsi="Times New Roman" w:cs="Times New Roman"/>
          <w:i/>
        </w:rPr>
        <w:t>cramerella</w:t>
      </w:r>
      <w:r w:rsidR="004323D3">
        <w:rPr>
          <w:rFonts w:ascii="Times New Roman" w:eastAsia="Times New Roman" w:hAnsi="Times New Roman" w:cs="Times New Roman"/>
          <w:i/>
        </w:rPr>
        <w:t xml:space="preserve"> </w:t>
      </w:r>
      <w:r>
        <w:rPr>
          <w:rFonts w:ascii="Times New Roman" w:eastAsia="Times New Roman" w:hAnsi="Times New Roman" w:cs="Times New Roman"/>
        </w:rPr>
        <w:t xml:space="preserve">Snellen). </w:t>
      </w:r>
      <w:r>
        <w:rPr>
          <w:rFonts w:ascii="Times New Roman" w:eastAsia="Times New Roman" w:hAnsi="Times New Roman" w:cs="Times New Roman"/>
          <w:i/>
        </w:rPr>
        <w:t>Annals of Plant Protection Sciences</w:t>
      </w:r>
      <w:r>
        <w:rPr>
          <w:rFonts w:ascii="Times New Roman" w:eastAsia="Times New Roman" w:hAnsi="Times New Roman" w:cs="Times New Roman"/>
        </w:rPr>
        <w:t>; 13(2), 338-342.</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Choudhary, J. S., Prabhakar S. C., Moanaro, Das, B. &amp; Kumar, S. (2013). Litchi stink bug (</w:t>
      </w:r>
      <w:r>
        <w:rPr>
          <w:rFonts w:ascii="Times New Roman" w:eastAsia="Times New Roman" w:hAnsi="Times New Roman" w:cs="Times New Roman"/>
          <w:i/>
          <w:sz w:val="24"/>
          <w:szCs w:val="24"/>
        </w:rPr>
        <w:t>Tessaratoma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javanica</w:t>
      </w:r>
      <w:r>
        <w:rPr>
          <w:rFonts w:ascii="Times New Roman" w:eastAsia="Times New Roman" w:hAnsi="Times New Roman" w:cs="Times New Roman"/>
          <w:sz w:val="24"/>
          <w:szCs w:val="24"/>
        </w:rPr>
        <w:t xml:space="preserve">) outbreak in Jharkhand, India, on litchi. </w:t>
      </w:r>
      <w:r>
        <w:rPr>
          <w:rFonts w:ascii="Times New Roman" w:eastAsia="Times New Roman" w:hAnsi="Times New Roman" w:cs="Times New Roman"/>
          <w:i/>
          <w:sz w:val="24"/>
          <w:szCs w:val="24"/>
        </w:rPr>
        <w:t>Phytoparasitica</w:t>
      </w:r>
      <w:r>
        <w:rPr>
          <w:rFonts w:ascii="Times New Roman" w:eastAsia="Times New Roman" w:hAnsi="Times New Roman" w:cs="Times New Roman"/>
          <w:sz w:val="24"/>
          <w:szCs w:val="24"/>
        </w:rPr>
        <w:t>, 41, 73- 77.https://doi.org/10.1007/s12600-012-0265-x</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Dalui, T., &amp; Sarkar, S. K. (2021). Seasonal incidence and damage potentiality of Litchi fruit Borer (</w:t>
      </w:r>
      <w:r>
        <w:rPr>
          <w:rFonts w:ascii="Times New Roman" w:eastAsia="Times New Roman" w:hAnsi="Times New Roman" w:cs="Times New Roman"/>
          <w:i/>
          <w:sz w:val="24"/>
          <w:szCs w:val="24"/>
        </w:rPr>
        <w:t>Conopomorpha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sinensis</w:t>
      </w:r>
      <w:r>
        <w:rPr>
          <w:rFonts w:ascii="Times New Roman" w:eastAsia="Times New Roman" w:hAnsi="Times New Roman" w:cs="Times New Roman"/>
          <w:sz w:val="24"/>
          <w:szCs w:val="24"/>
        </w:rPr>
        <w:t xml:space="preserve"> Bradley, 1986) in relation to major abiotic environmental factors. </w:t>
      </w:r>
      <w:r>
        <w:rPr>
          <w:rFonts w:ascii="Times New Roman" w:eastAsia="Times New Roman" w:hAnsi="Times New Roman" w:cs="Times New Roman"/>
          <w:i/>
          <w:sz w:val="24"/>
          <w:szCs w:val="24"/>
        </w:rPr>
        <w:t>Ecology Environment and Conservation</w:t>
      </w:r>
      <w:r>
        <w:rPr>
          <w:rFonts w:ascii="Times New Roman" w:eastAsia="Times New Roman" w:hAnsi="Times New Roman" w:cs="Times New Roman"/>
          <w:sz w:val="24"/>
          <w:szCs w:val="24"/>
        </w:rPr>
        <w:t>, 27, S302-307.</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G.R., Yang, H.H., Huang, D.X., Zeng, D.Q., Chen, D.Y., &amp;Huang, S.S. (1999). List of the insect pests and diseases of longan in nanning. </w:t>
      </w:r>
      <w:r>
        <w:rPr>
          <w:rFonts w:ascii="Times New Roman" w:eastAsia="Times New Roman" w:hAnsi="Times New Roman" w:cs="Times New Roman"/>
          <w:i/>
          <w:sz w:val="24"/>
          <w:szCs w:val="24"/>
        </w:rPr>
        <w:t>Guangxi Plant Protection,</w:t>
      </w:r>
      <w:r>
        <w:rPr>
          <w:rFonts w:ascii="Times New Roman" w:eastAsia="Times New Roman" w:hAnsi="Times New Roman" w:cs="Times New Roman"/>
          <w:sz w:val="24"/>
          <w:szCs w:val="24"/>
        </w:rPr>
        <w:t xml:space="preserve"> 12, 12-16.</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Firake, D. M., Behere, G. T., Deshmukh, N. A., Firake, P. D., &amp;Thakur, N. S. A. (2013). Recent scenario of insect-pests of guava in North East India and their eco-friendly management. </w:t>
      </w:r>
      <w:r>
        <w:rPr>
          <w:rFonts w:ascii="Times New Roman" w:eastAsia="Times New Roman" w:hAnsi="Times New Roman" w:cs="Times New Roman"/>
          <w:i/>
          <w:sz w:val="24"/>
          <w:szCs w:val="24"/>
        </w:rPr>
        <w:t>Indian Journal of Hill Farming</w:t>
      </w:r>
      <w:r>
        <w:rPr>
          <w:rFonts w:ascii="Times New Roman" w:eastAsia="Times New Roman" w:hAnsi="Times New Roman" w:cs="Times New Roman"/>
          <w:sz w:val="24"/>
          <w:szCs w:val="24"/>
        </w:rPr>
        <w:t>, 26(1), 55-57.</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Hameed, S. F., Singh, P. P., &amp; Singh, S. P. 2001. Pests. In: K. S. Chauhan(Ed), Litchi: Botany, Production, Utilization(pp. 228). Ludhiana:Kalyani Publishers. </w:t>
      </w:r>
    </w:p>
    <w:p w:rsidR="004E0D8A" w:rsidRDefault="009C0D87">
      <w:pPr>
        <w:spacing w:after="0" w:line="24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Hameed, S.F., Sharma, D.D.,&amp; Agarwal, M.L. (1992). Integrated Pest management in litchi. In Proceedings of National Seminar on Recent Developments in Litchi Production held at R.A.U., Pusa. pp. 38.</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Heip, C. (1974). A new index measuring evenness. </w:t>
      </w:r>
      <w:r>
        <w:rPr>
          <w:rFonts w:ascii="Times New Roman" w:eastAsia="Times New Roman" w:hAnsi="Times New Roman" w:cs="Times New Roman"/>
          <w:i/>
          <w:sz w:val="24"/>
          <w:szCs w:val="24"/>
          <w:highlight w:val="white"/>
        </w:rPr>
        <w:t>Journal of the Marine Biological Association of the United Kingdom</w:t>
      </w:r>
      <w:r>
        <w:rPr>
          <w:rFonts w:ascii="Times New Roman" w:eastAsia="Times New Roman" w:hAnsi="Times New Roman" w:cs="Times New Roman"/>
          <w:sz w:val="24"/>
          <w:szCs w:val="24"/>
          <w:highlight w:val="white"/>
        </w:rPr>
        <w:t xml:space="preserve">, 54(3), 555-557. </w:t>
      </w:r>
      <w:hyperlink r:id="rId10">
        <w:r>
          <w:rPr>
            <w:rFonts w:ascii="Times New Roman" w:eastAsia="Times New Roman" w:hAnsi="Times New Roman" w:cs="Times New Roman"/>
            <w:sz w:val="24"/>
            <w:szCs w:val="24"/>
            <w:shd w:val="clear" w:color="auto" w:fill="F3F3F3"/>
          </w:rPr>
          <w:t>https://doi.org/10.1017/S0025315400022736</w:t>
        </w:r>
      </w:hyperlink>
    </w:p>
    <w:p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Kanieski, M. R., Longhi, S. J., &amp;Soares, P. R. C. (2018). Methods for biodiversity assessment: Case study in an area of Atlantic forest in southern Brazil. In: </w:t>
      </w:r>
      <w:r>
        <w:rPr>
          <w:rFonts w:ascii="Times New Roman" w:eastAsia="Times New Roman" w:hAnsi="Times New Roman" w:cs="Times New Roman"/>
          <w:sz w:val="24"/>
          <w:szCs w:val="24"/>
        </w:rPr>
        <w:t>B.</w:t>
      </w:r>
      <w:r>
        <w:rPr>
          <w:rFonts w:ascii="Times New Roman" w:eastAsia="Times New Roman" w:hAnsi="Times New Roman" w:cs="Times New Roman"/>
          <w:sz w:val="24"/>
          <w:szCs w:val="24"/>
          <w:highlight w:val="white"/>
        </w:rPr>
        <w:t>Şen</w:t>
      </w:r>
      <w:r>
        <w:rPr>
          <w:rFonts w:ascii="Times New Roman" w:eastAsia="Times New Roman" w:hAnsi="Times New Roman" w:cs="Times New Roman"/>
          <w:sz w:val="24"/>
          <w:szCs w:val="24"/>
        </w:rPr>
        <w:t>, &amp;</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O. Grillo</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(Eds), </w:t>
      </w:r>
      <w:r>
        <w:rPr>
          <w:rFonts w:ascii="Times New Roman" w:eastAsia="Times New Roman" w:hAnsi="Times New Roman" w:cs="Times New Roman"/>
          <w:sz w:val="24"/>
          <w:szCs w:val="24"/>
          <w:highlight w:val="white"/>
        </w:rPr>
        <w:t>Selected studies in biodiversity (pp. 45-58). IntechOpen,.</w:t>
      </w:r>
      <w:hyperlink r:id="rId11">
        <w:r>
          <w:rPr>
            <w:rFonts w:ascii="Times New Roman" w:eastAsia="Times New Roman" w:hAnsi="Times New Roman" w:cs="Times New Roman"/>
            <w:color w:val="0000FF"/>
            <w:sz w:val="24"/>
            <w:szCs w:val="24"/>
            <w:highlight w:val="white"/>
            <w:u w:val="single"/>
          </w:rPr>
          <w:t>https://dx.doi.org/10.5772/intechopen.71824</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 A., Majhi, D., Chakarborti K., &amp; Mishra, D. (2023). Species complex of leaf roller infesting litchi (Litchi Chinensis) in West Bengal with their seasonal incidence. </w:t>
      </w:r>
      <w:r>
        <w:rPr>
          <w:rFonts w:ascii="Times New Roman" w:eastAsia="Times New Roman" w:hAnsi="Times New Roman" w:cs="Times New Roman"/>
          <w:i/>
          <w:sz w:val="24"/>
          <w:szCs w:val="24"/>
        </w:rPr>
        <w:t>Indian Journal of Entomology</w:t>
      </w:r>
      <w:r>
        <w:rPr>
          <w:rFonts w:ascii="Times New Roman" w:eastAsia="Times New Roman" w:hAnsi="Times New Roman" w:cs="Times New Roman"/>
          <w:sz w:val="24"/>
          <w:szCs w:val="24"/>
        </w:rPr>
        <w:t>, 85(4), 959-962.</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Srivastava, K., Patel, R. K., &amp;Nath, V. (2014a). Management of litchi fruit borer and litchi mite using bio-rational approaches under subtropics of Bihar. </w:t>
      </w:r>
      <w:r>
        <w:rPr>
          <w:rFonts w:ascii="Times New Roman" w:eastAsia="Times New Roman" w:hAnsi="Times New Roman" w:cs="Times New Roman"/>
          <w:i/>
          <w:sz w:val="24"/>
          <w:szCs w:val="24"/>
        </w:rPr>
        <w:t>The Ecoscan</w:t>
      </w:r>
      <w:r>
        <w:rPr>
          <w:rFonts w:ascii="Times New Roman" w:eastAsia="Times New Roman" w:hAnsi="Times New Roman" w:cs="Times New Roman"/>
          <w:sz w:val="24"/>
          <w:szCs w:val="24"/>
        </w:rPr>
        <w:t>, Special (6), 285-289.</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Srivastava, K., Patel,R. K.,  Pratap A. D. &amp; Singh, S. K. (2024).Seasonal occurrence and management of litchi fruit and shoot borer, </w:t>
      </w:r>
      <w:r>
        <w:rPr>
          <w:rFonts w:ascii="Times New Roman" w:eastAsia="Times New Roman" w:hAnsi="Times New Roman" w:cs="Times New Roman"/>
          <w:i/>
          <w:sz w:val="24"/>
          <w:szCs w:val="24"/>
        </w:rPr>
        <w:t>Conopomorpha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sinensis</w:t>
      </w:r>
      <w:r>
        <w:rPr>
          <w:rFonts w:ascii="Times New Roman" w:eastAsia="Times New Roman" w:hAnsi="Times New Roman" w:cs="Times New Roman"/>
          <w:sz w:val="24"/>
          <w:szCs w:val="24"/>
        </w:rPr>
        <w:t xml:space="preserve"> (Bradley). </w:t>
      </w:r>
      <w:r>
        <w:rPr>
          <w:rFonts w:ascii="Times New Roman" w:eastAsia="Times New Roman" w:hAnsi="Times New Roman" w:cs="Times New Roman"/>
          <w:i/>
          <w:sz w:val="24"/>
          <w:szCs w:val="24"/>
        </w:rPr>
        <w:t>Pest Management in Horticultural Ecosystem</w:t>
      </w:r>
      <w:r>
        <w:rPr>
          <w:rFonts w:ascii="Times New Roman" w:eastAsia="Times New Roman" w:hAnsi="Times New Roman" w:cs="Times New Roman"/>
          <w:sz w:val="24"/>
          <w:szCs w:val="24"/>
        </w:rPr>
        <w:t>, 18, 210-212.</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V., Dubedi, A. K.</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Nath, V. (2014b). Prevalence of some threatening pests and disease of litchi (</w:t>
      </w:r>
      <w:r>
        <w:rPr>
          <w:rFonts w:ascii="Times New Roman" w:eastAsia="Times New Roman" w:hAnsi="Times New Roman" w:cs="Times New Roman"/>
          <w:i/>
          <w:sz w:val="24"/>
          <w:szCs w:val="24"/>
        </w:rPr>
        <w:t>Litchi chinensis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Sonn.) in Bihar state of India. </w:t>
      </w:r>
      <w:r>
        <w:rPr>
          <w:rFonts w:ascii="Times New Roman" w:eastAsia="Times New Roman" w:hAnsi="Times New Roman" w:cs="Times New Roman"/>
          <w:i/>
          <w:sz w:val="24"/>
          <w:szCs w:val="24"/>
        </w:rPr>
        <w:t>Journal of Applied Horticulture</w:t>
      </w:r>
      <w:r>
        <w:rPr>
          <w:rFonts w:ascii="Times New Roman" w:eastAsia="Times New Roman" w:hAnsi="Times New Roman" w:cs="Times New Roman"/>
          <w:sz w:val="24"/>
          <w:szCs w:val="24"/>
        </w:rPr>
        <w:t>, (16),11-13.</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V., Kumar, A., &amp;Nath, V. (2011). Emerging pests and diseases of litchi (</w:t>
      </w:r>
      <w:r>
        <w:rPr>
          <w:rFonts w:ascii="Times New Roman" w:eastAsia="Times New Roman" w:hAnsi="Times New Roman" w:cs="Times New Roman"/>
          <w:i/>
          <w:sz w:val="24"/>
          <w:szCs w:val="24"/>
        </w:rPr>
        <w:t>Litchi</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chinensis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Sonn.). </w:t>
      </w:r>
      <w:r>
        <w:rPr>
          <w:rFonts w:ascii="Times New Roman" w:eastAsia="Times New Roman" w:hAnsi="Times New Roman" w:cs="Times New Roman"/>
          <w:i/>
          <w:sz w:val="24"/>
          <w:szCs w:val="24"/>
        </w:rPr>
        <w:t>Pest Management in Horticultural Ecosystem</w:t>
      </w:r>
      <w:r>
        <w:rPr>
          <w:rFonts w:ascii="Times New Roman" w:eastAsia="Times New Roman" w:hAnsi="Times New Roman" w:cs="Times New Roman"/>
          <w:sz w:val="24"/>
          <w:szCs w:val="24"/>
        </w:rPr>
        <w:t xml:space="preserve">, 17, 11-13. </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V., Reddy, P. V., &amp;Anal, A. K. D. (2013). Report on the occurrence and biology of </w:t>
      </w:r>
      <w:r>
        <w:rPr>
          <w:rFonts w:ascii="Times New Roman" w:eastAsia="Times New Roman" w:hAnsi="Times New Roman" w:cs="Times New Roman"/>
          <w:i/>
          <w:sz w:val="24"/>
          <w:szCs w:val="24"/>
        </w:rPr>
        <w:t>Thalassodes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pilaria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Guenee (Lepidoptera: Geometridae) on litchi (</w:t>
      </w:r>
      <w:r>
        <w:rPr>
          <w:rFonts w:ascii="Times New Roman" w:eastAsia="Times New Roman" w:hAnsi="Times New Roman" w:cs="Times New Roman"/>
          <w:i/>
          <w:sz w:val="24"/>
          <w:szCs w:val="24"/>
        </w:rPr>
        <w:t>Litchi</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chinensis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Sonn.) in Bihar, India. </w:t>
      </w:r>
      <w:r>
        <w:rPr>
          <w:rFonts w:ascii="Times New Roman" w:eastAsia="Times New Roman" w:hAnsi="Times New Roman" w:cs="Times New Roman"/>
          <w:i/>
          <w:sz w:val="24"/>
          <w:szCs w:val="24"/>
        </w:rPr>
        <w:t>Pest Management in Horticultural Ecosystems</w:t>
      </w:r>
      <w:r>
        <w:rPr>
          <w:rFonts w:ascii="Times New Roman" w:eastAsia="Times New Roman" w:hAnsi="Times New Roman" w:cs="Times New Roman"/>
          <w:sz w:val="24"/>
          <w:szCs w:val="24"/>
        </w:rPr>
        <w:t>, 19(2), 245-247.</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Kumawat, M. M., Singh, K. M.,&amp;Wangchu, L. (2017). First report of an invasive longhorn beetle, Aristobiareticulator (Voet) (Coleoptera: Cerambycidae) in Litchi, Litchi chinensisSonn. (Sapindaceae) in India. </w:t>
      </w:r>
      <w:r>
        <w:rPr>
          <w:rFonts w:ascii="Times New Roman" w:eastAsia="Times New Roman" w:hAnsi="Times New Roman" w:cs="Times New Roman"/>
          <w:i/>
          <w:sz w:val="24"/>
          <w:szCs w:val="24"/>
        </w:rPr>
        <w:t>The Coleopterists Bulletin,</w:t>
      </w:r>
      <w:r>
        <w:rPr>
          <w:rFonts w:ascii="Times New Roman" w:eastAsia="Times New Roman" w:hAnsi="Times New Roman" w:cs="Times New Roman"/>
          <w:sz w:val="24"/>
          <w:szCs w:val="24"/>
        </w:rPr>
        <w:t xml:space="preserve"> 71(1), 131-136.</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Kumawat, M. M., &amp;Wangchu, L. (2021). First record of Aristobiareticulator (Voet) on aonla</w:t>
      </w:r>
      <w:r w:rsidR="004323D3">
        <w:rPr>
          <w:rFonts w:ascii="Times New Roman" w:eastAsia="Times New Roman" w:hAnsi="Times New Roman" w:cs="Times New Roman"/>
          <w:sz w:val="24"/>
          <w:szCs w:val="24"/>
        </w:rPr>
        <w:t xml:space="preserve"> </w:t>
      </w:r>
      <w:r w:rsidRPr="004323D3">
        <w:rPr>
          <w:rFonts w:ascii="Times New Roman" w:eastAsia="Times New Roman" w:hAnsi="Times New Roman" w:cs="Times New Roman"/>
          <w:i/>
          <w:sz w:val="24"/>
          <w:szCs w:val="24"/>
        </w:rPr>
        <w:t>Emblica</w:t>
      </w:r>
      <w:r w:rsidR="004323D3" w:rsidRPr="004323D3">
        <w:rPr>
          <w:rFonts w:ascii="Times New Roman" w:eastAsia="Times New Roman" w:hAnsi="Times New Roman" w:cs="Times New Roman"/>
          <w:i/>
          <w:sz w:val="24"/>
          <w:szCs w:val="24"/>
        </w:rPr>
        <w:t xml:space="preserve"> </w:t>
      </w:r>
      <w:r w:rsidRPr="004323D3">
        <w:rPr>
          <w:rFonts w:ascii="Times New Roman" w:eastAsia="Times New Roman" w:hAnsi="Times New Roman" w:cs="Times New Roman"/>
          <w:i/>
          <w:sz w:val="24"/>
          <w:szCs w:val="24"/>
        </w:rPr>
        <w:t>officinalis</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Gaertn. </w:t>
      </w:r>
      <w:r>
        <w:rPr>
          <w:rFonts w:ascii="Times New Roman" w:eastAsia="Times New Roman" w:hAnsi="Times New Roman" w:cs="Times New Roman"/>
          <w:i/>
          <w:sz w:val="24"/>
          <w:szCs w:val="24"/>
        </w:rPr>
        <w:t>Indian Journal of Entomology</w:t>
      </w:r>
      <w:r>
        <w:rPr>
          <w:rFonts w:ascii="Times New Roman" w:eastAsia="Times New Roman" w:hAnsi="Times New Roman" w:cs="Times New Roman"/>
          <w:sz w:val="24"/>
          <w:szCs w:val="24"/>
        </w:rPr>
        <w:t xml:space="preserve"> 83(1), 25-29.</w:t>
      </w:r>
    </w:p>
    <w:p w:rsidR="004E0D8A" w:rsidRDefault="009C0D87">
      <w:pPr>
        <w:spacing w:after="0" w:line="240" w:lineRule="auto"/>
        <w:ind w:left="720" w:hanging="720"/>
        <w:jc w:val="both"/>
        <w:rPr>
          <w:rFonts w:ascii="Times New Roman" w:eastAsia="Times New Roman" w:hAnsi="Times New Roman" w:cs="Times New Roman"/>
          <w:sz w:val="24"/>
          <w:szCs w:val="24"/>
        </w:rPr>
      </w:pPr>
      <w:bookmarkStart w:id="2" w:name="_evlw9xksldyy" w:colFirst="0" w:colLast="0"/>
      <w:bookmarkEnd w:id="2"/>
      <w:r>
        <w:rPr>
          <w:rFonts w:ascii="Times New Roman" w:eastAsia="Times New Roman" w:hAnsi="Times New Roman" w:cs="Times New Roman"/>
          <w:sz w:val="24"/>
          <w:szCs w:val="24"/>
        </w:rPr>
        <w:t xml:space="preserve">Malik, G., &amp;Deveshwar, P. (2017). Abiotic stress management in fruit crop </w:t>
      </w:r>
      <w:r>
        <w:rPr>
          <w:rFonts w:ascii="Times New Roman" w:eastAsia="Times New Roman" w:hAnsi="Times New Roman" w:cs="Times New Roman"/>
          <w:i/>
          <w:sz w:val="24"/>
          <w:szCs w:val="24"/>
        </w:rPr>
        <w:t>Litchi chinensis</w:t>
      </w:r>
      <w:r>
        <w:rPr>
          <w:rFonts w:ascii="Times New Roman" w:eastAsia="Times New Roman" w:hAnsi="Times New Roman" w:cs="Times New Roman"/>
          <w:sz w:val="24"/>
          <w:szCs w:val="24"/>
        </w:rPr>
        <w:t>. In: M. Kumar, V. Kumar, R. Prasad, &amp; A. Varma (Eds.), The lychee biotechnology (pp. 243-263). Singapore: Springer.</w:t>
      </w:r>
      <w:hyperlink r:id="rId12">
        <w:r>
          <w:rPr>
            <w:rFonts w:ascii="Times New Roman" w:eastAsia="Times New Roman" w:hAnsi="Times New Roman" w:cs="Times New Roman"/>
            <w:color w:val="0000FF"/>
            <w:sz w:val="24"/>
            <w:szCs w:val="24"/>
            <w:u w:val="single"/>
          </w:rPr>
          <w:t>https://doi.org/10.1007/978-981-10-3644-6_8</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Margalef, R. (1958). Temporal succession and spatial heterogeneity in phytoplankton. In: </w:t>
      </w:r>
      <w:r>
        <w:rPr>
          <w:rFonts w:ascii="Times New Roman" w:eastAsia="Times New Roman" w:hAnsi="Times New Roman" w:cs="Times New Roman"/>
          <w:sz w:val="24"/>
          <w:szCs w:val="24"/>
        </w:rPr>
        <w:t xml:space="preserve">A.A. </w:t>
      </w:r>
      <w:r>
        <w:rPr>
          <w:rFonts w:ascii="Times New Roman" w:eastAsia="Times New Roman" w:hAnsi="Times New Roman" w:cs="Times New Roman"/>
          <w:sz w:val="24"/>
          <w:szCs w:val="24"/>
          <w:highlight w:val="white"/>
        </w:rPr>
        <w:t>Buzzati-Traverso</w:t>
      </w:r>
      <w:r>
        <w:rPr>
          <w:rFonts w:ascii="Times New Roman" w:eastAsia="Times New Roman" w:hAnsi="Times New Roman" w:cs="Times New Roman"/>
          <w:sz w:val="24"/>
          <w:szCs w:val="24"/>
        </w:rPr>
        <w:t xml:space="preserve"> (Ed), Perspectives in marine biology (pp. 323-349). USA: University of California Press. </w:t>
      </w:r>
      <w:hyperlink r:id="rId13">
        <w:r>
          <w:rPr>
            <w:rFonts w:ascii="Times New Roman" w:eastAsia="Times New Roman" w:hAnsi="Times New Roman" w:cs="Times New Roman"/>
            <w:color w:val="0000FF"/>
            <w:sz w:val="24"/>
            <w:szCs w:val="24"/>
            <w:highlight w:val="white"/>
            <w:u w:val="single"/>
          </w:rPr>
          <w:t>https://doi.org/10.1525/9780520350281-024</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Mazumder, N., Dutta, S. K., Bora, P., Gogoi, S. &amp; Purnima, D. (2014). Record of litchi weevil, Myllocerusdiscolor (Coleoptera: Curculionidae) on litchi (</w:t>
      </w:r>
      <w:r w:rsidRPr="004323D3">
        <w:rPr>
          <w:rFonts w:ascii="Times New Roman" w:eastAsia="Times New Roman" w:hAnsi="Times New Roman" w:cs="Times New Roman"/>
          <w:i/>
          <w:sz w:val="24"/>
          <w:szCs w:val="24"/>
        </w:rPr>
        <w:t>Litchi chinensis</w:t>
      </w:r>
      <w:r w:rsidR="00432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Sonn. (Sapindaceae) from Assam. </w:t>
      </w:r>
      <w:r>
        <w:rPr>
          <w:rFonts w:ascii="Times New Roman" w:eastAsia="Times New Roman" w:hAnsi="Times New Roman" w:cs="Times New Roman"/>
          <w:i/>
          <w:sz w:val="24"/>
          <w:szCs w:val="24"/>
        </w:rPr>
        <w:t>Insect Environment</w:t>
      </w:r>
      <w:r>
        <w:rPr>
          <w:rFonts w:ascii="Times New Roman" w:eastAsia="Times New Roman" w:hAnsi="Times New Roman" w:cs="Times New Roman"/>
          <w:sz w:val="24"/>
          <w:szCs w:val="24"/>
        </w:rPr>
        <w:t>. 20, 29-31.</w:t>
      </w:r>
    </w:p>
    <w:p w:rsidR="004E0D8A" w:rsidRDefault="009C0D87">
      <w:pPr>
        <w:spacing w:after="0" w:line="240" w:lineRule="auto"/>
        <w:ind w:left="720" w:hanging="720"/>
        <w:jc w:val="both"/>
        <w:rPr>
          <w:rFonts w:ascii="Times New Roman" w:eastAsia="Times New Roman" w:hAnsi="Times New Roman" w:cs="Times New Roman"/>
          <w:color w:val="0000FF"/>
          <w:sz w:val="24"/>
          <w:szCs w:val="24"/>
          <w:highlight w:val="white"/>
          <w:u w:val="single"/>
        </w:rPr>
      </w:pPr>
      <w:r>
        <w:rPr>
          <w:rFonts w:ascii="Times New Roman" w:eastAsia="Times New Roman" w:hAnsi="Times New Roman" w:cs="Times New Roman"/>
          <w:sz w:val="24"/>
          <w:szCs w:val="24"/>
          <w:highlight w:val="white"/>
        </w:rPr>
        <w:t xml:space="preserve">McIntosh, R. P. (1967). An index of diversity and the relation of certain concepts to diversity.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xml:space="preserve">, 48(3), 392-404. </w:t>
      </w:r>
      <w:hyperlink r:id="rId14">
        <w:r>
          <w:rPr>
            <w:rFonts w:ascii="Times New Roman" w:eastAsia="Times New Roman" w:hAnsi="Times New Roman" w:cs="Times New Roman"/>
            <w:color w:val="0000FF"/>
            <w:sz w:val="24"/>
            <w:szCs w:val="24"/>
            <w:highlight w:val="white"/>
            <w:u w:val="single"/>
          </w:rPr>
          <w:t>https://doi.org/10.2307/1932674</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Menhinick, E. F. (1964). A comparison of some species‐individuals diversity indices applied to samples of field insects.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45(4), 859-861.</w:t>
      </w:r>
      <w:hyperlink r:id="rId15">
        <w:r>
          <w:rPr>
            <w:rFonts w:ascii="Times New Roman" w:eastAsia="Times New Roman" w:hAnsi="Times New Roman" w:cs="Times New Roman"/>
            <w:color w:val="0000FF"/>
            <w:sz w:val="24"/>
            <w:szCs w:val="24"/>
            <w:highlight w:val="white"/>
            <w:u w:val="single"/>
          </w:rPr>
          <w:t>https://doi.org/10.2307/1934933</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Mozhui L, Rana A, Neikha K, Kakati L N. 2020. A checklist of long horn beetles (Coleoptera: Cerambycidae) of Lumami, Zuhenboto District, Nagaland with 23 new records. </w:t>
      </w:r>
      <w:r>
        <w:rPr>
          <w:rFonts w:ascii="Times New Roman" w:eastAsia="Times New Roman" w:hAnsi="Times New Roman" w:cs="Times New Roman"/>
          <w:i/>
          <w:sz w:val="24"/>
          <w:szCs w:val="24"/>
        </w:rPr>
        <w:t>Halteres,</w:t>
      </w:r>
      <w:r>
        <w:rPr>
          <w:rFonts w:ascii="Times New Roman" w:eastAsia="Times New Roman" w:hAnsi="Times New Roman" w:cs="Times New Roman"/>
          <w:sz w:val="24"/>
          <w:szCs w:val="24"/>
        </w:rPr>
        <w:t xml:space="preserve"> 11, 118-128.</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Peet, R. K. (1975). Relative diversity indices.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56(2), 496-498.</w:t>
      </w:r>
      <w:hyperlink r:id="rId16">
        <w:r>
          <w:rPr>
            <w:rFonts w:ascii="Times New Roman" w:eastAsia="Times New Roman" w:hAnsi="Times New Roman" w:cs="Times New Roman"/>
            <w:color w:val="0000FF"/>
            <w:sz w:val="24"/>
            <w:szCs w:val="24"/>
            <w:highlight w:val="white"/>
            <w:u w:val="single"/>
          </w:rPr>
          <w:t>https://doi.org/10.2307/1934984</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Pielou, E. C. (1966). The measurement of diversity in different types of biological collections. </w:t>
      </w:r>
      <w:r>
        <w:rPr>
          <w:rFonts w:ascii="Times New Roman" w:eastAsia="Times New Roman" w:hAnsi="Times New Roman" w:cs="Times New Roman"/>
          <w:i/>
          <w:sz w:val="24"/>
          <w:szCs w:val="24"/>
          <w:highlight w:val="white"/>
        </w:rPr>
        <w:t>Journal of Theoretical Biology</w:t>
      </w:r>
      <w:r>
        <w:rPr>
          <w:rFonts w:ascii="Times New Roman" w:eastAsia="Times New Roman" w:hAnsi="Times New Roman" w:cs="Times New Roman"/>
          <w:sz w:val="24"/>
          <w:szCs w:val="24"/>
          <w:highlight w:val="white"/>
        </w:rPr>
        <w:t xml:space="preserve">, 13, 131-144. </w:t>
      </w:r>
      <w:hyperlink r:id="rId17">
        <w:r>
          <w:rPr>
            <w:rFonts w:ascii="Times New Roman" w:eastAsia="Times New Roman" w:hAnsi="Times New Roman" w:cs="Times New Roman"/>
            <w:sz w:val="24"/>
            <w:szCs w:val="24"/>
          </w:rPr>
          <w:t>https://doi.org/10.1016/0022-5193(66)90013-0</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Rangare, N. R., Lal, N., &amp;Sahu, N. (2022). Litchi-an emerging potential fruit crop in India. In: S. Singh, &amp; N. R. Rangare (Eds.), Research Management in Horticultural Crops (pp. 97-109). New Delhi: Scripown Publications.</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Reddy,P. M., Choudhary, J. S., Limtinaro, &amp;Maiti, C. S. (2025). Invasive longhorn beetle, </w:t>
      </w:r>
      <w:r>
        <w:rPr>
          <w:rFonts w:ascii="Times New Roman" w:eastAsia="Times New Roman" w:hAnsi="Times New Roman" w:cs="Times New Roman"/>
          <w:i/>
          <w:sz w:val="24"/>
          <w:szCs w:val="24"/>
        </w:rPr>
        <w:t>Aristobia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reticulator</w:t>
      </w:r>
      <w:r>
        <w:rPr>
          <w:rFonts w:ascii="Times New Roman" w:eastAsia="Times New Roman" w:hAnsi="Times New Roman" w:cs="Times New Roman"/>
          <w:sz w:val="24"/>
          <w:szCs w:val="24"/>
        </w:rPr>
        <w:t xml:space="preserve"> (Voet) (Coleoptera: Cerambycidae): A major threat to litchi trees in Nagaland. </w:t>
      </w:r>
      <w:r>
        <w:rPr>
          <w:rFonts w:ascii="Times New Roman" w:eastAsia="Times New Roman" w:hAnsi="Times New Roman" w:cs="Times New Roman"/>
          <w:i/>
          <w:sz w:val="24"/>
          <w:szCs w:val="24"/>
        </w:rPr>
        <w:t>Indian Journal of Entomology</w:t>
      </w:r>
      <w:r>
        <w:rPr>
          <w:rFonts w:ascii="Times New Roman" w:eastAsia="Times New Roman" w:hAnsi="Times New Roman" w:cs="Times New Roman"/>
          <w:sz w:val="24"/>
          <w:szCs w:val="24"/>
        </w:rPr>
        <w:t xml:space="preserve">, Online published Ref. No. e25746, </w:t>
      </w:r>
      <w:r>
        <w:rPr>
          <w:rFonts w:ascii="Times New Roman" w:eastAsia="Times New Roman" w:hAnsi="Times New Roman" w:cs="Times New Roman"/>
          <w:sz w:val="24"/>
          <w:szCs w:val="24"/>
          <w:highlight w:val="white"/>
        </w:rPr>
        <w:t>https://doi.org/</w:t>
      </w:r>
      <w:r>
        <w:rPr>
          <w:rFonts w:ascii="Times New Roman" w:eastAsia="Times New Roman" w:hAnsi="Times New Roman" w:cs="Times New Roman"/>
          <w:sz w:val="24"/>
          <w:szCs w:val="24"/>
        </w:rPr>
        <w:t>10.55446/IJE.2025.1746.</w:t>
      </w:r>
    </w:p>
    <w:p w:rsidR="004E0D8A" w:rsidRDefault="009C0D87">
      <w:pPr>
        <w:spacing w:after="0" w:line="240" w:lineRule="auto"/>
        <w:ind w:left="720" w:hanging="72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Reddy, P. V. R., Srivastava, K.,&amp;Nath, V. (2016). Litchi fruit borers. </w:t>
      </w:r>
      <w:r>
        <w:rPr>
          <w:rFonts w:ascii="Times New Roman" w:eastAsia="Times New Roman" w:hAnsi="Times New Roman" w:cs="Times New Roman"/>
          <w:i/>
          <w:sz w:val="24"/>
          <w:szCs w:val="24"/>
        </w:rPr>
        <w:t>Current Science</w:t>
      </w:r>
      <w:r>
        <w:rPr>
          <w:rFonts w:ascii="Times New Roman" w:eastAsia="Times New Roman" w:hAnsi="Times New Roman" w:cs="Times New Roman"/>
          <w:sz w:val="24"/>
          <w:szCs w:val="24"/>
        </w:rPr>
        <w:t>, 10, 758-759.</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Regmi, N. R. (2022). A review on management options for litchi fruit and shoot borer, </w:t>
      </w:r>
      <w:r>
        <w:rPr>
          <w:rFonts w:ascii="Times New Roman" w:eastAsia="Times New Roman" w:hAnsi="Times New Roman" w:cs="Times New Roman"/>
          <w:i/>
          <w:sz w:val="24"/>
          <w:szCs w:val="24"/>
        </w:rPr>
        <w:t>Conopomorpha</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sinensis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Big Data in Agriculture (BDA)</w:t>
      </w:r>
      <w:r>
        <w:rPr>
          <w:rFonts w:ascii="Times New Roman" w:eastAsia="Times New Roman" w:hAnsi="Times New Roman" w:cs="Times New Roman"/>
          <w:sz w:val="24"/>
          <w:szCs w:val="24"/>
        </w:rPr>
        <w:t>, 4(2), 58-61.</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Shannon, C. E. (1948). A mathematical theory of communication. </w:t>
      </w:r>
      <w:r>
        <w:rPr>
          <w:rFonts w:ascii="Times New Roman" w:eastAsia="Times New Roman" w:hAnsi="Times New Roman" w:cs="Times New Roman"/>
          <w:i/>
          <w:sz w:val="24"/>
          <w:szCs w:val="24"/>
          <w:highlight w:val="white"/>
        </w:rPr>
        <w:t>The Bell System Technical Journal</w:t>
      </w:r>
      <w:r>
        <w:rPr>
          <w:rFonts w:ascii="Times New Roman" w:eastAsia="Times New Roman" w:hAnsi="Times New Roman" w:cs="Times New Roman"/>
          <w:sz w:val="24"/>
          <w:szCs w:val="24"/>
          <w:highlight w:val="white"/>
        </w:rPr>
        <w:t>, 27(3), 379-423. https://doi.org/</w:t>
      </w:r>
      <w:hyperlink r:id="rId18">
        <w:r>
          <w:rPr>
            <w:rFonts w:ascii="Times New Roman" w:eastAsia="Times New Roman" w:hAnsi="Times New Roman" w:cs="Times New Roman"/>
            <w:color w:val="0000FF"/>
            <w:sz w:val="24"/>
            <w:szCs w:val="24"/>
            <w:highlight w:val="white"/>
            <w:u w:val="single"/>
          </w:rPr>
          <w:t>10.1002/j.1538-7305.1948.tb01338.x</w:t>
        </w:r>
      </w:hyperlink>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Sheldon, A. L. (1969). Equitability indices: dependence on the species count. </w:t>
      </w:r>
      <w:r>
        <w:rPr>
          <w:rFonts w:ascii="Times New Roman" w:eastAsia="Times New Roman" w:hAnsi="Times New Roman" w:cs="Times New Roman"/>
          <w:i/>
          <w:sz w:val="24"/>
          <w:szCs w:val="24"/>
          <w:highlight w:val="white"/>
        </w:rPr>
        <w:t>Ecology</w:t>
      </w:r>
      <w:r>
        <w:rPr>
          <w:rFonts w:ascii="Times New Roman" w:eastAsia="Times New Roman" w:hAnsi="Times New Roman" w:cs="Times New Roman"/>
          <w:sz w:val="24"/>
          <w:szCs w:val="24"/>
          <w:highlight w:val="white"/>
        </w:rPr>
        <w:t xml:space="preserve">, 50(3), 466-467. </w:t>
      </w:r>
      <w:hyperlink r:id="rId19">
        <w:r>
          <w:rPr>
            <w:rFonts w:ascii="Times New Roman" w:eastAsia="Times New Roman" w:hAnsi="Times New Roman" w:cs="Times New Roman"/>
            <w:color w:val="0000FF"/>
            <w:sz w:val="24"/>
            <w:szCs w:val="24"/>
            <w:highlight w:val="white"/>
            <w:u w:val="single"/>
          </w:rPr>
          <w:t>https://doi.org/10.2307/1933900</w:t>
        </w:r>
      </w:hyperlink>
    </w:p>
    <w:p w:rsidR="004E0D8A" w:rsidRDefault="009C0D87">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Simpson, E. H. (1949). Measurement of diversity. </w:t>
      </w:r>
      <w:r>
        <w:rPr>
          <w:rFonts w:ascii="Times New Roman" w:eastAsia="Times New Roman" w:hAnsi="Times New Roman" w:cs="Times New Roman"/>
          <w:i/>
          <w:sz w:val="24"/>
          <w:szCs w:val="24"/>
          <w:highlight w:val="white"/>
        </w:rPr>
        <w:t>Nature</w:t>
      </w:r>
      <w:r>
        <w:rPr>
          <w:rFonts w:ascii="Times New Roman" w:eastAsia="Times New Roman" w:hAnsi="Times New Roman" w:cs="Times New Roman"/>
          <w:sz w:val="24"/>
          <w:szCs w:val="24"/>
          <w:highlight w:val="white"/>
        </w:rPr>
        <w:t xml:space="preserve">, 163(4148), 688-688. </w:t>
      </w:r>
      <w:hyperlink r:id="rId20">
        <w:r>
          <w:rPr>
            <w:rFonts w:ascii="Times New Roman" w:eastAsia="Times New Roman" w:hAnsi="Times New Roman" w:cs="Times New Roman"/>
            <w:color w:val="0000FF"/>
            <w:sz w:val="24"/>
            <w:szCs w:val="24"/>
            <w:highlight w:val="white"/>
            <w:u w:val="single"/>
          </w:rPr>
          <w:t>https://doi.org/10.1038/163688a0</w:t>
        </w:r>
      </w:hyperlink>
    </w:p>
    <w:p w:rsidR="004E0D8A" w:rsidRDefault="009C0D87">
      <w:pPr>
        <w:spacing w:after="0" w:line="240" w:lineRule="auto"/>
        <w:ind w:left="720" w:hanging="72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Singh, H. S., Rai, M.&amp;Nath V. (2001). Status and Management of Insect Pests and Mites. In: M. Rai, V.Nath, &amp;P,Dey (Eds.), Litchi, Genetic Resources, Production, Protection and Post-harvest management (pp.73–80).</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Srivastava, K., Pandey, S. D., Patel, R. K., Sharma, D., &amp;Nath, V. (2016). Insect pest management practices in litchi. In: A. Kumar &amp; P. M. Pandey (Eds.), Insect Pests Management of Fruit Crops (pp. 127-149). India: Bio-Green.</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Srivastava, K., Patel, R. K., Kumar, A., Rai, R. R., &amp;Nath, V. (2015). Seasonal incidence and management of ash weevil (</w:t>
      </w:r>
      <w:r>
        <w:rPr>
          <w:rFonts w:ascii="Times New Roman" w:eastAsia="Times New Roman" w:hAnsi="Times New Roman" w:cs="Times New Roman"/>
          <w:i/>
          <w:sz w:val="24"/>
          <w:szCs w:val="24"/>
        </w:rPr>
        <w:t>Myllocerus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undecimpustulatus</w:t>
      </w:r>
      <w:r>
        <w:rPr>
          <w:rFonts w:ascii="Times New Roman" w:eastAsia="Times New Roman" w:hAnsi="Times New Roman" w:cs="Times New Roman"/>
          <w:sz w:val="24"/>
          <w:szCs w:val="24"/>
        </w:rPr>
        <w:t xml:space="preserve">) population on litchi. </w:t>
      </w:r>
      <w:r>
        <w:rPr>
          <w:rFonts w:ascii="Times New Roman" w:eastAsia="Times New Roman" w:hAnsi="Times New Roman" w:cs="Times New Roman"/>
          <w:i/>
          <w:sz w:val="24"/>
          <w:szCs w:val="24"/>
        </w:rPr>
        <w:t>The Ecoscan</w:t>
      </w:r>
      <w:r>
        <w:rPr>
          <w:rFonts w:ascii="Times New Roman" w:eastAsia="Times New Roman" w:hAnsi="Times New Roman" w:cs="Times New Roman"/>
          <w:sz w:val="24"/>
          <w:szCs w:val="24"/>
        </w:rPr>
        <w:t>, 8, 161-165.</w:t>
      </w:r>
    </w:p>
    <w:p w:rsidR="004E0D8A" w:rsidRDefault="009C0D87">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Yadav, P., Lal, R. L., &amp; Pandey, C. (2011). Effect of different levels of fertigation on yield, quality and leaf nutrient status of litchi (</w:t>
      </w:r>
      <w:r>
        <w:rPr>
          <w:rFonts w:ascii="Times New Roman" w:eastAsia="Times New Roman" w:hAnsi="Times New Roman" w:cs="Times New Roman"/>
          <w:i/>
          <w:sz w:val="24"/>
          <w:szCs w:val="24"/>
        </w:rPr>
        <w:t>Litchi chinensis</w:t>
      </w:r>
      <w:r w:rsidR="004323D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Sonn.) cv. Rose Scented. </w:t>
      </w:r>
      <w:r>
        <w:rPr>
          <w:rFonts w:ascii="Times New Roman" w:eastAsia="Times New Roman" w:hAnsi="Times New Roman" w:cs="Times New Roman"/>
          <w:i/>
          <w:sz w:val="24"/>
          <w:szCs w:val="24"/>
        </w:rPr>
        <w:t>Progressive Horticulture</w:t>
      </w:r>
      <w:r>
        <w:rPr>
          <w:rFonts w:ascii="Times New Roman" w:eastAsia="Times New Roman" w:hAnsi="Times New Roman" w:cs="Times New Roman"/>
          <w:sz w:val="24"/>
          <w:szCs w:val="24"/>
        </w:rPr>
        <w:t>, 43(2), 276-280.</w:t>
      </w:r>
    </w:p>
    <w:sectPr w:rsidR="004E0D8A" w:rsidSect="0082677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0A5" w:rsidRDefault="00D840A5" w:rsidP="002817D9">
      <w:pPr>
        <w:spacing w:after="0" w:line="240" w:lineRule="auto"/>
      </w:pPr>
      <w:r>
        <w:separator/>
      </w:r>
    </w:p>
  </w:endnote>
  <w:endnote w:type="continuationSeparator" w:id="1">
    <w:p w:rsidR="00D840A5" w:rsidRDefault="00D840A5" w:rsidP="00281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98DE089D-4855-4526-8816-6B744E88F314}"/>
    <w:embedBold r:id="rId2" w:fontKey="{EED0CD88-08A6-4A6C-B6EB-B523FFD9BB40}"/>
    <w:embedItalic r:id="rId3" w:fontKey="{3652EF1C-2C67-4B42-908A-8EAD47EA1A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EE23CE5-E75F-4F86-9346-0249F2524460}"/>
    <w:embedItalic r:id="rId5" w:fontKey="{EFC3B39E-13AA-4FE9-AD36-9FDCE502768B}"/>
  </w:font>
  <w:font w:name="Tahoma">
    <w:panose1 w:val="020B0604030504040204"/>
    <w:charset w:val="00"/>
    <w:family w:val="swiss"/>
    <w:pitch w:val="variable"/>
    <w:sig w:usb0="E1002EFF" w:usb1="C000605B" w:usb2="00000029" w:usb3="00000000" w:csb0="000101FF" w:csb1="00000000"/>
    <w:embedRegular r:id="rId6" w:fontKey="{FC5AE08F-4CA8-401D-88B0-81A7FEB962F6}"/>
  </w:font>
  <w:font w:name="Cambria Math">
    <w:panose1 w:val="02040503050406030204"/>
    <w:charset w:val="00"/>
    <w:family w:val="roman"/>
    <w:pitch w:val="variable"/>
    <w:sig w:usb0="E00006FF" w:usb1="420024FF" w:usb2="02000000" w:usb3="00000000" w:csb0="0000019F" w:csb1="00000000"/>
    <w:embedRegular r:id="rId7" w:fontKey="{84649F81-AFBA-4C05-AB7D-CA748CBA4EEB}"/>
    <w:embedItalic r:id="rId8" w:fontKey="{E37114B0-D17B-4646-845E-A1F8B63FA75F}"/>
  </w:font>
  <w:font w:name="Cambria">
    <w:panose1 w:val="02040503050406030204"/>
    <w:charset w:val="00"/>
    <w:family w:val="roman"/>
    <w:pitch w:val="variable"/>
    <w:sig w:usb0="E00006FF" w:usb1="420024FF" w:usb2="02000000" w:usb3="00000000" w:csb0="0000019F" w:csb1="00000000"/>
    <w:embedRegular r:id="rId9" w:fontKey="{BCEA7FBD-0312-4043-A77E-E2FA5F1F0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2817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2817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2817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0A5" w:rsidRDefault="00D840A5" w:rsidP="002817D9">
      <w:pPr>
        <w:spacing w:after="0" w:line="240" w:lineRule="auto"/>
      </w:pPr>
      <w:r>
        <w:separator/>
      </w:r>
    </w:p>
  </w:footnote>
  <w:footnote w:type="continuationSeparator" w:id="1">
    <w:p w:rsidR="00D840A5" w:rsidRDefault="00D840A5" w:rsidP="002817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5F201F">
    <w:pPr>
      <w:pStyle w:val="Header"/>
    </w:pPr>
    <w:r w:rsidRPr="005F201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5F201F">
    <w:pPr>
      <w:pStyle w:val="Header"/>
    </w:pPr>
    <w:r w:rsidRPr="005F201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7D9" w:rsidRDefault="005F201F">
    <w:pPr>
      <w:pStyle w:val="Header"/>
    </w:pPr>
    <w:r w:rsidRPr="005F201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8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E0D8A"/>
    <w:rsid w:val="00067C3B"/>
    <w:rsid w:val="00126BAE"/>
    <w:rsid w:val="002415B7"/>
    <w:rsid w:val="002817D9"/>
    <w:rsid w:val="002D59DD"/>
    <w:rsid w:val="002F1F3D"/>
    <w:rsid w:val="003A785A"/>
    <w:rsid w:val="003D155A"/>
    <w:rsid w:val="004323D3"/>
    <w:rsid w:val="004E0D8A"/>
    <w:rsid w:val="005A09A9"/>
    <w:rsid w:val="005F201F"/>
    <w:rsid w:val="00703243"/>
    <w:rsid w:val="00826774"/>
    <w:rsid w:val="009C0D87"/>
    <w:rsid w:val="009F2F20"/>
    <w:rsid w:val="00AF6FA3"/>
    <w:rsid w:val="00B43B52"/>
    <w:rsid w:val="00BA780E"/>
    <w:rsid w:val="00CB41BA"/>
    <w:rsid w:val="00D840A5"/>
    <w:rsid w:val="00FD07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774"/>
  </w:style>
  <w:style w:type="paragraph" w:styleId="Heading1">
    <w:name w:val="heading 1"/>
    <w:basedOn w:val="Normal"/>
    <w:next w:val="Normal"/>
    <w:uiPriority w:val="9"/>
    <w:qFormat/>
    <w:rsid w:val="00826774"/>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2677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2677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2677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26774"/>
    <w:pPr>
      <w:keepNext/>
      <w:keepLines/>
      <w:spacing w:before="220" w:after="40"/>
      <w:outlineLvl w:val="4"/>
    </w:pPr>
    <w:rPr>
      <w:b/>
    </w:rPr>
  </w:style>
  <w:style w:type="paragraph" w:styleId="Heading6">
    <w:name w:val="heading 6"/>
    <w:basedOn w:val="Normal"/>
    <w:next w:val="Normal"/>
    <w:uiPriority w:val="9"/>
    <w:semiHidden/>
    <w:unhideWhenUsed/>
    <w:qFormat/>
    <w:rsid w:val="0082677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26774"/>
    <w:tblPr>
      <w:tblCellMar>
        <w:top w:w="0" w:type="dxa"/>
        <w:left w:w="0" w:type="dxa"/>
        <w:bottom w:w="0" w:type="dxa"/>
        <w:right w:w="0" w:type="dxa"/>
      </w:tblCellMar>
    </w:tblPr>
  </w:style>
  <w:style w:type="paragraph" w:styleId="Title">
    <w:name w:val="Title"/>
    <w:basedOn w:val="Normal"/>
    <w:next w:val="Normal"/>
    <w:uiPriority w:val="10"/>
    <w:qFormat/>
    <w:rsid w:val="00826774"/>
    <w:pPr>
      <w:keepNext/>
      <w:keepLines/>
      <w:spacing w:before="480" w:after="120"/>
    </w:pPr>
    <w:rPr>
      <w:b/>
      <w:sz w:val="72"/>
      <w:szCs w:val="72"/>
    </w:rPr>
  </w:style>
  <w:style w:type="paragraph" w:styleId="Subtitle">
    <w:name w:val="Subtitle"/>
    <w:basedOn w:val="Normal"/>
    <w:next w:val="Normal"/>
    <w:uiPriority w:val="11"/>
    <w:qFormat/>
    <w:rsid w:val="00826774"/>
    <w:pPr>
      <w:keepNext/>
      <w:keepLines/>
      <w:spacing w:before="360" w:after="80"/>
    </w:pPr>
    <w:rPr>
      <w:rFonts w:ascii="Georgia" w:eastAsia="Georgia" w:hAnsi="Georgia" w:cs="Georgia"/>
      <w:i/>
      <w:color w:val="666666"/>
      <w:sz w:val="48"/>
      <w:szCs w:val="48"/>
    </w:rPr>
  </w:style>
  <w:style w:type="table" w:customStyle="1" w:styleId="a">
    <w:basedOn w:val="TableNormal0"/>
    <w:rsid w:val="0082677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82677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826774"/>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FD0715"/>
    <w:rPr>
      <w:color w:val="0000FF" w:themeColor="hyperlink"/>
      <w:u w:val="single"/>
    </w:rPr>
  </w:style>
  <w:style w:type="character" w:customStyle="1" w:styleId="UnresolvedMention">
    <w:name w:val="Unresolved Mention"/>
    <w:basedOn w:val="DefaultParagraphFont"/>
    <w:uiPriority w:val="99"/>
    <w:semiHidden/>
    <w:unhideWhenUsed/>
    <w:rsid w:val="00FD0715"/>
    <w:rPr>
      <w:color w:val="605E5C"/>
      <w:shd w:val="clear" w:color="auto" w:fill="E1DFDD"/>
    </w:rPr>
  </w:style>
  <w:style w:type="paragraph" w:styleId="ListParagraph">
    <w:name w:val="List Paragraph"/>
    <w:basedOn w:val="Normal"/>
    <w:uiPriority w:val="34"/>
    <w:qFormat/>
    <w:rsid w:val="009F2F20"/>
    <w:pPr>
      <w:ind w:left="720"/>
      <w:contextualSpacing/>
    </w:pPr>
  </w:style>
  <w:style w:type="paragraph" w:styleId="Header">
    <w:name w:val="header"/>
    <w:basedOn w:val="Normal"/>
    <w:link w:val="HeaderChar"/>
    <w:uiPriority w:val="99"/>
    <w:unhideWhenUsed/>
    <w:rsid w:val="0028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7D9"/>
  </w:style>
  <w:style w:type="paragraph" w:styleId="Footer">
    <w:name w:val="footer"/>
    <w:basedOn w:val="Normal"/>
    <w:link w:val="FooterChar"/>
    <w:uiPriority w:val="99"/>
    <w:unhideWhenUsed/>
    <w:rsid w:val="0028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7D9"/>
  </w:style>
  <w:style w:type="paragraph" w:styleId="BalloonText">
    <w:name w:val="Balloon Text"/>
    <w:basedOn w:val="Normal"/>
    <w:link w:val="BalloonTextChar"/>
    <w:uiPriority w:val="99"/>
    <w:semiHidden/>
    <w:unhideWhenUsed/>
    <w:rsid w:val="00BA7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8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FD0715"/>
    <w:rPr>
      <w:color w:val="0000FF" w:themeColor="hyperlink"/>
      <w:u w:val="single"/>
    </w:rPr>
  </w:style>
  <w:style w:type="character" w:customStyle="1" w:styleId="UnresolvedMention">
    <w:name w:val="Unresolved Mention"/>
    <w:basedOn w:val="DefaultParagraphFont"/>
    <w:uiPriority w:val="99"/>
    <w:semiHidden/>
    <w:unhideWhenUsed/>
    <w:rsid w:val="00FD0715"/>
    <w:rPr>
      <w:color w:val="605E5C"/>
      <w:shd w:val="clear" w:color="auto" w:fill="E1DFDD"/>
    </w:rPr>
  </w:style>
  <w:style w:type="paragraph" w:styleId="ListParagraph">
    <w:name w:val="List Paragraph"/>
    <w:basedOn w:val="Normal"/>
    <w:uiPriority w:val="34"/>
    <w:qFormat/>
    <w:rsid w:val="009F2F20"/>
    <w:pPr>
      <w:ind w:left="720"/>
      <w:contextualSpacing/>
    </w:pPr>
  </w:style>
  <w:style w:type="paragraph" w:styleId="Header">
    <w:name w:val="header"/>
    <w:basedOn w:val="Normal"/>
    <w:link w:val="HeaderChar"/>
    <w:uiPriority w:val="99"/>
    <w:unhideWhenUsed/>
    <w:rsid w:val="0028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7D9"/>
  </w:style>
  <w:style w:type="paragraph" w:styleId="Footer">
    <w:name w:val="footer"/>
    <w:basedOn w:val="Normal"/>
    <w:link w:val="FooterChar"/>
    <w:uiPriority w:val="99"/>
    <w:unhideWhenUsed/>
    <w:rsid w:val="0028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7D9"/>
  </w:style>
  <w:style w:type="paragraph" w:styleId="BalloonText">
    <w:name w:val="Balloon Text"/>
    <w:basedOn w:val="Normal"/>
    <w:link w:val="BalloonTextChar"/>
    <w:uiPriority w:val="99"/>
    <w:semiHidden/>
    <w:unhideWhenUsed/>
    <w:rsid w:val="00BA7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8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525/9780520350281-024" TargetMode="External"/><Relationship Id="rId18" Type="http://schemas.openxmlformats.org/officeDocument/2006/relationships/hyperlink" Target="https://doi.org/10.1002/j.1538-7305.1948.tb01338.x"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s://doi.org/10.1007/978-981-10-3644-6_8" TargetMode="External"/><Relationship Id="rId17" Type="http://schemas.openxmlformats.org/officeDocument/2006/relationships/hyperlink" Target="https://doi.org/10.1016/0022-5193(66)90013-0"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2307/1934984" TargetMode="External"/><Relationship Id="rId20" Type="http://schemas.openxmlformats.org/officeDocument/2006/relationships/hyperlink" Target="https://doi.org/10.1038/163688a0" TargetMode="External"/><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x.doi.org/10.5772/intechopen.71824"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2307/193493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17/S0025315400022736" TargetMode="External"/><Relationship Id="rId19" Type="http://schemas.openxmlformats.org/officeDocument/2006/relationships/hyperlink" Target="https://doi.org/10.2307/1933900" TargetMode="External"/><Relationship Id="rId4" Type="http://schemas.openxmlformats.org/officeDocument/2006/relationships/footnotes" Target="footnotes.xml"/><Relationship Id="rId9" Type="http://schemas.openxmlformats.org/officeDocument/2006/relationships/hyperlink" Target="https://doi.org/10.1126/science.168.3937.1345" TargetMode="External"/><Relationship Id="rId14" Type="http://schemas.openxmlformats.org/officeDocument/2006/relationships/hyperlink" Target="https://doi.org/10.2307/1932674"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4637</Words>
  <Characters>26432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cp:revision>
  <dcterms:created xsi:type="dcterms:W3CDTF">2025-08-30T12:23:00Z</dcterms:created>
  <dcterms:modified xsi:type="dcterms:W3CDTF">2025-09-02T10:39:00Z</dcterms:modified>
</cp:coreProperties>
</file>