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5B55" w14:textId="4A6DE242" w:rsidR="00287C42" w:rsidRDefault="00287C42" w:rsidP="00BB2361">
      <w:pPr>
        <w:spacing w:after="0" w:line="276" w:lineRule="auto"/>
        <w:jc w:val="right"/>
        <w:rPr>
          <w:rFonts w:ascii="Arial" w:hAnsi="Arial" w:cs="Arial"/>
          <w:b/>
          <w:bCs/>
          <w:sz w:val="36"/>
          <w:szCs w:val="36"/>
        </w:rPr>
      </w:pPr>
      <w:r w:rsidRPr="00BB2361">
        <w:rPr>
          <w:rFonts w:ascii="Arial" w:hAnsi="Arial" w:cs="Arial"/>
          <w:b/>
          <w:bCs/>
          <w:sz w:val="36"/>
          <w:szCs w:val="36"/>
        </w:rPr>
        <w:t>Influence of Pre-Harvest Growth Substances on Physical Quality Attributes of Gerbera (</w:t>
      </w:r>
      <w:r w:rsidRPr="00BB2361">
        <w:rPr>
          <w:rFonts w:ascii="Arial" w:hAnsi="Arial" w:cs="Arial"/>
          <w:b/>
          <w:bCs/>
          <w:i/>
          <w:iCs/>
          <w:sz w:val="36"/>
          <w:szCs w:val="36"/>
        </w:rPr>
        <w:t xml:space="preserve">Gerbera </w:t>
      </w:r>
      <w:proofErr w:type="spellStart"/>
      <w:r w:rsidRPr="00BB2361">
        <w:rPr>
          <w:rFonts w:ascii="Arial" w:hAnsi="Arial" w:cs="Arial"/>
          <w:b/>
          <w:bCs/>
          <w:i/>
          <w:iCs/>
          <w:sz w:val="36"/>
          <w:szCs w:val="36"/>
        </w:rPr>
        <w:t>jamesonii</w:t>
      </w:r>
      <w:proofErr w:type="spellEnd"/>
      <w:r w:rsidRPr="00BB2361">
        <w:rPr>
          <w:rFonts w:ascii="Arial" w:hAnsi="Arial" w:cs="Arial"/>
          <w:b/>
          <w:bCs/>
          <w:sz w:val="36"/>
          <w:szCs w:val="36"/>
        </w:rPr>
        <w:t>) cv. Livia</w:t>
      </w:r>
    </w:p>
    <w:p w14:paraId="39FC0D62" w14:textId="77777777" w:rsidR="006B1085" w:rsidRPr="00BB2361" w:rsidRDefault="006B1085" w:rsidP="00BB2361">
      <w:pPr>
        <w:spacing w:after="0" w:line="276" w:lineRule="auto"/>
        <w:jc w:val="right"/>
        <w:rPr>
          <w:rFonts w:ascii="Arial" w:hAnsi="Arial" w:cs="Arial"/>
          <w:b/>
          <w:bCs/>
          <w:sz w:val="36"/>
          <w:szCs w:val="36"/>
        </w:rPr>
      </w:pPr>
    </w:p>
    <w:p w14:paraId="763C25F7" w14:textId="77777777" w:rsidR="009633DA" w:rsidRPr="00C61C8E" w:rsidRDefault="009633DA" w:rsidP="009633DA">
      <w:pPr>
        <w:spacing w:after="0" w:line="276" w:lineRule="auto"/>
        <w:jc w:val="right"/>
        <w:rPr>
          <w:rFonts w:ascii="Arial" w:hAnsi="Arial" w:cs="Arial"/>
          <w:i/>
          <w:sz w:val="20"/>
          <w:szCs w:val="20"/>
        </w:rPr>
      </w:pPr>
    </w:p>
    <w:p w14:paraId="0A54B90F" w14:textId="77777777" w:rsidR="009633DA" w:rsidRDefault="009633DA" w:rsidP="00BB2361">
      <w:pPr>
        <w:spacing w:after="0" w:line="276" w:lineRule="auto"/>
        <w:jc w:val="right"/>
        <w:rPr>
          <w:rFonts w:ascii="Arial" w:hAnsi="Arial" w:cs="Arial"/>
          <w:i/>
          <w:sz w:val="20"/>
          <w:szCs w:val="20"/>
        </w:rPr>
      </w:pPr>
    </w:p>
    <w:p w14:paraId="7EA7FAB1" w14:textId="1C4CEDF8" w:rsidR="00287C42" w:rsidRPr="00B42DDE" w:rsidRDefault="00287C42" w:rsidP="00151CF9">
      <w:pPr>
        <w:spacing w:after="0" w:line="360" w:lineRule="auto"/>
        <w:jc w:val="both"/>
        <w:rPr>
          <w:rFonts w:ascii="Arial" w:hAnsi="Arial" w:cs="Arial"/>
        </w:rPr>
      </w:pPr>
    </w:p>
    <w:p w14:paraId="25223C74" w14:textId="6154FBBA" w:rsidR="00287C42" w:rsidRPr="00287C42" w:rsidRDefault="00287C42" w:rsidP="00151CF9">
      <w:pPr>
        <w:spacing w:after="0" w:line="360" w:lineRule="auto"/>
        <w:jc w:val="both"/>
        <w:rPr>
          <w:rFonts w:ascii="Arial" w:hAnsi="Arial" w:cs="Arial"/>
          <w:b/>
          <w:bCs/>
        </w:rPr>
      </w:pPr>
      <w:r w:rsidRPr="00287C42">
        <w:rPr>
          <w:rFonts w:ascii="Arial" w:hAnsi="Arial" w:cs="Arial"/>
          <w:b/>
          <w:bCs/>
        </w:rPr>
        <w:t>Abstract</w:t>
      </w:r>
    </w:p>
    <w:p w14:paraId="2D75F4F3" w14:textId="464C3403" w:rsidR="00287C42" w:rsidRPr="00287C42" w:rsidRDefault="00287C42" w:rsidP="00151CF9">
      <w:pPr>
        <w:spacing w:after="0" w:line="360" w:lineRule="auto"/>
        <w:ind w:firstLine="720"/>
        <w:jc w:val="both"/>
        <w:rPr>
          <w:rFonts w:ascii="Arial" w:hAnsi="Arial" w:cs="Arial"/>
        </w:rPr>
      </w:pPr>
      <w:r w:rsidRPr="00287C42">
        <w:rPr>
          <w:rFonts w:ascii="Arial" w:hAnsi="Arial" w:cs="Arial"/>
        </w:rPr>
        <w:t xml:space="preserve">The present investigation was conducted to study the effect of pre-harvest applications of different growth substances on the physical quality attributes of </w:t>
      </w:r>
      <w:r w:rsidRPr="00287C42">
        <w:rPr>
          <w:rFonts w:ascii="Arial" w:hAnsi="Arial" w:cs="Arial"/>
          <w:i/>
          <w:iCs/>
        </w:rPr>
        <w:t xml:space="preserve">Gerbera </w:t>
      </w:r>
      <w:proofErr w:type="spellStart"/>
      <w:r w:rsidRPr="00287C42">
        <w:rPr>
          <w:rFonts w:ascii="Arial" w:hAnsi="Arial" w:cs="Arial"/>
          <w:i/>
          <w:iCs/>
        </w:rPr>
        <w:t>jamesonii</w:t>
      </w:r>
      <w:proofErr w:type="spellEnd"/>
      <w:r w:rsidRPr="00287C42">
        <w:rPr>
          <w:rFonts w:ascii="Arial" w:hAnsi="Arial" w:cs="Arial"/>
        </w:rPr>
        <w:t xml:space="preserve"> cv. Livia. The experiment comprised </w:t>
      </w:r>
      <w:r w:rsidR="00151CF9">
        <w:rPr>
          <w:rFonts w:ascii="Arial" w:hAnsi="Arial" w:cs="Arial"/>
        </w:rPr>
        <w:t>10</w:t>
      </w:r>
      <w:r w:rsidRPr="00287C42">
        <w:rPr>
          <w:rFonts w:ascii="Arial" w:hAnsi="Arial" w:cs="Arial"/>
        </w:rPr>
        <w:t xml:space="preserve"> treatments, including varying concentrations of salicylic acid (SA), gibberellic acid (GA</w:t>
      </w:r>
      <w:r w:rsidRPr="00287C42">
        <w:rPr>
          <w:rFonts w:ascii="Cambria Math" w:hAnsi="Cambria Math" w:cs="Cambria Math"/>
        </w:rPr>
        <w:t>₃</w:t>
      </w:r>
      <w:r w:rsidRPr="00287C42">
        <w:rPr>
          <w:rFonts w:ascii="Arial" w:hAnsi="Arial" w:cs="Arial"/>
        </w:rPr>
        <w:t>), and benzyl adenine (BA), along with an untreated control, laid out in a randomized block design with three replications. Significant differences were observed among treatments for all evaluated parameters. The treatment T</w:t>
      </w:r>
      <w:r w:rsidRPr="00287C42">
        <w:rPr>
          <w:rFonts w:ascii="Cambria Math" w:hAnsi="Cambria Math" w:cs="Cambria Math"/>
        </w:rPr>
        <w:t>₃</w:t>
      </w:r>
      <w:r w:rsidRPr="00287C42">
        <w:rPr>
          <w:rFonts w:ascii="Arial" w:hAnsi="Arial" w:cs="Arial"/>
        </w:rPr>
        <w:t xml:space="preserve"> (Salicylic Acid @ 150 ppm) recorded the highest fresh weight (21.9 g), maximum cumulative water uptake (54.2 g/flower), and the lowest physiological weight loss (11.5%) and scape bending (</w:t>
      </w:r>
      <w:r w:rsidR="00383693">
        <w:rPr>
          <w:rFonts w:ascii="Arial" w:hAnsi="Arial" w:cs="Arial"/>
        </w:rPr>
        <w:t>24.8</w:t>
      </w:r>
      <w:r w:rsidRPr="00287C42">
        <w:rPr>
          <w:rFonts w:ascii="Arial" w:hAnsi="Arial" w:cs="Arial"/>
        </w:rPr>
        <w:t>°/day). The least change in flower diameter was also observed in T</w:t>
      </w:r>
      <w:r w:rsidRPr="00287C42">
        <w:rPr>
          <w:rFonts w:ascii="Cambria Math" w:hAnsi="Cambria Math" w:cs="Cambria Math"/>
        </w:rPr>
        <w:t>₃</w:t>
      </w:r>
      <w:r w:rsidRPr="00287C42">
        <w:rPr>
          <w:rFonts w:ascii="Arial" w:hAnsi="Arial" w:cs="Arial"/>
        </w:rPr>
        <w:t>, indicating improved cellular stability. In contrast, the untreated control (T</w:t>
      </w:r>
      <w:r w:rsidRPr="00287C42">
        <w:rPr>
          <w:rFonts w:ascii="Cambria Math" w:hAnsi="Cambria Math" w:cs="Cambria Math"/>
        </w:rPr>
        <w:t>₀</w:t>
      </w:r>
      <w:r w:rsidRPr="00287C42">
        <w:rPr>
          <w:rFonts w:ascii="Arial" w:hAnsi="Arial" w:cs="Arial"/>
        </w:rPr>
        <w:t>) consistently recorded inferior values across all traits. The improvement in physical quality can be attributed to enhanced water retention, cell wall strength, and reduced senescence due to the physiological effects of growth regulators. The study concludes that salicylic acid at 150 ppm is the most effective treatment for improving physical attributes of gerbera flowers and can be recommended for commercial cultivation to enhance market quality.</w:t>
      </w:r>
    </w:p>
    <w:p w14:paraId="7D2BD850" w14:textId="5E3A8B67" w:rsidR="00287C42" w:rsidRPr="00287C42" w:rsidRDefault="00287C42" w:rsidP="00151CF9">
      <w:pPr>
        <w:spacing w:after="0" w:line="360" w:lineRule="auto"/>
        <w:jc w:val="both"/>
        <w:rPr>
          <w:rFonts w:ascii="Arial" w:hAnsi="Arial" w:cs="Arial"/>
        </w:rPr>
      </w:pPr>
      <w:r w:rsidRPr="00B42DDE">
        <w:rPr>
          <w:rFonts w:ascii="Arial" w:hAnsi="Arial" w:cs="Arial"/>
          <w:b/>
          <w:bCs/>
        </w:rPr>
        <w:t>Key words:</w:t>
      </w:r>
      <w:r w:rsidRPr="00B42DDE">
        <w:rPr>
          <w:rFonts w:ascii="Arial" w:hAnsi="Arial" w:cs="Arial"/>
        </w:rPr>
        <w:t xml:space="preserve"> </w:t>
      </w:r>
      <w:r w:rsidRPr="00B42DDE">
        <w:rPr>
          <w:rFonts w:ascii="Arial" w:hAnsi="Arial" w:cs="Arial"/>
          <w:i/>
          <w:iCs/>
        </w:rPr>
        <w:t xml:space="preserve">Gerbera </w:t>
      </w:r>
      <w:proofErr w:type="spellStart"/>
      <w:r w:rsidRPr="00B42DDE">
        <w:rPr>
          <w:rFonts w:ascii="Arial" w:hAnsi="Arial" w:cs="Arial"/>
          <w:i/>
          <w:iCs/>
        </w:rPr>
        <w:t>jamesonii</w:t>
      </w:r>
      <w:proofErr w:type="spellEnd"/>
      <w:r w:rsidRPr="00B42DDE">
        <w:rPr>
          <w:rFonts w:ascii="Arial" w:hAnsi="Arial" w:cs="Arial"/>
          <w:i/>
          <w:iCs/>
        </w:rPr>
        <w:t xml:space="preserve">, </w:t>
      </w:r>
      <w:r w:rsidRPr="00287C42">
        <w:rPr>
          <w:rFonts w:ascii="Arial" w:hAnsi="Arial" w:cs="Arial"/>
        </w:rPr>
        <w:t>Pre-harvest treatment</w:t>
      </w:r>
      <w:r w:rsidRPr="00B42DDE">
        <w:rPr>
          <w:rFonts w:ascii="Arial" w:hAnsi="Arial" w:cs="Arial"/>
        </w:rPr>
        <w:t xml:space="preserve">, </w:t>
      </w:r>
      <w:r w:rsidRPr="00287C42">
        <w:rPr>
          <w:rFonts w:ascii="Arial" w:hAnsi="Arial" w:cs="Arial"/>
        </w:rPr>
        <w:t>Salicylic acid</w:t>
      </w:r>
      <w:r w:rsidRPr="00B42DDE">
        <w:rPr>
          <w:rFonts w:ascii="Arial" w:hAnsi="Arial" w:cs="Arial"/>
        </w:rPr>
        <w:t xml:space="preserve">, </w:t>
      </w:r>
      <w:r w:rsidRPr="00287C42">
        <w:rPr>
          <w:rFonts w:ascii="Arial" w:hAnsi="Arial" w:cs="Arial"/>
        </w:rPr>
        <w:t>Physical flower quality</w:t>
      </w:r>
    </w:p>
    <w:p w14:paraId="3936088B" w14:textId="1E1EA5E1" w:rsidR="00FC615D" w:rsidRPr="00151CF9" w:rsidRDefault="00151CF9" w:rsidP="00151CF9">
      <w:pPr>
        <w:spacing w:after="0" w:line="360" w:lineRule="auto"/>
        <w:jc w:val="both"/>
        <w:rPr>
          <w:rFonts w:ascii="Arial" w:hAnsi="Arial" w:cs="Arial"/>
          <w:b/>
          <w:bCs/>
        </w:rPr>
      </w:pPr>
      <w:r w:rsidRPr="00151CF9">
        <w:rPr>
          <w:rFonts w:ascii="Arial" w:hAnsi="Arial" w:cs="Arial"/>
          <w:b/>
          <w:bCs/>
        </w:rPr>
        <w:t>1.</w:t>
      </w:r>
      <w:r>
        <w:rPr>
          <w:rFonts w:ascii="Arial" w:hAnsi="Arial" w:cs="Arial"/>
          <w:b/>
          <w:bCs/>
        </w:rPr>
        <w:t xml:space="preserve"> </w:t>
      </w:r>
      <w:r w:rsidR="00FC615D" w:rsidRPr="00151CF9">
        <w:rPr>
          <w:rFonts w:ascii="Arial" w:hAnsi="Arial" w:cs="Arial"/>
          <w:b/>
          <w:bCs/>
        </w:rPr>
        <w:t>Introduction</w:t>
      </w:r>
    </w:p>
    <w:p w14:paraId="5EA03CC7"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Floriculture, a prominent segment of the global horticulture industry, involves the cultivation, marketing, and trade of ornamental plants and flowers. It serves as a significant contributor to rural employment, export earnings, and environmental aesthetics. In recent years, floriculture has seen notable expansion due to rising </w:t>
      </w:r>
      <w:r w:rsidRPr="00B42DDE">
        <w:rPr>
          <w:rFonts w:ascii="Arial" w:hAnsi="Arial" w:cs="Arial"/>
        </w:rPr>
        <w:lastRenderedPageBreak/>
        <w:t xml:space="preserve">urbanization, increased consumer interest in decorative plants, and advancements in protected cultivation technologies. </w:t>
      </w:r>
    </w:p>
    <w:p w14:paraId="421B4D45"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The global floriculture market was valued at USD 45.12 billion in 2024 and is projected to reach USD 63.56 billion by 2030, growing at a 5.8% CAGR (GlobeNewswire, 2024). Growth is driven by innovations in greenhouse cultivation, cold chain logistics, and rising demand for sustainable floral products. In India, the market is set to grow from USD 3.8 billion (2025) to USD 9.4 billion (2035) at a CAGR of 8.7% (Future Market Insights, 2024), supported by diverse climates and government schemes like MIDH, which enhance infrastructure and reduce post-harvest losses.</w:t>
      </w:r>
    </w:p>
    <w:p w14:paraId="511EC501" w14:textId="7B8675E1" w:rsidR="00C01CEE" w:rsidRPr="00B42DDE" w:rsidRDefault="00C01CEE" w:rsidP="00104200">
      <w:pPr>
        <w:spacing w:after="0" w:line="360" w:lineRule="auto"/>
        <w:ind w:firstLine="720"/>
        <w:jc w:val="both"/>
        <w:rPr>
          <w:rFonts w:ascii="Arial" w:hAnsi="Arial" w:cs="Arial"/>
        </w:rPr>
      </w:pPr>
      <w:r w:rsidRPr="00B42DDE">
        <w:rPr>
          <w:rFonts w:ascii="Arial" w:hAnsi="Arial" w:cs="Arial"/>
        </w:rPr>
        <w:t>Among commercially cultivated cut flowers, Gerbera (</w:t>
      </w:r>
      <w:r w:rsidRPr="00383693">
        <w:rPr>
          <w:rFonts w:ascii="Arial" w:hAnsi="Arial" w:cs="Arial"/>
          <w:i/>
          <w:iCs/>
        </w:rPr>
        <w:t xml:space="preserve">Gerbera </w:t>
      </w:r>
      <w:proofErr w:type="spellStart"/>
      <w:r w:rsidRPr="00383693">
        <w:rPr>
          <w:rFonts w:ascii="Arial" w:hAnsi="Arial" w:cs="Arial"/>
          <w:i/>
          <w:iCs/>
        </w:rPr>
        <w:t>jamesonii</w:t>
      </w:r>
      <w:proofErr w:type="spellEnd"/>
      <w:r w:rsidRPr="00B42DDE">
        <w:rPr>
          <w:rFonts w:ascii="Arial" w:hAnsi="Arial" w:cs="Arial"/>
        </w:rPr>
        <w:t xml:space="preserve">) has gained significant importance due to its bright, daisy-like inflorescences and long vase life potential. It ranks among the top five cut flowers traded globally, along with rose, chrysanthemum, carnation, and tulip. Gerbera is highly valued in floral arrangements, bouquet preparation, and landscape design due to its wide range of vibrant colors, sturdy stems, and appealing form. Though over 40 species of Gerbera exist in nature, commercial production is predominantly based on Gerbera × hybrida, a hybrid derived from </w:t>
      </w:r>
      <w:r w:rsidRPr="00151CF9">
        <w:rPr>
          <w:rFonts w:ascii="Arial" w:hAnsi="Arial" w:cs="Arial"/>
          <w:i/>
          <w:iCs/>
        </w:rPr>
        <w:t xml:space="preserve">G. </w:t>
      </w:r>
      <w:proofErr w:type="spellStart"/>
      <w:r w:rsidRPr="00151CF9">
        <w:rPr>
          <w:rFonts w:ascii="Arial" w:hAnsi="Arial" w:cs="Arial"/>
          <w:i/>
          <w:iCs/>
        </w:rPr>
        <w:t>jamesonii</w:t>
      </w:r>
      <w:proofErr w:type="spellEnd"/>
      <w:r w:rsidRPr="00B42DDE">
        <w:rPr>
          <w:rFonts w:ascii="Arial" w:hAnsi="Arial" w:cs="Arial"/>
        </w:rPr>
        <w:t xml:space="preserve"> and </w:t>
      </w:r>
      <w:r w:rsidRPr="00151CF9">
        <w:rPr>
          <w:rFonts w:ascii="Arial" w:hAnsi="Arial" w:cs="Arial"/>
          <w:i/>
          <w:iCs/>
        </w:rPr>
        <w:t xml:space="preserve">G. </w:t>
      </w:r>
      <w:proofErr w:type="spellStart"/>
      <w:r w:rsidRPr="00151CF9">
        <w:rPr>
          <w:rFonts w:ascii="Arial" w:hAnsi="Arial" w:cs="Arial"/>
          <w:i/>
          <w:iCs/>
        </w:rPr>
        <w:t>viridifolia</w:t>
      </w:r>
      <w:proofErr w:type="spellEnd"/>
      <w:r w:rsidRPr="00151CF9">
        <w:rPr>
          <w:rFonts w:ascii="Arial" w:hAnsi="Arial" w:cs="Arial"/>
          <w:i/>
          <w:iCs/>
        </w:rPr>
        <w:t>.</w:t>
      </w:r>
      <w:r w:rsidR="00104200" w:rsidRPr="00104200">
        <w:t xml:space="preserve"> </w:t>
      </w:r>
      <w:r w:rsidR="00104200">
        <w:t>(</w:t>
      </w:r>
      <w:r w:rsidR="00104200" w:rsidRPr="00104200">
        <w:rPr>
          <w:rFonts w:ascii="Arial" w:hAnsi="Arial" w:cs="Arial"/>
          <w:i/>
          <w:iCs/>
        </w:rPr>
        <w:t xml:space="preserve">Giri, B., &amp; </w:t>
      </w:r>
      <w:proofErr w:type="spellStart"/>
      <w:r w:rsidR="00104200" w:rsidRPr="00104200">
        <w:rPr>
          <w:rFonts w:ascii="Arial" w:hAnsi="Arial" w:cs="Arial"/>
          <w:i/>
          <w:iCs/>
        </w:rPr>
        <w:t>Beura</w:t>
      </w:r>
      <w:proofErr w:type="spellEnd"/>
      <w:r w:rsidR="00104200" w:rsidRPr="00104200">
        <w:rPr>
          <w:rFonts w:ascii="Arial" w:hAnsi="Arial" w:cs="Arial"/>
          <w:i/>
          <w:iCs/>
        </w:rPr>
        <w:t>, S</w:t>
      </w:r>
      <w:r w:rsidR="00104200">
        <w:rPr>
          <w:rFonts w:ascii="Arial" w:hAnsi="Arial" w:cs="Arial"/>
          <w:i/>
          <w:iCs/>
        </w:rPr>
        <w:t xml:space="preserve">., </w:t>
      </w:r>
      <w:r w:rsidR="00104200" w:rsidRPr="00104200">
        <w:rPr>
          <w:rFonts w:ascii="Arial" w:hAnsi="Arial" w:cs="Arial"/>
          <w:i/>
          <w:iCs/>
        </w:rPr>
        <w:t>2021).</w:t>
      </w:r>
    </w:p>
    <w:p w14:paraId="3BCB7504"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Despite its popularity, gerbera is prone to rapid post-harvest deterioration, particularly under ambient conditions. Typical vase life is limited to 5–7 days, with symptoms such as stem bending, dehydration, wilting, and loss of visual appeal being common. Studies report post-harvest losses ranging from 30% to 50% in developing countries, primarily due to poor handling and inadequate pre- or post-harvest treatments (Kumar et al., 2023; NHB, 2022).</w:t>
      </w:r>
    </w:p>
    <w:p w14:paraId="64AE8DC6" w14:textId="2938E7B9" w:rsidR="00FC615D" w:rsidRPr="00B42DDE" w:rsidRDefault="00C01CEE" w:rsidP="00192D52">
      <w:pPr>
        <w:spacing w:after="0" w:line="360" w:lineRule="auto"/>
        <w:ind w:firstLine="720"/>
        <w:jc w:val="both"/>
        <w:rPr>
          <w:rFonts w:ascii="Arial" w:hAnsi="Arial" w:cs="Arial"/>
        </w:rPr>
      </w:pPr>
      <w:r w:rsidRPr="00B42DDE">
        <w:rPr>
          <w:rFonts w:ascii="Arial" w:hAnsi="Arial" w:cs="Arial"/>
        </w:rPr>
        <w:t>Recent horticultural strategies have emphasized the pre-harvest use of plant growth regulators (PGRs) to improve the physiological strength and aesthetic quality of cut flowers. Among these, Gibberellic acid (GA</w:t>
      </w:r>
      <w:r w:rsidRPr="00B42DDE">
        <w:rPr>
          <w:rFonts w:ascii="Cambria Math" w:hAnsi="Cambria Math" w:cs="Cambria Math"/>
        </w:rPr>
        <w:t>₃</w:t>
      </w:r>
      <w:r w:rsidRPr="00B42DDE">
        <w:rPr>
          <w:rFonts w:ascii="Arial" w:hAnsi="Arial" w:cs="Arial"/>
        </w:rPr>
        <w:t>), Salicylic acid (SA), and 6-Benzyladenine (6-BA) have shown promising effects on improving flower firmness, water retention, and color intensity. GA</w:t>
      </w:r>
      <w:r w:rsidRPr="00B42DDE">
        <w:rPr>
          <w:rFonts w:ascii="Cambria Math" w:hAnsi="Cambria Math" w:cs="Cambria Math"/>
        </w:rPr>
        <w:t>₃</w:t>
      </w:r>
      <w:r w:rsidRPr="00B42DDE">
        <w:rPr>
          <w:rFonts w:ascii="Arial" w:hAnsi="Arial" w:cs="Arial"/>
        </w:rPr>
        <w:t xml:space="preserve"> is known to promote stem elongation and delay senescence by increasing metabolic activity (</w:t>
      </w:r>
      <w:r w:rsidR="00192D52" w:rsidRPr="00192D52">
        <w:rPr>
          <w:rFonts w:ascii="Arial" w:hAnsi="Arial" w:cs="Arial"/>
        </w:rPr>
        <w:br/>
        <w:t>Mohammadi M</w:t>
      </w:r>
      <w:r w:rsidR="00192D52">
        <w:rPr>
          <w:rFonts w:ascii="Arial" w:hAnsi="Arial" w:cs="Arial"/>
        </w:rPr>
        <w:t>., 2024</w:t>
      </w:r>
      <w:r w:rsidRPr="00B42DDE">
        <w:rPr>
          <w:rFonts w:ascii="Arial" w:hAnsi="Arial" w:cs="Arial"/>
        </w:rPr>
        <w:t xml:space="preserve">). SA contributes to stress tolerance by stabilizing membranes and </w:t>
      </w:r>
      <w:r w:rsidRPr="00B42DDE">
        <w:rPr>
          <w:rFonts w:ascii="Arial" w:hAnsi="Arial" w:cs="Arial"/>
        </w:rPr>
        <w:lastRenderedPageBreak/>
        <w:t>reducing ethylene biosynthesis, while 6-BA promotes cell division and enhances floral development (Singh et al., 2021).</w:t>
      </w:r>
    </w:p>
    <w:p w14:paraId="4FB6E5E4" w14:textId="3391E94C" w:rsidR="00FC615D" w:rsidRPr="00DD7447" w:rsidRDefault="00151CF9" w:rsidP="00151CF9">
      <w:pPr>
        <w:spacing w:after="0" w:line="360" w:lineRule="auto"/>
        <w:jc w:val="both"/>
        <w:rPr>
          <w:rFonts w:ascii="Arial" w:hAnsi="Arial" w:cs="Arial"/>
          <w:b/>
          <w:bCs/>
        </w:rPr>
      </w:pPr>
      <w:r>
        <w:rPr>
          <w:rFonts w:ascii="Arial" w:hAnsi="Arial" w:cs="Arial"/>
          <w:b/>
          <w:bCs/>
        </w:rPr>
        <w:t xml:space="preserve">2. </w:t>
      </w:r>
      <w:r w:rsidR="00FC615D" w:rsidRPr="00DD7447">
        <w:rPr>
          <w:rFonts w:ascii="Arial" w:hAnsi="Arial" w:cs="Arial"/>
          <w:b/>
          <w:bCs/>
        </w:rPr>
        <w:t>MATERIAL AND METHODS</w:t>
      </w:r>
    </w:p>
    <w:p w14:paraId="369E2DE0"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t xml:space="preserve">The present study, titled </w:t>
      </w:r>
      <w:r w:rsidRPr="00DD7447">
        <w:rPr>
          <w:rFonts w:ascii="Arial" w:hAnsi="Arial" w:cs="Arial"/>
          <w:i/>
          <w:iCs/>
        </w:rPr>
        <w:t xml:space="preserve">“Impact of Pre-Harvest Applications of Growth Substances on the Post-Harvest Longevity and Quality of Gerbera Flowers (Gerbera </w:t>
      </w:r>
      <w:proofErr w:type="spellStart"/>
      <w:r w:rsidRPr="00DD7447">
        <w:rPr>
          <w:rFonts w:ascii="Arial" w:hAnsi="Arial" w:cs="Arial"/>
          <w:i/>
          <w:iCs/>
        </w:rPr>
        <w:t>jamesonii</w:t>
      </w:r>
      <w:proofErr w:type="spellEnd"/>
      <w:r w:rsidRPr="00DD7447">
        <w:rPr>
          <w:rFonts w:ascii="Arial" w:hAnsi="Arial" w:cs="Arial"/>
          <w:i/>
          <w:iCs/>
        </w:rPr>
        <w:t>) cv. Livia”</w:t>
      </w:r>
      <w:r w:rsidRPr="00DD7447">
        <w:rPr>
          <w:rFonts w:ascii="Arial" w:hAnsi="Arial" w:cs="Arial"/>
        </w:rPr>
        <w:t>, was conducted during the Rabi season of 2024–25. The experiment involved both field and laboratory studies. The field trial was conducted at the Government Horticulture Nursery-cum-Seed Production Centre, Bana (Chhattisgarh), and laboratory analysis was carried out in the Department of Floriculture and Landscaping, MGUVV, Durg.</w:t>
      </w:r>
    </w:p>
    <w:p w14:paraId="6D52C03E" w14:textId="1675CB25"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.1 Experimental Details</w:t>
      </w:r>
    </w:p>
    <w:p w14:paraId="44B860D4"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The experiment was laid out in a Completely Randomized Design (CRD) with 10 treatments and 3 replications. Each treatment included 10 flower stalks. The treatments comprised three concentrations each of Salicylic Acid (SA), Benzyl Adenine (BA), and Gibberellic Acid (GA</w:t>
      </w:r>
      <w:r w:rsidRPr="00DD7447">
        <w:rPr>
          <w:rFonts w:ascii="Cambria Math" w:hAnsi="Cambria Math" w:cs="Cambria Math"/>
        </w:rPr>
        <w:t>₃</w:t>
      </w:r>
      <w:r w:rsidRPr="00DD7447">
        <w:rPr>
          <w:rFonts w:ascii="Arial" w:hAnsi="Arial" w:cs="Arial"/>
        </w:rPr>
        <w:t>), along with a distilled water control.</w:t>
      </w:r>
    </w:p>
    <w:p w14:paraId="31D55823" w14:textId="6EF83FE7" w:rsidR="00C01CEE" w:rsidRPr="00DD7447" w:rsidRDefault="00C01CEE" w:rsidP="00151CF9">
      <w:pPr>
        <w:spacing w:after="0" w:line="360" w:lineRule="auto"/>
        <w:ind w:firstLine="720"/>
        <w:jc w:val="both"/>
        <w:rPr>
          <w:rFonts w:ascii="Arial" w:hAnsi="Arial" w:cs="Arial"/>
        </w:rPr>
      </w:pPr>
      <w:r w:rsidRPr="00DD7447">
        <w:rPr>
          <w:rFonts w:ascii="Arial" w:hAnsi="Arial" w:cs="Arial"/>
        </w:rPr>
        <w:t>Chemicals were applied as foliar sprays two weeks before harvesting. Solutions were prepared by dissolving the required amount of each growth regulator in 1 L of distilled water.</w:t>
      </w:r>
    </w:p>
    <w:p w14:paraId="5828D738" w14:textId="46D72566" w:rsidR="00C01CEE" w:rsidRPr="00DD7447" w:rsidRDefault="006B1085" w:rsidP="00151CF9">
      <w:pPr>
        <w:spacing w:after="0" w:line="360" w:lineRule="auto"/>
        <w:ind w:firstLine="720"/>
        <w:jc w:val="both"/>
        <w:rPr>
          <w:rFonts w:ascii="Arial" w:hAnsi="Arial" w:cs="Arial"/>
        </w:rPr>
      </w:pPr>
      <w:r>
        <w:rPr>
          <w:rFonts w:ascii="Arial" w:hAnsi="Arial" w:cs="Arial"/>
        </w:rPr>
        <w:t xml:space="preserve">List 1 : </w:t>
      </w:r>
      <w:r w:rsidRPr="006B1085">
        <w:rPr>
          <w:rFonts w:ascii="Arial" w:hAnsi="Arial" w:cs="Arial"/>
        </w:rPr>
        <w:t>Treatment details</w:t>
      </w:r>
    </w:p>
    <w:tbl>
      <w:tblPr>
        <w:tblStyle w:val="TableGrid"/>
        <w:tblW w:w="3860" w:type="pct"/>
        <w:jc w:val="center"/>
        <w:tblLook w:val="04A0" w:firstRow="1" w:lastRow="0" w:firstColumn="1" w:lastColumn="0" w:noHBand="0" w:noVBand="1"/>
      </w:tblPr>
      <w:tblGrid>
        <w:gridCol w:w="2604"/>
        <w:gridCol w:w="4614"/>
      </w:tblGrid>
      <w:tr w:rsidR="00B42DDE" w:rsidRPr="00B42DDE" w14:paraId="76E2F3E7" w14:textId="77777777" w:rsidTr="00C01CEE">
        <w:trPr>
          <w:trHeight w:val="20"/>
          <w:jc w:val="center"/>
        </w:trPr>
        <w:tc>
          <w:tcPr>
            <w:tcW w:w="1804" w:type="pct"/>
            <w:vAlign w:val="center"/>
          </w:tcPr>
          <w:p w14:paraId="20371BDF"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 Notations to be used</w:t>
            </w:r>
          </w:p>
        </w:tc>
        <w:tc>
          <w:tcPr>
            <w:tcW w:w="3196" w:type="pct"/>
            <w:vAlign w:val="center"/>
          </w:tcPr>
          <w:p w14:paraId="7D350A8E"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w:t>
            </w:r>
          </w:p>
        </w:tc>
      </w:tr>
      <w:tr w:rsidR="00B42DDE" w:rsidRPr="00B42DDE" w14:paraId="328D9BA6" w14:textId="77777777" w:rsidTr="00C01CEE">
        <w:trPr>
          <w:trHeight w:val="20"/>
          <w:jc w:val="center"/>
        </w:trPr>
        <w:tc>
          <w:tcPr>
            <w:tcW w:w="1804" w:type="pct"/>
            <w:vAlign w:val="center"/>
          </w:tcPr>
          <w:p w14:paraId="7BB3CABE"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0</w:t>
            </w:r>
          </w:p>
        </w:tc>
        <w:tc>
          <w:tcPr>
            <w:tcW w:w="3196" w:type="pct"/>
            <w:vAlign w:val="center"/>
          </w:tcPr>
          <w:p w14:paraId="3B75D588" w14:textId="77777777" w:rsidR="00C01CEE" w:rsidRPr="00B42DDE" w:rsidRDefault="00C01CEE" w:rsidP="00151CF9">
            <w:pPr>
              <w:spacing w:line="360" w:lineRule="auto"/>
              <w:jc w:val="center"/>
              <w:rPr>
                <w:rFonts w:ascii="Arial" w:hAnsi="Arial" w:cs="Arial"/>
              </w:rPr>
            </w:pPr>
            <w:r w:rsidRPr="00B42DDE">
              <w:rPr>
                <w:rFonts w:ascii="Arial" w:hAnsi="Arial" w:cs="Arial"/>
              </w:rPr>
              <w:t>Control (Distilled Water)</w:t>
            </w:r>
          </w:p>
        </w:tc>
      </w:tr>
      <w:tr w:rsidR="00B42DDE" w:rsidRPr="00B42DDE" w14:paraId="168CFF49" w14:textId="77777777" w:rsidTr="00C01CEE">
        <w:trPr>
          <w:trHeight w:val="20"/>
          <w:jc w:val="center"/>
        </w:trPr>
        <w:tc>
          <w:tcPr>
            <w:tcW w:w="1804" w:type="pct"/>
            <w:vAlign w:val="center"/>
          </w:tcPr>
          <w:p w14:paraId="7D98EF97"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1</w:t>
            </w:r>
          </w:p>
        </w:tc>
        <w:tc>
          <w:tcPr>
            <w:tcW w:w="3196" w:type="pct"/>
            <w:vAlign w:val="center"/>
          </w:tcPr>
          <w:p w14:paraId="6F2C6E36" w14:textId="02D05A13" w:rsidR="00C01CEE" w:rsidRPr="00B42DDE" w:rsidRDefault="00C01CEE" w:rsidP="00151CF9">
            <w:pPr>
              <w:spacing w:line="360" w:lineRule="auto"/>
              <w:jc w:val="center"/>
              <w:rPr>
                <w:rFonts w:ascii="Arial" w:hAnsi="Arial" w:cs="Arial"/>
              </w:rPr>
            </w:pPr>
            <w:r w:rsidRPr="00B42DDE">
              <w:rPr>
                <w:rFonts w:ascii="Arial" w:hAnsi="Arial" w:cs="Arial"/>
              </w:rPr>
              <w:t>Salicylic Acid @ 50 ppm</w:t>
            </w:r>
          </w:p>
        </w:tc>
      </w:tr>
      <w:tr w:rsidR="00B42DDE" w:rsidRPr="00B42DDE" w14:paraId="24423342" w14:textId="77777777" w:rsidTr="00C01CEE">
        <w:trPr>
          <w:trHeight w:val="20"/>
          <w:jc w:val="center"/>
        </w:trPr>
        <w:tc>
          <w:tcPr>
            <w:tcW w:w="1804" w:type="pct"/>
            <w:vAlign w:val="center"/>
          </w:tcPr>
          <w:p w14:paraId="3A2A5C20"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2</w:t>
            </w:r>
          </w:p>
        </w:tc>
        <w:tc>
          <w:tcPr>
            <w:tcW w:w="3196" w:type="pct"/>
            <w:vAlign w:val="center"/>
          </w:tcPr>
          <w:p w14:paraId="061D11D8" w14:textId="38B37EFB" w:rsidR="00C01CEE" w:rsidRPr="00B42DDE" w:rsidRDefault="00C01CEE" w:rsidP="00151CF9">
            <w:pPr>
              <w:spacing w:line="360" w:lineRule="auto"/>
              <w:jc w:val="center"/>
              <w:rPr>
                <w:rFonts w:ascii="Arial" w:hAnsi="Arial" w:cs="Arial"/>
              </w:rPr>
            </w:pPr>
            <w:r w:rsidRPr="00B42DDE">
              <w:rPr>
                <w:rFonts w:ascii="Arial" w:hAnsi="Arial" w:cs="Arial"/>
              </w:rPr>
              <w:t>Salicylic Acid @ 100 ppm</w:t>
            </w:r>
          </w:p>
        </w:tc>
      </w:tr>
      <w:tr w:rsidR="00B42DDE" w:rsidRPr="00B42DDE" w14:paraId="039AA6B3" w14:textId="77777777" w:rsidTr="00C01CEE">
        <w:trPr>
          <w:trHeight w:val="20"/>
          <w:jc w:val="center"/>
        </w:trPr>
        <w:tc>
          <w:tcPr>
            <w:tcW w:w="1804" w:type="pct"/>
            <w:vAlign w:val="center"/>
          </w:tcPr>
          <w:p w14:paraId="1AB52FC3"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3</w:t>
            </w:r>
          </w:p>
        </w:tc>
        <w:tc>
          <w:tcPr>
            <w:tcW w:w="3196" w:type="pct"/>
            <w:vAlign w:val="center"/>
          </w:tcPr>
          <w:p w14:paraId="33F61BF0" w14:textId="6C33052E" w:rsidR="00C01CEE" w:rsidRPr="00B42DDE" w:rsidRDefault="00C01CEE" w:rsidP="00151CF9">
            <w:pPr>
              <w:spacing w:line="360" w:lineRule="auto"/>
              <w:jc w:val="center"/>
              <w:rPr>
                <w:rFonts w:ascii="Arial" w:hAnsi="Arial" w:cs="Arial"/>
              </w:rPr>
            </w:pPr>
            <w:r w:rsidRPr="00B42DDE">
              <w:rPr>
                <w:rFonts w:ascii="Arial" w:hAnsi="Arial" w:cs="Arial"/>
              </w:rPr>
              <w:t>Salicylic Acid @ 150 ppm</w:t>
            </w:r>
          </w:p>
        </w:tc>
      </w:tr>
      <w:tr w:rsidR="00B42DDE" w:rsidRPr="00B42DDE" w14:paraId="1484B5C9" w14:textId="77777777" w:rsidTr="00C01CEE">
        <w:trPr>
          <w:trHeight w:val="20"/>
          <w:jc w:val="center"/>
        </w:trPr>
        <w:tc>
          <w:tcPr>
            <w:tcW w:w="1804" w:type="pct"/>
            <w:vAlign w:val="center"/>
          </w:tcPr>
          <w:p w14:paraId="5EF9D2B4"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4</w:t>
            </w:r>
          </w:p>
        </w:tc>
        <w:tc>
          <w:tcPr>
            <w:tcW w:w="3196" w:type="pct"/>
            <w:vAlign w:val="center"/>
          </w:tcPr>
          <w:p w14:paraId="31152DA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50 ppm</w:t>
            </w:r>
          </w:p>
        </w:tc>
      </w:tr>
      <w:tr w:rsidR="00B42DDE" w:rsidRPr="00B42DDE" w14:paraId="29CC26AD" w14:textId="77777777" w:rsidTr="00C01CEE">
        <w:trPr>
          <w:trHeight w:val="20"/>
          <w:jc w:val="center"/>
        </w:trPr>
        <w:tc>
          <w:tcPr>
            <w:tcW w:w="1804" w:type="pct"/>
            <w:vAlign w:val="center"/>
          </w:tcPr>
          <w:p w14:paraId="423EA541"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5</w:t>
            </w:r>
          </w:p>
        </w:tc>
        <w:tc>
          <w:tcPr>
            <w:tcW w:w="3196" w:type="pct"/>
            <w:vAlign w:val="center"/>
          </w:tcPr>
          <w:p w14:paraId="78568228"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100 ppm</w:t>
            </w:r>
          </w:p>
        </w:tc>
      </w:tr>
      <w:tr w:rsidR="00B42DDE" w:rsidRPr="00B42DDE" w14:paraId="08268A31" w14:textId="77777777" w:rsidTr="00C01CEE">
        <w:trPr>
          <w:trHeight w:val="20"/>
          <w:jc w:val="center"/>
        </w:trPr>
        <w:tc>
          <w:tcPr>
            <w:tcW w:w="1804" w:type="pct"/>
            <w:vAlign w:val="center"/>
          </w:tcPr>
          <w:p w14:paraId="17F4954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6</w:t>
            </w:r>
          </w:p>
        </w:tc>
        <w:tc>
          <w:tcPr>
            <w:tcW w:w="3196" w:type="pct"/>
            <w:vAlign w:val="center"/>
          </w:tcPr>
          <w:p w14:paraId="1D0FF49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150 ppm</w:t>
            </w:r>
          </w:p>
        </w:tc>
      </w:tr>
      <w:tr w:rsidR="00B42DDE" w:rsidRPr="00B42DDE" w14:paraId="2ACCF332" w14:textId="77777777" w:rsidTr="00C01CEE">
        <w:trPr>
          <w:trHeight w:val="20"/>
          <w:jc w:val="center"/>
        </w:trPr>
        <w:tc>
          <w:tcPr>
            <w:tcW w:w="1804" w:type="pct"/>
            <w:vAlign w:val="center"/>
          </w:tcPr>
          <w:p w14:paraId="499024A9"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7</w:t>
            </w:r>
          </w:p>
        </w:tc>
        <w:tc>
          <w:tcPr>
            <w:tcW w:w="3196" w:type="pct"/>
            <w:vAlign w:val="center"/>
          </w:tcPr>
          <w:p w14:paraId="39DB3D57" w14:textId="77777777" w:rsidR="00C01CEE" w:rsidRPr="00B42DDE" w:rsidRDefault="00C01CEE" w:rsidP="00151CF9">
            <w:pPr>
              <w:spacing w:line="360" w:lineRule="auto"/>
              <w:ind w:left="1440" w:hanging="1440"/>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150 ppm</w:t>
            </w:r>
          </w:p>
        </w:tc>
      </w:tr>
      <w:tr w:rsidR="00B42DDE" w:rsidRPr="00B42DDE" w14:paraId="2067F57F" w14:textId="77777777" w:rsidTr="00C01CEE">
        <w:trPr>
          <w:trHeight w:val="20"/>
          <w:jc w:val="center"/>
        </w:trPr>
        <w:tc>
          <w:tcPr>
            <w:tcW w:w="1804" w:type="pct"/>
            <w:vAlign w:val="center"/>
          </w:tcPr>
          <w:p w14:paraId="139A8EAC"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8</w:t>
            </w:r>
          </w:p>
        </w:tc>
        <w:tc>
          <w:tcPr>
            <w:tcW w:w="3196" w:type="pct"/>
            <w:vAlign w:val="center"/>
          </w:tcPr>
          <w:p w14:paraId="2B60173B"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250 ppm</w:t>
            </w:r>
          </w:p>
        </w:tc>
      </w:tr>
      <w:tr w:rsidR="00B42DDE" w:rsidRPr="00B42DDE" w14:paraId="3CDEEB54" w14:textId="77777777" w:rsidTr="00C01CEE">
        <w:trPr>
          <w:trHeight w:val="20"/>
          <w:jc w:val="center"/>
        </w:trPr>
        <w:tc>
          <w:tcPr>
            <w:tcW w:w="1804" w:type="pct"/>
            <w:vAlign w:val="center"/>
          </w:tcPr>
          <w:p w14:paraId="4F41D26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9</w:t>
            </w:r>
          </w:p>
        </w:tc>
        <w:tc>
          <w:tcPr>
            <w:tcW w:w="3196" w:type="pct"/>
            <w:vAlign w:val="center"/>
          </w:tcPr>
          <w:p w14:paraId="2B321F13"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350 ppm</w:t>
            </w:r>
          </w:p>
        </w:tc>
      </w:tr>
    </w:tbl>
    <w:p w14:paraId="0EF73D20" w14:textId="52FF8BB2"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.2 Harvesting and Post-Harvest Handling</w:t>
      </w:r>
    </w:p>
    <w:p w14:paraId="3DF0B25E"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lastRenderedPageBreak/>
        <w:t>Flowers were harvested at commercial maturity (2–3 whorls open) and cut to 60 cm. They were placed in cold water and transported to the laboratory in polythene bags for analysis. A 4% 8-HQC solution was used as a holding solution for all treatments.</w:t>
      </w:r>
    </w:p>
    <w:p w14:paraId="55F78D66" w14:textId="62A554E0"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.3 Observations Recorded</w:t>
      </w:r>
    </w:p>
    <w:p w14:paraId="25B9F1F7"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Physical attributes: fresh weight, water uptake, flower diameter, physiological weight loss, and scape bending.</w:t>
      </w:r>
    </w:p>
    <w:p w14:paraId="11C3437B" w14:textId="725AD45B"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.4 Statistical Analysis</w:t>
      </w:r>
    </w:p>
    <w:p w14:paraId="0B007B43" w14:textId="6B9FB323" w:rsidR="00FC615D" w:rsidRPr="00B42DDE" w:rsidRDefault="00F410E8" w:rsidP="00151CF9">
      <w:pPr>
        <w:spacing w:after="0" w:line="360" w:lineRule="auto"/>
        <w:ind w:firstLine="720"/>
        <w:jc w:val="both"/>
        <w:rPr>
          <w:rFonts w:ascii="Arial" w:hAnsi="Arial" w:cs="Arial"/>
        </w:rPr>
      </w:pPr>
      <w:r w:rsidRPr="00B42DDE">
        <w:rPr>
          <w:rFonts w:ascii="Arial" w:hAnsi="Arial" w:cs="Arial"/>
        </w:rPr>
        <w:t>The data collected was analyzed by using analysis of variance. The F value was checked for significance at 5% likelihood stage. Wherever the F test was found valid, the significant difference (CD) values were measured.</w:t>
      </w:r>
    </w:p>
    <w:p w14:paraId="1F438B53" w14:textId="38CE843E" w:rsidR="00403136" w:rsidRPr="00DD7447" w:rsidRDefault="00151CF9" w:rsidP="00151CF9">
      <w:pPr>
        <w:spacing w:after="0" w:line="360" w:lineRule="auto"/>
        <w:jc w:val="both"/>
        <w:rPr>
          <w:rFonts w:ascii="Arial" w:hAnsi="Arial" w:cs="Arial"/>
          <w:b/>
          <w:bCs/>
        </w:rPr>
      </w:pPr>
      <w:r>
        <w:rPr>
          <w:rFonts w:ascii="Arial" w:hAnsi="Arial" w:cs="Arial"/>
          <w:b/>
          <w:bCs/>
        </w:rPr>
        <w:t xml:space="preserve">3. </w:t>
      </w:r>
      <w:r w:rsidR="00403136" w:rsidRPr="00B42DDE">
        <w:rPr>
          <w:rFonts w:ascii="Arial" w:hAnsi="Arial" w:cs="Arial"/>
          <w:b/>
          <w:bCs/>
        </w:rPr>
        <w:t xml:space="preserve">Result and discussion </w:t>
      </w:r>
    </w:p>
    <w:p w14:paraId="14F18802" w14:textId="6668721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.1 Fresh Weight of Flower (g)</w:t>
      </w:r>
    </w:p>
    <w:p w14:paraId="10FB6715" w14:textId="5E930937" w:rsidR="00FC615D" w:rsidRPr="00DD7447" w:rsidRDefault="00FC615D" w:rsidP="00A53A3B">
      <w:pPr>
        <w:spacing w:after="0" w:line="360" w:lineRule="auto"/>
        <w:ind w:firstLine="720"/>
        <w:jc w:val="both"/>
        <w:rPr>
          <w:rFonts w:ascii="Arial" w:hAnsi="Arial" w:cs="Arial"/>
        </w:rPr>
      </w:pPr>
      <w:r w:rsidRPr="00DD7447">
        <w:rPr>
          <w:rFonts w:ascii="Arial" w:hAnsi="Arial" w:cs="Arial"/>
        </w:rPr>
        <w:t>The results regarding the effect of pre-harvest application of growth substances on fresh weight are summarized in Table</w:t>
      </w:r>
      <w:r w:rsidR="00151CF9">
        <w:rPr>
          <w:rFonts w:ascii="Arial" w:hAnsi="Arial" w:cs="Arial"/>
        </w:rPr>
        <w:t xml:space="preserve"> </w:t>
      </w:r>
      <w:r w:rsidRPr="00DD7447">
        <w:rPr>
          <w:rFonts w:ascii="Arial" w:hAnsi="Arial" w:cs="Arial"/>
        </w:rPr>
        <w:t>1. A significant difference was observed among the treatments. The fresh weight of gerbera flowers ranged from 13.6 g to 21.9 g. The highest fresh weight (21.9 g) was recorded in T</w:t>
      </w:r>
      <w:r w:rsidRPr="00DD7447">
        <w:rPr>
          <w:rFonts w:ascii="Cambria Math" w:hAnsi="Cambria Math" w:cs="Cambria Math"/>
        </w:rPr>
        <w:t>₃</w:t>
      </w:r>
      <w:r w:rsidRPr="00DD7447">
        <w:rPr>
          <w:rFonts w:ascii="Arial" w:hAnsi="Arial" w:cs="Arial"/>
        </w:rPr>
        <w:t xml:space="preserve"> (Salicylic Acid @ 150 ppm), which was statistically at par with T</w:t>
      </w:r>
      <w:r w:rsidRPr="00DD7447">
        <w:rPr>
          <w:rFonts w:ascii="Cambria Math" w:hAnsi="Cambria Math" w:cs="Cambria Math"/>
        </w:rPr>
        <w:t>₂</w:t>
      </w:r>
      <w:r w:rsidRPr="00DD7447">
        <w:rPr>
          <w:rFonts w:ascii="Arial" w:hAnsi="Arial" w:cs="Arial"/>
        </w:rPr>
        <w:t xml:space="preserve"> (20.9 g) and T</w:t>
      </w:r>
      <w:r w:rsidRPr="00DD7447">
        <w:rPr>
          <w:rFonts w:ascii="Cambria Math" w:hAnsi="Cambria Math" w:cs="Cambria Math"/>
        </w:rPr>
        <w:t>₈</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250 ppm, 20.5 g). These treatments showed significantly higher fresh weight compared to the untreated control (T</w:t>
      </w:r>
      <w:r w:rsidRPr="00DD7447">
        <w:rPr>
          <w:rFonts w:ascii="Cambria Math" w:hAnsi="Cambria Math" w:cs="Cambria Math"/>
        </w:rPr>
        <w:t>₀</w:t>
      </w:r>
      <w:r w:rsidRPr="00DD7447">
        <w:rPr>
          <w:rFonts w:ascii="Arial" w:hAnsi="Arial" w:cs="Arial"/>
        </w:rPr>
        <w:t>), which recorded the lowest value of 13.6 g. T</w:t>
      </w:r>
      <w:r w:rsidRPr="00DD7447">
        <w:rPr>
          <w:rFonts w:ascii="Cambria Math" w:hAnsi="Cambria Math" w:cs="Cambria Math"/>
        </w:rPr>
        <w:t>₁</w:t>
      </w:r>
      <w:r w:rsidRPr="00DD7447">
        <w:rPr>
          <w:rFonts w:ascii="Arial" w:hAnsi="Arial" w:cs="Arial"/>
        </w:rPr>
        <w:t xml:space="preserve"> (SA @ 50 ppm) also showed low weight (13.8 g), indicating that lower concentrations of salicylic acid were less effective. The increased fresh weight in higher concentration treatments can be attributed to enhanced water and solute accumulation, improving turgidity and freshness, ultimately contributing to </w:t>
      </w:r>
      <w:r w:rsidRPr="00DD7447">
        <w:rPr>
          <w:rFonts w:ascii="Arial" w:hAnsi="Arial" w:cs="Arial"/>
        </w:rPr>
        <w:lastRenderedPageBreak/>
        <w:t xml:space="preserve">improved vase life. These findings corroborate the results of Dalal et al. (2009) and </w:t>
      </w:r>
      <w:r w:rsidR="00BB2361">
        <w:rPr>
          <w:noProof/>
        </w:rPr>
        <w:drawing>
          <wp:anchor distT="0" distB="0" distL="114300" distR="114300" simplePos="0" relativeHeight="251658240" behindDoc="0" locked="0" layoutInCell="1" allowOverlap="1" wp14:anchorId="520A030A" wp14:editId="436EC78C">
            <wp:simplePos x="0" y="0"/>
            <wp:positionH relativeFrom="column">
              <wp:posOffset>688340</wp:posOffset>
            </wp:positionH>
            <wp:positionV relativeFrom="paragraph">
              <wp:posOffset>480060</wp:posOffset>
            </wp:positionV>
            <wp:extent cx="3801745" cy="2094865"/>
            <wp:effectExtent l="0" t="0" r="8255" b="635"/>
            <wp:wrapTopAndBottom/>
            <wp:docPr id="704707409" name="Chart 1">
              <a:extLst xmlns:a="http://schemas.openxmlformats.org/drawingml/2006/main">
                <a:ext uri="{FF2B5EF4-FFF2-40B4-BE49-F238E27FC236}">
                  <a16:creationId xmlns:a16="http://schemas.microsoft.com/office/drawing/2014/main" id="{6969CFCA-6DB8-44DE-EFAD-8C94834DF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roofErr w:type="spellStart"/>
      <w:r w:rsidRPr="00DD7447">
        <w:rPr>
          <w:rFonts w:ascii="Arial" w:hAnsi="Arial" w:cs="Arial"/>
        </w:rPr>
        <w:t>Danaee</w:t>
      </w:r>
      <w:proofErr w:type="spellEnd"/>
      <w:r w:rsidRPr="00DD7447">
        <w:rPr>
          <w:rFonts w:ascii="Arial" w:hAnsi="Arial" w:cs="Arial"/>
        </w:rPr>
        <w:t xml:space="preserve"> et al. (2012).</w:t>
      </w:r>
      <w:r w:rsidR="00BB2361" w:rsidRPr="00BB2361">
        <w:rPr>
          <w:noProof/>
        </w:rPr>
        <w:t xml:space="preserve"> </w:t>
      </w:r>
    </w:p>
    <w:p w14:paraId="17AE4681" w14:textId="0894D563"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2 Cumulative Water Uptake (g/f)</w:t>
      </w:r>
    </w:p>
    <w:p w14:paraId="13D38D58" w14:textId="55564FE2" w:rsidR="00FC615D" w:rsidRDefault="00FC615D" w:rsidP="00A53A3B">
      <w:pPr>
        <w:spacing w:after="0" w:line="360" w:lineRule="auto"/>
        <w:ind w:firstLine="720"/>
        <w:jc w:val="both"/>
        <w:rPr>
          <w:rFonts w:ascii="Arial" w:hAnsi="Arial" w:cs="Arial"/>
        </w:rPr>
      </w:pPr>
      <w:r w:rsidRPr="00DD7447">
        <w:rPr>
          <w:rFonts w:ascii="Arial" w:hAnsi="Arial" w:cs="Arial"/>
        </w:rPr>
        <w:t xml:space="preserve">Cumulative water uptake data, presented in Table </w:t>
      </w:r>
      <w:r w:rsidR="00151CF9">
        <w:rPr>
          <w:rFonts w:ascii="Arial" w:hAnsi="Arial" w:cs="Arial"/>
        </w:rPr>
        <w:t>1</w:t>
      </w:r>
      <w:r w:rsidRPr="00DD7447">
        <w:rPr>
          <w:rFonts w:ascii="Arial" w:hAnsi="Arial" w:cs="Arial"/>
        </w:rPr>
        <w:t>, show significant influence of pre-harvest treatments. Water uptake ranged from 44.5 to 54.2 g per flower. T</w:t>
      </w:r>
      <w:r w:rsidRPr="00DD7447">
        <w:rPr>
          <w:rFonts w:ascii="Cambria Math" w:hAnsi="Cambria Math" w:cs="Cambria Math"/>
        </w:rPr>
        <w:t>₃</w:t>
      </w:r>
      <w:r w:rsidRPr="00DD7447">
        <w:rPr>
          <w:rFonts w:ascii="Arial" w:hAnsi="Arial" w:cs="Arial"/>
        </w:rPr>
        <w:t xml:space="preserve"> (SA @ 150 ppm) recorded the highest uptake (54.2 g), followed by T</w:t>
      </w:r>
      <w:r w:rsidRPr="00DD7447">
        <w:rPr>
          <w:rFonts w:ascii="Cambria Math" w:hAnsi="Cambria Math" w:cs="Cambria Math"/>
        </w:rPr>
        <w:t>₂</w:t>
      </w:r>
      <w:r w:rsidRPr="00DD7447">
        <w:rPr>
          <w:rFonts w:ascii="Arial" w:hAnsi="Arial" w:cs="Arial"/>
        </w:rPr>
        <w:t xml:space="preserve"> (51.6 g) and T</w:t>
      </w:r>
      <w:r w:rsidRPr="00DD7447">
        <w:rPr>
          <w:rFonts w:ascii="Cambria Math" w:hAnsi="Cambria Math" w:cs="Cambria Math"/>
        </w:rPr>
        <w:t>₉</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350 ppm, 50.1 g). These treatments were statistically superior to the control (T</w:t>
      </w:r>
      <w:r w:rsidRPr="00DD7447">
        <w:rPr>
          <w:rFonts w:ascii="Cambria Math" w:hAnsi="Cambria Math" w:cs="Cambria Math"/>
        </w:rPr>
        <w:t>₀</w:t>
      </w:r>
      <w:r w:rsidRPr="00DD7447">
        <w:rPr>
          <w:rFonts w:ascii="Arial" w:hAnsi="Arial" w:cs="Arial"/>
        </w:rPr>
        <w:t xml:space="preserve"> – 44.5 g). T</w:t>
      </w:r>
      <w:r w:rsidRPr="00DD7447">
        <w:rPr>
          <w:rFonts w:ascii="Cambria Math" w:hAnsi="Cambria Math" w:cs="Cambria Math"/>
        </w:rPr>
        <w:t>₁</w:t>
      </w:r>
      <w:r w:rsidRPr="00DD7447">
        <w:rPr>
          <w:rFonts w:ascii="Arial" w:hAnsi="Arial" w:cs="Arial"/>
        </w:rPr>
        <w:t xml:space="preserve"> and T</w:t>
      </w:r>
      <w:r w:rsidRPr="00DD7447">
        <w:rPr>
          <w:rFonts w:ascii="Cambria Math" w:hAnsi="Cambria Math" w:cs="Cambria Math"/>
        </w:rPr>
        <w:t>₄</w:t>
      </w:r>
      <w:r w:rsidRPr="00DD7447">
        <w:rPr>
          <w:rFonts w:ascii="Arial" w:hAnsi="Arial" w:cs="Arial"/>
        </w:rPr>
        <w:t xml:space="preserve"> (BA @ 50 ppm) also recorded relatively lower uptake (44.5 g and 45.4 g, respectively). The higher water uptake in effective treatments may be linked to improved xylem conductivity, cell wall strength, and reduced microbial blockage. This supports the findings </w:t>
      </w:r>
      <w:r w:rsidRPr="00A81E96">
        <w:rPr>
          <w:rFonts w:ascii="Arial" w:hAnsi="Arial" w:cs="Arial"/>
        </w:rPr>
        <w:t>of Griffin</w:t>
      </w:r>
      <w:r w:rsidRPr="00DD7447">
        <w:rPr>
          <w:rFonts w:ascii="Arial" w:hAnsi="Arial" w:cs="Arial"/>
        </w:rPr>
        <w:t xml:space="preserve"> (2000), who emphasized the role of antimicrobial properties of growth regulators in maintaining water uptake efficiency in cut flowers.</w:t>
      </w:r>
    </w:p>
    <w:p w14:paraId="2A09C1F2" w14:textId="09F0FE8B" w:rsidR="00BB2361" w:rsidRDefault="00BB2361" w:rsidP="00A53A3B">
      <w:pPr>
        <w:spacing w:after="0" w:line="360" w:lineRule="auto"/>
        <w:ind w:firstLine="720"/>
        <w:jc w:val="both"/>
        <w:rPr>
          <w:rFonts w:ascii="Arial" w:hAnsi="Arial" w:cs="Arial"/>
        </w:rPr>
      </w:pPr>
      <w:r>
        <w:rPr>
          <w:noProof/>
        </w:rPr>
        <w:drawing>
          <wp:anchor distT="0" distB="0" distL="114300" distR="114300" simplePos="0" relativeHeight="251659264" behindDoc="0" locked="0" layoutInCell="1" allowOverlap="1" wp14:anchorId="5D3FA1C4" wp14:editId="04558E62">
            <wp:simplePos x="0" y="0"/>
            <wp:positionH relativeFrom="column">
              <wp:posOffset>850132</wp:posOffset>
            </wp:positionH>
            <wp:positionV relativeFrom="paragraph">
              <wp:posOffset>239395</wp:posOffset>
            </wp:positionV>
            <wp:extent cx="4588164" cy="2751282"/>
            <wp:effectExtent l="0" t="0" r="3175" b="11430"/>
            <wp:wrapTopAndBottom/>
            <wp:docPr id="1884127379" name="Chart 1">
              <a:extLst xmlns:a="http://schemas.openxmlformats.org/drawingml/2006/main">
                <a:ext uri="{FF2B5EF4-FFF2-40B4-BE49-F238E27FC236}">
                  <a16:creationId xmlns:a16="http://schemas.microsoft.com/office/drawing/2014/main" id="{E1996B71-6A48-4869-A31F-5BE5213BC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D2B46A5" w14:textId="7E9DE1EB" w:rsidR="00BB2361" w:rsidRPr="00DD7447" w:rsidRDefault="00BB2361" w:rsidP="00A53A3B">
      <w:pPr>
        <w:spacing w:after="0" w:line="360" w:lineRule="auto"/>
        <w:ind w:firstLine="720"/>
        <w:jc w:val="both"/>
        <w:rPr>
          <w:rFonts w:ascii="Arial" w:hAnsi="Arial" w:cs="Arial"/>
        </w:rPr>
      </w:pPr>
    </w:p>
    <w:p w14:paraId="35E23193" w14:textId="2E9FC38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.3 Change in Flower Diameter (mm)</w:t>
      </w:r>
    </w:p>
    <w:p w14:paraId="4194AE9E" w14:textId="09F7578B" w:rsidR="00FC615D" w:rsidRPr="00DD7447" w:rsidRDefault="00FC615D" w:rsidP="00A53A3B">
      <w:pPr>
        <w:spacing w:after="0" w:line="360" w:lineRule="auto"/>
        <w:ind w:firstLine="720"/>
        <w:jc w:val="both"/>
        <w:rPr>
          <w:rFonts w:ascii="Arial" w:hAnsi="Arial" w:cs="Arial"/>
        </w:rPr>
      </w:pPr>
      <w:r w:rsidRPr="00DD7447">
        <w:rPr>
          <w:rFonts w:ascii="Arial" w:hAnsi="Arial" w:cs="Arial"/>
        </w:rPr>
        <w:t xml:space="preserve">As shown in Table </w:t>
      </w:r>
      <w:r w:rsidR="00151CF9">
        <w:rPr>
          <w:rFonts w:ascii="Arial" w:hAnsi="Arial" w:cs="Arial"/>
        </w:rPr>
        <w:t>1</w:t>
      </w:r>
      <w:r w:rsidRPr="00DD7447">
        <w:rPr>
          <w:rFonts w:ascii="Arial" w:hAnsi="Arial" w:cs="Arial"/>
        </w:rPr>
        <w:t>, the change in flower diameter was significantly influenced by growth regulator treatments. The diameter change ranged from 1.67 mm to 3.94 mm. The lowest change was observed in T</w:t>
      </w:r>
      <w:r w:rsidRPr="00DD7447">
        <w:rPr>
          <w:rFonts w:ascii="Cambria Math" w:hAnsi="Cambria Math" w:cs="Cambria Math"/>
        </w:rPr>
        <w:t>₃</w:t>
      </w:r>
      <w:r w:rsidRPr="00DD7447">
        <w:rPr>
          <w:rFonts w:ascii="Arial" w:hAnsi="Arial" w:cs="Arial"/>
        </w:rPr>
        <w:t xml:space="preserve"> (SA @ 150 ppm – 1.67 mm), followed closely by T</w:t>
      </w:r>
      <w:r w:rsidRPr="00DD7447">
        <w:rPr>
          <w:rFonts w:ascii="Cambria Math" w:hAnsi="Cambria Math" w:cs="Cambria Math"/>
        </w:rPr>
        <w:t>₂</w:t>
      </w:r>
      <w:r w:rsidRPr="00DD7447">
        <w:rPr>
          <w:rFonts w:ascii="Arial" w:hAnsi="Arial" w:cs="Arial"/>
        </w:rPr>
        <w:t xml:space="preserve"> (SA @ 100 ppm – 1.72 mm). Conversely, the maximum change in diameter (3.94 mm) was observed in T</w:t>
      </w:r>
      <w:r w:rsidRPr="00DD7447">
        <w:rPr>
          <w:rFonts w:ascii="Cambria Math" w:hAnsi="Cambria Math" w:cs="Cambria Math"/>
        </w:rPr>
        <w:t>₀</w:t>
      </w:r>
      <w:r w:rsidRPr="00DD7447">
        <w:rPr>
          <w:rFonts w:ascii="Arial" w:hAnsi="Arial" w:cs="Arial"/>
        </w:rPr>
        <w:t xml:space="preserve"> (Control). A higher change in flower diameter can sometimes indicate loss of structural integrity, while minimal change in effective treatments suggests improved cellular stability and water balance. These results align with the findings of </w:t>
      </w:r>
      <w:proofErr w:type="spellStart"/>
      <w:r w:rsidRPr="00DD7447">
        <w:rPr>
          <w:rFonts w:ascii="Arial" w:hAnsi="Arial" w:cs="Arial"/>
        </w:rPr>
        <w:t>Danaee</w:t>
      </w:r>
      <w:proofErr w:type="spellEnd"/>
      <w:r w:rsidRPr="00DD7447">
        <w:rPr>
          <w:rFonts w:ascii="Arial" w:hAnsi="Arial" w:cs="Arial"/>
        </w:rPr>
        <w:t xml:space="preserve"> et al. (2012) and Kumar and Singh (2004), who noted the importance of hormonal balance in regulating cell expansion and turgor.</w:t>
      </w:r>
    </w:p>
    <w:p w14:paraId="7FFBB18C" w14:textId="184EBB71"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.4 Physiological Weight Loss (%)</w:t>
      </w:r>
    </w:p>
    <w:p w14:paraId="75D73301" w14:textId="25C4FA81" w:rsidR="00FC615D" w:rsidRDefault="00BB2361" w:rsidP="00A53A3B">
      <w:pPr>
        <w:spacing w:after="0" w:line="360" w:lineRule="auto"/>
        <w:ind w:firstLine="720"/>
        <w:jc w:val="both"/>
        <w:rPr>
          <w:rFonts w:ascii="Arial" w:hAnsi="Arial" w:cs="Arial"/>
        </w:rPr>
      </w:pPr>
      <w:r>
        <w:rPr>
          <w:noProof/>
        </w:rPr>
        <w:drawing>
          <wp:anchor distT="0" distB="0" distL="114300" distR="114300" simplePos="0" relativeHeight="251660288" behindDoc="0" locked="0" layoutInCell="1" allowOverlap="1" wp14:anchorId="50CEAE94" wp14:editId="67BFF041">
            <wp:simplePos x="0" y="0"/>
            <wp:positionH relativeFrom="column">
              <wp:posOffset>745587</wp:posOffset>
            </wp:positionH>
            <wp:positionV relativeFrom="paragraph">
              <wp:posOffset>2117090</wp:posOffset>
            </wp:positionV>
            <wp:extent cx="4135755" cy="2362835"/>
            <wp:effectExtent l="0" t="0" r="17145" b="18415"/>
            <wp:wrapTopAndBottom/>
            <wp:docPr id="784807801" name="Chart 1">
              <a:extLst xmlns:a="http://schemas.openxmlformats.org/drawingml/2006/main">
                <a:ext uri="{FF2B5EF4-FFF2-40B4-BE49-F238E27FC236}">
                  <a16:creationId xmlns:a16="http://schemas.microsoft.com/office/drawing/2014/main" id="{DD7BB63F-FD81-43B5-AEDD-86D1598CD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C615D" w:rsidRPr="00DD7447">
        <w:rPr>
          <w:rFonts w:ascii="Arial" w:hAnsi="Arial" w:cs="Arial"/>
        </w:rPr>
        <w:t xml:space="preserve">Table </w:t>
      </w:r>
      <w:r w:rsidR="00151CF9">
        <w:rPr>
          <w:rFonts w:ascii="Arial" w:hAnsi="Arial" w:cs="Arial"/>
        </w:rPr>
        <w:t>1</w:t>
      </w:r>
      <w:r w:rsidR="00FC615D" w:rsidRPr="00DD7447">
        <w:rPr>
          <w:rFonts w:ascii="Arial" w:hAnsi="Arial" w:cs="Arial"/>
        </w:rPr>
        <w:t xml:space="preserve"> reveal that physiological weight loss was significantly minimized by the use of higher concentrations of salicylic acid and GA</w:t>
      </w:r>
      <w:r w:rsidR="00FC615D" w:rsidRPr="00DD7447">
        <w:rPr>
          <w:rFonts w:ascii="Cambria Math" w:hAnsi="Cambria Math" w:cs="Cambria Math"/>
        </w:rPr>
        <w:t>₃</w:t>
      </w:r>
      <w:r w:rsidR="00FC615D" w:rsidRPr="00DD7447">
        <w:rPr>
          <w:rFonts w:ascii="Arial" w:hAnsi="Arial" w:cs="Arial"/>
        </w:rPr>
        <w:t>. The lowest weight loss was recorded in T</w:t>
      </w:r>
      <w:r w:rsidR="00FC615D" w:rsidRPr="00DD7447">
        <w:rPr>
          <w:rFonts w:ascii="Cambria Math" w:hAnsi="Cambria Math" w:cs="Cambria Math"/>
        </w:rPr>
        <w:t>₃</w:t>
      </w:r>
      <w:r w:rsidR="00FC615D" w:rsidRPr="00DD7447">
        <w:rPr>
          <w:rFonts w:ascii="Arial" w:hAnsi="Arial" w:cs="Arial"/>
        </w:rPr>
        <w:t xml:space="preserve"> (11.5%), followed by T</w:t>
      </w:r>
      <w:r w:rsidR="00FC615D" w:rsidRPr="00DD7447">
        <w:rPr>
          <w:rFonts w:ascii="Cambria Math" w:hAnsi="Cambria Math" w:cs="Cambria Math"/>
        </w:rPr>
        <w:t>₂</w:t>
      </w:r>
      <w:r w:rsidR="00FC615D" w:rsidRPr="00DD7447">
        <w:rPr>
          <w:rFonts w:ascii="Arial" w:hAnsi="Arial" w:cs="Arial"/>
        </w:rPr>
        <w:t xml:space="preserve"> (12.2%) and T</w:t>
      </w:r>
      <w:r w:rsidR="00FC615D" w:rsidRPr="00DD7447">
        <w:rPr>
          <w:rFonts w:ascii="Cambria Math" w:hAnsi="Cambria Math" w:cs="Cambria Math"/>
        </w:rPr>
        <w:t>₈</w:t>
      </w:r>
      <w:r w:rsidR="00FC615D" w:rsidRPr="00DD7447">
        <w:rPr>
          <w:rFonts w:ascii="Arial" w:hAnsi="Arial" w:cs="Arial"/>
        </w:rPr>
        <w:t xml:space="preserve"> (12.4%). The highest physiological weight loss was observed in the control (T</w:t>
      </w:r>
      <w:r w:rsidR="00FC615D" w:rsidRPr="00DD7447">
        <w:rPr>
          <w:rFonts w:ascii="Cambria Math" w:hAnsi="Cambria Math" w:cs="Cambria Math"/>
        </w:rPr>
        <w:t>₀</w:t>
      </w:r>
      <w:r w:rsidR="00FC615D" w:rsidRPr="00DD7447">
        <w:rPr>
          <w:rFonts w:ascii="Arial" w:hAnsi="Arial" w:cs="Arial"/>
        </w:rPr>
        <w:t>) with 17.5%. These results suggest that pre-harvest applications of growth substances, especially salicylic acid at 150 ppm, effectively reduced water loss and prolonged freshness. This could be due to better stomatal regulation and enhanced membrane stability. These outcomes are consistent with previous studies by</w:t>
      </w:r>
      <w:r w:rsidR="00AD08C5">
        <w:rPr>
          <w:rFonts w:ascii="Arial" w:hAnsi="Arial" w:cs="Arial"/>
        </w:rPr>
        <w:t xml:space="preserve"> </w:t>
      </w:r>
      <w:proofErr w:type="spellStart"/>
      <w:r w:rsidR="00FC615D" w:rsidRPr="00DD7447">
        <w:rPr>
          <w:rFonts w:ascii="Arial" w:hAnsi="Arial" w:cs="Arial"/>
        </w:rPr>
        <w:t>Danaee</w:t>
      </w:r>
      <w:proofErr w:type="spellEnd"/>
      <w:r w:rsidR="00FC615D" w:rsidRPr="00DD7447">
        <w:rPr>
          <w:rFonts w:ascii="Arial" w:hAnsi="Arial" w:cs="Arial"/>
        </w:rPr>
        <w:t xml:space="preserve"> et al. (2012).</w:t>
      </w:r>
    </w:p>
    <w:p w14:paraId="0DA1EB96" w14:textId="565FA953" w:rsidR="00BB2361" w:rsidRPr="00DD7447" w:rsidRDefault="00BB2361" w:rsidP="00A53A3B">
      <w:pPr>
        <w:spacing w:after="0" w:line="360" w:lineRule="auto"/>
        <w:ind w:firstLine="720"/>
        <w:jc w:val="both"/>
        <w:rPr>
          <w:rFonts w:ascii="Arial" w:hAnsi="Arial" w:cs="Arial"/>
        </w:rPr>
      </w:pPr>
    </w:p>
    <w:p w14:paraId="15D6562D" w14:textId="56341C53" w:rsidR="00F410E8" w:rsidRPr="00151CF9" w:rsidRDefault="00151CF9" w:rsidP="00151CF9">
      <w:pPr>
        <w:spacing w:after="0" w:line="360" w:lineRule="auto"/>
        <w:jc w:val="both"/>
        <w:rPr>
          <w:rFonts w:ascii="Arial" w:hAnsi="Arial" w:cs="Arial"/>
          <w:b/>
          <w:bCs/>
        </w:rPr>
      </w:pPr>
      <w:r w:rsidRPr="00151CF9">
        <w:rPr>
          <w:rFonts w:ascii="Arial" w:hAnsi="Arial" w:cs="Arial"/>
          <w:b/>
          <w:bCs/>
        </w:rPr>
        <w:t xml:space="preserve">3.5 </w:t>
      </w:r>
      <w:r w:rsidR="00F410E8" w:rsidRPr="00151CF9">
        <w:rPr>
          <w:rFonts w:ascii="Arial" w:hAnsi="Arial" w:cs="Arial"/>
          <w:b/>
          <w:bCs/>
        </w:rPr>
        <w:t>Scape bending of flower (degree/days)</w:t>
      </w:r>
    </w:p>
    <w:p w14:paraId="36A9CE97" w14:textId="420403F1" w:rsidR="00FC615D" w:rsidRPr="00C01612" w:rsidRDefault="00F410E8" w:rsidP="006B78F8">
      <w:pPr>
        <w:spacing w:after="0" w:line="360" w:lineRule="auto"/>
        <w:ind w:firstLine="720"/>
        <w:jc w:val="both"/>
        <w:rPr>
          <w:rFonts w:ascii="Arial" w:hAnsi="Arial" w:cs="Arial"/>
        </w:rPr>
      </w:pPr>
      <w:r w:rsidRPr="00C01612">
        <w:rPr>
          <w:rFonts w:ascii="Arial" w:hAnsi="Arial" w:cs="Arial"/>
        </w:rPr>
        <w:lastRenderedPageBreak/>
        <w:t xml:space="preserve">As shown in Table </w:t>
      </w:r>
      <w:r w:rsidR="00151CF9" w:rsidRPr="00C01612">
        <w:rPr>
          <w:rFonts w:ascii="Arial" w:hAnsi="Arial" w:cs="Arial"/>
        </w:rPr>
        <w:t>1</w:t>
      </w:r>
      <w:r w:rsidRPr="00C01612">
        <w:rPr>
          <w:rFonts w:ascii="Arial" w:hAnsi="Arial" w:cs="Arial"/>
        </w:rPr>
        <w:t>, T</w:t>
      </w:r>
      <w:r w:rsidRPr="00C01612">
        <w:rPr>
          <w:rFonts w:ascii="Cambria Math" w:hAnsi="Cambria Math" w:cs="Cambria Math"/>
        </w:rPr>
        <w:t>₃</w:t>
      </w:r>
      <w:r w:rsidRPr="00C01612">
        <w:rPr>
          <w:rFonts w:ascii="Arial" w:hAnsi="Arial" w:cs="Arial"/>
        </w:rPr>
        <w:t xml:space="preserve"> (SA @ 150 ppm) recorded the least scape bending (</w:t>
      </w:r>
      <w:r w:rsidR="00520C3E" w:rsidRPr="00C01612">
        <w:rPr>
          <w:rFonts w:ascii="Arial" w:hAnsi="Arial" w:cs="Arial"/>
        </w:rPr>
        <w:t>24.83</w:t>
      </w:r>
      <w:r w:rsidRPr="00C01612">
        <w:rPr>
          <w:rFonts w:ascii="Arial" w:hAnsi="Arial" w:cs="Arial"/>
        </w:rPr>
        <w:t xml:space="preserve">°/day), </w:t>
      </w:r>
      <w:r w:rsidR="00520C3E" w:rsidRPr="00C01612">
        <w:rPr>
          <w:rFonts w:ascii="Arial" w:hAnsi="Arial" w:cs="Arial"/>
        </w:rPr>
        <w:t xml:space="preserve">which was </w:t>
      </w:r>
      <w:r w:rsidR="00520C3E" w:rsidRPr="00C01612">
        <w:rPr>
          <w:rFonts w:ascii="Arial" w:hAnsi="Arial" w:cs="Arial"/>
          <w:i/>
          <w:iCs/>
        </w:rPr>
        <w:t>at par</w:t>
      </w:r>
      <w:r w:rsidR="00520C3E" w:rsidRPr="00C01612">
        <w:rPr>
          <w:rFonts w:ascii="Arial" w:hAnsi="Arial" w:cs="Arial"/>
        </w:rPr>
        <w:t xml:space="preserve"> with T</w:t>
      </w:r>
      <w:r w:rsidRPr="00C01612">
        <w:rPr>
          <w:rFonts w:ascii="Cambria Math" w:hAnsi="Cambria Math" w:cs="Cambria Math"/>
        </w:rPr>
        <w:t>₂</w:t>
      </w:r>
      <w:r w:rsidRPr="00C01612">
        <w:rPr>
          <w:rFonts w:ascii="Arial" w:hAnsi="Arial" w:cs="Arial"/>
        </w:rPr>
        <w:t xml:space="preserve"> (GA</w:t>
      </w:r>
      <w:r w:rsidRPr="00C01612">
        <w:rPr>
          <w:rFonts w:ascii="Cambria Math" w:hAnsi="Cambria Math" w:cs="Cambria Math"/>
        </w:rPr>
        <w:t>₃</w:t>
      </w:r>
      <w:r w:rsidRPr="00C01612">
        <w:rPr>
          <w:rFonts w:ascii="Arial" w:hAnsi="Arial" w:cs="Arial"/>
        </w:rPr>
        <w:t xml:space="preserve"> @ 100 ppm, </w:t>
      </w:r>
      <w:r w:rsidR="00520C3E" w:rsidRPr="00C01612">
        <w:rPr>
          <w:rFonts w:ascii="Arial" w:hAnsi="Arial" w:cs="Arial"/>
        </w:rPr>
        <w:t>25.80</w:t>
      </w:r>
      <w:r w:rsidRPr="00C01612">
        <w:rPr>
          <w:rFonts w:ascii="Arial" w:hAnsi="Arial" w:cs="Arial"/>
        </w:rPr>
        <w:t>°/day). The highest bending was observed in the control T</w:t>
      </w:r>
      <w:r w:rsidRPr="00C01612">
        <w:rPr>
          <w:rFonts w:ascii="Cambria Math" w:hAnsi="Cambria Math" w:cs="Cambria Math"/>
        </w:rPr>
        <w:t>₀</w:t>
      </w:r>
      <w:r w:rsidRPr="00C01612">
        <w:rPr>
          <w:rFonts w:ascii="Arial" w:hAnsi="Arial" w:cs="Arial"/>
        </w:rPr>
        <w:t xml:space="preserve"> (</w:t>
      </w:r>
      <w:r w:rsidR="00520C3E" w:rsidRPr="00C01612">
        <w:rPr>
          <w:rFonts w:ascii="Arial" w:hAnsi="Arial" w:cs="Arial"/>
        </w:rPr>
        <w:t>47.37</w:t>
      </w:r>
      <w:r w:rsidRPr="00C01612">
        <w:rPr>
          <w:rFonts w:ascii="Arial" w:hAnsi="Arial" w:cs="Arial"/>
        </w:rPr>
        <w:t>°/day). This indicates that pre-harvest application of salicylic acid and GA</w:t>
      </w:r>
      <w:r w:rsidRPr="00C01612">
        <w:rPr>
          <w:rFonts w:ascii="Cambria Math" w:hAnsi="Cambria Math" w:cs="Cambria Math"/>
        </w:rPr>
        <w:t>₃</w:t>
      </w:r>
      <w:r w:rsidRPr="00C01612">
        <w:rPr>
          <w:rFonts w:ascii="Arial" w:hAnsi="Arial" w:cs="Arial"/>
        </w:rPr>
        <w:t xml:space="preserve"> effectively reduced scape bending, likely by enhancing stem strength and water retention. These results agree with findings by Nair</w:t>
      </w:r>
      <w:r w:rsidR="006B78F8" w:rsidRPr="00C01612">
        <w:rPr>
          <w:rFonts w:ascii="Arial" w:hAnsi="Arial" w:cs="Arial"/>
        </w:rPr>
        <w:t xml:space="preserve"> et al., </w:t>
      </w:r>
      <w:r w:rsidRPr="00C01612">
        <w:rPr>
          <w:rFonts w:ascii="Arial" w:hAnsi="Arial" w:cs="Arial"/>
        </w:rPr>
        <w:t>(200</w:t>
      </w:r>
      <w:r w:rsidR="006B78F8" w:rsidRPr="00C01612">
        <w:rPr>
          <w:rFonts w:ascii="Arial" w:hAnsi="Arial" w:cs="Arial"/>
        </w:rPr>
        <w:t>3</w:t>
      </w:r>
      <w:r w:rsidRPr="00C01612">
        <w:rPr>
          <w:rFonts w:ascii="Arial" w:hAnsi="Arial" w:cs="Arial"/>
        </w:rPr>
        <w:t>).</w:t>
      </w:r>
    </w:p>
    <w:p w14:paraId="50BB9E59" w14:textId="68029186" w:rsidR="00D0627D" w:rsidRPr="00B42DDE" w:rsidRDefault="00D0627D" w:rsidP="00151CF9">
      <w:pPr>
        <w:spacing w:after="0" w:line="360" w:lineRule="auto"/>
        <w:jc w:val="both"/>
        <w:rPr>
          <w:rFonts w:ascii="Arial" w:hAnsi="Arial" w:cs="Arial"/>
          <w:b/>
          <w:bCs/>
        </w:rPr>
      </w:pPr>
      <w:r w:rsidRPr="00B42DDE">
        <w:rPr>
          <w:rFonts w:ascii="Arial" w:hAnsi="Arial" w:cs="Arial"/>
          <w:b/>
          <w:bCs/>
        </w:rPr>
        <w:t xml:space="preserve">Conclusion </w:t>
      </w:r>
    </w:p>
    <w:p w14:paraId="1CE590A8" w14:textId="52A73B62" w:rsidR="00D0627D" w:rsidRPr="00B42DDE" w:rsidRDefault="00D0627D" w:rsidP="00151CF9">
      <w:pPr>
        <w:spacing w:after="0" w:line="360" w:lineRule="auto"/>
        <w:jc w:val="both"/>
        <w:rPr>
          <w:rFonts w:ascii="Arial" w:hAnsi="Arial" w:cs="Arial"/>
        </w:rPr>
      </w:pPr>
      <w:r w:rsidRPr="00B42DDE">
        <w:rPr>
          <w:rFonts w:ascii="Arial" w:hAnsi="Arial" w:cs="Arial"/>
        </w:rPr>
        <w:t xml:space="preserve">The study revealed that pre-harvest application of growth regulators significantly </w:t>
      </w:r>
      <w:r w:rsidRPr="00151CF9">
        <w:rPr>
          <w:rFonts w:ascii="Arial" w:hAnsi="Arial" w:cs="Arial"/>
        </w:rPr>
        <w:t xml:space="preserve">improved the post-harvest quality of </w:t>
      </w:r>
      <w:r w:rsidRPr="00151CF9">
        <w:rPr>
          <w:rFonts w:ascii="Arial" w:hAnsi="Arial" w:cs="Arial"/>
          <w:i/>
          <w:iCs/>
        </w:rPr>
        <w:t xml:space="preserve">Gerbera </w:t>
      </w:r>
      <w:proofErr w:type="spellStart"/>
      <w:r w:rsidRPr="00151CF9">
        <w:rPr>
          <w:rFonts w:ascii="Arial" w:hAnsi="Arial" w:cs="Arial"/>
          <w:i/>
          <w:iCs/>
        </w:rPr>
        <w:t>jamesonii</w:t>
      </w:r>
      <w:proofErr w:type="spellEnd"/>
      <w:r w:rsidRPr="00151CF9">
        <w:rPr>
          <w:rFonts w:ascii="Arial" w:hAnsi="Arial" w:cs="Arial"/>
        </w:rPr>
        <w:t xml:space="preserve"> cv. Livia. Among all treatments, Salicylic Acid at 150 ppm (T</w:t>
      </w:r>
      <w:r w:rsidRPr="00151CF9">
        <w:rPr>
          <w:rFonts w:ascii="Cambria Math" w:hAnsi="Cambria Math" w:cs="Cambria Math"/>
        </w:rPr>
        <w:t>₃</w:t>
      </w:r>
      <w:r w:rsidRPr="00151CF9">
        <w:rPr>
          <w:rFonts w:ascii="Arial" w:hAnsi="Arial" w:cs="Arial"/>
        </w:rPr>
        <w:t>) was most effective in increasing fresh weight and water uptake, while reducing physiological weight loss and scape bending. GA</w:t>
      </w:r>
      <w:r w:rsidRPr="00151CF9">
        <w:rPr>
          <w:rFonts w:ascii="Cambria Math" w:hAnsi="Cambria Math" w:cs="Cambria Math"/>
        </w:rPr>
        <w:t>₃</w:t>
      </w:r>
      <w:r w:rsidRPr="00151CF9">
        <w:rPr>
          <w:rFonts w:ascii="Arial" w:hAnsi="Arial" w:cs="Arial"/>
        </w:rPr>
        <w:t xml:space="preserve"> treatments also showed positive results. The untreated control performed the worst across all parameters. Thus, Salicylic Acid @ 150 ppm is recommended for enhancing the vase</w:t>
      </w:r>
      <w:r w:rsidRPr="00B42DDE">
        <w:rPr>
          <w:rFonts w:ascii="Arial" w:hAnsi="Arial" w:cs="Arial"/>
        </w:rPr>
        <w:t xml:space="preserve"> life and structural quality of gerbera flowers, making it beneficial for commercial floriculture.</w:t>
      </w:r>
    </w:p>
    <w:p w14:paraId="4C62F88D" w14:textId="77777777" w:rsidR="00741641" w:rsidRPr="00B42DDE" w:rsidRDefault="00741641" w:rsidP="00151CF9">
      <w:pPr>
        <w:spacing w:after="0" w:line="360" w:lineRule="auto"/>
        <w:jc w:val="both"/>
        <w:rPr>
          <w:rFonts w:ascii="Arial" w:hAnsi="Arial" w:cs="Arial"/>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02"/>
        <w:gridCol w:w="1602"/>
        <w:gridCol w:w="1602"/>
        <w:gridCol w:w="1602"/>
        <w:gridCol w:w="1602"/>
      </w:tblGrid>
      <w:tr w:rsidR="00B42DDE" w:rsidRPr="00B42DDE" w14:paraId="0413CB1F" w14:textId="77777777" w:rsidTr="001F2E35">
        <w:trPr>
          <w:trHeight w:val="310"/>
          <w:jc w:val="center"/>
        </w:trPr>
        <w:tc>
          <w:tcPr>
            <w:tcW w:w="9175" w:type="dxa"/>
            <w:gridSpan w:val="6"/>
            <w:noWrap/>
            <w:vAlign w:val="bottom"/>
          </w:tcPr>
          <w:p w14:paraId="2898AC39" w14:textId="282F7C5D" w:rsidR="00051560" w:rsidRPr="00B42DDE" w:rsidRDefault="00051560" w:rsidP="00151CF9">
            <w:pPr>
              <w:spacing w:after="0" w:line="360" w:lineRule="auto"/>
              <w:jc w:val="both"/>
              <w:rPr>
                <w:rFonts w:ascii="Arial" w:eastAsia="Times New Roman" w:hAnsi="Arial" w:cs="Arial"/>
                <w:b/>
                <w:bCs/>
                <w:sz w:val="20"/>
                <w:szCs w:val="20"/>
              </w:rPr>
            </w:pPr>
            <w:r w:rsidRPr="00B42DDE">
              <w:rPr>
                <w:rFonts w:ascii="Arial" w:eastAsia="Times New Roman" w:hAnsi="Arial" w:cs="Arial"/>
                <w:b/>
                <w:bCs/>
              </w:rPr>
              <w:t>Table:</w:t>
            </w:r>
            <w:r w:rsidR="00151CF9">
              <w:rPr>
                <w:rFonts w:ascii="Arial" w:eastAsia="Times New Roman" w:hAnsi="Arial" w:cs="Arial"/>
                <w:b/>
                <w:bCs/>
              </w:rPr>
              <w:t>1</w:t>
            </w:r>
            <w:r w:rsidRPr="00B42DDE">
              <w:rPr>
                <w:rFonts w:ascii="Arial" w:eastAsia="Times New Roman" w:hAnsi="Arial" w:cs="Arial"/>
                <w:b/>
                <w:bCs/>
              </w:rPr>
              <w:t xml:space="preserve"> Effect of Pre-Harvest Application of Growth Substances on </w:t>
            </w:r>
          </w:p>
        </w:tc>
      </w:tr>
      <w:tr w:rsidR="00B42DDE" w:rsidRPr="00B42DDE" w14:paraId="28599CE2" w14:textId="77777777" w:rsidTr="001F2E35">
        <w:trPr>
          <w:trHeight w:val="300"/>
          <w:jc w:val="center"/>
        </w:trPr>
        <w:tc>
          <w:tcPr>
            <w:tcW w:w="1165" w:type="dxa"/>
            <w:noWrap/>
            <w:vAlign w:val="center"/>
            <w:hideMark/>
          </w:tcPr>
          <w:p w14:paraId="06641186"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Treatment</w:t>
            </w:r>
          </w:p>
        </w:tc>
        <w:tc>
          <w:tcPr>
            <w:tcW w:w="1602" w:type="dxa"/>
            <w:noWrap/>
            <w:vAlign w:val="center"/>
            <w:hideMark/>
          </w:tcPr>
          <w:p w14:paraId="4800EA11"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Fresh weight of flower (g)</w:t>
            </w:r>
          </w:p>
        </w:tc>
        <w:tc>
          <w:tcPr>
            <w:tcW w:w="1602" w:type="dxa"/>
            <w:vAlign w:val="center"/>
          </w:tcPr>
          <w:p w14:paraId="6620645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Cumulative water uptake (g/f)</w:t>
            </w:r>
          </w:p>
        </w:tc>
        <w:tc>
          <w:tcPr>
            <w:tcW w:w="1602" w:type="dxa"/>
            <w:vAlign w:val="center"/>
          </w:tcPr>
          <w:p w14:paraId="03B6597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Change in flower diameter (mm)</w:t>
            </w:r>
          </w:p>
        </w:tc>
        <w:tc>
          <w:tcPr>
            <w:tcW w:w="1602" w:type="dxa"/>
            <w:vAlign w:val="center"/>
          </w:tcPr>
          <w:p w14:paraId="0592E760"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Physiological weight loss of flower (%)</w:t>
            </w:r>
          </w:p>
        </w:tc>
        <w:tc>
          <w:tcPr>
            <w:tcW w:w="1602" w:type="dxa"/>
            <w:vAlign w:val="center"/>
          </w:tcPr>
          <w:p w14:paraId="6FC309B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Scape bending of flower (degree/days)</w:t>
            </w:r>
          </w:p>
        </w:tc>
      </w:tr>
      <w:tr w:rsidR="00AC6DB6" w:rsidRPr="00B42DDE" w14:paraId="3DEAAEB2" w14:textId="77777777" w:rsidTr="00120350">
        <w:trPr>
          <w:trHeight w:val="290"/>
          <w:jc w:val="center"/>
        </w:trPr>
        <w:tc>
          <w:tcPr>
            <w:tcW w:w="1165" w:type="dxa"/>
            <w:noWrap/>
            <w:vAlign w:val="center"/>
            <w:hideMark/>
          </w:tcPr>
          <w:p w14:paraId="10E4627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0</w:t>
            </w:r>
          </w:p>
        </w:tc>
        <w:tc>
          <w:tcPr>
            <w:tcW w:w="1602" w:type="dxa"/>
            <w:noWrap/>
            <w:vAlign w:val="bottom"/>
          </w:tcPr>
          <w:p w14:paraId="24A168D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13.6</w:t>
            </w:r>
          </w:p>
        </w:tc>
        <w:tc>
          <w:tcPr>
            <w:tcW w:w="1602" w:type="dxa"/>
          </w:tcPr>
          <w:p w14:paraId="5F3EAC4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44.5</w:t>
            </w:r>
          </w:p>
        </w:tc>
        <w:tc>
          <w:tcPr>
            <w:tcW w:w="1602" w:type="dxa"/>
          </w:tcPr>
          <w:p w14:paraId="0264334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3.94</w:t>
            </w:r>
          </w:p>
        </w:tc>
        <w:tc>
          <w:tcPr>
            <w:tcW w:w="1602" w:type="dxa"/>
            <w:vAlign w:val="bottom"/>
          </w:tcPr>
          <w:p w14:paraId="590F0A1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17.5</w:t>
            </w:r>
          </w:p>
        </w:tc>
        <w:tc>
          <w:tcPr>
            <w:tcW w:w="1602" w:type="dxa"/>
          </w:tcPr>
          <w:p w14:paraId="31023CFE" w14:textId="56022227" w:rsidR="00AC6DB6" w:rsidRPr="00D82177" w:rsidRDefault="00AC6DB6" w:rsidP="00AC6DB6">
            <w:pPr>
              <w:spacing w:after="0" w:line="360" w:lineRule="auto"/>
              <w:jc w:val="center"/>
              <w:rPr>
                <w:rFonts w:ascii="Arial" w:hAnsi="Arial" w:cs="Arial"/>
                <w:sz w:val="20"/>
                <w:szCs w:val="20"/>
              </w:rPr>
            </w:pPr>
            <w:r w:rsidRPr="00C62D66">
              <w:t>47.37</w:t>
            </w:r>
          </w:p>
        </w:tc>
      </w:tr>
      <w:tr w:rsidR="00AC6DB6" w:rsidRPr="00B42DDE" w14:paraId="1615E023" w14:textId="77777777" w:rsidTr="00120350">
        <w:trPr>
          <w:trHeight w:val="290"/>
          <w:jc w:val="center"/>
        </w:trPr>
        <w:tc>
          <w:tcPr>
            <w:tcW w:w="1165" w:type="dxa"/>
            <w:noWrap/>
            <w:vAlign w:val="center"/>
            <w:hideMark/>
          </w:tcPr>
          <w:p w14:paraId="6F3CB50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1</w:t>
            </w:r>
          </w:p>
        </w:tc>
        <w:tc>
          <w:tcPr>
            <w:tcW w:w="1602" w:type="dxa"/>
            <w:noWrap/>
            <w:vAlign w:val="bottom"/>
          </w:tcPr>
          <w:p w14:paraId="06F8FF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13.8</w:t>
            </w:r>
          </w:p>
        </w:tc>
        <w:tc>
          <w:tcPr>
            <w:tcW w:w="1602" w:type="dxa"/>
          </w:tcPr>
          <w:p w14:paraId="196D6E3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51.6</w:t>
            </w:r>
          </w:p>
        </w:tc>
        <w:tc>
          <w:tcPr>
            <w:tcW w:w="1602" w:type="dxa"/>
          </w:tcPr>
          <w:p w14:paraId="162B1D9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3.60</w:t>
            </w:r>
          </w:p>
        </w:tc>
        <w:tc>
          <w:tcPr>
            <w:tcW w:w="1602" w:type="dxa"/>
            <w:vAlign w:val="bottom"/>
          </w:tcPr>
          <w:p w14:paraId="0F1ACDE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16.9</w:t>
            </w:r>
          </w:p>
        </w:tc>
        <w:tc>
          <w:tcPr>
            <w:tcW w:w="1602" w:type="dxa"/>
          </w:tcPr>
          <w:p w14:paraId="1259B232" w14:textId="343AAA29" w:rsidR="00AC6DB6" w:rsidRPr="00D82177" w:rsidRDefault="00AC6DB6" w:rsidP="00AC6DB6">
            <w:pPr>
              <w:spacing w:after="0" w:line="360" w:lineRule="auto"/>
              <w:jc w:val="center"/>
              <w:rPr>
                <w:rFonts w:ascii="Arial" w:hAnsi="Arial" w:cs="Arial"/>
                <w:sz w:val="20"/>
                <w:szCs w:val="20"/>
              </w:rPr>
            </w:pPr>
            <w:r w:rsidRPr="00C62D66">
              <w:t>41.13</w:t>
            </w:r>
          </w:p>
        </w:tc>
      </w:tr>
      <w:tr w:rsidR="00AC6DB6" w:rsidRPr="00B42DDE" w14:paraId="162F553F" w14:textId="77777777" w:rsidTr="00120350">
        <w:trPr>
          <w:trHeight w:val="300"/>
          <w:jc w:val="center"/>
        </w:trPr>
        <w:tc>
          <w:tcPr>
            <w:tcW w:w="1165" w:type="dxa"/>
            <w:noWrap/>
            <w:vAlign w:val="center"/>
            <w:hideMark/>
          </w:tcPr>
          <w:p w14:paraId="60446C7D"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2</w:t>
            </w:r>
          </w:p>
        </w:tc>
        <w:tc>
          <w:tcPr>
            <w:tcW w:w="1602" w:type="dxa"/>
            <w:noWrap/>
            <w:vAlign w:val="bottom"/>
          </w:tcPr>
          <w:p w14:paraId="3C02E614"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20.9</w:t>
            </w:r>
          </w:p>
        </w:tc>
        <w:tc>
          <w:tcPr>
            <w:tcW w:w="1602" w:type="dxa"/>
          </w:tcPr>
          <w:p w14:paraId="564171F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54.2</w:t>
            </w:r>
          </w:p>
        </w:tc>
        <w:tc>
          <w:tcPr>
            <w:tcW w:w="1602" w:type="dxa"/>
          </w:tcPr>
          <w:p w14:paraId="27BE15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2.43</w:t>
            </w:r>
          </w:p>
        </w:tc>
        <w:tc>
          <w:tcPr>
            <w:tcW w:w="1602" w:type="dxa"/>
            <w:vAlign w:val="bottom"/>
          </w:tcPr>
          <w:p w14:paraId="42546A3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12.2</w:t>
            </w:r>
          </w:p>
        </w:tc>
        <w:tc>
          <w:tcPr>
            <w:tcW w:w="1602" w:type="dxa"/>
          </w:tcPr>
          <w:p w14:paraId="3B7BC487" w14:textId="69DEE345" w:rsidR="00AC6DB6" w:rsidRPr="00D82177" w:rsidRDefault="00AC6DB6" w:rsidP="00AC6DB6">
            <w:pPr>
              <w:spacing w:after="0" w:line="360" w:lineRule="auto"/>
              <w:jc w:val="center"/>
              <w:rPr>
                <w:rFonts w:ascii="Arial" w:hAnsi="Arial" w:cs="Arial"/>
                <w:sz w:val="20"/>
                <w:szCs w:val="20"/>
              </w:rPr>
            </w:pPr>
            <w:r w:rsidRPr="00C62D66">
              <w:t>25.80</w:t>
            </w:r>
          </w:p>
        </w:tc>
      </w:tr>
      <w:tr w:rsidR="00AC6DB6" w:rsidRPr="00B42DDE" w14:paraId="49212678" w14:textId="77777777" w:rsidTr="00120350">
        <w:trPr>
          <w:trHeight w:val="300"/>
          <w:jc w:val="center"/>
        </w:trPr>
        <w:tc>
          <w:tcPr>
            <w:tcW w:w="1165" w:type="dxa"/>
            <w:noWrap/>
            <w:vAlign w:val="center"/>
            <w:hideMark/>
          </w:tcPr>
          <w:p w14:paraId="30E6227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3</w:t>
            </w:r>
          </w:p>
        </w:tc>
        <w:tc>
          <w:tcPr>
            <w:tcW w:w="1602" w:type="dxa"/>
            <w:noWrap/>
            <w:vAlign w:val="bottom"/>
          </w:tcPr>
          <w:p w14:paraId="07C3E048"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21.9</w:t>
            </w:r>
          </w:p>
        </w:tc>
        <w:tc>
          <w:tcPr>
            <w:tcW w:w="1602" w:type="dxa"/>
          </w:tcPr>
          <w:p w14:paraId="007FE97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45.4</w:t>
            </w:r>
          </w:p>
        </w:tc>
        <w:tc>
          <w:tcPr>
            <w:tcW w:w="1602" w:type="dxa"/>
          </w:tcPr>
          <w:p w14:paraId="462C8D17"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1.67</w:t>
            </w:r>
          </w:p>
        </w:tc>
        <w:tc>
          <w:tcPr>
            <w:tcW w:w="1602" w:type="dxa"/>
            <w:vAlign w:val="bottom"/>
          </w:tcPr>
          <w:p w14:paraId="362D85CC"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11.5</w:t>
            </w:r>
          </w:p>
        </w:tc>
        <w:tc>
          <w:tcPr>
            <w:tcW w:w="1602" w:type="dxa"/>
          </w:tcPr>
          <w:p w14:paraId="0B72AB45" w14:textId="709506F5" w:rsidR="00AC6DB6" w:rsidRPr="00D82177" w:rsidRDefault="00AC6DB6" w:rsidP="00AC6DB6">
            <w:pPr>
              <w:spacing w:after="0" w:line="360" w:lineRule="auto"/>
              <w:jc w:val="center"/>
              <w:rPr>
                <w:rFonts w:ascii="Arial" w:hAnsi="Arial" w:cs="Arial"/>
                <w:sz w:val="20"/>
                <w:szCs w:val="20"/>
              </w:rPr>
            </w:pPr>
            <w:r w:rsidRPr="00C62D66">
              <w:t>24.83</w:t>
            </w:r>
          </w:p>
        </w:tc>
      </w:tr>
      <w:tr w:rsidR="00AC6DB6" w:rsidRPr="00B42DDE" w14:paraId="1877C8F7" w14:textId="77777777" w:rsidTr="00120350">
        <w:trPr>
          <w:trHeight w:val="280"/>
          <w:jc w:val="center"/>
        </w:trPr>
        <w:tc>
          <w:tcPr>
            <w:tcW w:w="1165" w:type="dxa"/>
            <w:noWrap/>
            <w:vAlign w:val="center"/>
            <w:hideMark/>
          </w:tcPr>
          <w:p w14:paraId="17CDB0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4</w:t>
            </w:r>
          </w:p>
        </w:tc>
        <w:tc>
          <w:tcPr>
            <w:tcW w:w="1602" w:type="dxa"/>
            <w:noWrap/>
            <w:vAlign w:val="bottom"/>
          </w:tcPr>
          <w:p w14:paraId="48F7D47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14.6</w:t>
            </w:r>
          </w:p>
        </w:tc>
        <w:tc>
          <w:tcPr>
            <w:tcW w:w="1602" w:type="dxa"/>
          </w:tcPr>
          <w:p w14:paraId="669FCB0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46.0</w:t>
            </w:r>
          </w:p>
        </w:tc>
        <w:tc>
          <w:tcPr>
            <w:tcW w:w="1602" w:type="dxa"/>
          </w:tcPr>
          <w:p w14:paraId="1B3BA80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3.38</w:t>
            </w:r>
          </w:p>
        </w:tc>
        <w:tc>
          <w:tcPr>
            <w:tcW w:w="1602" w:type="dxa"/>
            <w:vAlign w:val="bottom"/>
          </w:tcPr>
          <w:p w14:paraId="5AAAC78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16.4</w:t>
            </w:r>
          </w:p>
        </w:tc>
        <w:tc>
          <w:tcPr>
            <w:tcW w:w="1602" w:type="dxa"/>
          </w:tcPr>
          <w:p w14:paraId="64B5407C" w14:textId="3E45BC0A" w:rsidR="00AC6DB6" w:rsidRPr="00D82177" w:rsidRDefault="00AC6DB6" w:rsidP="00AC6DB6">
            <w:pPr>
              <w:spacing w:after="0" w:line="360" w:lineRule="auto"/>
              <w:jc w:val="center"/>
              <w:rPr>
                <w:rFonts w:ascii="Arial" w:hAnsi="Arial" w:cs="Arial"/>
                <w:sz w:val="20"/>
                <w:szCs w:val="20"/>
              </w:rPr>
            </w:pPr>
            <w:r w:rsidRPr="00C62D66">
              <w:t>42.47</w:t>
            </w:r>
          </w:p>
        </w:tc>
      </w:tr>
      <w:tr w:rsidR="00AC6DB6" w:rsidRPr="00B42DDE" w14:paraId="2088A445" w14:textId="77777777" w:rsidTr="00120350">
        <w:trPr>
          <w:trHeight w:val="350"/>
          <w:jc w:val="center"/>
        </w:trPr>
        <w:tc>
          <w:tcPr>
            <w:tcW w:w="1165" w:type="dxa"/>
            <w:noWrap/>
            <w:vAlign w:val="center"/>
            <w:hideMark/>
          </w:tcPr>
          <w:p w14:paraId="46655F2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5</w:t>
            </w:r>
          </w:p>
        </w:tc>
        <w:tc>
          <w:tcPr>
            <w:tcW w:w="1602" w:type="dxa"/>
            <w:noWrap/>
            <w:vAlign w:val="bottom"/>
          </w:tcPr>
          <w:p w14:paraId="39FF660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15.8</w:t>
            </w:r>
          </w:p>
        </w:tc>
        <w:tc>
          <w:tcPr>
            <w:tcW w:w="1602" w:type="dxa"/>
          </w:tcPr>
          <w:p w14:paraId="15FB0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47.2</w:t>
            </w:r>
          </w:p>
        </w:tc>
        <w:tc>
          <w:tcPr>
            <w:tcW w:w="1602" w:type="dxa"/>
          </w:tcPr>
          <w:p w14:paraId="59EC2F6E"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3.09</w:t>
            </w:r>
          </w:p>
        </w:tc>
        <w:tc>
          <w:tcPr>
            <w:tcW w:w="1602" w:type="dxa"/>
            <w:vAlign w:val="bottom"/>
          </w:tcPr>
          <w:p w14:paraId="54E48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14.7</w:t>
            </w:r>
          </w:p>
        </w:tc>
        <w:tc>
          <w:tcPr>
            <w:tcW w:w="1602" w:type="dxa"/>
          </w:tcPr>
          <w:p w14:paraId="5DBFC22A" w14:textId="327A22C3" w:rsidR="00AC6DB6" w:rsidRPr="00D82177" w:rsidRDefault="00AC6DB6" w:rsidP="00AC6DB6">
            <w:pPr>
              <w:spacing w:after="0" w:line="360" w:lineRule="auto"/>
              <w:jc w:val="center"/>
              <w:rPr>
                <w:rFonts w:ascii="Arial" w:hAnsi="Arial" w:cs="Arial"/>
                <w:sz w:val="20"/>
                <w:szCs w:val="20"/>
              </w:rPr>
            </w:pPr>
            <w:r w:rsidRPr="00C62D66">
              <w:t>35.93</w:t>
            </w:r>
          </w:p>
        </w:tc>
      </w:tr>
      <w:tr w:rsidR="00AC6DB6" w:rsidRPr="00B42DDE" w14:paraId="76F78D26" w14:textId="77777777" w:rsidTr="00120350">
        <w:trPr>
          <w:trHeight w:val="350"/>
          <w:jc w:val="center"/>
        </w:trPr>
        <w:tc>
          <w:tcPr>
            <w:tcW w:w="1165" w:type="dxa"/>
            <w:noWrap/>
            <w:vAlign w:val="center"/>
            <w:hideMark/>
          </w:tcPr>
          <w:p w14:paraId="3512AAD5"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6</w:t>
            </w:r>
          </w:p>
        </w:tc>
        <w:tc>
          <w:tcPr>
            <w:tcW w:w="1602" w:type="dxa"/>
            <w:noWrap/>
            <w:vAlign w:val="bottom"/>
          </w:tcPr>
          <w:p w14:paraId="283076F6"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18.9</w:t>
            </w:r>
          </w:p>
        </w:tc>
        <w:tc>
          <w:tcPr>
            <w:tcW w:w="1602" w:type="dxa"/>
          </w:tcPr>
          <w:p w14:paraId="66507D1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48.7</w:t>
            </w:r>
          </w:p>
        </w:tc>
        <w:tc>
          <w:tcPr>
            <w:tcW w:w="1602" w:type="dxa"/>
          </w:tcPr>
          <w:p w14:paraId="38DB4D9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2.89</w:t>
            </w:r>
          </w:p>
        </w:tc>
        <w:tc>
          <w:tcPr>
            <w:tcW w:w="1602" w:type="dxa"/>
            <w:vAlign w:val="bottom"/>
          </w:tcPr>
          <w:p w14:paraId="503BA3B1"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13.0</w:t>
            </w:r>
          </w:p>
        </w:tc>
        <w:tc>
          <w:tcPr>
            <w:tcW w:w="1602" w:type="dxa"/>
          </w:tcPr>
          <w:p w14:paraId="1B03AC59" w14:textId="6333FFB8" w:rsidR="00AC6DB6" w:rsidRPr="00D82177" w:rsidRDefault="00AC6DB6" w:rsidP="00AC6DB6">
            <w:pPr>
              <w:spacing w:after="0" w:line="360" w:lineRule="auto"/>
              <w:jc w:val="center"/>
              <w:rPr>
                <w:rFonts w:ascii="Arial" w:hAnsi="Arial" w:cs="Arial"/>
                <w:sz w:val="20"/>
                <w:szCs w:val="20"/>
              </w:rPr>
            </w:pPr>
            <w:r w:rsidRPr="00C62D66">
              <w:t>32.93</w:t>
            </w:r>
          </w:p>
        </w:tc>
      </w:tr>
      <w:tr w:rsidR="00AC6DB6" w:rsidRPr="00B42DDE" w14:paraId="49093AED" w14:textId="77777777" w:rsidTr="00120350">
        <w:trPr>
          <w:trHeight w:val="350"/>
          <w:jc w:val="center"/>
        </w:trPr>
        <w:tc>
          <w:tcPr>
            <w:tcW w:w="1165" w:type="dxa"/>
            <w:noWrap/>
            <w:vAlign w:val="center"/>
            <w:hideMark/>
          </w:tcPr>
          <w:p w14:paraId="11EEDB3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7</w:t>
            </w:r>
          </w:p>
        </w:tc>
        <w:tc>
          <w:tcPr>
            <w:tcW w:w="1602" w:type="dxa"/>
            <w:noWrap/>
            <w:vAlign w:val="bottom"/>
          </w:tcPr>
          <w:p w14:paraId="135BF8B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15.4</w:t>
            </w:r>
          </w:p>
        </w:tc>
        <w:tc>
          <w:tcPr>
            <w:tcW w:w="1602" w:type="dxa"/>
          </w:tcPr>
          <w:p w14:paraId="4A60448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46.5</w:t>
            </w:r>
          </w:p>
        </w:tc>
        <w:tc>
          <w:tcPr>
            <w:tcW w:w="1602" w:type="dxa"/>
          </w:tcPr>
          <w:p w14:paraId="6A3147D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3.10</w:t>
            </w:r>
          </w:p>
        </w:tc>
        <w:tc>
          <w:tcPr>
            <w:tcW w:w="1602" w:type="dxa"/>
            <w:vAlign w:val="bottom"/>
          </w:tcPr>
          <w:p w14:paraId="7F9E767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15.8</w:t>
            </w:r>
          </w:p>
        </w:tc>
        <w:tc>
          <w:tcPr>
            <w:tcW w:w="1602" w:type="dxa"/>
          </w:tcPr>
          <w:p w14:paraId="7D33D898" w14:textId="01141CD4" w:rsidR="00AC6DB6" w:rsidRPr="00D82177" w:rsidRDefault="00AC6DB6" w:rsidP="00AC6DB6">
            <w:pPr>
              <w:spacing w:after="0" w:line="360" w:lineRule="auto"/>
              <w:jc w:val="center"/>
              <w:rPr>
                <w:rFonts w:ascii="Arial" w:hAnsi="Arial" w:cs="Arial"/>
                <w:sz w:val="20"/>
                <w:szCs w:val="20"/>
              </w:rPr>
            </w:pPr>
            <w:r w:rsidRPr="00C62D66">
              <w:t>36.87</w:t>
            </w:r>
          </w:p>
        </w:tc>
      </w:tr>
      <w:tr w:rsidR="00AC6DB6" w:rsidRPr="00B42DDE" w14:paraId="7A77862C" w14:textId="77777777" w:rsidTr="00120350">
        <w:trPr>
          <w:trHeight w:val="350"/>
          <w:jc w:val="center"/>
        </w:trPr>
        <w:tc>
          <w:tcPr>
            <w:tcW w:w="1165" w:type="dxa"/>
            <w:noWrap/>
            <w:vAlign w:val="center"/>
            <w:hideMark/>
          </w:tcPr>
          <w:p w14:paraId="02266BBF"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8</w:t>
            </w:r>
          </w:p>
        </w:tc>
        <w:tc>
          <w:tcPr>
            <w:tcW w:w="1602" w:type="dxa"/>
            <w:noWrap/>
            <w:vAlign w:val="bottom"/>
          </w:tcPr>
          <w:p w14:paraId="1700231B"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20.5</w:t>
            </w:r>
          </w:p>
        </w:tc>
        <w:tc>
          <w:tcPr>
            <w:tcW w:w="1602" w:type="dxa"/>
          </w:tcPr>
          <w:p w14:paraId="7B4F766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50.1</w:t>
            </w:r>
          </w:p>
        </w:tc>
        <w:tc>
          <w:tcPr>
            <w:tcW w:w="1602" w:type="dxa"/>
          </w:tcPr>
          <w:p w14:paraId="327F76F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2.86</w:t>
            </w:r>
          </w:p>
        </w:tc>
        <w:tc>
          <w:tcPr>
            <w:tcW w:w="1602" w:type="dxa"/>
            <w:vAlign w:val="bottom"/>
          </w:tcPr>
          <w:p w14:paraId="5F029D5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12.4</w:t>
            </w:r>
          </w:p>
        </w:tc>
        <w:tc>
          <w:tcPr>
            <w:tcW w:w="1602" w:type="dxa"/>
          </w:tcPr>
          <w:p w14:paraId="025B0FBD" w14:textId="2870B440" w:rsidR="00AC6DB6" w:rsidRPr="00D82177" w:rsidRDefault="00AC6DB6" w:rsidP="00AC6DB6">
            <w:pPr>
              <w:spacing w:after="0" w:line="360" w:lineRule="auto"/>
              <w:jc w:val="center"/>
              <w:rPr>
                <w:rFonts w:ascii="Arial" w:hAnsi="Arial" w:cs="Arial"/>
                <w:sz w:val="20"/>
                <w:szCs w:val="20"/>
              </w:rPr>
            </w:pPr>
            <w:r w:rsidRPr="00C62D66">
              <w:t>27.77</w:t>
            </w:r>
          </w:p>
        </w:tc>
      </w:tr>
      <w:tr w:rsidR="00AC6DB6" w:rsidRPr="00B42DDE" w14:paraId="104EF215" w14:textId="77777777" w:rsidTr="00120350">
        <w:trPr>
          <w:trHeight w:val="350"/>
          <w:jc w:val="center"/>
        </w:trPr>
        <w:tc>
          <w:tcPr>
            <w:tcW w:w="1165" w:type="dxa"/>
            <w:noWrap/>
            <w:vAlign w:val="center"/>
            <w:hideMark/>
          </w:tcPr>
          <w:p w14:paraId="56632EE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9</w:t>
            </w:r>
          </w:p>
        </w:tc>
        <w:tc>
          <w:tcPr>
            <w:tcW w:w="1602" w:type="dxa"/>
            <w:noWrap/>
            <w:vAlign w:val="bottom"/>
          </w:tcPr>
          <w:p w14:paraId="360A906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16.3</w:t>
            </w:r>
          </w:p>
        </w:tc>
        <w:tc>
          <w:tcPr>
            <w:tcW w:w="1602" w:type="dxa"/>
          </w:tcPr>
          <w:p w14:paraId="4E52CC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47.8</w:t>
            </w:r>
          </w:p>
        </w:tc>
        <w:tc>
          <w:tcPr>
            <w:tcW w:w="1602" w:type="dxa"/>
          </w:tcPr>
          <w:p w14:paraId="598511C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2.96</w:t>
            </w:r>
          </w:p>
        </w:tc>
        <w:tc>
          <w:tcPr>
            <w:tcW w:w="1602" w:type="dxa"/>
            <w:vAlign w:val="bottom"/>
          </w:tcPr>
          <w:p w14:paraId="6108C69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13.8</w:t>
            </w:r>
          </w:p>
        </w:tc>
        <w:tc>
          <w:tcPr>
            <w:tcW w:w="1602" w:type="dxa"/>
          </w:tcPr>
          <w:p w14:paraId="28B70531" w14:textId="07F169F2" w:rsidR="00AC6DB6" w:rsidRPr="00D82177" w:rsidRDefault="00AC6DB6" w:rsidP="00AC6DB6">
            <w:pPr>
              <w:spacing w:after="0" w:line="360" w:lineRule="auto"/>
              <w:jc w:val="center"/>
              <w:rPr>
                <w:rFonts w:ascii="Arial" w:hAnsi="Arial" w:cs="Arial"/>
                <w:sz w:val="20"/>
                <w:szCs w:val="20"/>
              </w:rPr>
            </w:pPr>
            <w:r w:rsidRPr="00C62D66">
              <w:t>34.63</w:t>
            </w:r>
          </w:p>
        </w:tc>
      </w:tr>
      <w:tr w:rsidR="00B42DDE" w:rsidRPr="00B42DDE" w14:paraId="5F000921" w14:textId="77777777" w:rsidTr="001F2E35">
        <w:trPr>
          <w:trHeight w:val="350"/>
          <w:jc w:val="center"/>
        </w:trPr>
        <w:tc>
          <w:tcPr>
            <w:tcW w:w="1165" w:type="dxa"/>
            <w:noWrap/>
            <w:vAlign w:val="bottom"/>
            <w:hideMark/>
          </w:tcPr>
          <w:p w14:paraId="3FA9DBD5"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Sem</w:t>
            </w:r>
            <w:r w:rsidRPr="00B42DDE">
              <w:rPr>
                <w:rFonts w:ascii="Arial" w:eastAsia="Times New Roman" w:hAnsi="Arial" w:cs="Arial"/>
                <w:b/>
                <w:bCs/>
                <w:sz w:val="20"/>
                <w:szCs w:val="20"/>
                <w:u w:val="single"/>
              </w:rPr>
              <w:t>+</w:t>
            </w:r>
          </w:p>
        </w:tc>
        <w:tc>
          <w:tcPr>
            <w:tcW w:w="1602" w:type="dxa"/>
            <w:noWrap/>
            <w:vAlign w:val="bottom"/>
          </w:tcPr>
          <w:p w14:paraId="726349C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0.76</w:t>
            </w:r>
          </w:p>
        </w:tc>
        <w:tc>
          <w:tcPr>
            <w:tcW w:w="1602" w:type="dxa"/>
          </w:tcPr>
          <w:p w14:paraId="66132BF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1.06</w:t>
            </w:r>
          </w:p>
        </w:tc>
        <w:tc>
          <w:tcPr>
            <w:tcW w:w="1602" w:type="dxa"/>
          </w:tcPr>
          <w:p w14:paraId="088B861E"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0.28</w:t>
            </w:r>
          </w:p>
        </w:tc>
        <w:tc>
          <w:tcPr>
            <w:tcW w:w="1602" w:type="dxa"/>
            <w:vAlign w:val="bottom"/>
          </w:tcPr>
          <w:p w14:paraId="6BA4F461"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0.48</w:t>
            </w:r>
          </w:p>
        </w:tc>
        <w:tc>
          <w:tcPr>
            <w:tcW w:w="1602" w:type="dxa"/>
            <w:vAlign w:val="bottom"/>
          </w:tcPr>
          <w:p w14:paraId="32401205" w14:textId="31E90F0D"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1.60</w:t>
            </w:r>
          </w:p>
        </w:tc>
      </w:tr>
      <w:tr w:rsidR="00B42DDE" w:rsidRPr="00B42DDE" w14:paraId="2898AFF7" w14:textId="77777777" w:rsidTr="001F2E35">
        <w:trPr>
          <w:trHeight w:val="350"/>
          <w:jc w:val="center"/>
        </w:trPr>
        <w:tc>
          <w:tcPr>
            <w:tcW w:w="1165" w:type="dxa"/>
            <w:noWrap/>
            <w:vAlign w:val="bottom"/>
            <w:hideMark/>
          </w:tcPr>
          <w:p w14:paraId="1F6B237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lastRenderedPageBreak/>
              <w:t>CD at 5%</w:t>
            </w:r>
          </w:p>
        </w:tc>
        <w:tc>
          <w:tcPr>
            <w:tcW w:w="1602" w:type="dxa"/>
            <w:noWrap/>
            <w:vAlign w:val="bottom"/>
          </w:tcPr>
          <w:p w14:paraId="6C3D267C"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2.25</w:t>
            </w:r>
          </w:p>
        </w:tc>
        <w:tc>
          <w:tcPr>
            <w:tcW w:w="1602" w:type="dxa"/>
          </w:tcPr>
          <w:p w14:paraId="00FA461B"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3.13</w:t>
            </w:r>
          </w:p>
        </w:tc>
        <w:tc>
          <w:tcPr>
            <w:tcW w:w="1602" w:type="dxa"/>
          </w:tcPr>
          <w:p w14:paraId="1C603262"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0.83</w:t>
            </w:r>
          </w:p>
        </w:tc>
        <w:tc>
          <w:tcPr>
            <w:tcW w:w="1602" w:type="dxa"/>
            <w:vAlign w:val="bottom"/>
          </w:tcPr>
          <w:p w14:paraId="31799266"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1.42</w:t>
            </w:r>
          </w:p>
        </w:tc>
        <w:tc>
          <w:tcPr>
            <w:tcW w:w="1602" w:type="dxa"/>
            <w:vAlign w:val="bottom"/>
          </w:tcPr>
          <w:p w14:paraId="1FF22C42" w14:textId="2A6551B1"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4.72</w:t>
            </w:r>
          </w:p>
        </w:tc>
      </w:tr>
    </w:tbl>
    <w:p w14:paraId="71A43CDE" w14:textId="77777777" w:rsidR="00312042" w:rsidRPr="00740879" w:rsidRDefault="00312042" w:rsidP="00312042">
      <w:pPr>
        <w:rPr>
          <w:highlight w:val="yellow"/>
        </w:rPr>
      </w:pPr>
      <w:r w:rsidRPr="00740879">
        <w:rPr>
          <w:highlight w:val="yellow"/>
        </w:rPr>
        <w:t>Disclaimer (Artificial intelligence)</w:t>
      </w:r>
    </w:p>
    <w:p w14:paraId="153C8C91" w14:textId="4E745079" w:rsidR="00741641" w:rsidRPr="00CB739C" w:rsidRDefault="00312042" w:rsidP="00CB739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14B8822" w14:textId="77777777" w:rsidR="003038BB" w:rsidRPr="003038BB" w:rsidRDefault="003038BB" w:rsidP="00151CF9">
      <w:pPr>
        <w:spacing w:after="0" w:line="360" w:lineRule="auto"/>
        <w:jc w:val="both"/>
        <w:rPr>
          <w:rFonts w:ascii="Arial" w:hAnsi="Arial" w:cs="Arial"/>
          <w:b/>
          <w:bCs/>
        </w:rPr>
      </w:pPr>
      <w:r w:rsidRPr="003038BB">
        <w:rPr>
          <w:rFonts w:ascii="Arial" w:hAnsi="Arial" w:cs="Arial"/>
          <w:b/>
          <w:bCs/>
        </w:rPr>
        <w:t>References</w:t>
      </w:r>
    </w:p>
    <w:p w14:paraId="1478C54B" w14:textId="77777777" w:rsidR="00AC129D" w:rsidRPr="00AC129D" w:rsidRDefault="00AC129D" w:rsidP="00AC129D">
      <w:pPr>
        <w:pStyle w:val="ListParagraph"/>
        <w:numPr>
          <w:ilvl w:val="0"/>
          <w:numId w:val="6"/>
        </w:numPr>
        <w:spacing w:after="0" w:line="360" w:lineRule="auto"/>
        <w:rPr>
          <w:rFonts w:ascii="Arial" w:hAnsi="Arial" w:cs="Arial"/>
        </w:rPr>
      </w:pPr>
      <w:r w:rsidRPr="00AC129D">
        <w:rPr>
          <w:rFonts w:ascii="Arial" w:hAnsi="Arial" w:cs="Arial"/>
        </w:rPr>
        <w:t xml:space="preserve">Dalal, S.R., </w:t>
      </w:r>
      <w:proofErr w:type="spellStart"/>
      <w:r w:rsidRPr="00AC129D">
        <w:rPr>
          <w:rFonts w:ascii="Arial" w:hAnsi="Arial" w:cs="Arial"/>
        </w:rPr>
        <w:t>Somavanshi</w:t>
      </w:r>
      <w:proofErr w:type="spellEnd"/>
      <w:r w:rsidRPr="00AC129D">
        <w:rPr>
          <w:rFonts w:ascii="Arial" w:hAnsi="Arial" w:cs="Arial"/>
        </w:rPr>
        <w:t xml:space="preserve">, A.V. and Karale, G.D. 2009. Effect of gibberellic acid on growth, flowering, yield and quality of gerbera under polyhouse conditions. Int. J. Agric. Sci. 5(2): 355-356. </w:t>
      </w:r>
    </w:p>
    <w:p w14:paraId="78357F8C" w14:textId="77777777" w:rsidR="00AC129D" w:rsidRPr="00AC129D" w:rsidRDefault="00AC129D" w:rsidP="00AC129D">
      <w:pPr>
        <w:pStyle w:val="ListParagraph"/>
        <w:numPr>
          <w:ilvl w:val="0"/>
          <w:numId w:val="6"/>
        </w:numPr>
        <w:spacing w:after="0" w:line="360" w:lineRule="auto"/>
        <w:jc w:val="both"/>
        <w:rPr>
          <w:rFonts w:ascii="Arial" w:hAnsi="Arial" w:cs="Arial"/>
        </w:rPr>
      </w:pPr>
      <w:proofErr w:type="spellStart"/>
      <w:r w:rsidRPr="00AC129D">
        <w:rPr>
          <w:rFonts w:ascii="Arial" w:hAnsi="Arial" w:cs="Arial"/>
        </w:rPr>
        <w:t>Danaee</w:t>
      </w:r>
      <w:proofErr w:type="spellEnd"/>
      <w:r w:rsidRPr="00AC129D">
        <w:rPr>
          <w:rFonts w:ascii="Arial" w:hAnsi="Arial" w:cs="Arial"/>
        </w:rPr>
        <w:t>, E., Abdossi, V., Mostofi, Y., &amp; Moradi, P. (2012). Effect of GA</w:t>
      </w:r>
      <w:r w:rsidRPr="00AC129D">
        <w:rPr>
          <w:rFonts w:ascii="Cambria Math" w:hAnsi="Cambria Math" w:cs="Cambria Math"/>
        </w:rPr>
        <w:t>₃</w:t>
      </w:r>
      <w:r w:rsidRPr="00AC129D">
        <w:rPr>
          <w:rFonts w:ascii="Arial" w:hAnsi="Arial" w:cs="Arial"/>
        </w:rPr>
        <w:t xml:space="preserve"> and BA on postharvest quality and vase life of Gerbera cut flowers. </w:t>
      </w:r>
      <w:r w:rsidRPr="00AC129D">
        <w:rPr>
          <w:rFonts w:ascii="Arial" w:hAnsi="Arial" w:cs="Arial"/>
          <w:i/>
          <w:iCs/>
        </w:rPr>
        <w:t xml:space="preserve">Acta </w:t>
      </w:r>
      <w:proofErr w:type="spellStart"/>
      <w:r w:rsidRPr="00AC129D">
        <w:rPr>
          <w:rFonts w:ascii="Arial" w:hAnsi="Arial" w:cs="Arial"/>
          <w:i/>
          <w:iCs/>
        </w:rPr>
        <w:t>Horticulturae</w:t>
      </w:r>
      <w:proofErr w:type="spellEnd"/>
      <w:r w:rsidRPr="00AC129D">
        <w:rPr>
          <w:rFonts w:ascii="Arial" w:hAnsi="Arial" w:cs="Arial"/>
          <w:i/>
          <w:iCs/>
        </w:rPr>
        <w:t>, 934</w:t>
      </w:r>
      <w:r w:rsidRPr="00AC129D">
        <w:rPr>
          <w:rFonts w:ascii="Arial" w:hAnsi="Arial" w:cs="Arial"/>
        </w:rPr>
        <w:t xml:space="preserve">, 423–428. </w:t>
      </w:r>
      <w:hyperlink r:id="rId10" w:history="1">
        <w:r w:rsidRPr="00AC129D">
          <w:rPr>
            <w:rStyle w:val="Hyperlink"/>
            <w:rFonts w:ascii="Arial" w:hAnsi="Arial" w:cs="Arial"/>
          </w:rPr>
          <w:t>https://doi.org/10.17660/ActaHortic.2012.934.55</w:t>
        </w:r>
      </w:hyperlink>
    </w:p>
    <w:p w14:paraId="376B0BA1" w14:textId="77777777" w:rsidR="00AC129D" w:rsidRPr="00AC129D" w:rsidRDefault="00AC129D" w:rsidP="00AC129D">
      <w:pPr>
        <w:pStyle w:val="ListParagraph"/>
        <w:numPr>
          <w:ilvl w:val="0"/>
          <w:numId w:val="6"/>
        </w:numPr>
        <w:spacing w:after="0" w:line="360" w:lineRule="auto"/>
        <w:jc w:val="both"/>
        <w:rPr>
          <w:rFonts w:ascii="Arial" w:hAnsi="Arial" w:cs="Arial"/>
        </w:rPr>
      </w:pPr>
      <w:r w:rsidRPr="00AC129D">
        <w:rPr>
          <w:rFonts w:ascii="Arial" w:hAnsi="Arial" w:cs="Arial"/>
        </w:rPr>
        <w:t>Griffin, S, Markham, J. and Wyllie, S. G. 2000. Aspects of antimicrobial activity of terpenoids and the relationship to their molecular structure. In: Annual RACI Natural Products Symposium, University of South Wales, Sydney.</w:t>
      </w:r>
    </w:p>
    <w:p w14:paraId="20A9FD60" w14:textId="77777777" w:rsidR="00AC129D" w:rsidRPr="00AC129D" w:rsidRDefault="00AC129D" w:rsidP="00AC129D">
      <w:pPr>
        <w:pStyle w:val="ListParagraph"/>
        <w:numPr>
          <w:ilvl w:val="0"/>
          <w:numId w:val="6"/>
        </w:numPr>
        <w:spacing w:after="0" w:line="360" w:lineRule="auto"/>
        <w:jc w:val="both"/>
        <w:rPr>
          <w:rFonts w:ascii="Arial" w:hAnsi="Arial" w:cs="Arial"/>
        </w:rPr>
      </w:pPr>
      <w:r w:rsidRPr="00AC129D">
        <w:rPr>
          <w:rFonts w:ascii="Arial" w:hAnsi="Arial" w:cs="Arial"/>
        </w:rPr>
        <w:t>Kumar Jitendra and Singh, Daljeet (2004). Postharvest life of tuberose cultivar Pearl Double spike as affected by GA3, NAA and sucrose. Journal of Ornamental Horticulture (New Series), 7(2): 188- 191.</w:t>
      </w:r>
    </w:p>
    <w:p w14:paraId="346A1634" w14:textId="77777777" w:rsidR="00AC129D" w:rsidRPr="00AC129D" w:rsidRDefault="00AC129D" w:rsidP="00AC129D">
      <w:pPr>
        <w:pStyle w:val="ListParagraph"/>
        <w:numPr>
          <w:ilvl w:val="0"/>
          <w:numId w:val="6"/>
        </w:numPr>
        <w:spacing w:after="0" w:line="360" w:lineRule="auto"/>
        <w:jc w:val="both"/>
        <w:rPr>
          <w:rFonts w:ascii="Arial" w:hAnsi="Arial" w:cs="Arial"/>
        </w:rPr>
      </w:pPr>
      <w:r w:rsidRPr="00AC129D">
        <w:rPr>
          <w:rFonts w:ascii="Arial" w:hAnsi="Arial" w:cs="Arial"/>
        </w:rPr>
        <w:t>Nair SA, Singh V and Sharma T. 2003. Effect of chemical preservatives on enhancing vase life of gerbera flowers. Journal of Tropical Agriculture 21:56-58.</w:t>
      </w:r>
    </w:p>
    <w:p w14:paraId="64E2A9EC" w14:textId="77777777" w:rsidR="00AC129D" w:rsidRPr="00AC129D" w:rsidRDefault="00AC129D" w:rsidP="00AC129D">
      <w:pPr>
        <w:pStyle w:val="ListParagraph"/>
        <w:numPr>
          <w:ilvl w:val="0"/>
          <w:numId w:val="6"/>
        </w:numPr>
        <w:spacing w:after="0" w:line="360" w:lineRule="auto"/>
        <w:jc w:val="both"/>
        <w:rPr>
          <w:rFonts w:ascii="Arial" w:hAnsi="Arial" w:cs="Arial"/>
        </w:rPr>
      </w:pPr>
      <w:r w:rsidRPr="00AC129D">
        <w:rPr>
          <w:rFonts w:ascii="Arial" w:hAnsi="Arial" w:cs="Arial"/>
        </w:rPr>
        <w:t xml:space="preserve">Perik, R. K., van Meeteren, U., Bos, M., &amp; de Witte, T. (2012). Bending in cut </w:t>
      </w:r>
      <w:r w:rsidRPr="00AC129D">
        <w:rPr>
          <w:rFonts w:ascii="Arial" w:hAnsi="Arial" w:cs="Arial"/>
          <w:i/>
          <w:iCs/>
        </w:rPr>
        <w:t xml:space="preserve">Gerbera </w:t>
      </w:r>
      <w:proofErr w:type="spellStart"/>
      <w:r w:rsidRPr="00AC129D">
        <w:rPr>
          <w:rFonts w:ascii="Arial" w:hAnsi="Arial" w:cs="Arial"/>
          <w:i/>
          <w:iCs/>
        </w:rPr>
        <w:t>jamesonii</w:t>
      </w:r>
      <w:proofErr w:type="spellEnd"/>
      <w:r w:rsidRPr="00AC129D">
        <w:rPr>
          <w:rFonts w:ascii="Arial" w:hAnsi="Arial" w:cs="Arial"/>
        </w:rPr>
        <w:t xml:space="preserve"> flowers relates to adverse water relations and lack of stem sclerenchyma development. </w:t>
      </w:r>
      <w:r w:rsidRPr="00AC129D">
        <w:rPr>
          <w:rFonts w:ascii="Arial" w:hAnsi="Arial" w:cs="Arial"/>
          <w:i/>
          <w:iCs/>
        </w:rPr>
        <w:t>Journal of Experimental Botany</w:t>
      </w:r>
      <w:r w:rsidRPr="00AC129D">
        <w:rPr>
          <w:rFonts w:ascii="Arial" w:hAnsi="Arial" w:cs="Arial"/>
        </w:rPr>
        <w:t>. https://doi.org/10.1093/jxb/ers049</w:t>
      </w:r>
    </w:p>
    <w:p w14:paraId="669DA530" w14:textId="77777777" w:rsidR="00AC129D" w:rsidRPr="00AC129D" w:rsidRDefault="00AC129D" w:rsidP="00AC129D">
      <w:pPr>
        <w:pStyle w:val="ListParagraph"/>
        <w:numPr>
          <w:ilvl w:val="0"/>
          <w:numId w:val="6"/>
        </w:numPr>
        <w:spacing w:after="0" w:line="360" w:lineRule="auto"/>
        <w:jc w:val="both"/>
        <w:rPr>
          <w:rFonts w:ascii="Arial" w:hAnsi="Arial" w:cs="Arial"/>
        </w:rPr>
      </w:pPr>
      <w:r w:rsidRPr="00AC129D">
        <w:rPr>
          <w:rFonts w:ascii="Arial" w:hAnsi="Arial" w:cs="Arial"/>
        </w:rPr>
        <w:t xml:space="preserve">Singh, A. K., Barman, K., Sisodia, A., Pal, A. K., Padhi, M., &amp; Saurabh, V. (2018). Effect of salicylic acid and nitric oxide on postharvest quality and senescence of cut Gerbera flowers. </w:t>
      </w:r>
      <w:r w:rsidRPr="00AC129D">
        <w:rPr>
          <w:rFonts w:ascii="Arial" w:hAnsi="Arial" w:cs="Arial"/>
          <w:i/>
          <w:iCs/>
        </w:rPr>
        <w:t>Journal of Pharmacognosy and Phytochemistry, 7</w:t>
      </w:r>
      <w:r w:rsidRPr="00AC129D">
        <w:rPr>
          <w:rFonts w:ascii="Arial" w:hAnsi="Arial" w:cs="Arial"/>
        </w:rPr>
        <w:t>(5), 715–719.</w:t>
      </w:r>
    </w:p>
    <w:p w14:paraId="48D71634" w14:textId="77777777" w:rsidR="00AC129D" w:rsidRPr="00AC129D" w:rsidRDefault="00AC129D" w:rsidP="00480E02">
      <w:pPr>
        <w:pStyle w:val="ListParagraph"/>
        <w:numPr>
          <w:ilvl w:val="0"/>
          <w:numId w:val="6"/>
        </w:numPr>
        <w:spacing w:after="0" w:line="360" w:lineRule="auto"/>
        <w:jc w:val="both"/>
        <w:rPr>
          <w:rFonts w:ascii="Arial" w:hAnsi="Arial" w:cs="Arial"/>
        </w:rPr>
      </w:pPr>
      <w:r w:rsidRPr="00AC129D">
        <w:rPr>
          <w:rFonts w:ascii="Arial" w:hAnsi="Arial" w:cs="Arial"/>
        </w:rPr>
        <w:lastRenderedPageBreak/>
        <w:t xml:space="preserve">Horticulture statistics at a glance 2022-All </w:t>
      </w:r>
      <w:proofErr w:type="spellStart"/>
      <w:r w:rsidRPr="00AC129D">
        <w:rPr>
          <w:rFonts w:ascii="Arial" w:hAnsi="Arial" w:cs="Arial"/>
        </w:rPr>
        <w:t>India.Gurgaon</w:t>
      </w:r>
      <w:proofErr w:type="spellEnd"/>
      <w:r w:rsidRPr="00AC129D">
        <w:rPr>
          <w:rFonts w:ascii="Arial" w:hAnsi="Arial" w:cs="Arial"/>
        </w:rPr>
        <w:t xml:space="preserve">(IN): National </w:t>
      </w:r>
      <w:proofErr w:type="spellStart"/>
      <w:r w:rsidRPr="00AC129D">
        <w:rPr>
          <w:rFonts w:ascii="Arial" w:hAnsi="Arial" w:cs="Arial"/>
        </w:rPr>
        <w:t>Hoorticulture</w:t>
      </w:r>
      <w:proofErr w:type="spellEnd"/>
      <w:r w:rsidRPr="00AC129D">
        <w:rPr>
          <w:rFonts w:ascii="Arial" w:hAnsi="Arial" w:cs="Arial"/>
        </w:rPr>
        <w:t xml:space="preserve"> Board, Ministry of Agriculture, Government of India; 2022.  </w:t>
      </w:r>
    </w:p>
    <w:p w14:paraId="7E7B94B7" w14:textId="77777777" w:rsidR="00AC129D" w:rsidRPr="00480E02" w:rsidRDefault="00AC129D" w:rsidP="00480E02">
      <w:pPr>
        <w:pStyle w:val="ListParagraph"/>
        <w:numPr>
          <w:ilvl w:val="0"/>
          <w:numId w:val="6"/>
        </w:numPr>
        <w:spacing w:before="100" w:beforeAutospacing="1" w:after="100" w:afterAutospacing="1" w:line="360" w:lineRule="auto"/>
        <w:jc w:val="both"/>
        <w:rPr>
          <w:rFonts w:ascii="Arial" w:hAnsi="Arial" w:cs="Arial"/>
        </w:rPr>
      </w:pPr>
      <w:r w:rsidRPr="00480E02">
        <w:rPr>
          <w:rFonts w:ascii="Arial" w:hAnsi="Arial" w:cs="Arial"/>
        </w:rPr>
        <w:t xml:space="preserve">Giri, B., &amp; </w:t>
      </w:r>
      <w:proofErr w:type="spellStart"/>
      <w:r w:rsidRPr="00480E02">
        <w:rPr>
          <w:rFonts w:ascii="Arial" w:hAnsi="Arial" w:cs="Arial"/>
        </w:rPr>
        <w:t>Beura</w:t>
      </w:r>
      <w:proofErr w:type="spellEnd"/>
      <w:r w:rsidRPr="00480E02">
        <w:rPr>
          <w:rFonts w:ascii="Arial" w:hAnsi="Arial" w:cs="Arial"/>
        </w:rPr>
        <w:t xml:space="preserve">, S. (2021). Impact of plant growth regulators on post-harvest life of cut flowers of Gerbera (Gerbera </w:t>
      </w:r>
      <w:proofErr w:type="spellStart"/>
      <w:r w:rsidRPr="00480E02">
        <w:rPr>
          <w:rFonts w:ascii="Arial" w:hAnsi="Arial" w:cs="Arial"/>
        </w:rPr>
        <w:t>jamesonii</w:t>
      </w:r>
      <w:proofErr w:type="spellEnd"/>
      <w:r w:rsidRPr="00480E02">
        <w:rPr>
          <w:rFonts w:ascii="Arial" w:hAnsi="Arial" w:cs="Arial"/>
        </w:rPr>
        <w:t xml:space="preserve"> B.) cv. Goliath. International Journal of Environment and Climate Change, 11(8), 154–162. https://doi.org/10.9734/IJECC/2021/v11i830468</w:t>
      </w:r>
    </w:p>
    <w:p w14:paraId="660529CA" w14:textId="77777777" w:rsidR="00AC129D" w:rsidRPr="00AC129D" w:rsidRDefault="00AC129D" w:rsidP="00480E02">
      <w:pPr>
        <w:pStyle w:val="ListParagraph"/>
        <w:numPr>
          <w:ilvl w:val="0"/>
          <w:numId w:val="6"/>
        </w:numPr>
        <w:spacing w:after="0" w:line="360" w:lineRule="auto"/>
        <w:jc w:val="both"/>
        <w:rPr>
          <w:rFonts w:ascii="Arial" w:hAnsi="Arial" w:cs="Arial"/>
        </w:rPr>
      </w:pPr>
      <w:proofErr w:type="spellStart"/>
      <w:r w:rsidRPr="00AC129D">
        <w:rPr>
          <w:rFonts w:ascii="Arial" w:hAnsi="Arial" w:cs="Arial"/>
        </w:rPr>
        <w:t>Danaee</w:t>
      </w:r>
      <w:proofErr w:type="spellEnd"/>
      <w:r w:rsidRPr="00AC129D">
        <w:rPr>
          <w:rFonts w:ascii="Arial" w:hAnsi="Arial" w:cs="Arial"/>
        </w:rPr>
        <w:t>, E., Abdossi, V., Mostofi, Y., &amp; Moradi, P. (2010, August). Effect of GA3 and BA on postharvest quality and vase life of gerbera cut flowers. In XXVIII International Horticultural Congress on Science and Horticulture for People (IHC2010): International Symposium on 934 (pp. 423-428).</w:t>
      </w:r>
    </w:p>
    <w:p w14:paraId="6F210737" w14:textId="77777777" w:rsidR="00AC129D" w:rsidRPr="00AC129D" w:rsidRDefault="00AC129D" w:rsidP="00480E02">
      <w:pPr>
        <w:pStyle w:val="ListParagraph"/>
        <w:numPr>
          <w:ilvl w:val="0"/>
          <w:numId w:val="6"/>
        </w:numPr>
        <w:spacing w:after="0" w:line="360" w:lineRule="auto"/>
        <w:jc w:val="both"/>
        <w:rPr>
          <w:rFonts w:ascii="Arial" w:hAnsi="Arial" w:cs="Arial"/>
        </w:rPr>
      </w:pPr>
      <w:r w:rsidRPr="00AC129D">
        <w:rPr>
          <w:rFonts w:ascii="Arial" w:hAnsi="Arial" w:cs="Arial"/>
        </w:rPr>
        <w:t xml:space="preserve">Research and Markets. (2024, November 21). </w:t>
      </w:r>
      <w:r w:rsidRPr="00480E02">
        <w:rPr>
          <w:rFonts w:ascii="Arial" w:hAnsi="Arial" w:cs="Arial"/>
        </w:rPr>
        <w:t>Floriculture Industry Trends and Growth Forecast, 2030: Organic Farming and Biodegradable Packaging Present Opportunities for Market Players</w:t>
      </w:r>
      <w:r w:rsidRPr="00AC129D">
        <w:rPr>
          <w:rFonts w:ascii="Arial" w:hAnsi="Arial" w:cs="Arial"/>
        </w:rPr>
        <w:t xml:space="preserve">. GlobeNewswire. </w:t>
      </w:r>
    </w:p>
    <w:p w14:paraId="611ECB34" w14:textId="77777777" w:rsidR="00AC129D" w:rsidRDefault="00AC129D" w:rsidP="00480E02">
      <w:pPr>
        <w:pStyle w:val="ListParagraph"/>
        <w:numPr>
          <w:ilvl w:val="0"/>
          <w:numId w:val="6"/>
        </w:numPr>
        <w:spacing w:after="0" w:line="360" w:lineRule="auto"/>
        <w:jc w:val="both"/>
        <w:rPr>
          <w:rFonts w:ascii="Arial" w:hAnsi="Arial" w:cs="Arial"/>
        </w:rPr>
      </w:pPr>
      <w:r w:rsidRPr="00AC129D">
        <w:rPr>
          <w:rFonts w:ascii="Arial" w:hAnsi="Arial" w:cs="Arial"/>
        </w:rPr>
        <w:t xml:space="preserve">Future Market Insights, Inc. (2025, August 5). </w:t>
      </w:r>
      <w:r w:rsidRPr="00AC129D">
        <w:rPr>
          <w:rFonts w:ascii="Arial" w:hAnsi="Arial" w:cs="Arial"/>
          <w:i/>
          <w:iCs/>
        </w:rPr>
        <w:t>Floriculture Market Analysis – Size, Share, and Forecast 2025 to 2035</w:t>
      </w:r>
      <w:r w:rsidRPr="00AC129D">
        <w:rPr>
          <w:rFonts w:ascii="Arial" w:hAnsi="Arial" w:cs="Arial"/>
        </w:rPr>
        <w:t>. Future Market Insights. Retrieved from Future Market Insights website.</w:t>
      </w:r>
    </w:p>
    <w:p w14:paraId="51EFF519" w14:textId="6D91DC46" w:rsidR="00192D52" w:rsidRPr="00AC129D" w:rsidRDefault="00192D52" w:rsidP="00192D52">
      <w:pPr>
        <w:pStyle w:val="ListParagraph"/>
        <w:numPr>
          <w:ilvl w:val="0"/>
          <w:numId w:val="6"/>
        </w:numPr>
        <w:spacing w:after="0" w:line="360" w:lineRule="auto"/>
        <w:jc w:val="both"/>
        <w:rPr>
          <w:rFonts w:ascii="Arial" w:hAnsi="Arial" w:cs="Arial"/>
        </w:rPr>
      </w:pPr>
      <w:r w:rsidRPr="00192D52">
        <w:rPr>
          <w:rFonts w:ascii="Arial" w:hAnsi="Arial" w:cs="Arial"/>
        </w:rPr>
        <w:t>Mohammadi, M., Ranjbar, M.-E., &amp; Eghlima, G. (202</w:t>
      </w:r>
      <w:r>
        <w:rPr>
          <w:rFonts w:ascii="Arial" w:hAnsi="Arial" w:cs="Arial"/>
        </w:rPr>
        <w:t>4</w:t>
      </w:r>
      <w:r w:rsidRPr="00192D52">
        <w:rPr>
          <w:rFonts w:ascii="Arial" w:hAnsi="Arial" w:cs="Arial"/>
        </w:rPr>
        <w:t xml:space="preserve">). Impact of gibberellic acid and calcium chloride treatments on neck bending prevention and vase life extension of </w:t>
      </w:r>
      <w:r w:rsidRPr="00192D52">
        <w:rPr>
          <w:rFonts w:ascii="Arial" w:hAnsi="Arial" w:cs="Arial"/>
          <w:i/>
          <w:iCs/>
        </w:rPr>
        <w:t>Gerbera</w:t>
      </w:r>
      <w:r w:rsidRPr="00192D52">
        <w:rPr>
          <w:rFonts w:ascii="Arial" w:hAnsi="Arial" w:cs="Arial"/>
        </w:rPr>
        <w:t xml:space="preserve"> cut flowers. </w:t>
      </w:r>
      <w:r w:rsidRPr="00192D52">
        <w:rPr>
          <w:rFonts w:ascii="Arial" w:hAnsi="Arial" w:cs="Arial"/>
          <w:i/>
          <w:iCs/>
        </w:rPr>
        <w:t>Journal of Plant Growth Regulation, 43</w:t>
      </w:r>
      <w:r w:rsidRPr="00192D52">
        <w:rPr>
          <w:rFonts w:ascii="Arial" w:hAnsi="Arial" w:cs="Arial"/>
        </w:rPr>
        <w:t>(4), 1093–1102.</w:t>
      </w:r>
    </w:p>
    <w:p w14:paraId="237DE1C0" w14:textId="77777777" w:rsidR="00515E0F" w:rsidRPr="00B42DDE" w:rsidRDefault="00515E0F" w:rsidP="00151CF9">
      <w:pPr>
        <w:spacing w:after="0" w:line="360" w:lineRule="auto"/>
        <w:jc w:val="both"/>
        <w:rPr>
          <w:rFonts w:ascii="Arial" w:hAnsi="Arial" w:cs="Arial"/>
        </w:rPr>
      </w:pPr>
    </w:p>
    <w:sectPr w:rsidR="00515E0F" w:rsidRPr="00B42D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311" w14:textId="77777777" w:rsidR="001C17A4" w:rsidRDefault="001C17A4" w:rsidP="00913048">
      <w:pPr>
        <w:spacing w:after="0" w:line="240" w:lineRule="auto"/>
      </w:pPr>
      <w:r>
        <w:separator/>
      </w:r>
    </w:p>
  </w:endnote>
  <w:endnote w:type="continuationSeparator" w:id="0">
    <w:p w14:paraId="197C2B98" w14:textId="77777777" w:rsidR="001C17A4" w:rsidRDefault="001C17A4" w:rsidP="0091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961F" w14:textId="77777777" w:rsidR="00C86436" w:rsidRDefault="00C8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430C" w14:textId="7E8A389B" w:rsidR="00913048" w:rsidRPr="002E7CBC" w:rsidRDefault="00913048" w:rsidP="002E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3AC9" w14:textId="77777777" w:rsidR="00C86436" w:rsidRDefault="00C8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BF9F" w14:textId="77777777" w:rsidR="001C17A4" w:rsidRDefault="001C17A4" w:rsidP="00913048">
      <w:pPr>
        <w:spacing w:after="0" w:line="240" w:lineRule="auto"/>
      </w:pPr>
      <w:r>
        <w:separator/>
      </w:r>
    </w:p>
  </w:footnote>
  <w:footnote w:type="continuationSeparator" w:id="0">
    <w:p w14:paraId="1012F2C6" w14:textId="77777777" w:rsidR="001C17A4" w:rsidRDefault="001C17A4" w:rsidP="0091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71D" w14:textId="23DC8609" w:rsidR="00C86436" w:rsidRDefault="00000000">
    <w:pPr>
      <w:pStyle w:val="Header"/>
    </w:pPr>
    <w:r>
      <w:rPr>
        <w:noProof/>
      </w:rPr>
      <w:pict w14:anchorId="6E8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D749" w14:textId="5DA9749C" w:rsidR="00C86436" w:rsidRDefault="00000000">
    <w:pPr>
      <w:pStyle w:val="Header"/>
    </w:pPr>
    <w:r>
      <w:rPr>
        <w:noProof/>
      </w:rPr>
      <w:pict w14:anchorId="1AF9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A45E" w14:textId="1C2AF6B0" w:rsidR="00C86436" w:rsidRDefault="00000000">
    <w:pPr>
      <w:pStyle w:val="Header"/>
    </w:pPr>
    <w:r>
      <w:rPr>
        <w:noProof/>
      </w:rPr>
      <w:pict w14:anchorId="57596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5104"/>
    <w:multiLevelType w:val="hybridMultilevel"/>
    <w:tmpl w:val="7500F3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850933"/>
    <w:multiLevelType w:val="hybridMultilevel"/>
    <w:tmpl w:val="116CA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3A3C68"/>
    <w:multiLevelType w:val="hybridMultilevel"/>
    <w:tmpl w:val="49FE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85C38"/>
    <w:multiLevelType w:val="multilevel"/>
    <w:tmpl w:val="1D28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5A080F"/>
    <w:multiLevelType w:val="hybridMultilevel"/>
    <w:tmpl w:val="C178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E6E03"/>
    <w:multiLevelType w:val="hybridMultilevel"/>
    <w:tmpl w:val="5A18B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836402">
    <w:abstractNumId w:val="1"/>
  </w:num>
  <w:num w:numId="2" w16cid:durableId="904072201">
    <w:abstractNumId w:val="3"/>
  </w:num>
  <w:num w:numId="3" w16cid:durableId="1487012571">
    <w:abstractNumId w:val="4"/>
  </w:num>
  <w:num w:numId="4" w16cid:durableId="2117676448">
    <w:abstractNumId w:val="2"/>
  </w:num>
  <w:num w:numId="5" w16cid:durableId="1829976157">
    <w:abstractNumId w:val="5"/>
  </w:num>
  <w:num w:numId="6" w16cid:durableId="39459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FF"/>
    <w:rsid w:val="00051560"/>
    <w:rsid w:val="00104200"/>
    <w:rsid w:val="00151CF9"/>
    <w:rsid w:val="00192D52"/>
    <w:rsid w:val="001B5383"/>
    <w:rsid w:val="001C17A4"/>
    <w:rsid w:val="002415B7"/>
    <w:rsid w:val="002753AD"/>
    <w:rsid w:val="00287C42"/>
    <w:rsid w:val="002E7CBC"/>
    <w:rsid w:val="003038BB"/>
    <w:rsid w:val="00312042"/>
    <w:rsid w:val="00383693"/>
    <w:rsid w:val="00391782"/>
    <w:rsid w:val="003D6CFD"/>
    <w:rsid w:val="003E3F79"/>
    <w:rsid w:val="00403136"/>
    <w:rsid w:val="00461C13"/>
    <w:rsid w:val="00480E02"/>
    <w:rsid w:val="00494EFF"/>
    <w:rsid w:val="005155D2"/>
    <w:rsid w:val="00515E0F"/>
    <w:rsid w:val="00520C3E"/>
    <w:rsid w:val="005C2B8F"/>
    <w:rsid w:val="005E69EF"/>
    <w:rsid w:val="005F3DF5"/>
    <w:rsid w:val="005F4AEA"/>
    <w:rsid w:val="00614D3C"/>
    <w:rsid w:val="00617010"/>
    <w:rsid w:val="006B1085"/>
    <w:rsid w:val="006B78F8"/>
    <w:rsid w:val="006E10FF"/>
    <w:rsid w:val="00716171"/>
    <w:rsid w:val="00741641"/>
    <w:rsid w:val="00796E88"/>
    <w:rsid w:val="007F6387"/>
    <w:rsid w:val="0082535D"/>
    <w:rsid w:val="0087607D"/>
    <w:rsid w:val="008C3350"/>
    <w:rsid w:val="00913048"/>
    <w:rsid w:val="00914BC5"/>
    <w:rsid w:val="00920253"/>
    <w:rsid w:val="00924C28"/>
    <w:rsid w:val="009633DA"/>
    <w:rsid w:val="0096610E"/>
    <w:rsid w:val="00985244"/>
    <w:rsid w:val="009F4CC7"/>
    <w:rsid w:val="00A25336"/>
    <w:rsid w:val="00A53A3B"/>
    <w:rsid w:val="00A81E96"/>
    <w:rsid w:val="00AC129D"/>
    <w:rsid w:val="00AC43AD"/>
    <w:rsid w:val="00AC6DB6"/>
    <w:rsid w:val="00AD08C5"/>
    <w:rsid w:val="00AD5480"/>
    <w:rsid w:val="00AF44CE"/>
    <w:rsid w:val="00B31A80"/>
    <w:rsid w:val="00B42DDE"/>
    <w:rsid w:val="00BB2361"/>
    <w:rsid w:val="00BB628A"/>
    <w:rsid w:val="00C01612"/>
    <w:rsid w:val="00C01CEE"/>
    <w:rsid w:val="00C03865"/>
    <w:rsid w:val="00C25464"/>
    <w:rsid w:val="00C37B3B"/>
    <w:rsid w:val="00C5248D"/>
    <w:rsid w:val="00C86436"/>
    <w:rsid w:val="00CB739C"/>
    <w:rsid w:val="00CC6FD4"/>
    <w:rsid w:val="00D0627D"/>
    <w:rsid w:val="00D82177"/>
    <w:rsid w:val="00D87352"/>
    <w:rsid w:val="00DE5E66"/>
    <w:rsid w:val="00E7416E"/>
    <w:rsid w:val="00F410E8"/>
    <w:rsid w:val="00FA119D"/>
    <w:rsid w:val="00FC61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AF1C"/>
  <w15:chartTrackingRefBased/>
  <w15:docId w15:val="{8DE7D178-66AF-490F-8C37-03D997A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DA"/>
  </w:style>
  <w:style w:type="paragraph" w:styleId="Heading1">
    <w:name w:val="heading 1"/>
    <w:basedOn w:val="Normal"/>
    <w:next w:val="Normal"/>
    <w:link w:val="Heading1Char"/>
    <w:uiPriority w:val="9"/>
    <w:qFormat/>
    <w:rsid w:val="0049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FF"/>
    <w:rPr>
      <w:rFonts w:eastAsiaTheme="majorEastAsia" w:cstheme="majorBidi"/>
      <w:color w:val="272727" w:themeColor="text1" w:themeTint="D8"/>
    </w:rPr>
  </w:style>
  <w:style w:type="paragraph" w:styleId="Title">
    <w:name w:val="Title"/>
    <w:basedOn w:val="Normal"/>
    <w:next w:val="Normal"/>
    <w:link w:val="TitleChar"/>
    <w:uiPriority w:val="10"/>
    <w:qFormat/>
    <w:rsid w:val="0049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FF"/>
    <w:pPr>
      <w:spacing w:before="160"/>
      <w:jc w:val="center"/>
    </w:pPr>
    <w:rPr>
      <w:i/>
      <w:iCs/>
      <w:color w:val="404040" w:themeColor="text1" w:themeTint="BF"/>
    </w:rPr>
  </w:style>
  <w:style w:type="character" w:customStyle="1" w:styleId="QuoteChar">
    <w:name w:val="Quote Char"/>
    <w:basedOn w:val="DefaultParagraphFont"/>
    <w:link w:val="Quote"/>
    <w:uiPriority w:val="29"/>
    <w:rsid w:val="00494EFF"/>
    <w:rPr>
      <w:i/>
      <w:iCs/>
      <w:color w:val="404040" w:themeColor="text1" w:themeTint="BF"/>
    </w:rPr>
  </w:style>
  <w:style w:type="paragraph" w:styleId="ListParagraph">
    <w:name w:val="List Paragraph"/>
    <w:basedOn w:val="Normal"/>
    <w:uiPriority w:val="34"/>
    <w:qFormat/>
    <w:rsid w:val="00494EFF"/>
    <w:pPr>
      <w:ind w:left="720"/>
      <w:contextualSpacing/>
    </w:pPr>
  </w:style>
  <w:style w:type="character" w:styleId="IntenseEmphasis">
    <w:name w:val="Intense Emphasis"/>
    <w:basedOn w:val="DefaultParagraphFont"/>
    <w:uiPriority w:val="21"/>
    <w:qFormat/>
    <w:rsid w:val="00494EFF"/>
    <w:rPr>
      <w:i/>
      <w:iCs/>
      <w:color w:val="2F5496" w:themeColor="accent1" w:themeShade="BF"/>
    </w:rPr>
  </w:style>
  <w:style w:type="paragraph" w:styleId="IntenseQuote">
    <w:name w:val="Intense Quote"/>
    <w:basedOn w:val="Normal"/>
    <w:next w:val="Normal"/>
    <w:link w:val="IntenseQuoteChar"/>
    <w:uiPriority w:val="30"/>
    <w:qFormat/>
    <w:rsid w:val="0049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EFF"/>
    <w:rPr>
      <w:i/>
      <w:iCs/>
      <w:color w:val="2F5496" w:themeColor="accent1" w:themeShade="BF"/>
    </w:rPr>
  </w:style>
  <w:style w:type="character" w:styleId="IntenseReference">
    <w:name w:val="Intense Reference"/>
    <w:basedOn w:val="DefaultParagraphFont"/>
    <w:uiPriority w:val="32"/>
    <w:qFormat/>
    <w:rsid w:val="00494EFF"/>
    <w:rPr>
      <w:b/>
      <w:bCs/>
      <w:smallCaps/>
      <w:color w:val="2F5496" w:themeColor="accent1" w:themeShade="BF"/>
      <w:spacing w:val="5"/>
    </w:rPr>
  </w:style>
  <w:style w:type="character" w:styleId="Hyperlink">
    <w:name w:val="Hyperlink"/>
    <w:basedOn w:val="DefaultParagraphFont"/>
    <w:uiPriority w:val="99"/>
    <w:unhideWhenUsed/>
    <w:rsid w:val="00FC615D"/>
    <w:rPr>
      <w:color w:val="0563C1" w:themeColor="hyperlink"/>
      <w:u w:val="single"/>
    </w:rPr>
  </w:style>
  <w:style w:type="table" w:styleId="TableGrid">
    <w:name w:val="Table Grid"/>
    <w:basedOn w:val="TableNormal"/>
    <w:uiPriority w:val="39"/>
    <w:rsid w:val="00C01CE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8BB"/>
    <w:rPr>
      <w:color w:val="605E5C"/>
      <w:shd w:val="clear" w:color="auto" w:fill="E1DFDD"/>
    </w:rPr>
  </w:style>
  <w:style w:type="paragraph" w:styleId="NormalWeb">
    <w:name w:val="Normal (Web)"/>
    <w:basedOn w:val="Normal"/>
    <w:uiPriority w:val="99"/>
    <w:semiHidden/>
    <w:unhideWhenUsed/>
    <w:rsid w:val="00287C42"/>
    <w:rPr>
      <w:rFonts w:ascii="Times New Roman" w:hAnsi="Times New Roman" w:cs="Times New Roman"/>
    </w:rPr>
  </w:style>
  <w:style w:type="paragraph" w:styleId="Header">
    <w:name w:val="header"/>
    <w:basedOn w:val="Normal"/>
    <w:link w:val="HeaderChar"/>
    <w:uiPriority w:val="99"/>
    <w:unhideWhenUsed/>
    <w:rsid w:val="0091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48"/>
  </w:style>
  <w:style w:type="paragraph" w:styleId="Footer">
    <w:name w:val="footer"/>
    <w:basedOn w:val="Normal"/>
    <w:link w:val="FooterChar"/>
    <w:uiPriority w:val="99"/>
    <w:unhideWhenUsed/>
    <w:rsid w:val="0091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48"/>
  </w:style>
  <w:style w:type="character" w:styleId="Emphasis">
    <w:name w:val="Emphasis"/>
    <w:basedOn w:val="DefaultParagraphFont"/>
    <w:uiPriority w:val="20"/>
    <w:qFormat/>
    <w:rsid w:val="00AC12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659">
      <w:bodyDiv w:val="1"/>
      <w:marLeft w:val="0"/>
      <w:marRight w:val="0"/>
      <w:marTop w:val="0"/>
      <w:marBottom w:val="0"/>
      <w:divBdr>
        <w:top w:val="none" w:sz="0" w:space="0" w:color="auto"/>
        <w:left w:val="none" w:sz="0" w:space="0" w:color="auto"/>
        <w:bottom w:val="none" w:sz="0" w:space="0" w:color="auto"/>
        <w:right w:val="none" w:sz="0" w:space="0" w:color="auto"/>
      </w:divBdr>
    </w:div>
    <w:div w:id="198861639">
      <w:bodyDiv w:val="1"/>
      <w:marLeft w:val="0"/>
      <w:marRight w:val="0"/>
      <w:marTop w:val="0"/>
      <w:marBottom w:val="0"/>
      <w:divBdr>
        <w:top w:val="none" w:sz="0" w:space="0" w:color="auto"/>
        <w:left w:val="none" w:sz="0" w:space="0" w:color="auto"/>
        <w:bottom w:val="none" w:sz="0" w:space="0" w:color="auto"/>
        <w:right w:val="none" w:sz="0" w:space="0" w:color="auto"/>
      </w:divBdr>
    </w:div>
    <w:div w:id="228228317">
      <w:bodyDiv w:val="1"/>
      <w:marLeft w:val="0"/>
      <w:marRight w:val="0"/>
      <w:marTop w:val="0"/>
      <w:marBottom w:val="0"/>
      <w:divBdr>
        <w:top w:val="none" w:sz="0" w:space="0" w:color="auto"/>
        <w:left w:val="none" w:sz="0" w:space="0" w:color="auto"/>
        <w:bottom w:val="none" w:sz="0" w:space="0" w:color="auto"/>
        <w:right w:val="none" w:sz="0" w:space="0" w:color="auto"/>
      </w:divBdr>
    </w:div>
    <w:div w:id="243950769">
      <w:bodyDiv w:val="1"/>
      <w:marLeft w:val="0"/>
      <w:marRight w:val="0"/>
      <w:marTop w:val="0"/>
      <w:marBottom w:val="0"/>
      <w:divBdr>
        <w:top w:val="none" w:sz="0" w:space="0" w:color="auto"/>
        <w:left w:val="none" w:sz="0" w:space="0" w:color="auto"/>
        <w:bottom w:val="none" w:sz="0" w:space="0" w:color="auto"/>
        <w:right w:val="none" w:sz="0" w:space="0" w:color="auto"/>
      </w:divBdr>
    </w:div>
    <w:div w:id="500435278">
      <w:bodyDiv w:val="1"/>
      <w:marLeft w:val="0"/>
      <w:marRight w:val="0"/>
      <w:marTop w:val="0"/>
      <w:marBottom w:val="0"/>
      <w:divBdr>
        <w:top w:val="none" w:sz="0" w:space="0" w:color="auto"/>
        <w:left w:val="none" w:sz="0" w:space="0" w:color="auto"/>
        <w:bottom w:val="none" w:sz="0" w:space="0" w:color="auto"/>
        <w:right w:val="none" w:sz="0" w:space="0" w:color="auto"/>
      </w:divBdr>
    </w:div>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68895247">
      <w:bodyDiv w:val="1"/>
      <w:marLeft w:val="0"/>
      <w:marRight w:val="0"/>
      <w:marTop w:val="0"/>
      <w:marBottom w:val="0"/>
      <w:divBdr>
        <w:top w:val="none" w:sz="0" w:space="0" w:color="auto"/>
        <w:left w:val="none" w:sz="0" w:space="0" w:color="auto"/>
        <w:bottom w:val="none" w:sz="0" w:space="0" w:color="auto"/>
        <w:right w:val="none" w:sz="0" w:space="0" w:color="auto"/>
      </w:divBdr>
    </w:div>
    <w:div w:id="1598252750">
      <w:bodyDiv w:val="1"/>
      <w:marLeft w:val="0"/>
      <w:marRight w:val="0"/>
      <w:marTop w:val="0"/>
      <w:marBottom w:val="0"/>
      <w:divBdr>
        <w:top w:val="none" w:sz="0" w:space="0" w:color="auto"/>
        <w:left w:val="none" w:sz="0" w:space="0" w:color="auto"/>
        <w:bottom w:val="none" w:sz="0" w:space="0" w:color="auto"/>
        <w:right w:val="none" w:sz="0" w:space="0" w:color="auto"/>
      </w:divBdr>
    </w:div>
    <w:div w:id="1859200042">
      <w:bodyDiv w:val="1"/>
      <w:marLeft w:val="0"/>
      <w:marRight w:val="0"/>
      <w:marTop w:val="0"/>
      <w:marBottom w:val="0"/>
      <w:divBdr>
        <w:top w:val="none" w:sz="0" w:space="0" w:color="auto"/>
        <w:left w:val="none" w:sz="0" w:space="0" w:color="auto"/>
        <w:bottom w:val="none" w:sz="0" w:space="0" w:color="auto"/>
        <w:right w:val="none" w:sz="0" w:space="0" w:color="auto"/>
      </w:divBdr>
    </w:div>
    <w:div w:id="20112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7660/ActaHortic.2012.934.5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fig.1 Fresh weight of flower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Graph!$D$4</c:f>
              <c:strCache>
                <c:ptCount val="1"/>
                <c:pt idx="0">
                  <c:v>Fresh weight of flower (g)</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Graph!$D$5:$D$14</c:f>
              <c:numCache>
                <c:formatCode>General</c:formatCode>
                <c:ptCount val="10"/>
                <c:pt idx="0">
                  <c:v>13.6</c:v>
                </c:pt>
                <c:pt idx="1">
                  <c:v>13.8</c:v>
                </c:pt>
                <c:pt idx="2">
                  <c:v>20.9</c:v>
                </c:pt>
                <c:pt idx="3">
                  <c:v>21.9</c:v>
                </c:pt>
                <c:pt idx="4">
                  <c:v>14.6</c:v>
                </c:pt>
                <c:pt idx="5">
                  <c:v>15.8</c:v>
                </c:pt>
                <c:pt idx="6">
                  <c:v>18.899999999999999</c:v>
                </c:pt>
                <c:pt idx="7">
                  <c:v>15.4</c:v>
                </c:pt>
                <c:pt idx="8">
                  <c:v>20.5</c:v>
                </c:pt>
                <c:pt idx="9">
                  <c:v>16.3</c:v>
                </c:pt>
              </c:numCache>
            </c:numRef>
          </c:val>
          <c:extLst>
            <c:ext xmlns:c16="http://schemas.microsoft.com/office/drawing/2014/chart" uri="{C3380CC4-5D6E-409C-BE32-E72D297353CC}">
              <c16:uniqueId val="{00000000-9686-4CEC-BB13-8148B46612A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Fresh weight of flowers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fig.2</a:t>
            </a:r>
            <a:r>
              <a:rPr lang="en-GB" baseline="0"/>
              <a:t> </a:t>
            </a:r>
            <a:r>
              <a:rPr lang="en-GB"/>
              <a:t>Cumulative water uptake (g/f)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Graph!$E$4</c:f>
              <c:strCache>
                <c:ptCount val="1"/>
                <c:pt idx="0">
                  <c:v>Cumulative water uptake (g/f)</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Graph!$E$5:$E$14</c:f>
              <c:numCache>
                <c:formatCode>General</c:formatCode>
                <c:ptCount val="10"/>
                <c:pt idx="0">
                  <c:v>44.5</c:v>
                </c:pt>
                <c:pt idx="1">
                  <c:v>51.6</c:v>
                </c:pt>
                <c:pt idx="2">
                  <c:v>54.2</c:v>
                </c:pt>
                <c:pt idx="3">
                  <c:v>45.4</c:v>
                </c:pt>
                <c:pt idx="4">
                  <c:v>46</c:v>
                </c:pt>
                <c:pt idx="5">
                  <c:v>47.2</c:v>
                </c:pt>
                <c:pt idx="6">
                  <c:v>48.7</c:v>
                </c:pt>
                <c:pt idx="7">
                  <c:v>46.5</c:v>
                </c:pt>
                <c:pt idx="8">
                  <c:v>50.1</c:v>
                </c:pt>
                <c:pt idx="9">
                  <c:v>47.8</c:v>
                </c:pt>
              </c:numCache>
            </c:numRef>
          </c:val>
          <c:extLst>
            <c:ext xmlns:c16="http://schemas.microsoft.com/office/drawing/2014/chart" uri="{C3380CC4-5D6E-409C-BE32-E72D297353CC}">
              <c16:uniqueId val="{00000000-0C02-4635-B98C-A660C60F50C7}"/>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Cumulative water uptake (g/f)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fig.3 Physiological weight loss of flower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Graph!$G$4</c:f>
              <c:strCache>
                <c:ptCount val="1"/>
                <c:pt idx="0">
                  <c:v>Physiological weight loss of flower (%)</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Graph!$G$5:$G$14</c:f>
              <c:numCache>
                <c:formatCode>General</c:formatCode>
                <c:ptCount val="10"/>
                <c:pt idx="0">
                  <c:v>17.5</c:v>
                </c:pt>
                <c:pt idx="1">
                  <c:v>16.899999999999999</c:v>
                </c:pt>
                <c:pt idx="2">
                  <c:v>12.2</c:v>
                </c:pt>
                <c:pt idx="3">
                  <c:v>11.5</c:v>
                </c:pt>
                <c:pt idx="4">
                  <c:v>16.399999999999999</c:v>
                </c:pt>
                <c:pt idx="5">
                  <c:v>14.7</c:v>
                </c:pt>
                <c:pt idx="6">
                  <c:v>13</c:v>
                </c:pt>
                <c:pt idx="7">
                  <c:v>15.8</c:v>
                </c:pt>
                <c:pt idx="8">
                  <c:v>12.4</c:v>
                </c:pt>
                <c:pt idx="9">
                  <c:v>13.8</c:v>
                </c:pt>
              </c:numCache>
            </c:numRef>
          </c:val>
          <c:extLst>
            <c:ext xmlns:c16="http://schemas.microsoft.com/office/drawing/2014/chart" uri="{C3380CC4-5D6E-409C-BE32-E72D297353CC}">
              <c16:uniqueId val="{00000000-C2E0-4C57-B7E0-C1E4111BE7F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loss of flower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jitendra sahu</cp:lastModifiedBy>
  <cp:revision>49</cp:revision>
  <dcterms:created xsi:type="dcterms:W3CDTF">2025-08-03T08:14:00Z</dcterms:created>
  <dcterms:modified xsi:type="dcterms:W3CDTF">2025-09-03T17:58:00Z</dcterms:modified>
</cp:coreProperties>
</file>